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B62D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B62D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B62D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B62D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B62D0" w:rsidTr="002E5576">
        <w:tc>
          <w:tcPr>
            <w:tcW w:w="4518" w:type="dxa"/>
          </w:tcPr>
          <w:p w:rsidR="00BF25F3" w:rsidRPr="002E2327" w:rsidRDefault="0016688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6688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B62D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B62D0"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1B62D0">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1B62D0">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662790">
        <w:rPr>
          <w:lang w:val="fr-CA"/>
        </w:rPr>
        <w:t>17</w:t>
      </w:r>
      <w:r w:rsidR="00440E24" w:rsidRPr="00675479">
        <w:rPr>
          <w:lang w:val="fr-CA"/>
        </w:rPr>
        <w:t>, 201</w:t>
      </w:r>
      <w:r w:rsidR="00501F3C">
        <w:rPr>
          <w:lang w:val="fr-CA"/>
        </w:rPr>
        <w:t>4</w:t>
      </w:r>
      <w:r w:rsidR="00F0068D" w:rsidRPr="00675479">
        <w:rPr>
          <w:lang w:val="fr-CA"/>
        </w:rPr>
        <w:tab/>
      </w:r>
      <w:r w:rsidR="00662790">
        <w:rPr>
          <w:lang w:val="fr-CA"/>
        </w:rPr>
        <w:t>53</w:t>
      </w:r>
      <w:r w:rsidR="00F0068D" w:rsidRPr="00675479">
        <w:rPr>
          <w:lang w:val="fr-CA"/>
        </w:rPr>
        <w:t xml:space="preserve"> - </w:t>
      </w:r>
      <w:r w:rsidR="00F43661">
        <w:rPr>
          <w:lang w:val="fr-CA"/>
        </w:rPr>
        <w:t>9</w:t>
      </w:r>
      <w:r w:rsidR="00023015">
        <w:rPr>
          <w:lang w:val="fr-CA"/>
        </w:rPr>
        <w:t>3</w:t>
      </w:r>
      <w:r w:rsidR="00440E24" w:rsidRPr="00675479">
        <w:rPr>
          <w:lang w:val="fr-CA"/>
        </w:rPr>
        <w:tab/>
      </w:r>
      <w:r w:rsidR="00440E24" w:rsidRPr="002E2327">
        <w:rPr>
          <w:lang w:val="fr-CA"/>
        </w:rPr>
        <w:t>Le</w:t>
      </w:r>
      <w:r>
        <w:rPr>
          <w:lang w:val="fr-CA"/>
        </w:rPr>
        <w:t xml:space="preserve"> </w:t>
      </w:r>
      <w:r w:rsidR="00662790">
        <w:rPr>
          <w:lang w:val="fr-CA"/>
        </w:rPr>
        <w:t>17</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2254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D77DC3">
            <w:pPr>
              <w:tabs>
                <w:tab w:val="right" w:pos="9360"/>
              </w:tabs>
              <w:rPr>
                <w:rFonts w:cs="Times New Roman"/>
                <w:sz w:val="20"/>
                <w:szCs w:val="20"/>
              </w:rPr>
            </w:pPr>
          </w:p>
        </w:tc>
        <w:tc>
          <w:tcPr>
            <w:tcW w:w="1980" w:type="dxa"/>
          </w:tcPr>
          <w:p w:rsidR="0095096B" w:rsidRPr="002E2327" w:rsidRDefault="0016688F"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F230CC">
              <w:rPr>
                <w:rFonts w:cs="Times New Roman"/>
                <w:sz w:val="20"/>
                <w:szCs w:val="20"/>
              </w:rPr>
              <w:t>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30CC" w:rsidP="0095096B">
            <w:pPr>
              <w:jc w:val="center"/>
              <w:rPr>
                <w:rFonts w:cs="Times New Roman"/>
                <w:sz w:val="20"/>
                <w:szCs w:val="20"/>
              </w:rPr>
            </w:pPr>
            <w:r>
              <w:rPr>
                <w:rFonts w:cs="Times New Roman"/>
                <w:sz w:val="20"/>
                <w:szCs w:val="20"/>
              </w:rPr>
              <w:t>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766D9" w:rsidP="0095096B">
            <w:pPr>
              <w:jc w:val="center"/>
              <w:rPr>
                <w:rFonts w:cs="Times New Roman"/>
                <w:sz w:val="20"/>
                <w:szCs w:val="20"/>
              </w:rPr>
            </w:pPr>
            <w:r>
              <w:rPr>
                <w:rFonts w:cs="Times New Roman"/>
                <w:sz w:val="20"/>
                <w:szCs w:val="20"/>
              </w:rPr>
              <w:t xml:space="preserve">55 </w:t>
            </w:r>
            <w:r w:rsidR="0095096B" w:rsidRPr="002E2327">
              <w:rPr>
                <w:rFonts w:cs="Times New Roman"/>
                <w:sz w:val="20"/>
                <w:szCs w:val="20"/>
              </w:rPr>
              <w:t>-</w:t>
            </w:r>
            <w:r w:rsidR="00AA49BB">
              <w:rPr>
                <w:rFonts w:cs="Times New Roman"/>
                <w:sz w:val="20"/>
                <w:szCs w:val="20"/>
              </w:rPr>
              <w:t xml:space="preserve"> 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A49BB" w:rsidP="0095096B">
            <w:pPr>
              <w:jc w:val="center"/>
              <w:rPr>
                <w:rFonts w:cs="Times New Roman"/>
                <w:sz w:val="20"/>
                <w:szCs w:val="20"/>
              </w:rPr>
            </w:pPr>
            <w:r>
              <w:rPr>
                <w:rFonts w:cs="Times New Roman"/>
                <w:sz w:val="20"/>
                <w:szCs w:val="20"/>
              </w:rPr>
              <w:t xml:space="preserve">77 </w:t>
            </w:r>
            <w:r w:rsidR="0095096B" w:rsidRPr="002E2327">
              <w:rPr>
                <w:rFonts w:cs="Times New Roman"/>
                <w:sz w:val="20"/>
                <w:szCs w:val="20"/>
              </w:rPr>
              <w:t>-</w:t>
            </w:r>
            <w:r>
              <w:rPr>
                <w:rFonts w:cs="Times New Roman"/>
                <w:sz w:val="20"/>
                <w:szCs w:val="20"/>
              </w:rPr>
              <w:t xml:space="preserve"> 79</w:t>
            </w:r>
          </w:p>
          <w:p w:rsidR="0095096B" w:rsidRPr="002E2327" w:rsidRDefault="0095096B" w:rsidP="0095096B">
            <w:pPr>
              <w:jc w:val="center"/>
              <w:rPr>
                <w:rFonts w:cs="Times New Roman"/>
                <w:sz w:val="20"/>
                <w:szCs w:val="20"/>
              </w:rPr>
            </w:pPr>
          </w:p>
          <w:p w:rsidR="0095096B" w:rsidRPr="002E2327" w:rsidRDefault="00AA49BB" w:rsidP="0095096B">
            <w:pPr>
              <w:jc w:val="center"/>
              <w:rPr>
                <w:rFonts w:cs="Times New Roman"/>
                <w:sz w:val="20"/>
                <w:szCs w:val="20"/>
              </w:rPr>
            </w:pPr>
            <w:r>
              <w:rPr>
                <w:rFonts w:cs="Times New Roman"/>
                <w:sz w:val="20"/>
                <w:szCs w:val="20"/>
              </w:rPr>
              <w:t>80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A49BB" w:rsidP="0095096B">
            <w:pPr>
              <w:jc w:val="center"/>
              <w:rPr>
                <w:rFonts w:cs="Times New Roman"/>
                <w:sz w:val="20"/>
                <w:szCs w:val="20"/>
              </w:rPr>
            </w:pPr>
            <w:r>
              <w:rPr>
                <w:rFonts w:cs="Times New Roman"/>
                <w:sz w:val="20"/>
                <w:szCs w:val="20"/>
              </w:rPr>
              <w:t xml:space="preserve">81 </w:t>
            </w:r>
            <w:r w:rsidR="0095096B" w:rsidRPr="002E2327">
              <w:rPr>
                <w:rFonts w:cs="Times New Roman"/>
                <w:sz w:val="20"/>
                <w:szCs w:val="20"/>
              </w:rPr>
              <w:t>-</w:t>
            </w:r>
            <w:r w:rsidR="00F43661">
              <w:rPr>
                <w:rFonts w:cs="Times New Roman"/>
                <w:sz w:val="20"/>
                <w:szCs w:val="20"/>
              </w:rPr>
              <w:t xml:space="preserve"> 83</w:t>
            </w:r>
          </w:p>
          <w:p w:rsidR="0095096B" w:rsidRPr="002E2327" w:rsidRDefault="0095096B" w:rsidP="0095096B">
            <w:pPr>
              <w:jc w:val="center"/>
              <w:rPr>
                <w:rFonts w:cs="Times New Roman"/>
                <w:sz w:val="20"/>
                <w:szCs w:val="20"/>
              </w:rPr>
            </w:pPr>
          </w:p>
          <w:p w:rsidR="00F43661" w:rsidRDefault="00F43661" w:rsidP="0095096B">
            <w:pPr>
              <w:jc w:val="center"/>
              <w:rPr>
                <w:rFonts w:cs="Times New Roman"/>
                <w:sz w:val="20"/>
                <w:szCs w:val="20"/>
              </w:rPr>
            </w:pPr>
          </w:p>
          <w:p w:rsidR="0095096B" w:rsidRPr="002E2327" w:rsidRDefault="00F43661" w:rsidP="0095096B">
            <w:pPr>
              <w:jc w:val="center"/>
              <w:rPr>
                <w:rFonts w:cs="Times New Roman"/>
                <w:sz w:val="20"/>
                <w:szCs w:val="20"/>
              </w:rPr>
            </w:pPr>
            <w:r>
              <w:rPr>
                <w:rFonts w:cs="Times New Roman"/>
                <w:sz w:val="20"/>
                <w:szCs w:val="20"/>
              </w:rPr>
              <w:t>84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43661" w:rsidP="0095096B">
            <w:pPr>
              <w:jc w:val="center"/>
              <w:rPr>
                <w:rFonts w:cs="Times New Roman"/>
                <w:sz w:val="20"/>
                <w:szCs w:val="20"/>
              </w:rPr>
            </w:pPr>
            <w:r>
              <w:rPr>
                <w:rFonts w:cs="Times New Roman"/>
                <w:sz w:val="20"/>
                <w:szCs w:val="20"/>
              </w:rPr>
              <w:t xml:space="preserve">85 </w:t>
            </w:r>
            <w:r w:rsidR="0095096B" w:rsidRPr="002E2327">
              <w:rPr>
                <w:rFonts w:cs="Times New Roman"/>
                <w:sz w:val="20"/>
                <w:szCs w:val="20"/>
              </w:rPr>
              <w:t>-</w:t>
            </w:r>
            <w:r>
              <w:rPr>
                <w:rFonts w:cs="Times New Roman"/>
                <w:sz w:val="20"/>
                <w:szCs w:val="20"/>
              </w:rPr>
              <w:t xml:space="preserve"> 9</w:t>
            </w:r>
            <w:r w:rsidR="00023015">
              <w:rPr>
                <w:rFonts w:cs="Times New Roman"/>
                <w:sz w:val="20"/>
                <w:szCs w:val="20"/>
              </w:rPr>
              <w:t>3</w:t>
            </w:r>
          </w:p>
          <w:p w:rsidR="00A87207" w:rsidRPr="002E2327" w:rsidRDefault="00A87207" w:rsidP="00D77DC3">
            <w:pPr>
              <w:jc w:val="center"/>
              <w:rPr>
                <w:rFonts w:cs="Times New Roman"/>
                <w:sz w:val="20"/>
                <w:szCs w:val="20"/>
              </w:rPr>
            </w:pPr>
          </w:p>
        </w:tc>
        <w:tc>
          <w:tcPr>
            <w:tcW w:w="3888" w:type="dxa"/>
          </w:tcPr>
          <w:p w:rsidR="0095096B" w:rsidRPr="002E2327" w:rsidRDefault="0016688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D77DC3">
            <w:pPr>
              <w:rPr>
                <w:rFonts w:cs="Times New Roman"/>
                <w:sz w:val="20"/>
                <w:szCs w:val="20"/>
                <w:lang w:val="fr-CA"/>
              </w:rPr>
            </w:pPr>
          </w:p>
        </w:tc>
      </w:tr>
    </w:tbl>
    <w:p w:rsidR="0095096B" w:rsidRPr="00822540" w:rsidRDefault="0095096B" w:rsidP="0095096B">
      <w:pPr>
        <w:tabs>
          <w:tab w:val="right" w:pos="9360"/>
        </w:tabs>
        <w:rPr>
          <w:lang w:val="fr-CA"/>
        </w:rPr>
      </w:pPr>
    </w:p>
    <w:p w:rsidR="00B07B13" w:rsidRPr="00822540" w:rsidRDefault="00B07B13" w:rsidP="0095096B">
      <w:pPr>
        <w:tabs>
          <w:tab w:val="right" w:pos="9360"/>
        </w:tabs>
        <w:rPr>
          <w:lang w:val="fr-CA"/>
        </w:rPr>
      </w:pPr>
    </w:p>
    <w:p w:rsidR="00B07B13" w:rsidRPr="00822540" w:rsidRDefault="00B07B13" w:rsidP="0095096B">
      <w:pPr>
        <w:tabs>
          <w:tab w:val="right" w:pos="9360"/>
        </w:tabs>
        <w:rPr>
          <w:lang w:val="fr-CA"/>
        </w:rPr>
      </w:pPr>
    </w:p>
    <w:p w:rsidR="00B07B13" w:rsidRPr="00822540" w:rsidRDefault="00B07B13" w:rsidP="0095096B">
      <w:pPr>
        <w:tabs>
          <w:tab w:val="right" w:pos="9360"/>
        </w:tabs>
        <w:rPr>
          <w:lang w:val="fr-CA"/>
        </w:rPr>
      </w:pPr>
    </w:p>
    <w:p w:rsidR="00B07B13" w:rsidRPr="00822540" w:rsidRDefault="00B07B13"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1B62D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C5574B" w:rsidP="003B3977">
            <w:pPr>
              <w:rPr>
                <w:b/>
                <w:sz w:val="20"/>
                <w:szCs w:val="20"/>
              </w:rPr>
            </w:pPr>
            <w:r>
              <w:rPr>
                <w:b/>
                <w:sz w:val="20"/>
                <w:szCs w:val="20"/>
              </w:rPr>
              <w:t>Wael Maged Badawy</w:t>
            </w:r>
          </w:p>
          <w:p w:rsidR="00242AEE" w:rsidRPr="00A935AA" w:rsidRDefault="00242AEE" w:rsidP="003B3977">
            <w:pPr>
              <w:tabs>
                <w:tab w:val="left" w:pos="-1440"/>
                <w:tab w:val="left" w:pos="-720"/>
              </w:tabs>
              <w:rPr>
                <w:sz w:val="20"/>
                <w:szCs w:val="20"/>
              </w:rPr>
            </w:pPr>
            <w:r w:rsidRPr="00A935AA">
              <w:rPr>
                <w:sz w:val="20"/>
                <w:szCs w:val="20"/>
              </w:rPr>
              <w:tab/>
            </w:r>
            <w:r w:rsidR="00C5574B">
              <w:rPr>
                <w:sz w:val="20"/>
                <w:szCs w:val="20"/>
              </w:rPr>
              <w:t>Wael Maged Badawy</w:t>
            </w:r>
          </w:p>
          <w:p w:rsidR="00242AEE" w:rsidRPr="00A935AA" w:rsidRDefault="00242AEE" w:rsidP="003B3977">
            <w:pPr>
              <w:tabs>
                <w:tab w:val="left" w:pos="-1440"/>
                <w:tab w:val="left" w:pos="-720"/>
              </w:tabs>
              <w:rPr>
                <w:sz w:val="20"/>
                <w:szCs w:val="20"/>
              </w:rPr>
            </w:pPr>
          </w:p>
          <w:p w:rsidR="00242AEE" w:rsidRPr="00C5574B" w:rsidRDefault="00242AEE" w:rsidP="003B3977">
            <w:pPr>
              <w:tabs>
                <w:tab w:val="left" w:pos="-1440"/>
                <w:tab w:val="left" w:pos="-720"/>
              </w:tabs>
              <w:rPr>
                <w:sz w:val="20"/>
                <w:szCs w:val="20"/>
                <w:lang w:val="fr-CA"/>
              </w:rPr>
            </w:pPr>
            <w:r w:rsidRPr="00A935AA">
              <w:rPr>
                <w:sz w:val="20"/>
                <w:szCs w:val="20"/>
              </w:rPr>
              <w:tab/>
            </w:r>
            <w:r w:rsidRPr="00C5574B">
              <w:rPr>
                <w:sz w:val="20"/>
                <w:szCs w:val="20"/>
                <w:lang w:val="fr-CA"/>
              </w:rPr>
              <w:t>v. (3</w:t>
            </w:r>
            <w:r w:rsidR="00A86627" w:rsidRPr="00C5574B">
              <w:rPr>
                <w:sz w:val="20"/>
                <w:szCs w:val="20"/>
                <w:lang w:val="fr-CA"/>
              </w:rPr>
              <w:t>5</w:t>
            </w:r>
            <w:r w:rsidR="00C5574B" w:rsidRPr="00C5574B">
              <w:rPr>
                <w:sz w:val="20"/>
                <w:szCs w:val="20"/>
                <w:lang w:val="fr-CA"/>
              </w:rPr>
              <w:t>672</w:t>
            </w:r>
            <w:r w:rsidRPr="00C5574B">
              <w:rPr>
                <w:sz w:val="20"/>
                <w:szCs w:val="20"/>
                <w:lang w:val="fr-CA"/>
              </w:rPr>
              <w:t>)</w:t>
            </w:r>
          </w:p>
          <w:p w:rsidR="00242AEE" w:rsidRPr="00C5574B" w:rsidRDefault="00242AEE" w:rsidP="003B3977">
            <w:pPr>
              <w:tabs>
                <w:tab w:val="left" w:pos="-1440"/>
                <w:tab w:val="left" w:pos="-720"/>
              </w:tabs>
              <w:rPr>
                <w:sz w:val="20"/>
                <w:szCs w:val="20"/>
                <w:lang w:val="fr-CA"/>
              </w:rPr>
            </w:pPr>
          </w:p>
          <w:p w:rsidR="00242AEE" w:rsidRPr="00C5574B" w:rsidRDefault="00C5574B" w:rsidP="003B3977">
            <w:pPr>
              <w:tabs>
                <w:tab w:val="left" w:pos="-1440"/>
                <w:tab w:val="left" w:pos="-720"/>
              </w:tabs>
              <w:rPr>
                <w:b/>
                <w:sz w:val="20"/>
                <w:szCs w:val="20"/>
                <w:lang w:val="fr-CA"/>
              </w:rPr>
            </w:pPr>
            <w:r w:rsidRPr="00C5574B">
              <w:rPr>
                <w:b/>
                <w:sz w:val="20"/>
                <w:szCs w:val="20"/>
                <w:lang w:val="fr-CA"/>
              </w:rPr>
              <w:t>Ghada Hamdi Nafie</w:t>
            </w:r>
            <w:r w:rsidR="00242AEE" w:rsidRPr="00C5574B">
              <w:rPr>
                <w:b/>
                <w:sz w:val="20"/>
                <w:szCs w:val="20"/>
                <w:lang w:val="fr-CA"/>
              </w:rPr>
              <w:t xml:space="preserve"> (</w:t>
            </w:r>
            <w:r w:rsidRPr="00C5574B">
              <w:rPr>
                <w:b/>
                <w:sz w:val="20"/>
                <w:szCs w:val="20"/>
                <w:lang w:val="fr-CA"/>
              </w:rPr>
              <w:t>Alta</w:t>
            </w:r>
            <w:r w:rsidR="00242AEE" w:rsidRPr="00C5574B">
              <w:rPr>
                <w:b/>
                <w:sz w:val="20"/>
                <w:szCs w:val="20"/>
                <w:lang w:val="fr-CA"/>
              </w:rPr>
              <w:t>.)</w:t>
            </w:r>
          </w:p>
          <w:p w:rsidR="00242AEE" w:rsidRPr="00C5574B" w:rsidRDefault="00242AEE" w:rsidP="003B3977">
            <w:pPr>
              <w:tabs>
                <w:tab w:val="left" w:pos="-1440"/>
                <w:tab w:val="left" w:pos="-720"/>
              </w:tabs>
              <w:rPr>
                <w:sz w:val="20"/>
                <w:szCs w:val="20"/>
              </w:rPr>
            </w:pPr>
            <w:r w:rsidRPr="00C5574B">
              <w:rPr>
                <w:sz w:val="20"/>
                <w:szCs w:val="20"/>
                <w:lang w:val="fr-CA"/>
              </w:rPr>
              <w:tab/>
            </w:r>
            <w:r w:rsidR="00C5574B" w:rsidRPr="00C5574B">
              <w:rPr>
                <w:sz w:val="20"/>
                <w:szCs w:val="20"/>
              </w:rPr>
              <w:t>Waldemar A. Igras</w:t>
            </w:r>
          </w:p>
          <w:p w:rsidR="00242AEE" w:rsidRPr="00C5574B" w:rsidRDefault="00242AEE" w:rsidP="003B3977">
            <w:pPr>
              <w:tabs>
                <w:tab w:val="left" w:pos="-1440"/>
                <w:tab w:val="left" w:pos="-720"/>
              </w:tabs>
              <w:rPr>
                <w:sz w:val="20"/>
                <w:szCs w:val="20"/>
              </w:rPr>
            </w:pPr>
            <w:r w:rsidRPr="00C5574B">
              <w:rPr>
                <w:sz w:val="20"/>
                <w:szCs w:val="20"/>
              </w:rPr>
              <w:tab/>
            </w:r>
            <w:r w:rsidR="00C5574B" w:rsidRPr="00C5574B">
              <w:rPr>
                <w:sz w:val="20"/>
                <w:szCs w:val="20"/>
              </w:rPr>
              <w:t>RCIM LLP Family Law Lawyers</w:t>
            </w:r>
          </w:p>
          <w:p w:rsidR="00242AEE" w:rsidRPr="00C5574B"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C5574B">
              <w:rPr>
                <w:sz w:val="20"/>
                <w:szCs w:val="20"/>
              </w:rPr>
              <w:t>05</w:t>
            </w:r>
            <w:r w:rsidRPr="00A935AA">
              <w:rPr>
                <w:sz w:val="20"/>
                <w:szCs w:val="20"/>
              </w:rPr>
              <w:t>.</w:t>
            </w:r>
            <w:r w:rsidR="00A86627">
              <w:rPr>
                <w:sz w:val="20"/>
                <w:szCs w:val="20"/>
              </w:rPr>
              <w:t>12</w:t>
            </w:r>
            <w:r w:rsidRPr="00A935AA">
              <w:rPr>
                <w:sz w:val="20"/>
                <w:szCs w:val="20"/>
              </w:rPr>
              <w:t>.201</w:t>
            </w:r>
            <w:r w:rsidR="00A86627">
              <w:rPr>
                <w:sz w:val="20"/>
                <w:szCs w:val="20"/>
              </w:rPr>
              <w:t>3</w:t>
            </w:r>
          </w:p>
          <w:p w:rsidR="00242AEE" w:rsidRPr="00A935AA" w:rsidRDefault="001B62D0"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C5574B" w:rsidP="003B3977">
            <w:pPr>
              <w:keepNext/>
              <w:keepLines/>
              <w:tabs>
                <w:tab w:val="left" w:pos="-1440"/>
                <w:tab w:val="left" w:pos="-720"/>
              </w:tabs>
              <w:rPr>
                <w:b/>
                <w:sz w:val="20"/>
                <w:szCs w:val="20"/>
              </w:rPr>
            </w:pPr>
            <w:r>
              <w:rPr>
                <w:b/>
                <w:sz w:val="20"/>
                <w:szCs w:val="20"/>
              </w:rPr>
              <w:t>Vlasta Stubicar</w:t>
            </w:r>
          </w:p>
          <w:p w:rsidR="00242AEE" w:rsidRPr="00A935AA" w:rsidRDefault="00242AEE" w:rsidP="003B3977">
            <w:pPr>
              <w:keepNext/>
              <w:keepLines/>
              <w:tabs>
                <w:tab w:val="left" w:pos="-1440"/>
                <w:tab w:val="left" w:pos="-720"/>
              </w:tabs>
              <w:rPr>
                <w:sz w:val="20"/>
                <w:szCs w:val="20"/>
              </w:rPr>
            </w:pPr>
            <w:r w:rsidRPr="00A935AA">
              <w:rPr>
                <w:sz w:val="20"/>
                <w:szCs w:val="20"/>
              </w:rPr>
              <w:tab/>
            </w:r>
            <w:r w:rsidR="00C5574B">
              <w:rPr>
                <w:sz w:val="20"/>
                <w:szCs w:val="20"/>
              </w:rPr>
              <w:t>Vlasta Stubicar</w:t>
            </w:r>
          </w:p>
          <w:p w:rsidR="00242AEE" w:rsidRPr="00A935AA" w:rsidRDefault="00242AEE" w:rsidP="003B3977">
            <w:pPr>
              <w:keepNext/>
              <w:keepLines/>
              <w:tabs>
                <w:tab w:val="left" w:pos="-1440"/>
                <w:tab w:val="left" w:pos="-720"/>
              </w:tabs>
              <w:rPr>
                <w:sz w:val="20"/>
                <w:szCs w:val="20"/>
              </w:rPr>
            </w:pPr>
          </w:p>
          <w:p w:rsidR="00242AEE" w:rsidRPr="00C5574B" w:rsidRDefault="00242AEE" w:rsidP="003B3977">
            <w:pPr>
              <w:keepNext/>
              <w:keepLines/>
              <w:tabs>
                <w:tab w:val="left" w:pos="-1440"/>
                <w:tab w:val="left" w:pos="-720"/>
              </w:tabs>
              <w:rPr>
                <w:sz w:val="20"/>
                <w:szCs w:val="20"/>
              </w:rPr>
            </w:pPr>
            <w:r w:rsidRPr="00A935AA">
              <w:rPr>
                <w:sz w:val="20"/>
                <w:szCs w:val="20"/>
              </w:rPr>
              <w:tab/>
            </w:r>
            <w:r w:rsidRPr="00C5574B">
              <w:rPr>
                <w:sz w:val="20"/>
                <w:szCs w:val="20"/>
              </w:rPr>
              <w:t>v. (3</w:t>
            </w:r>
            <w:r w:rsidR="00A86627" w:rsidRPr="00C5574B">
              <w:rPr>
                <w:sz w:val="20"/>
                <w:szCs w:val="20"/>
              </w:rPr>
              <w:t>5</w:t>
            </w:r>
            <w:r w:rsidR="00C5574B" w:rsidRPr="00C5574B">
              <w:rPr>
                <w:sz w:val="20"/>
                <w:szCs w:val="20"/>
              </w:rPr>
              <w:t>670</w:t>
            </w:r>
            <w:r w:rsidRPr="00C5574B">
              <w:rPr>
                <w:sz w:val="20"/>
                <w:szCs w:val="20"/>
              </w:rPr>
              <w:t>)</w:t>
            </w:r>
          </w:p>
          <w:p w:rsidR="00242AEE" w:rsidRPr="00C5574B" w:rsidRDefault="00242AEE" w:rsidP="003B3977">
            <w:pPr>
              <w:keepNext/>
              <w:keepLines/>
              <w:tabs>
                <w:tab w:val="left" w:pos="-1440"/>
                <w:tab w:val="left" w:pos="-720"/>
              </w:tabs>
              <w:rPr>
                <w:sz w:val="20"/>
                <w:szCs w:val="20"/>
              </w:rPr>
            </w:pPr>
          </w:p>
          <w:p w:rsidR="00242AEE" w:rsidRPr="00C5574B" w:rsidRDefault="00C5574B" w:rsidP="003B3977">
            <w:pPr>
              <w:keepNext/>
              <w:keepLines/>
              <w:tabs>
                <w:tab w:val="left" w:pos="-1440"/>
                <w:tab w:val="left" w:pos="-720"/>
              </w:tabs>
              <w:rPr>
                <w:b/>
                <w:sz w:val="20"/>
                <w:szCs w:val="20"/>
              </w:rPr>
            </w:pPr>
            <w:r w:rsidRPr="00C5574B">
              <w:rPr>
                <w:b/>
                <w:sz w:val="20"/>
                <w:szCs w:val="20"/>
              </w:rPr>
              <w:t>Her Majesty the Queen in Right of Canada</w:t>
            </w:r>
            <w:r w:rsidR="00242AEE" w:rsidRPr="00C5574B">
              <w:rPr>
                <w:b/>
                <w:sz w:val="20"/>
                <w:szCs w:val="20"/>
              </w:rPr>
              <w:t xml:space="preserve"> (</w:t>
            </w:r>
            <w:r w:rsidRPr="00C5574B">
              <w:rPr>
                <w:b/>
                <w:sz w:val="20"/>
                <w:szCs w:val="20"/>
              </w:rPr>
              <w:t>F.C</w:t>
            </w:r>
            <w:r w:rsidR="00242AEE" w:rsidRPr="00C5574B">
              <w:rPr>
                <w:b/>
                <w:sz w:val="20"/>
                <w:szCs w:val="20"/>
              </w:rPr>
              <w:t>.)</w:t>
            </w:r>
          </w:p>
          <w:p w:rsidR="00242AEE" w:rsidRPr="00C5574B" w:rsidRDefault="00242AEE" w:rsidP="003B3977">
            <w:pPr>
              <w:keepNext/>
              <w:keepLines/>
              <w:tabs>
                <w:tab w:val="left" w:pos="-1440"/>
                <w:tab w:val="left" w:pos="-720"/>
              </w:tabs>
              <w:rPr>
                <w:sz w:val="20"/>
                <w:szCs w:val="20"/>
              </w:rPr>
            </w:pPr>
            <w:r w:rsidRPr="00C5574B">
              <w:rPr>
                <w:sz w:val="20"/>
                <w:szCs w:val="20"/>
              </w:rPr>
              <w:tab/>
            </w:r>
            <w:r w:rsidR="00C5574B">
              <w:rPr>
                <w:sz w:val="20"/>
                <w:szCs w:val="20"/>
              </w:rPr>
              <w:t>William F. Pentney</w:t>
            </w:r>
          </w:p>
          <w:p w:rsidR="00242AEE" w:rsidRPr="00C5574B" w:rsidRDefault="00242AEE" w:rsidP="003B3977">
            <w:pPr>
              <w:keepNext/>
              <w:keepLines/>
              <w:tabs>
                <w:tab w:val="left" w:pos="-1440"/>
                <w:tab w:val="left" w:pos="-720"/>
              </w:tabs>
              <w:rPr>
                <w:sz w:val="20"/>
                <w:szCs w:val="20"/>
              </w:rPr>
            </w:pPr>
            <w:r w:rsidRPr="00C5574B">
              <w:rPr>
                <w:sz w:val="20"/>
                <w:szCs w:val="20"/>
              </w:rPr>
              <w:tab/>
            </w:r>
            <w:r w:rsidR="00C5574B">
              <w:rPr>
                <w:sz w:val="20"/>
                <w:szCs w:val="20"/>
              </w:rPr>
              <w:t>A.G. of Canada</w:t>
            </w:r>
          </w:p>
          <w:p w:rsidR="00242AEE" w:rsidRPr="00C5574B" w:rsidRDefault="00242AEE" w:rsidP="003B3977">
            <w:pPr>
              <w:keepNext/>
              <w:keepLines/>
              <w:tabs>
                <w:tab w:val="left" w:pos="-1440"/>
                <w:tab w:val="left" w:pos="-720"/>
              </w:tabs>
              <w:rPr>
                <w:sz w:val="20"/>
                <w:szCs w:val="20"/>
              </w:rPr>
            </w:pPr>
          </w:p>
          <w:p w:rsidR="00242AEE" w:rsidRPr="00A935AA" w:rsidRDefault="00242AEE" w:rsidP="00C5574B">
            <w:pPr>
              <w:rPr>
                <w:sz w:val="20"/>
                <w:szCs w:val="20"/>
              </w:rPr>
            </w:pPr>
            <w:r w:rsidRPr="00A935AA">
              <w:rPr>
                <w:sz w:val="20"/>
                <w:szCs w:val="20"/>
              </w:rPr>
              <w:t xml:space="preserve">FILING DATE: </w:t>
            </w:r>
            <w:r w:rsidR="00C5574B">
              <w:rPr>
                <w:sz w:val="20"/>
                <w:szCs w:val="20"/>
              </w:rPr>
              <w:t>09</w:t>
            </w:r>
            <w:r w:rsidRPr="00A935AA">
              <w:rPr>
                <w:sz w:val="20"/>
                <w:szCs w:val="20"/>
              </w:rPr>
              <w:t>.</w:t>
            </w:r>
            <w:r w:rsidR="00A86627">
              <w:rPr>
                <w:sz w:val="20"/>
                <w:szCs w:val="20"/>
              </w:rPr>
              <w:t>12</w:t>
            </w:r>
            <w:r w:rsidRPr="00A935AA">
              <w:rPr>
                <w:sz w:val="20"/>
                <w:szCs w:val="20"/>
              </w:rPr>
              <w:t>.201</w:t>
            </w:r>
            <w:r w:rsidR="00A86627">
              <w:rPr>
                <w:sz w:val="20"/>
                <w:szCs w:val="20"/>
              </w:rPr>
              <w:t>3</w:t>
            </w:r>
            <w:r w:rsidR="001B62D0">
              <w:rPr>
                <w:sz w:val="20"/>
                <w:szCs w:val="20"/>
                <w:lang w:val="fr-CA"/>
              </w:rPr>
              <w:pict>
                <v:rect id="_x0000_i1026" style="width:108pt;height:1pt" o:hrpct="0" o:hralign="center" o:hrstd="t" o:hrnoshade="t" o:hr="t" fillcolor="black [3213]" stroked="f"/>
              </w:pict>
            </w:r>
          </w:p>
        </w:tc>
      </w:tr>
      <w:tr w:rsidR="00A86627" w:rsidRPr="00A935AA" w:rsidTr="003B3977">
        <w:tc>
          <w:tcPr>
            <w:tcW w:w="4320" w:type="dxa"/>
            <w:shd w:val="clear" w:color="auto" w:fill="auto"/>
          </w:tcPr>
          <w:p w:rsidR="00A86627" w:rsidRPr="00A935AA" w:rsidRDefault="002B1930" w:rsidP="00A86627">
            <w:pPr>
              <w:rPr>
                <w:b/>
                <w:sz w:val="20"/>
                <w:szCs w:val="20"/>
              </w:rPr>
            </w:pPr>
            <w:r>
              <w:rPr>
                <w:b/>
                <w:sz w:val="20"/>
                <w:szCs w:val="20"/>
              </w:rPr>
              <w:t>Robert Glen Harrison</w:t>
            </w:r>
          </w:p>
          <w:p w:rsidR="00A86627" w:rsidRPr="00A935AA" w:rsidRDefault="00A86627" w:rsidP="00A86627">
            <w:pPr>
              <w:tabs>
                <w:tab w:val="left" w:pos="-1440"/>
                <w:tab w:val="left" w:pos="-720"/>
              </w:tabs>
              <w:rPr>
                <w:sz w:val="20"/>
                <w:szCs w:val="20"/>
              </w:rPr>
            </w:pPr>
            <w:r w:rsidRPr="00A935AA">
              <w:rPr>
                <w:sz w:val="20"/>
                <w:szCs w:val="20"/>
              </w:rPr>
              <w:tab/>
            </w:r>
            <w:r w:rsidR="002B1930">
              <w:rPr>
                <w:sz w:val="20"/>
                <w:szCs w:val="20"/>
              </w:rPr>
              <w:t>Robert Glen Harrison</w:t>
            </w:r>
          </w:p>
          <w:p w:rsidR="00A86627" w:rsidRPr="00A935AA" w:rsidRDefault="00A86627" w:rsidP="00A86627">
            <w:pPr>
              <w:tabs>
                <w:tab w:val="left" w:pos="-1440"/>
                <w:tab w:val="left" w:pos="-720"/>
              </w:tabs>
              <w:rPr>
                <w:sz w:val="20"/>
                <w:szCs w:val="20"/>
              </w:rPr>
            </w:pPr>
          </w:p>
          <w:p w:rsidR="00A86627" w:rsidRPr="00A935AA" w:rsidRDefault="00A86627" w:rsidP="00A86627">
            <w:pPr>
              <w:tabs>
                <w:tab w:val="left" w:pos="-1440"/>
                <w:tab w:val="left" w:pos="-720"/>
              </w:tabs>
              <w:rPr>
                <w:sz w:val="20"/>
                <w:szCs w:val="20"/>
              </w:rPr>
            </w:pPr>
            <w:r w:rsidRPr="00A935AA">
              <w:rPr>
                <w:sz w:val="20"/>
                <w:szCs w:val="20"/>
              </w:rPr>
              <w:tab/>
              <w:t>v. (3</w:t>
            </w:r>
            <w:r w:rsidR="00B63C36">
              <w:rPr>
                <w:sz w:val="20"/>
                <w:szCs w:val="20"/>
              </w:rPr>
              <w:t>3</w:t>
            </w:r>
            <w:r w:rsidR="002B1930">
              <w:rPr>
                <w:sz w:val="20"/>
                <w:szCs w:val="20"/>
              </w:rPr>
              <w:t>770</w:t>
            </w:r>
            <w:r w:rsidRPr="00A935AA">
              <w:rPr>
                <w:sz w:val="20"/>
                <w:szCs w:val="20"/>
              </w:rPr>
              <w:t>)</w:t>
            </w:r>
          </w:p>
          <w:p w:rsidR="00A86627" w:rsidRPr="00A935AA" w:rsidRDefault="00A86627" w:rsidP="00A86627">
            <w:pPr>
              <w:tabs>
                <w:tab w:val="left" w:pos="-1440"/>
                <w:tab w:val="left" w:pos="-720"/>
              </w:tabs>
              <w:rPr>
                <w:sz w:val="20"/>
                <w:szCs w:val="20"/>
              </w:rPr>
            </w:pPr>
          </w:p>
          <w:p w:rsidR="00A86627" w:rsidRPr="00A935AA" w:rsidRDefault="002B1930" w:rsidP="00A86627">
            <w:pPr>
              <w:tabs>
                <w:tab w:val="left" w:pos="-1440"/>
                <w:tab w:val="left" w:pos="-720"/>
              </w:tabs>
              <w:rPr>
                <w:b/>
                <w:sz w:val="20"/>
                <w:szCs w:val="20"/>
              </w:rPr>
            </w:pPr>
            <w:r>
              <w:rPr>
                <w:b/>
                <w:sz w:val="20"/>
                <w:szCs w:val="20"/>
              </w:rPr>
              <w:t>Her Majesty the Queen in Right of the Province of British Columbia et al.</w:t>
            </w:r>
            <w:r w:rsidR="00A86627" w:rsidRPr="00A935AA">
              <w:rPr>
                <w:b/>
                <w:sz w:val="20"/>
                <w:szCs w:val="20"/>
              </w:rPr>
              <w:t xml:space="preserve"> (B.C.)</w:t>
            </w:r>
          </w:p>
          <w:p w:rsidR="00A86627" w:rsidRPr="00A935AA" w:rsidRDefault="00A86627" w:rsidP="00A86627">
            <w:pPr>
              <w:tabs>
                <w:tab w:val="left" w:pos="-1440"/>
                <w:tab w:val="left" w:pos="-720"/>
              </w:tabs>
              <w:rPr>
                <w:sz w:val="20"/>
                <w:szCs w:val="20"/>
              </w:rPr>
            </w:pPr>
            <w:r w:rsidRPr="00A935AA">
              <w:rPr>
                <w:sz w:val="20"/>
                <w:szCs w:val="20"/>
              </w:rPr>
              <w:tab/>
            </w:r>
            <w:r w:rsidR="002B1930">
              <w:rPr>
                <w:sz w:val="20"/>
                <w:szCs w:val="20"/>
              </w:rPr>
              <w:t>Karen A. Horsman</w:t>
            </w:r>
          </w:p>
          <w:p w:rsidR="00A86627" w:rsidRPr="00A935AA" w:rsidRDefault="00A86627" w:rsidP="00A86627">
            <w:pPr>
              <w:tabs>
                <w:tab w:val="left" w:pos="-1440"/>
                <w:tab w:val="left" w:pos="-720"/>
              </w:tabs>
              <w:rPr>
                <w:sz w:val="20"/>
                <w:szCs w:val="20"/>
              </w:rPr>
            </w:pPr>
            <w:r w:rsidRPr="00A935AA">
              <w:rPr>
                <w:sz w:val="20"/>
                <w:szCs w:val="20"/>
              </w:rPr>
              <w:tab/>
            </w:r>
            <w:r w:rsidR="002B1930">
              <w:rPr>
                <w:sz w:val="20"/>
                <w:szCs w:val="20"/>
              </w:rPr>
              <w:t>A.G. of British Columbia</w:t>
            </w:r>
          </w:p>
          <w:p w:rsidR="00A86627" w:rsidRPr="00A935AA" w:rsidRDefault="00A86627" w:rsidP="00A86627">
            <w:pPr>
              <w:tabs>
                <w:tab w:val="left" w:pos="-1440"/>
                <w:tab w:val="left" w:pos="-720"/>
              </w:tabs>
              <w:rPr>
                <w:sz w:val="20"/>
                <w:szCs w:val="20"/>
              </w:rPr>
            </w:pPr>
          </w:p>
          <w:p w:rsidR="00A86627" w:rsidRPr="00A935AA" w:rsidRDefault="00A86627" w:rsidP="00A86627">
            <w:pPr>
              <w:rPr>
                <w:sz w:val="20"/>
                <w:szCs w:val="20"/>
              </w:rPr>
            </w:pPr>
            <w:r w:rsidRPr="00A935AA">
              <w:rPr>
                <w:sz w:val="20"/>
                <w:szCs w:val="20"/>
              </w:rPr>
              <w:t>FILING DATE: 27.</w:t>
            </w:r>
            <w:r>
              <w:rPr>
                <w:sz w:val="20"/>
                <w:szCs w:val="20"/>
              </w:rPr>
              <w:t>12</w:t>
            </w:r>
            <w:r w:rsidRPr="00A935AA">
              <w:rPr>
                <w:sz w:val="20"/>
                <w:szCs w:val="20"/>
              </w:rPr>
              <w:t>.201</w:t>
            </w:r>
            <w:r>
              <w:rPr>
                <w:sz w:val="20"/>
                <w:szCs w:val="20"/>
              </w:rPr>
              <w:t>3</w:t>
            </w:r>
          </w:p>
          <w:p w:rsidR="00A86627" w:rsidRPr="00A935AA" w:rsidRDefault="001B62D0" w:rsidP="00A8662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p w:rsidR="00A86627" w:rsidRPr="00A935AA" w:rsidRDefault="00A86627" w:rsidP="00242AEE">
            <w:pPr>
              <w:jc w:val="center"/>
              <w:rPr>
                <w:sz w:val="20"/>
                <w:szCs w:val="20"/>
              </w:rPr>
            </w:pPr>
          </w:p>
        </w:tc>
        <w:tc>
          <w:tcPr>
            <w:tcW w:w="4320" w:type="dxa"/>
            <w:shd w:val="clear" w:color="auto" w:fill="auto"/>
          </w:tcPr>
          <w:p w:rsidR="00A86627" w:rsidRDefault="00A86627" w:rsidP="00A86627">
            <w:pPr>
              <w:keepNext/>
              <w:keepLines/>
              <w:tabs>
                <w:tab w:val="left" w:pos="-1440"/>
                <w:tab w:val="left" w:pos="-720"/>
              </w:tabs>
              <w:rPr>
                <w:b/>
                <w:sz w:val="20"/>
                <w:szCs w:val="20"/>
              </w:rPr>
            </w:pPr>
          </w:p>
          <w:p w:rsidR="002B1930" w:rsidRPr="00A935AA" w:rsidRDefault="002B1930" w:rsidP="00A86627">
            <w:pPr>
              <w:keepNext/>
              <w:keepLines/>
              <w:tabs>
                <w:tab w:val="left" w:pos="-1440"/>
                <w:tab w:val="left" w:pos="-720"/>
              </w:tabs>
              <w:rPr>
                <w:b/>
                <w:sz w:val="20"/>
                <w:szCs w:val="20"/>
              </w:rPr>
            </w:pPr>
            <w:r>
              <w:rPr>
                <w:b/>
                <w:sz w:val="20"/>
                <w:szCs w:val="20"/>
              </w:rPr>
              <w:t>Nicola Puddicombe</w:t>
            </w:r>
          </w:p>
          <w:p w:rsidR="00A86627" w:rsidRPr="00A935AA" w:rsidRDefault="00A86627" w:rsidP="00A86627">
            <w:pPr>
              <w:keepNext/>
              <w:keepLines/>
              <w:tabs>
                <w:tab w:val="left" w:pos="-1440"/>
                <w:tab w:val="left" w:pos="-720"/>
              </w:tabs>
              <w:rPr>
                <w:sz w:val="20"/>
                <w:szCs w:val="20"/>
              </w:rPr>
            </w:pPr>
            <w:r w:rsidRPr="00A935AA">
              <w:rPr>
                <w:sz w:val="20"/>
                <w:szCs w:val="20"/>
              </w:rPr>
              <w:tab/>
            </w:r>
            <w:r w:rsidR="002B1930">
              <w:rPr>
                <w:sz w:val="20"/>
                <w:szCs w:val="20"/>
              </w:rPr>
              <w:t>David E. Harris</w:t>
            </w:r>
          </w:p>
          <w:p w:rsidR="00A86627" w:rsidRPr="00A935AA" w:rsidRDefault="00A86627" w:rsidP="00A86627">
            <w:pPr>
              <w:keepNext/>
              <w:keepLines/>
              <w:tabs>
                <w:tab w:val="left" w:pos="-1440"/>
                <w:tab w:val="left" w:pos="-720"/>
              </w:tabs>
              <w:rPr>
                <w:sz w:val="20"/>
                <w:szCs w:val="20"/>
              </w:rPr>
            </w:pPr>
          </w:p>
          <w:p w:rsidR="00A86627" w:rsidRPr="00C5574B" w:rsidRDefault="00A86627" w:rsidP="00A86627">
            <w:pPr>
              <w:keepNext/>
              <w:keepLines/>
              <w:tabs>
                <w:tab w:val="left" w:pos="-1440"/>
                <w:tab w:val="left" w:pos="-720"/>
              </w:tabs>
              <w:rPr>
                <w:sz w:val="20"/>
                <w:szCs w:val="20"/>
              </w:rPr>
            </w:pPr>
            <w:r w:rsidRPr="00A935AA">
              <w:rPr>
                <w:sz w:val="20"/>
                <w:szCs w:val="20"/>
              </w:rPr>
              <w:tab/>
            </w:r>
            <w:r w:rsidRPr="00C5574B">
              <w:rPr>
                <w:sz w:val="20"/>
                <w:szCs w:val="20"/>
              </w:rPr>
              <w:t>v. (35</w:t>
            </w:r>
            <w:r w:rsidR="002B1930">
              <w:rPr>
                <w:sz w:val="20"/>
                <w:szCs w:val="20"/>
              </w:rPr>
              <w:t>666</w:t>
            </w:r>
            <w:r w:rsidRPr="00C5574B">
              <w:rPr>
                <w:sz w:val="20"/>
                <w:szCs w:val="20"/>
              </w:rPr>
              <w:t>)</w:t>
            </w:r>
          </w:p>
          <w:p w:rsidR="00A86627" w:rsidRPr="00C5574B" w:rsidRDefault="00A86627" w:rsidP="00A86627">
            <w:pPr>
              <w:keepNext/>
              <w:keepLines/>
              <w:tabs>
                <w:tab w:val="left" w:pos="-1440"/>
                <w:tab w:val="left" w:pos="-720"/>
              </w:tabs>
              <w:rPr>
                <w:sz w:val="20"/>
                <w:szCs w:val="20"/>
              </w:rPr>
            </w:pPr>
          </w:p>
          <w:p w:rsidR="00A86627" w:rsidRPr="00C5574B" w:rsidRDefault="002B1930" w:rsidP="00A86627">
            <w:pPr>
              <w:keepNext/>
              <w:keepLines/>
              <w:tabs>
                <w:tab w:val="left" w:pos="-1440"/>
                <w:tab w:val="left" w:pos="-720"/>
              </w:tabs>
              <w:rPr>
                <w:b/>
                <w:sz w:val="20"/>
                <w:szCs w:val="20"/>
              </w:rPr>
            </w:pPr>
            <w:r>
              <w:rPr>
                <w:b/>
                <w:sz w:val="20"/>
                <w:szCs w:val="20"/>
              </w:rPr>
              <w:t xml:space="preserve">Her Majesty the Queen </w:t>
            </w:r>
            <w:r w:rsidR="00A86627" w:rsidRPr="00C5574B">
              <w:rPr>
                <w:b/>
                <w:sz w:val="20"/>
                <w:szCs w:val="20"/>
              </w:rPr>
              <w:t>(Ont.)</w:t>
            </w:r>
          </w:p>
          <w:p w:rsidR="00A86627" w:rsidRPr="00C5574B" w:rsidRDefault="00A86627" w:rsidP="00A86627">
            <w:pPr>
              <w:keepNext/>
              <w:keepLines/>
              <w:tabs>
                <w:tab w:val="left" w:pos="-1440"/>
                <w:tab w:val="left" w:pos="-720"/>
              </w:tabs>
              <w:rPr>
                <w:sz w:val="20"/>
                <w:szCs w:val="20"/>
              </w:rPr>
            </w:pPr>
            <w:r w:rsidRPr="00C5574B">
              <w:rPr>
                <w:sz w:val="20"/>
                <w:szCs w:val="20"/>
              </w:rPr>
              <w:tab/>
            </w:r>
            <w:r w:rsidR="002B1930">
              <w:rPr>
                <w:sz w:val="20"/>
                <w:szCs w:val="20"/>
              </w:rPr>
              <w:t>Elise Nakelsky</w:t>
            </w:r>
          </w:p>
          <w:p w:rsidR="00A86627" w:rsidRPr="00C5574B" w:rsidRDefault="00A86627" w:rsidP="00A86627">
            <w:pPr>
              <w:keepNext/>
              <w:keepLines/>
              <w:tabs>
                <w:tab w:val="left" w:pos="-1440"/>
                <w:tab w:val="left" w:pos="-720"/>
              </w:tabs>
              <w:rPr>
                <w:sz w:val="20"/>
                <w:szCs w:val="20"/>
              </w:rPr>
            </w:pPr>
            <w:r w:rsidRPr="00C5574B">
              <w:rPr>
                <w:sz w:val="20"/>
                <w:szCs w:val="20"/>
              </w:rPr>
              <w:tab/>
            </w:r>
            <w:r w:rsidR="002B1930">
              <w:rPr>
                <w:sz w:val="20"/>
                <w:szCs w:val="20"/>
              </w:rPr>
              <w:t>A.G. of Ontario</w:t>
            </w:r>
          </w:p>
          <w:p w:rsidR="00A86627" w:rsidRPr="00C5574B" w:rsidRDefault="00A86627" w:rsidP="00A86627">
            <w:pPr>
              <w:keepNext/>
              <w:keepLines/>
              <w:tabs>
                <w:tab w:val="left" w:pos="-1440"/>
                <w:tab w:val="left" w:pos="-720"/>
              </w:tabs>
              <w:rPr>
                <w:sz w:val="20"/>
                <w:szCs w:val="20"/>
              </w:rPr>
            </w:pPr>
          </w:p>
          <w:p w:rsidR="00A86627" w:rsidRPr="00A935AA" w:rsidRDefault="00A86627" w:rsidP="002B1930">
            <w:pPr>
              <w:rPr>
                <w:sz w:val="20"/>
                <w:szCs w:val="20"/>
              </w:rPr>
            </w:pPr>
            <w:r w:rsidRPr="00A935AA">
              <w:rPr>
                <w:sz w:val="20"/>
                <w:szCs w:val="20"/>
              </w:rPr>
              <w:t xml:space="preserve">FILING DATE: </w:t>
            </w:r>
            <w:r w:rsidR="002B1930">
              <w:rPr>
                <w:sz w:val="20"/>
                <w:szCs w:val="20"/>
              </w:rPr>
              <w:t>30</w:t>
            </w:r>
            <w:r w:rsidRPr="00A935AA">
              <w:rPr>
                <w:sz w:val="20"/>
                <w:szCs w:val="20"/>
              </w:rPr>
              <w:t>.</w:t>
            </w:r>
            <w:r>
              <w:rPr>
                <w:sz w:val="20"/>
                <w:szCs w:val="20"/>
              </w:rPr>
              <w:t>12</w:t>
            </w:r>
            <w:r w:rsidRPr="00A935AA">
              <w:rPr>
                <w:sz w:val="20"/>
                <w:szCs w:val="20"/>
              </w:rPr>
              <w:t>.201</w:t>
            </w:r>
            <w:r>
              <w:rPr>
                <w:sz w:val="20"/>
                <w:szCs w:val="20"/>
              </w:rPr>
              <w:t>3</w:t>
            </w:r>
            <w:r w:rsidR="001B62D0">
              <w:rPr>
                <w:sz w:val="20"/>
                <w:szCs w:val="20"/>
                <w:lang w:val="fr-CA"/>
              </w:rPr>
              <w:pict>
                <v:rect id="_x0000_i1028"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62790">
          <w:headerReference w:type="default" r:id="rId17"/>
          <w:footerReference w:type="default" r:id="rId18"/>
          <w:headerReference w:type="first" r:id="rId19"/>
          <w:footerReference w:type="first" r:id="rId20"/>
          <w:pgSz w:w="12240" w:h="15840"/>
          <w:pgMar w:top="720" w:right="965" w:bottom="1080" w:left="1656" w:header="706" w:footer="706" w:gutter="0"/>
          <w:pgNumType w:start="5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B62D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A86627" w:rsidP="004B7F60">
      <w:pPr>
        <w:widowControl w:val="0"/>
        <w:rPr>
          <w:b/>
          <w:sz w:val="20"/>
          <w:szCs w:val="20"/>
        </w:rPr>
      </w:pPr>
      <w:r>
        <w:rPr>
          <w:b/>
          <w:sz w:val="20"/>
          <w:szCs w:val="20"/>
        </w:rPr>
        <w:t>JANUARY 1</w:t>
      </w:r>
      <w:r w:rsidR="00DE349D">
        <w:rPr>
          <w:b/>
          <w:sz w:val="20"/>
          <w:szCs w:val="20"/>
        </w:rPr>
        <w:t>3</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1</w:t>
      </w:r>
      <w:r w:rsidR="00DE349D">
        <w:rPr>
          <w:b/>
          <w:sz w:val="20"/>
          <w:szCs w:val="20"/>
        </w:rPr>
        <w:t>3</w:t>
      </w:r>
      <w:r w:rsidR="004B7F60">
        <w:rPr>
          <w:b/>
          <w:sz w:val="20"/>
          <w:szCs w:val="20"/>
        </w:rPr>
        <w:t xml:space="preserve"> </w:t>
      </w:r>
      <w:r>
        <w:rPr>
          <w:b/>
          <w:sz w:val="20"/>
          <w:szCs w:val="20"/>
        </w:rPr>
        <w:t>JANVI</w:t>
      </w:r>
      <w:r w:rsidR="00DE349D">
        <w:rPr>
          <w:b/>
          <w:sz w:val="20"/>
          <w:szCs w:val="20"/>
        </w:rPr>
        <w:t>E</w:t>
      </w:r>
      <w:r w:rsidR="004B7F60">
        <w:rPr>
          <w:b/>
          <w:sz w:val="20"/>
          <w:szCs w:val="20"/>
        </w:rPr>
        <w:t>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F230CC" w:rsidP="004B7F60">
      <w:pPr>
        <w:pStyle w:val="ListParagraph"/>
        <w:widowControl w:val="0"/>
        <w:numPr>
          <w:ilvl w:val="0"/>
          <w:numId w:val="1"/>
        </w:numPr>
        <w:ind w:hanging="720"/>
        <w:jc w:val="both"/>
        <w:rPr>
          <w:sz w:val="20"/>
          <w:szCs w:val="20"/>
        </w:rPr>
      </w:pPr>
      <w:r w:rsidRPr="00F230CC">
        <w:rPr>
          <w:i/>
          <w:sz w:val="20"/>
          <w:szCs w:val="20"/>
        </w:rPr>
        <w:t>Paul Montgrand v. Her Majesty the Queen</w:t>
      </w:r>
      <w:r w:rsidRPr="00F230CC">
        <w:rPr>
          <w:sz w:val="20"/>
          <w:szCs w:val="20"/>
        </w:rPr>
        <w:t xml:space="preserve"> (Sask.) (Crim.) (By Leave)</w:t>
      </w:r>
      <w:r w:rsidRPr="00C50A5C">
        <w:rPr>
          <w:sz w:val="20"/>
          <w:szCs w:val="20"/>
        </w:rPr>
        <w:t xml:space="preserve"> </w:t>
      </w:r>
      <w:r w:rsidR="004B7F60" w:rsidRPr="00C50A5C">
        <w:rPr>
          <w:sz w:val="20"/>
          <w:szCs w:val="20"/>
        </w:rPr>
        <w:t>(3</w:t>
      </w:r>
      <w:r>
        <w:rPr>
          <w:sz w:val="20"/>
          <w:szCs w:val="20"/>
        </w:rPr>
        <w:t>5628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F230CC" w:rsidP="004B7F60">
      <w:pPr>
        <w:pStyle w:val="ListParagraph"/>
        <w:widowControl w:val="0"/>
        <w:numPr>
          <w:ilvl w:val="0"/>
          <w:numId w:val="1"/>
        </w:numPr>
        <w:ind w:hanging="720"/>
        <w:jc w:val="both"/>
        <w:rPr>
          <w:sz w:val="20"/>
          <w:szCs w:val="20"/>
        </w:rPr>
      </w:pPr>
      <w:r w:rsidRPr="00F230CC">
        <w:rPr>
          <w:i/>
          <w:sz w:val="20"/>
          <w:szCs w:val="20"/>
        </w:rPr>
        <w:t>0759594 B.C. Ltd. v. 568295 British Columbia Ltd. et al.</w:t>
      </w:r>
      <w:r w:rsidRPr="00F230CC">
        <w:rPr>
          <w:sz w:val="20"/>
          <w:szCs w:val="20"/>
        </w:rPr>
        <w:t xml:space="preserve"> (B.C.) (Civil) (By Leave)</w:t>
      </w:r>
      <w:r w:rsidRPr="00C612D0">
        <w:rPr>
          <w:sz w:val="20"/>
          <w:szCs w:val="20"/>
        </w:rPr>
        <w:t xml:space="preserve"> </w:t>
      </w:r>
      <w:r w:rsidR="004B7F60" w:rsidRPr="00C612D0">
        <w:rPr>
          <w:sz w:val="20"/>
          <w:szCs w:val="20"/>
        </w:rPr>
        <w:t>(3</w:t>
      </w:r>
      <w:r>
        <w:rPr>
          <w:sz w:val="20"/>
          <w:szCs w:val="20"/>
        </w:rPr>
        <w:t>559</w:t>
      </w:r>
      <w:r w:rsidR="004B7F60" w:rsidRPr="00C612D0">
        <w:rPr>
          <w:sz w:val="20"/>
          <w:szCs w:val="20"/>
        </w:rPr>
        <w:t>4)</w:t>
      </w:r>
    </w:p>
    <w:p w:rsidR="004B7F60" w:rsidRPr="00C612D0" w:rsidRDefault="004B7F60" w:rsidP="004B7F60">
      <w:pPr>
        <w:widowControl w:val="0"/>
        <w:jc w:val="both"/>
        <w:rPr>
          <w:sz w:val="20"/>
          <w:szCs w:val="20"/>
        </w:rPr>
      </w:pPr>
    </w:p>
    <w:p w:rsidR="004B7F60" w:rsidRPr="00C50A5C" w:rsidRDefault="00F230CC" w:rsidP="004B7F60">
      <w:pPr>
        <w:pStyle w:val="ListParagraph"/>
        <w:widowControl w:val="0"/>
        <w:numPr>
          <w:ilvl w:val="0"/>
          <w:numId w:val="1"/>
        </w:numPr>
        <w:ind w:hanging="720"/>
        <w:jc w:val="both"/>
        <w:rPr>
          <w:sz w:val="20"/>
          <w:szCs w:val="20"/>
        </w:rPr>
      </w:pPr>
      <w:r w:rsidRPr="00F230CC">
        <w:rPr>
          <w:i/>
          <w:sz w:val="20"/>
          <w:szCs w:val="20"/>
        </w:rPr>
        <w:t>Areva Resources Canada Inc. v. Saskatchewan Ministry of Energy and Resources</w:t>
      </w:r>
      <w:r w:rsidRPr="00F230CC">
        <w:rPr>
          <w:sz w:val="20"/>
          <w:szCs w:val="20"/>
        </w:rPr>
        <w:t xml:space="preserve"> (Sask.) (Civil) (By Leave)</w:t>
      </w:r>
      <w:r w:rsidRPr="00940CAD">
        <w:rPr>
          <w:sz w:val="20"/>
          <w:szCs w:val="20"/>
        </w:rPr>
        <w:t xml:space="preserve"> </w:t>
      </w:r>
      <w:r w:rsidR="004B7F60" w:rsidRPr="00940CAD">
        <w:rPr>
          <w:sz w:val="20"/>
          <w:szCs w:val="20"/>
        </w:rPr>
        <w:t>(3</w:t>
      </w:r>
      <w:r>
        <w:rPr>
          <w:sz w:val="20"/>
          <w:szCs w:val="20"/>
        </w:rPr>
        <w:t>555</w:t>
      </w:r>
      <w:r w:rsidR="004B7F60" w:rsidRPr="00940CAD">
        <w:rPr>
          <w:sz w:val="20"/>
          <w:szCs w:val="20"/>
        </w:rPr>
        <w:t>4)</w:t>
      </w:r>
    </w:p>
    <w:p w:rsidR="004B7F60" w:rsidRPr="00C50A5C" w:rsidRDefault="004B7F60" w:rsidP="004B7F60">
      <w:pPr>
        <w:widowControl w:val="0"/>
        <w:rPr>
          <w:sz w:val="20"/>
          <w:szCs w:val="20"/>
        </w:rPr>
      </w:pPr>
    </w:p>
    <w:p w:rsidR="004B7F60" w:rsidRPr="00C50A5C" w:rsidRDefault="00F230CC" w:rsidP="004B7F60">
      <w:pPr>
        <w:pStyle w:val="ListParagraph"/>
        <w:widowControl w:val="0"/>
        <w:numPr>
          <w:ilvl w:val="0"/>
          <w:numId w:val="1"/>
        </w:numPr>
        <w:ind w:hanging="720"/>
        <w:jc w:val="both"/>
        <w:rPr>
          <w:sz w:val="20"/>
          <w:szCs w:val="20"/>
        </w:rPr>
      </w:pPr>
      <w:r w:rsidRPr="00F230CC">
        <w:rPr>
          <w:i/>
          <w:sz w:val="20"/>
          <w:szCs w:val="20"/>
        </w:rPr>
        <w:t>Galaxie Signs Ltd. v. John Graham</w:t>
      </w:r>
      <w:r w:rsidRPr="00F230CC">
        <w:rPr>
          <w:sz w:val="20"/>
          <w:szCs w:val="20"/>
        </w:rPr>
        <w:t xml:space="preserve"> (B.C.) (Civil) (By Leave)</w:t>
      </w:r>
      <w:r w:rsidRPr="00C50A5C">
        <w:rPr>
          <w:sz w:val="20"/>
          <w:szCs w:val="20"/>
        </w:rPr>
        <w:t xml:space="preserve"> </w:t>
      </w:r>
      <w:r w:rsidR="004B7F60" w:rsidRPr="00C50A5C">
        <w:rPr>
          <w:sz w:val="20"/>
          <w:szCs w:val="20"/>
        </w:rPr>
        <w:t>(3</w:t>
      </w:r>
      <w:r>
        <w:rPr>
          <w:sz w:val="20"/>
          <w:szCs w:val="20"/>
        </w:rPr>
        <w:t>5509</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F230CC" w:rsidP="004B7F60">
      <w:pPr>
        <w:pStyle w:val="ListParagraph"/>
        <w:widowControl w:val="0"/>
        <w:numPr>
          <w:ilvl w:val="0"/>
          <w:numId w:val="1"/>
        </w:numPr>
        <w:ind w:hanging="720"/>
        <w:jc w:val="both"/>
        <w:rPr>
          <w:sz w:val="20"/>
          <w:szCs w:val="20"/>
          <w:lang w:val="fr-CA"/>
        </w:rPr>
      </w:pPr>
      <w:r w:rsidRPr="00F230CC">
        <w:rPr>
          <w:i/>
          <w:sz w:val="20"/>
          <w:szCs w:val="20"/>
        </w:rPr>
        <w:t>Norman Gerard Belong v. Her Majesty the Queen in Right of the Attorney General of Canada et al.</w:t>
      </w:r>
      <w:r w:rsidRPr="00F230CC">
        <w:rPr>
          <w:sz w:val="20"/>
          <w:szCs w:val="20"/>
        </w:rPr>
        <w:t xml:space="preserve"> (N.B.) (Civil) (By Leave)</w:t>
      </w:r>
      <w:r w:rsidRPr="00C612D0">
        <w:rPr>
          <w:sz w:val="20"/>
          <w:szCs w:val="20"/>
          <w:lang w:val="fr-CA"/>
        </w:rPr>
        <w:t xml:space="preserve"> </w:t>
      </w:r>
      <w:r w:rsidR="004B7F60" w:rsidRPr="00C612D0">
        <w:rPr>
          <w:sz w:val="20"/>
          <w:szCs w:val="20"/>
          <w:lang w:val="fr-CA"/>
        </w:rPr>
        <w:t>(3</w:t>
      </w:r>
      <w:r>
        <w:rPr>
          <w:sz w:val="20"/>
          <w:szCs w:val="20"/>
          <w:lang w:val="fr-CA"/>
        </w:rPr>
        <w:t>5528</w:t>
      </w:r>
      <w:r w:rsidR="004B7F60" w:rsidRPr="00C612D0">
        <w:rPr>
          <w:sz w:val="20"/>
          <w:szCs w:val="20"/>
          <w:lang w:val="fr-CA"/>
        </w:rPr>
        <w:t>)</w:t>
      </w:r>
    </w:p>
    <w:p w:rsidR="004B7F60" w:rsidRPr="00C612D0" w:rsidRDefault="004B7F60" w:rsidP="004B7F60">
      <w:pPr>
        <w:widowControl w:val="0"/>
        <w:rPr>
          <w:sz w:val="20"/>
          <w:szCs w:val="20"/>
          <w:lang w:val="fr-CA"/>
        </w:rPr>
      </w:pPr>
    </w:p>
    <w:p w:rsidR="004B7F60" w:rsidRPr="00F230CC" w:rsidRDefault="00F230CC" w:rsidP="004B7F60">
      <w:pPr>
        <w:pStyle w:val="ListParagraph"/>
        <w:widowControl w:val="0"/>
        <w:numPr>
          <w:ilvl w:val="0"/>
          <w:numId w:val="1"/>
        </w:numPr>
        <w:ind w:hanging="720"/>
        <w:jc w:val="both"/>
        <w:rPr>
          <w:sz w:val="20"/>
          <w:szCs w:val="20"/>
        </w:rPr>
      </w:pPr>
      <w:r w:rsidRPr="00F230CC">
        <w:rPr>
          <w:i/>
          <w:sz w:val="20"/>
          <w:szCs w:val="20"/>
        </w:rPr>
        <w:t>IMS Health Canada Inc. c. Th!nk Business Insights Ltd. et autre</w:t>
      </w:r>
      <w:r w:rsidRPr="00F230CC">
        <w:rPr>
          <w:sz w:val="20"/>
          <w:szCs w:val="20"/>
        </w:rPr>
        <w:t xml:space="preserve"> (Qc) (Civile) (Autorisation) </w:t>
      </w:r>
      <w:r w:rsidR="004B7F60" w:rsidRPr="00F230CC">
        <w:rPr>
          <w:sz w:val="20"/>
          <w:szCs w:val="20"/>
        </w:rPr>
        <w:t>(35</w:t>
      </w:r>
      <w:r w:rsidRPr="00F230CC">
        <w:rPr>
          <w:sz w:val="20"/>
          <w:szCs w:val="20"/>
        </w:rPr>
        <w:t>544</w:t>
      </w:r>
      <w:r w:rsidR="004B7F60" w:rsidRPr="00F230CC">
        <w:rPr>
          <w:sz w:val="20"/>
          <w:szCs w:val="20"/>
        </w:rPr>
        <w:t>)</w:t>
      </w:r>
    </w:p>
    <w:p w:rsidR="004B7F60" w:rsidRPr="00F230CC" w:rsidRDefault="004B7F60" w:rsidP="004B7F60">
      <w:pPr>
        <w:widowControl w:val="0"/>
        <w:jc w:val="both"/>
        <w:rPr>
          <w:sz w:val="20"/>
          <w:szCs w:val="20"/>
        </w:rPr>
      </w:pPr>
    </w:p>
    <w:p w:rsidR="004B7F60" w:rsidRPr="00115C9E" w:rsidRDefault="00F230CC" w:rsidP="004B7F60">
      <w:pPr>
        <w:pStyle w:val="ListParagraph"/>
        <w:widowControl w:val="0"/>
        <w:numPr>
          <w:ilvl w:val="0"/>
          <w:numId w:val="1"/>
        </w:numPr>
        <w:ind w:hanging="720"/>
        <w:jc w:val="both"/>
        <w:rPr>
          <w:sz w:val="20"/>
          <w:szCs w:val="20"/>
          <w:lang w:val="fr-CA"/>
        </w:rPr>
      </w:pPr>
      <w:r w:rsidRPr="00F230CC">
        <w:rPr>
          <w:i/>
          <w:sz w:val="20"/>
          <w:szCs w:val="20"/>
          <w:lang w:val="fr-CA"/>
        </w:rPr>
        <w:t>Florian Costache c. Société de l'assurance automobile du Québec et autre</w:t>
      </w:r>
      <w:r w:rsidRPr="00F230CC">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578</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F230CC" w:rsidP="004B7F60">
      <w:pPr>
        <w:pStyle w:val="ListParagraph"/>
        <w:widowControl w:val="0"/>
        <w:numPr>
          <w:ilvl w:val="0"/>
          <w:numId w:val="1"/>
        </w:numPr>
        <w:ind w:hanging="720"/>
        <w:jc w:val="both"/>
        <w:rPr>
          <w:sz w:val="20"/>
          <w:szCs w:val="20"/>
          <w:lang w:val="fr-CA"/>
        </w:rPr>
      </w:pPr>
      <w:r w:rsidRPr="00F230CC">
        <w:rPr>
          <w:i/>
          <w:sz w:val="20"/>
          <w:szCs w:val="20"/>
          <w:lang w:val="fr-CA"/>
        </w:rPr>
        <w:t>Lafarge Canada inc. c. SNC Lavalin environnement inc.</w:t>
      </w:r>
      <w:r w:rsidRPr="00F230CC">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Pr>
          <w:sz w:val="20"/>
          <w:szCs w:val="20"/>
          <w:lang w:val="fr-CA"/>
        </w:rPr>
        <w:t>553</w:t>
      </w:r>
      <w:r w:rsidR="004B7F60">
        <w:rPr>
          <w:sz w:val="20"/>
          <w:szCs w:val="20"/>
          <w:lang w:val="fr-CA"/>
        </w:rPr>
        <w:t>4</w:t>
      </w:r>
      <w:r w:rsidR="004B7F60" w:rsidRPr="00C50A5C">
        <w:rPr>
          <w:sz w:val="20"/>
          <w:szCs w:val="20"/>
          <w:lang w:val="fr-CA"/>
        </w:rPr>
        <w:t>)</w:t>
      </w:r>
    </w:p>
    <w:p w:rsidR="004B7F60" w:rsidRDefault="004B7F60" w:rsidP="004B7F60">
      <w:pPr>
        <w:widowControl w:val="0"/>
        <w:rPr>
          <w:sz w:val="20"/>
          <w:szCs w:val="20"/>
          <w:lang w:val="fr-CA"/>
        </w:rPr>
      </w:pPr>
    </w:p>
    <w:p w:rsidR="004B7F60" w:rsidRDefault="004B7F60" w:rsidP="004B7F60">
      <w:pPr>
        <w:widowControl w:val="0"/>
        <w:rPr>
          <w:sz w:val="20"/>
          <w:szCs w:val="20"/>
          <w:lang w:val="fr-CA"/>
        </w:rPr>
      </w:pPr>
    </w:p>
    <w:p w:rsidR="004B7F60" w:rsidRPr="00C50A5C" w:rsidRDefault="004B7F60" w:rsidP="004B7F60">
      <w:pPr>
        <w:widowControl w:val="0"/>
        <w:jc w:val="center"/>
        <w:rPr>
          <w:b/>
          <w:sz w:val="20"/>
          <w:szCs w:val="20"/>
        </w:rPr>
      </w:pPr>
      <w:r w:rsidRPr="00C50A5C">
        <w:rPr>
          <w:b/>
          <w:sz w:val="20"/>
          <w:szCs w:val="20"/>
        </w:rPr>
        <w:t xml:space="preserve">CORAM: </w:t>
      </w:r>
      <w:r w:rsidR="00DE349D">
        <w:rPr>
          <w:b/>
          <w:sz w:val="20"/>
          <w:szCs w:val="20"/>
        </w:rPr>
        <w:t>Abella</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DE349D">
        <w:rPr>
          <w:b/>
          <w:sz w:val="20"/>
          <w:szCs w:val="20"/>
          <w:lang w:val="fr-CA"/>
        </w:rPr>
        <w:t>Abella</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F230CC" w:rsidRDefault="00F230CC" w:rsidP="004B7F60">
      <w:pPr>
        <w:pStyle w:val="ListParagraph"/>
        <w:widowControl w:val="0"/>
        <w:numPr>
          <w:ilvl w:val="0"/>
          <w:numId w:val="1"/>
        </w:numPr>
        <w:ind w:hanging="720"/>
        <w:jc w:val="both"/>
        <w:rPr>
          <w:sz w:val="20"/>
          <w:szCs w:val="20"/>
        </w:rPr>
      </w:pPr>
      <w:r w:rsidRPr="00F230CC">
        <w:rPr>
          <w:i/>
          <w:sz w:val="20"/>
          <w:szCs w:val="20"/>
        </w:rPr>
        <w:t>Frank Albert De Winter v. Kathy Mary-Ann De Winter</w:t>
      </w:r>
      <w:r w:rsidRPr="00F230CC">
        <w:rPr>
          <w:sz w:val="20"/>
          <w:szCs w:val="20"/>
        </w:rPr>
        <w:t xml:space="preserve"> (Alta.) (Civil) (By Leave) </w:t>
      </w:r>
      <w:r w:rsidR="004B7F60" w:rsidRPr="00F230CC">
        <w:rPr>
          <w:sz w:val="20"/>
          <w:szCs w:val="20"/>
        </w:rPr>
        <w:t>(3</w:t>
      </w:r>
      <w:r w:rsidRPr="00F230CC">
        <w:rPr>
          <w:sz w:val="20"/>
          <w:szCs w:val="20"/>
        </w:rPr>
        <w:t>5618</w:t>
      </w:r>
      <w:r w:rsidR="004B7F60" w:rsidRPr="00F230CC">
        <w:rPr>
          <w:sz w:val="20"/>
          <w:szCs w:val="20"/>
        </w:rPr>
        <w:t>)</w:t>
      </w:r>
    </w:p>
    <w:p w:rsidR="004B7F60" w:rsidRPr="00F230CC" w:rsidRDefault="004B7F60" w:rsidP="004B7F60">
      <w:pPr>
        <w:widowControl w:val="0"/>
        <w:jc w:val="both"/>
        <w:rPr>
          <w:sz w:val="20"/>
          <w:szCs w:val="20"/>
        </w:rPr>
      </w:pPr>
    </w:p>
    <w:p w:rsidR="004B7F60" w:rsidRPr="00115C9E" w:rsidRDefault="00F230CC" w:rsidP="004B7F60">
      <w:pPr>
        <w:pStyle w:val="ListParagraph"/>
        <w:widowControl w:val="0"/>
        <w:numPr>
          <w:ilvl w:val="0"/>
          <w:numId w:val="1"/>
        </w:numPr>
        <w:ind w:hanging="720"/>
        <w:jc w:val="both"/>
        <w:rPr>
          <w:sz w:val="20"/>
          <w:szCs w:val="20"/>
        </w:rPr>
      </w:pPr>
      <w:r w:rsidRPr="00F230CC">
        <w:rPr>
          <w:i/>
          <w:sz w:val="20"/>
          <w:szCs w:val="20"/>
        </w:rPr>
        <w:t xml:space="preserve">Vrege Sami Armoyan v. Lisa Armoyan </w:t>
      </w:r>
      <w:r w:rsidRPr="00F230CC">
        <w:rPr>
          <w:sz w:val="20"/>
          <w:szCs w:val="20"/>
        </w:rPr>
        <w:t>(N.S.) (Civil) (By Leave)</w:t>
      </w:r>
      <w:r w:rsidRPr="00115C9E">
        <w:rPr>
          <w:sz w:val="20"/>
          <w:szCs w:val="20"/>
        </w:rPr>
        <w:t xml:space="preserve"> </w:t>
      </w:r>
      <w:r w:rsidR="004B7F60" w:rsidRPr="00115C9E">
        <w:rPr>
          <w:sz w:val="20"/>
          <w:szCs w:val="20"/>
        </w:rPr>
        <w:t>(3</w:t>
      </w:r>
      <w:r>
        <w:rPr>
          <w:sz w:val="20"/>
          <w:szCs w:val="20"/>
        </w:rPr>
        <w:t>5611</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F230CC" w:rsidP="004B7F60">
      <w:pPr>
        <w:pStyle w:val="ListParagraph"/>
        <w:widowControl w:val="0"/>
        <w:numPr>
          <w:ilvl w:val="0"/>
          <w:numId w:val="1"/>
        </w:numPr>
        <w:ind w:hanging="720"/>
        <w:jc w:val="both"/>
        <w:rPr>
          <w:sz w:val="20"/>
          <w:szCs w:val="20"/>
        </w:rPr>
      </w:pPr>
      <w:r w:rsidRPr="001704E9">
        <w:rPr>
          <w:i/>
          <w:sz w:val="20"/>
          <w:szCs w:val="20"/>
        </w:rPr>
        <w:t xml:space="preserve">Danny Moss </w:t>
      </w:r>
      <w:r w:rsidR="001704E9" w:rsidRPr="001704E9">
        <w:rPr>
          <w:i/>
          <w:sz w:val="20"/>
          <w:szCs w:val="20"/>
        </w:rPr>
        <w:t>v. BMO Nesbitt Burns Inc.</w:t>
      </w:r>
      <w:r w:rsidR="001704E9" w:rsidRPr="00F230CC">
        <w:rPr>
          <w:sz w:val="20"/>
          <w:szCs w:val="20"/>
        </w:rPr>
        <w:t xml:space="preserve"> </w:t>
      </w:r>
      <w:r w:rsidRPr="00F230CC">
        <w:rPr>
          <w:sz w:val="20"/>
          <w:szCs w:val="20"/>
        </w:rPr>
        <w:t>(Man.) (Civil) (By Leave)</w:t>
      </w:r>
      <w:r w:rsidRPr="00115C9E">
        <w:rPr>
          <w:sz w:val="20"/>
          <w:szCs w:val="20"/>
        </w:rPr>
        <w:t xml:space="preserve"> </w:t>
      </w:r>
      <w:r w:rsidR="004B7F60" w:rsidRPr="00115C9E">
        <w:rPr>
          <w:sz w:val="20"/>
          <w:szCs w:val="20"/>
        </w:rPr>
        <w:t>(3</w:t>
      </w:r>
      <w:r>
        <w:rPr>
          <w:sz w:val="20"/>
          <w:szCs w:val="20"/>
        </w:rPr>
        <w:t>561</w:t>
      </w:r>
      <w:r w:rsidR="004B7F60" w:rsidRPr="00115C9E">
        <w:rPr>
          <w:sz w:val="20"/>
          <w:szCs w:val="20"/>
        </w:rPr>
        <w:t>4)</w:t>
      </w:r>
    </w:p>
    <w:p w:rsidR="002E2327" w:rsidRPr="001704E9" w:rsidRDefault="002E2327" w:rsidP="002E2327">
      <w:pPr>
        <w:widowControl w:val="0"/>
        <w:rPr>
          <w:sz w:val="20"/>
          <w:szCs w:val="20"/>
        </w:rPr>
      </w:pPr>
    </w:p>
    <w:p w:rsidR="002E2327" w:rsidRDefault="001B62D0"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F230CC" w:rsidRPr="00F230CC" w:rsidRDefault="00F230CC" w:rsidP="00F230CC">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1B62D0"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370E33"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w:t>
      </w:r>
      <w:r>
        <w:rPr>
          <w:b/>
          <w:sz w:val="20"/>
          <w:szCs w:val="20"/>
        </w:rPr>
        <w:t>16</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16</w:t>
      </w:r>
      <w:r w:rsidR="000E2959" w:rsidRPr="00C50A5C">
        <w:rPr>
          <w:b/>
          <w:sz w:val="20"/>
          <w:szCs w:val="20"/>
        </w:rPr>
        <w:t xml:space="preserve"> </w:t>
      </w:r>
      <w:r>
        <w:rPr>
          <w:b/>
          <w:sz w:val="20"/>
          <w:szCs w:val="20"/>
        </w:rPr>
        <w:t>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7DC3" w:rsidRPr="00421D33" w:rsidTr="00FF5D8C">
        <w:trPr>
          <w:cantSplit/>
        </w:trPr>
        <w:tc>
          <w:tcPr>
            <w:tcW w:w="1458" w:type="dxa"/>
          </w:tcPr>
          <w:p w:rsidR="00D77DC3" w:rsidRPr="00421D33" w:rsidRDefault="00D77DC3" w:rsidP="00FF5D8C">
            <w:pPr>
              <w:rPr>
                <w:sz w:val="20"/>
                <w:szCs w:val="20"/>
              </w:rPr>
            </w:pPr>
            <w:r w:rsidRPr="00421D33">
              <w:rPr>
                <w:rStyle w:val="SCCFileNumberChar"/>
                <w:sz w:val="20"/>
                <w:szCs w:val="20"/>
              </w:rPr>
              <w:t>35421</w:t>
            </w:r>
          </w:p>
          <w:p w:rsidR="00D77DC3" w:rsidRPr="00421D33" w:rsidRDefault="00D77DC3" w:rsidP="00FF5D8C">
            <w:pPr>
              <w:rPr>
                <w:b/>
                <w:sz w:val="20"/>
                <w:szCs w:val="20"/>
                <w:lang w:val="fr-CA"/>
              </w:rPr>
            </w:pPr>
          </w:p>
        </w:tc>
        <w:tc>
          <w:tcPr>
            <w:tcW w:w="8118" w:type="dxa"/>
          </w:tcPr>
          <w:p w:rsidR="00D77DC3" w:rsidRPr="00421D33" w:rsidRDefault="00D77DC3" w:rsidP="00FF5D8C">
            <w:pPr>
              <w:jc w:val="both"/>
              <w:rPr>
                <w:sz w:val="20"/>
                <w:szCs w:val="20"/>
              </w:rPr>
            </w:pPr>
            <w:r w:rsidRPr="00421D33">
              <w:rPr>
                <w:rStyle w:val="SCCLsocChar"/>
                <w:sz w:val="20"/>
                <w:szCs w:val="20"/>
                <w:lang w:val="en-CA"/>
              </w:rPr>
              <w:t>751809 Ontario Inc. operating as Famous Flesh Gordon's v. Registrar, Alcohol and Gaming Commission of Ontario</w:t>
            </w:r>
            <w:r w:rsidRPr="00421D33">
              <w:rPr>
                <w:sz w:val="20"/>
                <w:szCs w:val="20"/>
              </w:rPr>
              <w:t xml:space="preserve"> (Ont.) (Civil) (By Leave)</w:t>
            </w:r>
          </w:p>
          <w:p w:rsidR="00D77DC3" w:rsidRPr="00421D33" w:rsidRDefault="00D77DC3" w:rsidP="00FF5D8C">
            <w:pPr>
              <w:jc w:val="both"/>
              <w:rPr>
                <w:sz w:val="20"/>
                <w:szCs w:val="20"/>
              </w:rPr>
            </w:pPr>
          </w:p>
        </w:tc>
      </w:tr>
      <w:tr w:rsidR="00D77DC3" w:rsidRPr="00421D33" w:rsidTr="00FF5D8C">
        <w:trPr>
          <w:cantSplit/>
        </w:trPr>
        <w:tc>
          <w:tcPr>
            <w:tcW w:w="1458" w:type="dxa"/>
          </w:tcPr>
          <w:p w:rsidR="00D77DC3" w:rsidRPr="00421D33" w:rsidRDefault="00D77DC3" w:rsidP="00FF5D8C">
            <w:pPr>
              <w:rPr>
                <w:sz w:val="20"/>
                <w:szCs w:val="20"/>
              </w:rPr>
            </w:pPr>
            <w:r w:rsidRPr="00421D33">
              <w:rPr>
                <w:sz w:val="20"/>
                <w:szCs w:val="20"/>
              </w:rPr>
              <w:t>Coram :</w:t>
            </w:r>
          </w:p>
        </w:tc>
        <w:tc>
          <w:tcPr>
            <w:tcW w:w="8118" w:type="dxa"/>
          </w:tcPr>
          <w:p w:rsidR="00D77DC3" w:rsidRPr="00421D33" w:rsidRDefault="00D77DC3" w:rsidP="00FF5D8C">
            <w:pPr>
              <w:rPr>
                <w:sz w:val="20"/>
                <w:szCs w:val="20"/>
              </w:rPr>
            </w:pPr>
            <w:r w:rsidRPr="00421D33">
              <w:rPr>
                <w:rStyle w:val="SCCCoramChar"/>
                <w:sz w:val="20"/>
                <w:szCs w:val="20"/>
                <w:lang w:val="en-CA"/>
              </w:rPr>
              <w:t>Abella, Rothstein and Moldaver JJ.</w:t>
            </w:r>
          </w:p>
          <w:p w:rsidR="00D77DC3" w:rsidRPr="00421D33" w:rsidRDefault="00D77DC3" w:rsidP="00FF5D8C">
            <w:pPr>
              <w:rPr>
                <w:sz w:val="20"/>
                <w:szCs w:val="20"/>
                <w:u w:val="single"/>
              </w:rPr>
            </w:pPr>
          </w:p>
        </w:tc>
      </w:tr>
      <w:tr w:rsidR="00D77DC3" w:rsidRPr="001B62D0" w:rsidTr="00FF5D8C">
        <w:trPr>
          <w:cantSplit/>
        </w:trPr>
        <w:tc>
          <w:tcPr>
            <w:tcW w:w="9576" w:type="dxa"/>
            <w:gridSpan w:val="2"/>
          </w:tcPr>
          <w:p w:rsidR="00D77DC3" w:rsidRPr="00421D33" w:rsidRDefault="00D77DC3" w:rsidP="00FF5D8C">
            <w:pPr>
              <w:pStyle w:val="SCCShortJudgment"/>
              <w:rPr>
                <w:szCs w:val="20"/>
              </w:rPr>
            </w:pPr>
            <w:r w:rsidRPr="00421D33">
              <w:rPr>
                <w:szCs w:val="20"/>
              </w:rPr>
              <w:t>The motion for an extension of time to serve and file the application for leave to appeal is granted.  The motion for an extension of time to serve and file the respondent’s response is granted.  The application for leave to appeal from the judgment of the Court of Appeal for Ontario, Number C55984, 2013 ONCA 157, dated March 18, 2013, is dismissed with costs.</w:t>
            </w:r>
          </w:p>
          <w:p w:rsidR="00D77DC3" w:rsidRPr="00421D33" w:rsidRDefault="00D77DC3" w:rsidP="00FF5D8C">
            <w:pPr>
              <w:pStyle w:val="SCCShortJudgment"/>
              <w:ind w:firstLine="0"/>
              <w:rPr>
                <w:szCs w:val="20"/>
              </w:rPr>
            </w:pPr>
          </w:p>
          <w:p w:rsidR="00D77DC3" w:rsidRPr="00421D33" w:rsidRDefault="00D77DC3" w:rsidP="00D27D15">
            <w:pPr>
              <w:pStyle w:val="SCCShortJudgment"/>
              <w:rPr>
                <w:szCs w:val="20"/>
                <w:lang w:val="fr-CA"/>
              </w:rPr>
            </w:pPr>
            <w:r w:rsidRPr="00421D33">
              <w:rPr>
                <w:szCs w:val="20"/>
                <w:lang w:val="fr-CA"/>
              </w:rPr>
              <w:t>La requête en prorogation du délai de signification et de dépôt de la demande d’autorisation d’appel est accueillie.  La requête en prorogation du délai de signification et de dépôt de la réponse de l’intim</w:t>
            </w:r>
            <w:r w:rsidR="00D27D15">
              <w:rPr>
                <w:szCs w:val="20"/>
                <w:lang w:val="fr-CA"/>
              </w:rPr>
              <w:t>é</w:t>
            </w:r>
            <w:r w:rsidRPr="00421D33">
              <w:rPr>
                <w:szCs w:val="20"/>
                <w:lang w:val="fr-CA"/>
              </w:rPr>
              <w:t xml:space="preserve"> est accueillie.  La demande d’autorisation d’appel de l’arrêt de la Cour d’appel de l’Ontario, numéro C55984, 2013 ONCA 157, daté du 18 mars 2013, est rejetée avec dépens.</w:t>
            </w:r>
          </w:p>
        </w:tc>
      </w:tr>
    </w:tbl>
    <w:p w:rsidR="00370E33" w:rsidRPr="0016547E" w:rsidRDefault="00370E33" w:rsidP="00370E33">
      <w:pPr>
        <w:rPr>
          <w:sz w:val="20"/>
          <w:szCs w:val="20"/>
          <w:lang w:val="fr-CA"/>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3C02EC" w:rsidTr="00C5574B">
        <w:tc>
          <w:tcPr>
            <w:tcW w:w="5000" w:type="pct"/>
            <w:gridSpan w:val="3"/>
          </w:tcPr>
          <w:p w:rsidR="00370E33" w:rsidRPr="003C02EC" w:rsidRDefault="00370E33" w:rsidP="00C5574B">
            <w:pPr>
              <w:jc w:val="both"/>
              <w:rPr>
                <w:rFonts w:eastAsia="Calibri"/>
                <w:sz w:val="20"/>
              </w:rPr>
            </w:pPr>
            <w:r w:rsidRPr="003C02EC">
              <w:rPr>
                <w:rFonts w:eastAsia="Calibri"/>
                <w:sz w:val="20"/>
              </w:rPr>
              <w:t>Administrative law – Appeals – Standard of review – Court of Appeal remitting matter to Board for reconsideration of decision based on proper standard of proof and legal test – Whether Court of Appeal erred in setting aside decision of the license appeal tribunal and remitting the case to the tribunal for a new hearing.</w:t>
            </w:r>
          </w:p>
          <w:p w:rsidR="00370E33" w:rsidRPr="003C02EC" w:rsidRDefault="00370E33" w:rsidP="00C5574B">
            <w:pPr>
              <w:jc w:val="both"/>
              <w:rPr>
                <w:rFonts w:eastAsia="Calibri"/>
                <w:sz w:val="20"/>
              </w:rPr>
            </w:pPr>
          </w:p>
        </w:tc>
      </w:tr>
      <w:tr w:rsidR="00370E33" w:rsidRPr="003C02EC" w:rsidTr="00C5574B">
        <w:tc>
          <w:tcPr>
            <w:tcW w:w="5000" w:type="pct"/>
            <w:gridSpan w:val="3"/>
          </w:tcPr>
          <w:p w:rsidR="00370E33" w:rsidRPr="003C02EC" w:rsidRDefault="00370E33" w:rsidP="00C5574B">
            <w:pPr>
              <w:jc w:val="both"/>
              <w:rPr>
                <w:rFonts w:eastAsia="Calibri"/>
                <w:sz w:val="20"/>
              </w:rPr>
            </w:pPr>
            <w:r w:rsidRPr="003C02EC">
              <w:rPr>
                <w:rFonts w:eastAsia="Calibri"/>
                <w:sz w:val="20"/>
              </w:rPr>
              <w:t xml:space="preserve">751809 Ontario Inc., operating as Famous Flesh Gordon’s in London, Ontario, is owned by Mr. Barletta, a full patch member of the Hell’s Angels.  He received a liquor licence for this establishment in 2001 and has operated it since that time with no criminal convictions or </w:t>
            </w:r>
            <w:r w:rsidRPr="003C02EC">
              <w:rPr>
                <w:rFonts w:eastAsia="Calibri"/>
                <w:i/>
                <w:sz w:val="20"/>
              </w:rPr>
              <w:t>Liquor Licence Act</w:t>
            </w:r>
            <w:r w:rsidRPr="003C02EC">
              <w:rPr>
                <w:rFonts w:eastAsia="Calibri"/>
                <w:sz w:val="20"/>
              </w:rPr>
              <w:t>, R.S.O. 1990, c. L.19 infractions.  In 2010, the Registrar of the Alcohol and Gaming Commission of Ontario applied to the Board to revoke his liquor licence based solely on his membership in the Hell’s Angels motorcycle club.</w:t>
            </w: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September 22, 2011</w:t>
            </w:r>
          </w:p>
          <w:p w:rsidR="00370E33" w:rsidRPr="003C02EC" w:rsidRDefault="00370E33" w:rsidP="00C5574B">
            <w:pPr>
              <w:jc w:val="both"/>
              <w:rPr>
                <w:rFonts w:eastAsia="Calibri"/>
                <w:sz w:val="20"/>
              </w:rPr>
            </w:pPr>
            <w:r w:rsidRPr="003C02EC">
              <w:rPr>
                <w:rFonts w:eastAsia="Calibri"/>
                <w:sz w:val="20"/>
              </w:rPr>
              <w:t>Alcohol and Gaming Commission of Ontario</w:t>
            </w:r>
          </w:p>
          <w:p w:rsidR="00370E33" w:rsidRPr="003C02EC" w:rsidRDefault="00370E33" w:rsidP="00C5574B">
            <w:pPr>
              <w:jc w:val="both"/>
              <w:rPr>
                <w:rFonts w:eastAsia="Calibri"/>
                <w:sz w:val="20"/>
              </w:rPr>
            </w:pPr>
            <w:r w:rsidRPr="003C02EC">
              <w:rPr>
                <w:rFonts w:eastAsia="Calibri"/>
                <w:sz w:val="20"/>
              </w:rPr>
              <w:t>(Higdon and Kerr, Board members)</w:t>
            </w:r>
          </w:p>
          <w:p w:rsidR="00370E33" w:rsidRPr="003C02EC" w:rsidRDefault="00370E33" w:rsidP="00C5574B">
            <w:pPr>
              <w:jc w:val="both"/>
              <w:rPr>
                <w:rFonts w:eastAsia="Calibri"/>
                <w:sz w:val="20"/>
              </w:rPr>
            </w:pPr>
            <w:r w:rsidRPr="003C02EC">
              <w:rPr>
                <w:rFonts w:eastAsia="Calibri"/>
                <w:sz w:val="20"/>
              </w:rPr>
              <w:t>Unreported</w:t>
            </w:r>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Registrar’s application to revoke Applicant’s liquor licence dismissed</w:t>
            </w: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April 24, 2012</w:t>
            </w:r>
          </w:p>
          <w:p w:rsidR="00370E33" w:rsidRPr="003C02EC" w:rsidRDefault="00370E33" w:rsidP="00C5574B">
            <w:pPr>
              <w:jc w:val="both"/>
              <w:rPr>
                <w:rFonts w:eastAsia="Calibri"/>
                <w:sz w:val="20"/>
              </w:rPr>
            </w:pPr>
            <w:r w:rsidRPr="003C02EC">
              <w:rPr>
                <w:rFonts w:eastAsia="Calibri"/>
                <w:sz w:val="20"/>
              </w:rPr>
              <w:t>Ontario Superior Court of Justice</w:t>
            </w:r>
          </w:p>
          <w:p w:rsidR="00370E33" w:rsidRPr="003C02EC" w:rsidRDefault="00370E33" w:rsidP="00C5574B">
            <w:pPr>
              <w:jc w:val="both"/>
              <w:rPr>
                <w:rFonts w:eastAsia="Calibri"/>
                <w:sz w:val="20"/>
              </w:rPr>
            </w:pPr>
            <w:r w:rsidRPr="003C02EC">
              <w:rPr>
                <w:rFonts w:eastAsia="Calibri"/>
                <w:sz w:val="20"/>
              </w:rPr>
              <w:t>Divisional Court</w:t>
            </w:r>
          </w:p>
          <w:p w:rsidR="00370E33" w:rsidRPr="003C02EC" w:rsidRDefault="00370E33" w:rsidP="00C5574B">
            <w:pPr>
              <w:jc w:val="both"/>
              <w:rPr>
                <w:rFonts w:eastAsia="Calibri"/>
                <w:sz w:val="20"/>
              </w:rPr>
            </w:pPr>
            <w:r w:rsidRPr="003C02EC">
              <w:rPr>
                <w:rFonts w:eastAsia="Calibri"/>
                <w:sz w:val="20"/>
              </w:rPr>
              <w:t>(Wilton-Siegel, Swinton and Sachs JJ.)</w:t>
            </w:r>
          </w:p>
          <w:p w:rsidR="00370E33" w:rsidRPr="003C02EC" w:rsidRDefault="001B62D0" w:rsidP="00C5574B">
            <w:pPr>
              <w:jc w:val="both"/>
              <w:rPr>
                <w:rFonts w:eastAsia="Calibri"/>
                <w:sz w:val="20"/>
              </w:rPr>
            </w:pPr>
            <w:hyperlink r:id="rId25" w:history="1">
              <w:r w:rsidR="00370E33" w:rsidRPr="003C02EC">
                <w:rPr>
                  <w:rFonts w:eastAsia="Calibri"/>
                  <w:color w:val="0000FF"/>
                  <w:sz w:val="20"/>
                  <w:u w:val="single"/>
                </w:rPr>
                <w:t>2012 ONSC 2484</w:t>
              </w:r>
            </w:hyperlink>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Registrar’s appeal dismissed</w:t>
            </w:r>
          </w:p>
          <w:p w:rsidR="00370E33" w:rsidRPr="003C02EC" w:rsidRDefault="00370E33" w:rsidP="00C5574B">
            <w:pPr>
              <w:jc w:val="both"/>
              <w:rPr>
                <w:rFonts w:eastAsia="Calibri"/>
                <w:sz w:val="20"/>
              </w:rPr>
            </w:pP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March 18, 2013</w:t>
            </w:r>
          </w:p>
          <w:p w:rsidR="00370E33" w:rsidRPr="003C02EC" w:rsidRDefault="00370E33" w:rsidP="00C5574B">
            <w:pPr>
              <w:jc w:val="both"/>
              <w:rPr>
                <w:rFonts w:eastAsia="Calibri"/>
                <w:sz w:val="20"/>
              </w:rPr>
            </w:pPr>
            <w:r w:rsidRPr="003C02EC">
              <w:rPr>
                <w:rFonts w:eastAsia="Calibri"/>
                <w:sz w:val="20"/>
              </w:rPr>
              <w:t>Court of Appeal for Ontario</w:t>
            </w:r>
          </w:p>
          <w:p w:rsidR="00370E33" w:rsidRPr="003C02EC" w:rsidRDefault="00370E33" w:rsidP="00C5574B">
            <w:pPr>
              <w:jc w:val="both"/>
              <w:rPr>
                <w:rFonts w:eastAsia="Calibri"/>
                <w:sz w:val="20"/>
              </w:rPr>
            </w:pPr>
            <w:r w:rsidRPr="003C02EC">
              <w:rPr>
                <w:rFonts w:eastAsia="Calibri"/>
                <w:sz w:val="20"/>
              </w:rPr>
              <w:t>(Goudge, Cronk and Armstrong JJ.A.)</w:t>
            </w:r>
          </w:p>
          <w:p w:rsidR="00370E33" w:rsidRPr="003C02EC" w:rsidRDefault="001B62D0" w:rsidP="00C5574B">
            <w:pPr>
              <w:jc w:val="both"/>
              <w:rPr>
                <w:rFonts w:eastAsia="Calibri"/>
                <w:sz w:val="20"/>
              </w:rPr>
            </w:pPr>
            <w:hyperlink r:id="rId26" w:history="1">
              <w:r w:rsidR="00370E33" w:rsidRPr="003C02EC">
                <w:rPr>
                  <w:rFonts w:eastAsia="Calibri"/>
                  <w:color w:val="0000FF"/>
                  <w:sz w:val="20"/>
                  <w:u w:val="single"/>
                </w:rPr>
                <w:t>2013 ONCA 157</w:t>
              </w:r>
            </w:hyperlink>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Registrar’s appeal allowed; matter remitted to Board for reconsideration</w:t>
            </w:r>
          </w:p>
          <w:p w:rsidR="00370E33" w:rsidRPr="003C02EC" w:rsidRDefault="00370E33" w:rsidP="00C5574B">
            <w:pPr>
              <w:jc w:val="both"/>
              <w:rPr>
                <w:rFonts w:eastAsia="Calibri"/>
                <w:sz w:val="20"/>
              </w:rPr>
            </w:pP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June 24, 2013</w:t>
            </w:r>
          </w:p>
          <w:p w:rsidR="00370E33" w:rsidRPr="003C02EC" w:rsidRDefault="00370E33" w:rsidP="00C5574B">
            <w:pPr>
              <w:jc w:val="both"/>
              <w:rPr>
                <w:rFonts w:eastAsia="Calibri"/>
                <w:sz w:val="20"/>
              </w:rPr>
            </w:pPr>
            <w:r w:rsidRPr="003C02EC">
              <w:rPr>
                <w:rFonts w:eastAsia="Calibri"/>
                <w:sz w:val="20"/>
              </w:rPr>
              <w:t>Supreme Court of Canada</w:t>
            </w: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Application for leave to appeal filed</w:t>
            </w:r>
          </w:p>
          <w:p w:rsidR="00370E33" w:rsidRPr="003C02EC" w:rsidRDefault="00370E33" w:rsidP="00C5574B">
            <w:pPr>
              <w:jc w:val="both"/>
              <w:rPr>
                <w:rFonts w:eastAsia="Calibri"/>
                <w:sz w:val="20"/>
              </w:rPr>
            </w:pP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lastRenderedPageBreak/>
        <w:pict>
          <v:rect id="_x0000_i1034"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1B62D0" w:rsidTr="00C5574B">
        <w:tc>
          <w:tcPr>
            <w:tcW w:w="5000" w:type="pct"/>
            <w:gridSpan w:val="3"/>
          </w:tcPr>
          <w:p w:rsidR="00370E33" w:rsidRPr="003C02EC" w:rsidRDefault="00370E33" w:rsidP="00C5574B">
            <w:pPr>
              <w:jc w:val="both"/>
              <w:rPr>
                <w:rFonts w:eastAsia="Calibri"/>
                <w:sz w:val="20"/>
                <w:lang w:val="fr-CA"/>
              </w:rPr>
            </w:pPr>
            <w:r w:rsidRPr="003C02EC">
              <w:rPr>
                <w:rFonts w:eastAsia="Calibri"/>
                <w:sz w:val="20"/>
                <w:lang w:val="fr-CA"/>
              </w:rPr>
              <w:t>Droit administratif – Appels – Norme de contrôle – La Cour d'appel a renvoyé l'affaire au conseil pour qu’il réexamine la décision en se fondant sur la bonne norme de preuve et le bon critère juridique – La Cour d'appel a-t-elle eu tort d'annuler la décision du tribunal d'appel en matière de permis et de renvoyer l'affaire au tribunal pour qu’il entende l’affaire de nouveau?</w:t>
            </w:r>
          </w:p>
          <w:p w:rsidR="00370E33" w:rsidRPr="003C02EC" w:rsidRDefault="00370E33" w:rsidP="00C5574B">
            <w:pPr>
              <w:jc w:val="both"/>
              <w:rPr>
                <w:rFonts w:eastAsia="Calibri"/>
                <w:sz w:val="20"/>
                <w:lang w:val="fr-CA"/>
              </w:rPr>
            </w:pPr>
          </w:p>
        </w:tc>
      </w:tr>
      <w:tr w:rsidR="00370E33" w:rsidRPr="001B62D0" w:rsidTr="00C5574B">
        <w:tc>
          <w:tcPr>
            <w:tcW w:w="5000" w:type="pct"/>
            <w:gridSpan w:val="3"/>
          </w:tcPr>
          <w:p w:rsidR="00370E33" w:rsidRPr="003C02EC" w:rsidRDefault="00370E33" w:rsidP="00C5574B">
            <w:pPr>
              <w:jc w:val="both"/>
              <w:rPr>
                <w:rFonts w:eastAsia="Calibri"/>
                <w:sz w:val="20"/>
                <w:lang w:val="fr-CA"/>
              </w:rPr>
            </w:pPr>
            <w:r w:rsidRPr="003C02EC">
              <w:rPr>
                <w:rFonts w:eastAsia="Calibri"/>
                <w:sz w:val="20"/>
                <w:lang w:val="fr-CA"/>
              </w:rPr>
              <w:t>751809 Ontario Inc., faisant affaire sous la dénomination sociale Famous Flesh Gordon’s à London (Ontario), appartient à M. Barletta, un membre en règle des Hell’s Angels.  Il a obtenu un permis d'alcool pour son établissement en 2001 et il l'exploite depuis sans avoir été déclaré coupable d’infractions criminelles ou d’infractions sous le régime de la</w:t>
            </w:r>
            <w:r w:rsidRPr="003C02EC">
              <w:rPr>
                <w:rFonts w:eastAsia="Calibri"/>
                <w:i/>
                <w:sz w:val="20"/>
                <w:lang w:val="fr-CA"/>
              </w:rPr>
              <w:t xml:space="preserve"> Loi sur les permis d'alcool</w:t>
            </w:r>
            <w:r w:rsidRPr="003C02EC">
              <w:rPr>
                <w:rFonts w:eastAsia="Calibri"/>
                <w:sz w:val="20"/>
                <w:lang w:val="fr-CA"/>
              </w:rPr>
              <w:t>, L.R.O. 1990, ch. L.19.  En 2010, le registrateur de la Commission des alcools et des jeux de l'Ontario a demandé au conseil de révoquer son permis d'alcool pour le seul motif qu’il était membre du club de motards Hell’s Angels.</w:t>
            </w:r>
          </w:p>
          <w:p w:rsidR="00370E33" w:rsidRPr="003C02EC" w:rsidRDefault="00370E33" w:rsidP="00C5574B">
            <w:pPr>
              <w:jc w:val="both"/>
              <w:rPr>
                <w:rFonts w:eastAsia="Calibri"/>
                <w:sz w:val="20"/>
                <w:lang w:val="fr-CA"/>
              </w:rPr>
            </w:pPr>
          </w:p>
        </w:tc>
      </w:tr>
      <w:tr w:rsidR="00370E33" w:rsidRPr="001B62D0"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22 septembre 2011</w:t>
            </w:r>
          </w:p>
          <w:p w:rsidR="00370E33" w:rsidRPr="003C02EC" w:rsidRDefault="00370E33" w:rsidP="00C5574B">
            <w:pPr>
              <w:jc w:val="both"/>
              <w:rPr>
                <w:rFonts w:eastAsia="Calibri"/>
                <w:sz w:val="20"/>
                <w:lang w:val="fr-CA"/>
              </w:rPr>
            </w:pPr>
            <w:r w:rsidRPr="003C02EC">
              <w:rPr>
                <w:rFonts w:eastAsia="Calibri"/>
                <w:sz w:val="20"/>
                <w:lang w:val="fr-CA"/>
              </w:rPr>
              <w:t>Commission des alcools et des jeux de l'Ontario</w:t>
            </w:r>
          </w:p>
          <w:p w:rsidR="00370E33" w:rsidRPr="003C02EC" w:rsidRDefault="00370E33" w:rsidP="00C5574B">
            <w:pPr>
              <w:jc w:val="both"/>
              <w:rPr>
                <w:rFonts w:eastAsia="Calibri"/>
                <w:sz w:val="20"/>
                <w:lang w:val="fr-CA"/>
              </w:rPr>
            </w:pPr>
            <w:r w:rsidRPr="003C02EC">
              <w:rPr>
                <w:rFonts w:eastAsia="Calibri"/>
                <w:sz w:val="20"/>
                <w:lang w:val="fr-CA"/>
              </w:rPr>
              <w:t>(Commissaires Higdon et Kerr)</w:t>
            </w:r>
          </w:p>
          <w:p w:rsidR="00370E33" w:rsidRPr="003C02EC" w:rsidRDefault="00370E33" w:rsidP="00C5574B">
            <w:pPr>
              <w:jc w:val="both"/>
              <w:rPr>
                <w:rFonts w:eastAsia="Calibri"/>
                <w:sz w:val="20"/>
                <w:lang w:val="fr-CA"/>
              </w:rPr>
            </w:pPr>
            <w:r w:rsidRPr="003C02EC">
              <w:rPr>
                <w:rFonts w:eastAsia="Calibri"/>
                <w:sz w:val="20"/>
                <w:lang w:val="fr-CA"/>
              </w:rPr>
              <w:t>Non publié</w:t>
            </w:r>
          </w:p>
          <w:p w:rsidR="00370E33" w:rsidRPr="003C02EC" w:rsidRDefault="00370E33" w:rsidP="00C5574B">
            <w:pPr>
              <w:jc w:val="both"/>
              <w:rPr>
                <w:rFonts w:eastAsia="Calibri"/>
                <w:sz w:val="20"/>
                <w:lang w:val="fr-CA"/>
              </w:rPr>
            </w:pPr>
          </w:p>
        </w:tc>
        <w:tc>
          <w:tcPr>
            <w:tcW w:w="243" w:type="pct"/>
          </w:tcPr>
          <w:p w:rsidR="00370E33" w:rsidRPr="003C02EC" w:rsidRDefault="00370E33" w:rsidP="00C5574B">
            <w:pPr>
              <w:jc w:val="both"/>
              <w:rPr>
                <w:rFonts w:eastAsia="Calibri"/>
                <w:sz w:val="20"/>
                <w:lang w:val="fr-CA"/>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Demande du registrateur de révoquer le permis d'alcool de la demanderesse, rejetée</w:t>
            </w:r>
          </w:p>
        </w:tc>
      </w:tr>
      <w:tr w:rsidR="00370E33" w:rsidRPr="003C02EC"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24 avril 2012</w:t>
            </w:r>
          </w:p>
          <w:p w:rsidR="00370E33" w:rsidRPr="003C02EC" w:rsidRDefault="00370E33" w:rsidP="00C5574B">
            <w:pPr>
              <w:jc w:val="both"/>
              <w:rPr>
                <w:rFonts w:eastAsia="Calibri"/>
                <w:sz w:val="20"/>
                <w:lang w:val="fr-CA"/>
              </w:rPr>
            </w:pPr>
            <w:r w:rsidRPr="003C02EC">
              <w:rPr>
                <w:rFonts w:eastAsia="Calibri"/>
                <w:sz w:val="20"/>
                <w:lang w:val="fr-CA"/>
              </w:rPr>
              <w:t>Cour supérieure de justice de l'Ontario</w:t>
            </w:r>
          </w:p>
          <w:p w:rsidR="00370E33" w:rsidRPr="003C02EC" w:rsidRDefault="00370E33" w:rsidP="00C5574B">
            <w:pPr>
              <w:jc w:val="both"/>
              <w:rPr>
                <w:rFonts w:eastAsia="Calibri"/>
                <w:sz w:val="20"/>
                <w:lang w:val="fr-CA"/>
              </w:rPr>
            </w:pPr>
            <w:r w:rsidRPr="003C02EC">
              <w:rPr>
                <w:rFonts w:eastAsia="Calibri"/>
                <w:sz w:val="20"/>
                <w:lang w:val="fr-CA"/>
              </w:rPr>
              <w:t>Cour divisionnaire</w:t>
            </w:r>
          </w:p>
          <w:p w:rsidR="00370E33" w:rsidRPr="003C02EC" w:rsidRDefault="00370E33" w:rsidP="00C5574B">
            <w:pPr>
              <w:jc w:val="both"/>
              <w:rPr>
                <w:rFonts w:eastAsia="Calibri"/>
                <w:sz w:val="20"/>
                <w:lang w:val="fr-CA"/>
              </w:rPr>
            </w:pPr>
            <w:r w:rsidRPr="003C02EC">
              <w:rPr>
                <w:rFonts w:eastAsia="Calibri"/>
                <w:sz w:val="20"/>
                <w:lang w:val="fr-CA"/>
              </w:rPr>
              <w:t>(Juges Wilton-Siegel, Swinton et Sachs)</w:t>
            </w:r>
          </w:p>
          <w:p w:rsidR="00370E33" w:rsidRPr="003C02EC" w:rsidRDefault="001B62D0" w:rsidP="00C5574B">
            <w:pPr>
              <w:jc w:val="both"/>
              <w:rPr>
                <w:rFonts w:eastAsia="Calibri"/>
                <w:sz w:val="20"/>
                <w:lang w:val="fr-CA"/>
              </w:rPr>
            </w:pPr>
            <w:hyperlink r:id="rId27" w:history="1">
              <w:r w:rsidR="00370E33" w:rsidRPr="003C02EC">
                <w:rPr>
                  <w:rFonts w:eastAsia="Calibri"/>
                  <w:color w:val="0000FF"/>
                  <w:sz w:val="20"/>
                  <w:u w:val="single"/>
                  <w:lang w:val="fr-CA"/>
                </w:rPr>
                <w:t>2012 ONSC 2484</w:t>
              </w:r>
            </w:hyperlink>
          </w:p>
          <w:p w:rsidR="00370E33" w:rsidRPr="003C02EC" w:rsidRDefault="00370E33" w:rsidP="00C5574B">
            <w:pPr>
              <w:jc w:val="both"/>
              <w:rPr>
                <w:rFonts w:eastAsia="Calibri"/>
                <w:sz w:val="20"/>
                <w:lang w:val="fr-CA"/>
              </w:rPr>
            </w:pPr>
          </w:p>
        </w:tc>
        <w:tc>
          <w:tcPr>
            <w:tcW w:w="243" w:type="pct"/>
          </w:tcPr>
          <w:p w:rsidR="00370E33" w:rsidRPr="003C02EC" w:rsidRDefault="00370E33" w:rsidP="00C5574B">
            <w:pPr>
              <w:jc w:val="both"/>
              <w:rPr>
                <w:rFonts w:eastAsia="Calibri"/>
                <w:sz w:val="20"/>
                <w:lang w:val="fr-CA"/>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Appel du registrateur, rejeté</w:t>
            </w:r>
          </w:p>
          <w:p w:rsidR="00370E33" w:rsidRPr="003C02EC" w:rsidRDefault="00370E33" w:rsidP="00C5574B">
            <w:pPr>
              <w:jc w:val="both"/>
              <w:rPr>
                <w:rFonts w:eastAsia="Calibri"/>
                <w:sz w:val="20"/>
                <w:lang w:val="fr-CA"/>
              </w:rPr>
            </w:pPr>
          </w:p>
          <w:p w:rsidR="00370E33" w:rsidRPr="003C02EC" w:rsidRDefault="00370E33" w:rsidP="00C5574B">
            <w:pPr>
              <w:jc w:val="both"/>
              <w:rPr>
                <w:rFonts w:eastAsia="Calibri"/>
                <w:sz w:val="20"/>
                <w:lang w:val="fr-CA"/>
              </w:rPr>
            </w:pPr>
          </w:p>
        </w:tc>
      </w:tr>
      <w:tr w:rsidR="00370E33" w:rsidRPr="001B62D0"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18 mars 2013</w:t>
            </w:r>
          </w:p>
          <w:p w:rsidR="00370E33" w:rsidRPr="003C02EC" w:rsidRDefault="00370E33" w:rsidP="00C5574B">
            <w:pPr>
              <w:jc w:val="both"/>
              <w:rPr>
                <w:rFonts w:eastAsia="Calibri"/>
                <w:sz w:val="20"/>
                <w:lang w:val="fr-CA"/>
              </w:rPr>
            </w:pPr>
            <w:r w:rsidRPr="003C02EC">
              <w:rPr>
                <w:rFonts w:eastAsia="Calibri"/>
                <w:sz w:val="20"/>
                <w:lang w:val="fr-CA"/>
              </w:rPr>
              <w:t>Cour d'appel de l'Ontario</w:t>
            </w:r>
          </w:p>
          <w:p w:rsidR="00370E33" w:rsidRPr="003C02EC" w:rsidRDefault="00370E33" w:rsidP="00C5574B">
            <w:pPr>
              <w:jc w:val="both"/>
              <w:rPr>
                <w:rFonts w:eastAsia="Calibri"/>
                <w:sz w:val="20"/>
                <w:lang w:val="fr-CA"/>
              </w:rPr>
            </w:pPr>
            <w:r w:rsidRPr="003C02EC">
              <w:rPr>
                <w:rFonts w:eastAsia="Calibri"/>
                <w:sz w:val="20"/>
                <w:lang w:val="fr-CA"/>
              </w:rPr>
              <w:t>(Juges Goudge, Cronk et Armstrong)</w:t>
            </w:r>
          </w:p>
          <w:p w:rsidR="00370E33" w:rsidRPr="003C02EC" w:rsidRDefault="001B62D0" w:rsidP="00C5574B">
            <w:pPr>
              <w:jc w:val="both"/>
              <w:rPr>
                <w:rFonts w:eastAsia="Calibri"/>
                <w:sz w:val="20"/>
                <w:lang w:val="fr-CA"/>
              </w:rPr>
            </w:pPr>
            <w:hyperlink r:id="rId28" w:history="1">
              <w:r w:rsidR="00370E33" w:rsidRPr="003C02EC">
                <w:rPr>
                  <w:rFonts w:eastAsia="Calibri"/>
                  <w:color w:val="0000FF"/>
                  <w:sz w:val="20"/>
                  <w:u w:val="single"/>
                  <w:lang w:val="fr-CA"/>
                </w:rPr>
                <w:t>2013 ONCA 157</w:t>
              </w:r>
            </w:hyperlink>
          </w:p>
          <w:p w:rsidR="00370E33" w:rsidRPr="003C02EC" w:rsidRDefault="00370E33" w:rsidP="00C5574B">
            <w:pPr>
              <w:jc w:val="both"/>
              <w:rPr>
                <w:rFonts w:eastAsia="Calibri"/>
                <w:sz w:val="20"/>
                <w:lang w:val="fr-CA"/>
              </w:rPr>
            </w:pPr>
          </w:p>
        </w:tc>
        <w:tc>
          <w:tcPr>
            <w:tcW w:w="243" w:type="pct"/>
          </w:tcPr>
          <w:p w:rsidR="00370E33" w:rsidRPr="003C02EC" w:rsidRDefault="00370E33" w:rsidP="00C5574B">
            <w:pPr>
              <w:jc w:val="both"/>
              <w:rPr>
                <w:rFonts w:eastAsia="Calibri"/>
                <w:sz w:val="20"/>
                <w:lang w:val="fr-CA"/>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Appel du registrateur, accueilli; affaire renvoyée au conseil pour réexamen</w:t>
            </w:r>
          </w:p>
          <w:p w:rsidR="00370E33" w:rsidRPr="003C02EC" w:rsidRDefault="00370E33" w:rsidP="00C5574B">
            <w:pPr>
              <w:jc w:val="both"/>
              <w:rPr>
                <w:rFonts w:eastAsia="Calibri"/>
                <w:sz w:val="20"/>
                <w:lang w:val="fr-CA"/>
              </w:rPr>
            </w:pPr>
          </w:p>
          <w:p w:rsidR="00370E33" w:rsidRPr="003C02EC" w:rsidRDefault="00370E33" w:rsidP="00C5574B">
            <w:pPr>
              <w:jc w:val="both"/>
              <w:rPr>
                <w:rFonts w:eastAsia="Calibri"/>
                <w:sz w:val="20"/>
                <w:lang w:val="fr-CA"/>
              </w:rPr>
            </w:pPr>
          </w:p>
        </w:tc>
      </w:tr>
      <w:tr w:rsidR="00370E33" w:rsidRPr="003C02EC"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24 juin 2013</w:t>
            </w:r>
          </w:p>
          <w:p w:rsidR="00370E33" w:rsidRPr="003C02EC" w:rsidRDefault="00370E33" w:rsidP="00C5574B">
            <w:pPr>
              <w:jc w:val="both"/>
              <w:rPr>
                <w:rFonts w:eastAsia="Calibri"/>
                <w:sz w:val="20"/>
                <w:lang w:val="fr-CA"/>
              </w:rPr>
            </w:pPr>
            <w:r w:rsidRPr="003C02EC">
              <w:rPr>
                <w:rFonts w:eastAsia="Calibri"/>
                <w:sz w:val="20"/>
                <w:lang w:val="fr-CA"/>
              </w:rPr>
              <w:t>Cour suprême du Canada</w:t>
            </w:r>
          </w:p>
        </w:tc>
        <w:tc>
          <w:tcPr>
            <w:tcW w:w="243" w:type="pct"/>
          </w:tcPr>
          <w:p w:rsidR="00370E33" w:rsidRPr="003C02EC" w:rsidRDefault="00370E33" w:rsidP="00C5574B">
            <w:pPr>
              <w:jc w:val="both"/>
              <w:rPr>
                <w:rFonts w:eastAsia="Calibri"/>
                <w:sz w:val="20"/>
                <w:lang w:val="fr-CA"/>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Demande d'autorisation d'appel, déposée</w:t>
            </w:r>
          </w:p>
          <w:p w:rsidR="00370E33" w:rsidRPr="003C02EC" w:rsidRDefault="00370E33" w:rsidP="00C5574B">
            <w:pPr>
              <w:jc w:val="both"/>
              <w:rPr>
                <w:rFonts w:eastAsia="Calibri"/>
                <w:sz w:val="20"/>
                <w:lang w:val="fr-CA"/>
              </w:rPr>
            </w:pPr>
          </w:p>
        </w:tc>
      </w:tr>
    </w:tbl>
    <w:p w:rsidR="00370E33" w:rsidRDefault="00370E33" w:rsidP="000E2959">
      <w:pPr>
        <w:rPr>
          <w:sz w:val="20"/>
          <w:szCs w:val="20"/>
        </w:rPr>
      </w:pPr>
    </w:p>
    <w:p w:rsidR="00370E33" w:rsidRDefault="001B62D0" w:rsidP="000E2959">
      <w:pPr>
        <w:rPr>
          <w:sz w:val="20"/>
          <w:szCs w:val="20"/>
        </w:rPr>
      </w:pPr>
      <w:r>
        <w:rPr>
          <w:sz w:val="20"/>
          <w:szCs w:val="20"/>
          <w:lang w:val="fr-CA"/>
        </w:rPr>
        <w:pict>
          <v:rect id="_x0000_i1035" style="width:2in;height:1pt" o:hrpct="0" o:hralign="center" o:hrstd="t" o:hrnoshade="t" o:hr="t" fillcolor="black [3213]" stroked="f"/>
        </w:pict>
      </w:r>
    </w:p>
    <w:p w:rsidR="00370E33" w:rsidRDefault="00370E33"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7DC3" w:rsidRPr="00236172" w:rsidTr="00FF5D8C">
        <w:trPr>
          <w:cantSplit/>
        </w:trPr>
        <w:tc>
          <w:tcPr>
            <w:tcW w:w="1458" w:type="dxa"/>
          </w:tcPr>
          <w:p w:rsidR="00D77DC3" w:rsidRPr="00421D33" w:rsidRDefault="00D77DC3" w:rsidP="00FF5D8C">
            <w:pPr>
              <w:rPr>
                <w:sz w:val="20"/>
                <w:szCs w:val="20"/>
              </w:rPr>
            </w:pPr>
            <w:r w:rsidRPr="00421D33">
              <w:rPr>
                <w:rStyle w:val="SCCFileNumberChar"/>
                <w:sz w:val="20"/>
                <w:szCs w:val="20"/>
              </w:rPr>
              <w:t>35471</w:t>
            </w:r>
          </w:p>
          <w:p w:rsidR="00D77DC3" w:rsidRPr="00421D33" w:rsidRDefault="00D77DC3" w:rsidP="00FF5D8C">
            <w:pPr>
              <w:rPr>
                <w:b/>
                <w:sz w:val="20"/>
                <w:szCs w:val="20"/>
                <w:lang w:val="fr-CA"/>
              </w:rPr>
            </w:pPr>
          </w:p>
        </w:tc>
        <w:tc>
          <w:tcPr>
            <w:tcW w:w="8118" w:type="dxa"/>
          </w:tcPr>
          <w:p w:rsidR="00D77DC3" w:rsidRPr="00236172" w:rsidRDefault="00D77DC3" w:rsidP="00FF5D8C">
            <w:pPr>
              <w:jc w:val="both"/>
              <w:rPr>
                <w:sz w:val="20"/>
                <w:szCs w:val="20"/>
                <w:lang w:val="fr-CA"/>
              </w:rPr>
            </w:pPr>
            <w:r w:rsidRPr="00421D33">
              <w:rPr>
                <w:rStyle w:val="SCCLsocChar"/>
                <w:sz w:val="20"/>
                <w:szCs w:val="20"/>
              </w:rPr>
              <w:t>Agence du revenu du Québec c. Bombardier inc.</w:t>
            </w:r>
            <w:r w:rsidR="00236172">
              <w:rPr>
                <w:rStyle w:val="SCCLsocChar"/>
                <w:sz w:val="20"/>
                <w:szCs w:val="20"/>
              </w:rPr>
              <w:t xml:space="preserve"> et</w:t>
            </w:r>
            <w:r w:rsidRPr="00421D33">
              <w:rPr>
                <w:rStyle w:val="SCCLsocChar"/>
                <w:sz w:val="20"/>
                <w:szCs w:val="20"/>
              </w:rPr>
              <w:t xml:space="preserve"> Centre de finition Bombardier inc.</w:t>
            </w:r>
            <w:r w:rsidRPr="00421D33">
              <w:rPr>
                <w:sz w:val="20"/>
                <w:szCs w:val="20"/>
                <w:lang w:val="fr-CA"/>
              </w:rPr>
              <w:t xml:space="preserve"> </w:t>
            </w:r>
            <w:r w:rsidRPr="00236172">
              <w:rPr>
                <w:sz w:val="20"/>
                <w:szCs w:val="20"/>
                <w:lang w:val="fr-CA"/>
              </w:rPr>
              <w:t>(Qc) (Civile) (Autorisation)</w:t>
            </w:r>
          </w:p>
          <w:p w:rsidR="00D77DC3" w:rsidRPr="00236172" w:rsidRDefault="00D77DC3" w:rsidP="00FF5D8C">
            <w:pPr>
              <w:jc w:val="both"/>
              <w:rPr>
                <w:sz w:val="20"/>
                <w:szCs w:val="20"/>
                <w:lang w:val="fr-CA"/>
              </w:rPr>
            </w:pPr>
          </w:p>
        </w:tc>
      </w:tr>
      <w:tr w:rsidR="00D77DC3" w:rsidRPr="001B62D0" w:rsidTr="00FF5D8C">
        <w:trPr>
          <w:cantSplit/>
        </w:trPr>
        <w:tc>
          <w:tcPr>
            <w:tcW w:w="1458" w:type="dxa"/>
          </w:tcPr>
          <w:p w:rsidR="00D77DC3" w:rsidRPr="00421D33" w:rsidRDefault="00D77DC3" w:rsidP="00FF5D8C">
            <w:pPr>
              <w:rPr>
                <w:sz w:val="20"/>
                <w:szCs w:val="20"/>
              </w:rPr>
            </w:pPr>
            <w:r w:rsidRPr="00421D33">
              <w:rPr>
                <w:sz w:val="20"/>
                <w:szCs w:val="20"/>
              </w:rPr>
              <w:t>Coram :</w:t>
            </w:r>
          </w:p>
        </w:tc>
        <w:tc>
          <w:tcPr>
            <w:tcW w:w="8118" w:type="dxa"/>
          </w:tcPr>
          <w:p w:rsidR="00D77DC3" w:rsidRPr="00421D33" w:rsidRDefault="00D77DC3" w:rsidP="00FF5D8C">
            <w:pPr>
              <w:rPr>
                <w:sz w:val="20"/>
                <w:szCs w:val="20"/>
                <w:lang w:val="fr-CA"/>
              </w:rPr>
            </w:pPr>
            <w:r w:rsidRPr="00421D33">
              <w:rPr>
                <w:rStyle w:val="SCCCoramChar"/>
                <w:sz w:val="20"/>
                <w:szCs w:val="20"/>
              </w:rPr>
              <w:t>Les juges LeBel, Karakatsanis et Wagner</w:t>
            </w:r>
          </w:p>
          <w:p w:rsidR="00D77DC3" w:rsidRPr="00421D33" w:rsidRDefault="00D77DC3" w:rsidP="00FF5D8C">
            <w:pPr>
              <w:rPr>
                <w:sz w:val="20"/>
                <w:szCs w:val="20"/>
                <w:u w:val="single"/>
                <w:lang w:val="fr-CA"/>
              </w:rPr>
            </w:pPr>
          </w:p>
        </w:tc>
      </w:tr>
      <w:tr w:rsidR="00D77DC3" w:rsidRPr="00421D33" w:rsidTr="00FF5D8C">
        <w:trPr>
          <w:cantSplit/>
        </w:trPr>
        <w:tc>
          <w:tcPr>
            <w:tcW w:w="9576" w:type="dxa"/>
            <w:gridSpan w:val="2"/>
          </w:tcPr>
          <w:p w:rsidR="00D77DC3" w:rsidRPr="00421D33" w:rsidRDefault="00D77DC3" w:rsidP="00FF5D8C">
            <w:pPr>
              <w:pStyle w:val="SCCShortJudgment"/>
              <w:rPr>
                <w:szCs w:val="20"/>
                <w:lang w:val="fr-CA"/>
              </w:rPr>
            </w:pPr>
            <w:r w:rsidRPr="00421D33">
              <w:rPr>
                <w:szCs w:val="20"/>
                <w:lang w:val="fr-CA"/>
              </w:rPr>
              <w:t>La demande d’autorisation d’appel de l’arrêt de la Cour d’appel du Québec (Montréal), numéros 500-09-020506-101, 500-09-020507-109, 500-09-020508-107, 500-09-020509-105, 500-09-020510-103, 500-09-020511-101 et 500-09-020512-109, 2013 QCCA 947, daté du 15 mai 2013, est rejetée avec dépens.</w:t>
            </w:r>
          </w:p>
          <w:p w:rsidR="00D77DC3" w:rsidRPr="00421D33" w:rsidRDefault="00D77DC3" w:rsidP="00FF5D8C">
            <w:pPr>
              <w:pStyle w:val="SCCShortJudgment"/>
              <w:ind w:firstLine="0"/>
              <w:rPr>
                <w:szCs w:val="20"/>
                <w:lang w:val="fr-CA"/>
              </w:rPr>
            </w:pPr>
          </w:p>
          <w:p w:rsidR="00D77DC3" w:rsidRPr="00421D33" w:rsidRDefault="00D77DC3" w:rsidP="00FF5D8C">
            <w:pPr>
              <w:pStyle w:val="SCCShortJudgment"/>
              <w:rPr>
                <w:szCs w:val="20"/>
              </w:rPr>
            </w:pPr>
            <w:r w:rsidRPr="00421D33">
              <w:rPr>
                <w:szCs w:val="20"/>
              </w:rPr>
              <w:t>The application for leave to appeal from the judgment of the Court of Appeal of Quebec (Montréal), Numbers 500-09-020506-101, 500-09-020507-109, 500-09-020508-107, 500-09-020509-105, 500-09-020510-103, 500-09-020511-101 and 500-09-020512-109, 2013 QCCA 947, dated May 15, 2013, is dismissed with costs.</w:t>
            </w:r>
          </w:p>
        </w:tc>
      </w:tr>
    </w:tbl>
    <w:p w:rsidR="00370E33" w:rsidRPr="00D77DC3" w:rsidRDefault="00370E33" w:rsidP="00370E33">
      <w:pPr>
        <w:rPr>
          <w:sz w:val="20"/>
          <w:szCs w:val="20"/>
        </w:rPr>
      </w:pPr>
    </w:p>
    <w:p w:rsidR="006B6A58" w:rsidRDefault="006B6A58">
      <w:pPr>
        <w:rPr>
          <w:sz w:val="20"/>
          <w:szCs w:val="20"/>
          <w:u w:val="single"/>
        </w:rPr>
      </w:pPr>
      <w:r>
        <w:rPr>
          <w:sz w:val="20"/>
          <w:szCs w:val="20"/>
          <w:u w:val="single"/>
        </w:rPr>
        <w:lastRenderedPageBreak/>
        <w:br w:type="page"/>
      </w:r>
    </w:p>
    <w:p w:rsidR="00370E33" w:rsidRPr="001B157C" w:rsidRDefault="00370E33" w:rsidP="00370E33">
      <w:pPr>
        <w:rPr>
          <w:sz w:val="20"/>
          <w:szCs w:val="20"/>
          <w:u w:val="single"/>
        </w:rPr>
      </w:pPr>
      <w:r w:rsidRPr="001B157C">
        <w:rPr>
          <w:sz w:val="20"/>
          <w:szCs w:val="20"/>
          <w:u w:val="single"/>
        </w:rPr>
        <w:lastRenderedPageBreak/>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3C02EC" w:rsidTr="00C5574B">
        <w:tc>
          <w:tcPr>
            <w:tcW w:w="5000" w:type="pct"/>
            <w:gridSpan w:val="3"/>
          </w:tcPr>
          <w:p w:rsidR="00370E33" w:rsidRPr="003C02EC" w:rsidRDefault="00370E33" w:rsidP="00C5574B">
            <w:pPr>
              <w:jc w:val="both"/>
              <w:rPr>
                <w:sz w:val="20"/>
              </w:rPr>
            </w:pPr>
            <w:r w:rsidRPr="003C02EC">
              <w:rPr>
                <w:sz w:val="20"/>
              </w:rPr>
              <w:t>Taxation – Income tax – Assessments – Tax on paid</w:t>
            </w:r>
            <w:r w:rsidRPr="003C02EC">
              <w:rPr>
                <w:sz w:val="20"/>
              </w:rPr>
              <w:noBreakHyphen/>
              <w:t>up capital shown in corporation’s financial statements – Whether amounts in question, characterized as advances by applicant, must be included in calculating respondents’ paid</w:t>
            </w:r>
            <w:r w:rsidRPr="003C02EC">
              <w:rPr>
                <w:sz w:val="20"/>
              </w:rPr>
              <w:noBreakHyphen/>
              <w:t xml:space="preserve">up capital for purposes of tax on capital imposed by Part IV of </w:t>
            </w:r>
            <w:r w:rsidRPr="003C02EC">
              <w:rPr>
                <w:i/>
                <w:sz w:val="20"/>
              </w:rPr>
              <w:t>Taxation Act</w:t>
            </w:r>
            <w:r w:rsidRPr="003C02EC">
              <w:rPr>
                <w:sz w:val="20"/>
              </w:rPr>
              <w:t>, R.S.Q. c. I</w:t>
            </w:r>
            <w:r w:rsidRPr="003C02EC">
              <w:rPr>
                <w:sz w:val="20"/>
              </w:rPr>
              <w:noBreakHyphen/>
              <w:t>3 – Whether Court of Appeal complied with its duty to provide reasons for its decision – Whether Court of Appeal incorrectly applied standard of review in light of expert witnesses’ contradictory testimony.</w:t>
            </w:r>
          </w:p>
        </w:tc>
      </w:tr>
      <w:tr w:rsidR="00370E33" w:rsidRPr="003C02EC" w:rsidTr="00C5574B">
        <w:tc>
          <w:tcPr>
            <w:tcW w:w="5000" w:type="pct"/>
            <w:gridSpan w:val="3"/>
          </w:tcPr>
          <w:p w:rsidR="00370E33" w:rsidRPr="003C02EC" w:rsidRDefault="00370E33" w:rsidP="00C5574B">
            <w:pPr>
              <w:jc w:val="both"/>
              <w:rPr>
                <w:sz w:val="20"/>
              </w:rPr>
            </w:pPr>
          </w:p>
        </w:tc>
      </w:tr>
      <w:tr w:rsidR="00370E33" w:rsidRPr="003C02EC" w:rsidTr="00C5574B">
        <w:tc>
          <w:tcPr>
            <w:tcW w:w="5000" w:type="pct"/>
            <w:gridSpan w:val="3"/>
          </w:tcPr>
          <w:p w:rsidR="00370E33" w:rsidRPr="003C02EC" w:rsidRDefault="00370E33" w:rsidP="00C5574B">
            <w:pPr>
              <w:jc w:val="both"/>
              <w:rPr>
                <w:sz w:val="20"/>
              </w:rPr>
            </w:pPr>
            <w:r w:rsidRPr="003C02EC">
              <w:rPr>
                <w:sz w:val="20"/>
              </w:rPr>
              <w:t xml:space="preserve">At the relevant time, the </w:t>
            </w:r>
            <w:r w:rsidRPr="003C02EC">
              <w:rPr>
                <w:i/>
                <w:sz w:val="20"/>
              </w:rPr>
              <w:t>Taxation Act</w:t>
            </w:r>
            <w:r w:rsidRPr="003C02EC">
              <w:rPr>
                <w:sz w:val="20"/>
              </w:rPr>
              <w:t>, R.S.Q., c. I</w:t>
            </w:r>
            <w:r w:rsidRPr="003C02EC">
              <w:rPr>
                <w:sz w:val="20"/>
              </w:rPr>
              <w:noBreakHyphen/>
              <w:t>3, required corporations like the respondent Bombardier to pay tax on the paid</w:t>
            </w:r>
            <w:r w:rsidRPr="003C02EC">
              <w:rPr>
                <w:sz w:val="20"/>
              </w:rPr>
              <w:noBreakHyphen/>
              <w:t>up capital shown in their financial statements for the taxation year (s. 1131).  Under s. 1136, paid</w:t>
            </w:r>
            <w:r w:rsidRPr="003C02EC">
              <w:rPr>
                <w:sz w:val="20"/>
              </w:rPr>
              <w:noBreakHyphen/>
              <w:t xml:space="preserve">up capital includes advances granted to the corporation.  In addition, financial statements are defined in s. 1131 as “the financial statements submitted to the shareholders . . . and prepared in accordance with generally accepted accounting principles”.  Bombardier challenged the assessments made by the Agence du revenu du Québec under s. 1131 of the </w:t>
            </w:r>
            <w:r w:rsidRPr="003C02EC">
              <w:rPr>
                <w:i/>
                <w:sz w:val="20"/>
              </w:rPr>
              <w:t>Act</w:t>
            </w:r>
            <w:r w:rsidRPr="003C02EC">
              <w:rPr>
                <w:sz w:val="20"/>
              </w:rPr>
              <w:t xml:space="preserve"> for 1992, 1993, 1994, 1997, 1999, 2000 and 2001 on the ground that certain payments it had received from its customers under contracts for the supply of aircraft were not advances within the meaning of s. 1136(</w:t>
            </w:r>
            <w:r w:rsidRPr="003C02EC">
              <w:rPr>
                <w:i/>
                <w:sz w:val="20"/>
              </w:rPr>
              <w:t>d</w:t>
            </w:r>
            <w:r w:rsidRPr="003C02EC">
              <w:rPr>
                <w:sz w:val="20"/>
              </w:rPr>
              <w:t>) and should therefore not be included in calculating its paid</w:t>
            </w:r>
            <w:r w:rsidRPr="003C02EC">
              <w:rPr>
                <w:sz w:val="20"/>
              </w:rPr>
              <w:noBreakHyphen/>
              <w:t xml:space="preserve">up capital for the purposes of the tax on capital imposed by the </w:t>
            </w:r>
            <w:r w:rsidRPr="003C02EC">
              <w:rPr>
                <w:i/>
                <w:sz w:val="20"/>
              </w:rPr>
              <w:t>Act</w:t>
            </w:r>
            <w:r w:rsidRPr="003C02EC">
              <w:rPr>
                <w:sz w:val="20"/>
              </w:rPr>
              <w:t>.  The Court of Québec dismissed the appeals.  The Court of Appeal set aside that decision.</w:t>
            </w:r>
          </w:p>
          <w:p w:rsidR="00370E33" w:rsidRPr="003C02EC" w:rsidRDefault="00370E33" w:rsidP="00C5574B">
            <w:pPr>
              <w:jc w:val="both"/>
              <w:rPr>
                <w:sz w:val="20"/>
              </w:rPr>
            </w:pPr>
          </w:p>
        </w:tc>
      </w:tr>
      <w:tr w:rsidR="00370E33" w:rsidRPr="003C02EC" w:rsidTr="00C5574B">
        <w:tc>
          <w:tcPr>
            <w:tcW w:w="2427" w:type="pct"/>
          </w:tcPr>
          <w:p w:rsidR="00370E33" w:rsidRPr="003C02EC" w:rsidRDefault="00370E33" w:rsidP="00C5574B">
            <w:pPr>
              <w:jc w:val="both"/>
              <w:rPr>
                <w:sz w:val="20"/>
              </w:rPr>
            </w:pPr>
            <w:r w:rsidRPr="003C02EC">
              <w:rPr>
                <w:sz w:val="20"/>
              </w:rPr>
              <w:t>February 19, 2010</w:t>
            </w:r>
          </w:p>
          <w:p w:rsidR="00370E33" w:rsidRPr="003C02EC" w:rsidRDefault="00370E33" w:rsidP="00C5574B">
            <w:pPr>
              <w:jc w:val="both"/>
              <w:rPr>
                <w:sz w:val="20"/>
              </w:rPr>
            </w:pPr>
            <w:r w:rsidRPr="003C02EC">
              <w:rPr>
                <w:sz w:val="20"/>
              </w:rPr>
              <w:t>Court of Québec</w:t>
            </w:r>
          </w:p>
          <w:p w:rsidR="00370E33" w:rsidRPr="003C02EC" w:rsidRDefault="00370E33" w:rsidP="00C5574B">
            <w:pPr>
              <w:jc w:val="both"/>
              <w:rPr>
                <w:sz w:val="20"/>
              </w:rPr>
            </w:pPr>
            <w:r w:rsidRPr="003C02EC">
              <w:rPr>
                <w:sz w:val="20"/>
              </w:rPr>
              <w:t>(Judge Paquet)</w:t>
            </w:r>
          </w:p>
          <w:p w:rsidR="00370E33" w:rsidRPr="003C02EC" w:rsidRDefault="00370E33" w:rsidP="00C5574B">
            <w:pPr>
              <w:jc w:val="both"/>
              <w:rPr>
                <w:sz w:val="20"/>
              </w:rPr>
            </w:pPr>
            <w:r w:rsidRPr="003C02EC">
              <w:rPr>
                <w:sz w:val="20"/>
              </w:rPr>
              <w:t xml:space="preserve">2010 QCCQ 3029, 2010 QCCQ 3030, 2010 QCCQ 3031, 2010 QCCQ 3033, 2010 QCCQ 3034, 2010 QCCQ 3035, </w:t>
            </w:r>
            <w:hyperlink r:id="rId29" w:history="1">
              <w:r w:rsidRPr="003C02EC">
                <w:rPr>
                  <w:rStyle w:val="Hyperlink"/>
                  <w:sz w:val="20"/>
                </w:rPr>
                <w:t>2010 QCCQ 3036</w:t>
              </w:r>
            </w:hyperlink>
            <w:r w:rsidRPr="003C02EC">
              <w:rPr>
                <w:sz w:val="20"/>
              </w:rPr>
              <w:t xml:space="preserve"> </w:t>
            </w:r>
          </w:p>
          <w:p w:rsidR="00370E33" w:rsidRPr="003C02EC" w:rsidRDefault="00370E33" w:rsidP="00C5574B">
            <w:pPr>
              <w:jc w:val="both"/>
              <w:rPr>
                <w:sz w:val="20"/>
              </w:rPr>
            </w:pPr>
          </w:p>
        </w:tc>
        <w:tc>
          <w:tcPr>
            <w:tcW w:w="243" w:type="pct"/>
          </w:tcPr>
          <w:p w:rsidR="00370E33" w:rsidRPr="003C02EC" w:rsidRDefault="00370E33" w:rsidP="00C5574B">
            <w:pPr>
              <w:jc w:val="both"/>
              <w:rPr>
                <w:sz w:val="20"/>
              </w:rPr>
            </w:pPr>
          </w:p>
        </w:tc>
        <w:tc>
          <w:tcPr>
            <w:tcW w:w="2330" w:type="pct"/>
          </w:tcPr>
          <w:p w:rsidR="00370E33" w:rsidRPr="003C02EC" w:rsidRDefault="00370E33" w:rsidP="00C5574B">
            <w:pPr>
              <w:jc w:val="both"/>
              <w:rPr>
                <w:sz w:val="20"/>
              </w:rPr>
            </w:pPr>
            <w:r w:rsidRPr="003C02EC">
              <w:rPr>
                <w:sz w:val="20"/>
              </w:rPr>
              <w:t>Appeals from assessments dismissed</w:t>
            </w:r>
          </w:p>
          <w:p w:rsidR="00370E33" w:rsidRPr="003C02EC" w:rsidRDefault="00370E33" w:rsidP="00C5574B">
            <w:pPr>
              <w:jc w:val="both"/>
              <w:rPr>
                <w:sz w:val="20"/>
              </w:rPr>
            </w:pPr>
          </w:p>
        </w:tc>
      </w:tr>
      <w:tr w:rsidR="00370E33" w:rsidRPr="003C02EC" w:rsidTr="00C5574B">
        <w:tc>
          <w:tcPr>
            <w:tcW w:w="2427" w:type="pct"/>
          </w:tcPr>
          <w:p w:rsidR="00370E33" w:rsidRPr="003C02EC" w:rsidRDefault="00370E33" w:rsidP="00C5574B">
            <w:pPr>
              <w:jc w:val="both"/>
              <w:rPr>
                <w:sz w:val="20"/>
              </w:rPr>
            </w:pPr>
            <w:r w:rsidRPr="003C02EC">
              <w:rPr>
                <w:sz w:val="20"/>
              </w:rPr>
              <w:t>May 15, 2013</w:t>
            </w:r>
          </w:p>
          <w:p w:rsidR="00370E33" w:rsidRPr="003C02EC" w:rsidRDefault="00370E33" w:rsidP="00C5574B">
            <w:pPr>
              <w:jc w:val="both"/>
              <w:rPr>
                <w:sz w:val="20"/>
              </w:rPr>
            </w:pPr>
            <w:r w:rsidRPr="003C02EC">
              <w:rPr>
                <w:sz w:val="20"/>
              </w:rPr>
              <w:t>Quebec Court of Appeal (Montréal)</w:t>
            </w:r>
          </w:p>
          <w:p w:rsidR="00370E33" w:rsidRPr="003C02EC" w:rsidRDefault="00370E33" w:rsidP="00C5574B">
            <w:pPr>
              <w:jc w:val="both"/>
              <w:rPr>
                <w:sz w:val="20"/>
              </w:rPr>
            </w:pPr>
            <w:r w:rsidRPr="003C02EC">
              <w:rPr>
                <w:sz w:val="20"/>
              </w:rPr>
              <w:t>(Thibault, Dalphond and Fournier JJ.A.)</w:t>
            </w:r>
          </w:p>
          <w:p w:rsidR="00370E33" w:rsidRPr="003C02EC" w:rsidRDefault="001B62D0" w:rsidP="00C5574B">
            <w:pPr>
              <w:jc w:val="both"/>
              <w:rPr>
                <w:sz w:val="20"/>
              </w:rPr>
            </w:pPr>
            <w:hyperlink r:id="rId30" w:history="1">
              <w:r w:rsidR="00370E33" w:rsidRPr="003C02EC">
                <w:rPr>
                  <w:rStyle w:val="Hyperlink"/>
                  <w:sz w:val="20"/>
                </w:rPr>
                <w:t>2013 QCCA 947</w:t>
              </w:r>
            </w:hyperlink>
          </w:p>
          <w:p w:rsidR="00370E33" w:rsidRPr="003C02EC" w:rsidRDefault="00370E33" w:rsidP="00C5574B">
            <w:pPr>
              <w:jc w:val="both"/>
              <w:rPr>
                <w:sz w:val="20"/>
              </w:rPr>
            </w:pPr>
          </w:p>
        </w:tc>
        <w:tc>
          <w:tcPr>
            <w:tcW w:w="243" w:type="pct"/>
          </w:tcPr>
          <w:p w:rsidR="00370E33" w:rsidRPr="003C02EC" w:rsidRDefault="00370E33" w:rsidP="00C5574B">
            <w:pPr>
              <w:jc w:val="both"/>
              <w:rPr>
                <w:sz w:val="20"/>
              </w:rPr>
            </w:pPr>
          </w:p>
        </w:tc>
        <w:tc>
          <w:tcPr>
            <w:tcW w:w="2330" w:type="pct"/>
          </w:tcPr>
          <w:p w:rsidR="00370E33" w:rsidRPr="003C02EC" w:rsidRDefault="00370E33" w:rsidP="00C5574B">
            <w:pPr>
              <w:jc w:val="both"/>
              <w:rPr>
                <w:sz w:val="20"/>
              </w:rPr>
            </w:pPr>
            <w:r w:rsidRPr="003C02EC">
              <w:rPr>
                <w:sz w:val="20"/>
              </w:rPr>
              <w:t>Appeals allowed; motions to institute proceedings to appeal tax assessments allowed; assessments referred to Minister for reconsideration and reassessment</w:t>
            </w:r>
          </w:p>
        </w:tc>
      </w:tr>
      <w:tr w:rsidR="00370E33" w:rsidRPr="003C02EC" w:rsidTr="00C5574B">
        <w:tc>
          <w:tcPr>
            <w:tcW w:w="2427" w:type="pct"/>
          </w:tcPr>
          <w:p w:rsidR="00370E33" w:rsidRPr="003C02EC" w:rsidRDefault="00370E33" w:rsidP="00C5574B">
            <w:pPr>
              <w:jc w:val="both"/>
              <w:rPr>
                <w:sz w:val="20"/>
              </w:rPr>
            </w:pPr>
            <w:r w:rsidRPr="003C02EC">
              <w:rPr>
                <w:sz w:val="20"/>
              </w:rPr>
              <w:t>August 13, 2013</w:t>
            </w:r>
          </w:p>
          <w:p w:rsidR="00370E33" w:rsidRPr="003C02EC" w:rsidRDefault="00370E33" w:rsidP="00C5574B">
            <w:pPr>
              <w:jc w:val="both"/>
              <w:rPr>
                <w:sz w:val="20"/>
              </w:rPr>
            </w:pPr>
            <w:r w:rsidRPr="003C02EC">
              <w:rPr>
                <w:sz w:val="20"/>
              </w:rPr>
              <w:t>Supreme Court of Canada</w:t>
            </w:r>
          </w:p>
        </w:tc>
        <w:tc>
          <w:tcPr>
            <w:tcW w:w="243" w:type="pct"/>
          </w:tcPr>
          <w:p w:rsidR="00370E33" w:rsidRPr="003C02EC" w:rsidRDefault="00370E33" w:rsidP="00C5574B">
            <w:pPr>
              <w:jc w:val="both"/>
              <w:rPr>
                <w:sz w:val="20"/>
              </w:rPr>
            </w:pPr>
          </w:p>
        </w:tc>
        <w:tc>
          <w:tcPr>
            <w:tcW w:w="2330" w:type="pct"/>
          </w:tcPr>
          <w:p w:rsidR="00370E33" w:rsidRPr="003C02EC" w:rsidRDefault="00370E33" w:rsidP="00C5574B">
            <w:pPr>
              <w:jc w:val="both"/>
              <w:rPr>
                <w:sz w:val="20"/>
              </w:rPr>
            </w:pPr>
            <w:r w:rsidRPr="003C02EC">
              <w:rPr>
                <w:sz w:val="20"/>
              </w:rPr>
              <w:t>Application for leave to appeal filed</w:t>
            </w:r>
          </w:p>
          <w:p w:rsidR="00370E33" w:rsidRPr="003C02EC" w:rsidRDefault="00370E33" w:rsidP="00C5574B">
            <w:pPr>
              <w:jc w:val="both"/>
              <w:rPr>
                <w:sz w:val="20"/>
              </w:rPr>
            </w:pP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36"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1B62D0" w:rsidTr="00C5574B">
        <w:tc>
          <w:tcPr>
            <w:tcW w:w="5000" w:type="pct"/>
            <w:gridSpan w:val="3"/>
          </w:tcPr>
          <w:p w:rsidR="00370E33" w:rsidRPr="003C02EC" w:rsidRDefault="00370E33" w:rsidP="00C5574B">
            <w:pPr>
              <w:jc w:val="both"/>
              <w:rPr>
                <w:sz w:val="20"/>
                <w:lang w:val="fr-CA"/>
              </w:rPr>
            </w:pPr>
            <w:r w:rsidRPr="003C02EC">
              <w:rPr>
                <w:sz w:val="20"/>
                <w:lang w:val="fr-CA"/>
              </w:rPr>
              <w:t xml:space="preserve">Droit fiscal – Impôt sur le revenu – Cotisations – Taxe sur le capital versé montré aux états financiers d’une société – Les montants en question que la demanderesse qualifie d’avances doivent-ils être inclus dans le calcul du capital versé des intimées aux fins de la taxe sur le capital imposée par la Partie IV de la </w:t>
            </w:r>
            <w:r w:rsidRPr="003C02EC">
              <w:rPr>
                <w:i/>
                <w:sz w:val="20"/>
                <w:lang w:val="fr-CA"/>
              </w:rPr>
              <w:t>Loi sur les impôts</w:t>
            </w:r>
            <w:r w:rsidRPr="003C02EC">
              <w:rPr>
                <w:sz w:val="20"/>
                <w:lang w:val="fr-CA"/>
              </w:rPr>
              <w:t>, L.R.Q. c. I-3 ? – La Cour d’appel a</w:t>
            </w:r>
            <w:r w:rsidRPr="003C02EC">
              <w:rPr>
                <w:sz w:val="20"/>
                <w:lang w:val="fr-CA"/>
              </w:rPr>
              <w:noBreakHyphen/>
              <w:t>t</w:t>
            </w:r>
            <w:r w:rsidRPr="003C02EC">
              <w:rPr>
                <w:sz w:val="20"/>
                <w:lang w:val="fr-CA"/>
              </w:rPr>
              <w:noBreakHyphen/>
              <w:t>elle respecté son obligation de motiver sa décision? – La Cour d’appel a-t-elle incorrectement appliqué la norme de contrôle en regard des témoignages contradictoires des témoins experts?</w:t>
            </w:r>
          </w:p>
        </w:tc>
      </w:tr>
      <w:tr w:rsidR="00370E33" w:rsidRPr="001B62D0" w:rsidTr="00C5574B">
        <w:tc>
          <w:tcPr>
            <w:tcW w:w="5000" w:type="pct"/>
            <w:gridSpan w:val="3"/>
          </w:tcPr>
          <w:p w:rsidR="00370E33" w:rsidRPr="003C02EC" w:rsidRDefault="00370E33" w:rsidP="00C5574B">
            <w:pPr>
              <w:jc w:val="both"/>
              <w:rPr>
                <w:sz w:val="20"/>
                <w:lang w:val="fr-CA"/>
              </w:rPr>
            </w:pPr>
          </w:p>
        </w:tc>
      </w:tr>
      <w:tr w:rsidR="00370E33" w:rsidRPr="001B62D0" w:rsidTr="00C5574B">
        <w:tc>
          <w:tcPr>
            <w:tcW w:w="5000" w:type="pct"/>
            <w:gridSpan w:val="3"/>
          </w:tcPr>
          <w:p w:rsidR="00370E33" w:rsidRPr="003C02EC" w:rsidRDefault="00370E33" w:rsidP="00C5574B">
            <w:pPr>
              <w:jc w:val="both"/>
              <w:rPr>
                <w:sz w:val="20"/>
                <w:lang w:val="fr-CA"/>
              </w:rPr>
            </w:pPr>
            <w:r w:rsidRPr="003C02EC">
              <w:rPr>
                <w:sz w:val="20"/>
                <w:lang w:val="fr-CA"/>
              </w:rPr>
              <w:t xml:space="preserve">À l’époque pertinente, la </w:t>
            </w:r>
            <w:r w:rsidRPr="003C02EC">
              <w:rPr>
                <w:i/>
                <w:sz w:val="20"/>
                <w:lang w:val="fr-CA"/>
              </w:rPr>
              <w:t>Loi sur les impôts</w:t>
            </w:r>
            <w:r w:rsidRPr="003C02EC">
              <w:rPr>
                <w:sz w:val="20"/>
                <w:lang w:val="fr-CA"/>
              </w:rPr>
              <w:t xml:space="preserve">, L.R.Q., ch. I-3, prévoyait pour les sociétés comme l’intimée Bombardier le paiement d’une taxe sur le capital versé montré aux états financiers de la société pour l’année d’imposition (art. 1131).  Aux termes de l’art. 1136, le capital versé inclut les avances consenties à la société.  De plus, les états financiers sont définis à l’art. 1131 comme étant « les états financiers soumis aux actionnaires... et préparés conformément aux principes comptables généralement reconnus ».  Bombardier a contesté des cotisations émises par l’Agence du revenu du Québec en vertu de l’art. 1131 de la </w:t>
            </w:r>
            <w:r w:rsidRPr="003C02EC">
              <w:rPr>
                <w:i/>
                <w:sz w:val="20"/>
                <w:lang w:val="fr-CA"/>
              </w:rPr>
              <w:t>Loi</w:t>
            </w:r>
            <w:r w:rsidRPr="003C02EC">
              <w:rPr>
                <w:sz w:val="20"/>
                <w:lang w:val="fr-CA"/>
              </w:rPr>
              <w:t xml:space="preserve"> pour les années 1992, 1993, 1994, 1997, 1999, 2000 et 2001, au motif que certains paiements qu’elle a reçus de ses clients dans le cadre de contrats de fourniture d’avions ne constituaient pas des avances au sens de l’art. 1136</w:t>
            </w:r>
            <w:r w:rsidRPr="003C02EC">
              <w:rPr>
                <w:i/>
                <w:sz w:val="20"/>
                <w:lang w:val="fr-CA"/>
              </w:rPr>
              <w:t>d</w:t>
            </w:r>
            <w:r w:rsidRPr="003C02EC">
              <w:rPr>
                <w:sz w:val="20"/>
                <w:lang w:val="fr-CA"/>
              </w:rPr>
              <w:t xml:space="preserve">) et donc ne devaient pas être inclus dans le calcul de son capital versé aux fins de la taxe sur le capital imposée par la </w:t>
            </w:r>
            <w:r w:rsidRPr="003C02EC">
              <w:rPr>
                <w:i/>
                <w:sz w:val="20"/>
                <w:lang w:val="fr-CA"/>
              </w:rPr>
              <w:t>Loi</w:t>
            </w:r>
            <w:r w:rsidRPr="003C02EC">
              <w:rPr>
                <w:sz w:val="20"/>
                <w:lang w:val="fr-CA"/>
              </w:rPr>
              <w:t>. La Cour du Québec a rejeté les appels.  La Cour d’appel a infirmé cette décision.</w:t>
            </w:r>
          </w:p>
          <w:p w:rsidR="00370E33" w:rsidRPr="003C02EC" w:rsidRDefault="00370E33" w:rsidP="00C5574B">
            <w:pPr>
              <w:jc w:val="both"/>
              <w:rPr>
                <w:sz w:val="20"/>
                <w:lang w:val="fr-CA"/>
              </w:rPr>
            </w:pPr>
          </w:p>
        </w:tc>
      </w:tr>
      <w:tr w:rsidR="00370E33" w:rsidRPr="003C02EC" w:rsidTr="00C5574B">
        <w:tc>
          <w:tcPr>
            <w:tcW w:w="2427" w:type="pct"/>
          </w:tcPr>
          <w:p w:rsidR="00370E33" w:rsidRPr="003C02EC" w:rsidRDefault="00370E33" w:rsidP="00C5574B">
            <w:pPr>
              <w:jc w:val="both"/>
              <w:rPr>
                <w:sz w:val="20"/>
                <w:lang w:val="fr-CA"/>
              </w:rPr>
            </w:pPr>
            <w:r w:rsidRPr="003C02EC">
              <w:rPr>
                <w:sz w:val="20"/>
                <w:lang w:val="fr-CA"/>
              </w:rPr>
              <w:t>Le 19 février 2010</w:t>
            </w:r>
          </w:p>
          <w:p w:rsidR="00370E33" w:rsidRPr="003C02EC" w:rsidRDefault="00370E33" w:rsidP="00C5574B">
            <w:pPr>
              <w:jc w:val="both"/>
              <w:rPr>
                <w:sz w:val="20"/>
                <w:lang w:val="fr-CA"/>
              </w:rPr>
            </w:pPr>
            <w:r w:rsidRPr="003C02EC">
              <w:rPr>
                <w:sz w:val="20"/>
                <w:lang w:val="fr-CA"/>
              </w:rPr>
              <w:t>Cour du Québec</w:t>
            </w:r>
          </w:p>
          <w:p w:rsidR="00370E33" w:rsidRPr="003C02EC" w:rsidRDefault="00370E33" w:rsidP="00C5574B">
            <w:pPr>
              <w:jc w:val="both"/>
              <w:rPr>
                <w:sz w:val="20"/>
                <w:lang w:val="fr-CA"/>
              </w:rPr>
            </w:pPr>
            <w:r w:rsidRPr="003C02EC">
              <w:rPr>
                <w:sz w:val="20"/>
                <w:lang w:val="fr-CA"/>
              </w:rPr>
              <w:t>(Le juge Paquet)</w:t>
            </w:r>
          </w:p>
          <w:p w:rsidR="00370E33" w:rsidRPr="003C02EC" w:rsidRDefault="00370E33" w:rsidP="00C5574B">
            <w:pPr>
              <w:jc w:val="both"/>
              <w:rPr>
                <w:sz w:val="20"/>
                <w:lang w:val="fr-CA"/>
              </w:rPr>
            </w:pPr>
            <w:r w:rsidRPr="003C02EC">
              <w:rPr>
                <w:sz w:val="20"/>
                <w:lang w:val="fr-CA"/>
              </w:rPr>
              <w:t xml:space="preserve">2010 QCCQ 3029, 2010 QCCQ 3030, 2010 QCCQ 3031, 2010 QCCQ 3033, 2010 QCCQ 3034, 2010 QCCQ 3035, </w:t>
            </w:r>
            <w:hyperlink r:id="rId31" w:history="1">
              <w:r w:rsidRPr="003C02EC">
                <w:rPr>
                  <w:rStyle w:val="Hyperlink"/>
                  <w:sz w:val="20"/>
                  <w:lang w:val="fr-CA"/>
                </w:rPr>
                <w:t>2010 QCCQ 3036</w:t>
              </w:r>
            </w:hyperlink>
            <w:r w:rsidRPr="003C02EC">
              <w:rPr>
                <w:sz w:val="20"/>
                <w:lang w:val="fr-CA"/>
              </w:rPr>
              <w:t xml:space="preserve"> </w:t>
            </w:r>
          </w:p>
          <w:p w:rsidR="00370E33" w:rsidRPr="003C02EC" w:rsidRDefault="00370E33" w:rsidP="00C5574B">
            <w:pPr>
              <w:jc w:val="both"/>
              <w:rPr>
                <w:sz w:val="20"/>
                <w:lang w:val="fr-CA"/>
              </w:rPr>
            </w:pPr>
          </w:p>
        </w:tc>
        <w:tc>
          <w:tcPr>
            <w:tcW w:w="243" w:type="pct"/>
          </w:tcPr>
          <w:p w:rsidR="00370E33" w:rsidRPr="003C02EC" w:rsidRDefault="00370E33" w:rsidP="00C5574B">
            <w:pPr>
              <w:rPr>
                <w:sz w:val="20"/>
                <w:lang w:val="fr-CA"/>
              </w:rPr>
            </w:pPr>
          </w:p>
        </w:tc>
        <w:tc>
          <w:tcPr>
            <w:tcW w:w="2330" w:type="pct"/>
          </w:tcPr>
          <w:p w:rsidR="00370E33" w:rsidRPr="003C02EC" w:rsidRDefault="00370E33" w:rsidP="00C5574B">
            <w:pPr>
              <w:jc w:val="both"/>
              <w:rPr>
                <w:sz w:val="20"/>
              </w:rPr>
            </w:pPr>
            <w:r w:rsidRPr="003C02EC">
              <w:rPr>
                <w:sz w:val="20"/>
              </w:rPr>
              <w:t>Appels de cotisations rejetés</w:t>
            </w:r>
          </w:p>
          <w:p w:rsidR="00370E33" w:rsidRPr="003C02EC" w:rsidRDefault="00370E33" w:rsidP="00C5574B">
            <w:pPr>
              <w:jc w:val="both"/>
              <w:rPr>
                <w:sz w:val="20"/>
              </w:rPr>
            </w:pPr>
          </w:p>
        </w:tc>
      </w:tr>
      <w:tr w:rsidR="00370E33" w:rsidRPr="001B62D0" w:rsidTr="00C5574B">
        <w:tc>
          <w:tcPr>
            <w:tcW w:w="2427" w:type="pct"/>
          </w:tcPr>
          <w:p w:rsidR="00370E33" w:rsidRPr="003C02EC" w:rsidRDefault="00370E33" w:rsidP="00C5574B">
            <w:pPr>
              <w:jc w:val="both"/>
              <w:rPr>
                <w:sz w:val="20"/>
                <w:lang w:val="fr-CA"/>
              </w:rPr>
            </w:pPr>
            <w:r w:rsidRPr="003C02EC">
              <w:rPr>
                <w:sz w:val="20"/>
                <w:lang w:val="fr-CA"/>
              </w:rPr>
              <w:t>Le 15 mai 2013</w:t>
            </w:r>
          </w:p>
          <w:p w:rsidR="00370E33" w:rsidRPr="003C02EC" w:rsidRDefault="00370E33" w:rsidP="00C5574B">
            <w:pPr>
              <w:jc w:val="both"/>
              <w:rPr>
                <w:sz w:val="20"/>
                <w:lang w:val="fr-CA"/>
              </w:rPr>
            </w:pPr>
            <w:r w:rsidRPr="003C02EC">
              <w:rPr>
                <w:sz w:val="20"/>
                <w:lang w:val="fr-CA"/>
              </w:rPr>
              <w:t>Cour d’appel du Québec (Montréal)</w:t>
            </w:r>
          </w:p>
          <w:p w:rsidR="00370E33" w:rsidRPr="003C02EC" w:rsidRDefault="00370E33" w:rsidP="00C5574B">
            <w:pPr>
              <w:jc w:val="both"/>
              <w:rPr>
                <w:sz w:val="20"/>
                <w:lang w:val="fr-CA"/>
              </w:rPr>
            </w:pPr>
            <w:r w:rsidRPr="003C02EC">
              <w:rPr>
                <w:sz w:val="20"/>
                <w:lang w:val="fr-CA"/>
              </w:rPr>
              <w:t>(Les juges Thibault, Dalphond et Fournier)</w:t>
            </w:r>
          </w:p>
          <w:p w:rsidR="00370E33" w:rsidRPr="003C02EC" w:rsidRDefault="001B62D0" w:rsidP="00C5574B">
            <w:pPr>
              <w:jc w:val="both"/>
              <w:rPr>
                <w:sz w:val="20"/>
              </w:rPr>
            </w:pPr>
            <w:hyperlink r:id="rId32" w:history="1">
              <w:r w:rsidR="00370E33" w:rsidRPr="003C02EC">
                <w:rPr>
                  <w:rStyle w:val="Hyperlink"/>
                  <w:sz w:val="20"/>
                </w:rPr>
                <w:t>2013 QCCA 947</w:t>
              </w:r>
            </w:hyperlink>
          </w:p>
          <w:p w:rsidR="00370E33" w:rsidRPr="003C02EC" w:rsidRDefault="00370E33" w:rsidP="00C5574B">
            <w:pPr>
              <w:jc w:val="both"/>
              <w:rPr>
                <w:sz w:val="20"/>
              </w:rPr>
            </w:pPr>
          </w:p>
        </w:tc>
        <w:tc>
          <w:tcPr>
            <w:tcW w:w="243" w:type="pct"/>
          </w:tcPr>
          <w:p w:rsidR="00370E33" w:rsidRPr="003C02EC" w:rsidRDefault="00370E33" w:rsidP="00C5574B">
            <w:pPr>
              <w:rPr>
                <w:sz w:val="20"/>
              </w:rPr>
            </w:pPr>
          </w:p>
        </w:tc>
        <w:tc>
          <w:tcPr>
            <w:tcW w:w="2330" w:type="pct"/>
          </w:tcPr>
          <w:p w:rsidR="00370E33" w:rsidRPr="003C02EC" w:rsidRDefault="00370E33" w:rsidP="00C5574B">
            <w:pPr>
              <w:jc w:val="both"/>
              <w:rPr>
                <w:sz w:val="20"/>
                <w:lang w:val="fr-CA"/>
              </w:rPr>
            </w:pPr>
            <w:r w:rsidRPr="003C02EC">
              <w:rPr>
                <w:sz w:val="20"/>
                <w:lang w:val="fr-CA"/>
              </w:rPr>
              <w:t xml:space="preserve">Appels accueillis; requêtes introductives d’instance en appel des cotisations fiscales accueillies; cotisations déférées au ministre pour nouvel examen et nouvelles cotisations </w:t>
            </w:r>
          </w:p>
        </w:tc>
      </w:tr>
      <w:tr w:rsidR="00370E33" w:rsidRPr="003C02EC" w:rsidTr="00C5574B">
        <w:tc>
          <w:tcPr>
            <w:tcW w:w="2427" w:type="pct"/>
          </w:tcPr>
          <w:p w:rsidR="00370E33" w:rsidRPr="003C02EC" w:rsidRDefault="00370E33" w:rsidP="00C5574B">
            <w:pPr>
              <w:jc w:val="both"/>
              <w:rPr>
                <w:sz w:val="20"/>
                <w:lang w:val="fr-CA"/>
              </w:rPr>
            </w:pPr>
            <w:r w:rsidRPr="003C02EC">
              <w:rPr>
                <w:sz w:val="20"/>
                <w:lang w:val="fr-CA"/>
              </w:rPr>
              <w:t>Le 13 août 2013</w:t>
            </w:r>
          </w:p>
          <w:p w:rsidR="00370E33" w:rsidRPr="003C02EC" w:rsidRDefault="00370E33" w:rsidP="00C5574B">
            <w:pPr>
              <w:jc w:val="both"/>
              <w:rPr>
                <w:sz w:val="20"/>
                <w:lang w:val="fr-CA"/>
              </w:rPr>
            </w:pPr>
            <w:r w:rsidRPr="003C02EC">
              <w:rPr>
                <w:sz w:val="20"/>
                <w:lang w:val="fr-CA"/>
              </w:rPr>
              <w:t>Cour suprême du Canada</w:t>
            </w:r>
          </w:p>
        </w:tc>
        <w:tc>
          <w:tcPr>
            <w:tcW w:w="243" w:type="pct"/>
          </w:tcPr>
          <w:p w:rsidR="00370E33" w:rsidRPr="003C02EC" w:rsidRDefault="00370E33" w:rsidP="00C5574B">
            <w:pPr>
              <w:rPr>
                <w:sz w:val="20"/>
                <w:lang w:val="fr-CA"/>
              </w:rPr>
            </w:pPr>
          </w:p>
        </w:tc>
        <w:tc>
          <w:tcPr>
            <w:tcW w:w="2330" w:type="pct"/>
          </w:tcPr>
          <w:p w:rsidR="00370E33" w:rsidRPr="003C02EC" w:rsidRDefault="00370E33" w:rsidP="00C5574B">
            <w:pPr>
              <w:jc w:val="both"/>
              <w:rPr>
                <w:sz w:val="20"/>
              </w:rPr>
            </w:pPr>
            <w:r w:rsidRPr="003C02EC">
              <w:rPr>
                <w:sz w:val="20"/>
              </w:rPr>
              <w:t>Demande d'autorisation d'appel déposée</w:t>
            </w:r>
          </w:p>
          <w:p w:rsidR="00370E33" w:rsidRPr="003C02EC" w:rsidRDefault="00370E33" w:rsidP="00C5574B">
            <w:pPr>
              <w:jc w:val="both"/>
              <w:rPr>
                <w:sz w:val="20"/>
              </w:rPr>
            </w:pPr>
          </w:p>
        </w:tc>
      </w:tr>
    </w:tbl>
    <w:p w:rsidR="00370E33" w:rsidRDefault="00370E33" w:rsidP="00370E33">
      <w:pPr>
        <w:rPr>
          <w:sz w:val="20"/>
          <w:szCs w:val="20"/>
        </w:rPr>
      </w:pPr>
    </w:p>
    <w:p w:rsidR="00370E33" w:rsidRDefault="001B62D0" w:rsidP="00370E33">
      <w:pPr>
        <w:rPr>
          <w:sz w:val="20"/>
          <w:szCs w:val="20"/>
        </w:rPr>
      </w:pPr>
      <w:r>
        <w:rPr>
          <w:sz w:val="20"/>
          <w:szCs w:val="20"/>
          <w:lang w:val="fr-CA"/>
        </w:rPr>
        <w:pict>
          <v:rect id="_x0000_i1037"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7DC3" w:rsidRPr="001B62D0" w:rsidTr="00FF5D8C">
        <w:trPr>
          <w:cantSplit/>
        </w:trPr>
        <w:tc>
          <w:tcPr>
            <w:tcW w:w="1458" w:type="dxa"/>
          </w:tcPr>
          <w:p w:rsidR="00D77DC3" w:rsidRPr="00421D33" w:rsidRDefault="00D77DC3" w:rsidP="00FF5D8C">
            <w:pPr>
              <w:rPr>
                <w:sz w:val="20"/>
                <w:szCs w:val="20"/>
              </w:rPr>
            </w:pPr>
            <w:r w:rsidRPr="00421D33">
              <w:rPr>
                <w:rStyle w:val="SCCFileNumberChar"/>
                <w:sz w:val="20"/>
                <w:szCs w:val="20"/>
              </w:rPr>
              <w:t>35495</w:t>
            </w:r>
          </w:p>
          <w:p w:rsidR="00D77DC3" w:rsidRPr="00421D33" w:rsidRDefault="00D77DC3" w:rsidP="00FF5D8C">
            <w:pPr>
              <w:rPr>
                <w:b/>
                <w:sz w:val="20"/>
                <w:szCs w:val="20"/>
                <w:lang w:val="fr-CA"/>
              </w:rPr>
            </w:pPr>
          </w:p>
        </w:tc>
        <w:tc>
          <w:tcPr>
            <w:tcW w:w="8118" w:type="dxa"/>
          </w:tcPr>
          <w:p w:rsidR="00D77DC3" w:rsidRPr="00421D33" w:rsidRDefault="00D77DC3" w:rsidP="00FF5D8C">
            <w:pPr>
              <w:jc w:val="both"/>
              <w:rPr>
                <w:sz w:val="20"/>
                <w:szCs w:val="20"/>
                <w:lang w:val="fr-CA"/>
              </w:rPr>
            </w:pPr>
            <w:r w:rsidRPr="00421D33">
              <w:rPr>
                <w:rStyle w:val="SCCLsocChar"/>
                <w:sz w:val="20"/>
                <w:szCs w:val="20"/>
              </w:rPr>
              <w:t>Jean St-Arnaud c. Christine Laplante</w:t>
            </w:r>
            <w:r w:rsidR="005363AD">
              <w:rPr>
                <w:rStyle w:val="SCCLsocChar"/>
                <w:sz w:val="20"/>
                <w:szCs w:val="20"/>
              </w:rPr>
              <w:t xml:space="preserve"> et</w:t>
            </w:r>
            <w:r w:rsidRPr="00421D33">
              <w:rPr>
                <w:rStyle w:val="SCCLsocChar"/>
                <w:sz w:val="20"/>
                <w:szCs w:val="20"/>
              </w:rPr>
              <w:t xml:space="preserve"> Stéphane Jacques, en sa qualité personnelle et en sa qualité de tuteur à son enfant mineur William Jacques</w:t>
            </w:r>
            <w:r w:rsidRPr="00421D33">
              <w:rPr>
                <w:sz w:val="20"/>
                <w:szCs w:val="20"/>
                <w:lang w:val="fr-CA"/>
              </w:rPr>
              <w:t xml:space="preserve"> (Qc) (Civile) (Autorisation)</w:t>
            </w:r>
          </w:p>
          <w:p w:rsidR="00D77DC3" w:rsidRPr="00421D33" w:rsidRDefault="00D77DC3" w:rsidP="00FF5D8C">
            <w:pPr>
              <w:jc w:val="both"/>
              <w:rPr>
                <w:sz w:val="20"/>
                <w:szCs w:val="20"/>
                <w:lang w:val="fr-CA"/>
              </w:rPr>
            </w:pPr>
          </w:p>
        </w:tc>
      </w:tr>
      <w:tr w:rsidR="00D77DC3" w:rsidRPr="001B62D0" w:rsidTr="00FF5D8C">
        <w:trPr>
          <w:cantSplit/>
        </w:trPr>
        <w:tc>
          <w:tcPr>
            <w:tcW w:w="1458" w:type="dxa"/>
          </w:tcPr>
          <w:p w:rsidR="00D77DC3" w:rsidRPr="00421D33" w:rsidRDefault="00D77DC3" w:rsidP="00FF5D8C">
            <w:pPr>
              <w:rPr>
                <w:sz w:val="20"/>
                <w:szCs w:val="20"/>
              </w:rPr>
            </w:pPr>
            <w:r w:rsidRPr="00421D33">
              <w:rPr>
                <w:sz w:val="20"/>
                <w:szCs w:val="20"/>
              </w:rPr>
              <w:t>Coram :</w:t>
            </w:r>
          </w:p>
        </w:tc>
        <w:tc>
          <w:tcPr>
            <w:tcW w:w="8118" w:type="dxa"/>
          </w:tcPr>
          <w:p w:rsidR="00D77DC3" w:rsidRPr="00421D33" w:rsidRDefault="00D77DC3" w:rsidP="00FF5D8C">
            <w:pPr>
              <w:rPr>
                <w:sz w:val="20"/>
                <w:szCs w:val="20"/>
                <w:lang w:val="fr-CA"/>
              </w:rPr>
            </w:pPr>
            <w:r w:rsidRPr="00421D33">
              <w:rPr>
                <w:rStyle w:val="SCCCoramChar"/>
                <w:sz w:val="20"/>
                <w:szCs w:val="20"/>
              </w:rPr>
              <w:t>Les juges LeBel, Karakatsanis et Wagner</w:t>
            </w:r>
          </w:p>
          <w:p w:rsidR="00D77DC3" w:rsidRPr="00421D33" w:rsidRDefault="00D77DC3" w:rsidP="00FF5D8C">
            <w:pPr>
              <w:rPr>
                <w:sz w:val="20"/>
                <w:szCs w:val="20"/>
                <w:u w:val="single"/>
                <w:lang w:val="fr-CA"/>
              </w:rPr>
            </w:pPr>
          </w:p>
        </w:tc>
      </w:tr>
      <w:tr w:rsidR="00D77DC3" w:rsidRPr="00421D33" w:rsidTr="00FF5D8C">
        <w:trPr>
          <w:cantSplit/>
        </w:trPr>
        <w:tc>
          <w:tcPr>
            <w:tcW w:w="9576" w:type="dxa"/>
            <w:gridSpan w:val="2"/>
          </w:tcPr>
          <w:p w:rsidR="00D77DC3" w:rsidRPr="00421D33" w:rsidRDefault="00D77DC3" w:rsidP="00FF5D8C">
            <w:pPr>
              <w:pStyle w:val="SCCShortJudgment"/>
              <w:rPr>
                <w:szCs w:val="20"/>
                <w:lang w:val="fr-CA"/>
              </w:rPr>
            </w:pPr>
            <w:r w:rsidRPr="00421D33">
              <w:rPr>
                <w:szCs w:val="20"/>
                <w:lang w:val="fr-CA"/>
              </w:rPr>
              <w:t>La demande d’autorisation d’appel de l’arrêt de la Cour d’appel du Québec (Montréal), numéro 500-09-021771-118, 2013 QCCA 981, daté du 27 mai 2013, est rejetée avec dépens.</w:t>
            </w:r>
          </w:p>
          <w:p w:rsidR="00D77DC3" w:rsidRPr="00421D33" w:rsidRDefault="00D77DC3" w:rsidP="00FF5D8C">
            <w:pPr>
              <w:pStyle w:val="SCCShortJudgment"/>
              <w:ind w:firstLine="0"/>
              <w:rPr>
                <w:szCs w:val="20"/>
                <w:lang w:val="fr-CA"/>
              </w:rPr>
            </w:pPr>
          </w:p>
          <w:p w:rsidR="00D77DC3" w:rsidRPr="00421D33" w:rsidRDefault="00D77DC3" w:rsidP="00FF5D8C">
            <w:pPr>
              <w:pStyle w:val="SCCShortJudgment"/>
              <w:rPr>
                <w:szCs w:val="20"/>
              </w:rPr>
            </w:pPr>
            <w:r w:rsidRPr="00421D33">
              <w:rPr>
                <w:szCs w:val="20"/>
              </w:rPr>
              <w:t>The application for leave to appeal from the judgment of the Court of Appeal of Quebec (Montréal), Number 500-09-021771-118, 2013 QCCA 981, dated May 27, 2013, is dismissed with costs.</w:t>
            </w:r>
          </w:p>
        </w:tc>
      </w:tr>
    </w:tbl>
    <w:p w:rsidR="00370E33" w:rsidRPr="00D77DC3" w:rsidRDefault="00370E33" w:rsidP="00370E33">
      <w:pPr>
        <w:rPr>
          <w:sz w:val="20"/>
          <w:szCs w:val="20"/>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3C02EC" w:rsidTr="00C5574B">
        <w:tc>
          <w:tcPr>
            <w:tcW w:w="5000" w:type="pct"/>
            <w:gridSpan w:val="3"/>
          </w:tcPr>
          <w:p w:rsidR="00370E33" w:rsidRPr="003C02EC" w:rsidRDefault="00370E33" w:rsidP="00C5574B">
            <w:pPr>
              <w:jc w:val="both"/>
              <w:rPr>
                <w:rFonts w:eastAsia="Calibri"/>
                <w:sz w:val="20"/>
              </w:rPr>
            </w:pPr>
            <w:r w:rsidRPr="003C02EC">
              <w:rPr>
                <w:rFonts w:eastAsia="Calibri"/>
                <w:sz w:val="20"/>
              </w:rPr>
              <w:lastRenderedPageBreak/>
              <w:t xml:space="preserve">Delictual liability – Professional liability – Bodily injury – Evidence – Reservation of right to apply for additional damages if course of creditor’s physical condition cannot be determined with sufficient precision at time of judgment – Whether court that reserves right under art. 1615 C.C.Q. can refuse to decide merits of part of claim made by plaintiffs – </w:t>
            </w:r>
            <w:r w:rsidRPr="003C02EC">
              <w:rPr>
                <w:rFonts w:eastAsia="Calibri"/>
                <w:i/>
                <w:sz w:val="20"/>
              </w:rPr>
              <w:t>Civil Code of Québec</w:t>
            </w:r>
            <w:r w:rsidRPr="003C02EC">
              <w:rPr>
                <w:rFonts w:eastAsia="Calibri"/>
                <w:sz w:val="20"/>
              </w:rPr>
              <w:t>, S.Q. 1991, c. 64, art. 1615.</w:t>
            </w:r>
          </w:p>
        </w:tc>
      </w:tr>
      <w:tr w:rsidR="00370E33" w:rsidRPr="003C02EC" w:rsidTr="00C5574B">
        <w:tc>
          <w:tcPr>
            <w:tcW w:w="5000" w:type="pct"/>
            <w:gridSpan w:val="3"/>
          </w:tcPr>
          <w:p w:rsidR="00370E33" w:rsidRPr="003C02EC" w:rsidRDefault="00370E33" w:rsidP="00C5574B">
            <w:pPr>
              <w:jc w:val="both"/>
              <w:rPr>
                <w:rFonts w:eastAsia="Calibri"/>
                <w:sz w:val="20"/>
              </w:rPr>
            </w:pPr>
          </w:p>
        </w:tc>
      </w:tr>
      <w:tr w:rsidR="00370E33" w:rsidRPr="003C02EC" w:rsidTr="00C5574B">
        <w:tc>
          <w:tcPr>
            <w:tcW w:w="5000" w:type="pct"/>
            <w:gridSpan w:val="3"/>
          </w:tcPr>
          <w:p w:rsidR="00370E33" w:rsidRPr="003C02EC" w:rsidRDefault="00370E33" w:rsidP="00C5574B">
            <w:pPr>
              <w:jc w:val="both"/>
              <w:rPr>
                <w:rFonts w:eastAsia="Calibri"/>
                <w:sz w:val="20"/>
              </w:rPr>
            </w:pPr>
            <w:r w:rsidRPr="003C02EC">
              <w:rPr>
                <w:rFonts w:eastAsia="Calibri"/>
                <w:sz w:val="20"/>
              </w:rPr>
              <w:t>The respondents are the parents of a child who was born prematurely in 2002 at 30 weeks’ gestation.  They instituted an action against the applicant Dr. St</w:t>
            </w:r>
            <w:r w:rsidRPr="003C02EC">
              <w:rPr>
                <w:rFonts w:eastAsia="Calibri"/>
                <w:sz w:val="20"/>
              </w:rPr>
              <w:noBreakHyphen/>
              <w:t>Arnaud and a health and social services centre, blaming them for the complications suffered by their child, including attention deficit hyperactivity disorder and sensory regulation disorder.  They claimed damages on their own behalf and on behalf of their child.</w:t>
            </w:r>
          </w:p>
          <w:p w:rsidR="00370E33" w:rsidRPr="003C02EC" w:rsidRDefault="00370E33" w:rsidP="00C5574B">
            <w:pPr>
              <w:jc w:val="both"/>
              <w:rPr>
                <w:rFonts w:eastAsia="Calibri"/>
                <w:sz w:val="20"/>
              </w:rPr>
            </w:pPr>
          </w:p>
          <w:p w:rsidR="00370E33" w:rsidRPr="003C02EC" w:rsidRDefault="00370E33" w:rsidP="00C5574B">
            <w:pPr>
              <w:jc w:val="both"/>
              <w:rPr>
                <w:rFonts w:eastAsia="Calibri"/>
                <w:sz w:val="20"/>
              </w:rPr>
            </w:pPr>
            <w:r w:rsidRPr="003C02EC">
              <w:rPr>
                <w:rFonts w:eastAsia="Calibri"/>
                <w:sz w:val="20"/>
              </w:rPr>
              <w:t>The Superior Court allowed the action against Dr. St</w:t>
            </w:r>
            <w:r w:rsidRPr="003C02EC">
              <w:rPr>
                <w:rFonts w:eastAsia="Calibri"/>
                <w:sz w:val="20"/>
              </w:rPr>
              <w:noBreakHyphen/>
              <w:t>Arnaud.  Tôth J. found that the fault committed by Dr. St</w:t>
            </w:r>
            <w:r w:rsidRPr="003C02EC">
              <w:rPr>
                <w:rFonts w:eastAsia="Calibri"/>
                <w:sz w:val="20"/>
              </w:rPr>
              <w:noBreakHyphen/>
              <w:t>Arnaud had prevented the child’s normal development as a result of the premature birth.  He ordered Dr. St</w:t>
            </w:r>
            <w:r w:rsidRPr="003C02EC">
              <w:rPr>
                <w:rFonts w:eastAsia="Calibri"/>
                <w:sz w:val="20"/>
              </w:rPr>
              <w:noBreakHyphen/>
              <w:t>Arnaud to pay certain amounts.  Under art. 1615 of the C.C.Q., he also reserved the father’s right to apply, on the child’s behalf, for additional damages for a period of three years, since he was of the opinion that, although there was definite, present and actual injury resulting from Dr. St</w:t>
            </w:r>
            <w:r w:rsidRPr="003C02EC">
              <w:rPr>
                <w:rFonts w:eastAsia="Calibri"/>
                <w:sz w:val="20"/>
              </w:rPr>
              <w:noBreakHyphen/>
              <w:t>Arnaud’s fault, the course of the child’s physical condition could not be determined with sufficient precision.  In particular, the judge noted that the child was nine years old and that the experts feared he had a learning disability that could affect the realization of his full potential as well as his earning capacity.  The start of secondary school and puberty would be [</w:t>
            </w:r>
            <w:r w:rsidRPr="003C02EC">
              <w:rPr>
                <w:rFonts w:eastAsia="Calibri"/>
                <w:smallCaps/>
                <w:sz w:val="20"/>
              </w:rPr>
              <w:t>translation</w:t>
            </w:r>
            <w:r w:rsidRPr="003C02EC">
              <w:rPr>
                <w:rFonts w:eastAsia="Calibri"/>
                <w:sz w:val="20"/>
              </w:rPr>
              <w:t>] “decisive steps” (para. 429). The Court of Appeal dismissed Dr. St</w:t>
            </w:r>
            <w:r w:rsidRPr="003C02EC">
              <w:rPr>
                <w:rFonts w:eastAsia="Calibri"/>
                <w:sz w:val="20"/>
              </w:rPr>
              <w:noBreakHyphen/>
              <w:t>Arnaud’s appeal.</w:t>
            </w: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June 16, 2011</w:t>
            </w:r>
          </w:p>
          <w:p w:rsidR="00370E33" w:rsidRPr="003C02EC" w:rsidRDefault="00370E33" w:rsidP="00C5574B">
            <w:pPr>
              <w:jc w:val="both"/>
              <w:rPr>
                <w:rFonts w:eastAsia="Calibri"/>
                <w:sz w:val="20"/>
              </w:rPr>
            </w:pPr>
            <w:r w:rsidRPr="003C02EC">
              <w:rPr>
                <w:rFonts w:eastAsia="Calibri"/>
                <w:sz w:val="20"/>
              </w:rPr>
              <w:t>Quebec Superior Court</w:t>
            </w:r>
          </w:p>
          <w:p w:rsidR="00370E33" w:rsidRPr="003C02EC" w:rsidRDefault="00370E33" w:rsidP="00C5574B">
            <w:pPr>
              <w:jc w:val="both"/>
              <w:rPr>
                <w:rFonts w:eastAsia="Calibri"/>
                <w:sz w:val="20"/>
              </w:rPr>
            </w:pPr>
            <w:r w:rsidRPr="003C02EC">
              <w:rPr>
                <w:rFonts w:eastAsia="Calibri"/>
                <w:sz w:val="20"/>
              </w:rPr>
              <w:t>(Tôth J.)</w:t>
            </w:r>
          </w:p>
          <w:p w:rsidR="00370E33" w:rsidRPr="003C02EC" w:rsidRDefault="001B62D0" w:rsidP="00C5574B">
            <w:pPr>
              <w:jc w:val="both"/>
              <w:rPr>
                <w:rFonts w:eastAsia="Calibri"/>
                <w:color w:val="000000"/>
                <w:sz w:val="20"/>
              </w:rPr>
            </w:pPr>
            <w:hyperlink r:id="rId33" w:history="1">
              <w:r w:rsidR="00370E33" w:rsidRPr="003C02EC">
                <w:rPr>
                  <w:rFonts w:eastAsia="Calibri"/>
                  <w:color w:val="0000FF"/>
                  <w:sz w:val="20"/>
                  <w:u w:val="single"/>
                </w:rPr>
                <w:t>2011 QCCS 2360</w:t>
              </w:r>
            </w:hyperlink>
            <w:r w:rsidR="00370E33" w:rsidRPr="003C02EC">
              <w:rPr>
                <w:rFonts w:eastAsia="Calibri"/>
                <w:color w:val="000000"/>
                <w:sz w:val="20"/>
              </w:rPr>
              <w:t xml:space="preserve"> </w:t>
            </w:r>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Action in delictual liability allowed in part</w:t>
            </w: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May 27, 2013</w:t>
            </w:r>
          </w:p>
          <w:p w:rsidR="00370E33" w:rsidRPr="003C02EC" w:rsidRDefault="00370E33" w:rsidP="00C5574B">
            <w:pPr>
              <w:jc w:val="both"/>
              <w:rPr>
                <w:rFonts w:eastAsia="Calibri"/>
                <w:sz w:val="20"/>
              </w:rPr>
            </w:pPr>
            <w:r w:rsidRPr="003C02EC">
              <w:rPr>
                <w:rFonts w:eastAsia="Calibri"/>
                <w:sz w:val="20"/>
              </w:rPr>
              <w:t>Quebec Court of Appeal (Montréal)</w:t>
            </w:r>
          </w:p>
          <w:p w:rsidR="00370E33" w:rsidRPr="003C02EC" w:rsidRDefault="00370E33" w:rsidP="00C5574B">
            <w:pPr>
              <w:jc w:val="both"/>
              <w:rPr>
                <w:rFonts w:eastAsia="Calibri"/>
                <w:sz w:val="20"/>
                <w:lang w:val="fr-CA"/>
              </w:rPr>
            </w:pPr>
            <w:r w:rsidRPr="003C02EC">
              <w:rPr>
                <w:rFonts w:eastAsia="Calibri"/>
                <w:sz w:val="20"/>
                <w:lang w:val="fr-CA"/>
              </w:rPr>
              <w:t xml:space="preserve">(Pelletier, Gagnon and Bouchard JJ.A.) </w:t>
            </w:r>
          </w:p>
          <w:p w:rsidR="00370E33" w:rsidRPr="003C02EC" w:rsidRDefault="001B62D0" w:rsidP="00C5574B">
            <w:pPr>
              <w:jc w:val="both"/>
              <w:rPr>
                <w:rFonts w:eastAsia="Calibri"/>
                <w:color w:val="000000"/>
                <w:sz w:val="20"/>
              </w:rPr>
            </w:pPr>
            <w:hyperlink r:id="rId34" w:history="1">
              <w:r w:rsidR="00370E33" w:rsidRPr="003C02EC">
                <w:rPr>
                  <w:rFonts w:eastAsia="Calibri"/>
                  <w:color w:val="0000FF"/>
                  <w:sz w:val="20"/>
                  <w:u w:val="single"/>
                </w:rPr>
                <w:t>2013 QCCA 981</w:t>
              </w:r>
            </w:hyperlink>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Appeal dismissed; incidental appeal dismissed</w:t>
            </w: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August 26, 2013</w:t>
            </w:r>
          </w:p>
          <w:p w:rsidR="00370E33" w:rsidRPr="003C02EC" w:rsidRDefault="00370E33" w:rsidP="00C5574B">
            <w:pPr>
              <w:jc w:val="both"/>
              <w:rPr>
                <w:rFonts w:eastAsia="Calibri"/>
                <w:sz w:val="20"/>
              </w:rPr>
            </w:pPr>
            <w:r w:rsidRPr="003C02EC">
              <w:rPr>
                <w:rFonts w:eastAsia="Calibri"/>
                <w:sz w:val="20"/>
              </w:rPr>
              <w:t>Supreme Court of Canada</w:t>
            </w: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Application for leave to appeal filed</w:t>
            </w:r>
          </w:p>
          <w:p w:rsidR="00370E33" w:rsidRPr="003C02EC" w:rsidRDefault="00370E33" w:rsidP="00C5574B">
            <w:pPr>
              <w:jc w:val="both"/>
              <w:rPr>
                <w:rFonts w:eastAsia="Calibri"/>
                <w:sz w:val="20"/>
              </w:rPr>
            </w:pP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38"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1B62D0" w:rsidTr="00C5574B">
        <w:tc>
          <w:tcPr>
            <w:tcW w:w="5000" w:type="pct"/>
            <w:gridSpan w:val="3"/>
          </w:tcPr>
          <w:p w:rsidR="00370E33" w:rsidRPr="003C02EC" w:rsidRDefault="00370E33" w:rsidP="00C5574B">
            <w:pPr>
              <w:jc w:val="both"/>
              <w:rPr>
                <w:rFonts w:eastAsia="Calibri"/>
                <w:sz w:val="20"/>
                <w:lang w:val="fr-CA"/>
              </w:rPr>
            </w:pPr>
            <w:r w:rsidRPr="003C02EC">
              <w:rPr>
                <w:rFonts w:eastAsia="Calibri"/>
                <w:sz w:val="20"/>
                <w:lang w:val="fr-CA"/>
              </w:rPr>
              <w:t xml:space="preserve">Responsabilité délictuelle – Responsabilité professionnelle – Préjudice corporel – Preuve – Réserve du droit de demander des dommages-intérêts additionnels lorsqu’il n’est pas possible de déterminer avec une précision suffisante l’évolution de la condition physique du créancier au moment du jugement – Lorsqu’il accorde une réserve de droit en vertu de l’art. 1615 C.c.Q., le tribunal peut-il refuser de statuer quant au bien-fondé d’une partie de la réclamation </w:t>
            </w:r>
            <w:r w:rsidRPr="003C02EC">
              <w:rPr>
                <w:rFonts w:eastAsia="Calibri"/>
                <w:sz w:val="20"/>
                <w:lang w:val="fr-CA"/>
              </w:rPr>
              <w:lastRenderedPageBreak/>
              <w:t xml:space="preserve">présentée par les demandeurs? – </w:t>
            </w:r>
            <w:r w:rsidRPr="003C02EC">
              <w:rPr>
                <w:rFonts w:eastAsia="Calibri"/>
                <w:i/>
                <w:sz w:val="20"/>
                <w:lang w:val="fr-CA"/>
              </w:rPr>
              <w:t>Code civil du Québec</w:t>
            </w:r>
            <w:r w:rsidRPr="003C02EC">
              <w:rPr>
                <w:rFonts w:eastAsia="Calibri"/>
                <w:sz w:val="20"/>
                <w:lang w:val="fr-CA"/>
              </w:rPr>
              <w:t>, L.Q. 1991, ch. 64, art. 1615.</w:t>
            </w:r>
          </w:p>
        </w:tc>
      </w:tr>
      <w:tr w:rsidR="00370E33" w:rsidRPr="001B62D0" w:rsidTr="00C5574B">
        <w:tc>
          <w:tcPr>
            <w:tcW w:w="5000" w:type="pct"/>
            <w:gridSpan w:val="3"/>
          </w:tcPr>
          <w:p w:rsidR="00370E33" w:rsidRPr="003C02EC" w:rsidRDefault="00370E33" w:rsidP="00C5574B">
            <w:pPr>
              <w:jc w:val="both"/>
              <w:rPr>
                <w:rFonts w:eastAsia="Calibri"/>
                <w:sz w:val="20"/>
                <w:lang w:val="fr-CA"/>
              </w:rPr>
            </w:pPr>
          </w:p>
        </w:tc>
      </w:tr>
      <w:tr w:rsidR="00370E33" w:rsidRPr="003C02EC" w:rsidTr="00C5574B">
        <w:tc>
          <w:tcPr>
            <w:tcW w:w="5000" w:type="pct"/>
            <w:gridSpan w:val="3"/>
          </w:tcPr>
          <w:p w:rsidR="00370E33" w:rsidRPr="003C02EC" w:rsidRDefault="00370E33" w:rsidP="00C5574B">
            <w:pPr>
              <w:jc w:val="both"/>
              <w:rPr>
                <w:rFonts w:eastAsia="Calibri"/>
                <w:sz w:val="20"/>
                <w:lang w:val="fr-CA"/>
              </w:rPr>
            </w:pPr>
            <w:r w:rsidRPr="003C02EC">
              <w:rPr>
                <w:rFonts w:eastAsia="Calibri"/>
                <w:sz w:val="20"/>
                <w:lang w:val="fr-CA"/>
              </w:rPr>
              <w:t>Les intimés sont les parents d’un enfant né prématurément en 2002 après 30 semaines de gestation.  Ils ont intenté un recours contre le Dr St-Arnaud demandeur et un centre de santé et services sociaux, les tenant responsables des complications subies par leur enfant, dont notamment un trouble du déficit de l’attention avec hyperactivité et un trouble de la régulation sensorielle.  Ils ont réclamé des dommages-intérêts en leur nom et au nom de leur enfant.</w:t>
            </w:r>
          </w:p>
          <w:p w:rsidR="00370E33" w:rsidRPr="003C02EC" w:rsidRDefault="00370E33" w:rsidP="00C5574B">
            <w:pPr>
              <w:jc w:val="both"/>
              <w:rPr>
                <w:rFonts w:eastAsia="Calibri"/>
                <w:sz w:val="20"/>
                <w:lang w:val="fr-CA"/>
              </w:rPr>
            </w:pPr>
          </w:p>
          <w:p w:rsidR="00370E33" w:rsidRPr="003C02EC" w:rsidRDefault="00370E33" w:rsidP="00C5574B">
            <w:pPr>
              <w:jc w:val="both"/>
              <w:rPr>
                <w:rFonts w:eastAsia="Calibri"/>
                <w:sz w:val="20"/>
                <w:lang w:val="fr-CA"/>
              </w:rPr>
            </w:pPr>
            <w:r w:rsidRPr="003C02EC">
              <w:rPr>
                <w:rFonts w:eastAsia="Calibri"/>
                <w:sz w:val="20"/>
                <w:lang w:val="fr-CA"/>
              </w:rPr>
              <w:t>La Cour supérieure accueille l’action contre le Dr St-Arnaud.  Le juge Tôth estime que les fautes  commises par le Dr St-Arnaud avaient eu pour effet d’empêcher le développement normal de l’enfant en raison de la naissance prématurée. Il le condamne à payer certains montants.  De plus, en vertu de l’art. 1615 du C.c.Q., le juge réserve au père le droit de demander, au nom de son enfant, des dommages-intérêts additionnels pour une période de trois ans, car il estime que bien qu’il existe un préjudice certain, né et actuel qui résulte des fautes du Dr St-Arnaud, il n’est pas possible de déterminer avec une précision suffisante l’évolution de la condition physique de l’enfant.  En particulier, le juge note que l’enfant a neuf ans et que les experts redoutent un trouble d’apprentissage qui risque d’avoir un impact sur la réalisation du plein potentiel de l’enfant et sa capacité de gain.  L’entrée au secondaire et la puberté seront des « étapes décisives » (par. 429). La Cour d’appel rejette l’appel du Dr St-Arnaud.</w:t>
            </w:r>
          </w:p>
          <w:p w:rsidR="00370E33" w:rsidRPr="003C02EC" w:rsidRDefault="00370E33" w:rsidP="00C5574B">
            <w:pPr>
              <w:jc w:val="both"/>
              <w:rPr>
                <w:rFonts w:eastAsia="Calibri"/>
                <w:sz w:val="20"/>
                <w:lang w:val="fr-CA"/>
              </w:rPr>
            </w:pPr>
          </w:p>
        </w:tc>
      </w:tr>
      <w:tr w:rsidR="00370E33" w:rsidRPr="001B62D0"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Le 16 juin 2011</w:t>
            </w:r>
          </w:p>
          <w:p w:rsidR="00370E33" w:rsidRPr="003C02EC" w:rsidRDefault="00370E33" w:rsidP="00C5574B">
            <w:pPr>
              <w:jc w:val="both"/>
              <w:rPr>
                <w:rFonts w:eastAsia="Calibri"/>
                <w:sz w:val="20"/>
                <w:lang w:val="fr-CA"/>
              </w:rPr>
            </w:pPr>
            <w:r w:rsidRPr="003C02EC">
              <w:rPr>
                <w:rFonts w:eastAsia="Calibri"/>
                <w:sz w:val="20"/>
                <w:lang w:val="fr-CA"/>
              </w:rPr>
              <w:t>Cour supérieure du Québec</w:t>
            </w:r>
          </w:p>
          <w:p w:rsidR="00370E33" w:rsidRPr="003C02EC" w:rsidRDefault="00370E33" w:rsidP="00C5574B">
            <w:pPr>
              <w:jc w:val="both"/>
              <w:rPr>
                <w:rFonts w:eastAsia="Calibri"/>
                <w:sz w:val="20"/>
                <w:lang w:val="fr-CA"/>
              </w:rPr>
            </w:pPr>
            <w:r w:rsidRPr="003C02EC">
              <w:rPr>
                <w:rFonts w:eastAsia="Calibri"/>
                <w:sz w:val="20"/>
                <w:lang w:val="fr-CA"/>
              </w:rPr>
              <w:t>(Le juge Tôth)</w:t>
            </w:r>
          </w:p>
          <w:p w:rsidR="00370E33" w:rsidRPr="003C02EC" w:rsidRDefault="001B62D0" w:rsidP="00C5574B">
            <w:pPr>
              <w:jc w:val="both"/>
              <w:rPr>
                <w:rFonts w:eastAsia="Calibri"/>
                <w:color w:val="000000"/>
                <w:sz w:val="20"/>
                <w:lang w:val="fr-CA"/>
              </w:rPr>
            </w:pPr>
            <w:hyperlink r:id="rId35" w:history="1">
              <w:r w:rsidR="00370E33" w:rsidRPr="003C02EC">
                <w:rPr>
                  <w:rFonts w:eastAsia="Calibri"/>
                  <w:color w:val="0000FF"/>
                  <w:sz w:val="20"/>
                  <w:u w:val="single"/>
                  <w:lang w:val="fr-CA"/>
                </w:rPr>
                <w:t>2011 QCCS 2360</w:t>
              </w:r>
            </w:hyperlink>
            <w:r w:rsidR="00370E33" w:rsidRPr="003C02EC">
              <w:rPr>
                <w:rFonts w:eastAsia="Calibri"/>
                <w:color w:val="000000"/>
                <w:sz w:val="20"/>
                <w:lang w:val="fr-CA"/>
              </w:rPr>
              <w:t xml:space="preserve"> </w:t>
            </w:r>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Action en responsabilité délictuelle accueillie en partie</w:t>
            </w:r>
          </w:p>
          <w:p w:rsidR="00370E33" w:rsidRPr="003C02EC" w:rsidRDefault="00370E33" w:rsidP="00C5574B">
            <w:pPr>
              <w:jc w:val="both"/>
              <w:rPr>
                <w:rFonts w:eastAsia="Calibri"/>
                <w:sz w:val="20"/>
                <w:lang w:val="fr-CA"/>
              </w:rPr>
            </w:pPr>
          </w:p>
        </w:tc>
      </w:tr>
      <w:tr w:rsidR="00370E33" w:rsidRPr="003C02EC" w:rsidTr="006B6A58">
        <w:trPr>
          <w:cantSplit/>
        </w:trPr>
        <w:tc>
          <w:tcPr>
            <w:tcW w:w="2427" w:type="pct"/>
          </w:tcPr>
          <w:p w:rsidR="00370E33" w:rsidRPr="003C02EC" w:rsidRDefault="00370E33" w:rsidP="00C5574B">
            <w:pPr>
              <w:jc w:val="both"/>
              <w:rPr>
                <w:rFonts w:eastAsia="Calibri"/>
                <w:sz w:val="20"/>
                <w:lang w:val="fr-CA"/>
              </w:rPr>
            </w:pPr>
            <w:r w:rsidRPr="003C02EC">
              <w:rPr>
                <w:rFonts w:eastAsia="Calibri"/>
                <w:sz w:val="20"/>
                <w:lang w:val="fr-CA"/>
              </w:rPr>
              <w:t>Le 27 mai 2013</w:t>
            </w:r>
          </w:p>
          <w:p w:rsidR="00370E33" w:rsidRPr="003C02EC" w:rsidRDefault="00370E33" w:rsidP="00C5574B">
            <w:pPr>
              <w:jc w:val="both"/>
              <w:rPr>
                <w:rFonts w:eastAsia="Calibri"/>
                <w:sz w:val="20"/>
                <w:lang w:val="fr-CA"/>
              </w:rPr>
            </w:pPr>
            <w:r w:rsidRPr="003C02EC">
              <w:rPr>
                <w:rFonts w:eastAsia="Calibri"/>
                <w:sz w:val="20"/>
                <w:lang w:val="fr-CA"/>
              </w:rPr>
              <w:t>Cour d’appel du Québec (Montréal)</w:t>
            </w:r>
          </w:p>
          <w:p w:rsidR="00370E33" w:rsidRPr="003C02EC" w:rsidRDefault="00370E33" w:rsidP="00C5574B">
            <w:pPr>
              <w:jc w:val="both"/>
              <w:rPr>
                <w:rFonts w:eastAsia="Calibri"/>
                <w:sz w:val="20"/>
                <w:lang w:val="fr-CA"/>
              </w:rPr>
            </w:pPr>
            <w:r w:rsidRPr="003C02EC">
              <w:rPr>
                <w:rFonts w:eastAsia="Calibri"/>
                <w:sz w:val="20"/>
                <w:lang w:val="fr-CA"/>
              </w:rPr>
              <w:t xml:space="preserve">(Les juges Pelletier, Gagnon et Bouchard) </w:t>
            </w:r>
          </w:p>
          <w:p w:rsidR="00370E33" w:rsidRPr="003C02EC" w:rsidRDefault="001B62D0" w:rsidP="00C5574B">
            <w:pPr>
              <w:jc w:val="both"/>
              <w:rPr>
                <w:rFonts w:eastAsia="Calibri"/>
                <w:color w:val="000000"/>
                <w:sz w:val="20"/>
                <w:lang w:val="fr-CA"/>
              </w:rPr>
            </w:pPr>
            <w:hyperlink r:id="rId36" w:history="1">
              <w:r w:rsidR="00370E33" w:rsidRPr="003C02EC">
                <w:rPr>
                  <w:rFonts w:eastAsia="Calibri"/>
                  <w:color w:val="0000FF"/>
                  <w:sz w:val="20"/>
                  <w:u w:val="single"/>
                  <w:lang w:val="fr-CA"/>
                </w:rPr>
                <w:t>2013 QCCA 981</w:t>
              </w:r>
            </w:hyperlink>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Appel rejeté; appel incident rejeté</w:t>
            </w:r>
          </w:p>
          <w:p w:rsidR="00370E33" w:rsidRPr="003C02EC" w:rsidRDefault="00370E33" w:rsidP="00C5574B">
            <w:pPr>
              <w:jc w:val="both"/>
              <w:rPr>
                <w:rFonts w:eastAsia="Calibri"/>
                <w:sz w:val="20"/>
                <w:lang w:val="fr-CA"/>
              </w:rPr>
            </w:pPr>
          </w:p>
        </w:tc>
      </w:tr>
      <w:tr w:rsidR="00370E33" w:rsidRPr="003C02EC" w:rsidTr="006B6A58">
        <w:trPr>
          <w:cantSplit/>
        </w:trPr>
        <w:tc>
          <w:tcPr>
            <w:tcW w:w="2427" w:type="pct"/>
          </w:tcPr>
          <w:p w:rsidR="00370E33" w:rsidRPr="003C02EC" w:rsidRDefault="00370E33" w:rsidP="00C5574B">
            <w:pPr>
              <w:jc w:val="both"/>
              <w:rPr>
                <w:rFonts w:eastAsia="Calibri"/>
                <w:sz w:val="20"/>
                <w:lang w:val="fr-CA"/>
              </w:rPr>
            </w:pPr>
            <w:r w:rsidRPr="003C02EC">
              <w:rPr>
                <w:rFonts w:eastAsia="Calibri"/>
                <w:sz w:val="20"/>
                <w:lang w:val="fr-CA"/>
              </w:rPr>
              <w:t>Le 26 août 2013</w:t>
            </w:r>
          </w:p>
          <w:p w:rsidR="00370E33" w:rsidRPr="003C02EC" w:rsidRDefault="00370E33" w:rsidP="00C5574B">
            <w:pPr>
              <w:jc w:val="both"/>
              <w:rPr>
                <w:rFonts w:eastAsia="Calibri"/>
                <w:sz w:val="20"/>
                <w:lang w:val="fr-CA"/>
              </w:rPr>
            </w:pPr>
            <w:r w:rsidRPr="003C02EC">
              <w:rPr>
                <w:rFonts w:eastAsia="Calibri"/>
                <w:sz w:val="20"/>
                <w:lang w:val="fr-CA"/>
              </w:rPr>
              <w:t>Cour suprême du Canada</w:t>
            </w:r>
          </w:p>
        </w:tc>
        <w:tc>
          <w:tcPr>
            <w:tcW w:w="243" w:type="pct"/>
          </w:tcPr>
          <w:p w:rsidR="00370E33" w:rsidRPr="003C02EC" w:rsidRDefault="00370E33" w:rsidP="00C5574B">
            <w:pPr>
              <w:jc w:val="both"/>
              <w:rPr>
                <w:rFonts w:eastAsia="Calibri"/>
                <w:sz w:val="20"/>
                <w:lang w:val="fr-FR"/>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Demande d'autorisation d'appel déposée</w:t>
            </w:r>
          </w:p>
          <w:p w:rsidR="00370E33" w:rsidRPr="003C02EC" w:rsidRDefault="00370E33" w:rsidP="00C5574B">
            <w:pPr>
              <w:jc w:val="both"/>
              <w:rPr>
                <w:rFonts w:eastAsia="Calibri"/>
                <w:sz w:val="20"/>
                <w:lang w:val="fr-CA"/>
              </w:rPr>
            </w:pPr>
          </w:p>
        </w:tc>
      </w:tr>
    </w:tbl>
    <w:p w:rsidR="00370E33" w:rsidRDefault="00370E33" w:rsidP="00370E33">
      <w:pPr>
        <w:rPr>
          <w:sz w:val="20"/>
          <w:szCs w:val="20"/>
        </w:rPr>
      </w:pPr>
    </w:p>
    <w:p w:rsidR="00370E33" w:rsidRDefault="001B62D0" w:rsidP="00370E33">
      <w:pPr>
        <w:rPr>
          <w:sz w:val="20"/>
          <w:szCs w:val="20"/>
        </w:rPr>
      </w:pPr>
      <w:r>
        <w:rPr>
          <w:sz w:val="20"/>
          <w:szCs w:val="20"/>
          <w:lang w:val="fr-CA"/>
        </w:rPr>
        <w:pict>
          <v:rect id="_x0000_i1039"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7DC3" w:rsidRPr="001B62D0" w:rsidTr="00FF5D8C">
        <w:trPr>
          <w:cantSplit/>
        </w:trPr>
        <w:tc>
          <w:tcPr>
            <w:tcW w:w="1458" w:type="dxa"/>
          </w:tcPr>
          <w:p w:rsidR="00D77DC3" w:rsidRPr="00421D33" w:rsidRDefault="00D77DC3" w:rsidP="00FF5D8C">
            <w:pPr>
              <w:rPr>
                <w:sz w:val="20"/>
                <w:szCs w:val="20"/>
              </w:rPr>
            </w:pPr>
            <w:r w:rsidRPr="00421D33">
              <w:rPr>
                <w:rStyle w:val="SCCFileNumberChar"/>
                <w:sz w:val="20"/>
                <w:szCs w:val="20"/>
              </w:rPr>
              <w:t>35496</w:t>
            </w:r>
          </w:p>
          <w:p w:rsidR="00D77DC3" w:rsidRPr="00421D33" w:rsidRDefault="00D77DC3" w:rsidP="00FF5D8C">
            <w:pPr>
              <w:rPr>
                <w:b/>
                <w:sz w:val="20"/>
                <w:szCs w:val="20"/>
                <w:lang w:val="fr-CA"/>
              </w:rPr>
            </w:pPr>
          </w:p>
        </w:tc>
        <w:tc>
          <w:tcPr>
            <w:tcW w:w="8118" w:type="dxa"/>
          </w:tcPr>
          <w:p w:rsidR="00D77DC3" w:rsidRPr="00421D33" w:rsidRDefault="00D77DC3" w:rsidP="00FF5D8C">
            <w:pPr>
              <w:jc w:val="both"/>
              <w:rPr>
                <w:sz w:val="20"/>
                <w:szCs w:val="20"/>
                <w:lang w:val="fr-CA"/>
              </w:rPr>
            </w:pPr>
            <w:r w:rsidRPr="00421D33">
              <w:rPr>
                <w:rStyle w:val="SCCLsocChar"/>
                <w:sz w:val="20"/>
                <w:szCs w:val="20"/>
              </w:rPr>
              <w:t>Mouvement laïque québécois</w:t>
            </w:r>
            <w:r w:rsidR="003A6401">
              <w:rPr>
                <w:rStyle w:val="SCCLsocChar"/>
                <w:sz w:val="20"/>
                <w:szCs w:val="20"/>
              </w:rPr>
              <w:t xml:space="preserve"> et</w:t>
            </w:r>
            <w:r w:rsidRPr="00421D33">
              <w:rPr>
                <w:rStyle w:val="SCCLsocChar"/>
                <w:sz w:val="20"/>
                <w:szCs w:val="20"/>
              </w:rPr>
              <w:t xml:space="preserve"> Alain Simoneau c. Ville de Saguenay</w:t>
            </w:r>
            <w:r w:rsidR="003A6401">
              <w:rPr>
                <w:rStyle w:val="SCCLsocChar"/>
                <w:sz w:val="20"/>
                <w:szCs w:val="20"/>
              </w:rPr>
              <w:t xml:space="preserve"> et</w:t>
            </w:r>
            <w:r w:rsidRPr="00421D33">
              <w:rPr>
                <w:rStyle w:val="SCCLsocChar"/>
                <w:sz w:val="20"/>
                <w:szCs w:val="20"/>
              </w:rPr>
              <w:t xml:space="preserve"> Jean Tremblay</w:t>
            </w:r>
            <w:r w:rsidRPr="00421D33">
              <w:rPr>
                <w:sz w:val="20"/>
                <w:szCs w:val="20"/>
                <w:lang w:val="fr-CA"/>
              </w:rPr>
              <w:t xml:space="preserve"> (Qc) (Civile) (Autorisation)</w:t>
            </w:r>
          </w:p>
          <w:p w:rsidR="00D77DC3" w:rsidRPr="00421D33" w:rsidRDefault="00D77DC3" w:rsidP="00FF5D8C">
            <w:pPr>
              <w:jc w:val="both"/>
              <w:rPr>
                <w:sz w:val="20"/>
                <w:szCs w:val="20"/>
                <w:lang w:val="fr-CA"/>
              </w:rPr>
            </w:pPr>
          </w:p>
        </w:tc>
      </w:tr>
      <w:tr w:rsidR="00D77DC3" w:rsidRPr="001B62D0" w:rsidTr="00FF5D8C">
        <w:trPr>
          <w:cantSplit/>
        </w:trPr>
        <w:tc>
          <w:tcPr>
            <w:tcW w:w="1458" w:type="dxa"/>
          </w:tcPr>
          <w:p w:rsidR="00D77DC3" w:rsidRPr="00421D33" w:rsidRDefault="00D77DC3" w:rsidP="00FF5D8C">
            <w:pPr>
              <w:rPr>
                <w:sz w:val="20"/>
                <w:szCs w:val="20"/>
              </w:rPr>
            </w:pPr>
            <w:r w:rsidRPr="00421D33">
              <w:rPr>
                <w:sz w:val="20"/>
                <w:szCs w:val="20"/>
              </w:rPr>
              <w:t>Coram :</w:t>
            </w:r>
          </w:p>
        </w:tc>
        <w:tc>
          <w:tcPr>
            <w:tcW w:w="8118" w:type="dxa"/>
          </w:tcPr>
          <w:p w:rsidR="00D77DC3" w:rsidRPr="00421D33" w:rsidRDefault="00D77DC3" w:rsidP="00FF5D8C">
            <w:pPr>
              <w:rPr>
                <w:sz w:val="20"/>
                <w:szCs w:val="20"/>
                <w:lang w:val="fr-CA"/>
              </w:rPr>
            </w:pPr>
            <w:r w:rsidRPr="00421D33">
              <w:rPr>
                <w:rStyle w:val="SCCCoramChar"/>
                <w:sz w:val="20"/>
                <w:szCs w:val="20"/>
              </w:rPr>
              <w:t>Les juges LeBel, Karakatsanis et Wagner</w:t>
            </w:r>
          </w:p>
          <w:p w:rsidR="00D77DC3" w:rsidRPr="00421D33" w:rsidRDefault="00D77DC3" w:rsidP="00FF5D8C">
            <w:pPr>
              <w:rPr>
                <w:sz w:val="20"/>
                <w:szCs w:val="20"/>
                <w:u w:val="single"/>
                <w:lang w:val="fr-CA"/>
              </w:rPr>
            </w:pPr>
          </w:p>
        </w:tc>
      </w:tr>
      <w:tr w:rsidR="00D77DC3" w:rsidRPr="00421D33" w:rsidTr="00FF5D8C">
        <w:trPr>
          <w:cantSplit/>
        </w:trPr>
        <w:tc>
          <w:tcPr>
            <w:tcW w:w="9576" w:type="dxa"/>
            <w:gridSpan w:val="2"/>
          </w:tcPr>
          <w:p w:rsidR="00D77DC3" w:rsidRPr="00421D33" w:rsidRDefault="00D77DC3" w:rsidP="00FF5D8C">
            <w:pPr>
              <w:pStyle w:val="SCCShortJudgment"/>
              <w:rPr>
                <w:szCs w:val="20"/>
                <w:lang w:val="fr-CA"/>
              </w:rPr>
            </w:pPr>
            <w:r w:rsidRPr="00421D33">
              <w:rPr>
                <w:szCs w:val="20"/>
                <w:lang w:val="fr-CA"/>
              </w:rPr>
              <w:lastRenderedPageBreak/>
              <w:t>La demande d’autorisation d’appel de l’arrêt de la Cour d’appel du Québec (Québec), numéro 200-09-007328-112, 2013 QCCA 936, daté du 27 mai 2013, est accueillie avec dépens selon l’issue de la cause.</w:t>
            </w:r>
          </w:p>
          <w:p w:rsidR="00D77DC3" w:rsidRPr="00421D33" w:rsidRDefault="00D77DC3" w:rsidP="00FF5D8C">
            <w:pPr>
              <w:pStyle w:val="SCCShortJudgment"/>
              <w:ind w:firstLine="0"/>
              <w:rPr>
                <w:szCs w:val="20"/>
                <w:lang w:val="fr-CA"/>
              </w:rPr>
            </w:pPr>
          </w:p>
          <w:p w:rsidR="00D77DC3" w:rsidRPr="00421D33" w:rsidRDefault="00D77DC3" w:rsidP="00FF5D8C">
            <w:pPr>
              <w:pStyle w:val="SCCShortJudgment"/>
              <w:rPr>
                <w:szCs w:val="20"/>
              </w:rPr>
            </w:pPr>
            <w:r w:rsidRPr="00421D33">
              <w:rPr>
                <w:szCs w:val="20"/>
              </w:rPr>
              <w:t>The application for leave to appeal from the judgment of the Court of Appeal of Quebec (Québec), Number 200-09-007328-112, 2013 QCCA 936, dated May 27, 2013, is granted with costs in the cause.</w:t>
            </w:r>
          </w:p>
        </w:tc>
      </w:tr>
    </w:tbl>
    <w:p w:rsidR="00370E33" w:rsidRPr="00D77DC3" w:rsidRDefault="00370E33" w:rsidP="00370E33">
      <w:pPr>
        <w:rPr>
          <w:sz w:val="20"/>
          <w:szCs w:val="20"/>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3C02EC" w:rsidTr="00C5574B">
        <w:tc>
          <w:tcPr>
            <w:tcW w:w="5000" w:type="pct"/>
            <w:gridSpan w:val="3"/>
          </w:tcPr>
          <w:p w:rsidR="00370E33" w:rsidRPr="003C02EC" w:rsidRDefault="00370E33" w:rsidP="00C5574B">
            <w:pPr>
              <w:jc w:val="both"/>
              <w:rPr>
                <w:rFonts w:eastAsia="Calibri"/>
                <w:sz w:val="20"/>
              </w:rPr>
            </w:pPr>
            <w:r w:rsidRPr="003C02EC">
              <w:rPr>
                <w:rFonts w:eastAsia="Calibri"/>
                <w:sz w:val="20"/>
              </w:rPr>
              <w:t>Human rights – Freedom of religion – Municipal by</w:t>
            </w:r>
            <w:r w:rsidRPr="003C02EC">
              <w:rPr>
                <w:rFonts w:eastAsia="Calibri"/>
                <w:sz w:val="20"/>
              </w:rPr>
              <w:noBreakHyphen/>
              <w:t>law providing for recitation of prayer before start of municipal council’s public meetings – Whether Court of Appeal erred in applying constitutional principle of religious neutrality of state – Whether Court of Appeal erred in concluding that recitation of prayer in presence of religious objects during municipal council meetings did not infringe applicant’s freedom of conscience.</w:t>
            </w:r>
          </w:p>
        </w:tc>
      </w:tr>
      <w:tr w:rsidR="00370E33" w:rsidRPr="003C02EC" w:rsidTr="00C5574B">
        <w:tc>
          <w:tcPr>
            <w:tcW w:w="5000" w:type="pct"/>
            <w:gridSpan w:val="3"/>
          </w:tcPr>
          <w:p w:rsidR="00370E33" w:rsidRPr="003C02EC" w:rsidRDefault="00370E33" w:rsidP="00C5574B">
            <w:pPr>
              <w:jc w:val="both"/>
              <w:rPr>
                <w:rFonts w:eastAsia="Calibri"/>
                <w:sz w:val="20"/>
              </w:rPr>
            </w:pPr>
          </w:p>
        </w:tc>
      </w:tr>
      <w:tr w:rsidR="00370E33" w:rsidRPr="003C02EC" w:rsidTr="00C5574B">
        <w:tc>
          <w:tcPr>
            <w:tcW w:w="5000" w:type="pct"/>
            <w:gridSpan w:val="3"/>
          </w:tcPr>
          <w:p w:rsidR="00370E33" w:rsidRPr="003C02EC" w:rsidRDefault="00370E33" w:rsidP="00C5574B">
            <w:pPr>
              <w:jc w:val="both"/>
              <w:rPr>
                <w:rFonts w:eastAsia="Calibri"/>
                <w:sz w:val="20"/>
              </w:rPr>
            </w:pPr>
            <w:r w:rsidRPr="003C02EC">
              <w:rPr>
                <w:rFonts w:eastAsia="Calibri"/>
                <w:sz w:val="20"/>
              </w:rPr>
              <w:t>The applicant Mr. Simoneau is a non</w:t>
            </w:r>
            <w:r w:rsidRPr="003C02EC">
              <w:rPr>
                <w:rFonts w:eastAsia="Calibri"/>
                <w:sz w:val="20"/>
              </w:rPr>
              <w:noBreakHyphen/>
              <w:t>believer and, at the relevant time, was a citizen of the respondent City of Saguenay.  He attended the meetings of the municipal council.  A municipal by</w:t>
            </w:r>
            <w:r w:rsidRPr="003C02EC">
              <w:rPr>
                <w:rFonts w:eastAsia="Calibri"/>
                <w:sz w:val="20"/>
              </w:rPr>
              <w:noBreakHyphen/>
              <w:t>law provided that council members who so wished could stand and say a prayer at the start of council proceedings.  In addition, near the mayor, there was a crucifix at the La Baie town hall and a statue of the Sacred Heart at the Chicoutimi town hall.</w:t>
            </w:r>
          </w:p>
          <w:p w:rsidR="00370E33" w:rsidRPr="003C02EC" w:rsidRDefault="00370E33" w:rsidP="00C5574B">
            <w:pPr>
              <w:jc w:val="both"/>
              <w:rPr>
                <w:rFonts w:eastAsia="Calibri"/>
                <w:sz w:val="20"/>
              </w:rPr>
            </w:pPr>
          </w:p>
          <w:p w:rsidR="00370E33" w:rsidRPr="003C02EC" w:rsidRDefault="00370E33" w:rsidP="00C5574B">
            <w:pPr>
              <w:jc w:val="both"/>
              <w:rPr>
                <w:rFonts w:eastAsia="Calibri"/>
                <w:sz w:val="20"/>
              </w:rPr>
            </w:pPr>
            <w:r w:rsidRPr="003C02EC">
              <w:rPr>
                <w:rFonts w:eastAsia="Calibri"/>
                <w:sz w:val="20"/>
              </w:rPr>
              <w:t xml:space="preserve">Mr. Simoneau and the Mouvement laïque québécois eventually filed an application against the City and its mayor with the human and youth rights tribunal.  They alleged that the respondents had, in a discriminatory manner on the ground of religion, violated Mr. Simoneau’s freedom of conscience and religion and his right to respect for his dignity (ss. 3, 4, 10, 11 and 15 of the </w:t>
            </w:r>
            <w:r w:rsidRPr="003C02EC">
              <w:rPr>
                <w:rFonts w:eastAsia="Calibri"/>
                <w:i/>
                <w:sz w:val="20"/>
              </w:rPr>
              <w:t>Charter of human rights and freedoms</w:t>
            </w:r>
            <w:r w:rsidRPr="003C02EC">
              <w:rPr>
                <w:rFonts w:eastAsia="Calibri"/>
                <w:sz w:val="20"/>
              </w:rPr>
              <w:t>).  They asked that the recitation of the prayer cease and that the religious symbols be removed from the proceedings rooms.  They also claimed damages for the moral prejudice suffered by Mr. Simoneau and exemplary damages.</w:t>
            </w:r>
          </w:p>
          <w:p w:rsidR="00370E33" w:rsidRPr="003C02EC" w:rsidRDefault="00370E33" w:rsidP="00C5574B">
            <w:pPr>
              <w:jc w:val="both"/>
              <w:rPr>
                <w:rFonts w:eastAsia="Calibri"/>
                <w:sz w:val="20"/>
              </w:rPr>
            </w:pPr>
          </w:p>
          <w:p w:rsidR="00370E33" w:rsidRPr="003C02EC" w:rsidRDefault="00370E33" w:rsidP="00C5574B">
            <w:pPr>
              <w:jc w:val="both"/>
              <w:rPr>
                <w:rFonts w:eastAsia="Calibri"/>
                <w:sz w:val="20"/>
              </w:rPr>
            </w:pPr>
            <w:r w:rsidRPr="003C02EC">
              <w:rPr>
                <w:rFonts w:eastAsia="Calibri"/>
                <w:sz w:val="20"/>
              </w:rPr>
              <w:t>The tribunal allowed Mr. Simoneau’s application in part, but the Court of Appeal set aside the decision on the ground that the content of the prayer did not violate the duty of neutrality imposed on the City and that, in any case, even if the recitation of the prayer interfered with Mr. Simoneau’s moral values, the interference was trivial or insubstantial in the circumstances.</w:t>
            </w: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February 9, 2011</w:t>
            </w:r>
          </w:p>
          <w:p w:rsidR="00370E33" w:rsidRPr="003C02EC" w:rsidRDefault="00370E33" w:rsidP="00C5574B">
            <w:pPr>
              <w:jc w:val="both"/>
              <w:rPr>
                <w:rFonts w:eastAsia="Calibri"/>
                <w:sz w:val="20"/>
              </w:rPr>
            </w:pPr>
            <w:r w:rsidRPr="003C02EC">
              <w:rPr>
                <w:rFonts w:eastAsia="Calibri"/>
                <w:sz w:val="20"/>
              </w:rPr>
              <w:t>Human Rights Tribunal</w:t>
            </w:r>
          </w:p>
          <w:p w:rsidR="00370E33" w:rsidRPr="003C02EC" w:rsidRDefault="00370E33" w:rsidP="00C5574B">
            <w:pPr>
              <w:jc w:val="both"/>
              <w:rPr>
                <w:rFonts w:eastAsia="Calibri"/>
                <w:sz w:val="20"/>
              </w:rPr>
            </w:pPr>
            <w:r w:rsidRPr="003C02EC">
              <w:rPr>
                <w:rFonts w:eastAsia="Calibri"/>
                <w:sz w:val="20"/>
              </w:rPr>
              <w:t>(Judge Pauzé)</w:t>
            </w:r>
          </w:p>
          <w:p w:rsidR="00370E33" w:rsidRPr="003C02EC" w:rsidRDefault="001B62D0" w:rsidP="00C5574B">
            <w:pPr>
              <w:jc w:val="both"/>
              <w:rPr>
                <w:rFonts w:eastAsia="Calibri"/>
                <w:sz w:val="20"/>
              </w:rPr>
            </w:pPr>
            <w:hyperlink r:id="rId37" w:history="1">
              <w:r w:rsidR="00370E33" w:rsidRPr="003C02EC">
                <w:rPr>
                  <w:rFonts w:eastAsia="Calibri"/>
                  <w:color w:val="0000FF"/>
                  <w:sz w:val="20"/>
                  <w:u w:val="single"/>
                </w:rPr>
                <w:t>2011 QCTDP 1</w:t>
              </w:r>
            </w:hyperlink>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Application allowed in part</w:t>
            </w: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May 27, 2013</w:t>
            </w:r>
          </w:p>
          <w:p w:rsidR="00370E33" w:rsidRPr="003C02EC" w:rsidRDefault="00370E33" w:rsidP="00C5574B">
            <w:pPr>
              <w:jc w:val="both"/>
              <w:rPr>
                <w:rFonts w:eastAsia="Calibri"/>
                <w:sz w:val="20"/>
              </w:rPr>
            </w:pPr>
            <w:r w:rsidRPr="003C02EC">
              <w:rPr>
                <w:rFonts w:eastAsia="Calibri"/>
                <w:sz w:val="20"/>
              </w:rPr>
              <w:t>Quebec Court of Appeal (Québec)</w:t>
            </w:r>
          </w:p>
          <w:p w:rsidR="00370E33" w:rsidRPr="003C02EC" w:rsidRDefault="00370E33" w:rsidP="00C5574B">
            <w:pPr>
              <w:jc w:val="both"/>
              <w:rPr>
                <w:rFonts w:eastAsia="Calibri"/>
                <w:sz w:val="20"/>
              </w:rPr>
            </w:pPr>
            <w:r w:rsidRPr="003C02EC">
              <w:rPr>
                <w:rFonts w:eastAsia="Calibri"/>
                <w:sz w:val="20"/>
              </w:rPr>
              <w:t>(Morin, Hilton and Gagnon JJ.A.)</w:t>
            </w:r>
          </w:p>
          <w:p w:rsidR="00370E33" w:rsidRPr="003C02EC" w:rsidRDefault="001B62D0" w:rsidP="00C5574B">
            <w:pPr>
              <w:jc w:val="both"/>
              <w:rPr>
                <w:rFonts w:eastAsia="Calibri"/>
                <w:sz w:val="20"/>
              </w:rPr>
            </w:pPr>
            <w:hyperlink r:id="rId38" w:history="1">
              <w:r w:rsidR="00370E33" w:rsidRPr="003C02EC">
                <w:rPr>
                  <w:rFonts w:eastAsia="Calibri"/>
                  <w:color w:val="0000FF"/>
                  <w:sz w:val="20"/>
                  <w:u w:val="single"/>
                </w:rPr>
                <w:t>2013 QCCA 936</w:t>
              </w:r>
            </w:hyperlink>
            <w:r w:rsidR="00370E33" w:rsidRPr="003C02EC">
              <w:rPr>
                <w:rFonts w:eastAsia="Calibri"/>
                <w:sz w:val="20"/>
              </w:rPr>
              <w:t>; 200-09-007328-112</w:t>
            </w:r>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Appeal allowed; incidental appeal dismissed</w:t>
            </w:r>
          </w:p>
          <w:p w:rsidR="00370E33" w:rsidRPr="003C02EC" w:rsidRDefault="00370E33" w:rsidP="00C5574B">
            <w:pPr>
              <w:jc w:val="both"/>
              <w:rPr>
                <w:rFonts w:eastAsia="Calibri"/>
                <w:sz w:val="20"/>
              </w:rPr>
            </w:pPr>
          </w:p>
        </w:tc>
      </w:tr>
      <w:tr w:rsidR="00370E33" w:rsidRPr="003C02EC" w:rsidTr="00C5574B">
        <w:tc>
          <w:tcPr>
            <w:tcW w:w="2427" w:type="pct"/>
          </w:tcPr>
          <w:p w:rsidR="00370E33" w:rsidRPr="003C02EC" w:rsidRDefault="00370E33" w:rsidP="00C5574B">
            <w:pPr>
              <w:jc w:val="both"/>
              <w:rPr>
                <w:rFonts w:eastAsia="Calibri"/>
                <w:sz w:val="20"/>
              </w:rPr>
            </w:pPr>
            <w:r w:rsidRPr="003C02EC">
              <w:rPr>
                <w:rFonts w:eastAsia="Calibri"/>
                <w:sz w:val="20"/>
              </w:rPr>
              <w:t>August 26, 2013</w:t>
            </w:r>
          </w:p>
          <w:p w:rsidR="00370E33" w:rsidRPr="003C02EC" w:rsidRDefault="00370E33" w:rsidP="00C5574B">
            <w:pPr>
              <w:jc w:val="both"/>
              <w:rPr>
                <w:rFonts w:eastAsia="Calibri"/>
                <w:sz w:val="20"/>
              </w:rPr>
            </w:pPr>
            <w:r w:rsidRPr="003C02EC">
              <w:rPr>
                <w:rFonts w:eastAsia="Calibri"/>
                <w:sz w:val="20"/>
              </w:rPr>
              <w:t>Supreme Court of Canada</w:t>
            </w: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rPr>
            </w:pPr>
            <w:r w:rsidRPr="003C02EC">
              <w:rPr>
                <w:rFonts w:eastAsia="Calibri"/>
                <w:sz w:val="20"/>
              </w:rPr>
              <w:t>Application for leave to appeal filed</w:t>
            </w:r>
          </w:p>
          <w:p w:rsidR="00370E33" w:rsidRPr="003C02EC" w:rsidRDefault="00370E33" w:rsidP="00C5574B">
            <w:pPr>
              <w:jc w:val="both"/>
              <w:rPr>
                <w:rFonts w:eastAsia="Calibri"/>
                <w:sz w:val="20"/>
              </w:rPr>
            </w:pP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40"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0E33" w:rsidRPr="00023015" w:rsidTr="00C5574B">
        <w:tc>
          <w:tcPr>
            <w:tcW w:w="5000" w:type="pct"/>
            <w:gridSpan w:val="3"/>
          </w:tcPr>
          <w:p w:rsidR="00370E33" w:rsidRPr="003C02EC" w:rsidRDefault="00370E33" w:rsidP="00C5574B">
            <w:pPr>
              <w:jc w:val="both"/>
              <w:rPr>
                <w:rFonts w:eastAsia="Calibri"/>
                <w:sz w:val="20"/>
                <w:lang w:val="fr-CA"/>
              </w:rPr>
            </w:pPr>
            <w:r w:rsidRPr="003C02EC">
              <w:rPr>
                <w:rFonts w:eastAsia="Calibri"/>
                <w:sz w:val="20"/>
                <w:lang w:val="fr-CA"/>
              </w:rPr>
              <w:lastRenderedPageBreak/>
              <w:t>Droits de la personne – Liberté de religion – Règlement municipal prescrivant la récitation d’une prière avant le début des séances publiques du conseil municipal – La Cour d’appel a</w:t>
            </w:r>
            <w:r w:rsidRPr="003C02EC">
              <w:rPr>
                <w:rFonts w:eastAsia="Calibri"/>
                <w:sz w:val="20"/>
                <w:lang w:val="fr-CA"/>
              </w:rPr>
              <w:noBreakHyphen/>
              <w:t>t</w:t>
            </w:r>
            <w:r w:rsidRPr="003C02EC">
              <w:rPr>
                <w:rFonts w:eastAsia="Calibri"/>
                <w:sz w:val="20"/>
                <w:lang w:val="fr-CA"/>
              </w:rPr>
              <w:noBreakHyphen/>
              <w:t>elle erré dans l’application du principe constitutionnel de la neutralité religieuse de l’État? – A-t-elle erré en concluant que la récitation de la prière en présence d’objets de culte lors des séances du conseil municipal ne portait pas atteinte à la liberté de conscience du demandeur?</w:t>
            </w:r>
          </w:p>
        </w:tc>
      </w:tr>
      <w:tr w:rsidR="00370E33" w:rsidRPr="00023015" w:rsidTr="00C5574B">
        <w:tc>
          <w:tcPr>
            <w:tcW w:w="5000" w:type="pct"/>
            <w:gridSpan w:val="3"/>
          </w:tcPr>
          <w:p w:rsidR="00370E33" w:rsidRPr="003C02EC" w:rsidRDefault="00370E33" w:rsidP="00C5574B">
            <w:pPr>
              <w:jc w:val="both"/>
              <w:rPr>
                <w:rFonts w:eastAsia="Calibri"/>
                <w:sz w:val="20"/>
                <w:lang w:val="fr-CA"/>
              </w:rPr>
            </w:pPr>
          </w:p>
        </w:tc>
      </w:tr>
      <w:tr w:rsidR="00370E33" w:rsidRPr="00023015" w:rsidTr="00C5574B">
        <w:tc>
          <w:tcPr>
            <w:tcW w:w="5000" w:type="pct"/>
            <w:gridSpan w:val="3"/>
          </w:tcPr>
          <w:p w:rsidR="00370E33" w:rsidRPr="003C02EC" w:rsidRDefault="00370E33" w:rsidP="00C5574B">
            <w:pPr>
              <w:jc w:val="both"/>
              <w:rPr>
                <w:rFonts w:eastAsia="Calibri"/>
                <w:sz w:val="20"/>
                <w:lang w:val="fr-CA"/>
              </w:rPr>
            </w:pPr>
            <w:r w:rsidRPr="003C02EC">
              <w:rPr>
                <w:rFonts w:eastAsia="Calibri"/>
                <w:sz w:val="20"/>
                <w:lang w:val="fr-CA"/>
              </w:rPr>
              <w:t>Le demandeur, M. Simoneau, est non croyant et, à l’époque pertinente, citoyen de la Ville de Saguenay intimée.  Il assiste aux séances du conseil municipal. Un règlement municipal prévoit qu’au début des délibérations du conseil, les membres du conseil qui le désirent se lèvent pour prononcer une prière.  De plus, à proximité du maire se trouvent un crucifix dans l’hôtel de ville de La Baie et une statue du Sacré-Cœur dans celui de Chicoutimi.</w:t>
            </w:r>
          </w:p>
          <w:p w:rsidR="00370E33" w:rsidRPr="003C02EC" w:rsidRDefault="00370E33" w:rsidP="00C5574B">
            <w:pPr>
              <w:jc w:val="both"/>
              <w:rPr>
                <w:rFonts w:eastAsia="Calibri"/>
                <w:sz w:val="20"/>
                <w:lang w:val="fr-CA"/>
              </w:rPr>
            </w:pPr>
          </w:p>
          <w:p w:rsidR="00370E33" w:rsidRPr="003C02EC" w:rsidRDefault="00370E33" w:rsidP="00C5574B">
            <w:pPr>
              <w:jc w:val="both"/>
              <w:rPr>
                <w:rFonts w:eastAsia="Calibri"/>
                <w:sz w:val="20"/>
                <w:lang w:val="fr-CA"/>
              </w:rPr>
            </w:pPr>
            <w:r w:rsidRPr="003C02EC">
              <w:rPr>
                <w:rFonts w:eastAsia="Calibri"/>
                <w:sz w:val="20"/>
                <w:lang w:val="fr-CA"/>
              </w:rPr>
              <w:t xml:space="preserve">Monsieur Simoneau et le Mouvement laïque québécois intentent éventuellement un recours devant le Tribunal des droits de la personne et des droits de la jeunesse contre la Ville et son maire.  Ils allèguent que les intimés ont porté atteinte de façon discriminatoire, au motif de la religion, à la liberté de conscience et de religion de M. Simoneau ainsi qu’à son droit au respect de la dignité (art. 3, 4, 10, 11 et 15 de la </w:t>
            </w:r>
            <w:r w:rsidRPr="003C02EC">
              <w:rPr>
                <w:rFonts w:eastAsia="Calibri"/>
                <w:i/>
                <w:sz w:val="20"/>
                <w:lang w:val="fr-CA"/>
              </w:rPr>
              <w:t>Charte des droits et libertés de la personne</w:t>
            </w:r>
            <w:r w:rsidRPr="003C02EC">
              <w:rPr>
                <w:rFonts w:eastAsia="Calibri"/>
                <w:sz w:val="20"/>
                <w:lang w:val="fr-CA"/>
              </w:rPr>
              <w:t>).  Ils demandent que la récitation de la prière cesse et que les symboles religieux soient retirés des salles de délibération.  De plus, ils réclament des dommages-intérêts pour compenser le préjudice moral subi par M. Simoneau, ainsi que des dommages-intérêts exemplaires.</w:t>
            </w:r>
          </w:p>
          <w:p w:rsidR="00370E33" w:rsidRPr="003C02EC" w:rsidRDefault="00370E33" w:rsidP="00C5574B">
            <w:pPr>
              <w:jc w:val="both"/>
              <w:rPr>
                <w:rFonts w:eastAsia="Calibri"/>
                <w:sz w:val="20"/>
                <w:lang w:val="fr-CA"/>
              </w:rPr>
            </w:pPr>
          </w:p>
          <w:p w:rsidR="00370E33" w:rsidRPr="003C02EC" w:rsidRDefault="00370E33" w:rsidP="00C5574B">
            <w:pPr>
              <w:jc w:val="both"/>
              <w:rPr>
                <w:rFonts w:eastAsia="Calibri"/>
                <w:sz w:val="20"/>
                <w:lang w:val="fr-CA"/>
              </w:rPr>
            </w:pPr>
            <w:r w:rsidRPr="003C02EC">
              <w:rPr>
                <w:rFonts w:eastAsia="Calibri"/>
                <w:sz w:val="20"/>
                <w:lang w:val="fr-CA"/>
              </w:rPr>
              <w:t>Le Tribunal accueille la demande de M. Simoneau en partie, mais la Cour d’appel infirme la décision au motif que la teneur de la prière ne viole pas l’obligation de neutralité imposée à la Ville et qu’à tout événement, même si la récitation de la prière constituait une entrave aux valeurs morales de M. Simoneau, cette entrave serait négligeable ou insignifiante dans les circonstances.</w:t>
            </w:r>
          </w:p>
          <w:p w:rsidR="00370E33" w:rsidRPr="003C02EC" w:rsidRDefault="00370E33" w:rsidP="00C5574B">
            <w:pPr>
              <w:jc w:val="both"/>
              <w:rPr>
                <w:rFonts w:eastAsia="Calibri"/>
                <w:sz w:val="20"/>
                <w:lang w:val="fr-CA"/>
              </w:rPr>
            </w:pPr>
          </w:p>
        </w:tc>
      </w:tr>
      <w:tr w:rsidR="00370E33" w:rsidRPr="003C02EC"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Le 9 février 2011</w:t>
            </w:r>
          </w:p>
          <w:p w:rsidR="00370E33" w:rsidRPr="003C02EC" w:rsidRDefault="00370E33" w:rsidP="00C5574B">
            <w:pPr>
              <w:jc w:val="both"/>
              <w:rPr>
                <w:rFonts w:eastAsia="Calibri"/>
                <w:sz w:val="20"/>
                <w:lang w:val="fr-CA"/>
              </w:rPr>
            </w:pPr>
            <w:r w:rsidRPr="003C02EC">
              <w:rPr>
                <w:rFonts w:eastAsia="Calibri"/>
                <w:sz w:val="20"/>
                <w:lang w:val="fr-CA"/>
              </w:rPr>
              <w:t>Tribunal des droits de la personne</w:t>
            </w:r>
          </w:p>
          <w:p w:rsidR="00370E33" w:rsidRPr="003C02EC" w:rsidRDefault="00370E33" w:rsidP="00C5574B">
            <w:pPr>
              <w:jc w:val="both"/>
              <w:rPr>
                <w:rFonts w:eastAsia="Calibri"/>
                <w:sz w:val="20"/>
                <w:lang w:val="fr-CA"/>
              </w:rPr>
            </w:pPr>
            <w:r w:rsidRPr="003C02EC">
              <w:rPr>
                <w:rFonts w:eastAsia="Calibri"/>
                <w:sz w:val="20"/>
                <w:lang w:val="fr-CA"/>
              </w:rPr>
              <w:t>(La juge Pauzé)</w:t>
            </w:r>
          </w:p>
          <w:p w:rsidR="00370E33" w:rsidRPr="003C02EC" w:rsidRDefault="001B62D0" w:rsidP="00C5574B">
            <w:pPr>
              <w:jc w:val="both"/>
              <w:rPr>
                <w:rFonts w:eastAsia="Calibri"/>
                <w:sz w:val="20"/>
                <w:lang w:val="fr-CA"/>
              </w:rPr>
            </w:pPr>
            <w:hyperlink r:id="rId39" w:history="1">
              <w:r w:rsidR="00370E33" w:rsidRPr="003C02EC">
                <w:rPr>
                  <w:rFonts w:eastAsia="Calibri"/>
                  <w:color w:val="0000FF"/>
                  <w:sz w:val="20"/>
                  <w:u w:val="single"/>
                  <w:lang w:val="fr-CA"/>
                </w:rPr>
                <w:t>2011 QCTDP 1</w:t>
              </w:r>
            </w:hyperlink>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Demande accueillie en partie</w:t>
            </w:r>
          </w:p>
          <w:p w:rsidR="00370E33" w:rsidRPr="003C02EC" w:rsidRDefault="00370E33" w:rsidP="00C5574B">
            <w:pPr>
              <w:jc w:val="both"/>
              <w:rPr>
                <w:rFonts w:eastAsia="Calibri"/>
                <w:sz w:val="20"/>
                <w:lang w:val="fr-CA"/>
              </w:rPr>
            </w:pPr>
          </w:p>
        </w:tc>
      </w:tr>
      <w:tr w:rsidR="00370E33" w:rsidRPr="003C02EC"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Le 27 mai 2013</w:t>
            </w:r>
          </w:p>
          <w:p w:rsidR="00370E33" w:rsidRPr="003C02EC" w:rsidRDefault="00370E33" w:rsidP="00C5574B">
            <w:pPr>
              <w:jc w:val="both"/>
              <w:rPr>
                <w:rFonts w:eastAsia="Calibri"/>
                <w:sz w:val="20"/>
                <w:lang w:val="fr-CA"/>
              </w:rPr>
            </w:pPr>
            <w:r w:rsidRPr="003C02EC">
              <w:rPr>
                <w:rFonts w:eastAsia="Calibri"/>
                <w:sz w:val="20"/>
                <w:lang w:val="fr-CA"/>
              </w:rPr>
              <w:t>Cour d’appel du Québec (Québec)</w:t>
            </w:r>
          </w:p>
          <w:p w:rsidR="00370E33" w:rsidRPr="003C02EC" w:rsidRDefault="00370E33" w:rsidP="00C5574B">
            <w:pPr>
              <w:jc w:val="both"/>
              <w:rPr>
                <w:rFonts w:eastAsia="Calibri"/>
                <w:sz w:val="20"/>
                <w:lang w:val="fr-CA"/>
              </w:rPr>
            </w:pPr>
            <w:r w:rsidRPr="003C02EC">
              <w:rPr>
                <w:rFonts w:eastAsia="Calibri"/>
                <w:sz w:val="20"/>
                <w:lang w:val="fr-CA"/>
              </w:rPr>
              <w:t>(Les juges Morin, Hilton et Gagnon)</w:t>
            </w:r>
          </w:p>
          <w:p w:rsidR="00370E33" w:rsidRPr="003C02EC" w:rsidRDefault="001B62D0" w:rsidP="00C5574B">
            <w:pPr>
              <w:jc w:val="both"/>
              <w:rPr>
                <w:rFonts w:eastAsia="Calibri"/>
                <w:sz w:val="20"/>
                <w:lang w:val="fr-CA"/>
              </w:rPr>
            </w:pPr>
            <w:hyperlink r:id="rId40" w:history="1">
              <w:r w:rsidR="00370E33" w:rsidRPr="003C02EC">
                <w:rPr>
                  <w:rFonts w:eastAsia="Calibri"/>
                  <w:color w:val="0000FF"/>
                  <w:sz w:val="20"/>
                  <w:u w:val="single"/>
                  <w:lang w:val="fr-CA"/>
                </w:rPr>
                <w:t>2013 QCCA 936</w:t>
              </w:r>
            </w:hyperlink>
            <w:r w:rsidR="00370E33" w:rsidRPr="003C02EC">
              <w:rPr>
                <w:rFonts w:eastAsia="Calibri"/>
                <w:sz w:val="20"/>
                <w:lang w:val="fr-CA"/>
              </w:rPr>
              <w:t>; 200-09-007328-112</w:t>
            </w:r>
          </w:p>
          <w:p w:rsidR="00370E33" w:rsidRPr="003C02EC" w:rsidRDefault="00370E33" w:rsidP="00C5574B">
            <w:pPr>
              <w:jc w:val="both"/>
              <w:rPr>
                <w:rFonts w:eastAsia="Calibri"/>
                <w:sz w:val="20"/>
              </w:rPr>
            </w:pPr>
          </w:p>
        </w:tc>
        <w:tc>
          <w:tcPr>
            <w:tcW w:w="243" w:type="pct"/>
          </w:tcPr>
          <w:p w:rsidR="00370E33" w:rsidRPr="003C02EC" w:rsidRDefault="00370E33" w:rsidP="00C5574B">
            <w:pPr>
              <w:jc w:val="both"/>
              <w:rPr>
                <w:rFonts w:eastAsia="Calibri"/>
                <w:sz w:val="20"/>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Appel accueilli; appel incident rejeté</w:t>
            </w:r>
          </w:p>
          <w:p w:rsidR="00370E33" w:rsidRPr="003C02EC" w:rsidRDefault="00370E33" w:rsidP="00C5574B">
            <w:pPr>
              <w:jc w:val="both"/>
              <w:rPr>
                <w:rFonts w:eastAsia="Calibri"/>
                <w:sz w:val="20"/>
                <w:lang w:val="fr-CA"/>
              </w:rPr>
            </w:pPr>
          </w:p>
        </w:tc>
      </w:tr>
      <w:tr w:rsidR="00370E33" w:rsidRPr="003C02EC" w:rsidTr="00C5574B">
        <w:tc>
          <w:tcPr>
            <w:tcW w:w="2427" w:type="pct"/>
          </w:tcPr>
          <w:p w:rsidR="00370E33" w:rsidRPr="003C02EC" w:rsidRDefault="00370E33" w:rsidP="00C5574B">
            <w:pPr>
              <w:jc w:val="both"/>
              <w:rPr>
                <w:rFonts w:eastAsia="Calibri"/>
                <w:sz w:val="20"/>
                <w:lang w:val="fr-CA"/>
              </w:rPr>
            </w:pPr>
            <w:r w:rsidRPr="003C02EC">
              <w:rPr>
                <w:rFonts w:eastAsia="Calibri"/>
                <w:sz w:val="20"/>
                <w:lang w:val="fr-CA"/>
              </w:rPr>
              <w:t>Le 26 août 2013</w:t>
            </w:r>
          </w:p>
          <w:p w:rsidR="00370E33" w:rsidRPr="003C02EC" w:rsidRDefault="00370E33" w:rsidP="00C5574B">
            <w:pPr>
              <w:jc w:val="both"/>
              <w:rPr>
                <w:rFonts w:eastAsia="Calibri"/>
                <w:sz w:val="20"/>
                <w:lang w:val="fr-CA"/>
              </w:rPr>
            </w:pPr>
            <w:r w:rsidRPr="003C02EC">
              <w:rPr>
                <w:rFonts w:eastAsia="Calibri"/>
                <w:sz w:val="20"/>
                <w:lang w:val="fr-CA"/>
              </w:rPr>
              <w:t>Cour suprême du Canada</w:t>
            </w:r>
          </w:p>
        </w:tc>
        <w:tc>
          <w:tcPr>
            <w:tcW w:w="243" w:type="pct"/>
          </w:tcPr>
          <w:p w:rsidR="00370E33" w:rsidRPr="003C02EC" w:rsidRDefault="00370E33" w:rsidP="00C5574B">
            <w:pPr>
              <w:jc w:val="both"/>
              <w:rPr>
                <w:rFonts w:eastAsia="Calibri"/>
                <w:sz w:val="20"/>
                <w:lang w:val="fr-FR"/>
              </w:rPr>
            </w:pPr>
          </w:p>
        </w:tc>
        <w:tc>
          <w:tcPr>
            <w:tcW w:w="2330" w:type="pct"/>
          </w:tcPr>
          <w:p w:rsidR="00370E33" w:rsidRPr="003C02EC" w:rsidRDefault="00370E33" w:rsidP="00C5574B">
            <w:pPr>
              <w:jc w:val="both"/>
              <w:rPr>
                <w:rFonts w:eastAsia="Calibri"/>
                <w:sz w:val="20"/>
                <w:lang w:val="fr-CA"/>
              </w:rPr>
            </w:pPr>
            <w:r w:rsidRPr="003C02EC">
              <w:rPr>
                <w:rFonts w:eastAsia="Calibri"/>
                <w:sz w:val="20"/>
                <w:lang w:val="fr-CA"/>
              </w:rPr>
              <w:t>Demande d'autorisation d'appel déposée</w:t>
            </w:r>
          </w:p>
          <w:p w:rsidR="00370E33" w:rsidRPr="003C02EC" w:rsidRDefault="00370E33" w:rsidP="00C5574B">
            <w:pPr>
              <w:jc w:val="both"/>
              <w:rPr>
                <w:rFonts w:eastAsia="Calibri"/>
                <w:sz w:val="20"/>
                <w:lang w:val="fr-CA"/>
              </w:rPr>
            </w:pPr>
          </w:p>
        </w:tc>
      </w:tr>
    </w:tbl>
    <w:p w:rsidR="00370E33" w:rsidRDefault="00370E33" w:rsidP="00370E33">
      <w:pPr>
        <w:rPr>
          <w:sz w:val="20"/>
          <w:szCs w:val="20"/>
        </w:rPr>
      </w:pPr>
    </w:p>
    <w:p w:rsidR="00370E33" w:rsidRDefault="001B62D0" w:rsidP="00370E33">
      <w:pPr>
        <w:rPr>
          <w:sz w:val="20"/>
          <w:szCs w:val="20"/>
        </w:rPr>
      </w:pPr>
      <w:r>
        <w:rPr>
          <w:sz w:val="20"/>
          <w:szCs w:val="20"/>
          <w:lang w:val="fr-CA"/>
        </w:rPr>
        <w:pict>
          <v:rect id="_x0000_i1041"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7DC3" w:rsidRPr="00421D33" w:rsidTr="00FF5D8C">
        <w:trPr>
          <w:cantSplit/>
        </w:trPr>
        <w:tc>
          <w:tcPr>
            <w:tcW w:w="1458" w:type="dxa"/>
          </w:tcPr>
          <w:p w:rsidR="00D77DC3" w:rsidRPr="00421D33" w:rsidRDefault="00D77DC3" w:rsidP="00FF5D8C">
            <w:pPr>
              <w:rPr>
                <w:sz w:val="20"/>
                <w:szCs w:val="20"/>
              </w:rPr>
            </w:pPr>
            <w:r w:rsidRPr="00421D33">
              <w:rPr>
                <w:rStyle w:val="SCCFileNumberChar"/>
                <w:sz w:val="20"/>
                <w:szCs w:val="20"/>
              </w:rPr>
              <w:t>35529</w:t>
            </w:r>
          </w:p>
          <w:p w:rsidR="00D77DC3" w:rsidRPr="00421D33" w:rsidRDefault="00D77DC3" w:rsidP="00FF5D8C">
            <w:pPr>
              <w:rPr>
                <w:b/>
                <w:sz w:val="20"/>
                <w:szCs w:val="20"/>
                <w:lang w:val="fr-CA"/>
              </w:rPr>
            </w:pPr>
          </w:p>
        </w:tc>
        <w:tc>
          <w:tcPr>
            <w:tcW w:w="8118" w:type="dxa"/>
          </w:tcPr>
          <w:p w:rsidR="00D77DC3" w:rsidRPr="00421D33" w:rsidRDefault="00D77DC3" w:rsidP="00FF5D8C">
            <w:pPr>
              <w:jc w:val="both"/>
              <w:rPr>
                <w:sz w:val="20"/>
                <w:szCs w:val="20"/>
              </w:rPr>
            </w:pPr>
            <w:r w:rsidRPr="00421D33">
              <w:rPr>
                <w:rStyle w:val="SCCLsocChar"/>
                <w:sz w:val="20"/>
                <w:szCs w:val="20"/>
                <w:lang w:val="en-CA"/>
              </w:rPr>
              <w:t>321665 Alberta Ltd. v. Husky Oil Operations Ltd.</w:t>
            </w:r>
            <w:r w:rsidR="003F5659">
              <w:rPr>
                <w:rStyle w:val="SCCLsocChar"/>
                <w:sz w:val="20"/>
                <w:szCs w:val="20"/>
                <w:lang w:val="en-CA"/>
              </w:rPr>
              <w:t xml:space="preserve"> and</w:t>
            </w:r>
            <w:r w:rsidRPr="00421D33">
              <w:rPr>
                <w:rStyle w:val="SCCLsocChar"/>
                <w:sz w:val="20"/>
                <w:szCs w:val="20"/>
                <w:lang w:val="en-CA"/>
              </w:rPr>
              <w:t xml:space="preserve"> Exxonmobil Canada Ltd. formerly known as Mobil Oil Canada Ltd.</w:t>
            </w:r>
            <w:r w:rsidRPr="00421D33">
              <w:rPr>
                <w:sz w:val="20"/>
                <w:szCs w:val="20"/>
              </w:rPr>
              <w:t xml:space="preserve"> (Alta.) (Civil) (By Leave)</w:t>
            </w:r>
          </w:p>
          <w:p w:rsidR="00D77DC3" w:rsidRPr="00421D33" w:rsidRDefault="00D77DC3" w:rsidP="00FF5D8C">
            <w:pPr>
              <w:jc w:val="both"/>
              <w:rPr>
                <w:sz w:val="20"/>
                <w:szCs w:val="20"/>
              </w:rPr>
            </w:pPr>
          </w:p>
        </w:tc>
      </w:tr>
      <w:tr w:rsidR="00D77DC3" w:rsidRPr="00421D33" w:rsidTr="00FF5D8C">
        <w:trPr>
          <w:cantSplit/>
        </w:trPr>
        <w:tc>
          <w:tcPr>
            <w:tcW w:w="1458" w:type="dxa"/>
          </w:tcPr>
          <w:p w:rsidR="00D77DC3" w:rsidRPr="00421D33" w:rsidRDefault="00D77DC3" w:rsidP="00FF5D8C">
            <w:pPr>
              <w:rPr>
                <w:sz w:val="20"/>
                <w:szCs w:val="20"/>
              </w:rPr>
            </w:pPr>
            <w:r w:rsidRPr="00421D33">
              <w:rPr>
                <w:sz w:val="20"/>
                <w:szCs w:val="20"/>
              </w:rPr>
              <w:t>Coram :</w:t>
            </w:r>
          </w:p>
        </w:tc>
        <w:tc>
          <w:tcPr>
            <w:tcW w:w="8118" w:type="dxa"/>
          </w:tcPr>
          <w:p w:rsidR="00D77DC3" w:rsidRPr="00421D33" w:rsidRDefault="00D77DC3" w:rsidP="00FF5D8C">
            <w:pPr>
              <w:rPr>
                <w:sz w:val="20"/>
                <w:szCs w:val="20"/>
              </w:rPr>
            </w:pPr>
            <w:r w:rsidRPr="00421D33">
              <w:rPr>
                <w:rStyle w:val="SCCCoramChar"/>
                <w:sz w:val="20"/>
                <w:szCs w:val="20"/>
                <w:lang w:val="en-CA"/>
              </w:rPr>
              <w:t>Abella, Rothstein and Moldaver JJ.</w:t>
            </w:r>
          </w:p>
          <w:p w:rsidR="00D77DC3" w:rsidRPr="00421D33" w:rsidRDefault="00D77DC3" w:rsidP="00FF5D8C">
            <w:pPr>
              <w:rPr>
                <w:sz w:val="20"/>
                <w:szCs w:val="20"/>
                <w:u w:val="single"/>
              </w:rPr>
            </w:pPr>
          </w:p>
        </w:tc>
      </w:tr>
      <w:tr w:rsidR="00D77DC3" w:rsidRPr="00023015" w:rsidTr="00FF5D8C">
        <w:trPr>
          <w:cantSplit/>
        </w:trPr>
        <w:tc>
          <w:tcPr>
            <w:tcW w:w="9576" w:type="dxa"/>
            <w:gridSpan w:val="2"/>
          </w:tcPr>
          <w:p w:rsidR="00D77DC3" w:rsidRPr="00421D33" w:rsidRDefault="00D77DC3" w:rsidP="00FF5D8C">
            <w:pPr>
              <w:pStyle w:val="SCCShortJudgment"/>
              <w:rPr>
                <w:szCs w:val="20"/>
              </w:rPr>
            </w:pPr>
            <w:r w:rsidRPr="00421D33">
              <w:rPr>
                <w:szCs w:val="20"/>
              </w:rPr>
              <w:lastRenderedPageBreak/>
              <w:t>The application for leave to appeal from the judgment of the Court of Appeal of Alberta (Edmonton), Number 1203-0086-AC, 2013 ABCA 221, dated June 14, 2013, is dismissed with costs.</w:t>
            </w:r>
          </w:p>
          <w:p w:rsidR="00D77DC3" w:rsidRPr="00421D33" w:rsidRDefault="00D77DC3" w:rsidP="00FF5D8C">
            <w:pPr>
              <w:pStyle w:val="SCCShortJudgment"/>
              <w:ind w:firstLine="0"/>
              <w:rPr>
                <w:szCs w:val="20"/>
              </w:rPr>
            </w:pPr>
          </w:p>
          <w:p w:rsidR="00D77DC3" w:rsidRPr="00421D33" w:rsidRDefault="00D77DC3" w:rsidP="00FF5D8C">
            <w:pPr>
              <w:pStyle w:val="SCCShortJudgment"/>
              <w:rPr>
                <w:szCs w:val="20"/>
                <w:lang w:val="fr-CA"/>
              </w:rPr>
            </w:pPr>
            <w:r w:rsidRPr="00421D33">
              <w:rPr>
                <w:szCs w:val="20"/>
                <w:lang w:val="fr-CA"/>
              </w:rPr>
              <w:t>La demande d’autorisation d’appel de l’arrêt de la Cour d'appel de l’Alberta (Edmonton), numéro 1203-0086-AC, 2013 ABCA 221, daté du 14 juin 2013, est rejetée avec dépens.</w:t>
            </w:r>
          </w:p>
        </w:tc>
      </w:tr>
    </w:tbl>
    <w:p w:rsidR="00370E33" w:rsidRPr="0016547E" w:rsidRDefault="00370E33" w:rsidP="00370E33">
      <w:pPr>
        <w:rPr>
          <w:sz w:val="20"/>
          <w:szCs w:val="20"/>
          <w:lang w:val="fr-CA"/>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0C2B" w:rsidRPr="003C02EC" w:rsidTr="00C5574B">
        <w:tc>
          <w:tcPr>
            <w:tcW w:w="5000" w:type="pct"/>
            <w:gridSpan w:val="3"/>
          </w:tcPr>
          <w:p w:rsidR="00890C2B" w:rsidRPr="003C02EC" w:rsidRDefault="00890C2B" w:rsidP="00C5574B">
            <w:pPr>
              <w:jc w:val="both"/>
              <w:rPr>
                <w:rFonts w:eastAsia="Calibri"/>
                <w:sz w:val="20"/>
              </w:rPr>
            </w:pPr>
            <w:r w:rsidRPr="003C02EC">
              <w:rPr>
                <w:rFonts w:eastAsia="Calibri"/>
                <w:sz w:val="20"/>
              </w:rPr>
              <w:t xml:space="preserve">Competition law – </w:t>
            </w:r>
            <w:r w:rsidRPr="003C02EC">
              <w:rPr>
                <w:iCs/>
                <w:spacing w:val="-3"/>
                <w:sz w:val="20"/>
                <w:lang w:val="en-GB"/>
              </w:rPr>
              <w:t>Conspiracy to prevent or lessen competition unduly</w:t>
            </w:r>
            <w:r w:rsidRPr="003C02EC">
              <w:rPr>
                <w:rFonts w:eastAsia="Calibri"/>
                <w:sz w:val="20"/>
              </w:rPr>
              <w:t xml:space="preserve"> – Legislation – Interpretation – Private enforcement action for breach of the </w:t>
            </w:r>
            <w:r w:rsidRPr="003C02EC">
              <w:rPr>
                <w:rFonts w:eastAsia="Calibri"/>
                <w:i/>
                <w:sz w:val="20"/>
              </w:rPr>
              <w:t>Competition Act</w:t>
            </w:r>
            <w:r w:rsidRPr="003C02EC">
              <w:rPr>
                <w:rFonts w:eastAsia="Calibri"/>
                <w:sz w:val="20"/>
              </w:rPr>
              <w:t>, R.S.C. 1985, c. C-34 (the “</w:t>
            </w:r>
            <w:r w:rsidRPr="003C02EC">
              <w:rPr>
                <w:rFonts w:eastAsia="Calibri"/>
                <w:i/>
                <w:sz w:val="20"/>
              </w:rPr>
              <w:t>Act</w:t>
            </w:r>
            <w:r w:rsidRPr="003C02EC">
              <w:rPr>
                <w:rFonts w:eastAsia="Calibri"/>
                <w:sz w:val="20"/>
              </w:rPr>
              <w:t xml:space="preserve">”) – Action in damages for tortuous conspiracy and interference with business relations – To what extent, if at all, does the concept of efficiency factor into an analysis of the cartel provisions in s. 45 of the </w:t>
            </w:r>
            <w:r w:rsidRPr="003C02EC">
              <w:rPr>
                <w:rFonts w:eastAsia="Calibri"/>
                <w:i/>
                <w:sz w:val="20"/>
              </w:rPr>
              <w:t>Act</w:t>
            </w:r>
            <w:r w:rsidRPr="003C02EC">
              <w:rPr>
                <w:rFonts w:eastAsia="Calibri"/>
                <w:sz w:val="20"/>
              </w:rPr>
              <w:t xml:space="preserve"> – Are successful plaintiffs entitled to receive full investigation and indemnification for legal costs under the civil action provisions in s. 36 of the </w:t>
            </w:r>
            <w:r w:rsidRPr="003C02EC">
              <w:rPr>
                <w:rFonts w:eastAsia="Calibri"/>
                <w:i/>
                <w:sz w:val="20"/>
              </w:rPr>
              <w:t>Act</w:t>
            </w:r>
            <w:r w:rsidRPr="003C02EC">
              <w:rPr>
                <w:rFonts w:eastAsia="Calibri"/>
                <w:sz w:val="20"/>
              </w:rPr>
              <w:t xml:space="preserve"> – </w:t>
            </w:r>
            <w:r w:rsidRPr="003C02EC">
              <w:rPr>
                <w:rFonts w:eastAsia="Calibri"/>
                <w:i/>
                <w:sz w:val="20"/>
              </w:rPr>
              <w:t>R. v. Nova Scotia Pharmaceutical Society</w:t>
            </w:r>
            <w:r w:rsidRPr="003C02EC">
              <w:rPr>
                <w:rFonts w:eastAsia="Calibri"/>
                <w:sz w:val="20"/>
              </w:rPr>
              <w:t xml:space="preserve">, [1992] 2 S.C.R. 606.  </w:t>
            </w:r>
          </w:p>
        </w:tc>
      </w:tr>
      <w:tr w:rsidR="00890C2B" w:rsidRPr="003C02EC" w:rsidTr="00C5574B">
        <w:tc>
          <w:tcPr>
            <w:tcW w:w="5000" w:type="pct"/>
            <w:gridSpan w:val="3"/>
          </w:tcPr>
          <w:p w:rsidR="00890C2B" w:rsidRPr="003C02EC" w:rsidRDefault="00890C2B" w:rsidP="00C5574B">
            <w:pPr>
              <w:jc w:val="both"/>
              <w:rPr>
                <w:rFonts w:eastAsia="Calibri"/>
                <w:sz w:val="20"/>
              </w:rPr>
            </w:pPr>
          </w:p>
        </w:tc>
      </w:tr>
      <w:tr w:rsidR="00890C2B" w:rsidRPr="003C02EC" w:rsidTr="00C5574B">
        <w:tc>
          <w:tcPr>
            <w:tcW w:w="5000" w:type="pct"/>
            <w:gridSpan w:val="3"/>
          </w:tcPr>
          <w:p w:rsidR="00890C2B" w:rsidRPr="003C02EC" w:rsidRDefault="00890C2B" w:rsidP="00C5574B">
            <w:pPr>
              <w:jc w:val="both"/>
              <w:rPr>
                <w:rFonts w:eastAsia="Calibri"/>
                <w:sz w:val="20"/>
              </w:rPr>
            </w:pPr>
            <w:r w:rsidRPr="003C02EC">
              <w:rPr>
                <w:rFonts w:eastAsia="Calibri"/>
                <w:sz w:val="20"/>
              </w:rPr>
              <w:t xml:space="preserve">The respondents have separate and jointly owned properties and produce from a number of oil and gas facilities in and near the small community of Rainbow Lake Alberta.  They collaborated on strategic ways to increase the value of their assets, and decided to reduce expenses by using only one of the two locally based companies they had used for fluid hauling services.  They met with both companies and established an evaluation process to assess whether one company could meet all their requirements.  The applicant expressed concern that it would go out of business if it lost the respondents’ business.  The respondents indicated that their focus was not on reducing prices but on achieving greater efficiencies.  Ultimately the other company was chosen and the applicant received no further work from the respondents.  Approximately six months later, having lost another client due to pipeline installations, the applicant shut down its operations and sold its assets.  It commenced a private enforcement action against the respondents for an alleged breach of the </w:t>
            </w:r>
            <w:r w:rsidRPr="003C02EC">
              <w:rPr>
                <w:rFonts w:eastAsia="Calibri"/>
                <w:i/>
                <w:sz w:val="20"/>
              </w:rPr>
              <w:t>Act</w:t>
            </w:r>
            <w:r w:rsidRPr="003C02EC">
              <w:rPr>
                <w:rFonts w:eastAsia="Calibri"/>
                <w:sz w:val="20"/>
              </w:rPr>
              <w:t xml:space="preserve"> and sought damages for tortuous conspiracy and interference with business relations.  The Court of Queen’s Bench of Alberta gave judgment to the applicant, awarding $5,000,000 in damages plus punitive damages.  The Court of Appeal of Alberta allowed the appeal and dismissed the action and a cross-appeal.</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May 27, 2011</w:t>
            </w:r>
          </w:p>
          <w:p w:rsidR="00890C2B" w:rsidRPr="003C02EC" w:rsidRDefault="00890C2B" w:rsidP="00C5574B">
            <w:pPr>
              <w:jc w:val="both"/>
              <w:rPr>
                <w:rFonts w:eastAsia="Calibri"/>
                <w:sz w:val="20"/>
              </w:rPr>
            </w:pPr>
            <w:r w:rsidRPr="003C02EC">
              <w:rPr>
                <w:rFonts w:eastAsia="Calibri"/>
                <w:sz w:val="20"/>
              </w:rPr>
              <w:t>Court of Queen’s Bench of Alberta</w:t>
            </w:r>
          </w:p>
          <w:p w:rsidR="00890C2B" w:rsidRPr="003C02EC" w:rsidRDefault="00890C2B" w:rsidP="00C5574B">
            <w:pPr>
              <w:jc w:val="both"/>
              <w:rPr>
                <w:rFonts w:eastAsia="Calibri"/>
                <w:sz w:val="20"/>
              </w:rPr>
            </w:pPr>
            <w:r w:rsidRPr="003C02EC">
              <w:rPr>
                <w:rFonts w:eastAsia="Calibri"/>
                <w:sz w:val="20"/>
              </w:rPr>
              <w:t>(Belzil J.)</w:t>
            </w:r>
          </w:p>
          <w:p w:rsidR="00890C2B" w:rsidRPr="003C02EC" w:rsidRDefault="001B62D0" w:rsidP="00C5574B">
            <w:pPr>
              <w:jc w:val="both"/>
              <w:rPr>
                <w:rFonts w:eastAsia="Calibri"/>
                <w:sz w:val="20"/>
              </w:rPr>
            </w:pPr>
            <w:hyperlink r:id="rId41" w:history="1">
              <w:r w:rsidR="00890C2B" w:rsidRPr="003C02EC">
                <w:rPr>
                  <w:rFonts w:eastAsia="Calibri"/>
                  <w:color w:val="0000FF"/>
                  <w:sz w:val="20"/>
                  <w:u w:val="single"/>
                </w:rPr>
                <w:t>2011 ABQB 292</w:t>
              </w:r>
            </w:hyperlink>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Judgment for applicant; applicant awarded $5 million in damages plus $1 million in punitive damages</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February 7, 2012</w:t>
            </w:r>
          </w:p>
          <w:p w:rsidR="00890C2B" w:rsidRPr="003C02EC" w:rsidRDefault="00890C2B" w:rsidP="00C5574B">
            <w:pPr>
              <w:jc w:val="both"/>
              <w:rPr>
                <w:rFonts w:eastAsia="Calibri"/>
                <w:sz w:val="20"/>
              </w:rPr>
            </w:pPr>
            <w:r w:rsidRPr="003C02EC">
              <w:rPr>
                <w:rFonts w:eastAsia="Calibri"/>
                <w:sz w:val="20"/>
              </w:rPr>
              <w:t>Court of Queen’s Bench of Alberta</w:t>
            </w:r>
          </w:p>
          <w:p w:rsidR="00890C2B" w:rsidRPr="003C02EC" w:rsidRDefault="00890C2B" w:rsidP="00C5574B">
            <w:pPr>
              <w:jc w:val="both"/>
              <w:rPr>
                <w:rFonts w:eastAsia="Calibri"/>
                <w:sz w:val="20"/>
              </w:rPr>
            </w:pPr>
            <w:r w:rsidRPr="003C02EC">
              <w:rPr>
                <w:rFonts w:eastAsia="Calibri"/>
                <w:sz w:val="20"/>
              </w:rPr>
              <w:t>(Belzil J.)</w:t>
            </w:r>
          </w:p>
          <w:p w:rsidR="00890C2B" w:rsidRPr="003C02EC" w:rsidRDefault="001B62D0" w:rsidP="00C5574B">
            <w:pPr>
              <w:jc w:val="both"/>
              <w:rPr>
                <w:rFonts w:eastAsia="Calibri"/>
                <w:sz w:val="20"/>
              </w:rPr>
            </w:pPr>
            <w:hyperlink r:id="rId42" w:history="1">
              <w:r w:rsidR="00890C2B" w:rsidRPr="003C02EC">
                <w:rPr>
                  <w:rFonts w:eastAsia="Calibri"/>
                  <w:color w:val="0000FF"/>
                  <w:sz w:val="20"/>
                  <w:u w:val="single"/>
                </w:rPr>
                <w:t>2012 ABQB 76</w:t>
              </w:r>
            </w:hyperlink>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 xml:space="preserve">Applicant awarded simple pre-judgment interest on award of damages for 12.5 years and Schedule C costs calculated on basis of triple Column 5 including second counsel fee </w:t>
            </w: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June 14, 2013</w:t>
            </w:r>
          </w:p>
          <w:p w:rsidR="00890C2B" w:rsidRPr="003C02EC" w:rsidRDefault="00890C2B" w:rsidP="00C5574B">
            <w:pPr>
              <w:jc w:val="both"/>
              <w:rPr>
                <w:rFonts w:eastAsia="Calibri"/>
                <w:sz w:val="20"/>
              </w:rPr>
            </w:pPr>
            <w:r w:rsidRPr="003C02EC">
              <w:rPr>
                <w:rFonts w:eastAsia="Calibri"/>
                <w:sz w:val="20"/>
              </w:rPr>
              <w:t>Court of Appeal of Alberta (Edmonton)</w:t>
            </w:r>
          </w:p>
          <w:p w:rsidR="00890C2B" w:rsidRPr="003C02EC" w:rsidRDefault="00890C2B" w:rsidP="00C5574B">
            <w:pPr>
              <w:jc w:val="both"/>
              <w:rPr>
                <w:rFonts w:eastAsia="Calibri"/>
                <w:sz w:val="20"/>
              </w:rPr>
            </w:pPr>
            <w:r w:rsidRPr="003C02EC">
              <w:rPr>
                <w:rFonts w:eastAsia="Calibri"/>
                <w:sz w:val="20"/>
              </w:rPr>
              <w:t>(Martin, Watson and McDonald JJ.A.)</w:t>
            </w:r>
          </w:p>
          <w:p w:rsidR="00890C2B" w:rsidRPr="003C02EC" w:rsidRDefault="001B62D0" w:rsidP="00AA49BB">
            <w:pPr>
              <w:jc w:val="both"/>
              <w:rPr>
                <w:rFonts w:eastAsia="Calibri"/>
                <w:sz w:val="20"/>
              </w:rPr>
            </w:pPr>
            <w:hyperlink r:id="rId43" w:history="1">
              <w:r w:rsidR="00890C2B" w:rsidRPr="003C02EC">
                <w:rPr>
                  <w:rFonts w:eastAsia="Calibri"/>
                  <w:color w:val="0000FF"/>
                  <w:sz w:val="20"/>
                  <w:u w:val="single"/>
                </w:rPr>
                <w:t>2013 ABCA 221</w:t>
              </w:r>
            </w:hyperlink>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 xml:space="preserve">Appeal allowed, applicant’s action and cross-appeal dismissed </w:t>
            </w:r>
          </w:p>
        </w:tc>
      </w:tr>
    </w:tbl>
    <w:p w:rsidR="00AA49BB" w:rsidRDefault="00AA49BB"/>
    <w:p w:rsidR="00AA49BB" w:rsidRDefault="00AA49BB">
      <w:r>
        <w:lastRenderedPageBreak/>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0C2B" w:rsidRPr="003C02EC" w:rsidTr="00AA49BB">
        <w:trPr>
          <w:cantSplit/>
        </w:trPr>
        <w:tc>
          <w:tcPr>
            <w:tcW w:w="2427" w:type="pct"/>
          </w:tcPr>
          <w:p w:rsidR="00890C2B" w:rsidRPr="003C02EC" w:rsidRDefault="00890C2B" w:rsidP="00C5574B">
            <w:pPr>
              <w:jc w:val="both"/>
              <w:rPr>
                <w:rFonts w:eastAsia="Calibri"/>
                <w:sz w:val="20"/>
              </w:rPr>
            </w:pPr>
            <w:r w:rsidRPr="003C02EC">
              <w:rPr>
                <w:rFonts w:eastAsia="Calibri"/>
                <w:sz w:val="20"/>
              </w:rPr>
              <w:lastRenderedPageBreak/>
              <w:t>September 13, 2013</w:t>
            </w:r>
          </w:p>
          <w:p w:rsidR="00890C2B" w:rsidRPr="003C02EC" w:rsidRDefault="00890C2B" w:rsidP="00C5574B">
            <w:pPr>
              <w:jc w:val="both"/>
              <w:rPr>
                <w:rFonts w:eastAsia="Calibri"/>
                <w:sz w:val="20"/>
              </w:rPr>
            </w:pPr>
            <w:r w:rsidRPr="003C02EC">
              <w:rPr>
                <w:rFonts w:eastAsia="Calibri"/>
                <w:sz w:val="20"/>
              </w:rPr>
              <w:t>Supreme Court of Canada</w:t>
            </w: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Application for leave to appeal filed</w:t>
            </w: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42"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0C2B" w:rsidRPr="00023015" w:rsidTr="00C5574B">
        <w:tc>
          <w:tcPr>
            <w:tcW w:w="5000" w:type="pct"/>
            <w:gridSpan w:val="3"/>
          </w:tcPr>
          <w:p w:rsidR="00890C2B" w:rsidRPr="003C02EC" w:rsidRDefault="00890C2B" w:rsidP="00C5574B">
            <w:pPr>
              <w:jc w:val="both"/>
              <w:rPr>
                <w:rFonts w:eastAsia="Calibri"/>
                <w:sz w:val="20"/>
                <w:lang w:val="fr-CA"/>
              </w:rPr>
            </w:pPr>
            <w:r w:rsidRPr="003C02EC">
              <w:rPr>
                <w:rFonts w:eastAsia="Calibri"/>
                <w:sz w:val="20"/>
                <w:lang w:val="fr-CA"/>
              </w:rPr>
              <w:t xml:space="preserve">Droit de la concurrence – </w:t>
            </w:r>
            <w:r w:rsidRPr="003C02EC">
              <w:rPr>
                <w:iCs/>
                <w:spacing w:val="-3"/>
                <w:sz w:val="20"/>
                <w:lang w:val="fr-CA"/>
              </w:rPr>
              <w:t xml:space="preserve">Complot pour empêcher ou diminuer indûment la concurrence </w:t>
            </w:r>
            <w:r w:rsidRPr="003C02EC">
              <w:rPr>
                <w:rFonts w:eastAsia="Calibri"/>
                <w:sz w:val="20"/>
                <w:lang w:val="fr-CA"/>
              </w:rPr>
              <w:t xml:space="preserve">– Législation – Interprétation – Action en application de la loi intentée par une partie privée pour violation de la </w:t>
            </w:r>
            <w:r w:rsidRPr="003C02EC">
              <w:rPr>
                <w:rFonts w:eastAsia="Calibri"/>
                <w:i/>
                <w:sz w:val="20"/>
                <w:lang w:val="fr-CA"/>
              </w:rPr>
              <w:t>Loi sur la</w:t>
            </w:r>
            <w:r w:rsidRPr="003C02EC">
              <w:rPr>
                <w:rFonts w:eastAsia="Calibri"/>
                <w:sz w:val="20"/>
                <w:lang w:val="fr-CA"/>
              </w:rPr>
              <w:t xml:space="preserve"> </w:t>
            </w:r>
            <w:r w:rsidRPr="003C02EC">
              <w:rPr>
                <w:rFonts w:eastAsia="Calibri"/>
                <w:i/>
                <w:sz w:val="20"/>
                <w:lang w:val="fr-CA"/>
              </w:rPr>
              <w:t>concurrence</w:t>
            </w:r>
            <w:r w:rsidRPr="003C02EC">
              <w:rPr>
                <w:rFonts w:eastAsia="Calibri"/>
                <w:sz w:val="20"/>
                <w:lang w:val="fr-CA"/>
              </w:rPr>
              <w:t xml:space="preserve">, L.R.C. 1985, ch. C-34 (la « </w:t>
            </w:r>
            <w:r w:rsidRPr="003C02EC">
              <w:rPr>
                <w:rFonts w:eastAsia="Calibri"/>
                <w:i/>
                <w:sz w:val="20"/>
                <w:lang w:val="fr-CA"/>
              </w:rPr>
              <w:t>Loi</w:t>
            </w:r>
            <w:r w:rsidRPr="003C02EC">
              <w:rPr>
                <w:rFonts w:eastAsia="Calibri"/>
                <w:sz w:val="20"/>
                <w:lang w:val="fr-CA"/>
              </w:rPr>
              <w:t xml:space="preserve"> ») – Action en dommages-intérêts pour complot délictueux et ingérence dans les relations commerciales – Jusqu’à quel point, s’il en est, la notion d’efficacité joue-t-elle dans l’analyse des dispositions de l’art. 45 de la </w:t>
            </w:r>
            <w:r w:rsidRPr="003C02EC">
              <w:rPr>
                <w:rFonts w:eastAsia="Calibri"/>
                <w:i/>
                <w:sz w:val="20"/>
                <w:lang w:val="fr-CA"/>
              </w:rPr>
              <w:t>Loi</w:t>
            </w:r>
            <w:r w:rsidRPr="003C02EC">
              <w:rPr>
                <w:rFonts w:eastAsia="Calibri"/>
                <w:sz w:val="20"/>
                <w:lang w:val="fr-CA"/>
              </w:rPr>
              <w:t xml:space="preserve"> relatives au cartel? – Les demandeurs ayant eu gain de cause ont-ils droit à une enquête complète et au recouvrement des dépens en vertu des dispositions de l’art. 36 de la </w:t>
            </w:r>
            <w:r w:rsidRPr="003C02EC">
              <w:rPr>
                <w:rFonts w:eastAsia="Calibri"/>
                <w:i/>
                <w:sz w:val="20"/>
                <w:lang w:val="fr-CA"/>
              </w:rPr>
              <w:t>Loi</w:t>
            </w:r>
            <w:r w:rsidRPr="003C02EC">
              <w:rPr>
                <w:rFonts w:eastAsia="Calibri"/>
                <w:sz w:val="20"/>
                <w:lang w:val="fr-CA"/>
              </w:rPr>
              <w:t xml:space="preserve"> sur les recours civils? – </w:t>
            </w:r>
            <w:r w:rsidRPr="003C02EC">
              <w:rPr>
                <w:rFonts w:eastAsia="Calibri"/>
                <w:i/>
                <w:sz w:val="20"/>
                <w:lang w:val="fr-CA"/>
              </w:rPr>
              <w:t>R. c. Nova Scotia Pharmaceutical Society</w:t>
            </w:r>
            <w:r w:rsidRPr="003C02EC">
              <w:rPr>
                <w:rFonts w:eastAsia="Calibri"/>
                <w:sz w:val="20"/>
                <w:lang w:val="fr-CA"/>
              </w:rPr>
              <w:t xml:space="preserve">, [1992] 2 R.C.S. 606.  </w:t>
            </w:r>
          </w:p>
        </w:tc>
      </w:tr>
      <w:tr w:rsidR="00890C2B" w:rsidRPr="00023015" w:rsidTr="00C5574B">
        <w:tc>
          <w:tcPr>
            <w:tcW w:w="5000" w:type="pct"/>
            <w:gridSpan w:val="3"/>
          </w:tcPr>
          <w:p w:rsidR="00890C2B" w:rsidRPr="003C02EC" w:rsidRDefault="00890C2B" w:rsidP="00C5574B">
            <w:pPr>
              <w:jc w:val="both"/>
              <w:rPr>
                <w:rFonts w:eastAsia="Calibri"/>
                <w:sz w:val="20"/>
                <w:lang w:val="fr-CA"/>
              </w:rPr>
            </w:pPr>
          </w:p>
        </w:tc>
      </w:tr>
      <w:tr w:rsidR="00890C2B" w:rsidRPr="00023015" w:rsidTr="00C5574B">
        <w:tc>
          <w:tcPr>
            <w:tcW w:w="5000" w:type="pct"/>
            <w:gridSpan w:val="3"/>
          </w:tcPr>
          <w:p w:rsidR="00890C2B" w:rsidRPr="003C02EC" w:rsidRDefault="00890C2B" w:rsidP="00C5574B">
            <w:pPr>
              <w:jc w:val="both"/>
              <w:rPr>
                <w:rFonts w:eastAsia="Calibri"/>
                <w:sz w:val="20"/>
                <w:lang w:val="fr-CA"/>
              </w:rPr>
            </w:pPr>
            <w:r w:rsidRPr="003C02EC">
              <w:rPr>
                <w:rFonts w:eastAsia="Calibri"/>
                <w:sz w:val="20"/>
                <w:lang w:val="fr-CA"/>
              </w:rPr>
              <w:t>Les intimées sont propriétaires de biens-fonds distincts détenus conjointement et fabriquent leurs produits dans plusieurs installations consacrées au pétrole et au gaz dans la petite collectivité de Rainbow Lake (Alberta) de même qu’à proximité de celle-ci.  Elles se sont concertées pour mettre en œuvre des stratégies visant à accroître la valeur de leurs actifs, et ont décidé de réduire les dépenses en n’ayant recours qu’à une des deux entreprises locales auxquelles elles faisaient appel pour le transport de matières liquides.  Leurs représentants ont rencontré ceux des deux entreprises et établi un processus d’évaluation pour déterminer si une entreprise pouvait répondre à tous leurs besoins.  La demanderesse a dit craindre de faire faillite si les intimées n’avaient plus recours à ses services.  Les intimées ont indiqué que leur objectif était non pas de réduire les prix, mais de rendre leurs opérations plus efficaces.  L’autre entreprise a été retenue au bout du compte, et les intimées ont cessé de confier du travail à la demanderesse.  Environ six mois plus tard, la demanderesse a mis fin à ses activités et vendu ses actifs, ayant perdu un autre client en raison de l’installation d’un pipeline.  Elle a intenté, en qualité de partie privée, une action en application de la loi contre les intimées pour violation alléguée de la Loi et a demandé des dommages-intérêts pour complot délictueux et ingérence dans les relations commerciales.  La Cour du Banc de la Reine de l’Alberta a statué en faveur de la demanderesse et lui a adjugé 5 000 000 $ en dommages-intérêts, plus des dommages-intérêts punitifs.  La Cour d’appel a fait droit à l’appel et rejeté l’action ainsi qu’un appel incident.</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27 mai 2011</w:t>
            </w:r>
          </w:p>
          <w:p w:rsidR="00890C2B" w:rsidRPr="003C02EC" w:rsidRDefault="00890C2B" w:rsidP="00C5574B">
            <w:pPr>
              <w:jc w:val="both"/>
              <w:rPr>
                <w:rFonts w:eastAsia="Calibri"/>
                <w:sz w:val="20"/>
                <w:lang w:val="fr-CA"/>
              </w:rPr>
            </w:pPr>
            <w:r w:rsidRPr="003C02EC">
              <w:rPr>
                <w:rFonts w:eastAsia="Calibri"/>
                <w:sz w:val="20"/>
                <w:lang w:val="fr-CA"/>
              </w:rPr>
              <w:t>Cour du Banc de la Reine de l’Alberta</w:t>
            </w:r>
          </w:p>
          <w:p w:rsidR="00890C2B" w:rsidRPr="003C02EC" w:rsidRDefault="00890C2B" w:rsidP="00C5574B">
            <w:pPr>
              <w:jc w:val="both"/>
              <w:rPr>
                <w:rFonts w:eastAsia="Calibri"/>
                <w:sz w:val="20"/>
              </w:rPr>
            </w:pPr>
            <w:r w:rsidRPr="003C02EC">
              <w:rPr>
                <w:rFonts w:eastAsia="Calibri"/>
                <w:sz w:val="20"/>
              </w:rPr>
              <w:t>(Juge Belzil)</w:t>
            </w:r>
          </w:p>
          <w:p w:rsidR="00890C2B" w:rsidRPr="003C02EC" w:rsidRDefault="001B62D0" w:rsidP="00C5574B">
            <w:pPr>
              <w:jc w:val="both"/>
              <w:rPr>
                <w:rFonts w:eastAsia="Calibri"/>
                <w:sz w:val="20"/>
              </w:rPr>
            </w:pPr>
            <w:hyperlink r:id="rId44" w:history="1">
              <w:r w:rsidR="00890C2B" w:rsidRPr="003C02EC">
                <w:rPr>
                  <w:rFonts w:eastAsia="Calibri"/>
                  <w:color w:val="0000FF"/>
                  <w:sz w:val="20"/>
                  <w:u w:val="single"/>
                </w:rPr>
                <w:t>2011 ABQB 292</w:t>
              </w:r>
            </w:hyperlink>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 xml:space="preserve">Jugement en faveur de la demanderesse; 5 millions de dollars en dommages-intérêts et un million de dollars en dommages-intérêts punitifs adjugés à la demanderesse </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7 février 2012</w:t>
            </w:r>
          </w:p>
          <w:p w:rsidR="00890C2B" w:rsidRPr="003C02EC" w:rsidRDefault="00890C2B" w:rsidP="00C5574B">
            <w:pPr>
              <w:jc w:val="both"/>
              <w:rPr>
                <w:rFonts w:eastAsia="Calibri"/>
                <w:sz w:val="20"/>
                <w:lang w:val="fr-CA"/>
              </w:rPr>
            </w:pPr>
            <w:r w:rsidRPr="003C02EC">
              <w:rPr>
                <w:rFonts w:eastAsia="Calibri"/>
                <w:sz w:val="20"/>
                <w:lang w:val="fr-CA"/>
              </w:rPr>
              <w:t>Cour du Banc de la Reine de l’Alberta</w:t>
            </w:r>
          </w:p>
          <w:p w:rsidR="00890C2B" w:rsidRPr="003C02EC" w:rsidRDefault="00890C2B" w:rsidP="00C5574B">
            <w:pPr>
              <w:jc w:val="both"/>
              <w:rPr>
                <w:rFonts w:eastAsia="Calibri"/>
                <w:sz w:val="20"/>
                <w:lang w:val="fr-CA"/>
              </w:rPr>
            </w:pPr>
            <w:r w:rsidRPr="003C02EC">
              <w:rPr>
                <w:rFonts w:eastAsia="Calibri"/>
                <w:sz w:val="20"/>
                <w:lang w:val="fr-CA"/>
              </w:rPr>
              <w:t>(Juge Belzil)</w:t>
            </w:r>
          </w:p>
          <w:p w:rsidR="00890C2B" w:rsidRPr="003C02EC" w:rsidRDefault="001B62D0" w:rsidP="00C5574B">
            <w:pPr>
              <w:jc w:val="both"/>
              <w:rPr>
                <w:rFonts w:eastAsia="Calibri"/>
                <w:sz w:val="20"/>
                <w:lang w:val="fr-CA"/>
              </w:rPr>
            </w:pPr>
            <w:hyperlink r:id="rId45" w:history="1">
              <w:r w:rsidR="00890C2B" w:rsidRPr="003C02EC">
                <w:rPr>
                  <w:rFonts w:eastAsia="Calibri"/>
                  <w:color w:val="0000FF"/>
                  <w:sz w:val="20"/>
                  <w:u w:val="single"/>
                  <w:lang w:val="fr-CA"/>
                </w:rPr>
                <w:t>2012 ABQB 76</w:t>
              </w:r>
            </w:hyperlink>
          </w:p>
          <w:p w:rsidR="00890C2B" w:rsidRPr="003C02EC" w:rsidRDefault="00890C2B" w:rsidP="00C5574B">
            <w:pPr>
              <w:jc w:val="both"/>
              <w:rPr>
                <w:rFonts w:eastAsia="Calibri"/>
                <w:sz w:val="20"/>
                <w:lang w:val="fr-CA"/>
              </w:rPr>
            </w:pPr>
          </w:p>
        </w:tc>
        <w:tc>
          <w:tcPr>
            <w:tcW w:w="243" w:type="pct"/>
          </w:tcPr>
          <w:p w:rsidR="00890C2B" w:rsidRPr="003C02EC" w:rsidRDefault="00890C2B" w:rsidP="00C5574B">
            <w:pPr>
              <w:jc w:val="both"/>
              <w:rPr>
                <w:rFonts w:eastAsia="Calibri"/>
                <w:sz w:val="20"/>
                <w:lang w:val="fr-CA"/>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 xml:space="preserve">Demanderesse obtenant les intérêts simples avant jugement sur les dommages-intérêts pour 12,5 ans et les dépens prévus à l’annexe C, calculés en fonction du triple de la somme fixée à la colonne 5, y compris les honoraires du deuxième avocat </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14 juin 2013</w:t>
            </w:r>
          </w:p>
          <w:p w:rsidR="00890C2B" w:rsidRPr="003C02EC" w:rsidRDefault="00890C2B" w:rsidP="00C5574B">
            <w:pPr>
              <w:jc w:val="both"/>
              <w:rPr>
                <w:rFonts w:eastAsia="Calibri"/>
                <w:sz w:val="20"/>
                <w:lang w:val="fr-CA"/>
              </w:rPr>
            </w:pPr>
            <w:r w:rsidRPr="003C02EC">
              <w:rPr>
                <w:rFonts w:eastAsia="Calibri"/>
                <w:sz w:val="20"/>
                <w:lang w:val="fr-CA"/>
              </w:rPr>
              <w:t>Cour d’appel de l’Alberta (Edmonton)</w:t>
            </w:r>
          </w:p>
          <w:p w:rsidR="00890C2B" w:rsidRPr="003C02EC" w:rsidRDefault="00890C2B" w:rsidP="00C5574B">
            <w:pPr>
              <w:jc w:val="both"/>
              <w:rPr>
                <w:rFonts w:eastAsia="Calibri"/>
                <w:sz w:val="20"/>
                <w:lang w:val="fr-CA"/>
              </w:rPr>
            </w:pPr>
            <w:r w:rsidRPr="003C02EC">
              <w:rPr>
                <w:rFonts w:eastAsia="Calibri"/>
                <w:sz w:val="20"/>
                <w:lang w:val="fr-CA"/>
              </w:rPr>
              <w:t>(Juges Martin, Watson et McDonald)</w:t>
            </w:r>
          </w:p>
          <w:p w:rsidR="00890C2B" w:rsidRPr="003C02EC" w:rsidRDefault="001B62D0" w:rsidP="00C5574B">
            <w:pPr>
              <w:jc w:val="both"/>
              <w:rPr>
                <w:rFonts w:eastAsia="Calibri"/>
                <w:sz w:val="20"/>
              </w:rPr>
            </w:pPr>
            <w:hyperlink r:id="rId46" w:history="1">
              <w:r w:rsidR="00890C2B" w:rsidRPr="003C02EC">
                <w:rPr>
                  <w:rFonts w:eastAsia="Calibri"/>
                  <w:color w:val="0000FF"/>
                  <w:sz w:val="20"/>
                  <w:u w:val="single"/>
                </w:rPr>
                <w:t>2013 ABCA 221</w:t>
              </w:r>
            </w:hyperlink>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 xml:space="preserve">Appel accueilli, action et appel incident de la demanderesse rejetés  </w:t>
            </w:r>
          </w:p>
        </w:tc>
      </w:tr>
      <w:tr w:rsidR="00890C2B" w:rsidRPr="003C02EC"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lastRenderedPageBreak/>
              <w:t>13 septembre 2013</w:t>
            </w:r>
          </w:p>
          <w:p w:rsidR="00890C2B" w:rsidRPr="003C02EC" w:rsidRDefault="00890C2B" w:rsidP="00C5574B">
            <w:pPr>
              <w:jc w:val="both"/>
              <w:rPr>
                <w:rFonts w:eastAsia="Calibri"/>
                <w:sz w:val="20"/>
                <w:lang w:val="fr-CA"/>
              </w:rPr>
            </w:pPr>
            <w:r w:rsidRPr="003C02EC">
              <w:rPr>
                <w:rFonts w:eastAsia="Calibri"/>
                <w:sz w:val="20"/>
                <w:lang w:val="fr-CA"/>
              </w:rPr>
              <w:t>Cour suprême du Canada</w:t>
            </w:r>
          </w:p>
        </w:tc>
        <w:tc>
          <w:tcPr>
            <w:tcW w:w="243" w:type="pct"/>
          </w:tcPr>
          <w:p w:rsidR="00890C2B" w:rsidRPr="003C02EC" w:rsidRDefault="00890C2B" w:rsidP="00C5574B">
            <w:pPr>
              <w:jc w:val="both"/>
              <w:rPr>
                <w:rFonts w:eastAsia="Calibri"/>
                <w:sz w:val="20"/>
                <w:lang w:val="fr-CA"/>
              </w:rPr>
            </w:pPr>
          </w:p>
        </w:tc>
        <w:tc>
          <w:tcPr>
            <w:tcW w:w="2330" w:type="pct"/>
          </w:tcPr>
          <w:p w:rsidR="00890C2B" w:rsidRPr="003C02EC" w:rsidRDefault="00890C2B" w:rsidP="00C5574B">
            <w:pPr>
              <w:jc w:val="both"/>
              <w:rPr>
                <w:rFonts w:eastAsia="Calibri"/>
                <w:sz w:val="20"/>
              </w:rPr>
            </w:pPr>
            <w:r w:rsidRPr="003C02EC">
              <w:rPr>
                <w:rFonts w:eastAsia="Calibri"/>
                <w:sz w:val="20"/>
                <w:lang w:val="fr-CA"/>
              </w:rPr>
              <w:t xml:space="preserve">Demande d’autorisation d’appel déposée </w:t>
            </w:r>
          </w:p>
        </w:tc>
      </w:tr>
    </w:tbl>
    <w:p w:rsidR="00370E33" w:rsidRDefault="00370E33" w:rsidP="00370E33">
      <w:pPr>
        <w:rPr>
          <w:sz w:val="20"/>
          <w:szCs w:val="20"/>
        </w:rPr>
      </w:pPr>
    </w:p>
    <w:p w:rsidR="00370E33" w:rsidRDefault="001B62D0" w:rsidP="00370E33">
      <w:pPr>
        <w:rPr>
          <w:sz w:val="20"/>
          <w:szCs w:val="20"/>
        </w:rPr>
      </w:pPr>
      <w:r>
        <w:rPr>
          <w:sz w:val="20"/>
          <w:szCs w:val="20"/>
          <w:lang w:val="fr-CA"/>
        </w:rPr>
        <w:pict>
          <v:rect id="_x0000_i1043"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7DC3" w:rsidRPr="00421D33" w:rsidTr="00FF5D8C">
        <w:trPr>
          <w:cantSplit/>
        </w:trPr>
        <w:tc>
          <w:tcPr>
            <w:tcW w:w="1458" w:type="dxa"/>
          </w:tcPr>
          <w:p w:rsidR="00D77DC3" w:rsidRPr="00421D33" w:rsidRDefault="00D77DC3" w:rsidP="00FF5D8C">
            <w:pPr>
              <w:rPr>
                <w:sz w:val="20"/>
                <w:szCs w:val="20"/>
              </w:rPr>
            </w:pPr>
            <w:r w:rsidRPr="00421D33">
              <w:rPr>
                <w:rStyle w:val="SCCFileNumberChar"/>
                <w:sz w:val="20"/>
                <w:szCs w:val="20"/>
              </w:rPr>
              <w:t>35542</w:t>
            </w:r>
          </w:p>
          <w:p w:rsidR="00D77DC3" w:rsidRPr="00421D33" w:rsidRDefault="00D77DC3" w:rsidP="00FF5D8C">
            <w:pPr>
              <w:rPr>
                <w:b/>
                <w:sz w:val="20"/>
                <w:szCs w:val="20"/>
                <w:lang w:val="fr-CA"/>
              </w:rPr>
            </w:pPr>
          </w:p>
        </w:tc>
        <w:tc>
          <w:tcPr>
            <w:tcW w:w="8118" w:type="dxa"/>
          </w:tcPr>
          <w:p w:rsidR="00D77DC3" w:rsidRPr="00421D33" w:rsidRDefault="00D77DC3" w:rsidP="00FF5D8C">
            <w:pPr>
              <w:rPr>
                <w:sz w:val="20"/>
                <w:szCs w:val="20"/>
              </w:rPr>
            </w:pPr>
            <w:r w:rsidRPr="00421D33">
              <w:rPr>
                <w:rStyle w:val="SCCLsocChar"/>
                <w:sz w:val="20"/>
                <w:szCs w:val="20"/>
                <w:lang w:val="en-CA"/>
              </w:rPr>
              <w:t>Florina Vladescu v. CTVglobemedia Inc.</w:t>
            </w:r>
            <w:r w:rsidR="001A1C43">
              <w:rPr>
                <w:rStyle w:val="SCCLsocChar"/>
                <w:sz w:val="20"/>
                <w:szCs w:val="20"/>
                <w:lang w:val="en-CA"/>
              </w:rPr>
              <w:t xml:space="preserve"> and</w:t>
            </w:r>
            <w:r w:rsidRPr="00421D33">
              <w:rPr>
                <w:rStyle w:val="SCCLsocChar"/>
                <w:sz w:val="20"/>
                <w:szCs w:val="20"/>
                <w:lang w:val="en-CA"/>
              </w:rPr>
              <w:t xml:space="preserve"> CTV Inc.</w:t>
            </w:r>
            <w:r w:rsidRPr="00421D33">
              <w:rPr>
                <w:sz w:val="20"/>
                <w:szCs w:val="20"/>
              </w:rPr>
              <w:t xml:space="preserve"> (Ont.) (Civil) (By Leave)</w:t>
            </w:r>
          </w:p>
          <w:p w:rsidR="00D77DC3" w:rsidRPr="00421D33" w:rsidRDefault="00D77DC3" w:rsidP="00FF5D8C">
            <w:pPr>
              <w:rPr>
                <w:sz w:val="20"/>
                <w:szCs w:val="20"/>
              </w:rPr>
            </w:pPr>
          </w:p>
        </w:tc>
      </w:tr>
      <w:tr w:rsidR="00D77DC3" w:rsidRPr="00421D33" w:rsidTr="00FF5D8C">
        <w:trPr>
          <w:cantSplit/>
        </w:trPr>
        <w:tc>
          <w:tcPr>
            <w:tcW w:w="1458" w:type="dxa"/>
          </w:tcPr>
          <w:p w:rsidR="00D77DC3" w:rsidRPr="00421D33" w:rsidRDefault="00D77DC3" w:rsidP="00FF5D8C">
            <w:pPr>
              <w:rPr>
                <w:sz w:val="20"/>
                <w:szCs w:val="20"/>
              </w:rPr>
            </w:pPr>
            <w:r w:rsidRPr="00421D33">
              <w:rPr>
                <w:sz w:val="20"/>
                <w:szCs w:val="20"/>
              </w:rPr>
              <w:t>Coram :</w:t>
            </w:r>
          </w:p>
        </w:tc>
        <w:tc>
          <w:tcPr>
            <w:tcW w:w="8118" w:type="dxa"/>
          </w:tcPr>
          <w:p w:rsidR="00D77DC3" w:rsidRPr="00421D33" w:rsidRDefault="00D77DC3" w:rsidP="00FF5D8C">
            <w:pPr>
              <w:rPr>
                <w:sz w:val="20"/>
                <w:szCs w:val="20"/>
              </w:rPr>
            </w:pPr>
            <w:r w:rsidRPr="00421D33">
              <w:rPr>
                <w:rStyle w:val="SCCCoramChar"/>
                <w:sz w:val="20"/>
                <w:szCs w:val="20"/>
                <w:lang w:val="en-CA"/>
              </w:rPr>
              <w:t>Abella, Rothstein and Moldaver JJ.</w:t>
            </w:r>
          </w:p>
          <w:p w:rsidR="00D77DC3" w:rsidRPr="00421D33" w:rsidRDefault="00D77DC3" w:rsidP="00FF5D8C">
            <w:pPr>
              <w:rPr>
                <w:sz w:val="20"/>
                <w:szCs w:val="20"/>
                <w:u w:val="single"/>
              </w:rPr>
            </w:pPr>
          </w:p>
        </w:tc>
      </w:tr>
      <w:tr w:rsidR="00D77DC3" w:rsidRPr="00023015" w:rsidTr="00FF5D8C">
        <w:trPr>
          <w:cantSplit/>
        </w:trPr>
        <w:tc>
          <w:tcPr>
            <w:tcW w:w="9576" w:type="dxa"/>
            <w:gridSpan w:val="2"/>
          </w:tcPr>
          <w:p w:rsidR="00D77DC3" w:rsidRPr="00421D33" w:rsidRDefault="00D77DC3" w:rsidP="00FF5D8C">
            <w:pPr>
              <w:pStyle w:val="SCCShortJudgment"/>
              <w:rPr>
                <w:szCs w:val="20"/>
              </w:rPr>
            </w:pPr>
            <w:r w:rsidRPr="00421D33">
              <w:rPr>
                <w:szCs w:val="20"/>
              </w:rPr>
              <w:t>The application for leave to appeal from the judgment of the Court of Appeal for Ontario, Number C55955, 2013 ONCA 448, dated June 27, 2013, is dismissed without costs.</w:t>
            </w:r>
          </w:p>
          <w:p w:rsidR="00D77DC3" w:rsidRPr="00421D33" w:rsidRDefault="00D77DC3" w:rsidP="00FF5D8C">
            <w:pPr>
              <w:pStyle w:val="SCCShortJudgment"/>
              <w:ind w:firstLine="0"/>
              <w:rPr>
                <w:szCs w:val="20"/>
              </w:rPr>
            </w:pPr>
          </w:p>
          <w:p w:rsidR="00D77DC3" w:rsidRPr="00421D33" w:rsidRDefault="00D77DC3" w:rsidP="00FF5D8C">
            <w:pPr>
              <w:pStyle w:val="SCCShortJudgment"/>
              <w:rPr>
                <w:szCs w:val="20"/>
                <w:lang w:val="fr-CA"/>
              </w:rPr>
            </w:pPr>
            <w:r w:rsidRPr="00421D33">
              <w:rPr>
                <w:szCs w:val="20"/>
                <w:lang w:val="fr-CA"/>
              </w:rPr>
              <w:t>La demande d’autorisation d’appel de l’arrêt de la Cour d’appel de l’Ontario, numéro C55955, 2013 ONCA 448, daté du 27 juin 2013, est rejetée sans dépens.</w:t>
            </w:r>
          </w:p>
        </w:tc>
      </w:tr>
    </w:tbl>
    <w:p w:rsidR="00370E33" w:rsidRPr="0016547E" w:rsidRDefault="00370E33" w:rsidP="00370E33">
      <w:pPr>
        <w:rPr>
          <w:sz w:val="20"/>
          <w:szCs w:val="20"/>
          <w:lang w:val="fr-CA"/>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0C2B" w:rsidRPr="003C02EC" w:rsidTr="00C5574B">
        <w:trPr>
          <w:trHeight w:val="864"/>
        </w:trPr>
        <w:tc>
          <w:tcPr>
            <w:tcW w:w="5000" w:type="pct"/>
            <w:gridSpan w:val="3"/>
          </w:tcPr>
          <w:p w:rsidR="00890C2B" w:rsidRPr="003C02EC" w:rsidRDefault="00890C2B" w:rsidP="00C5574B">
            <w:pPr>
              <w:jc w:val="both"/>
              <w:rPr>
                <w:rFonts w:eastAsia="Calibri"/>
                <w:sz w:val="20"/>
              </w:rPr>
            </w:pPr>
            <w:r w:rsidRPr="003C02EC">
              <w:rPr>
                <w:rFonts w:eastAsia="Calibri"/>
                <w:sz w:val="20"/>
              </w:rPr>
              <w:t xml:space="preserve">Family law – Family assets – Pensions – Pre-retirement death benefit – Husband agreeing in separation agreement to designate wife beneficiary of his “survivor benefits” – Husband dying while married to subsequent spouse – Pension administrator maintaining pre-retirement death benefit payable to second spouse – Can a member of a federally regulated pension plan assign all or part of his or her survivor benefits under the </w:t>
            </w:r>
            <w:r w:rsidRPr="003C02EC">
              <w:rPr>
                <w:rFonts w:eastAsia="Calibri"/>
                <w:i/>
                <w:sz w:val="20"/>
              </w:rPr>
              <w:t>Pension Benefits Standards Act</w:t>
            </w:r>
            <w:r w:rsidRPr="003C02EC">
              <w:rPr>
                <w:rFonts w:eastAsia="Calibri"/>
                <w:sz w:val="20"/>
              </w:rPr>
              <w:t>, 1985,</w:t>
            </w:r>
            <w:r w:rsidRPr="003C02EC">
              <w:rPr>
                <w:rFonts w:eastAsia="Calibri"/>
                <w:i/>
                <w:sz w:val="20"/>
              </w:rPr>
              <w:t xml:space="preserve"> </w:t>
            </w:r>
            <w:r w:rsidRPr="003C02EC">
              <w:rPr>
                <w:rFonts w:eastAsia="Calibri"/>
                <w:sz w:val="20"/>
              </w:rPr>
              <w:t>R.S.C. 1985, c. 32 (2</w:t>
            </w:r>
            <w:r w:rsidRPr="003C02EC">
              <w:rPr>
                <w:rFonts w:eastAsia="Calibri"/>
                <w:sz w:val="20"/>
                <w:vertAlign w:val="superscript"/>
              </w:rPr>
              <w:t>nd</w:t>
            </w:r>
            <w:r w:rsidRPr="003C02EC">
              <w:rPr>
                <w:rFonts w:eastAsia="Calibri"/>
                <w:sz w:val="20"/>
              </w:rPr>
              <w:t xml:space="preserve"> Supp.) in the family law context? – What is required to effect an “assignment”, and how should general principles of contractual interpretation be applied in family law cases.</w:t>
            </w:r>
          </w:p>
        </w:tc>
      </w:tr>
      <w:tr w:rsidR="00890C2B" w:rsidRPr="003C02EC" w:rsidTr="00C5574B">
        <w:tc>
          <w:tcPr>
            <w:tcW w:w="5000" w:type="pct"/>
            <w:gridSpan w:val="3"/>
          </w:tcPr>
          <w:p w:rsidR="00890C2B" w:rsidRPr="003C02EC" w:rsidRDefault="00890C2B" w:rsidP="00C5574B">
            <w:pPr>
              <w:jc w:val="both"/>
              <w:rPr>
                <w:rFonts w:eastAsia="Calibri"/>
                <w:sz w:val="20"/>
              </w:rPr>
            </w:pPr>
          </w:p>
        </w:tc>
      </w:tr>
      <w:tr w:rsidR="00890C2B" w:rsidRPr="003C02EC" w:rsidTr="00C5574B">
        <w:trPr>
          <w:trHeight w:val="432"/>
        </w:trPr>
        <w:tc>
          <w:tcPr>
            <w:tcW w:w="5000" w:type="pct"/>
            <w:gridSpan w:val="3"/>
          </w:tcPr>
          <w:p w:rsidR="00890C2B" w:rsidRPr="003C02EC" w:rsidRDefault="00890C2B" w:rsidP="00C5574B">
            <w:pPr>
              <w:jc w:val="both"/>
              <w:rPr>
                <w:rFonts w:eastAsia="Calibri"/>
                <w:sz w:val="20"/>
              </w:rPr>
            </w:pPr>
            <w:r w:rsidRPr="003C02EC">
              <w:rPr>
                <w:rFonts w:eastAsia="Calibri"/>
                <w:sz w:val="20"/>
              </w:rPr>
              <w:t>Ms. Vladescu began living with the Mr. Filotti, in 1993.  They married in 1998 then separated in 2001.  Mr. Filotti worked during this time for the respondents (collectively, “CTV”) as a cameraman where he built up a pension.  Ms. Vladescu and Mr. Filotti entered into a separation agreement in which Ms. Vladescu gave up any right to spousal support and assumed responsibility for Mr. Filotti’s share of certain joint debts.  In return, Mr. Filotti agreed that she would receive the “survivor benefits” from his pension.  They were divorced in February, 2003.  In 2004, Mr. Filotti remarried.  He and his second wife separated in 2005 but never divorced.  Mr. Filotti died in 2009 when the survivor benefits from his pension had a value of $445,000.  The respondents administered the pension plan and took the position that the separation agreement did not have the effect of assigning the pre-retirement death benefit to Ms. Vladescu or displacing the presumptive entitlement in favour of Mr. Filotti’s surviving wife.</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July 20, 2012</w:t>
            </w:r>
          </w:p>
          <w:p w:rsidR="00890C2B" w:rsidRPr="003C02EC" w:rsidRDefault="00890C2B" w:rsidP="00C5574B">
            <w:pPr>
              <w:jc w:val="both"/>
              <w:rPr>
                <w:rFonts w:eastAsia="Calibri"/>
                <w:sz w:val="20"/>
              </w:rPr>
            </w:pPr>
            <w:r w:rsidRPr="003C02EC">
              <w:rPr>
                <w:rFonts w:eastAsia="Calibri"/>
                <w:sz w:val="20"/>
              </w:rPr>
              <w:t>Ontario Superior Court of Justice</w:t>
            </w:r>
          </w:p>
          <w:p w:rsidR="00890C2B" w:rsidRPr="003C02EC" w:rsidRDefault="00890C2B" w:rsidP="00C5574B">
            <w:pPr>
              <w:jc w:val="both"/>
              <w:rPr>
                <w:rFonts w:eastAsia="Calibri"/>
                <w:sz w:val="20"/>
              </w:rPr>
            </w:pPr>
            <w:r w:rsidRPr="003C02EC">
              <w:rPr>
                <w:rFonts w:eastAsia="Calibri"/>
                <w:sz w:val="20"/>
              </w:rPr>
              <w:t>(O'Neill J.)</w:t>
            </w:r>
          </w:p>
          <w:p w:rsidR="00890C2B" w:rsidRPr="003C02EC" w:rsidRDefault="00890C2B" w:rsidP="00C5574B">
            <w:pPr>
              <w:jc w:val="both"/>
              <w:rPr>
                <w:rFonts w:eastAsia="Calibri"/>
                <w:sz w:val="20"/>
              </w:rPr>
            </w:pPr>
            <w:r w:rsidRPr="003C02EC">
              <w:rPr>
                <w:rFonts w:eastAsia="Calibri"/>
                <w:sz w:val="20"/>
              </w:rPr>
              <w:t xml:space="preserve">2012 ONSC 4233 </w:t>
            </w:r>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Motion judge dismissing first wife’s motion</w:t>
            </w:r>
          </w:p>
          <w:p w:rsidR="00890C2B" w:rsidRPr="003C02EC" w:rsidRDefault="00890C2B" w:rsidP="00C5574B">
            <w:pPr>
              <w:jc w:val="both"/>
              <w:rPr>
                <w:rFonts w:eastAsia="Calibri"/>
                <w:sz w:val="20"/>
              </w:rPr>
            </w:pPr>
            <w:r w:rsidRPr="003C02EC">
              <w:rPr>
                <w:rFonts w:eastAsia="Calibri"/>
                <w:sz w:val="20"/>
              </w:rPr>
              <w:t>for summary judgment and holding that second wife entitled to pre-retirement death benefit</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June 27, 2013</w:t>
            </w:r>
          </w:p>
          <w:p w:rsidR="00890C2B" w:rsidRPr="003C02EC" w:rsidRDefault="00890C2B" w:rsidP="00C5574B">
            <w:pPr>
              <w:jc w:val="both"/>
              <w:rPr>
                <w:rFonts w:eastAsia="Calibri"/>
                <w:sz w:val="20"/>
              </w:rPr>
            </w:pPr>
            <w:r w:rsidRPr="003C02EC">
              <w:rPr>
                <w:rFonts w:eastAsia="Calibri"/>
                <w:sz w:val="20"/>
              </w:rPr>
              <w:t>Court of Appeal for Ontario</w:t>
            </w:r>
          </w:p>
          <w:p w:rsidR="00890C2B" w:rsidRPr="003C02EC" w:rsidRDefault="00890C2B" w:rsidP="00C5574B">
            <w:pPr>
              <w:jc w:val="both"/>
              <w:rPr>
                <w:rFonts w:eastAsia="Calibri"/>
                <w:sz w:val="20"/>
              </w:rPr>
            </w:pPr>
            <w:r w:rsidRPr="003C02EC">
              <w:rPr>
                <w:rFonts w:eastAsia="Calibri"/>
                <w:sz w:val="20"/>
              </w:rPr>
              <w:t>(Doherty, MacPherson and Gillese JJ.A.)</w:t>
            </w:r>
          </w:p>
          <w:p w:rsidR="00890C2B" w:rsidRPr="003C02EC" w:rsidRDefault="001B62D0" w:rsidP="00C5574B">
            <w:pPr>
              <w:jc w:val="both"/>
              <w:rPr>
                <w:rFonts w:eastAsia="Calibri"/>
                <w:sz w:val="20"/>
              </w:rPr>
            </w:pPr>
            <w:hyperlink r:id="rId47" w:history="1">
              <w:r w:rsidR="00890C2B" w:rsidRPr="003C02EC">
                <w:rPr>
                  <w:rFonts w:eastAsia="Calibri"/>
                  <w:color w:val="0000FF"/>
                  <w:sz w:val="20"/>
                  <w:u w:val="single"/>
                </w:rPr>
                <w:t>2013 ONCA 448</w:t>
              </w:r>
            </w:hyperlink>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Applicant’s appeal dismissed</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lastRenderedPageBreak/>
              <w:t>September 25, 2013</w:t>
            </w:r>
          </w:p>
          <w:p w:rsidR="00890C2B" w:rsidRPr="003C02EC" w:rsidRDefault="00890C2B" w:rsidP="00C5574B">
            <w:pPr>
              <w:jc w:val="both"/>
              <w:rPr>
                <w:rFonts w:eastAsia="Calibri"/>
                <w:sz w:val="20"/>
              </w:rPr>
            </w:pPr>
            <w:r w:rsidRPr="003C02EC">
              <w:rPr>
                <w:rFonts w:eastAsia="Calibri"/>
                <w:sz w:val="20"/>
              </w:rPr>
              <w:t>Supreme Court of Canada</w:t>
            </w: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Application for leave to appeal filed</w:t>
            </w:r>
          </w:p>
          <w:p w:rsidR="00890C2B" w:rsidRPr="003C02EC" w:rsidRDefault="00890C2B" w:rsidP="00C5574B">
            <w:pPr>
              <w:jc w:val="both"/>
              <w:rPr>
                <w:rFonts w:eastAsia="Calibri"/>
                <w:sz w:val="20"/>
              </w:rPr>
            </w:pP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44"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0C2B" w:rsidRPr="00023015" w:rsidTr="00C5574B">
        <w:tc>
          <w:tcPr>
            <w:tcW w:w="5000" w:type="pct"/>
            <w:gridSpan w:val="3"/>
          </w:tcPr>
          <w:p w:rsidR="00890C2B" w:rsidRPr="003C02EC" w:rsidRDefault="00890C2B" w:rsidP="00C5574B">
            <w:pPr>
              <w:jc w:val="both"/>
              <w:rPr>
                <w:rFonts w:eastAsia="Calibri"/>
                <w:sz w:val="20"/>
                <w:lang w:val="fr-CA"/>
              </w:rPr>
            </w:pPr>
            <w:r w:rsidRPr="003C02EC">
              <w:rPr>
                <w:rFonts w:eastAsia="Calibri"/>
                <w:sz w:val="20"/>
                <w:lang w:val="fr-CA"/>
              </w:rPr>
              <w:t>Droit de la famille – Biens familiaux – Pensions – Prestation de décès préretraite – Époux acceptant dans un accord de séparation de désigner l’épouse comme bénéficiaire de ses « prestations de survivant » – Décès de l’époux après un remariage – Administrateur du régime de pension soutenant que la prestation de décès préretraite est payable à la deuxième épouse – Le participant à un régime de pension assujetti à la réglementation fédérale peut</w:t>
            </w:r>
            <w:r w:rsidRPr="003C02EC">
              <w:rPr>
                <w:rFonts w:eastAsia="Calibri"/>
                <w:sz w:val="20"/>
                <w:lang w:val="fr-CA"/>
              </w:rPr>
              <w:noBreakHyphen/>
              <w:t xml:space="preserve">il céder tout ou partie de ses prestations de survivant sous le régime de la </w:t>
            </w:r>
            <w:r w:rsidRPr="003C02EC">
              <w:rPr>
                <w:rFonts w:eastAsia="Calibri"/>
                <w:i/>
                <w:sz w:val="20"/>
                <w:lang w:val="fr-CA"/>
              </w:rPr>
              <w:t>Loi de 1985 sur les normes de prestation de pension</w:t>
            </w:r>
            <w:r w:rsidRPr="003C02EC">
              <w:rPr>
                <w:rFonts w:eastAsia="Calibri"/>
                <w:sz w:val="20"/>
                <w:lang w:val="fr-CA"/>
              </w:rPr>
              <w:t>, L.R.C. 1985, ch. 32 (2</w:t>
            </w:r>
            <w:r w:rsidRPr="003C02EC">
              <w:rPr>
                <w:rFonts w:eastAsia="Calibri"/>
                <w:sz w:val="20"/>
                <w:vertAlign w:val="superscript"/>
                <w:lang w:val="fr-CA"/>
              </w:rPr>
              <w:t>e</w:t>
            </w:r>
            <w:r w:rsidRPr="003C02EC">
              <w:rPr>
                <w:rFonts w:eastAsia="Calibri"/>
                <w:sz w:val="20"/>
                <w:lang w:val="fr-CA"/>
              </w:rPr>
              <w:t xml:space="preserve"> suppl.), dans un contexte de droit de la famille? – Quelles sont les conditions applicables pour qu’il y ait « cession », et comment convient</w:t>
            </w:r>
            <w:r w:rsidRPr="003C02EC">
              <w:rPr>
                <w:rFonts w:eastAsia="Calibri"/>
                <w:sz w:val="20"/>
                <w:lang w:val="fr-CA"/>
              </w:rPr>
              <w:noBreakHyphen/>
              <w:t>il d’appliquer les principes généraux d’interprétation des contrats en matière familiale?</w:t>
            </w:r>
          </w:p>
        </w:tc>
      </w:tr>
      <w:tr w:rsidR="00890C2B" w:rsidRPr="00023015" w:rsidTr="00C5574B">
        <w:tc>
          <w:tcPr>
            <w:tcW w:w="5000" w:type="pct"/>
            <w:gridSpan w:val="3"/>
          </w:tcPr>
          <w:p w:rsidR="00890C2B" w:rsidRPr="003C02EC" w:rsidRDefault="00890C2B" w:rsidP="00C5574B">
            <w:pPr>
              <w:jc w:val="both"/>
              <w:rPr>
                <w:rFonts w:eastAsia="Calibri"/>
                <w:sz w:val="20"/>
                <w:lang w:val="fr-CA"/>
              </w:rPr>
            </w:pPr>
          </w:p>
        </w:tc>
      </w:tr>
      <w:tr w:rsidR="00890C2B" w:rsidRPr="00023015" w:rsidTr="00C5574B">
        <w:trPr>
          <w:trHeight w:val="864"/>
        </w:trPr>
        <w:tc>
          <w:tcPr>
            <w:tcW w:w="5000" w:type="pct"/>
            <w:gridSpan w:val="3"/>
          </w:tcPr>
          <w:p w:rsidR="00890C2B" w:rsidRPr="003C02EC" w:rsidRDefault="00890C2B" w:rsidP="00C5574B">
            <w:pPr>
              <w:jc w:val="both"/>
              <w:rPr>
                <w:rFonts w:eastAsia="Calibri"/>
                <w:sz w:val="20"/>
                <w:lang w:val="fr-CA"/>
              </w:rPr>
            </w:pPr>
            <w:r w:rsidRPr="003C02EC">
              <w:rPr>
                <w:rFonts w:eastAsia="Calibri"/>
                <w:sz w:val="20"/>
                <w:lang w:val="fr-CA"/>
              </w:rPr>
              <w:t>Mme Vladescu a commencé à vivre avec M. Filotti en 1993.  Ils se sont mariés en 1998, puis séparés en 2001.  M. Filotti travaillait alors comme caméraman pour les intimées (collectivement « CTV »), où il accumulait un fonds de pension.  Mme Vladescu et M. Filotti ont conclu un accord de séparation dans lequel Mme Vladescu renonçait à son droit à une pension alimentaire et acceptait d’assumer la responsabilité pour la part de M. Filotti dans certaines dettes contractées conjointement.  M. Filotti acceptait en retour qu’elle reçoive les « prestations de survivant » de son régime de pension.  Ils ont divorcé en février 2003.  En 2004, M. Filotti s’est remarié.  Sa deuxième épouse et lui se sont séparés en 2005, mais n’ont jamais divorcé.  M. Filotti est mort en 2009; les prestations de survivant de son régime de pension s’élevaient alors à 445 000 $.  À titre d’administratrices de ce régime, les intimées ont prétendu que l’accord de séparation n’avait pas pour effet de céder les prestations de décès préretraite à Mme Vladescu ou de réfuter la présomption selon laquelle l’épouse survivante y avait droit.</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20 juillet 2012</w:t>
            </w:r>
          </w:p>
          <w:p w:rsidR="00890C2B" w:rsidRPr="003C02EC" w:rsidRDefault="00890C2B" w:rsidP="00C5574B">
            <w:pPr>
              <w:jc w:val="both"/>
              <w:rPr>
                <w:rFonts w:eastAsia="Calibri"/>
                <w:sz w:val="20"/>
                <w:lang w:val="fr-CA"/>
              </w:rPr>
            </w:pPr>
            <w:r w:rsidRPr="003C02EC">
              <w:rPr>
                <w:rFonts w:eastAsia="Calibri"/>
                <w:sz w:val="20"/>
                <w:lang w:val="fr-CA"/>
              </w:rPr>
              <w:t>Cour supérieure de justice de l’Ontario</w:t>
            </w:r>
          </w:p>
          <w:p w:rsidR="00890C2B" w:rsidRPr="003C02EC" w:rsidRDefault="00890C2B" w:rsidP="00C5574B">
            <w:pPr>
              <w:jc w:val="both"/>
              <w:rPr>
                <w:rFonts w:eastAsia="Calibri"/>
                <w:sz w:val="20"/>
                <w:lang w:val="fr-CA"/>
              </w:rPr>
            </w:pPr>
            <w:r w:rsidRPr="003C02EC">
              <w:rPr>
                <w:rFonts w:eastAsia="Calibri"/>
                <w:sz w:val="20"/>
                <w:lang w:val="fr-CA"/>
              </w:rPr>
              <w:t>(Juge O’Neill)</w:t>
            </w:r>
          </w:p>
          <w:p w:rsidR="00890C2B" w:rsidRPr="003C02EC" w:rsidRDefault="00890C2B" w:rsidP="00C5574B">
            <w:pPr>
              <w:jc w:val="both"/>
              <w:rPr>
                <w:rFonts w:eastAsia="Calibri"/>
                <w:sz w:val="20"/>
                <w:lang w:val="fr-CA"/>
              </w:rPr>
            </w:pPr>
            <w:r w:rsidRPr="003C02EC">
              <w:rPr>
                <w:rFonts w:eastAsia="Calibri"/>
                <w:sz w:val="20"/>
                <w:lang w:val="fr-CA"/>
              </w:rPr>
              <w:t xml:space="preserve">2012 ONSC 4233 </w:t>
            </w:r>
          </w:p>
          <w:p w:rsidR="00890C2B" w:rsidRPr="003C02EC" w:rsidRDefault="00890C2B" w:rsidP="00C5574B">
            <w:pPr>
              <w:jc w:val="both"/>
              <w:rPr>
                <w:rFonts w:eastAsia="Calibri"/>
                <w:sz w:val="20"/>
                <w:lang w:val="fr-CA"/>
              </w:rPr>
            </w:pPr>
          </w:p>
        </w:tc>
        <w:tc>
          <w:tcPr>
            <w:tcW w:w="243" w:type="pct"/>
          </w:tcPr>
          <w:p w:rsidR="00890C2B" w:rsidRPr="003C02EC" w:rsidRDefault="00890C2B" w:rsidP="00C5574B">
            <w:pPr>
              <w:jc w:val="both"/>
              <w:rPr>
                <w:rFonts w:eastAsia="Calibri"/>
                <w:sz w:val="20"/>
                <w:lang w:val="fr-CA"/>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Motion en jugement sommaire de la première épouse rejetée, et il est statué que la deuxième épouse a droit aux prestations de décès préretraite.</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27 juin 2013</w:t>
            </w:r>
          </w:p>
          <w:p w:rsidR="00890C2B" w:rsidRPr="003C02EC" w:rsidRDefault="00890C2B" w:rsidP="00C5574B">
            <w:pPr>
              <w:jc w:val="both"/>
              <w:rPr>
                <w:rFonts w:eastAsia="Calibri"/>
                <w:sz w:val="20"/>
                <w:lang w:val="fr-CA"/>
              </w:rPr>
            </w:pPr>
            <w:r w:rsidRPr="003C02EC">
              <w:rPr>
                <w:rFonts w:eastAsia="Calibri"/>
                <w:sz w:val="20"/>
                <w:lang w:val="fr-CA"/>
              </w:rPr>
              <w:t>Cour d’appel de l’Ontario</w:t>
            </w:r>
          </w:p>
          <w:p w:rsidR="00890C2B" w:rsidRPr="003C02EC" w:rsidRDefault="00890C2B" w:rsidP="00C5574B">
            <w:pPr>
              <w:jc w:val="both"/>
              <w:rPr>
                <w:rFonts w:eastAsia="Calibri"/>
                <w:sz w:val="20"/>
                <w:lang w:val="fr-CA"/>
              </w:rPr>
            </w:pPr>
            <w:r w:rsidRPr="003C02EC">
              <w:rPr>
                <w:rFonts w:eastAsia="Calibri"/>
                <w:sz w:val="20"/>
                <w:lang w:val="fr-CA"/>
              </w:rPr>
              <w:t>(Juges Doherty, MacPherson et Gillese)</w:t>
            </w:r>
          </w:p>
          <w:p w:rsidR="00890C2B" w:rsidRPr="003C02EC" w:rsidRDefault="001B62D0" w:rsidP="00C5574B">
            <w:pPr>
              <w:jc w:val="both"/>
              <w:rPr>
                <w:rFonts w:eastAsia="Calibri"/>
                <w:sz w:val="20"/>
                <w:lang w:val="fr-CA"/>
              </w:rPr>
            </w:pPr>
            <w:hyperlink r:id="rId48" w:history="1">
              <w:r w:rsidR="00890C2B" w:rsidRPr="003C02EC">
                <w:rPr>
                  <w:rFonts w:eastAsia="Calibri"/>
                  <w:color w:val="0000FF"/>
                  <w:sz w:val="20"/>
                  <w:u w:val="single"/>
                  <w:lang w:val="fr-CA"/>
                </w:rPr>
                <w:t>2013 ONCA 448</w:t>
              </w:r>
            </w:hyperlink>
          </w:p>
          <w:p w:rsidR="00890C2B" w:rsidRPr="003C02EC" w:rsidRDefault="00890C2B" w:rsidP="00C5574B">
            <w:pPr>
              <w:jc w:val="both"/>
              <w:rPr>
                <w:rFonts w:eastAsia="Calibri"/>
                <w:sz w:val="20"/>
                <w:lang w:val="fr-CA"/>
              </w:rPr>
            </w:pPr>
          </w:p>
        </w:tc>
        <w:tc>
          <w:tcPr>
            <w:tcW w:w="243" w:type="pct"/>
          </w:tcPr>
          <w:p w:rsidR="00890C2B" w:rsidRPr="003C02EC" w:rsidRDefault="00890C2B" w:rsidP="00C5574B">
            <w:pPr>
              <w:jc w:val="both"/>
              <w:rPr>
                <w:rFonts w:eastAsia="Calibri"/>
                <w:sz w:val="20"/>
                <w:lang w:val="fr-CA"/>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Appel de la demanderesse rejeté.</w:t>
            </w:r>
          </w:p>
          <w:p w:rsidR="00890C2B" w:rsidRPr="003C02EC" w:rsidRDefault="00890C2B" w:rsidP="00C5574B">
            <w:pPr>
              <w:jc w:val="both"/>
              <w:rPr>
                <w:rFonts w:eastAsia="Calibri"/>
                <w:sz w:val="20"/>
                <w:lang w:val="fr-CA"/>
              </w:rPr>
            </w:pPr>
          </w:p>
        </w:tc>
      </w:tr>
      <w:tr w:rsidR="00890C2B" w:rsidRPr="003C02EC"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25 septembre 2013</w:t>
            </w:r>
          </w:p>
          <w:p w:rsidR="00890C2B" w:rsidRPr="003C02EC" w:rsidRDefault="00890C2B" w:rsidP="00C5574B">
            <w:pPr>
              <w:jc w:val="both"/>
              <w:rPr>
                <w:rFonts w:eastAsia="Calibri"/>
                <w:sz w:val="20"/>
                <w:lang w:val="fr-CA"/>
              </w:rPr>
            </w:pPr>
            <w:r w:rsidRPr="003C02EC">
              <w:rPr>
                <w:rFonts w:eastAsia="Calibri"/>
                <w:sz w:val="20"/>
                <w:lang w:val="fr-CA"/>
              </w:rPr>
              <w:t>Cour suprême du Canada</w:t>
            </w:r>
          </w:p>
        </w:tc>
        <w:tc>
          <w:tcPr>
            <w:tcW w:w="243" w:type="pct"/>
          </w:tcPr>
          <w:p w:rsidR="00890C2B" w:rsidRPr="003C02EC" w:rsidRDefault="00890C2B" w:rsidP="00C5574B">
            <w:pPr>
              <w:jc w:val="both"/>
              <w:rPr>
                <w:rFonts w:eastAsia="Calibri"/>
                <w:sz w:val="20"/>
                <w:lang w:val="fr-CA"/>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Demande d’autorisation d’appel déposée.</w:t>
            </w:r>
          </w:p>
          <w:p w:rsidR="00890C2B" w:rsidRPr="003C02EC" w:rsidRDefault="00890C2B" w:rsidP="00C5574B">
            <w:pPr>
              <w:jc w:val="both"/>
              <w:rPr>
                <w:rFonts w:eastAsia="Calibri"/>
                <w:sz w:val="20"/>
                <w:lang w:val="fr-CA"/>
              </w:rPr>
            </w:pPr>
          </w:p>
        </w:tc>
      </w:tr>
    </w:tbl>
    <w:p w:rsidR="00370E33" w:rsidRDefault="00370E33" w:rsidP="00370E33">
      <w:pPr>
        <w:rPr>
          <w:sz w:val="20"/>
          <w:szCs w:val="20"/>
        </w:rPr>
      </w:pPr>
    </w:p>
    <w:p w:rsidR="00370E33" w:rsidRDefault="001B62D0" w:rsidP="00370E33">
      <w:pPr>
        <w:rPr>
          <w:sz w:val="20"/>
          <w:szCs w:val="20"/>
        </w:rPr>
      </w:pPr>
      <w:r>
        <w:rPr>
          <w:sz w:val="20"/>
          <w:szCs w:val="20"/>
          <w:lang w:val="fr-CA"/>
        </w:rPr>
        <w:pict>
          <v:rect id="_x0000_i1045"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77DC3" w:rsidRPr="00023015" w:rsidTr="00FF5D8C">
        <w:trPr>
          <w:cantSplit/>
        </w:trPr>
        <w:tc>
          <w:tcPr>
            <w:tcW w:w="1458" w:type="dxa"/>
          </w:tcPr>
          <w:p w:rsidR="00D77DC3" w:rsidRPr="00421D33" w:rsidRDefault="00D77DC3" w:rsidP="00FF5D8C">
            <w:pPr>
              <w:rPr>
                <w:sz w:val="20"/>
                <w:szCs w:val="20"/>
              </w:rPr>
            </w:pPr>
            <w:r w:rsidRPr="00421D33">
              <w:rPr>
                <w:rStyle w:val="SCCFileNumberChar"/>
                <w:sz w:val="20"/>
                <w:szCs w:val="20"/>
              </w:rPr>
              <w:t>35546</w:t>
            </w:r>
          </w:p>
          <w:p w:rsidR="00D77DC3" w:rsidRPr="00421D33" w:rsidRDefault="00D77DC3" w:rsidP="00FF5D8C">
            <w:pPr>
              <w:rPr>
                <w:b/>
                <w:sz w:val="20"/>
                <w:szCs w:val="20"/>
                <w:lang w:val="fr-CA"/>
              </w:rPr>
            </w:pPr>
          </w:p>
        </w:tc>
        <w:tc>
          <w:tcPr>
            <w:tcW w:w="8118" w:type="dxa"/>
          </w:tcPr>
          <w:p w:rsidR="00D77DC3" w:rsidRPr="00421D33" w:rsidRDefault="00D77DC3" w:rsidP="00FF5D8C">
            <w:pPr>
              <w:rPr>
                <w:sz w:val="20"/>
                <w:szCs w:val="20"/>
                <w:lang w:val="fr-CA"/>
              </w:rPr>
            </w:pPr>
            <w:r w:rsidRPr="00421D33">
              <w:rPr>
                <w:rStyle w:val="SCCLsocChar"/>
                <w:sz w:val="20"/>
                <w:szCs w:val="20"/>
              </w:rPr>
              <w:t>S.S. c. L.SH.</w:t>
            </w:r>
            <w:r w:rsidRPr="00421D33">
              <w:rPr>
                <w:sz w:val="20"/>
                <w:szCs w:val="20"/>
                <w:lang w:val="fr-CA"/>
              </w:rPr>
              <w:t xml:space="preserve"> (Qc) (Civile) (Autorisation)</w:t>
            </w:r>
          </w:p>
          <w:p w:rsidR="00D77DC3" w:rsidRPr="00421D33" w:rsidRDefault="00D77DC3" w:rsidP="00FF5D8C">
            <w:pPr>
              <w:rPr>
                <w:sz w:val="20"/>
                <w:szCs w:val="20"/>
                <w:lang w:val="fr-CA"/>
              </w:rPr>
            </w:pPr>
          </w:p>
        </w:tc>
      </w:tr>
      <w:tr w:rsidR="00D77DC3" w:rsidRPr="00023015" w:rsidTr="00FF5D8C">
        <w:trPr>
          <w:cantSplit/>
        </w:trPr>
        <w:tc>
          <w:tcPr>
            <w:tcW w:w="1458" w:type="dxa"/>
          </w:tcPr>
          <w:p w:rsidR="00D77DC3" w:rsidRPr="00421D33" w:rsidRDefault="00D77DC3" w:rsidP="00FF5D8C">
            <w:pPr>
              <w:rPr>
                <w:sz w:val="20"/>
                <w:szCs w:val="20"/>
              </w:rPr>
            </w:pPr>
            <w:r w:rsidRPr="00421D33">
              <w:rPr>
                <w:sz w:val="20"/>
                <w:szCs w:val="20"/>
              </w:rPr>
              <w:lastRenderedPageBreak/>
              <w:t>Coram :</w:t>
            </w:r>
          </w:p>
        </w:tc>
        <w:tc>
          <w:tcPr>
            <w:tcW w:w="8118" w:type="dxa"/>
          </w:tcPr>
          <w:p w:rsidR="00D77DC3" w:rsidRPr="00421D33" w:rsidRDefault="00D77DC3" w:rsidP="00FF5D8C">
            <w:pPr>
              <w:rPr>
                <w:sz w:val="20"/>
                <w:szCs w:val="20"/>
                <w:lang w:val="fr-CA"/>
              </w:rPr>
            </w:pPr>
            <w:r w:rsidRPr="00421D33">
              <w:rPr>
                <w:rStyle w:val="SCCCoramChar"/>
                <w:sz w:val="20"/>
                <w:szCs w:val="20"/>
              </w:rPr>
              <w:t>Les juges LeBel, Karakatsanis et Wagner</w:t>
            </w:r>
          </w:p>
          <w:p w:rsidR="00D77DC3" w:rsidRPr="00421D33" w:rsidRDefault="00D77DC3" w:rsidP="00FF5D8C">
            <w:pPr>
              <w:rPr>
                <w:sz w:val="20"/>
                <w:szCs w:val="20"/>
                <w:u w:val="single"/>
                <w:lang w:val="fr-CA"/>
              </w:rPr>
            </w:pPr>
          </w:p>
        </w:tc>
      </w:tr>
      <w:tr w:rsidR="00D77DC3" w:rsidRPr="00421D33" w:rsidTr="00FF5D8C">
        <w:trPr>
          <w:cantSplit/>
        </w:trPr>
        <w:tc>
          <w:tcPr>
            <w:tcW w:w="9576" w:type="dxa"/>
            <w:gridSpan w:val="2"/>
          </w:tcPr>
          <w:p w:rsidR="00D77DC3" w:rsidRPr="00421D33" w:rsidRDefault="00D77DC3" w:rsidP="00FF5D8C">
            <w:pPr>
              <w:pStyle w:val="SCCShortJudgment"/>
              <w:rPr>
                <w:szCs w:val="20"/>
                <w:lang w:val="fr-CA"/>
              </w:rPr>
            </w:pPr>
            <w:r w:rsidRPr="00421D33">
              <w:rPr>
                <w:szCs w:val="20"/>
                <w:lang w:val="fr-CA"/>
              </w:rPr>
              <w:t>La requête en vue de produire de nouveaux éléments de preuve est rejetée avec dépens. La demande d’autorisation d’appel de l’arrêt de la Cour d’appel du Québec (Montréal), numéro 500-09-022490-122, 2013 QCCA 1206, daté du 12 juillet 2013, est rejetée avec dépens.</w:t>
            </w:r>
          </w:p>
          <w:p w:rsidR="00D77DC3" w:rsidRPr="00421D33" w:rsidRDefault="00D77DC3" w:rsidP="00FF5D8C">
            <w:pPr>
              <w:pStyle w:val="SCCShortJudgment"/>
              <w:ind w:firstLine="0"/>
              <w:rPr>
                <w:szCs w:val="20"/>
                <w:lang w:val="fr-CA"/>
              </w:rPr>
            </w:pPr>
          </w:p>
          <w:p w:rsidR="00D77DC3" w:rsidRPr="00421D33" w:rsidRDefault="00D77DC3" w:rsidP="00FF5D8C">
            <w:pPr>
              <w:pStyle w:val="SCCShortJudgment"/>
              <w:rPr>
                <w:szCs w:val="20"/>
              </w:rPr>
            </w:pPr>
            <w:r w:rsidRPr="00421D33">
              <w:rPr>
                <w:szCs w:val="20"/>
              </w:rPr>
              <w:t>The motion to adduce fresh evidence is dismissed with costs. The application for leave to appeal from the judgment of the Court of Appeal of Quebec (Montréal), Number 500-09-022490-122, 2013 QCCA 1206, dated July 12, 2013, is dismissed with costs.</w:t>
            </w:r>
          </w:p>
        </w:tc>
      </w:tr>
    </w:tbl>
    <w:p w:rsidR="00370E33" w:rsidRPr="00890C2B" w:rsidRDefault="00370E33" w:rsidP="00370E33">
      <w:pPr>
        <w:rPr>
          <w:sz w:val="20"/>
          <w:szCs w:val="20"/>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0C2B" w:rsidRPr="003C02EC" w:rsidTr="00C5574B">
        <w:tc>
          <w:tcPr>
            <w:tcW w:w="5000" w:type="pct"/>
            <w:gridSpan w:val="3"/>
          </w:tcPr>
          <w:p w:rsidR="00890C2B" w:rsidRPr="003C02EC" w:rsidRDefault="00890C2B" w:rsidP="00C5574B">
            <w:pPr>
              <w:jc w:val="both"/>
              <w:rPr>
                <w:rFonts w:eastAsia="Calibri"/>
                <w:smallCaps/>
                <w:sz w:val="20"/>
              </w:rPr>
            </w:pPr>
            <w:r w:rsidRPr="003C02EC">
              <w:rPr>
                <w:rFonts w:eastAsia="Calibri"/>
                <w:smallCaps/>
                <w:sz w:val="20"/>
              </w:rPr>
              <w:t>(Publication Ban in Case) (</w:t>
            </w:r>
            <w:r>
              <w:rPr>
                <w:rFonts w:eastAsia="Calibri"/>
                <w:smallCaps/>
                <w:sz w:val="20"/>
              </w:rPr>
              <w:t>C</w:t>
            </w:r>
            <w:r w:rsidRPr="003C02EC">
              <w:rPr>
                <w:rFonts w:eastAsia="Calibri"/>
                <w:smallCaps/>
                <w:sz w:val="20"/>
              </w:rPr>
              <w:t xml:space="preserve">ourt </w:t>
            </w:r>
            <w:r>
              <w:rPr>
                <w:rFonts w:eastAsia="Calibri"/>
                <w:smallCaps/>
                <w:sz w:val="20"/>
              </w:rPr>
              <w:t>F</w:t>
            </w:r>
            <w:r w:rsidRPr="003C02EC">
              <w:rPr>
                <w:rFonts w:eastAsia="Calibri"/>
                <w:smallCaps/>
                <w:sz w:val="20"/>
              </w:rPr>
              <w:t xml:space="preserve">ile </w:t>
            </w:r>
            <w:r>
              <w:rPr>
                <w:rFonts w:eastAsia="Calibri"/>
                <w:smallCaps/>
                <w:sz w:val="20"/>
              </w:rPr>
              <w:t>C</w:t>
            </w:r>
            <w:r w:rsidRPr="003C02EC">
              <w:rPr>
                <w:rFonts w:eastAsia="Calibri"/>
                <w:smallCaps/>
                <w:sz w:val="20"/>
              </w:rPr>
              <w:t xml:space="preserve">ontains </w:t>
            </w:r>
            <w:r>
              <w:rPr>
                <w:rFonts w:eastAsia="Calibri"/>
                <w:smallCaps/>
                <w:sz w:val="20"/>
              </w:rPr>
              <w:t>I</w:t>
            </w:r>
            <w:r w:rsidRPr="003C02EC">
              <w:rPr>
                <w:rFonts w:eastAsia="Calibri"/>
                <w:smallCaps/>
                <w:sz w:val="20"/>
              </w:rPr>
              <w:t xml:space="preserve">nformation </w:t>
            </w:r>
            <w:r>
              <w:rPr>
                <w:rFonts w:eastAsia="Calibri"/>
                <w:smallCaps/>
                <w:sz w:val="20"/>
              </w:rPr>
              <w:t>T</w:t>
            </w:r>
            <w:r w:rsidRPr="003C02EC">
              <w:rPr>
                <w:rFonts w:eastAsia="Calibri"/>
                <w:smallCaps/>
                <w:sz w:val="20"/>
              </w:rPr>
              <w:t xml:space="preserve">hat is not </w:t>
            </w:r>
            <w:r>
              <w:rPr>
                <w:rFonts w:eastAsia="Calibri"/>
                <w:smallCaps/>
                <w:sz w:val="20"/>
              </w:rPr>
              <w:t>A</w:t>
            </w:r>
            <w:r w:rsidRPr="003C02EC">
              <w:rPr>
                <w:rFonts w:eastAsia="Calibri"/>
                <w:smallCaps/>
                <w:sz w:val="20"/>
              </w:rPr>
              <w:t xml:space="preserve">vailable for </w:t>
            </w:r>
            <w:r>
              <w:rPr>
                <w:rFonts w:eastAsia="Calibri"/>
                <w:smallCaps/>
                <w:sz w:val="20"/>
              </w:rPr>
              <w:t>I</w:t>
            </w:r>
            <w:r w:rsidRPr="003C02EC">
              <w:rPr>
                <w:rFonts w:eastAsia="Calibri"/>
                <w:smallCaps/>
                <w:sz w:val="20"/>
              </w:rPr>
              <w:t xml:space="preserve">nspection by the </w:t>
            </w:r>
            <w:r>
              <w:rPr>
                <w:rFonts w:eastAsia="Calibri"/>
                <w:smallCaps/>
                <w:sz w:val="20"/>
              </w:rPr>
              <w:t>P</w:t>
            </w:r>
            <w:r w:rsidRPr="003C02EC">
              <w:rPr>
                <w:rFonts w:eastAsia="Calibri"/>
                <w:smallCaps/>
                <w:sz w:val="20"/>
              </w:rPr>
              <w:t>ublic)</w:t>
            </w:r>
          </w:p>
          <w:p w:rsidR="00890C2B" w:rsidRPr="003C02EC" w:rsidRDefault="00890C2B" w:rsidP="00C5574B">
            <w:pPr>
              <w:jc w:val="both"/>
              <w:rPr>
                <w:rFonts w:eastAsia="Calibri"/>
                <w:sz w:val="20"/>
              </w:rPr>
            </w:pPr>
          </w:p>
        </w:tc>
      </w:tr>
      <w:tr w:rsidR="00890C2B" w:rsidRPr="003C02EC" w:rsidTr="00C5574B">
        <w:tc>
          <w:tcPr>
            <w:tcW w:w="5000" w:type="pct"/>
            <w:gridSpan w:val="3"/>
          </w:tcPr>
          <w:p w:rsidR="00890C2B" w:rsidRPr="003C02EC" w:rsidRDefault="00890C2B" w:rsidP="00C5574B">
            <w:pPr>
              <w:jc w:val="both"/>
              <w:rPr>
                <w:rFonts w:eastAsia="Calibri"/>
                <w:sz w:val="20"/>
              </w:rPr>
            </w:pPr>
            <w:r w:rsidRPr="003C02EC">
              <w:rPr>
                <w:rFonts w:eastAsia="Calibri"/>
                <w:sz w:val="20"/>
              </w:rPr>
              <w:t xml:space="preserve">Family law — Divorce — Evidence — Spouse’s computer searched and emails seized — Whether seizing spouse looking for any potentially relevant information to bolster that spouse’s claims during divorce proceedings can download and save documents found on seized spouse’s computer without court’s authorization even though several such documents contain privileged and confidential information belonging to seized spouse — Whether downloading and saving documents in random and indiscriminate manner in itself constitutes unreasonable search and seizure and violation of fundamental rights of seized spouse — If so, whether administration of justice brought into disrepute within meaning of art. 2858 of </w:t>
            </w:r>
            <w:r w:rsidRPr="003C02EC">
              <w:rPr>
                <w:rFonts w:eastAsia="Calibri"/>
                <w:i/>
                <w:sz w:val="20"/>
              </w:rPr>
              <w:t>Civil Code of Québec</w:t>
            </w:r>
            <w:r w:rsidRPr="003C02EC">
              <w:rPr>
                <w:rFonts w:eastAsia="Calibri"/>
                <w:sz w:val="20"/>
              </w:rPr>
              <w:t xml:space="preserve"> — Once unreasonable search and seizure completed, whether seizing spouse can go before court after fact to “legalize” his or her </w:t>
            </w:r>
            <w:r w:rsidRPr="003C02EC">
              <w:rPr>
                <w:rFonts w:eastAsia="Calibri"/>
                <w:i/>
                <w:sz w:val="20"/>
              </w:rPr>
              <w:t>modus operandi</w:t>
            </w:r>
            <w:r w:rsidRPr="003C02EC">
              <w:rPr>
                <w:rFonts w:eastAsia="Calibri"/>
                <w:sz w:val="20"/>
              </w:rPr>
              <w:t xml:space="preserve"> by requesting terms for access to documents by his or her attorneys and third parties — </w:t>
            </w:r>
            <w:r w:rsidRPr="003C02EC">
              <w:rPr>
                <w:rFonts w:eastAsia="Calibri"/>
                <w:i/>
                <w:sz w:val="20"/>
              </w:rPr>
              <w:t>Civil Code of Québec</w:t>
            </w:r>
            <w:r w:rsidRPr="003C02EC">
              <w:rPr>
                <w:rFonts w:eastAsia="Calibri"/>
                <w:sz w:val="20"/>
              </w:rPr>
              <w:t>, S.Q. 1991, c. 64, arts. 2857 and 2858.</w:t>
            </w:r>
          </w:p>
        </w:tc>
      </w:tr>
      <w:tr w:rsidR="00890C2B" w:rsidRPr="003C02EC" w:rsidTr="00C5574B">
        <w:tc>
          <w:tcPr>
            <w:tcW w:w="5000" w:type="pct"/>
            <w:gridSpan w:val="3"/>
          </w:tcPr>
          <w:p w:rsidR="00890C2B" w:rsidRPr="003C02EC" w:rsidRDefault="00890C2B" w:rsidP="00C5574B">
            <w:pPr>
              <w:jc w:val="both"/>
              <w:rPr>
                <w:rFonts w:eastAsia="Calibri"/>
                <w:sz w:val="20"/>
              </w:rPr>
            </w:pPr>
          </w:p>
          <w:p w:rsidR="00890C2B" w:rsidRPr="003C02EC" w:rsidRDefault="00890C2B" w:rsidP="00C5574B">
            <w:pPr>
              <w:jc w:val="both"/>
              <w:rPr>
                <w:rFonts w:eastAsia="Calibri"/>
                <w:sz w:val="20"/>
              </w:rPr>
            </w:pPr>
            <w:r w:rsidRPr="003C02EC">
              <w:rPr>
                <w:rFonts w:eastAsia="Calibri"/>
                <w:sz w:val="20"/>
              </w:rPr>
              <w:t>The parties were involved in divorce proceedings.  Despite their separation, the parties continued to share a country house on an alternating basis.  While there, the respondent used the computer that was allegedly for the use of family and guests at the house.  The applicant claimed that it was actually his password</w:t>
            </w:r>
            <w:r w:rsidRPr="003C02EC">
              <w:rPr>
                <w:rFonts w:eastAsia="Calibri"/>
                <w:sz w:val="20"/>
              </w:rPr>
              <w:noBreakHyphen/>
              <w:t>protected personal computer.  The respondent copied more than 23,800 of the applicant’s emails onto a USB key and then gave the key to her attorney at the time, who in turn gave it to an independent third party attorney.  The respondent alleged that the information would be helpful in establishing the applicant’s true financial situation.  The applicant refused to agree to the respondent’s proposal that the third party look at the contents of the USB key, set aside the privileged documents and give the respondent the rest.  The respondent therefore brought a motion in the Superior Court seeking, among other things, an order determining how the contents of the USB key would be dealt with.</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March 8, 2012</w:t>
            </w:r>
          </w:p>
          <w:p w:rsidR="00890C2B" w:rsidRPr="003C02EC" w:rsidRDefault="00890C2B" w:rsidP="00C5574B">
            <w:pPr>
              <w:jc w:val="both"/>
              <w:rPr>
                <w:rFonts w:eastAsia="Calibri"/>
                <w:sz w:val="20"/>
              </w:rPr>
            </w:pPr>
            <w:r w:rsidRPr="003C02EC">
              <w:rPr>
                <w:rFonts w:eastAsia="Calibri"/>
                <w:sz w:val="20"/>
              </w:rPr>
              <w:t>Quebec Superior Court</w:t>
            </w:r>
          </w:p>
          <w:p w:rsidR="00890C2B" w:rsidRPr="003C02EC" w:rsidRDefault="00890C2B" w:rsidP="00C5574B">
            <w:pPr>
              <w:jc w:val="both"/>
              <w:rPr>
                <w:rFonts w:eastAsia="Calibri"/>
                <w:sz w:val="20"/>
              </w:rPr>
            </w:pPr>
            <w:r w:rsidRPr="003C02EC">
              <w:rPr>
                <w:rFonts w:eastAsia="Calibri"/>
                <w:sz w:val="20"/>
              </w:rPr>
              <w:t>(Borenstein J.)</w:t>
            </w:r>
          </w:p>
          <w:p w:rsidR="00890C2B" w:rsidRPr="003C02EC" w:rsidRDefault="00890C2B" w:rsidP="00C5574B">
            <w:pPr>
              <w:jc w:val="both"/>
              <w:rPr>
                <w:rFonts w:eastAsia="Calibri"/>
                <w:sz w:val="20"/>
              </w:rPr>
            </w:pPr>
            <w:r w:rsidRPr="003C02EC">
              <w:rPr>
                <w:rFonts w:eastAsia="Calibri"/>
                <w:sz w:val="20"/>
              </w:rPr>
              <w:t>2012 QCCS 873</w:t>
            </w:r>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Interim support order made in respondent’s favour; terms set for access to documents copied onto USB key</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July 12, 2013</w:t>
            </w:r>
          </w:p>
          <w:p w:rsidR="00890C2B" w:rsidRPr="003C02EC" w:rsidRDefault="00890C2B" w:rsidP="00C5574B">
            <w:pPr>
              <w:jc w:val="both"/>
              <w:rPr>
                <w:rFonts w:eastAsia="Calibri"/>
                <w:sz w:val="20"/>
              </w:rPr>
            </w:pPr>
            <w:r w:rsidRPr="003C02EC">
              <w:rPr>
                <w:rFonts w:eastAsia="Calibri"/>
                <w:sz w:val="20"/>
              </w:rPr>
              <w:t xml:space="preserve">Quebec Court of Appeal (Montréal) </w:t>
            </w:r>
          </w:p>
          <w:p w:rsidR="00890C2B" w:rsidRPr="003C02EC" w:rsidRDefault="00890C2B" w:rsidP="00C5574B">
            <w:pPr>
              <w:jc w:val="both"/>
              <w:rPr>
                <w:rFonts w:eastAsia="Calibri"/>
                <w:sz w:val="20"/>
              </w:rPr>
            </w:pPr>
            <w:r w:rsidRPr="003C02EC">
              <w:rPr>
                <w:rFonts w:eastAsia="Calibri"/>
                <w:sz w:val="20"/>
              </w:rPr>
              <w:t>(Bich, St-Pierre and Bélanger JJ.A.)</w:t>
            </w:r>
          </w:p>
          <w:p w:rsidR="00890C2B" w:rsidRPr="003C02EC" w:rsidRDefault="001B62D0" w:rsidP="00C5574B">
            <w:pPr>
              <w:jc w:val="both"/>
              <w:rPr>
                <w:rFonts w:eastAsia="Calibri"/>
                <w:sz w:val="20"/>
              </w:rPr>
            </w:pPr>
            <w:hyperlink r:id="rId49" w:history="1">
              <w:r w:rsidR="00890C2B" w:rsidRPr="003C02EC">
                <w:rPr>
                  <w:rFonts w:eastAsia="Calibri"/>
                  <w:color w:val="0000FF"/>
                  <w:sz w:val="20"/>
                  <w:u w:val="single"/>
                </w:rPr>
                <w:t>2013 QCCA 1206</w:t>
              </w:r>
            </w:hyperlink>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Appeal allowed in part; terms for access to contents of USB key varied in part</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t>September 27, 2013</w:t>
            </w:r>
          </w:p>
          <w:p w:rsidR="00890C2B" w:rsidRPr="003C02EC" w:rsidRDefault="00890C2B" w:rsidP="00C5574B">
            <w:pPr>
              <w:jc w:val="both"/>
              <w:rPr>
                <w:rFonts w:eastAsia="Calibri"/>
                <w:sz w:val="20"/>
              </w:rPr>
            </w:pPr>
            <w:r w:rsidRPr="003C02EC">
              <w:rPr>
                <w:rFonts w:eastAsia="Calibri"/>
                <w:sz w:val="20"/>
              </w:rPr>
              <w:t>Supreme Court of Canada</w:t>
            </w:r>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Application for leave to appeal filed</w:t>
            </w:r>
          </w:p>
          <w:p w:rsidR="00890C2B" w:rsidRPr="003C02EC" w:rsidRDefault="00890C2B" w:rsidP="00C5574B">
            <w:pPr>
              <w:jc w:val="both"/>
              <w:rPr>
                <w:rFonts w:eastAsia="Calibri"/>
                <w:sz w:val="20"/>
              </w:rPr>
            </w:pPr>
          </w:p>
        </w:tc>
      </w:tr>
      <w:tr w:rsidR="00890C2B" w:rsidRPr="003C02EC" w:rsidTr="00C5574B">
        <w:tc>
          <w:tcPr>
            <w:tcW w:w="2427" w:type="pct"/>
          </w:tcPr>
          <w:p w:rsidR="00890C2B" w:rsidRPr="003C02EC" w:rsidRDefault="00890C2B" w:rsidP="00C5574B">
            <w:pPr>
              <w:jc w:val="both"/>
              <w:rPr>
                <w:rFonts w:eastAsia="Calibri"/>
                <w:sz w:val="20"/>
              </w:rPr>
            </w:pPr>
            <w:r w:rsidRPr="003C02EC">
              <w:rPr>
                <w:rFonts w:eastAsia="Calibri"/>
                <w:sz w:val="20"/>
              </w:rPr>
              <w:lastRenderedPageBreak/>
              <w:t>September 30, 2013</w:t>
            </w:r>
          </w:p>
          <w:p w:rsidR="00890C2B" w:rsidRPr="003C02EC" w:rsidRDefault="00890C2B" w:rsidP="00C5574B">
            <w:pPr>
              <w:jc w:val="both"/>
              <w:rPr>
                <w:rFonts w:eastAsia="Calibri"/>
                <w:sz w:val="20"/>
              </w:rPr>
            </w:pPr>
            <w:r w:rsidRPr="003C02EC">
              <w:rPr>
                <w:rFonts w:eastAsia="Calibri"/>
                <w:sz w:val="20"/>
              </w:rPr>
              <w:t>Supreme Court of Canada</w:t>
            </w: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rPr>
            </w:pPr>
            <w:r w:rsidRPr="003C02EC">
              <w:rPr>
                <w:rFonts w:eastAsia="Calibri"/>
                <w:sz w:val="20"/>
              </w:rPr>
              <w:t>Amended motion to adduce further evidence filed</w:t>
            </w: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46"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90C2B" w:rsidRPr="00023015" w:rsidTr="00C5574B">
        <w:tc>
          <w:tcPr>
            <w:tcW w:w="5000" w:type="pct"/>
            <w:gridSpan w:val="3"/>
          </w:tcPr>
          <w:p w:rsidR="00890C2B" w:rsidRPr="003C02EC" w:rsidRDefault="00890C2B" w:rsidP="00C5574B">
            <w:pPr>
              <w:jc w:val="both"/>
              <w:rPr>
                <w:rFonts w:eastAsia="Calibri"/>
                <w:smallCaps/>
                <w:sz w:val="20"/>
                <w:lang w:val="fr-CA"/>
              </w:rPr>
            </w:pPr>
            <w:r w:rsidRPr="003C02EC">
              <w:rPr>
                <w:rFonts w:eastAsia="Calibri"/>
                <w:smallCaps/>
                <w:sz w:val="20"/>
                <w:lang w:val="fr-CA"/>
              </w:rPr>
              <w:t>(Ordonnance de non-publication dans le dossier) (Le dossier de la Cour renferme des données que le public n'est pas autorisé à consulter)</w:t>
            </w:r>
          </w:p>
          <w:p w:rsidR="00890C2B" w:rsidRPr="003C02EC" w:rsidRDefault="00890C2B" w:rsidP="00C5574B">
            <w:pPr>
              <w:jc w:val="both"/>
              <w:rPr>
                <w:rFonts w:eastAsia="Calibri"/>
                <w:sz w:val="20"/>
                <w:lang w:val="fr-CA"/>
              </w:rPr>
            </w:pPr>
          </w:p>
        </w:tc>
      </w:tr>
      <w:tr w:rsidR="00890C2B" w:rsidRPr="00023015" w:rsidTr="00C5574B">
        <w:tc>
          <w:tcPr>
            <w:tcW w:w="5000" w:type="pct"/>
            <w:gridSpan w:val="3"/>
          </w:tcPr>
          <w:p w:rsidR="00890C2B" w:rsidRPr="003C02EC" w:rsidRDefault="00890C2B" w:rsidP="00C5574B">
            <w:pPr>
              <w:jc w:val="both"/>
              <w:rPr>
                <w:rFonts w:eastAsia="Calibri"/>
                <w:sz w:val="20"/>
                <w:lang w:val="fr-CA"/>
              </w:rPr>
            </w:pPr>
            <w:r w:rsidRPr="003C02EC">
              <w:rPr>
                <w:rFonts w:eastAsia="Calibri"/>
                <w:sz w:val="20"/>
                <w:lang w:val="fr-CA"/>
              </w:rPr>
              <w:t xml:space="preserve">Droit de la famille — Divorce — Preuve — Fouille de l’ordinateur d’un époux et saisie de courriels — Un époux saisissant, dans sa quête de toute information potentiellement pertinente pour bonifier ses demandes lors de procédures en divorce, peut-il faire télécharger et sauvegarder les documents contenus dans l’ordinateur de l’époux saisi, sans l’autorisation du tribunal et alors que plusieurs de ces documents contiennent de l’information privilégiée et confidentielle appartenant à ce dernier? — Le téléchargement et la sauvegarde de documents, à l’aveuglette et sans discernement, constituent-ils en soi une fouille et saisie abusives et une atteinte aux droits fondamentaux de l’époux saisi? — Dans l’affirmative, y a-t-il déconsidération de l’administration de la justice au sens de l’art. 2858 du </w:t>
            </w:r>
            <w:r w:rsidRPr="003C02EC">
              <w:rPr>
                <w:rFonts w:eastAsia="Calibri"/>
                <w:i/>
                <w:sz w:val="20"/>
                <w:lang w:val="fr-CA"/>
              </w:rPr>
              <w:t>Code civil du Québec</w:t>
            </w:r>
            <w:r w:rsidRPr="003C02EC">
              <w:rPr>
                <w:rFonts w:eastAsia="Calibri"/>
                <w:sz w:val="20"/>
                <w:lang w:val="fr-CA"/>
              </w:rPr>
              <w:t xml:space="preserve">? — Une fois la fouille et saisie abusives complétées, l’époux saisissant peut-il se présenter après coup devant le tribunal dans le but de faire « légaliser » son </w:t>
            </w:r>
            <w:r w:rsidRPr="003C02EC">
              <w:rPr>
                <w:rFonts w:eastAsia="Calibri"/>
                <w:i/>
                <w:sz w:val="20"/>
                <w:lang w:val="fr-CA"/>
              </w:rPr>
              <w:t>modus operandi</w:t>
            </w:r>
            <w:r w:rsidRPr="003C02EC">
              <w:rPr>
                <w:rFonts w:eastAsia="Calibri"/>
                <w:sz w:val="20"/>
                <w:lang w:val="fr-CA"/>
              </w:rPr>
              <w:t xml:space="preserve">, en demandant des modalités d’accès aux documents par ses procureurs et des tiers? — </w:t>
            </w:r>
            <w:r w:rsidRPr="003C02EC">
              <w:rPr>
                <w:rFonts w:eastAsia="Calibri"/>
                <w:i/>
                <w:sz w:val="20"/>
                <w:lang w:val="fr-CA"/>
              </w:rPr>
              <w:t>Code civil du Québec</w:t>
            </w:r>
            <w:r w:rsidRPr="003C02EC">
              <w:rPr>
                <w:rFonts w:eastAsia="Calibri"/>
                <w:sz w:val="20"/>
                <w:lang w:val="fr-CA"/>
              </w:rPr>
              <w:t>, L.Q. 1991, ch. 64, art. 2857 et 2858.</w:t>
            </w:r>
          </w:p>
        </w:tc>
      </w:tr>
      <w:tr w:rsidR="00890C2B" w:rsidRPr="00023015" w:rsidTr="00C5574B">
        <w:tc>
          <w:tcPr>
            <w:tcW w:w="5000" w:type="pct"/>
            <w:gridSpan w:val="3"/>
          </w:tcPr>
          <w:p w:rsidR="00890C2B" w:rsidRPr="003C02EC" w:rsidRDefault="00890C2B" w:rsidP="00C5574B">
            <w:pPr>
              <w:jc w:val="both"/>
              <w:rPr>
                <w:rFonts w:eastAsia="Calibri"/>
                <w:sz w:val="20"/>
                <w:lang w:val="fr-CA"/>
              </w:rPr>
            </w:pPr>
          </w:p>
          <w:p w:rsidR="00890C2B" w:rsidRPr="003C02EC" w:rsidRDefault="00890C2B" w:rsidP="00C5574B">
            <w:pPr>
              <w:jc w:val="both"/>
              <w:rPr>
                <w:rFonts w:eastAsia="Calibri"/>
                <w:sz w:val="20"/>
                <w:lang w:val="fr-CA"/>
              </w:rPr>
            </w:pPr>
            <w:r w:rsidRPr="003C02EC">
              <w:rPr>
                <w:rFonts w:eastAsia="Calibri"/>
                <w:sz w:val="20"/>
                <w:lang w:val="fr-CA"/>
              </w:rPr>
              <w:t>Les parties sont en instance de divorce.  En dépit de leur séparation, les parties continuaient de partager à tour de rôle une maison de campagne.  Alors qu’elle s’y trouvait, l’intimée a utilisé l’ordinateur qui aurait servi à la famille et aux invités de la maison.  Le demandeur prétend qu’il s’agissait plutôt de son ordinateur personnel protégé par un mot de passe.  L’intimée a fait copier sur une clé USB plus de 23 800 courriels du demandeur, puis a remis cette clé à sa procureure de l’époque, qui l’a remise à son tour à un tiers avocat indépendant.  L’intimée allègue que cette information sera utile pour établir la véritable situation financière du demandeur.  Le demandeur a refusé de consentir à la proposition de l’intimée pour que le tiers consulte le contenu de la clé USB, qu’il mette de côté les documents à caractère privilégié et qu’il remette le reste à l’intimée.  L’intimée s’est alors adressée par requête à la Cour supérieure afin d’obtenir, notamment, une ordonnance établissant la manière dont le contenu de la clé USB sera traité.</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Le 8 mars 2012</w:t>
            </w:r>
          </w:p>
          <w:p w:rsidR="00890C2B" w:rsidRPr="003C02EC" w:rsidRDefault="00890C2B" w:rsidP="00C5574B">
            <w:pPr>
              <w:jc w:val="both"/>
              <w:rPr>
                <w:rFonts w:eastAsia="Calibri"/>
                <w:sz w:val="20"/>
                <w:lang w:val="fr-CA"/>
              </w:rPr>
            </w:pPr>
            <w:r w:rsidRPr="003C02EC">
              <w:rPr>
                <w:rFonts w:eastAsia="Calibri"/>
                <w:sz w:val="20"/>
                <w:lang w:val="fr-CA"/>
              </w:rPr>
              <w:t>Cour supérieure du Québec</w:t>
            </w:r>
          </w:p>
          <w:p w:rsidR="00890C2B" w:rsidRPr="003C02EC" w:rsidRDefault="00890C2B" w:rsidP="00C5574B">
            <w:pPr>
              <w:jc w:val="both"/>
              <w:rPr>
                <w:rFonts w:eastAsia="Calibri"/>
                <w:sz w:val="20"/>
                <w:lang w:val="fr-CA"/>
              </w:rPr>
            </w:pPr>
            <w:r w:rsidRPr="003C02EC">
              <w:rPr>
                <w:rFonts w:eastAsia="Calibri"/>
                <w:sz w:val="20"/>
                <w:lang w:val="fr-CA"/>
              </w:rPr>
              <w:t>(La juge Borenstein)</w:t>
            </w:r>
          </w:p>
          <w:p w:rsidR="00890C2B" w:rsidRPr="003C02EC" w:rsidRDefault="00890C2B" w:rsidP="00C5574B">
            <w:pPr>
              <w:jc w:val="both"/>
              <w:rPr>
                <w:rFonts w:eastAsia="Calibri"/>
                <w:sz w:val="20"/>
                <w:lang w:val="fr-CA"/>
              </w:rPr>
            </w:pPr>
            <w:r w:rsidRPr="003C02EC">
              <w:rPr>
                <w:rFonts w:eastAsia="Calibri"/>
                <w:sz w:val="20"/>
                <w:lang w:val="fr-CA"/>
              </w:rPr>
              <w:t>2012 QCCS 873</w:t>
            </w:r>
          </w:p>
          <w:p w:rsidR="00890C2B" w:rsidRPr="003C02EC" w:rsidRDefault="00890C2B" w:rsidP="00C5574B">
            <w:pPr>
              <w:jc w:val="both"/>
              <w:rPr>
                <w:rFonts w:eastAsia="Calibri"/>
                <w:sz w:val="20"/>
              </w:rPr>
            </w:pPr>
          </w:p>
        </w:tc>
        <w:tc>
          <w:tcPr>
            <w:tcW w:w="243" w:type="pct"/>
          </w:tcPr>
          <w:p w:rsidR="00890C2B" w:rsidRPr="003C02EC" w:rsidRDefault="00890C2B" w:rsidP="00C5574B">
            <w:pPr>
              <w:jc w:val="both"/>
              <w:rPr>
                <w:rFonts w:eastAsia="Calibri"/>
                <w:sz w:val="20"/>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Ordonnance alimentaire provisoire prononcée en faveur de l’intimée; modalités fixées pour l’accès aux documents copiés sur une clé USB</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Le 12 juillet 2013</w:t>
            </w:r>
          </w:p>
          <w:p w:rsidR="00890C2B" w:rsidRPr="003C02EC" w:rsidRDefault="00890C2B" w:rsidP="00C5574B">
            <w:pPr>
              <w:jc w:val="both"/>
              <w:rPr>
                <w:rFonts w:eastAsia="Calibri"/>
                <w:sz w:val="20"/>
                <w:lang w:val="fr-CA"/>
              </w:rPr>
            </w:pPr>
            <w:r w:rsidRPr="003C02EC">
              <w:rPr>
                <w:rFonts w:eastAsia="Calibri"/>
                <w:sz w:val="20"/>
                <w:lang w:val="fr-CA"/>
              </w:rPr>
              <w:t xml:space="preserve">Cour d’appel du Québec (Montréal) </w:t>
            </w:r>
          </w:p>
          <w:p w:rsidR="00890C2B" w:rsidRPr="003C02EC" w:rsidRDefault="00890C2B" w:rsidP="00C5574B">
            <w:pPr>
              <w:jc w:val="both"/>
              <w:rPr>
                <w:rFonts w:eastAsia="Calibri"/>
                <w:sz w:val="20"/>
                <w:lang w:val="fr-CA"/>
              </w:rPr>
            </w:pPr>
            <w:r w:rsidRPr="003C02EC">
              <w:rPr>
                <w:rFonts w:eastAsia="Calibri"/>
                <w:sz w:val="20"/>
                <w:lang w:val="fr-CA"/>
              </w:rPr>
              <w:t>(Les juges Bich, St-Pierre et Bélanger)</w:t>
            </w:r>
          </w:p>
          <w:p w:rsidR="00890C2B" w:rsidRPr="003C02EC" w:rsidRDefault="001B62D0" w:rsidP="00C5574B">
            <w:pPr>
              <w:jc w:val="both"/>
              <w:rPr>
                <w:rFonts w:eastAsia="Calibri"/>
                <w:sz w:val="20"/>
                <w:lang w:val="fr-CA"/>
              </w:rPr>
            </w:pPr>
            <w:hyperlink r:id="rId50" w:history="1">
              <w:r w:rsidR="00890C2B" w:rsidRPr="003C02EC">
                <w:rPr>
                  <w:rFonts w:eastAsia="Calibri"/>
                  <w:color w:val="0000FF"/>
                  <w:sz w:val="20"/>
                  <w:u w:val="single"/>
                  <w:lang w:val="fr-CA"/>
                </w:rPr>
                <w:t>2013 QCCA 1206</w:t>
              </w:r>
            </w:hyperlink>
          </w:p>
          <w:p w:rsidR="00890C2B" w:rsidRPr="003C02EC" w:rsidRDefault="00890C2B" w:rsidP="00C5574B">
            <w:pPr>
              <w:jc w:val="both"/>
              <w:rPr>
                <w:rFonts w:eastAsia="Calibri"/>
                <w:sz w:val="20"/>
                <w:lang w:val="fr-CA"/>
              </w:rPr>
            </w:pPr>
          </w:p>
        </w:tc>
        <w:tc>
          <w:tcPr>
            <w:tcW w:w="243" w:type="pct"/>
          </w:tcPr>
          <w:p w:rsidR="00890C2B" w:rsidRPr="003C02EC" w:rsidRDefault="00890C2B" w:rsidP="00C5574B">
            <w:pPr>
              <w:jc w:val="both"/>
              <w:rPr>
                <w:rFonts w:eastAsia="Calibri"/>
                <w:sz w:val="20"/>
                <w:lang w:val="fr-FR"/>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Appel accueilli en partie; modalités quant à l’accès au contenu de la clé USB modifiées en partie</w:t>
            </w:r>
          </w:p>
          <w:p w:rsidR="00890C2B" w:rsidRPr="003C02EC" w:rsidRDefault="00890C2B" w:rsidP="00C5574B">
            <w:pPr>
              <w:jc w:val="both"/>
              <w:rPr>
                <w:rFonts w:eastAsia="Calibri"/>
                <w:sz w:val="20"/>
                <w:lang w:val="fr-CA"/>
              </w:rPr>
            </w:pPr>
          </w:p>
        </w:tc>
      </w:tr>
      <w:tr w:rsidR="00890C2B" w:rsidRPr="003C02EC"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Le 27 septembre 2013</w:t>
            </w:r>
          </w:p>
          <w:p w:rsidR="00890C2B" w:rsidRPr="003C02EC" w:rsidRDefault="00890C2B" w:rsidP="00C5574B">
            <w:pPr>
              <w:jc w:val="both"/>
              <w:rPr>
                <w:rFonts w:eastAsia="Calibri"/>
                <w:sz w:val="20"/>
                <w:lang w:val="fr-CA"/>
              </w:rPr>
            </w:pPr>
            <w:r w:rsidRPr="003C02EC">
              <w:rPr>
                <w:rFonts w:eastAsia="Calibri"/>
                <w:sz w:val="20"/>
                <w:lang w:val="fr-CA"/>
              </w:rPr>
              <w:t>Cour suprême du Canada</w:t>
            </w:r>
          </w:p>
          <w:p w:rsidR="00890C2B" w:rsidRPr="003C02EC" w:rsidRDefault="00890C2B" w:rsidP="00C5574B">
            <w:pPr>
              <w:jc w:val="both"/>
              <w:rPr>
                <w:rFonts w:eastAsia="Calibri"/>
                <w:sz w:val="20"/>
                <w:lang w:val="fr-FR"/>
              </w:rPr>
            </w:pPr>
          </w:p>
        </w:tc>
        <w:tc>
          <w:tcPr>
            <w:tcW w:w="243" w:type="pct"/>
          </w:tcPr>
          <w:p w:rsidR="00890C2B" w:rsidRPr="003C02EC" w:rsidRDefault="00890C2B" w:rsidP="00C5574B">
            <w:pPr>
              <w:jc w:val="both"/>
              <w:rPr>
                <w:rFonts w:eastAsia="Calibri"/>
                <w:sz w:val="20"/>
                <w:lang w:val="fr-FR"/>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Demande d’autorisation d’appel déposée</w:t>
            </w:r>
          </w:p>
          <w:p w:rsidR="00890C2B" w:rsidRPr="003C02EC" w:rsidRDefault="00890C2B" w:rsidP="00C5574B">
            <w:pPr>
              <w:jc w:val="both"/>
              <w:rPr>
                <w:rFonts w:eastAsia="Calibri"/>
                <w:sz w:val="20"/>
                <w:lang w:val="fr-CA"/>
              </w:rPr>
            </w:pPr>
          </w:p>
        </w:tc>
      </w:tr>
      <w:tr w:rsidR="00890C2B" w:rsidRPr="00023015" w:rsidTr="00C5574B">
        <w:tc>
          <w:tcPr>
            <w:tcW w:w="2427" w:type="pct"/>
          </w:tcPr>
          <w:p w:rsidR="00890C2B" w:rsidRPr="003C02EC" w:rsidRDefault="00890C2B" w:rsidP="00C5574B">
            <w:pPr>
              <w:jc w:val="both"/>
              <w:rPr>
                <w:rFonts w:eastAsia="Calibri"/>
                <w:sz w:val="20"/>
                <w:lang w:val="fr-CA"/>
              </w:rPr>
            </w:pPr>
            <w:r w:rsidRPr="003C02EC">
              <w:rPr>
                <w:rFonts w:eastAsia="Calibri"/>
                <w:sz w:val="20"/>
                <w:lang w:val="fr-CA"/>
              </w:rPr>
              <w:t>Le 30 septembre 2013</w:t>
            </w:r>
          </w:p>
          <w:p w:rsidR="00890C2B" w:rsidRPr="003C02EC" w:rsidRDefault="00890C2B" w:rsidP="00C5574B">
            <w:pPr>
              <w:jc w:val="both"/>
              <w:rPr>
                <w:rFonts w:eastAsia="Calibri"/>
                <w:sz w:val="20"/>
                <w:lang w:val="fr-CA"/>
              </w:rPr>
            </w:pPr>
            <w:r w:rsidRPr="003C02EC">
              <w:rPr>
                <w:rFonts w:eastAsia="Calibri"/>
                <w:sz w:val="20"/>
                <w:lang w:val="fr-CA"/>
              </w:rPr>
              <w:t>Cour suprême du Canada</w:t>
            </w:r>
          </w:p>
        </w:tc>
        <w:tc>
          <w:tcPr>
            <w:tcW w:w="243" w:type="pct"/>
          </w:tcPr>
          <w:p w:rsidR="00890C2B" w:rsidRPr="003C02EC" w:rsidRDefault="00890C2B" w:rsidP="00C5574B">
            <w:pPr>
              <w:jc w:val="both"/>
              <w:rPr>
                <w:rFonts w:eastAsia="Calibri"/>
                <w:sz w:val="20"/>
                <w:lang w:val="fr-FR"/>
              </w:rPr>
            </w:pPr>
          </w:p>
        </w:tc>
        <w:tc>
          <w:tcPr>
            <w:tcW w:w="2330" w:type="pct"/>
          </w:tcPr>
          <w:p w:rsidR="00890C2B" w:rsidRPr="003C02EC" w:rsidRDefault="00890C2B" w:rsidP="00C5574B">
            <w:pPr>
              <w:jc w:val="both"/>
              <w:rPr>
                <w:rFonts w:eastAsia="Calibri"/>
                <w:sz w:val="20"/>
                <w:lang w:val="fr-CA"/>
              </w:rPr>
            </w:pPr>
            <w:r w:rsidRPr="003C02EC">
              <w:rPr>
                <w:rFonts w:eastAsia="Calibri"/>
                <w:sz w:val="20"/>
                <w:lang w:val="fr-CA"/>
              </w:rPr>
              <w:t>Requête amendée en vue de présenter une preuve supplémentaire déposée</w:t>
            </w:r>
          </w:p>
        </w:tc>
      </w:tr>
    </w:tbl>
    <w:p w:rsidR="00370E33" w:rsidRPr="00890C2B" w:rsidRDefault="00370E33" w:rsidP="00370E33">
      <w:pPr>
        <w:rPr>
          <w:sz w:val="20"/>
          <w:szCs w:val="20"/>
          <w:lang w:val="fr-CA"/>
        </w:rPr>
      </w:pPr>
    </w:p>
    <w:p w:rsidR="00370E33" w:rsidRDefault="001B62D0" w:rsidP="00370E33">
      <w:pPr>
        <w:rPr>
          <w:sz w:val="20"/>
          <w:szCs w:val="20"/>
        </w:rPr>
      </w:pPr>
      <w:r>
        <w:rPr>
          <w:sz w:val="20"/>
          <w:szCs w:val="20"/>
          <w:lang w:val="fr-CA"/>
        </w:rPr>
        <w:pict>
          <v:rect id="_x0000_i1047"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F5D8C" w:rsidRPr="00421D33" w:rsidTr="00FF5D8C">
        <w:trPr>
          <w:cantSplit/>
        </w:trPr>
        <w:tc>
          <w:tcPr>
            <w:tcW w:w="1458" w:type="dxa"/>
          </w:tcPr>
          <w:p w:rsidR="00FF5D8C" w:rsidRPr="00421D33" w:rsidRDefault="00FF5D8C" w:rsidP="00FF5D8C">
            <w:pPr>
              <w:rPr>
                <w:sz w:val="20"/>
                <w:szCs w:val="20"/>
              </w:rPr>
            </w:pPr>
            <w:r w:rsidRPr="00421D33">
              <w:rPr>
                <w:rStyle w:val="SCCFileNumberChar"/>
                <w:sz w:val="20"/>
                <w:szCs w:val="20"/>
              </w:rPr>
              <w:t>35547</w:t>
            </w:r>
          </w:p>
          <w:p w:rsidR="00FF5D8C" w:rsidRPr="00421D33" w:rsidRDefault="00FF5D8C" w:rsidP="00FF5D8C">
            <w:pPr>
              <w:rPr>
                <w:b/>
                <w:sz w:val="20"/>
                <w:szCs w:val="20"/>
                <w:lang w:val="fr-CA"/>
              </w:rPr>
            </w:pPr>
          </w:p>
        </w:tc>
        <w:tc>
          <w:tcPr>
            <w:tcW w:w="8118" w:type="dxa"/>
          </w:tcPr>
          <w:p w:rsidR="00FF5D8C" w:rsidRPr="00421D33" w:rsidRDefault="00FF5D8C" w:rsidP="00FF5D8C">
            <w:pPr>
              <w:jc w:val="both"/>
              <w:rPr>
                <w:sz w:val="20"/>
                <w:szCs w:val="20"/>
              </w:rPr>
            </w:pPr>
            <w:r w:rsidRPr="00421D33">
              <w:rPr>
                <w:rStyle w:val="SCCLsocChar"/>
                <w:sz w:val="20"/>
                <w:szCs w:val="20"/>
                <w:lang w:val="en-CA"/>
              </w:rPr>
              <w:t>Lombard General Insurance Company of Canada v. Aviva Insurance Company of Canada</w:t>
            </w:r>
            <w:r w:rsidRPr="00421D33">
              <w:rPr>
                <w:sz w:val="20"/>
                <w:szCs w:val="20"/>
              </w:rPr>
              <w:t xml:space="preserve"> (Ont.) (Civil) (By Leave)</w:t>
            </w:r>
          </w:p>
          <w:p w:rsidR="00FF5D8C" w:rsidRPr="00421D33" w:rsidRDefault="00FF5D8C" w:rsidP="00FF5D8C">
            <w:pPr>
              <w:jc w:val="both"/>
              <w:rPr>
                <w:sz w:val="20"/>
                <w:szCs w:val="20"/>
              </w:rPr>
            </w:pPr>
          </w:p>
        </w:tc>
      </w:tr>
      <w:tr w:rsidR="00FF5D8C" w:rsidRPr="00421D33" w:rsidTr="00FF5D8C">
        <w:trPr>
          <w:cantSplit/>
        </w:trPr>
        <w:tc>
          <w:tcPr>
            <w:tcW w:w="1458" w:type="dxa"/>
          </w:tcPr>
          <w:p w:rsidR="00FF5D8C" w:rsidRPr="00421D33" w:rsidRDefault="00FF5D8C" w:rsidP="00FF5D8C">
            <w:pPr>
              <w:rPr>
                <w:sz w:val="20"/>
                <w:szCs w:val="20"/>
              </w:rPr>
            </w:pPr>
            <w:r w:rsidRPr="00421D33">
              <w:rPr>
                <w:sz w:val="20"/>
                <w:szCs w:val="20"/>
              </w:rPr>
              <w:t>Coram :</w:t>
            </w:r>
          </w:p>
        </w:tc>
        <w:tc>
          <w:tcPr>
            <w:tcW w:w="8118" w:type="dxa"/>
          </w:tcPr>
          <w:p w:rsidR="00FF5D8C" w:rsidRPr="00421D33" w:rsidRDefault="00FF5D8C" w:rsidP="00FF5D8C">
            <w:pPr>
              <w:rPr>
                <w:sz w:val="20"/>
                <w:szCs w:val="20"/>
              </w:rPr>
            </w:pPr>
            <w:r w:rsidRPr="00421D33">
              <w:rPr>
                <w:rStyle w:val="SCCCoramChar"/>
                <w:sz w:val="20"/>
                <w:szCs w:val="20"/>
                <w:lang w:val="en-CA"/>
              </w:rPr>
              <w:t>Abella, Rothstein and Moldaver JJ.</w:t>
            </w:r>
          </w:p>
          <w:p w:rsidR="00FF5D8C" w:rsidRPr="00421D33" w:rsidRDefault="00FF5D8C" w:rsidP="00FF5D8C">
            <w:pPr>
              <w:rPr>
                <w:sz w:val="20"/>
                <w:szCs w:val="20"/>
                <w:u w:val="single"/>
              </w:rPr>
            </w:pPr>
          </w:p>
        </w:tc>
      </w:tr>
      <w:tr w:rsidR="00FF5D8C" w:rsidRPr="00023015" w:rsidTr="00FF5D8C">
        <w:trPr>
          <w:cantSplit/>
        </w:trPr>
        <w:tc>
          <w:tcPr>
            <w:tcW w:w="9576" w:type="dxa"/>
            <w:gridSpan w:val="2"/>
          </w:tcPr>
          <w:p w:rsidR="00FF5D8C" w:rsidRPr="00421D33" w:rsidRDefault="00FF5D8C" w:rsidP="00FF5D8C">
            <w:pPr>
              <w:pStyle w:val="SCCShortJudgment"/>
              <w:rPr>
                <w:szCs w:val="20"/>
              </w:rPr>
            </w:pPr>
            <w:r w:rsidRPr="00421D33">
              <w:rPr>
                <w:szCs w:val="20"/>
              </w:rPr>
              <w:t>The motion for an extension of time to serve and file the application for leave to appeal is granted.  The application for leave to appeal from the judgment of the Court of Appeal for Ontario, Number C55661, 2013 ONCA 416, dated June 20, 2013, is dismissed with costs.</w:t>
            </w:r>
          </w:p>
          <w:p w:rsidR="00FF5D8C" w:rsidRPr="00421D33" w:rsidRDefault="00FF5D8C" w:rsidP="00FF5D8C">
            <w:pPr>
              <w:pStyle w:val="SCCShortJudgment"/>
              <w:ind w:firstLine="0"/>
              <w:rPr>
                <w:szCs w:val="20"/>
              </w:rPr>
            </w:pPr>
          </w:p>
          <w:p w:rsidR="00FF5D8C" w:rsidRPr="00421D33" w:rsidRDefault="00FF5D8C" w:rsidP="00FF5D8C">
            <w:pPr>
              <w:pStyle w:val="SCCShortJudgment"/>
              <w:rPr>
                <w:szCs w:val="20"/>
                <w:lang w:val="fr-CA"/>
              </w:rPr>
            </w:pPr>
            <w:r w:rsidRPr="00421D33">
              <w:rPr>
                <w:szCs w:val="20"/>
                <w:lang w:val="fr-CA"/>
              </w:rPr>
              <w:t>La requête en prorogation du délai de signification et de dépôt de la demande d’autorisation d’appel est accueillie. La demande d’autorisation d’appel de l’arrêt de la Cour d’appel de l’Ontario, numéro C55661, 2013 ONCA 416, daté du 20 juin 2013, est rejetée avec dépens.</w:t>
            </w:r>
          </w:p>
        </w:tc>
      </w:tr>
    </w:tbl>
    <w:p w:rsidR="00370E33" w:rsidRPr="0016547E" w:rsidRDefault="00370E33" w:rsidP="00370E33">
      <w:pPr>
        <w:rPr>
          <w:sz w:val="20"/>
          <w:szCs w:val="20"/>
          <w:lang w:val="fr-CA"/>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5BCB" w:rsidRPr="003C02EC" w:rsidTr="00C5574B">
        <w:tc>
          <w:tcPr>
            <w:tcW w:w="5000" w:type="pct"/>
            <w:gridSpan w:val="3"/>
          </w:tcPr>
          <w:p w:rsidR="00E75BCB" w:rsidRPr="003C02EC" w:rsidRDefault="00E75BCB" w:rsidP="00C5574B">
            <w:pPr>
              <w:jc w:val="both"/>
              <w:rPr>
                <w:rFonts w:eastAsia="Calibri"/>
                <w:sz w:val="20"/>
              </w:rPr>
            </w:pPr>
            <w:r w:rsidRPr="003C02EC">
              <w:rPr>
                <w:rFonts w:eastAsia="Calibri"/>
                <w:sz w:val="20"/>
              </w:rPr>
              <w:t>Insurance – Overlapping policies – Excess coverage – Equitable contribution – Unjust enrichment – Applicant insurer’s primary policy responsible for first $1 million in losses arising from fire in Toronto apartment building – Respondent insurer paying entire amount of excess claim to tort plaintiffs – Courts below holding that applicant should contribute to excess loss on 50/50 basis – Whether equitable remedies can be granted where preconditions for accessing relief have not been met.</w:t>
            </w:r>
          </w:p>
        </w:tc>
      </w:tr>
      <w:tr w:rsidR="00E75BCB" w:rsidRPr="003C02EC" w:rsidTr="00C5574B">
        <w:tc>
          <w:tcPr>
            <w:tcW w:w="5000" w:type="pct"/>
            <w:gridSpan w:val="3"/>
          </w:tcPr>
          <w:p w:rsidR="00E75BCB" w:rsidRPr="003C02EC" w:rsidRDefault="00E75BCB" w:rsidP="00C5574B">
            <w:pPr>
              <w:jc w:val="both"/>
              <w:rPr>
                <w:rFonts w:eastAsia="Calibri"/>
                <w:sz w:val="20"/>
              </w:rPr>
            </w:pPr>
          </w:p>
        </w:tc>
      </w:tr>
      <w:tr w:rsidR="00E75BCB" w:rsidRPr="003C02EC" w:rsidTr="00C5574B">
        <w:tc>
          <w:tcPr>
            <w:tcW w:w="5000" w:type="pct"/>
            <w:gridSpan w:val="3"/>
          </w:tcPr>
          <w:p w:rsidR="00E75BCB" w:rsidRPr="003C02EC" w:rsidRDefault="00E75BCB" w:rsidP="00C5574B">
            <w:pPr>
              <w:jc w:val="both"/>
              <w:rPr>
                <w:rFonts w:eastAsia="Calibri"/>
                <w:sz w:val="20"/>
              </w:rPr>
            </w:pPr>
            <w:r w:rsidRPr="003C02EC">
              <w:rPr>
                <w:rFonts w:eastAsia="Calibri"/>
                <w:sz w:val="20"/>
              </w:rPr>
              <w:t xml:space="preserve">Losses arose from a fire in a Toronto apartment building.  Among the various defendants held liable were the owner of the building, Axes Investments Inc., and the property manager, Tandem Group Management Inc.  Axes and Tandem were jointly represented by one counsel at trial and liability was not apportioned between them; instead, they were found liable as “one defendant”.  There were three policies of insurance available to respond to their liability:  (i) a Lombard primary policy, with limits of $1 million, insuring both Axes and Tandem; (ii) a Lombard umbrella policy, with limits of $9 million, insuring both Axes and Tandem; and (iii) an Aviva policy, with limits of $5 million, insuring Tandem only.  There was never any dispute that the Lombard primary policy would be responsible for the first $1 million in damages.  Aviva paid the entire amount of the excess claim to the tort plaintiffs.  </w:t>
            </w:r>
          </w:p>
          <w:p w:rsidR="00E75BCB" w:rsidRPr="003C02EC" w:rsidRDefault="00E75BCB" w:rsidP="00C5574B">
            <w:pPr>
              <w:jc w:val="both"/>
              <w:rPr>
                <w:rFonts w:eastAsia="Calibri"/>
                <w:sz w:val="20"/>
              </w:rPr>
            </w:pPr>
          </w:p>
          <w:p w:rsidR="00E75BCB" w:rsidRPr="003C02EC" w:rsidRDefault="00E75BCB" w:rsidP="00C5574B">
            <w:pPr>
              <w:jc w:val="both"/>
              <w:rPr>
                <w:rFonts w:eastAsia="Calibri"/>
                <w:sz w:val="20"/>
              </w:rPr>
            </w:pPr>
            <w:r w:rsidRPr="003C02EC">
              <w:rPr>
                <w:rFonts w:eastAsia="Calibri"/>
                <w:sz w:val="20"/>
              </w:rPr>
              <w:t xml:space="preserve">The trial judge gave judgment against Lombard for 50 percent of the amount paid by Aviva.  The Court of Appeal agreed, although not entirely for the same reasons, and dismissed the appeal.  </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t>June 1, 2012</w:t>
            </w:r>
          </w:p>
          <w:p w:rsidR="00E75BCB" w:rsidRPr="003C02EC" w:rsidRDefault="00E75BCB" w:rsidP="00C5574B">
            <w:pPr>
              <w:jc w:val="both"/>
              <w:rPr>
                <w:rFonts w:eastAsia="Calibri"/>
                <w:sz w:val="20"/>
              </w:rPr>
            </w:pPr>
            <w:r w:rsidRPr="003C02EC">
              <w:rPr>
                <w:rFonts w:eastAsia="Calibri"/>
                <w:sz w:val="20"/>
              </w:rPr>
              <w:t>Ontario Superior Court of Justice</w:t>
            </w:r>
          </w:p>
          <w:p w:rsidR="00E75BCB" w:rsidRPr="003C02EC" w:rsidRDefault="00E75BCB" w:rsidP="00C5574B">
            <w:pPr>
              <w:jc w:val="both"/>
              <w:rPr>
                <w:rFonts w:eastAsia="Calibri"/>
                <w:sz w:val="20"/>
              </w:rPr>
            </w:pPr>
            <w:r w:rsidRPr="003C02EC">
              <w:rPr>
                <w:rFonts w:eastAsia="Calibri"/>
                <w:sz w:val="20"/>
              </w:rPr>
              <w:t>(Grace J.)</w:t>
            </w:r>
          </w:p>
          <w:p w:rsidR="00E75BCB" w:rsidRPr="003C02EC" w:rsidRDefault="001B62D0" w:rsidP="00C5574B">
            <w:pPr>
              <w:jc w:val="both"/>
              <w:rPr>
                <w:rFonts w:eastAsia="Calibri"/>
                <w:sz w:val="20"/>
              </w:rPr>
            </w:pPr>
            <w:hyperlink r:id="rId51" w:history="1">
              <w:r w:rsidR="00E75BCB" w:rsidRPr="003C02EC">
                <w:rPr>
                  <w:rFonts w:eastAsia="Calibri"/>
                  <w:color w:val="0000FF"/>
                  <w:sz w:val="20"/>
                  <w:u w:val="single"/>
                </w:rPr>
                <w:t>2012 ONSC 3219</w:t>
              </w:r>
            </w:hyperlink>
          </w:p>
          <w:p w:rsidR="00E75BCB" w:rsidRPr="003C02EC" w:rsidRDefault="00E75BCB" w:rsidP="00C5574B">
            <w:pPr>
              <w:jc w:val="both"/>
              <w:rPr>
                <w:rFonts w:eastAsia="Calibri"/>
                <w:sz w:val="20"/>
              </w:rPr>
            </w:pP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Respondent awarded judgment against applicant</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t>June 20, 2013</w:t>
            </w:r>
          </w:p>
          <w:p w:rsidR="00E75BCB" w:rsidRPr="003C02EC" w:rsidRDefault="00E75BCB" w:rsidP="00C5574B">
            <w:pPr>
              <w:jc w:val="both"/>
              <w:rPr>
                <w:rFonts w:eastAsia="Calibri"/>
                <w:sz w:val="20"/>
              </w:rPr>
            </w:pPr>
            <w:r w:rsidRPr="003C02EC">
              <w:rPr>
                <w:rFonts w:eastAsia="Calibri"/>
                <w:sz w:val="20"/>
              </w:rPr>
              <w:t>Court of Appeal for Ontario</w:t>
            </w:r>
          </w:p>
          <w:p w:rsidR="00E75BCB" w:rsidRPr="003C02EC" w:rsidRDefault="00E75BCB" w:rsidP="00C5574B">
            <w:pPr>
              <w:jc w:val="both"/>
              <w:rPr>
                <w:rFonts w:eastAsia="Calibri"/>
                <w:sz w:val="20"/>
              </w:rPr>
            </w:pPr>
            <w:r w:rsidRPr="003C02EC">
              <w:rPr>
                <w:rFonts w:eastAsia="Calibri"/>
                <w:sz w:val="20"/>
              </w:rPr>
              <w:t>(Blair, Tulloch and Lauwers JJ.A.)</w:t>
            </w:r>
          </w:p>
          <w:p w:rsidR="00E75BCB" w:rsidRPr="003C02EC" w:rsidRDefault="001B62D0" w:rsidP="00C5574B">
            <w:pPr>
              <w:jc w:val="both"/>
              <w:rPr>
                <w:rFonts w:eastAsia="Calibri"/>
                <w:sz w:val="20"/>
              </w:rPr>
            </w:pPr>
            <w:hyperlink r:id="rId52" w:history="1">
              <w:r w:rsidR="00E75BCB" w:rsidRPr="003C02EC">
                <w:rPr>
                  <w:rFonts w:eastAsia="Calibri"/>
                  <w:color w:val="0000FF"/>
                  <w:sz w:val="20"/>
                  <w:u w:val="single"/>
                </w:rPr>
                <w:t>2013 ONCA 416</w:t>
              </w:r>
            </w:hyperlink>
          </w:p>
          <w:p w:rsidR="00E75BCB" w:rsidRPr="003C02EC" w:rsidRDefault="00E75BCB" w:rsidP="00C5574B">
            <w:pPr>
              <w:jc w:val="both"/>
              <w:rPr>
                <w:rFonts w:eastAsia="Calibri"/>
                <w:sz w:val="20"/>
              </w:rPr>
            </w:pP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Appeal and cross-appeal dismissed</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lastRenderedPageBreak/>
              <w:t>September 27, 2013</w:t>
            </w:r>
          </w:p>
          <w:p w:rsidR="00E75BCB" w:rsidRPr="003C02EC" w:rsidRDefault="00E75BCB" w:rsidP="00C5574B">
            <w:pPr>
              <w:jc w:val="both"/>
              <w:rPr>
                <w:rFonts w:eastAsia="Calibri"/>
                <w:sz w:val="20"/>
              </w:rPr>
            </w:pPr>
            <w:r w:rsidRPr="003C02EC">
              <w:rPr>
                <w:rFonts w:eastAsia="Calibri"/>
                <w:sz w:val="20"/>
              </w:rPr>
              <w:t>Supreme Court of Canada</w:t>
            </w:r>
          </w:p>
          <w:p w:rsidR="00E75BCB" w:rsidRPr="003C02EC" w:rsidRDefault="00E75BCB" w:rsidP="00C5574B">
            <w:pPr>
              <w:jc w:val="both"/>
              <w:rPr>
                <w:rFonts w:eastAsia="Calibri"/>
                <w:sz w:val="20"/>
              </w:rPr>
            </w:pP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Application for leave to appeal and motion for extension of time to serve and file leave application filed</w:t>
            </w: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48"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5BCB" w:rsidRPr="00023015" w:rsidTr="00C5574B">
        <w:tc>
          <w:tcPr>
            <w:tcW w:w="5000" w:type="pct"/>
            <w:gridSpan w:val="3"/>
          </w:tcPr>
          <w:p w:rsidR="00E75BCB" w:rsidRPr="003C02EC" w:rsidRDefault="00E75BCB" w:rsidP="00C5574B">
            <w:pPr>
              <w:jc w:val="both"/>
              <w:rPr>
                <w:rFonts w:eastAsia="Calibri"/>
                <w:sz w:val="20"/>
                <w:lang w:val="fr-CA"/>
              </w:rPr>
            </w:pPr>
            <w:r w:rsidRPr="003C02EC">
              <w:rPr>
                <w:rFonts w:eastAsia="Calibri"/>
                <w:sz w:val="20"/>
                <w:lang w:val="fr-CA"/>
              </w:rPr>
              <w:t xml:space="preserve">Assurance – Chevauchement de polices – Garantie complémentaire – Contribution équitable – Enrichissement injustifié – Police de première ligne garantissant les premiers un million de dollars de pertes découlant d’un incendie survenu dans un immeuble d’habitation à Toronto – Paiement par l’assureur intimé du montant total de l’indemnité complémentaire aux personnes ayant intenté l’action en responsabilité délictuelle – Juridictions inférieures concluant que la demanderesse devrait payer la moitié de l’indemnité complémentaire – Des réparations en </w:t>
            </w:r>
            <w:r w:rsidRPr="003C02EC">
              <w:rPr>
                <w:rFonts w:eastAsia="Calibri"/>
                <w:i/>
                <w:sz w:val="20"/>
                <w:lang w:val="fr-CA"/>
              </w:rPr>
              <w:t>equity</w:t>
            </w:r>
            <w:r w:rsidRPr="003C02EC">
              <w:rPr>
                <w:rFonts w:eastAsia="Calibri"/>
                <w:sz w:val="20"/>
                <w:lang w:val="fr-CA"/>
              </w:rPr>
              <w:t xml:space="preserve"> peuvent</w:t>
            </w:r>
            <w:r w:rsidRPr="003C02EC">
              <w:rPr>
                <w:rFonts w:eastAsia="Calibri"/>
                <w:sz w:val="20"/>
                <w:lang w:val="fr-CA"/>
              </w:rPr>
              <w:noBreakHyphen/>
              <w:t>elles être accordées lorsque les conditions préalables pour obtenir réparation ne sont pas remplies?</w:t>
            </w:r>
          </w:p>
        </w:tc>
      </w:tr>
      <w:tr w:rsidR="00E75BCB" w:rsidRPr="00023015" w:rsidTr="00C5574B">
        <w:tc>
          <w:tcPr>
            <w:tcW w:w="5000" w:type="pct"/>
            <w:gridSpan w:val="3"/>
          </w:tcPr>
          <w:p w:rsidR="00E75BCB" w:rsidRPr="003C02EC" w:rsidRDefault="00E75BCB" w:rsidP="00C5574B">
            <w:pPr>
              <w:jc w:val="both"/>
              <w:rPr>
                <w:rFonts w:eastAsia="Calibri"/>
                <w:sz w:val="20"/>
                <w:lang w:val="fr-CA"/>
              </w:rPr>
            </w:pPr>
          </w:p>
        </w:tc>
      </w:tr>
      <w:tr w:rsidR="00E75BCB" w:rsidRPr="00023015" w:rsidTr="00C5574B">
        <w:tc>
          <w:tcPr>
            <w:tcW w:w="5000" w:type="pct"/>
            <w:gridSpan w:val="3"/>
          </w:tcPr>
          <w:p w:rsidR="00E75BCB" w:rsidRPr="003C02EC" w:rsidRDefault="00E75BCB" w:rsidP="00C5574B">
            <w:pPr>
              <w:jc w:val="both"/>
              <w:rPr>
                <w:rFonts w:eastAsia="Calibri"/>
                <w:sz w:val="20"/>
                <w:lang w:val="fr-CA"/>
              </w:rPr>
            </w:pPr>
            <w:r w:rsidRPr="003C02EC">
              <w:rPr>
                <w:rFonts w:eastAsia="Calibri"/>
                <w:sz w:val="20"/>
                <w:lang w:val="fr-CA"/>
              </w:rPr>
              <w:t xml:space="preserve">Les pertes découlent d’un incendie survenu dans un immeuble d’habitation à Toronto.  La propriétaire de l’immeuble, Axes Investments Inc., et la gestionnaire immobilière, Tandem Group Management Inc, comptaient parmi les divers défendeurs reconnus responsables.  Axes et Tandem étaient conjointement représentées par le même avocat en première instance et la responsabilité n’a pas été répartie entre elles; elles ont plutôt été jugées responsables comme si elles constituaient « une seule défenderesse ».  Trois polices d’assurance répondaient de leur responsabilité : (i) une police de première ligne de Lombard, avec une limite d’un million de dollars, couvrant à la fois Axes et Tandem; (ii) une police d’assurance responsabilité complémentaire, avec une limite de 9 millions de dollars, assurant à la fois Axes et Tandem; et (iii) une police d’Aviva, avec une limite de 5 millions de dollars, assurant uniquement Tandem.  Il n’a jamais été contesté que la police de première ligne de Lombard garantissait les premiers un million de dollars de dommages.  Aviva a payé le montant total de l’indemnité complémentaire aux personnes ayant intenté l’action en responsabilité délictuelle.  </w:t>
            </w:r>
          </w:p>
          <w:p w:rsidR="00E75BCB" w:rsidRPr="003C02EC" w:rsidRDefault="00E75BCB" w:rsidP="00C5574B">
            <w:pPr>
              <w:jc w:val="both"/>
              <w:rPr>
                <w:rFonts w:eastAsia="Calibri"/>
                <w:sz w:val="20"/>
                <w:lang w:val="fr-CA"/>
              </w:rPr>
            </w:pPr>
          </w:p>
          <w:p w:rsidR="00E75BCB" w:rsidRPr="003C02EC" w:rsidRDefault="00E75BCB" w:rsidP="00C5574B">
            <w:pPr>
              <w:jc w:val="both"/>
              <w:rPr>
                <w:rFonts w:eastAsia="Calibri"/>
                <w:sz w:val="20"/>
                <w:lang w:val="fr-CA"/>
              </w:rPr>
            </w:pPr>
            <w:r w:rsidRPr="003C02EC">
              <w:rPr>
                <w:rFonts w:eastAsia="Calibri"/>
                <w:sz w:val="20"/>
                <w:lang w:val="fr-CA"/>
              </w:rPr>
              <w:t xml:space="preserve">Le juge de première instance a rendu jugement contre Lombard, lui intimant de payer 50 pour 100 du montant versé par Aviva.  La Cour d’appel lui a donné raison, quoique pas tout à fait pour les mêmes motifs, et a rejeté l’appel.  </w:t>
            </w:r>
          </w:p>
          <w:p w:rsidR="00E75BCB" w:rsidRPr="003C02EC" w:rsidRDefault="00E75BCB" w:rsidP="00C5574B">
            <w:pPr>
              <w:jc w:val="both"/>
              <w:rPr>
                <w:rFonts w:eastAsia="Calibri"/>
                <w:sz w:val="20"/>
                <w:lang w:val="fr-CA"/>
              </w:rPr>
            </w:pPr>
          </w:p>
        </w:tc>
      </w:tr>
      <w:tr w:rsidR="00E75BCB" w:rsidRPr="00023015"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t>1</w:t>
            </w:r>
            <w:r w:rsidRPr="003C02EC">
              <w:rPr>
                <w:rFonts w:eastAsia="Calibri"/>
                <w:sz w:val="20"/>
                <w:vertAlign w:val="superscript"/>
                <w:lang w:val="fr-CA"/>
              </w:rPr>
              <w:t>er</w:t>
            </w:r>
            <w:r w:rsidRPr="003C02EC">
              <w:rPr>
                <w:rFonts w:eastAsia="Calibri"/>
                <w:sz w:val="20"/>
                <w:lang w:val="fr-CA"/>
              </w:rPr>
              <w:t xml:space="preserve"> juin 2012</w:t>
            </w:r>
          </w:p>
          <w:p w:rsidR="00E75BCB" w:rsidRPr="003C02EC" w:rsidRDefault="00E75BCB" w:rsidP="00C5574B">
            <w:pPr>
              <w:jc w:val="both"/>
              <w:rPr>
                <w:rFonts w:eastAsia="Calibri"/>
                <w:sz w:val="20"/>
                <w:lang w:val="fr-CA"/>
              </w:rPr>
            </w:pPr>
            <w:r w:rsidRPr="003C02EC">
              <w:rPr>
                <w:rFonts w:eastAsia="Calibri"/>
                <w:sz w:val="20"/>
                <w:lang w:val="fr-CA"/>
              </w:rPr>
              <w:t>Cour supérieure de justice de l’Ontario</w:t>
            </w:r>
          </w:p>
          <w:p w:rsidR="00E75BCB" w:rsidRPr="003C02EC" w:rsidRDefault="00E75BCB" w:rsidP="00C5574B">
            <w:pPr>
              <w:jc w:val="both"/>
              <w:rPr>
                <w:rFonts w:eastAsia="Calibri"/>
                <w:sz w:val="20"/>
                <w:lang w:val="fr-CA"/>
              </w:rPr>
            </w:pPr>
            <w:r w:rsidRPr="003C02EC">
              <w:rPr>
                <w:rFonts w:eastAsia="Calibri"/>
                <w:sz w:val="20"/>
                <w:lang w:val="fr-CA"/>
              </w:rPr>
              <w:t>(Juge Grace)</w:t>
            </w:r>
          </w:p>
          <w:p w:rsidR="00E75BCB" w:rsidRPr="003C02EC" w:rsidRDefault="001B62D0" w:rsidP="00C5574B">
            <w:pPr>
              <w:jc w:val="both"/>
              <w:rPr>
                <w:rFonts w:eastAsia="Calibri"/>
                <w:sz w:val="20"/>
                <w:lang w:val="fr-CA"/>
              </w:rPr>
            </w:pPr>
            <w:hyperlink r:id="rId53" w:history="1">
              <w:r w:rsidR="00E75BCB" w:rsidRPr="003C02EC">
                <w:rPr>
                  <w:rFonts w:eastAsia="Calibri"/>
                  <w:color w:val="0000FF"/>
                  <w:sz w:val="20"/>
                  <w:u w:val="single"/>
                  <w:lang w:val="fr-CA"/>
                </w:rPr>
                <w:t>2012 ONSC 3219</w:t>
              </w:r>
            </w:hyperlink>
          </w:p>
          <w:p w:rsidR="00E75BCB" w:rsidRPr="003C02EC" w:rsidRDefault="00E75BCB" w:rsidP="00C5574B">
            <w:pPr>
              <w:jc w:val="both"/>
              <w:rPr>
                <w:rFonts w:eastAsia="Calibri"/>
                <w:sz w:val="20"/>
                <w:lang w:val="fr-CA"/>
              </w:rPr>
            </w:pP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Jugement rendu contre la demanderesse.</w:t>
            </w:r>
          </w:p>
          <w:p w:rsidR="00E75BCB" w:rsidRPr="003C02EC" w:rsidRDefault="00E75BCB" w:rsidP="00C5574B">
            <w:pPr>
              <w:jc w:val="both"/>
              <w:rPr>
                <w:rFonts w:eastAsia="Calibri"/>
                <w:sz w:val="20"/>
                <w:lang w:val="fr-CA"/>
              </w:rPr>
            </w:pPr>
          </w:p>
        </w:tc>
      </w:tr>
      <w:tr w:rsidR="00E75BCB" w:rsidRPr="00023015"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t>20 juin 2013</w:t>
            </w:r>
          </w:p>
          <w:p w:rsidR="00E75BCB" w:rsidRPr="003C02EC" w:rsidRDefault="00E75BCB" w:rsidP="00C5574B">
            <w:pPr>
              <w:jc w:val="both"/>
              <w:rPr>
                <w:rFonts w:eastAsia="Calibri"/>
                <w:sz w:val="20"/>
                <w:lang w:val="fr-CA"/>
              </w:rPr>
            </w:pPr>
            <w:r w:rsidRPr="003C02EC">
              <w:rPr>
                <w:rFonts w:eastAsia="Calibri"/>
                <w:sz w:val="20"/>
                <w:lang w:val="fr-CA"/>
              </w:rPr>
              <w:t>Cour d’appel de l’Ontario</w:t>
            </w:r>
          </w:p>
          <w:p w:rsidR="00E75BCB" w:rsidRPr="003C02EC" w:rsidRDefault="00E75BCB" w:rsidP="00C5574B">
            <w:pPr>
              <w:jc w:val="both"/>
              <w:rPr>
                <w:rFonts w:eastAsia="Calibri"/>
                <w:sz w:val="20"/>
                <w:lang w:val="fr-CA"/>
              </w:rPr>
            </w:pPr>
            <w:r w:rsidRPr="003C02EC">
              <w:rPr>
                <w:rFonts w:eastAsia="Calibri"/>
                <w:sz w:val="20"/>
                <w:lang w:val="fr-CA"/>
              </w:rPr>
              <w:t>(Juges Blair, Tulloch et Lauwers)</w:t>
            </w:r>
          </w:p>
          <w:p w:rsidR="00E75BCB" w:rsidRPr="003C02EC" w:rsidRDefault="001B62D0" w:rsidP="00C5574B">
            <w:pPr>
              <w:jc w:val="both"/>
              <w:rPr>
                <w:rFonts w:eastAsia="Calibri"/>
                <w:sz w:val="20"/>
                <w:lang w:val="fr-CA"/>
              </w:rPr>
            </w:pPr>
            <w:hyperlink r:id="rId54" w:history="1">
              <w:r w:rsidR="00E75BCB" w:rsidRPr="003C02EC">
                <w:rPr>
                  <w:rFonts w:eastAsia="Calibri"/>
                  <w:color w:val="0000FF"/>
                  <w:sz w:val="20"/>
                  <w:u w:val="single"/>
                  <w:lang w:val="fr-CA"/>
                </w:rPr>
                <w:t>2013 ONCA 416</w:t>
              </w:r>
            </w:hyperlink>
          </w:p>
          <w:p w:rsidR="00E75BCB" w:rsidRPr="003C02EC" w:rsidRDefault="00E75BCB" w:rsidP="00C5574B">
            <w:pPr>
              <w:jc w:val="both"/>
              <w:rPr>
                <w:rFonts w:eastAsia="Calibri"/>
                <w:sz w:val="20"/>
                <w:lang w:val="fr-CA"/>
              </w:rPr>
            </w:pP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Appel et appel incident rejetés.</w:t>
            </w:r>
          </w:p>
          <w:p w:rsidR="00E75BCB" w:rsidRPr="003C02EC" w:rsidRDefault="00E75BCB" w:rsidP="00C5574B">
            <w:pPr>
              <w:jc w:val="both"/>
              <w:rPr>
                <w:rFonts w:eastAsia="Calibri"/>
                <w:sz w:val="20"/>
                <w:lang w:val="fr-CA"/>
              </w:rPr>
            </w:pPr>
          </w:p>
        </w:tc>
      </w:tr>
      <w:tr w:rsidR="00E75BCB" w:rsidRPr="00023015"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lastRenderedPageBreak/>
              <w:t>27 septembre 2013</w:t>
            </w:r>
          </w:p>
          <w:p w:rsidR="00E75BCB" w:rsidRPr="003C02EC" w:rsidRDefault="00E75BCB" w:rsidP="00C5574B">
            <w:pPr>
              <w:jc w:val="both"/>
              <w:rPr>
                <w:rFonts w:eastAsia="Calibri"/>
                <w:sz w:val="20"/>
                <w:lang w:val="fr-CA"/>
              </w:rPr>
            </w:pPr>
            <w:r w:rsidRPr="003C02EC">
              <w:rPr>
                <w:rFonts w:eastAsia="Calibri"/>
                <w:sz w:val="20"/>
                <w:lang w:val="fr-CA"/>
              </w:rPr>
              <w:t>Cour suprême du Canada</w:t>
            </w: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Demande d’autorisation d’appel et requête en prorogation du délai de signification et de dépôt de la demande d’autorisation, déposées.</w:t>
            </w:r>
          </w:p>
        </w:tc>
      </w:tr>
    </w:tbl>
    <w:p w:rsidR="00370E33" w:rsidRPr="00E75BCB" w:rsidRDefault="00370E33" w:rsidP="00370E33">
      <w:pPr>
        <w:rPr>
          <w:sz w:val="20"/>
          <w:szCs w:val="20"/>
          <w:lang w:val="fr-CA"/>
        </w:rPr>
      </w:pPr>
    </w:p>
    <w:p w:rsidR="00370E33" w:rsidRDefault="001B62D0" w:rsidP="00370E33">
      <w:pPr>
        <w:rPr>
          <w:sz w:val="20"/>
          <w:szCs w:val="20"/>
        </w:rPr>
      </w:pPr>
      <w:r>
        <w:rPr>
          <w:sz w:val="20"/>
          <w:szCs w:val="20"/>
          <w:lang w:val="fr-CA"/>
        </w:rPr>
        <w:pict>
          <v:rect id="_x0000_i1049"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F5D8C" w:rsidRPr="00421D33" w:rsidTr="00FF5D8C">
        <w:trPr>
          <w:cantSplit/>
        </w:trPr>
        <w:tc>
          <w:tcPr>
            <w:tcW w:w="1458" w:type="dxa"/>
          </w:tcPr>
          <w:p w:rsidR="00FF5D8C" w:rsidRPr="00421D33" w:rsidRDefault="00FF5D8C" w:rsidP="00FF5D8C">
            <w:pPr>
              <w:rPr>
                <w:sz w:val="20"/>
                <w:szCs w:val="20"/>
              </w:rPr>
            </w:pPr>
            <w:r w:rsidRPr="00421D33">
              <w:rPr>
                <w:rStyle w:val="SCCFileNumberChar"/>
                <w:sz w:val="20"/>
                <w:szCs w:val="20"/>
              </w:rPr>
              <w:t>35549</w:t>
            </w:r>
          </w:p>
          <w:p w:rsidR="00FF5D8C" w:rsidRPr="00421D33" w:rsidRDefault="00FF5D8C" w:rsidP="00FF5D8C">
            <w:pPr>
              <w:rPr>
                <w:b/>
                <w:sz w:val="20"/>
                <w:szCs w:val="20"/>
                <w:lang w:val="fr-CA"/>
              </w:rPr>
            </w:pPr>
          </w:p>
        </w:tc>
        <w:tc>
          <w:tcPr>
            <w:tcW w:w="8118" w:type="dxa"/>
          </w:tcPr>
          <w:p w:rsidR="00FF5D8C" w:rsidRPr="00421D33" w:rsidRDefault="00FF5D8C" w:rsidP="00AA49BB">
            <w:pPr>
              <w:jc w:val="both"/>
              <w:rPr>
                <w:sz w:val="20"/>
                <w:szCs w:val="20"/>
              </w:rPr>
            </w:pPr>
            <w:r w:rsidRPr="00421D33">
              <w:rPr>
                <w:rStyle w:val="SCCLsocChar"/>
                <w:sz w:val="20"/>
                <w:szCs w:val="20"/>
                <w:lang w:val="en-CA"/>
              </w:rPr>
              <w:t>Barclays Bank PLC v. Metcalfe &amp; Mansfield Alternative Investments VII Corp., in its capacity as trustee of Devonshire Trust, Bank of New York, as Custodian and CIBC Mellon Trust Company, in its capacity as Indenture Trustee</w:t>
            </w:r>
            <w:r w:rsidRPr="00421D33">
              <w:rPr>
                <w:sz w:val="20"/>
                <w:szCs w:val="20"/>
              </w:rPr>
              <w:t xml:space="preserve"> (Ont.) (Civil) (By Leave)</w:t>
            </w:r>
          </w:p>
          <w:p w:rsidR="00FF5D8C" w:rsidRPr="00421D33" w:rsidRDefault="00FF5D8C" w:rsidP="00AA49BB">
            <w:pPr>
              <w:jc w:val="both"/>
              <w:rPr>
                <w:sz w:val="20"/>
                <w:szCs w:val="20"/>
              </w:rPr>
            </w:pPr>
          </w:p>
        </w:tc>
      </w:tr>
      <w:tr w:rsidR="00FF5D8C" w:rsidRPr="00421D33" w:rsidTr="00FF5D8C">
        <w:trPr>
          <w:cantSplit/>
        </w:trPr>
        <w:tc>
          <w:tcPr>
            <w:tcW w:w="1458" w:type="dxa"/>
          </w:tcPr>
          <w:p w:rsidR="00FF5D8C" w:rsidRPr="00421D33" w:rsidRDefault="00FF5D8C" w:rsidP="00FF5D8C">
            <w:pPr>
              <w:rPr>
                <w:sz w:val="20"/>
                <w:szCs w:val="20"/>
              </w:rPr>
            </w:pPr>
            <w:r w:rsidRPr="00421D33">
              <w:rPr>
                <w:sz w:val="20"/>
                <w:szCs w:val="20"/>
              </w:rPr>
              <w:t>Coram :</w:t>
            </w:r>
          </w:p>
        </w:tc>
        <w:tc>
          <w:tcPr>
            <w:tcW w:w="8118" w:type="dxa"/>
          </w:tcPr>
          <w:p w:rsidR="00FF5D8C" w:rsidRPr="00421D33" w:rsidRDefault="00FF5D8C" w:rsidP="00FF5D8C">
            <w:pPr>
              <w:rPr>
                <w:sz w:val="20"/>
                <w:szCs w:val="20"/>
              </w:rPr>
            </w:pPr>
            <w:r w:rsidRPr="00421D33">
              <w:rPr>
                <w:rStyle w:val="SCCCoramChar"/>
                <w:sz w:val="20"/>
                <w:szCs w:val="20"/>
                <w:lang w:val="en-CA"/>
              </w:rPr>
              <w:t>Abella, Rothstein and Moldaver JJ.</w:t>
            </w:r>
          </w:p>
          <w:p w:rsidR="00FF5D8C" w:rsidRPr="00421D33" w:rsidRDefault="00FF5D8C" w:rsidP="00FF5D8C">
            <w:pPr>
              <w:rPr>
                <w:sz w:val="20"/>
                <w:szCs w:val="20"/>
                <w:u w:val="single"/>
              </w:rPr>
            </w:pPr>
          </w:p>
        </w:tc>
      </w:tr>
      <w:tr w:rsidR="00FF5D8C" w:rsidRPr="00023015" w:rsidTr="00FF5D8C">
        <w:trPr>
          <w:cantSplit/>
        </w:trPr>
        <w:tc>
          <w:tcPr>
            <w:tcW w:w="9576" w:type="dxa"/>
            <w:gridSpan w:val="2"/>
          </w:tcPr>
          <w:p w:rsidR="00FF5D8C" w:rsidRPr="00421D33" w:rsidRDefault="00FF5D8C" w:rsidP="00FF5D8C">
            <w:pPr>
              <w:pStyle w:val="SCCShortJudgment"/>
              <w:rPr>
                <w:szCs w:val="20"/>
              </w:rPr>
            </w:pPr>
            <w:r w:rsidRPr="00421D33">
              <w:rPr>
                <w:szCs w:val="20"/>
              </w:rPr>
              <w:t>The application for leave to appeal from the judgment of the Court of Appeal for Ontario, Number C54400, 2013 ONCA 494, dated July 26, 2013, is dismissed with costs to the respondent Metcalfe &amp; Mansfield Alternative Investments VII Corp., in its capacity as Trustee of Devonshire Trust.</w:t>
            </w:r>
          </w:p>
          <w:p w:rsidR="00FF5D8C" w:rsidRPr="00421D33" w:rsidRDefault="00FF5D8C" w:rsidP="00FF5D8C">
            <w:pPr>
              <w:pStyle w:val="SCCShortJudgment"/>
              <w:ind w:firstLine="0"/>
              <w:rPr>
                <w:szCs w:val="20"/>
              </w:rPr>
            </w:pPr>
          </w:p>
          <w:p w:rsidR="00FF5D8C" w:rsidRPr="00421D33" w:rsidRDefault="00FF5D8C" w:rsidP="00FF5D8C">
            <w:pPr>
              <w:pStyle w:val="SCCShortJudgment"/>
              <w:rPr>
                <w:szCs w:val="20"/>
                <w:lang w:val="fr-CA"/>
              </w:rPr>
            </w:pPr>
            <w:r w:rsidRPr="00421D33">
              <w:rPr>
                <w:szCs w:val="20"/>
                <w:lang w:val="fr-CA"/>
              </w:rPr>
              <w:t>La demande d’autorisation d’appel de l’arrêt de la Cour d’appel de l’Ontario, numéro C54400, 2013 ONCA 494, daté du 26 juillet 2013, est rejetée avec dépens en faveur de l’intimée Metcalfe &amp; Mansfield Alternative Investments VII Corp., en sa qualité de fiduciaire de Devonshire Trust.</w:t>
            </w:r>
          </w:p>
        </w:tc>
      </w:tr>
    </w:tbl>
    <w:p w:rsidR="00370E33" w:rsidRPr="0016547E" w:rsidRDefault="00370E33" w:rsidP="00370E33">
      <w:pPr>
        <w:rPr>
          <w:sz w:val="20"/>
          <w:szCs w:val="20"/>
          <w:lang w:val="fr-CA"/>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5BCB" w:rsidRPr="003C02EC" w:rsidTr="00C5574B">
        <w:tc>
          <w:tcPr>
            <w:tcW w:w="5000" w:type="pct"/>
            <w:gridSpan w:val="3"/>
          </w:tcPr>
          <w:p w:rsidR="00E75BCB" w:rsidRPr="003C02EC" w:rsidRDefault="00E75BCB" w:rsidP="00C5574B">
            <w:pPr>
              <w:jc w:val="both"/>
              <w:rPr>
                <w:rFonts w:eastAsia="Calibri"/>
                <w:sz w:val="20"/>
              </w:rPr>
            </w:pPr>
            <w:r w:rsidRPr="003C02EC">
              <w:rPr>
                <w:rFonts w:eastAsia="Calibri"/>
                <w:sz w:val="20"/>
              </w:rPr>
              <w:t>Contracts – Commercial contracts – Interpretation – Termination – Whether a general duty of good faith in the common law of contracts can override the express agreement of the parties with respect to their rights and remedies – Whether the “own wrong” doctrine can be applied to the common law of contracts to alter the express agreement of the parties as to their contractual rights and remedies – Whether the determination of “Loss” under the 1992 ISDA Master Agreement should be conducted in Canada in a manner inconsistent with its global interpretation.</w:t>
            </w:r>
          </w:p>
        </w:tc>
      </w:tr>
      <w:tr w:rsidR="00E75BCB" w:rsidRPr="003C02EC" w:rsidTr="00C5574B">
        <w:tc>
          <w:tcPr>
            <w:tcW w:w="5000" w:type="pct"/>
            <w:gridSpan w:val="3"/>
          </w:tcPr>
          <w:p w:rsidR="00E75BCB" w:rsidRPr="003C02EC" w:rsidRDefault="00E75BCB" w:rsidP="00C5574B">
            <w:pPr>
              <w:jc w:val="both"/>
              <w:rPr>
                <w:rFonts w:eastAsia="Calibri"/>
                <w:sz w:val="20"/>
              </w:rPr>
            </w:pPr>
          </w:p>
        </w:tc>
      </w:tr>
      <w:tr w:rsidR="00E75BCB" w:rsidRPr="003C02EC" w:rsidTr="00C5574B">
        <w:tc>
          <w:tcPr>
            <w:tcW w:w="5000" w:type="pct"/>
            <w:gridSpan w:val="3"/>
          </w:tcPr>
          <w:p w:rsidR="00E75BCB" w:rsidRPr="003C02EC" w:rsidRDefault="00E75BCB" w:rsidP="00C5574B">
            <w:pPr>
              <w:jc w:val="both"/>
              <w:rPr>
                <w:rFonts w:eastAsia="Calibri"/>
                <w:sz w:val="20"/>
              </w:rPr>
            </w:pPr>
            <w:r w:rsidRPr="003C02EC">
              <w:rPr>
                <w:rFonts w:eastAsia="Calibri"/>
                <w:sz w:val="20"/>
              </w:rPr>
              <w:t>This case arises from a complex 2006 transaction involving asset-backed commercial paper (“ABCP”) based on two credit default swaps (“CDSs”) and from the events in 2007 and 2008 surrounding the liquidity crisis in the ABCP market.  The applicant Barclays Bank PLC (“Barclays”) was the asset and liquidity provider to the Devonshire Trust (“Devonshire”), which issued the ABCP at issue in the transaction.  Devonshire entered into the two CDSs or “swaps” with Barclays in August 2006. The swaps were structured and sold in one transaction. The term of the two swaps was ten years. The transaction was governed by several agreements.</w:t>
            </w:r>
          </w:p>
          <w:p w:rsidR="00E75BCB" w:rsidRPr="003C02EC" w:rsidRDefault="00E75BCB" w:rsidP="00C5574B">
            <w:pPr>
              <w:jc w:val="both"/>
              <w:rPr>
                <w:rFonts w:eastAsia="Calibri"/>
                <w:sz w:val="20"/>
              </w:rPr>
            </w:pPr>
          </w:p>
          <w:p w:rsidR="00E75BCB" w:rsidRPr="003C02EC" w:rsidRDefault="00E75BCB" w:rsidP="00C5574B">
            <w:pPr>
              <w:jc w:val="both"/>
              <w:rPr>
                <w:rFonts w:eastAsia="Calibri"/>
                <w:sz w:val="20"/>
              </w:rPr>
            </w:pPr>
            <w:r w:rsidRPr="003C02EC">
              <w:rPr>
                <w:rFonts w:eastAsia="Calibri"/>
                <w:sz w:val="20"/>
              </w:rPr>
              <w:t xml:space="preserve">The Barclays-Devonshire transaction was caught up in wider problems with the ABCP market when the third-party ABCP market froze in August 2007. Attempts to restructure Devonshire were carried on but efforts to salvage the situation ultimately failed.  The circumstances surrounding the termination of the arrangement led to litigation to determine which party was entitled to terminate the arrangement and on what terms. </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t>September 7, 2011</w:t>
            </w:r>
          </w:p>
          <w:p w:rsidR="00E75BCB" w:rsidRPr="003C02EC" w:rsidRDefault="00E75BCB" w:rsidP="00C5574B">
            <w:pPr>
              <w:jc w:val="both"/>
              <w:rPr>
                <w:rFonts w:eastAsia="Calibri"/>
                <w:sz w:val="20"/>
              </w:rPr>
            </w:pPr>
            <w:r w:rsidRPr="003C02EC">
              <w:rPr>
                <w:rFonts w:eastAsia="Calibri"/>
                <w:sz w:val="20"/>
              </w:rPr>
              <w:t>Ontario Superior Court of Justice</w:t>
            </w:r>
          </w:p>
          <w:p w:rsidR="00E75BCB" w:rsidRPr="003C02EC" w:rsidRDefault="00E75BCB" w:rsidP="00C5574B">
            <w:pPr>
              <w:jc w:val="both"/>
              <w:rPr>
                <w:rFonts w:eastAsia="Calibri"/>
                <w:sz w:val="20"/>
              </w:rPr>
            </w:pPr>
            <w:r w:rsidRPr="003C02EC">
              <w:rPr>
                <w:rFonts w:eastAsia="Calibri"/>
                <w:sz w:val="20"/>
              </w:rPr>
              <w:t>(Newbould J.)</w:t>
            </w:r>
          </w:p>
          <w:p w:rsidR="00E75BCB" w:rsidRPr="003C02EC" w:rsidRDefault="001B62D0" w:rsidP="00C5574B">
            <w:pPr>
              <w:jc w:val="both"/>
              <w:rPr>
                <w:rFonts w:eastAsia="Calibri"/>
                <w:sz w:val="20"/>
              </w:rPr>
            </w:pPr>
            <w:hyperlink r:id="rId55" w:history="1">
              <w:r w:rsidR="00E75BCB" w:rsidRPr="003C02EC">
                <w:rPr>
                  <w:rFonts w:eastAsia="Calibri"/>
                  <w:color w:val="0000FF"/>
                  <w:sz w:val="20"/>
                  <w:u w:val="single"/>
                </w:rPr>
                <w:t>2011 ONSC 5008</w:t>
              </w:r>
            </w:hyperlink>
          </w:p>
          <w:p w:rsidR="00E75BCB" w:rsidRPr="003C02EC" w:rsidRDefault="00E75BCB" w:rsidP="00C5574B">
            <w:pPr>
              <w:jc w:val="both"/>
              <w:rPr>
                <w:rFonts w:eastAsia="Calibri"/>
                <w:sz w:val="20"/>
              </w:rPr>
            </w:pP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Action by applicant dismissed and counterclaim by respondent Metcalfe &amp; Mansfield Alternative Investments VII Corp., in its capacity as Trustee of Devonshire Trust, granted</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lastRenderedPageBreak/>
              <w:t>July 26, 2013</w:t>
            </w:r>
          </w:p>
          <w:p w:rsidR="00E75BCB" w:rsidRPr="003C02EC" w:rsidRDefault="00E75BCB" w:rsidP="00C5574B">
            <w:pPr>
              <w:jc w:val="both"/>
              <w:rPr>
                <w:rFonts w:eastAsia="Calibri"/>
                <w:sz w:val="20"/>
              </w:rPr>
            </w:pPr>
            <w:r w:rsidRPr="003C02EC">
              <w:rPr>
                <w:rFonts w:eastAsia="Calibri"/>
                <w:sz w:val="20"/>
              </w:rPr>
              <w:t>Court of Appeal for Ontario</w:t>
            </w:r>
          </w:p>
          <w:p w:rsidR="00E75BCB" w:rsidRPr="003C02EC" w:rsidRDefault="00E75BCB" w:rsidP="00C5574B">
            <w:pPr>
              <w:jc w:val="both"/>
              <w:rPr>
                <w:rFonts w:eastAsia="Calibri"/>
                <w:sz w:val="20"/>
              </w:rPr>
            </w:pPr>
            <w:r w:rsidRPr="003C02EC">
              <w:rPr>
                <w:rFonts w:eastAsia="Calibri"/>
                <w:sz w:val="20"/>
              </w:rPr>
              <w:t>(Goudge, Sharpe and Simmons JJ.A.)</w:t>
            </w:r>
          </w:p>
          <w:p w:rsidR="00E75BCB" w:rsidRPr="003C02EC" w:rsidRDefault="001B62D0" w:rsidP="00C5574B">
            <w:pPr>
              <w:jc w:val="both"/>
              <w:rPr>
                <w:rFonts w:eastAsia="Calibri"/>
                <w:sz w:val="20"/>
              </w:rPr>
            </w:pPr>
            <w:hyperlink r:id="rId56" w:history="1">
              <w:r w:rsidR="00E75BCB" w:rsidRPr="003C02EC">
                <w:rPr>
                  <w:rFonts w:eastAsia="Calibri"/>
                  <w:color w:val="0000FF"/>
                  <w:sz w:val="20"/>
                  <w:u w:val="single"/>
                </w:rPr>
                <w:t>2013 ONCA 494</w:t>
              </w:r>
            </w:hyperlink>
          </w:p>
          <w:p w:rsidR="00E75BCB" w:rsidRPr="003C02EC" w:rsidRDefault="00E75BCB" w:rsidP="00C5574B">
            <w:pPr>
              <w:jc w:val="both"/>
              <w:rPr>
                <w:rFonts w:eastAsia="Calibri"/>
                <w:sz w:val="20"/>
              </w:rPr>
            </w:pP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Appeal dismissed</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t>September 27, 2013</w:t>
            </w:r>
          </w:p>
          <w:p w:rsidR="00E75BCB" w:rsidRPr="003C02EC" w:rsidRDefault="00E75BCB" w:rsidP="00C5574B">
            <w:pPr>
              <w:jc w:val="both"/>
              <w:rPr>
                <w:rFonts w:eastAsia="Calibri"/>
                <w:sz w:val="20"/>
              </w:rPr>
            </w:pPr>
            <w:r w:rsidRPr="003C02EC">
              <w:rPr>
                <w:rFonts w:eastAsia="Calibri"/>
                <w:sz w:val="20"/>
              </w:rPr>
              <w:t>Supreme Court of Canada</w:t>
            </w: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Application for leave to appeal filed</w:t>
            </w:r>
          </w:p>
          <w:p w:rsidR="00E75BCB" w:rsidRPr="003C02EC" w:rsidRDefault="00E75BCB" w:rsidP="00C5574B">
            <w:pPr>
              <w:jc w:val="both"/>
              <w:rPr>
                <w:rFonts w:eastAsia="Calibri"/>
                <w:sz w:val="20"/>
              </w:rPr>
            </w:pP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50"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5BCB" w:rsidRPr="00023015" w:rsidTr="00C5574B">
        <w:tc>
          <w:tcPr>
            <w:tcW w:w="5000" w:type="pct"/>
            <w:gridSpan w:val="3"/>
          </w:tcPr>
          <w:p w:rsidR="00E75BCB" w:rsidRPr="003C02EC" w:rsidRDefault="00E75BCB" w:rsidP="00C5574B">
            <w:pPr>
              <w:jc w:val="both"/>
              <w:rPr>
                <w:rFonts w:eastAsia="Calibri"/>
                <w:sz w:val="20"/>
                <w:lang w:val="fr-CA"/>
              </w:rPr>
            </w:pPr>
            <w:r w:rsidRPr="003C02EC">
              <w:rPr>
                <w:rFonts w:eastAsia="Calibri"/>
                <w:sz w:val="20"/>
                <w:lang w:val="fr-CA"/>
              </w:rPr>
              <w:t>Contrats – Contrats commerciaux – Interprétation – Résiliation – L'obligation générale de bonne foi fondée sur les règles de common law régissant les contrats peut-elle l'emporter sur une stipulation expresse des parties relativement à leurs droits et recours? – Le principe selon lequel nul ne peut profiter de sa propre faute peut-il s’appliquer aux règles de common law régissant les contrats pour modifier la stipulation expresse des parties quant à leurs droits et recours contractuels? – La détermination de la « perte » aux termes de l’Accord-cadre de 1992 de l’ISDA devrait-elle être faite au Canada d'une manière incompatible avec son interprétation à l’échelle mondiale?</w:t>
            </w:r>
          </w:p>
        </w:tc>
      </w:tr>
      <w:tr w:rsidR="00E75BCB" w:rsidRPr="00023015" w:rsidTr="00C5574B">
        <w:tc>
          <w:tcPr>
            <w:tcW w:w="5000" w:type="pct"/>
            <w:gridSpan w:val="3"/>
          </w:tcPr>
          <w:p w:rsidR="00E75BCB" w:rsidRPr="003C02EC" w:rsidRDefault="00E75BCB" w:rsidP="00C5574B">
            <w:pPr>
              <w:jc w:val="both"/>
              <w:rPr>
                <w:rFonts w:eastAsia="Calibri"/>
                <w:sz w:val="20"/>
                <w:lang w:val="fr-CA"/>
              </w:rPr>
            </w:pPr>
          </w:p>
        </w:tc>
      </w:tr>
      <w:tr w:rsidR="00E75BCB" w:rsidRPr="00023015" w:rsidTr="00C5574B">
        <w:tc>
          <w:tcPr>
            <w:tcW w:w="5000" w:type="pct"/>
            <w:gridSpan w:val="3"/>
          </w:tcPr>
          <w:p w:rsidR="00E75BCB" w:rsidRPr="003C02EC" w:rsidRDefault="00E75BCB" w:rsidP="00C5574B">
            <w:pPr>
              <w:jc w:val="both"/>
              <w:rPr>
                <w:rFonts w:eastAsia="Calibri"/>
                <w:sz w:val="20"/>
                <w:lang w:val="fr-CA"/>
              </w:rPr>
            </w:pPr>
            <w:r w:rsidRPr="003C02EC">
              <w:rPr>
                <w:rFonts w:eastAsia="Calibri"/>
                <w:sz w:val="20"/>
                <w:lang w:val="fr-CA"/>
              </w:rPr>
              <w:t>Cette affaire découle d'une opération complexe qui a eu lieu en 2006 et qui avait pour objet du papier commercial adossé à des actifs (« PCAA »), établi sur le fondement de deux swaps sur défaillances de crédit (« SDC »), et des événements survenus en 2007 et 2008 entourant la crise des liquidités dans le marché du PCAA. La demanderesse Barclays Bank PLC (« Barclays ») était le fournisseur d'actifs et de liquidités de Devonshire Trust (« Devonshire »), qui a délivré le PCAA en cause dans l'opération.  Devonshire a conclu deux SDC ou « swaps » avec Barclays en août 2006.  Les swaps ont été structurés et vendus dans le cadre d'une seule opération. Les deux swaps étaient d'une durée de 10 ans. L'opération était régie par plusieurs accords.</w:t>
            </w:r>
          </w:p>
          <w:p w:rsidR="00E75BCB" w:rsidRPr="003C02EC" w:rsidRDefault="00E75BCB" w:rsidP="00C5574B">
            <w:pPr>
              <w:jc w:val="both"/>
              <w:rPr>
                <w:rFonts w:eastAsia="Calibri"/>
                <w:sz w:val="20"/>
                <w:lang w:val="fr-CA"/>
              </w:rPr>
            </w:pPr>
          </w:p>
          <w:p w:rsidR="00E75BCB" w:rsidRPr="003C02EC" w:rsidRDefault="00E75BCB" w:rsidP="00C5574B">
            <w:pPr>
              <w:jc w:val="both"/>
              <w:rPr>
                <w:rFonts w:eastAsia="Calibri"/>
                <w:sz w:val="20"/>
                <w:lang w:val="fr-CA"/>
              </w:rPr>
            </w:pPr>
            <w:r w:rsidRPr="003C02EC">
              <w:rPr>
                <w:rFonts w:eastAsia="Calibri"/>
                <w:sz w:val="20"/>
                <w:lang w:val="fr-CA"/>
              </w:rPr>
              <w:t xml:space="preserve">L’opération Barclays-Devonshire a été touchée par des problèmes plus larges sur le marché du PCAA, lorsque le marché du PCAA de tiers a été paralysé en août 2007.  Des tentatives de restructurer Devonshire ont été effectuées, mais les efforts pour sauver la situation ont fini par échouer.  Les circonstances entourant la résiliation de l'accord ont mené à des poursuites en justice pour déterminer quelle partie avait droit de résilier l'accord et à quelles conditions. </w:t>
            </w:r>
          </w:p>
          <w:p w:rsidR="00E75BCB" w:rsidRPr="003C02EC" w:rsidRDefault="00E75BCB" w:rsidP="00C5574B">
            <w:pPr>
              <w:jc w:val="both"/>
              <w:rPr>
                <w:rFonts w:eastAsia="Calibri"/>
                <w:sz w:val="20"/>
                <w:lang w:val="fr-CA"/>
              </w:rPr>
            </w:pPr>
          </w:p>
        </w:tc>
      </w:tr>
      <w:tr w:rsidR="00E75BCB" w:rsidRPr="00023015"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t>7 septembre 2011</w:t>
            </w:r>
          </w:p>
          <w:p w:rsidR="00E75BCB" w:rsidRPr="003C02EC" w:rsidRDefault="00E75BCB" w:rsidP="00C5574B">
            <w:pPr>
              <w:jc w:val="both"/>
              <w:rPr>
                <w:rFonts w:eastAsia="Calibri"/>
                <w:sz w:val="20"/>
                <w:lang w:val="fr-CA"/>
              </w:rPr>
            </w:pPr>
            <w:r w:rsidRPr="003C02EC">
              <w:rPr>
                <w:rFonts w:eastAsia="Calibri"/>
                <w:sz w:val="20"/>
                <w:lang w:val="fr-CA"/>
              </w:rPr>
              <w:t>Cour supérieure de justice de l'Ontario</w:t>
            </w:r>
          </w:p>
          <w:p w:rsidR="00E75BCB" w:rsidRPr="003C02EC" w:rsidRDefault="00E75BCB" w:rsidP="00C5574B">
            <w:pPr>
              <w:jc w:val="both"/>
              <w:rPr>
                <w:rFonts w:eastAsia="Calibri"/>
                <w:sz w:val="20"/>
                <w:lang w:val="fr-CA"/>
              </w:rPr>
            </w:pPr>
            <w:r w:rsidRPr="003C02EC">
              <w:rPr>
                <w:rFonts w:eastAsia="Calibri"/>
                <w:sz w:val="20"/>
                <w:lang w:val="fr-CA"/>
              </w:rPr>
              <w:t>(Juge Newbould)</w:t>
            </w:r>
          </w:p>
          <w:p w:rsidR="00E75BCB" w:rsidRPr="003C02EC" w:rsidRDefault="001B62D0" w:rsidP="00C5574B">
            <w:pPr>
              <w:jc w:val="both"/>
              <w:rPr>
                <w:rFonts w:eastAsia="Calibri"/>
                <w:sz w:val="20"/>
                <w:lang w:val="fr-CA"/>
              </w:rPr>
            </w:pPr>
            <w:hyperlink r:id="rId57" w:history="1">
              <w:r w:rsidR="00E75BCB" w:rsidRPr="003C02EC">
                <w:rPr>
                  <w:rFonts w:eastAsia="Calibri"/>
                  <w:color w:val="0000FF"/>
                  <w:sz w:val="20"/>
                  <w:u w:val="single"/>
                  <w:lang w:val="fr-CA"/>
                </w:rPr>
                <w:t>2011 ONSC 5008</w:t>
              </w:r>
            </w:hyperlink>
          </w:p>
          <w:p w:rsidR="00E75BCB" w:rsidRPr="003C02EC" w:rsidRDefault="00E75BCB" w:rsidP="00C5574B">
            <w:pPr>
              <w:jc w:val="both"/>
              <w:rPr>
                <w:rFonts w:eastAsia="Calibri"/>
                <w:sz w:val="20"/>
                <w:lang w:val="fr-CA"/>
              </w:rPr>
            </w:pP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Action de la demanderesse, rejetée et demande reconventionnelle de l'intimée Metcalfe &amp; Mansfield Alternative Investments VII Corp., en sa qualité de fiduciaire de Devonshire Trust, accueillie</w:t>
            </w:r>
          </w:p>
          <w:p w:rsidR="00E75BCB" w:rsidRPr="003C02EC" w:rsidRDefault="00E75BCB" w:rsidP="00C5574B">
            <w:pPr>
              <w:jc w:val="both"/>
              <w:rPr>
                <w:rFonts w:eastAsia="Calibri"/>
                <w:sz w:val="20"/>
                <w:lang w:val="fr-CA"/>
              </w:rPr>
            </w:pPr>
          </w:p>
        </w:tc>
      </w:tr>
      <w:tr w:rsidR="00E75BCB" w:rsidRPr="003C02EC"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t>26 juillet 2013</w:t>
            </w:r>
          </w:p>
          <w:p w:rsidR="00E75BCB" w:rsidRPr="003C02EC" w:rsidRDefault="00E75BCB" w:rsidP="00C5574B">
            <w:pPr>
              <w:jc w:val="both"/>
              <w:rPr>
                <w:rFonts w:eastAsia="Calibri"/>
                <w:sz w:val="20"/>
                <w:lang w:val="fr-CA"/>
              </w:rPr>
            </w:pPr>
            <w:r w:rsidRPr="003C02EC">
              <w:rPr>
                <w:rFonts w:eastAsia="Calibri"/>
                <w:sz w:val="20"/>
                <w:lang w:val="fr-CA"/>
              </w:rPr>
              <w:t>Cour d'appel de l'Ontario</w:t>
            </w:r>
          </w:p>
          <w:p w:rsidR="00E75BCB" w:rsidRPr="003C02EC" w:rsidRDefault="00E75BCB" w:rsidP="00C5574B">
            <w:pPr>
              <w:jc w:val="both"/>
              <w:rPr>
                <w:rFonts w:eastAsia="Calibri"/>
                <w:sz w:val="20"/>
                <w:lang w:val="fr-CA"/>
              </w:rPr>
            </w:pPr>
            <w:r w:rsidRPr="003C02EC">
              <w:rPr>
                <w:rFonts w:eastAsia="Calibri"/>
                <w:sz w:val="20"/>
                <w:lang w:val="fr-CA"/>
              </w:rPr>
              <w:lastRenderedPageBreak/>
              <w:t>(Juges Goudge, Sharpe et Simmons)</w:t>
            </w:r>
          </w:p>
          <w:p w:rsidR="00E75BCB" w:rsidRPr="003C02EC" w:rsidRDefault="001B62D0" w:rsidP="00C5574B">
            <w:pPr>
              <w:jc w:val="both"/>
              <w:rPr>
                <w:rFonts w:eastAsia="Calibri"/>
                <w:sz w:val="20"/>
                <w:lang w:val="fr-CA"/>
              </w:rPr>
            </w:pPr>
            <w:hyperlink r:id="rId58" w:history="1">
              <w:r w:rsidR="00E75BCB" w:rsidRPr="003C02EC">
                <w:rPr>
                  <w:rFonts w:eastAsia="Calibri"/>
                  <w:color w:val="0000FF"/>
                  <w:sz w:val="20"/>
                  <w:u w:val="single"/>
                  <w:lang w:val="fr-CA"/>
                </w:rPr>
                <w:t>2013 ONCA 494</w:t>
              </w:r>
            </w:hyperlink>
          </w:p>
          <w:p w:rsidR="00E75BCB" w:rsidRPr="003C02EC" w:rsidRDefault="00E75BCB" w:rsidP="00C5574B">
            <w:pPr>
              <w:jc w:val="both"/>
              <w:rPr>
                <w:rFonts w:eastAsia="Calibri"/>
                <w:sz w:val="20"/>
                <w:lang w:val="fr-CA"/>
              </w:rPr>
            </w:pP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Appel rejeté</w:t>
            </w:r>
          </w:p>
          <w:p w:rsidR="00E75BCB" w:rsidRPr="003C02EC" w:rsidRDefault="00E75BCB" w:rsidP="00C5574B">
            <w:pPr>
              <w:jc w:val="both"/>
              <w:rPr>
                <w:rFonts w:eastAsia="Calibri"/>
                <w:sz w:val="20"/>
                <w:lang w:val="fr-CA"/>
              </w:rPr>
            </w:pPr>
          </w:p>
        </w:tc>
      </w:tr>
      <w:tr w:rsidR="00E75BCB" w:rsidRPr="003C02EC"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lastRenderedPageBreak/>
              <w:t>27 septembre 2013</w:t>
            </w:r>
          </w:p>
          <w:p w:rsidR="00E75BCB" w:rsidRPr="003C02EC" w:rsidRDefault="00E75BCB" w:rsidP="00C5574B">
            <w:pPr>
              <w:jc w:val="both"/>
              <w:rPr>
                <w:rFonts w:eastAsia="Calibri"/>
                <w:sz w:val="20"/>
                <w:lang w:val="fr-CA"/>
              </w:rPr>
            </w:pPr>
            <w:r w:rsidRPr="003C02EC">
              <w:rPr>
                <w:rFonts w:eastAsia="Calibri"/>
                <w:sz w:val="20"/>
                <w:lang w:val="fr-CA"/>
              </w:rPr>
              <w:t>Cour suprême du Canada</w:t>
            </w: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Demande d'autorisation d'appel, déposée</w:t>
            </w:r>
          </w:p>
        </w:tc>
      </w:tr>
    </w:tbl>
    <w:p w:rsidR="00370E33" w:rsidRDefault="00370E33" w:rsidP="00370E33">
      <w:pPr>
        <w:rPr>
          <w:sz w:val="20"/>
          <w:szCs w:val="20"/>
        </w:rPr>
      </w:pPr>
    </w:p>
    <w:p w:rsidR="00370E33" w:rsidRDefault="001B62D0" w:rsidP="00370E33">
      <w:pPr>
        <w:rPr>
          <w:sz w:val="20"/>
          <w:szCs w:val="20"/>
        </w:rPr>
      </w:pPr>
      <w:r>
        <w:rPr>
          <w:sz w:val="20"/>
          <w:szCs w:val="20"/>
          <w:lang w:val="fr-CA"/>
        </w:rPr>
        <w:pict>
          <v:rect id="_x0000_i1051" style="width:2in;height:1pt" o:hrpct="0" o:hralign="center" o:hrstd="t" o:hrnoshade="t" o:hr="t" fillcolor="black [3213]" stroked="f"/>
        </w:pict>
      </w:r>
    </w:p>
    <w:p w:rsidR="00370E33" w:rsidRDefault="00370E33" w:rsidP="00370E3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6A58" w:rsidRPr="00421D33" w:rsidTr="00E66729">
        <w:trPr>
          <w:cantSplit/>
        </w:trPr>
        <w:tc>
          <w:tcPr>
            <w:tcW w:w="1458" w:type="dxa"/>
          </w:tcPr>
          <w:p w:rsidR="006B6A58" w:rsidRPr="00421D33" w:rsidRDefault="006B6A58" w:rsidP="00E66729">
            <w:pPr>
              <w:rPr>
                <w:sz w:val="20"/>
                <w:szCs w:val="20"/>
              </w:rPr>
            </w:pPr>
            <w:r w:rsidRPr="00421D33">
              <w:rPr>
                <w:rStyle w:val="SCCFileNumberChar"/>
                <w:sz w:val="20"/>
                <w:szCs w:val="20"/>
              </w:rPr>
              <w:t>35574</w:t>
            </w:r>
          </w:p>
          <w:p w:rsidR="006B6A58" w:rsidRPr="00421D33" w:rsidRDefault="006B6A58" w:rsidP="00E66729">
            <w:pPr>
              <w:rPr>
                <w:b/>
                <w:sz w:val="20"/>
                <w:szCs w:val="20"/>
                <w:lang w:val="fr-CA"/>
              </w:rPr>
            </w:pPr>
          </w:p>
        </w:tc>
        <w:tc>
          <w:tcPr>
            <w:tcW w:w="8118" w:type="dxa"/>
          </w:tcPr>
          <w:p w:rsidR="006B6A58" w:rsidRPr="00421D33" w:rsidRDefault="006B6A58" w:rsidP="00E66729">
            <w:pPr>
              <w:jc w:val="both"/>
              <w:rPr>
                <w:sz w:val="20"/>
                <w:szCs w:val="20"/>
              </w:rPr>
            </w:pPr>
            <w:r w:rsidRPr="00421D33">
              <w:rPr>
                <w:rStyle w:val="SCCLsocChar"/>
                <w:sz w:val="20"/>
                <w:szCs w:val="20"/>
                <w:lang w:val="en-CA"/>
              </w:rPr>
              <w:t>Faris Hazim Abdul-Raheem Saiyegh v. Ottawa Police Services Board, Ottawa Police Service, Sgt. Andrew Buchan, Cst. A. Grundy, Cst. C. Garcia, Det. Angela Kay, Cst. M. Divaddo, Cst. A. Kirady</w:t>
            </w:r>
            <w:r w:rsidR="00025374">
              <w:rPr>
                <w:rStyle w:val="SCCLsocChar"/>
                <w:sz w:val="20"/>
                <w:szCs w:val="20"/>
                <w:lang w:val="en-CA"/>
              </w:rPr>
              <w:t xml:space="preserve"> and</w:t>
            </w:r>
            <w:r w:rsidRPr="00421D33">
              <w:rPr>
                <w:rStyle w:val="SCCLsocChar"/>
                <w:sz w:val="20"/>
                <w:szCs w:val="20"/>
                <w:lang w:val="en-CA"/>
              </w:rPr>
              <w:t xml:space="preserve"> Sgt. </w:t>
            </w:r>
            <w:r w:rsidRPr="000F20CE">
              <w:rPr>
                <w:rStyle w:val="SCCLsocChar"/>
                <w:sz w:val="20"/>
                <w:szCs w:val="20"/>
                <w:lang w:val="en-CA"/>
              </w:rPr>
              <w:t>Boucher</w:t>
            </w:r>
            <w:r w:rsidRPr="00421D33">
              <w:rPr>
                <w:sz w:val="20"/>
                <w:szCs w:val="20"/>
              </w:rPr>
              <w:t xml:space="preserve"> (Ont.) (Civil) (By Leave)</w:t>
            </w:r>
          </w:p>
          <w:p w:rsidR="006B6A58" w:rsidRPr="00421D33" w:rsidRDefault="006B6A58" w:rsidP="00E66729">
            <w:pPr>
              <w:jc w:val="both"/>
              <w:rPr>
                <w:sz w:val="20"/>
                <w:szCs w:val="20"/>
              </w:rPr>
            </w:pPr>
          </w:p>
        </w:tc>
      </w:tr>
      <w:tr w:rsidR="006B6A58" w:rsidRPr="00421D33" w:rsidTr="00E66729">
        <w:trPr>
          <w:cantSplit/>
        </w:trPr>
        <w:tc>
          <w:tcPr>
            <w:tcW w:w="1458" w:type="dxa"/>
          </w:tcPr>
          <w:p w:rsidR="006B6A58" w:rsidRPr="00421D33" w:rsidRDefault="006B6A58" w:rsidP="00E66729">
            <w:pPr>
              <w:rPr>
                <w:sz w:val="20"/>
                <w:szCs w:val="20"/>
              </w:rPr>
            </w:pPr>
            <w:r w:rsidRPr="00421D33">
              <w:rPr>
                <w:sz w:val="20"/>
                <w:szCs w:val="20"/>
              </w:rPr>
              <w:t>Coram :</w:t>
            </w:r>
          </w:p>
        </w:tc>
        <w:tc>
          <w:tcPr>
            <w:tcW w:w="8118" w:type="dxa"/>
          </w:tcPr>
          <w:p w:rsidR="006B6A58" w:rsidRPr="00421D33" w:rsidRDefault="006B6A58" w:rsidP="00E66729">
            <w:pPr>
              <w:rPr>
                <w:sz w:val="20"/>
                <w:szCs w:val="20"/>
              </w:rPr>
            </w:pPr>
            <w:r w:rsidRPr="00421D33">
              <w:rPr>
                <w:rStyle w:val="SCCCoramChar"/>
                <w:sz w:val="20"/>
                <w:szCs w:val="20"/>
                <w:lang w:val="en-CA"/>
              </w:rPr>
              <w:t>Abella, Rothstein and Moldaver JJ.</w:t>
            </w:r>
          </w:p>
          <w:p w:rsidR="006B6A58" w:rsidRPr="00421D33" w:rsidRDefault="006B6A58" w:rsidP="00E66729">
            <w:pPr>
              <w:rPr>
                <w:sz w:val="20"/>
                <w:szCs w:val="20"/>
                <w:u w:val="single"/>
              </w:rPr>
            </w:pPr>
          </w:p>
        </w:tc>
      </w:tr>
      <w:tr w:rsidR="006B6A58" w:rsidRPr="00023015" w:rsidTr="00E66729">
        <w:trPr>
          <w:cantSplit/>
        </w:trPr>
        <w:tc>
          <w:tcPr>
            <w:tcW w:w="9576" w:type="dxa"/>
            <w:gridSpan w:val="2"/>
          </w:tcPr>
          <w:p w:rsidR="006B6A58" w:rsidRPr="00421D33" w:rsidRDefault="006B6A58" w:rsidP="00E66729">
            <w:pPr>
              <w:pStyle w:val="SCCShortJudgment"/>
              <w:rPr>
                <w:szCs w:val="20"/>
              </w:rPr>
            </w:pPr>
            <w:r w:rsidRPr="00421D33">
              <w:rPr>
                <w:szCs w:val="20"/>
              </w:rPr>
              <w:t>The motion for an extension to serve and file the application for leave to appeal from the judgment of the Court of appeal for Ontario, Number C56539, 2013 ONCA 398, dated June 7, 2013, is dismissed.  In any event, had such motion been granted, the application for leave to appeal and all miscellaneous motions would have been dismissed with costs.</w:t>
            </w:r>
          </w:p>
          <w:p w:rsidR="006B6A58" w:rsidRPr="00421D33" w:rsidRDefault="006B6A58" w:rsidP="00E66729">
            <w:pPr>
              <w:pStyle w:val="SCCShortJudgment"/>
              <w:ind w:firstLine="0"/>
              <w:rPr>
                <w:szCs w:val="20"/>
              </w:rPr>
            </w:pPr>
          </w:p>
          <w:p w:rsidR="006B6A58" w:rsidRPr="00421D33" w:rsidRDefault="006B6A58" w:rsidP="00E66729">
            <w:pPr>
              <w:pStyle w:val="SCCShortJudgment"/>
              <w:rPr>
                <w:szCs w:val="20"/>
                <w:lang w:val="fr-CA"/>
              </w:rPr>
            </w:pPr>
            <w:r w:rsidRPr="00421D33">
              <w:rPr>
                <w:szCs w:val="20"/>
                <w:lang w:val="fr-CA"/>
              </w:rPr>
              <w:t>La requête en prorogation du délai de signification et dépôt de la demande d’autorisation d’appel de l’arrêt de la Cour d’appel de l’Ontario, numéro C56539, 2013 ONCA 398, daté du 7 juin 2013, est rejetée.  Quoiqu’il en soit, même si la requête avait été accueillie, la demande d’autorisation d’appel et toutes les requêtes diverses auraient été rejetées avec dépens.</w:t>
            </w:r>
          </w:p>
        </w:tc>
      </w:tr>
    </w:tbl>
    <w:p w:rsidR="006B6A58" w:rsidRPr="0016547E" w:rsidRDefault="006B6A58" w:rsidP="006B6A58">
      <w:pPr>
        <w:rPr>
          <w:sz w:val="20"/>
          <w:szCs w:val="20"/>
          <w:lang w:val="fr-CA"/>
        </w:rPr>
      </w:pPr>
    </w:p>
    <w:p w:rsidR="006B6A58" w:rsidRPr="001B157C" w:rsidRDefault="006B6A58" w:rsidP="006B6A58">
      <w:pPr>
        <w:rPr>
          <w:sz w:val="20"/>
          <w:szCs w:val="20"/>
          <w:u w:val="single"/>
        </w:rPr>
      </w:pPr>
      <w:r w:rsidRPr="001B157C">
        <w:rPr>
          <w:sz w:val="20"/>
          <w:szCs w:val="20"/>
          <w:u w:val="single"/>
        </w:rPr>
        <w:t>CASE SUMMARY</w:t>
      </w:r>
    </w:p>
    <w:p w:rsidR="006B6A58" w:rsidRDefault="006B6A58" w:rsidP="006B6A5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B6A58" w:rsidRPr="003C02EC" w:rsidTr="00E66729">
        <w:tc>
          <w:tcPr>
            <w:tcW w:w="5000" w:type="pct"/>
            <w:gridSpan w:val="3"/>
          </w:tcPr>
          <w:p w:rsidR="006B6A58" w:rsidRPr="003C02EC" w:rsidRDefault="006B6A58" w:rsidP="00E66729">
            <w:pPr>
              <w:jc w:val="both"/>
              <w:rPr>
                <w:rFonts w:eastAsia="Calibri"/>
                <w:sz w:val="20"/>
              </w:rPr>
            </w:pPr>
            <w:r w:rsidRPr="003C02EC">
              <w:rPr>
                <w:rFonts w:eastAsia="Calibri"/>
                <w:i/>
                <w:sz w:val="20"/>
              </w:rPr>
              <w:t>Charter of Rights</w:t>
            </w:r>
            <w:r w:rsidRPr="003C02EC">
              <w:rPr>
                <w:rFonts w:eastAsia="Calibri"/>
                <w:sz w:val="20"/>
              </w:rPr>
              <w:t xml:space="preserve"> – Judgments and orders – Summary judgment – Order striking applicant’s notice of action without leave to amend – Whether Superior Court of Justice and the Court of Appeal made errors that promote to violations in laws and legislation that raise issues of public importance – Whether incidents raised by applicant in his argument involving violations of law and cause of action that promote to public importance</w:t>
            </w:r>
          </w:p>
        </w:tc>
      </w:tr>
      <w:tr w:rsidR="006B6A58" w:rsidRPr="003C02EC" w:rsidTr="00E66729">
        <w:tc>
          <w:tcPr>
            <w:tcW w:w="5000" w:type="pct"/>
            <w:gridSpan w:val="3"/>
          </w:tcPr>
          <w:p w:rsidR="006B6A58" w:rsidRPr="003C02EC" w:rsidRDefault="006B6A58" w:rsidP="00E66729">
            <w:pPr>
              <w:jc w:val="both"/>
              <w:rPr>
                <w:rFonts w:eastAsia="Calibri"/>
                <w:sz w:val="20"/>
              </w:rPr>
            </w:pPr>
          </w:p>
        </w:tc>
      </w:tr>
      <w:tr w:rsidR="006B6A58" w:rsidRPr="003C02EC" w:rsidTr="00E66729">
        <w:tc>
          <w:tcPr>
            <w:tcW w:w="5000" w:type="pct"/>
            <w:gridSpan w:val="3"/>
          </w:tcPr>
          <w:p w:rsidR="006B6A58" w:rsidRPr="003C02EC" w:rsidRDefault="006B6A58" w:rsidP="00E66729">
            <w:pPr>
              <w:jc w:val="both"/>
              <w:rPr>
                <w:rFonts w:eastAsia="Calibri"/>
                <w:sz w:val="20"/>
              </w:rPr>
            </w:pPr>
            <w:r w:rsidRPr="003C02EC">
              <w:rPr>
                <w:rFonts w:eastAsia="Calibri"/>
                <w:sz w:val="20"/>
              </w:rPr>
              <w:t xml:space="preserve">The Applicant brought a notice of action against, </w:t>
            </w:r>
            <w:r w:rsidRPr="003C02EC">
              <w:rPr>
                <w:rFonts w:eastAsia="Calibri"/>
                <w:i/>
                <w:sz w:val="20"/>
              </w:rPr>
              <w:t>inter alia</w:t>
            </w:r>
            <w:r w:rsidRPr="003C02EC">
              <w:rPr>
                <w:rFonts w:eastAsia="Calibri"/>
                <w:sz w:val="20"/>
              </w:rPr>
              <w:t xml:space="preserve">, a police officer, that required the Ottawa Police Services Board to step in as a party to the action.  The Ottawa Police Services Board brought an application to strike the notice of action. </w:t>
            </w:r>
          </w:p>
          <w:p w:rsidR="006B6A58" w:rsidRPr="003C02EC" w:rsidRDefault="006B6A58" w:rsidP="00E66729">
            <w:pPr>
              <w:jc w:val="both"/>
              <w:rPr>
                <w:rFonts w:eastAsia="Calibri"/>
                <w:sz w:val="20"/>
              </w:rPr>
            </w:pPr>
          </w:p>
        </w:tc>
      </w:tr>
      <w:tr w:rsidR="006B6A58" w:rsidRPr="003C02EC" w:rsidTr="00E66729">
        <w:tc>
          <w:tcPr>
            <w:tcW w:w="2427" w:type="pct"/>
          </w:tcPr>
          <w:p w:rsidR="006B6A58" w:rsidRPr="003C02EC" w:rsidRDefault="006B6A58" w:rsidP="00E66729">
            <w:pPr>
              <w:jc w:val="both"/>
              <w:rPr>
                <w:rFonts w:eastAsia="Calibri"/>
                <w:sz w:val="20"/>
              </w:rPr>
            </w:pPr>
            <w:r w:rsidRPr="003C02EC">
              <w:rPr>
                <w:rFonts w:eastAsia="Calibri"/>
                <w:sz w:val="20"/>
              </w:rPr>
              <w:t>January 3, 2013</w:t>
            </w:r>
          </w:p>
          <w:p w:rsidR="006B6A58" w:rsidRPr="003C02EC" w:rsidRDefault="006B6A58" w:rsidP="00E66729">
            <w:pPr>
              <w:jc w:val="both"/>
              <w:rPr>
                <w:rFonts w:eastAsia="Calibri"/>
                <w:sz w:val="20"/>
              </w:rPr>
            </w:pPr>
            <w:r w:rsidRPr="003C02EC">
              <w:rPr>
                <w:rFonts w:eastAsia="Calibri"/>
                <w:sz w:val="20"/>
              </w:rPr>
              <w:t>Ontario Superior Court of Justice</w:t>
            </w:r>
          </w:p>
          <w:p w:rsidR="006B6A58" w:rsidRPr="003C02EC" w:rsidRDefault="006B6A58" w:rsidP="00E66729">
            <w:pPr>
              <w:jc w:val="both"/>
              <w:rPr>
                <w:rFonts w:eastAsia="Calibri"/>
                <w:sz w:val="20"/>
              </w:rPr>
            </w:pPr>
            <w:r w:rsidRPr="003C02EC">
              <w:rPr>
                <w:rFonts w:eastAsia="Calibri"/>
                <w:sz w:val="20"/>
              </w:rPr>
              <w:t>(Toscano Roccamo J.)</w:t>
            </w:r>
          </w:p>
          <w:p w:rsidR="006B6A58" w:rsidRPr="003C02EC" w:rsidRDefault="006B6A58" w:rsidP="00E66729">
            <w:pPr>
              <w:jc w:val="both"/>
              <w:rPr>
                <w:rFonts w:eastAsia="Calibri"/>
                <w:sz w:val="20"/>
              </w:rPr>
            </w:pPr>
            <w:r w:rsidRPr="003C02EC">
              <w:rPr>
                <w:rFonts w:eastAsia="Calibri"/>
                <w:sz w:val="20"/>
              </w:rPr>
              <w:t>Unreported</w:t>
            </w:r>
          </w:p>
          <w:p w:rsidR="006B6A58" w:rsidRPr="003C02EC" w:rsidRDefault="006B6A58" w:rsidP="00E66729">
            <w:pPr>
              <w:jc w:val="both"/>
              <w:rPr>
                <w:rFonts w:eastAsia="Calibri"/>
                <w:sz w:val="20"/>
              </w:rPr>
            </w:pPr>
          </w:p>
        </w:tc>
        <w:tc>
          <w:tcPr>
            <w:tcW w:w="243" w:type="pct"/>
          </w:tcPr>
          <w:p w:rsidR="006B6A58" w:rsidRPr="003C02EC" w:rsidRDefault="006B6A58" w:rsidP="00E66729">
            <w:pPr>
              <w:jc w:val="both"/>
              <w:rPr>
                <w:rFonts w:eastAsia="Calibri"/>
                <w:sz w:val="20"/>
              </w:rPr>
            </w:pPr>
          </w:p>
        </w:tc>
        <w:tc>
          <w:tcPr>
            <w:tcW w:w="2330" w:type="pct"/>
          </w:tcPr>
          <w:p w:rsidR="006B6A58" w:rsidRPr="003C02EC" w:rsidRDefault="006B6A58" w:rsidP="00E66729">
            <w:pPr>
              <w:jc w:val="both"/>
              <w:rPr>
                <w:rFonts w:eastAsia="Calibri"/>
                <w:sz w:val="20"/>
              </w:rPr>
            </w:pPr>
            <w:r w:rsidRPr="003C02EC">
              <w:rPr>
                <w:rFonts w:eastAsia="Calibri"/>
                <w:sz w:val="20"/>
              </w:rPr>
              <w:t>Order striking applicant’s notice of action without leave to amend</w:t>
            </w:r>
          </w:p>
          <w:p w:rsidR="006B6A58" w:rsidRPr="003C02EC" w:rsidRDefault="006B6A58" w:rsidP="00E66729">
            <w:pPr>
              <w:jc w:val="both"/>
              <w:rPr>
                <w:rFonts w:eastAsia="Calibri"/>
                <w:sz w:val="20"/>
              </w:rPr>
            </w:pPr>
          </w:p>
          <w:p w:rsidR="006B6A58" w:rsidRPr="003C02EC" w:rsidRDefault="006B6A58" w:rsidP="00E66729">
            <w:pPr>
              <w:jc w:val="both"/>
              <w:rPr>
                <w:rFonts w:eastAsia="Calibri"/>
                <w:sz w:val="20"/>
              </w:rPr>
            </w:pPr>
          </w:p>
        </w:tc>
      </w:tr>
      <w:tr w:rsidR="006B6A58" w:rsidRPr="003C02EC" w:rsidTr="00E66729">
        <w:tc>
          <w:tcPr>
            <w:tcW w:w="2427" w:type="pct"/>
          </w:tcPr>
          <w:p w:rsidR="006B6A58" w:rsidRPr="003C02EC" w:rsidRDefault="006B6A58" w:rsidP="00E66729">
            <w:pPr>
              <w:jc w:val="both"/>
              <w:rPr>
                <w:rFonts w:eastAsia="Calibri"/>
                <w:sz w:val="20"/>
              </w:rPr>
            </w:pPr>
            <w:r w:rsidRPr="003C02EC">
              <w:rPr>
                <w:rFonts w:eastAsia="Calibri"/>
                <w:sz w:val="20"/>
              </w:rPr>
              <w:t>June 7, 2013</w:t>
            </w:r>
          </w:p>
          <w:p w:rsidR="006B6A58" w:rsidRPr="003C02EC" w:rsidRDefault="006B6A58" w:rsidP="00E66729">
            <w:pPr>
              <w:jc w:val="both"/>
              <w:rPr>
                <w:rFonts w:eastAsia="Calibri"/>
                <w:sz w:val="20"/>
              </w:rPr>
            </w:pPr>
            <w:r w:rsidRPr="003C02EC">
              <w:rPr>
                <w:rFonts w:eastAsia="Calibri"/>
                <w:sz w:val="20"/>
              </w:rPr>
              <w:t>Court of Appeal for Ontario</w:t>
            </w:r>
          </w:p>
          <w:p w:rsidR="006B6A58" w:rsidRPr="003C02EC" w:rsidRDefault="006B6A58" w:rsidP="00E66729">
            <w:pPr>
              <w:jc w:val="both"/>
              <w:rPr>
                <w:rFonts w:eastAsia="Calibri"/>
                <w:sz w:val="20"/>
              </w:rPr>
            </w:pPr>
            <w:r w:rsidRPr="003C02EC">
              <w:rPr>
                <w:rFonts w:eastAsia="Calibri"/>
                <w:sz w:val="20"/>
              </w:rPr>
              <w:t>(Feldman, Sharpe and Strathy (</w:t>
            </w:r>
            <w:r w:rsidRPr="003C02EC">
              <w:rPr>
                <w:rFonts w:eastAsia="Calibri"/>
                <w:i/>
                <w:sz w:val="20"/>
              </w:rPr>
              <w:t>ad hoc</w:t>
            </w:r>
            <w:r w:rsidRPr="003C02EC">
              <w:rPr>
                <w:rFonts w:eastAsia="Calibri"/>
                <w:sz w:val="20"/>
              </w:rPr>
              <w:t>) JJ.A.)</w:t>
            </w:r>
          </w:p>
          <w:p w:rsidR="006B6A58" w:rsidRPr="003C02EC" w:rsidRDefault="001B62D0" w:rsidP="00E66729">
            <w:pPr>
              <w:jc w:val="both"/>
              <w:rPr>
                <w:rFonts w:eastAsia="Calibri"/>
                <w:sz w:val="20"/>
              </w:rPr>
            </w:pPr>
            <w:hyperlink r:id="rId59" w:history="1">
              <w:r w:rsidR="006B6A58" w:rsidRPr="003C02EC">
                <w:rPr>
                  <w:rFonts w:eastAsia="Calibri"/>
                  <w:color w:val="0000FF"/>
                  <w:sz w:val="20"/>
                  <w:u w:val="single"/>
                </w:rPr>
                <w:t>2013 ONCA 398</w:t>
              </w:r>
            </w:hyperlink>
          </w:p>
          <w:p w:rsidR="006B6A58" w:rsidRPr="003C02EC" w:rsidRDefault="006B6A58" w:rsidP="00E66729">
            <w:pPr>
              <w:jc w:val="both"/>
              <w:rPr>
                <w:rFonts w:eastAsia="Calibri"/>
                <w:sz w:val="20"/>
              </w:rPr>
            </w:pPr>
          </w:p>
        </w:tc>
        <w:tc>
          <w:tcPr>
            <w:tcW w:w="243" w:type="pct"/>
          </w:tcPr>
          <w:p w:rsidR="006B6A58" w:rsidRPr="003C02EC" w:rsidRDefault="006B6A58" w:rsidP="00E66729">
            <w:pPr>
              <w:jc w:val="both"/>
              <w:rPr>
                <w:rFonts w:eastAsia="Calibri"/>
                <w:sz w:val="20"/>
              </w:rPr>
            </w:pPr>
          </w:p>
        </w:tc>
        <w:tc>
          <w:tcPr>
            <w:tcW w:w="2330" w:type="pct"/>
          </w:tcPr>
          <w:p w:rsidR="006B6A58" w:rsidRPr="003C02EC" w:rsidRDefault="006B6A58" w:rsidP="00E66729">
            <w:pPr>
              <w:jc w:val="both"/>
              <w:rPr>
                <w:rFonts w:eastAsia="Calibri"/>
                <w:sz w:val="20"/>
              </w:rPr>
            </w:pPr>
            <w:r w:rsidRPr="003C02EC">
              <w:rPr>
                <w:rFonts w:eastAsia="Calibri"/>
                <w:sz w:val="20"/>
              </w:rPr>
              <w:t>Appeal dismissed</w:t>
            </w:r>
          </w:p>
          <w:p w:rsidR="006B6A58" w:rsidRPr="003C02EC" w:rsidRDefault="006B6A58" w:rsidP="00E66729">
            <w:pPr>
              <w:jc w:val="both"/>
              <w:rPr>
                <w:rFonts w:eastAsia="Calibri"/>
                <w:sz w:val="20"/>
              </w:rPr>
            </w:pPr>
          </w:p>
        </w:tc>
      </w:tr>
      <w:tr w:rsidR="006B6A58" w:rsidRPr="003C02EC" w:rsidTr="00E66729">
        <w:tc>
          <w:tcPr>
            <w:tcW w:w="2427" w:type="pct"/>
          </w:tcPr>
          <w:p w:rsidR="006B6A58" w:rsidRPr="003C02EC" w:rsidRDefault="006B6A58" w:rsidP="00E66729">
            <w:pPr>
              <w:jc w:val="both"/>
              <w:rPr>
                <w:rFonts w:eastAsia="Calibri"/>
                <w:sz w:val="20"/>
              </w:rPr>
            </w:pPr>
            <w:r w:rsidRPr="003C02EC">
              <w:rPr>
                <w:rFonts w:eastAsia="Calibri"/>
                <w:sz w:val="20"/>
              </w:rPr>
              <w:lastRenderedPageBreak/>
              <w:t>September 6, 2013</w:t>
            </w:r>
          </w:p>
          <w:p w:rsidR="006B6A58" w:rsidRPr="003C02EC" w:rsidRDefault="006B6A58" w:rsidP="00E66729">
            <w:pPr>
              <w:jc w:val="both"/>
              <w:rPr>
                <w:rFonts w:eastAsia="Calibri"/>
                <w:sz w:val="20"/>
              </w:rPr>
            </w:pPr>
            <w:r w:rsidRPr="003C02EC">
              <w:rPr>
                <w:rFonts w:eastAsia="Calibri"/>
                <w:sz w:val="20"/>
              </w:rPr>
              <w:t>Supreme Court of Canada</w:t>
            </w:r>
          </w:p>
          <w:p w:rsidR="006B6A58" w:rsidRPr="003C02EC" w:rsidRDefault="006B6A58" w:rsidP="00E66729">
            <w:pPr>
              <w:jc w:val="both"/>
              <w:rPr>
                <w:rFonts w:eastAsia="Calibri"/>
                <w:sz w:val="20"/>
              </w:rPr>
            </w:pPr>
          </w:p>
        </w:tc>
        <w:tc>
          <w:tcPr>
            <w:tcW w:w="243" w:type="pct"/>
          </w:tcPr>
          <w:p w:rsidR="006B6A58" w:rsidRPr="003C02EC" w:rsidRDefault="006B6A58" w:rsidP="00E66729">
            <w:pPr>
              <w:jc w:val="both"/>
              <w:rPr>
                <w:rFonts w:eastAsia="Calibri"/>
                <w:sz w:val="20"/>
              </w:rPr>
            </w:pPr>
          </w:p>
        </w:tc>
        <w:tc>
          <w:tcPr>
            <w:tcW w:w="2330" w:type="pct"/>
          </w:tcPr>
          <w:p w:rsidR="006B6A58" w:rsidRPr="003C02EC" w:rsidRDefault="006B6A58" w:rsidP="00E66729">
            <w:pPr>
              <w:jc w:val="both"/>
              <w:rPr>
                <w:rFonts w:eastAsia="Calibri"/>
                <w:sz w:val="20"/>
              </w:rPr>
            </w:pPr>
            <w:r w:rsidRPr="003C02EC">
              <w:rPr>
                <w:rFonts w:eastAsia="Calibri"/>
                <w:sz w:val="20"/>
              </w:rPr>
              <w:t>Application for leave to appeal filed</w:t>
            </w:r>
          </w:p>
          <w:p w:rsidR="006B6A58" w:rsidRPr="003C02EC" w:rsidRDefault="006B6A58" w:rsidP="00E66729">
            <w:pPr>
              <w:jc w:val="both"/>
              <w:rPr>
                <w:rFonts w:eastAsia="Calibri"/>
                <w:sz w:val="20"/>
              </w:rPr>
            </w:pPr>
          </w:p>
        </w:tc>
      </w:tr>
      <w:tr w:rsidR="006B6A58" w:rsidRPr="003C02EC" w:rsidTr="00E66729">
        <w:tc>
          <w:tcPr>
            <w:tcW w:w="2427" w:type="pct"/>
          </w:tcPr>
          <w:p w:rsidR="006B6A58" w:rsidRPr="003C02EC" w:rsidRDefault="006B6A58" w:rsidP="00E66729">
            <w:pPr>
              <w:jc w:val="both"/>
              <w:rPr>
                <w:rFonts w:eastAsia="Calibri"/>
                <w:sz w:val="20"/>
              </w:rPr>
            </w:pPr>
            <w:r w:rsidRPr="003C02EC">
              <w:rPr>
                <w:rFonts w:eastAsia="Calibri"/>
                <w:sz w:val="20"/>
              </w:rPr>
              <w:t>October 7, 2013</w:t>
            </w:r>
          </w:p>
          <w:p w:rsidR="006B6A58" w:rsidRPr="003C02EC" w:rsidRDefault="006B6A58" w:rsidP="00E66729">
            <w:pPr>
              <w:jc w:val="both"/>
              <w:rPr>
                <w:rFonts w:eastAsia="Calibri"/>
                <w:sz w:val="20"/>
              </w:rPr>
            </w:pPr>
            <w:r w:rsidRPr="003C02EC">
              <w:rPr>
                <w:rFonts w:eastAsia="Calibri"/>
                <w:sz w:val="20"/>
              </w:rPr>
              <w:t>Supreme Court of Canada</w:t>
            </w:r>
          </w:p>
        </w:tc>
        <w:tc>
          <w:tcPr>
            <w:tcW w:w="243" w:type="pct"/>
          </w:tcPr>
          <w:p w:rsidR="006B6A58" w:rsidRPr="003C02EC" w:rsidRDefault="006B6A58" w:rsidP="00E66729">
            <w:pPr>
              <w:jc w:val="both"/>
              <w:rPr>
                <w:rFonts w:eastAsia="Calibri"/>
                <w:sz w:val="20"/>
              </w:rPr>
            </w:pPr>
          </w:p>
        </w:tc>
        <w:tc>
          <w:tcPr>
            <w:tcW w:w="2330" w:type="pct"/>
          </w:tcPr>
          <w:p w:rsidR="006B6A58" w:rsidRPr="003C02EC" w:rsidRDefault="006B6A58" w:rsidP="00E66729">
            <w:pPr>
              <w:jc w:val="both"/>
              <w:rPr>
                <w:rFonts w:eastAsia="Calibri"/>
                <w:sz w:val="20"/>
              </w:rPr>
            </w:pPr>
            <w:r w:rsidRPr="003C02EC">
              <w:rPr>
                <w:rFonts w:eastAsia="Calibri"/>
                <w:sz w:val="20"/>
              </w:rPr>
              <w:t>Motion to extend time to serve and file amended application for leave to appeal and amended application for leave to appeal filed</w:t>
            </w:r>
          </w:p>
          <w:p w:rsidR="006B6A58" w:rsidRPr="003C02EC" w:rsidRDefault="006B6A58" w:rsidP="00E66729">
            <w:pPr>
              <w:jc w:val="both"/>
              <w:rPr>
                <w:rFonts w:eastAsia="Calibri"/>
                <w:sz w:val="20"/>
              </w:rPr>
            </w:pPr>
          </w:p>
        </w:tc>
      </w:tr>
      <w:tr w:rsidR="006B6A58" w:rsidRPr="003C02EC" w:rsidTr="00E66729">
        <w:tc>
          <w:tcPr>
            <w:tcW w:w="2427" w:type="pct"/>
          </w:tcPr>
          <w:p w:rsidR="006B6A58" w:rsidRPr="003C02EC" w:rsidRDefault="006B6A58" w:rsidP="00E66729">
            <w:pPr>
              <w:jc w:val="both"/>
              <w:rPr>
                <w:rFonts w:eastAsia="Calibri"/>
                <w:sz w:val="20"/>
              </w:rPr>
            </w:pPr>
            <w:r w:rsidRPr="003C02EC">
              <w:rPr>
                <w:rFonts w:eastAsia="Calibri"/>
                <w:sz w:val="20"/>
              </w:rPr>
              <w:t>November 13, 2013</w:t>
            </w:r>
          </w:p>
          <w:p w:rsidR="006B6A58" w:rsidRPr="003C02EC" w:rsidRDefault="006B6A58" w:rsidP="00E66729">
            <w:pPr>
              <w:jc w:val="both"/>
              <w:rPr>
                <w:rFonts w:eastAsia="Calibri"/>
                <w:sz w:val="20"/>
              </w:rPr>
            </w:pPr>
            <w:r w:rsidRPr="003C02EC">
              <w:rPr>
                <w:rFonts w:eastAsia="Calibri"/>
                <w:sz w:val="20"/>
              </w:rPr>
              <w:t>Supreme Court of Canada</w:t>
            </w:r>
          </w:p>
        </w:tc>
        <w:tc>
          <w:tcPr>
            <w:tcW w:w="243" w:type="pct"/>
          </w:tcPr>
          <w:p w:rsidR="006B6A58" w:rsidRPr="003C02EC" w:rsidRDefault="006B6A58" w:rsidP="00E66729">
            <w:pPr>
              <w:jc w:val="both"/>
              <w:rPr>
                <w:rFonts w:eastAsia="Calibri"/>
                <w:sz w:val="20"/>
              </w:rPr>
            </w:pPr>
          </w:p>
        </w:tc>
        <w:tc>
          <w:tcPr>
            <w:tcW w:w="2330" w:type="pct"/>
          </w:tcPr>
          <w:p w:rsidR="006B6A58" w:rsidRPr="003C02EC" w:rsidRDefault="006B6A58" w:rsidP="00E66729">
            <w:pPr>
              <w:jc w:val="both"/>
              <w:rPr>
                <w:rFonts w:eastAsia="Calibri"/>
                <w:sz w:val="20"/>
              </w:rPr>
            </w:pPr>
            <w:r w:rsidRPr="003C02EC">
              <w:rPr>
                <w:rFonts w:eastAsia="Calibri"/>
                <w:sz w:val="20"/>
              </w:rPr>
              <w:t>Applicant’s miscellaneous motions filed</w:t>
            </w:r>
          </w:p>
        </w:tc>
      </w:tr>
    </w:tbl>
    <w:p w:rsidR="006B6A58" w:rsidRDefault="006B6A58" w:rsidP="006B6A58">
      <w:pPr>
        <w:rPr>
          <w:sz w:val="20"/>
          <w:szCs w:val="20"/>
        </w:rPr>
      </w:pPr>
    </w:p>
    <w:p w:rsidR="006B6A58" w:rsidRPr="00C50A5C" w:rsidRDefault="001B62D0" w:rsidP="006B6A58">
      <w:pPr>
        <w:rPr>
          <w:sz w:val="20"/>
          <w:szCs w:val="20"/>
        </w:rPr>
      </w:pPr>
      <w:r>
        <w:rPr>
          <w:sz w:val="20"/>
          <w:szCs w:val="20"/>
          <w:lang w:val="fr-CA"/>
        </w:rPr>
        <w:pict>
          <v:rect id="_x0000_i1052" style="width:2in;height:1pt" o:hrpct="0" o:hralign="center" o:hrstd="t" o:hrnoshade="t" o:hr="t" fillcolor="black [3213]" stroked="f"/>
        </w:pict>
      </w:r>
    </w:p>
    <w:p w:rsidR="006B6A58" w:rsidRDefault="006B6A58" w:rsidP="006B6A58">
      <w:pPr>
        <w:rPr>
          <w:sz w:val="20"/>
          <w:szCs w:val="20"/>
        </w:rPr>
      </w:pPr>
    </w:p>
    <w:p w:rsidR="006B6A58" w:rsidRPr="001B157C" w:rsidRDefault="006B6A58" w:rsidP="006B6A58">
      <w:pPr>
        <w:rPr>
          <w:sz w:val="20"/>
          <w:szCs w:val="20"/>
          <w:u w:val="single"/>
          <w:lang w:val="fr-CA"/>
        </w:rPr>
      </w:pPr>
      <w:r w:rsidRPr="001B157C">
        <w:rPr>
          <w:sz w:val="20"/>
          <w:szCs w:val="20"/>
          <w:u w:val="single"/>
          <w:lang w:val="fr-CA"/>
        </w:rPr>
        <w:t>RÉSUMÉ DE L’AFFAIRE</w:t>
      </w:r>
    </w:p>
    <w:p w:rsidR="006B6A58" w:rsidRDefault="006B6A58" w:rsidP="006B6A5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B6A58" w:rsidRPr="00023015" w:rsidTr="00E66729">
        <w:tc>
          <w:tcPr>
            <w:tcW w:w="5000" w:type="pct"/>
            <w:gridSpan w:val="3"/>
          </w:tcPr>
          <w:p w:rsidR="006B6A58" w:rsidRPr="003C02EC" w:rsidRDefault="006B6A58" w:rsidP="00E66729">
            <w:pPr>
              <w:jc w:val="both"/>
              <w:rPr>
                <w:rFonts w:eastAsia="Calibri"/>
                <w:sz w:val="20"/>
                <w:lang w:val="fr-CA"/>
              </w:rPr>
            </w:pPr>
            <w:r w:rsidRPr="003C02EC">
              <w:rPr>
                <w:rFonts w:eastAsia="Calibri"/>
                <w:i/>
                <w:sz w:val="20"/>
                <w:lang w:val="fr-CA"/>
              </w:rPr>
              <w:t>Charte des droits</w:t>
            </w:r>
            <w:r w:rsidRPr="003C02EC">
              <w:rPr>
                <w:rFonts w:eastAsia="Calibri"/>
                <w:sz w:val="20"/>
                <w:lang w:val="fr-CA"/>
              </w:rPr>
              <w:t xml:space="preserve"> – Jugements et ordonnances – Jugement sommaire – Ordonnance radiant l’avis d’action du demandeur sans autorisation de le modifier – La Cour supérieure de justice et la Cour d’appel ont</w:t>
            </w:r>
            <w:r w:rsidRPr="003C02EC">
              <w:rPr>
                <w:rFonts w:eastAsia="Calibri"/>
                <w:sz w:val="20"/>
                <w:lang w:val="fr-CA"/>
              </w:rPr>
              <w:noBreakHyphen/>
              <w:t>elle commis des erreurs constituant des violations de la loi soulevant des questions d’importance pour le public? – Les incidents invoqués par le demandeur dans son argumentation constituent</w:t>
            </w:r>
            <w:r w:rsidRPr="003C02EC">
              <w:rPr>
                <w:rFonts w:eastAsia="Calibri"/>
                <w:sz w:val="20"/>
                <w:lang w:val="fr-CA"/>
              </w:rPr>
              <w:noBreakHyphen/>
              <w:t>ils des violations de la loi donnant ouverture à une cause d’action et soulevant des questions d’importance pour le public?</w:t>
            </w:r>
          </w:p>
        </w:tc>
      </w:tr>
      <w:tr w:rsidR="006B6A58" w:rsidRPr="00023015" w:rsidTr="00E66729">
        <w:tc>
          <w:tcPr>
            <w:tcW w:w="5000" w:type="pct"/>
            <w:gridSpan w:val="3"/>
          </w:tcPr>
          <w:p w:rsidR="006B6A58" w:rsidRPr="003C02EC" w:rsidRDefault="006B6A58" w:rsidP="00E66729">
            <w:pPr>
              <w:jc w:val="both"/>
              <w:rPr>
                <w:rFonts w:eastAsia="Calibri"/>
                <w:sz w:val="20"/>
                <w:lang w:val="fr-CA"/>
              </w:rPr>
            </w:pPr>
          </w:p>
        </w:tc>
      </w:tr>
      <w:tr w:rsidR="006B6A58" w:rsidRPr="00023015" w:rsidTr="00E66729">
        <w:tc>
          <w:tcPr>
            <w:tcW w:w="5000" w:type="pct"/>
            <w:gridSpan w:val="3"/>
          </w:tcPr>
          <w:p w:rsidR="006B6A58" w:rsidRPr="003C02EC" w:rsidRDefault="006B6A58" w:rsidP="00E66729">
            <w:pPr>
              <w:jc w:val="both"/>
              <w:rPr>
                <w:rFonts w:eastAsia="Calibri"/>
                <w:sz w:val="20"/>
                <w:lang w:val="fr-CA"/>
              </w:rPr>
            </w:pPr>
            <w:r w:rsidRPr="003C02EC">
              <w:rPr>
                <w:rFonts w:eastAsia="Calibri"/>
                <w:sz w:val="20"/>
                <w:lang w:val="fr-CA"/>
              </w:rPr>
              <w:t xml:space="preserve">Le demandeur a déposé un avis d’action visant notamment un policier, qui a obligé la Commission de services policiers d’Ottawa à devenir partie à l’action.  La Commission de services policiers d’Ottawa a demandé la radiation de l’avis d’action. </w:t>
            </w:r>
          </w:p>
          <w:p w:rsidR="006B6A58" w:rsidRPr="003C02EC" w:rsidRDefault="006B6A58" w:rsidP="00E66729">
            <w:pPr>
              <w:jc w:val="both"/>
              <w:rPr>
                <w:rFonts w:eastAsia="Calibri"/>
                <w:sz w:val="20"/>
                <w:lang w:val="fr-CA"/>
              </w:rPr>
            </w:pPr>
          </w:p>
        </w:tc>
      </w:tr>
      <w:tr w:rsidR="006B6A58" w:rsidRPr="00023015" w:rsidTr="00E66729">
        <w:tc>
          <w:tcPr>
            <w:tcW w:w="2427" w:type="pct"/>
          </w:tcPr>
          <w:p w:rsidR="006B6A58" w:rsidRPr="003C02EC" w:rsidRDefault="006B6A58" w:rsidP="00E66729">
            <w:pPr>
              <w:jc w:val="both"/>
              <w:rPr>
                <w:rFonts w:eastAsia="Calibri"/>
                <w:sz w:val="20"/>
                <w:lang w:val="fr-CA"/>
              </w:rPr>
            </w:pPr>
            <w:r w:rsidRPr="003C02EC">
              <w:rPr>
                <w:rFonts w:eastAsia="Calibri"/>
                <w:sz w:val="20"/>
                <w:lang w:val="fr-CA"/>
              </w:rPr>
              <w:t>3 janvier 2013</w:t>
            </w:r>
          </w:p>
          <w:p w:rsidR="006B6A58" w:rsidRPr="003C02EC" w:rsidRDefault="006B6A58" w:rsidP="00E66729">
            <w:pPr>
              <w:jc w:val="both"/>
              <w:rPr>
                <w:rFonts w:eastAsia="Calibri"/>
                <w:sz w:val="20"/>
                <w:lang w:val="fr-CA"/>
              </w:rPr>
            </w:pPr>
            <w:r w:rsidRPr="003C02EC">
              <w:rPr>
                <w:rFonts w:eastAsia="Calibri"/>
                <w:sz w:val="20"/>
                <w:lang w:val="fr-CA"/>
              </w:rPr>
              <w:t>Cour supérieure de justice de l’Ontario</w:t>
            </w:r>
          </w:p>
          <w:p w:rsidR="006B6A58" w:rsidRPr="003C02EC" w:rsidRDefault="006B6A58" w:rsidP="00E66729">
            <w:pPr>
              <w:jc w:val="both"/>
              <w:rPr>
                <w:rFonts w:eastAsia="Calibri"/>
                <w:sz w:val="20"/>
                <w:lang w:val="fr-CA"/>
              </w:rPr>
            </w:pPr>
            <w:r w:rsidRPr="003C02EC">
              <w:rPr>
                <w:rFonts w:eastAsia="Calibri"/>
                <w:sz w:val="20"/>
                <w:lang w:val="fr-CA"/>
              </w:rPr>
              <w:t>(Juge Toscano Roccamo)</w:t>
            </w:r>
          </w:p>
          <w:p w:rsidR="006B6A58" w:rsidRPr="003C02EC" w:rsidRDefault="006B6A58" w:rsidP="00E66729">
            <w:pPr>
              <w:jc w:val="both"/>
              <w:rPr>
                <w:rFonts w:eastAsia="Calibri"/>
                <w:sz w:val="20"/>
                <w:lang w:val="fr-CA"/>
              </w:rPr>
            </w:pPr>
            <w:r w:rsidRPr="003C02EC">
              <w:rPr>
                <w:rFonts w:eastAsia="Calibri"/>
                <w:sz w:val="20"/>
                <w:lang w:val="fr-CA"/>
              </w:rPr>
              <w:t>Non publié</w:t>
            </w:r>
          </w:p>
          <w:p w:rsidR="006B6A58" w:rsidRPr="003C02EC" w:rsidRDefault="006B6A58" w:rsidP="00E66729">
            <w:pPr>
              <w:jc w:val="both"/>
              <w:rPr>
                <w:rFonts w:eastAsia="Calibri"/>
                <w:sz w:val="20"/>
                <w:lang w:val="fr-CA"/>
              </w:rPr>
            </w:pPr>
          </w:p>
        </w:tc>
        <w:tc>
          <w:tcPr>
            <w:tcW w:w="243" w:type="pct"/>
          </w:tcPr>
          <w:p w:rsidR="006B6A58" w:rsidRPr="003C02EC" w:rsidRDefault="006B6A58" w:rsidP="00E66729">
            <w:pPr>
              <w:jc w:val="both"/>
              <w:rPr>
                <w:rFonts w:eastAsia="Calibri"/>
                <w:sz w:val="20"/>
                <w:lang w:val="fr-CA"/>
              </w:rPr>
            </w:pPr>
          </w:p>
        </w:tc>
        <w:tc>
          <w:tcPr>
            <w:tcW w:w="2330" w:type="pct"/>
          </w:tcPr>
          <w:p w:rsidR="006B6A58" w:rsidRPr="003C02EC" w:rsidRDefault="006B6A58" w:rsidP="00E66729">
            <w:pPr>
              <w:jc w:val="both"/>
              <w:rPr>
                <w:rFonts w:eastAsia="Calibri"/>
                <w:sz w:val="20"/>
                <w:lang w:val="fr-CA"/>
              </w:rPr>
            </w:pPr>
            <w:r w:rsidRPr="003C02EC">
              <w:rPr>
                <w:rFonts w:eastAsia="Calibri"/>
                <w:sz w:val="20"/>
                <w:lang w:val="fr-CA"/>
              </w:rPr>
              <w:t>Ordonnance radiant l’avis d’action du demandeur sans autorisation de le modifier</w:t>
            </w:r>
          </w:p>
          <w:p w:rsidR="006B6A58" w:rsidRPr="003C02EC" w:rsidRDefault="006B6A58" w:rsidP="00E66729">
            <w:pPr>
              <w:jc w:val="both"/>
              <w:rPr>
                <w:rFonts w:eastAsia="Calibri"/>
                <w:sz w:val="20"/>
                <w:lang w:val="fr-CA"/>
              </w:rPr>
            </w:pPr>
          </w:p>
          <w:p w:rsidR="006B6A58" w:rsidRPr="003C02EC" w:rsidRDefault="006B6A58" w:rsidP="00E66729">
            <w:pPr>
              <w:jc w:val="both"/>
              <w:rPr>
                <w:rFonts w:eastAsia="Calibri"/>
                <w:sz w:val="20"/>
                <w:lang w:val="fr-CA"/>
              </w:rPr>
            </w:pPr>
          </w:p>
        </w:tc>
      </w:tr>
      <w:tr w:rsidR="006B6A58" w:rsidRPr="003C02EC" w:rsidTr="00E66729">
        <w:tc>
          <w:tcPr>
            <w:tcW w:w="2427" w:type="pct"/>
          </w:tcPr>
          <w:p w:rsidR="006B6A58" w:rsidRPr="003C02EC" w:rsidRDefault="006B6A58" w:rsidP="00E66729">
            <w:pPr>
              <w:jc w:val="both"/>
              <w:rPr>
                <w:rFonts w:eastAsia="Calibri"/>
                <w:sz w:val="20"/>
                <w:lang w:val="fr-CA"/>
              </w:rPr>
            </w:pPr>
            <w:r w:rsidRPr="003C02EC">
              <w:rPr>
                <w:rFonts w:eastAsia="Calibri"/>
                <w:sz w:val="20"/>
                <w:lang w:val="fr-CA"/>
              </w:rPr>
              <w:t>7 juin 2013</w:t>
            </w:r>
          </w:p>
          <w:p w:rsidR="006B6A58" w:rsidRPr="003C02EC" w:rsidRDefault="006B6A58" w:rsidP="00E66729">
            <w:pPr>
              <w:jc w:val="both"/>
              <w:rPr>
                <w:rFonts w:eastAsia="Calibri"/>
                <w:sz w:val="20"/>
                <w:lang w:val="fr-CA"/>
              </w:rPr>
            </w:pPr>
            <w:r w:rsidRPr="003C02EC">
              <w:rPr>
                <w:rFonts w:eastAsia="Calibri"/>
                <w:sz w:val="20"/>
                <w:lang w:val="fr-CA"/>
              </w:rPr>
              <w:t>Cour d’appel de l’Ontario</w:t>
            </w:r>
          </w:p>
          <w:p w:rsidR="006B6A58" w:rsidRPr="003C02EC" w:rsidRDefault="006B6A58" w:rsidP="00E66729">
            <w:pPr>
              <w:jc w:val="both"/>
              <w:rPr>
                <w:rFonts w:eastAsia="Calibri"/>
                <w:sz w:val="20"/>
                <w:lang w:val="fr-CA"/>
              </w:rPr>
            </w:pPr>
            <w:r w:rsidRPr="003C02EC">
              <w:rPr>
                <w:rFonts w:eastAsia="Calibri"/>
                <w:sz w:val="20"/>
                <w:lang w:val="fr-CA"/>
              </w:rPr>
              <w:t>(Juges Feldman, Sharpe et Strathy (</w:t>
            </w:r>
            <w:r w:rsidRPr="003C02EC">
              <w:rPr>
                <w:rFonts w:eastAsia="Calibri"/>
                <w:i/>
                <w:sz w:val="20"/>
                <w:lang w:val="fr-CA"/>
              </w:rPr>
              <w:t>ad hoc</w:t>
            </w:r>
            <w:r w:rsidRPr="003C02EC">
              <w:rPr>
                <w:rFonts w:eastAsia="Calibri"/>
                <w:sz w:val="20"/>
                <w:lang w:val="fr-CA"/>
              </w:rPr>
              <w:t>))</w:t>
            </w:r>
          </w:p>
          <w:p w:rsidR="006B6A58" w:rsidRPr="003C02EC" w:rsidRDefault="001B62D0" w:rsidP="00E66729">
            <w:pPr>
              <w:jc w:val="both"/>
              <w:rPr>
                <w:rFonts w:eastAsia="Calibri"/>
                <w:sz w:val="20"/>
                <w:lang w:val="fr-CA"/>
              </w:rPr>
            </w:pPr>
            <w:hyperlink r:id="rId60" w:history="1">
              <w:r w:rsidR="006B6A58" w:rsidRPr="003C02EC">
                <w:rPr>
                  <w:rFonts w:eastAsia="Calibri"/>
                  <w:color w:val="0000FF"/>
                  <w:sz w:val="20"/>
                  <w:u w:val="single"/>
                  <w:lang w:val="fr-CA"/>
                </w:rPr>
                <w:t>2013 ONCA 398</w:t>
              </w:r>
            </w:hyperlink>
          </w:p>
          <w:p w:rsidR="006B6A58" w:rsidRPr="003C02EC" w:rsidRDefault="006B6A58" w:rsidP="00E66729">
            <w:pPr>
              <w:jc w:val="both"/>
              <w:rPr>
                <w:rFonts w:eastAsia="Calibri"/>
                <w:sz w:val="20"/>
                <w:lang w:val="fr-CA"/>
              </w:rPr>
            </w:pPr>
          </w:p>
        </w:tc>
        <w:tc>
          <w:tcPr>
            <w:tcW w:w="243" w:type="pct"/>
          </w:tcPr>
          <w:p w:rsidR="006B6A58" w:rsidRPr="003C02EC" w:rsidRDefault="006B6A58" w:rsidP="00E66729">
            <w:pPr>
              <w:jc w:val="both"/>
              <w:rPr>
                <w:rFonts w:eastAsia="Calibri"/>
                <w:sz w:val="20"/>
                <w:lang w:val="fr-CA"/>
              </w:rPr>
            </w:pPr>
          </w:p>
        </w:tc>
        <w:tc>
          <w:tcPr>
            <w:tcW w:w="2330" w:type="pct"/>
          </w:tcPr>
          <w:p w:rsidR="006B6A58" w:rsidRPr="003C02EC" w:rsidRDefault="006B6A58" w:rsidP="00E66729">
            <w:pPr>
              <w:jc w:val="both"/>
              <w:rPr>
                <w:rFonts w:eastAsia="Calibri"/>
                <w:sz w:val="20"/>
                <w:lang w:val="fr-CA"/>
              </w:rPr>
            </w:pPr>
            <w:r w:rsidRPr="003C02EC">
              <w:rPr>
                <w:rFonts w:eastAsia="Calibri"/>
                <w:sz w:val="20"/>
                <w:lang w:val="fr-CA"/>
              </w:rPr>
              <w:t>Appel rejeté</w:t>
            </w:r>
          </w:p>
          <w:p w:rsidR="006B6A58" w:rsidRPr="003C02EC" w:rsidRDefault="006B6A58" w:rsidP="00E66729">
            <w:pPr>
              <w:jc w:val="both"/>
              <w:rPr>
                <w:rFonts w:eastAsia="Calibri"/>
                <w:sz w:val="20"/>
                <w:lang w:val="fr-CA"/>
              </w:rPr>
            </w:pPr>
          </w:p>
        </w:tc>
      </w:tr>
      <w:tr w:rsidR="006B6A58" w:rsidRPr="003C02EC" w:rsidTr="00E66729">
        <w:tc>
          <w:tcPr>
            <w:tcW w:w="2427" w:type="pct"/>
          </w:tcPr>
          <w:p w:rsidR="006B6A58" w:rsidRPr="003C02EC" w:rsidRDefault="006B6A58" w:rsidP="00E66729">
            <w:pPr>
              <w:jc w:val="both"/>
              <w:rPr>
                <w:rFonts w:eastAsia="Calibri"/>
                <w:sz w:val="20"/>
                <w:lang w:val="fr-CA"/>
              </w:rPr>
            </w:pPr>
            <w:r w:rsidRPr="003C02EC">
              <w:rPr>
                <w:rFonts w:eastAsia="Calibri"/>
                <w:sz w:val="20"/>
                <w:lang w:val="fr-CA"/>
              </w:rPr>
              <w:t>6 septembre 2013</w:t>
            </w:r>
          </w:p>
          <w:p w:rsidR="006B6A58" w:rsidRPr="003C02EC" w:rsidRDefault="006B6A58" w:rsidP="00E66729">
            <w:pPr>
              <w:jc w:val="both"/>
              <w:rPr>
                <w:rFonts w:eastAsia="Calibri"/>
                <w:sz w:val="20"/>
                <w:lang w:val="fr-CA"/>
              </w:rPr>
            </w:pPr>
            <w:r w:rsidRPr="003C02EC">
              <w:rPr>
                <w:rFonts w:eastAsia="Calibri"/>
                <w:sz w:val="20"/>
                <w:lang w:val="fr-CA"/>
              </w:rPr>
              <w:t>Cour suprême du Canada</w:t>
            </w:r>
          </w:p>
          <w:p w:rsidR="006B6A58" w:rsidRPr="003C02EC" w:rsidRDefault="006B6A58" w:rsidP="00E66729">
            <w:pPr>
              <w:jc w:val="both"/>
              <w:rPr>
                <w:rFonts w:eastAsia="Calibri"/>
                <w:sz w:val="20"/>
                <w:lang w:val="fr-CA"/>
              </w:rPr>
            </w:pPr>
          </w:p>
        </w:tc>
        <w:tc>
          <w:tcPr>
            <w:tcW w:w="243" w:type="pct"/>
          </w:tcPr>
          <w:p w:rsidR="006B6A58" w:rsidRPr="003C02EC" w:rsidRDefault="006B6A58" w:rsidP="00E66729">
            <w:pPr>
              <w:jc w:val="both"/>
              <w:rPr>
                <w:rFonts w:eastAsia="Calibri"/>
                <w:sz w:val="20"/>
                <w:lang w:val="fr-CA"/>
              </w:rPr>
            </w:pPr>
          </w:p>
        </w:tc>
        <w:tc>
          <w:tcPr>
            <w:tcW w:w="2330" w:type="pct"/>
          </w:tcPr>
          <w:p w:rsidR="006B6A58" w:rsidRPr="003C02EC" w:rsidRDefault="006B6A58" w:rsidP="00E66729">
            <w:pPr>
              <w:jc w:val="both"/>
              <w:rPr>
                <w:rFonts w:eastAsia="Calibri"/>
                <w:sz w:val="20"/>
                <w:lang w:val="fr-CA"/>
              </w:rPr>
            </w:pPr>
            <w:r w:rsidRPr="003C02EC">
              <w:rPr>
                <w:rFonts w:eastAsia="Calibri"/>
                <w:sz w:val="20"/>
                <w:lang w:val="fr-CA"/>
              </w:rPr>
              <w:t>Demande d’autorisation d’appel déposée</w:t>
            </w:r>
          </w:p>
          <w:p w:rsidR="006B6A58" w:rsidRPr="003C02EC" w:rsidRDefault="006B6A58" w:rsidP="00E66729">
            <w:pPr>
              <w:jc w:val="both"/>
              <w:rPr>
                <w:rFonts w:eastAsia="Calibri"/>
                <w:sz w:val="20"/>
                <w:lang w:val="fr-CA"/>
              </w:rPr>
            </w:pPr>
          </w:p>
        </w:tc>
      </w:tr>
      <w:tr w:rsidR="006B6A58" w:rsidRPr="00023015" w:rsidTr="00E66729">
        <w:tc>
          <w:tcPr>
            <w:tcW w:w="2427" w:type="pct"/>
          </w:tcPr>
          <w:p w:rsidR="006B6A58" w:rsidRPr="003C02EC" w:rsidRDefault="006B6A58" w:rsidP="00E66729">
            <w:pPr>
              <w:jc w:val="both"/>
              <w:rPr>
                <w:rFonts w:eastAsia="Calibri"/>
                <w:sz w:val="20"/>
                <w:lang w:val="fr-CA"/>
              </w:rPr>
            </w:pPr>
            <w:r w:rsidRPr="003C02EC">
              <w:rPr>
                <w:rFonts w:eastAsia="Calibri"/>
                <w:sz w:val="20"/>
                <w:lang w:val="fr-CA"/>
              </w:rPr>
              <w:t>7 octobre 2013</w:t>
            </w:r>
          </w:p>
          <w:p w:rsidR="006B6A58" w:rsidRPr="003C02EC" w:rsidRDefault="006B6A58" w:rsidP="00E66729">
            <w:pPr>
              <w:jc w:val="both"/>
              <w:rPr>
                <w:rFonts w:eastAsia="Calibri"/>
                <w:sz w:val="20"/>
                <w:lang w:val="fr-CA"/>
              </w:rPr>
            </w:pPr>
            <w:r w:rsidRPr="003C02EC">
              <w:rPr>
                <w:rFonts w:eastAsia="Calibri"/>
                <w:sz w:val="20"/>
                <w:lang w:val="fr-CA"/>
              </w:rPr>
              <w:t>Cour suprême du Canada</w:t>
            </w:r>
          </w:p>
        </w:tc>
        <w:tc>
          <w:tcPr>
            <w:tcW w:w="243" w:type="pct"/>
          </w:tcPr>
          <w:p w:rsidR="006B6A58" w:rsidRPr="003C02EC" w:rsidRDefault="006B6A58" w:rsidP="00E66729">
            <w:pPr>
              <w:jc w:val="both"/>
              <w:rPr>
                <w:rFonts w:eastAsia="Calibri"/>
                <w:sz w:val="20"/>
                <w:lang w:val="fr-CA"/>
              </w:rPr>
            </w:pPr>
          </w:p>
        </w:tc>
        <w:tc>
          <w:tcPr>
            <w:tcW w:w="2330" w:type="pct"/>
          </w:tcPr>
          <w:p w:rsidR="006B6A58" w:rsidRPr="003C02EC" w:rsidRDefault="006B6A58" w:rsidP="00E66729">
            <w:pPr>
              <w:jc w:val="both"/>
              <w:rPr>
                <w:rFonts w:eastAsia="Calibri"/>
                <w:sz w:val="20"/>
                <w:lang w:val="fr-CA"/>
              </w:rPr>
            </w:pPr>
            <w:r w:rsidRPr="003C02EC">
              <w:rPr>
                <w:rFonts w:eastAsia="Calibri"/>
                <w:sz w:val="20"/>
                <w:lang w:val="fr-CA"/>
              </w:rPr>
              <w:t>Requête en prorogation du délai de signification et de dépôt d’une demande modifiée d’autorisation d’appel et demande modifiée d’autorisation d’appel, déposées</w:t>
            </w:r>
          </w:p>
          <w:p w:rsidR="006B6A58" w:rsidRPr="003C02EC" w:rsidRDefault="006B6A58" w:rsidP="00E66729">
            <w:pPr>
              <w:jc w:val="both"/>
              <w:rPr>
                <w:rFonts w:eastAsia="Calibri"/>
                <w:sz w:val="20"/>
                <w:lang w:val="fr-CA"/>
              </w:rPr>
            </w:pPr>
          </w:p>
        </w:tc>
      </w:tr>
      <w:tr w:rsidR="006B6A58" w:rsidRPr="00023015" w:rsidTr="00E66729">
        <w:tc>
          <w:tcPr>
            <w:tcW w:w="2427" w:type="pct"/>
          </w:tcPr>
          <w:p w:rsidR="006B6A58" w:rsidRPr="003C02EC" w:rsidRDefault="006B6A58" w:rsidP="00E66729">
            <w:pPr>
              <w:jc w:val="both"/>
              <w:rPr>
                <w:rFonts w:eastAsia="Calibri"/>
                <w:sz w:val="20"/>
                <w:lang w:val="fr-CA"/>
              </w:rPr>
            </w:pPr>
            <w:r w:rsidRPr="003C02EC">
              <w:rPr>
                <w:rFonts w:eastAsia="Calibri"/>
                <w:sz w:val="20"/>
                <w:lang w:val="fr-CA"/>
              </w:rPr>
              <w:lastRenderedPageBreak/>
              <w:t>13 novembre 2013</w:t>
            </w:r>
          </w:p>
          <w:p w:rsidR="006B6A58" w:rsidRPr="003C02EC" w:rsidRDefault="006B6A58" w:rsidP="00E66729">
            <w:pPr>
              <w:jc w:val="both"/>
              <w:rPr>
                <w:rFonts w:eastAsia="Calibri"/>
                <w:sz w:val="20"/>
                <w:lang w:val="fr-CA"/>
              </w:rPr>
            </w:pPr>
            <w:r w:rsidRPr="003C02EC">
              <w:rPr>
                <w:rFonts w:eastAsia="Calibri"/>
                <w:sz w:val="20"/>
                <w:lang w:val="fr-CA"/>
              </w:rPr>
              <w:t>Cour suprême du Canada</w:t>
            </w:r>
          </w:p>
        </w:tc>
        <w:tc>
          <w:tcPr>
            <w:tcW w:w="243" w:type="pct"/>
          </w:tcPr>
          <w:p w:rsidR="006B6A58" w:rsidRPr="003C02EC" w:rsidRDefault="006B6A58" w:rsidP="00E66729">
            <w:pPr>
              <w:jc w:val="both"/>
              <w:rPr>
                <w:rFonts w:eastAsia="Calibri"/>
                <w:sz w:val="20"/>
                <w:lang w:val="fr-CA"/>
              </w:rPr>
            </w:pPr>
          </w:p>
        </w:tc>
        <w:tc>
          <w:tcPr>
            <w:tcW w:w="2330" w:type="pct"/>
          </w:tcPr>
          <w:p w:rsidR="006B6A58" w:rsidRPr="003C02EC" w:rsidRDefault="006B6A58" w:rsidP="00E66729">
            <w:pPr>
              <w:jc w:val="both"/>
              <w:rPr>
                <w:rFonts w:eastAsia="Calibri"/>
                <w:sz w:val="20"/>
                <w:lang w:val="fr-CA"/>
              </w:rPr>
            </w:pPr>
            <w:r w:rsidRPr="003C02EC">
              <w:rPr>
                <w:rFonts w:eastAsia="Calibri"/>
                <w:sz w:val="20"/>
                <w:lang w:val="fr-CA"/>
              </w:rPr>
              <w:t>Requêtes diverses du demandeur déposées</w:t>
            </w:r>
          </w:p>
        </w:tc>
      </w:tr>
    </w:tbl>
    <w:p w:rsidR="006B6A58" w:rsidRPr="00E75BCB" w:rsidRDefault="006B6A58" w:rsidP="006B6A58">
      <w:pPr>
        <w:rPr>
          <w:sz w:val="20"/>
          <w:szCs w:val="20"/>
          <w:lang w:val="fr-CA"/>
        </w:rPr>
      </w:pPr>
    </w:p>
    <w:p w:rsidR="006B6A58" w:rsidRDefault="001B62D0" w:rsidP="006B6A58">
      <w:pPr>
        <w:rPr>
          <w:sz w:val="20"/>
          <w:szCs w:val="20"/>
        </w:rPr>
      </w:pPr>
      <w:r>
        <w:rPr>
          <w:sz w:val="20"/>
          <w:szCs w:val="20"/>
          <w:lang w:val="fr-CA"/>
        </w:rPr>
        <w:pict>
          <v:rect id="_x0000_i1053" style="width:2in;height:1pt" o:hrpct="0" o:hralign="center" o:hrstd="t" o:hrnoshade="t" o:hr="t" fillcolor="black [3213]" stroked="f"/>
        </w:pict>
      </w:r>
    </w:p>
    <w:p w:rsidR="006B6A58" w:rsidRDefault="006B6A58" w:rsidP="006B6A5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6A58" w:rsidRPr="00421D33" w:rsidTr="00E66729">
        <w:trPr>
          <w:cantSplit/>
        </w:trPr>
        <w:tc>
          <w:tcPr>
            <w:tcW w:w="1458" w:type="dxa"/>
          </w:tcPr>
          <w:p w:rsidR="006B6A58" w:rsidRPr="00421D33" w:rsidRDefault="006B6A58" w:rsidP="00E66729">
            <w:pPr>
              <w:rPr>
                <w:sz w:val="20"/>
                <w:szCs w:val="20"/>
              </w:rPr>
            </w:pPr>
            <w:r w:rsidRPr="00421D33">
              <w:rPr>
                <w:rStyle w:val="SCCFileNumberChar"/>
                <w:sz w:val="20"/>
                <w:szCs w:val="20"/>
              </w:rPr>
              <w:t>35591</w:t>
            </w:r>
          </w:p>
          <w:p w:rsidR="006B6A58" w:rsidRPr="00421D33" w:rsidRDefault="006B6A58" w:rsidP="00E66729">
            <w:pPr>
              <w:rPr>
                <w:b/>
                <w:sz w:val="20"/>
                <w:szCs w:val="20"/>
                <w:lang w:val="fr-CA"/>
              </w:rPr>
            </w:pPr>
          </w:p>
        </w:tc>
        <w:tc>
          <w:tcPr>
            <w:tcW w:w="8118" w:type="dxa"/>
          </w:tcPr>
          <w:p w:rsidR="006B6A58" w:rsidRPr="00421D33" w:rsidRDefault="006B6A58" w:rsidP="00E66729">
            <w:pPr>
              <w:jc w:val="both"/>
              <w:rPr>
                <w:sz w:val="20"/>
                <w:szCs w:val="20"/>
              </w:rPr>
            </w:pPr>
            <w:r w:rsidRPr="00421D33">
              <w:rPr>
                <w:rStyle w:val="SCCLsocChar"/>
                <w:sz w:val="20"/>
                <w:szCs w:val="20"/>
                <w:lang w:val="en-CA"/>
              </w:rPr>
              <w:t>Lee Carter, Hollis Johnson, William Shoichet, British Columbia Civil Liberties Association and Gloria Taylor v. Attorney General of Canada AND BETWEEN Lee Carter, Hollis Johnson, William Shoichet, British Columbia Civil Liberties Association and Gloria Taylor v. Attorney General of Canada</w:t>
            </w:r>
            <w:r w:rsidR="000F20CE">
              <w:rPr>
                <w:rStyle w:val="SCCLsocChar"/>
                <w:sz w:val="20"/>
                <w:szCs w:val="20"/>
                <w:lang w:val="en-CA"/>
              </w:rPr>
              <w:t xml:space="preserve"> and</w:t>
            </w:r>
            <w:r w:rsidRPr="00421D33">
              <w:rPr>
                <w:rStyle w:val="SCCLsocChar"/>
                <w:sz w:val="20"/>
                <w:szCs w:val="20"/>
                <w:lang w:val="en-CA"/>
              </w:rPr>
              <w:t xml:space="preserve"> Attorney General of British Columbia</w:t>
            </w:r>
            <w:r w:rsidRPr="00421D33">
              <w:rPr>
                <w:sz w:val="20"/>
                <w:szCs w:val="20"/>
              </w:rPr>
              <w:t xml:space="preserve"> (B.C.) (Civil) (By</w:t>
            </w:r>
            <w:r w:rsidR="000F20CE">
              <w:rPr>
                <w:sz w:val="20"/>
                <w:szCs w:val="20"/>
              </w:rPr>
              <w:t> </w:t>
            </w:r>
            <w:r w:rsidRPr="00421D33">
              <w:rPr>
                <w:sz w:val="20"/>
                <w:szCs w:val="20"/>
              </w:rPr>
              <w:t>Leave)</w:t>
            </w:r>
          </w:p>
          <w:p w:rsidR="006B6A58" w:rsidRPr="00421D33" w:rsidRDefault="006B6A58" w:rsidP="00E66729">
            <w:pPr>
              <w:jc w:val="both"/>
              <w:rPr>
                <w:sz w:val="20"/>
                <w:szCs w:val="20"/>
              </w:rPr>
            </w:pPr>
          </w:p>
        </w:tc>
      </w:tr>
      <w:tr w:rsidR="006B6A58" w:rsidRPr="00421D33" w:rsidTr="00E66729">
        <w:trPr>
          <w:cantSplit/>
        </w:trPr>
        <w:tc>
          <w:tcPr>
            <w:tcW w:w="1458" w:type="dxa"/>
          </w:tcPr>
          <w:p w:rsidR="006B6A58" w:rsidRPr="00421D33" w:rsidRDefault="006B6A58" w:rsidP="00E66729">
            <w:pPr>
              <w:rPr>
                <w:sz w:val="20"/>
                <w:szCs w:val="20"/>
              </w:rPr>
            </w:pPr>
            <w:r w:rsidRPr="00421D33">
              <w:rPr>
                <w:sz w:val="20"/>
                <w:szCs w:val="20"/>
              </w:rPr>
              <w:t>Coram :</w:t>
            </w:r>
          </w:p>
        </w:tc>
        <w:tc>
          <w:tcPr>
            <w:tcW w:w="8118" w:type="dxa"/>
          </w:tcPr>
          <w:p w:rsidR="006B6A58" w:rsidRPr="00421D33" w:rsidRDefault="006B6A58" w:rsidP="00E66729">
            <w:pPr>
              <w:rPr>
                <w:sz w:val="20"/>
                <w:szCs w:val="20"/>
              </w:rPr>
            </w:pPr>
            <w:r w:rsidRPr="00421D33">
              <w:rPr>
                <w:rStyle w:val="SCCCoramChar"/>
                <w:sz w:val="20"/>
                <w:szCs w:val="20"/>
                <w:lang w:val="en-CA"/>
              </w:rPr>
              <w:t>Abella, Rothstein and Moldaver JJ.</w:t>
            </w:r>
          </w:p>
          <w:p w:rsidR="006B6A58" w:rsidRPr="00421D33" w:rsidRDefault="006B6A58" w:rsidP="00E66729">
            <w:pPr>
              <w:rPr>
                <w:sz w:val="20"/>
                <w:szCs w:val="20"/>
                <w:u w:val="single"/>
              </w:rPr>
            </w:pPr>
          </w:p>
        </w:tc>
      </w:tr>
      <w:tr w:rsidR="006B6A58" w:rsidRPr="00023015" w:rsidTr="00E66729">
        <w:trPr>
          <w:cantSplit/>
        </w:trPr>
        <w:tc>
          <w:tcPr>
            <w:tcW w:w="9576" w:type="dxa"/>
            <w:gridSpan w:val="2"/>
          </w:tcPr>
          <w:p w:rsidR="006B6A58" w:rsidRPr="00421D33" w:rsidRDefault="006B6A58" w:rsidP="00E66729">
            <w:pPr>
              <w:pStyle w:val="SCCShortJudgment"/>
              <w:rPr>
                <w:szCs w:val="20"/>
                <w:lang w:val="fr-CA"/>
              </w:rPr>
            </w:pPr>
            <w:r w:rsidRPr="00421D33">
              <w:rPr>
                <w:szCs w:val="20"/>
              </w:rPr>
              <w:t xml:space="preserve">The joint motions for leave to intervene of the Council of Canadians with Disabilities and the Canadian Association for Community Living as well as the Euthanasia Prevention Coalition and Euthanasia Prevention Coalition – British Columbia are dismissed, without prejudice to their respective right to apply for leave to intervene in the appeal.  The application for leave to appeal from the judgment of the Court of Appeal for British Columbia (Vancouver), Numbers CA040079 and CA040454, 2013 BCCA 435, dated October 10, 2013, is granted with costs to be determined at the appeal. </w:t>
            </w:r>
            <w:r w:rsidRPr="00421D33">
              <w:rPr>
                <w:szCs w:val="20"/>
                <w:lang w:val="fr-CA"/>
              </w:rPr>
              <w:t>The applicants’ motion to expedite the appeal is dismissed.</w:t>
            </w:r>
          </w:p>
          <w:p w:rsidR="006B6A58" w:rsidRPr="00421D33" w:rsidRDefault="006B6A58" w:rsidP="00E66729">
            <w:pPr>
              <w:pStyle w:val="SCCShortJudgment"/>
              <w:ind w:firstLine="0"/>
              <w:rPr>
                <w:szCs w:val="20"/>
                <w:lang w:val="fr-CA"/>
              </w:rPr>
            </w:pPr>
          </w:p>
          <w:p w:rsidR="006B6A58" w:rsidRPr="00421D33" w:rsidRDefault="006B6A58" w:rsidP="00E66729">
            <w:pPr>
              <w:pStyle w:val="SCCShortJudgment"/>
              <w:rPr>
                <w:szCs w:val="20"/>
                <w:lang w:val="fr-CA"/>
              </w:rPr>
            </w:pPr>
            <w:r w:rsidRPr="00421D33">
              <w:rPr>
                <w:szCs w:val="20"/>
                <w:lang w:val="fr-CA"/>
              </w:rPr>
              <w:t>Les requêtes conjointes pour permission d’intervenir du Conseil des Canadiens avec déficiences et de l’Association canadienne pour l’intégration communautaire ainsi que de l’Euthanasia Prevention Coalition et de l’Euthanasia Prevention Coalition British Columbia –  sont rejetées, sous réserve de leur droit respectif de demander l’autorisation d’intervenir dans l’appel. La demande d’autorisation d’appel de l’arrêt de la Cour d’appel de la Colombie-Britannique (Vancouver), numéros CA040079 et CA040454, 2013 BCCA 435, daté du 10 octobre 2013, est accueillie et il est ordonné que les dépens seront adjugés lors de l’appel. La requête des demandeurs visant à accélérer la procédure d’appel est rejetée.</w:t>
            </w:r>
          </w:p>
        </w:tc>
      </w:tr>
    </w:tbl>
    <w:p w:rsidR="00370E33" w:rsidRPr="006B6A58" w:rsidRDefault="00370E33" w:rsidP="00370E33">
      <w:pPr>
        <w:rPr>
          <w:sz w:val="20"/>
          <w:szCs w:val="20"/>
          <w:lang w:val="fr-CA"/>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36" w:type="pct"/>
        <w:tblLayout w:type="fixed"/>
        <w:tblCellMar>
          <w:left w:w="0" w:type="dxa"/>
          <w:bottom w:w="99" w:type="dxa"/>
          <w:right w:w="0" w:type="dxa"/>
        </w:tblCellMar>
        <w:tblLook w:val="04A0" w:firstRow="1" w:lastRow="0" w:firstColumn="1" w:lastColumn="0" w:noHBand="0" w:noVBand="1"/>
      </w:tblPr>
      <w:tblGrid>
        <w:gridCol w:w="4441"/>
        <w:gridCol w:w="615"/>
        <w:gridCol w:w="4440"/>
      </w:tblGrid>
      <w:tr w:rsidR="00E75BCB" w:rsidRPr="003C02EC" w:rsidTr="00C5574B">
        <w:tc>
          <w:tcPr>
            <w:tcW w:w="5000" w:type="pct"/>
            <w:gridSpan w:val="3"/>
          </w:tcPr>
          <w:p w:rsidR="00E75BCB" w:rsidRPr="003C02EC" w:rsidRDefault="00E75BCB" w:rsidP="00C5574B">
            <w:pPr>
              <w:jc w:val="both"/>
              <w:rPr>
                <w:rFonts w:eastAsia="Calibri"/>
                <w:sz w:val="20"/>
              </w:rPr>
            </w:pPr>
            <w:r w:rsidRPr="003C02EC">
              <w:rPr>
                <w:rFonts w:eastAsia="Calibri"/>
                <w:i/>
                <w:sz w:val="20"/>
              </w:rPr>
              <w:t>Charter of Rights</w:t>
            </w:r>
            <w:r w:rsidRPr="003C02EC">
              <w:rPr>
                <w:rFonts w:eastAsia="Calibri"/>
                <w:sz w:val="20"/>
              </w:rPr>
              <w:t xml:space="preserve"> </w:t>
            </w:r>
            <w:r w:rsidRPr="003C02EC">
              <w:rPr>
                <w:rFonts w:eastAsia="MS Mincho"/>
                <w:sz w:val="20"/>
              </w:rPr>
              <w:t xml:space="preserve">─ </w:t>
            </w:r>
            <w:r w:rsidRPr="003C02EC">
              <w:rPr>
                <w:rFonts w:eastAsia="Calibri"/>
                <w:sz w:val="20"/>
              </w:rPr>
              <w:t xml:space="preserve">Right to life </w:t>
            </w:r>
            <w:r w:rsidRPr="003C02EC">
              <w:rPr>
                <w:rFonts w:eastAsia="MS Mincho"/>
                <w:sz w:val="20"/>
              </w:rPr>
              <w:t xml:space="preserve">─ </w:t>
            </w:r>
            <w:r w:rsidRPr="003C02EC">
              <w:rPr>
                <w:rFonts w:eastAsia="Calibri"/>
                <w:sz w:val="20"/>
              </w:rPr>
              <w:t xml:space="preserve">Equality </w:t>
            </w:r>
            <w:r w:rsidRPr="003C02EC">
              <w:rPr>
                <w:rFonts w:eastAsia="MS Mincho"/>
                <w:sz w:val="20"/>
              </w:rPr>
              <w:t xml:space="preserve">─ </w:t>
            </w:r>
            <w:r w:rsidRPr="003C02EC">
              <w:rPr>
                <w:rFonts w:eastAsia="Calibri"/>
                <w:sz w:val="20"/>
              </w:rPr>
              <w:t xml:space="preserve">Fundamental justice </w:t>
            </w:r>
            <w:r w:rsidRPr="003C02EC">
              <w:rPr>
                <w:rFonts w:eastAsia="MS Mincho"/>
                <w:sz w:val="20"/>
              </w:rPr>
              <w:t>─</w:t>
            </w:r>
            <w:r w:rsidRPr="003C02EC">
              <w:rPr>
                <w:rFonts w:eastAsia="Calibri"/>
                <w:sz w:val="20"/>
              </w:rPr>
              <w:t xml:space="preserve"> Terminally ill patients seeking assistance to commit suicide </w:t>
            </w:r>
            <w:r w:rsidRPr="003C02EC">
              <w:rPr>
                <w:rFonts w:eastAsia="MS Mincho"/>
                <w:sz w:val="20"/>
              </w:rPr>
              <w:t>─</w:t>
            </w:r>
            <w:r w:rsidRPr="003C02EC">
              <w:rPr>
                <w:rFonts w:eastAsia="Calibri"/>
                <w:sz w:val="20"/>
              </w:rPr>
              <w:t xml:space="preserve"> Whether trial judge erred in distinguishing </w:t>
            </w:r>
            <w:r w:rsidRPr="003C02EC">
              <w:rPr>
                <w:rFonts w:eastAsia="Calibri"/>
                <w:i/>
                <w:sz w:val="20"/>
              </w:rPr>
              <w:t>Rodriguez v. British Columbia (Attorney General)</w:t>
            </w:r>
            <w:r w:rsidRPr="003C02EC">
              <w:rPr>
                <w:rFonts w:eastAsia="Calibri"/>
                <w:sz w:val="20"/>
              </w:rPr>
              <w:t xml:space="preserve">, [1993] 3 S.C.R. 519 — Whether </w:t>
            </w:r>
            <w:r w:rsidRPr="003C02EC">
              <w:rPr>
                <w:rFonts w:eastAsia="Calibri"/>
                <w:i/>
                <w:sz w:val="20"/>
              </w:rPr>
              <w:t>Criminal Code</w:t>
            </w:r>
            <w:r w:rsidRPr="003C02EC">
              <w:rPr>
                <w:rFonts w:eastAsia="Calibri"/>
                <w:sz w:val="20"/>
              </w:rPr>
              <w:t xml:space="preserve"> provision prohibiting aiding person to commit suicide infringes s. 7 or 15 of </w:t>
            </w:r>
            <w:r w:rsidRPr="003C02EC">
              <w:rPr>
                <w:rFonts w:eastAsia="Calibri"/>
                <w:i/>
                <w:sz w:val="20"/>
              </w:rPr>
              <w:t>Charter</w:t>
            </w:r>
            <w:r w:rsidRPr="003C02EC">
              <w:rPr>
                <w:rFonts w:eastAsia="Calibri"/>
                <w:sz w:val="20"/>
              </w:rPr>
              <w:t xml:space="preserve"> </w:t>
            </w:r>
            <w:r w:rsidRPr="003C02EC">
              <w:rPr>
                <w:rFonts w:eastAsia="MS Mincho"/>
                <w:sz w:val="20"/>
              </w:rPr>
              <w:t>─</w:t>
            </w:r>
            <w:r w:rsidRPr="003C02EC">
              <w:rPr>
                <w:rFonts w:eastAsia="Calibri"/>
                <w:sz w:val="20"/>
              </w:rPr>
              <w:t xml:space="preserve"> If so, whether infringement justifiable under s. 1 </w:t>
            </w:r>
            <w:r w:rsidRPr="003C02EC">
              <w:rPr>
                <w:rFonts w:eastAsia="MS Mincho"/>
                <w:sz w:val="20"/>
              </w:rPr>
              <w:t>─</w:t>
            </w:r>
            <w:r w:rsidRPr="003C02EC">
              <w:rPr>
                <w:rFonts w:eastAsia="Calibri"/>
                <w:sz w:val="20"/>
              </w:rPr>
              <w:t xml:space="preserve"> </w:t>
            </w:r>
            <w:r w:rsidRPr="003C02EC">
              <w:rPr>
                <w:rFonts w:eastAsia="Calibri"/>
                <w:i/>
                <w:sz w:val="20"/>
              </w:rPr>
              <w:t>Criminal Code</w:t>
            </w:r>
            <w:r w:rsidRPr="003C02EC">
              <w:rPr>
                <w:rFonts w:eastAsia="Calibri"/>
                <w:sz w:val="20"/>
              </w:rPr>
              <w:t>, R.S.C., 1985, c. C</w:t>
            </w:r>
            <w:r w:rsidRPr="003C02EC">
              <w:rPr>
                <w:rFonts w:eastAsia="MS Mincho" w:hAnsi="MS Mincho"/>
                <w:sz w:val="20"/>
              </w:rPr>
              <w:t>‑</w:t>
            </w:r>
            <w:r w:rsidRPr="003C02EC">
              <w:rPr>
                <w:rFonts w:eastAsia="Calibri"/>
                <w:sz w:val="20"/>
              </w:rPr>
              <w:t>46, s. 241(b).</w:t>
            </w:r>
          </w:p>
        </w:tc>
      </w:tr>
      <w:tr w:rsidR="00E75BCB" w:rsidRPr="003C02EC" w:rsidTr="00C5574B">
        <w:tc>
          <w:tcPr>
            <w:tcW w:w="5000" w:type="pct"/>
            <w:gridSpan w:val="3"/>
          </w:tcPr>
          <w:p w:rsidR="00E75BCB" w:rsidRPr="003C02EC" w:rsidRDefault="00E75BCB" w:rsidP="00C5574B">
            <w:pPr>
              <w:tabs>
                <w:tab w:val="left" w:pos="-1200"/>
                <w:tab w:val="left" w:pos="-720"/>
                <w:tab w:val="left" w:pos="720"/>
                <w:tab w:val="left" w:pos="9720"/>
              </w:tabs>
              <w:jc w:val="both"/>
              <w:rPr>
                <w:rFonts w:eastAsia="Calibri"/>
                <w:bCs/>
                <w:sz w:val="20"/>
                <w:lang w:val="en-GB"/>
              </w:rPr>
            </w:pPr>
          </w:p>
          <w:p w:rsidR="00E75BCB" w:rsidRPr="003C02EC" w:rsidRDefault="00E75BCB" w:rsidP="00C5574B">
            <w:pPr>
              <w:tabs>
                <w:tab w:val="left" w:pos="-1200"/>
                <w:tab w:val="left" w:pos="-720"/>
                <w:tab w:val="left" w:pos="720"/>
                <w:tab w:val="left" w:pos="9720"/>
              </w:tabs>
              <w:jc w:val="both"/>
              <w:rPr>
                <w:rFonts w:eastAsia="Calibri"/>
                <w:bCs/>
                <w:sz w:val="20"/>
                <w:lang w:val="en-GB"/>
              </w:rPr>
            </w:pPr>
            <w:r w:rsidRPr="003C02EC">
              <w:rPr>
                <w:rFonts w:eastAsia="Calibri"/>
                <w:bCs/>
                <w:sz w:val="20"/>
                <w:lang w:val="en-GB"/>
              </w:rPr>
              <w:t xml:space="preserve">Ms. Kay Carter and the applicant Ms. Gloria Taylor both suffered from intractable and progressive diseases and are now deceased.  They had joined with the others in bringing a civil claim before the British Columbia Supreme Court challenging the constitutionality of the </w:t>
            </w:r>
            <w:r w:rsidRPr="003C02EC">
              <w:rPr>
                <w:rFonts w:eastAsia="Calibri"/>
                <w:bCs/>
                <w:i/>
                <w:sz w:val="20"/>
                <w:lang w:val="en-GB"/>
              </w:rPr>
              <w:t>Criminal Code</w:t>
            </w:r>
            <w:r w:rsidRPr="003C02EC">
              <w:rPr>
                <w:rFonts w:eastAsia="Calibri"/>
                <w:bCs/>
                <w:sz w:val="20"/>
                <w:lang w:val="en-GB"/>
              </w:rPr>
              <w:t xml:space="preserve"> provisions against assisted suicide and euthanasia, specifically ss. 14, 21(1)(b), 21(2), 22, 222(1)-222(5), and 241.  They focused their case, however, on s. 241, which prohibits aiding another person to commit suicide.  They succeeded at trial notwithstanding this Court’s decision in </w:t>
            </w:r>
            <w:r w:rsidRPr="003C02EC">
              <w:rPr>
                <w:rFonts w:eastAsia="Calibri"/>
                <w:i/>
                <w:sz w:val="20"/>
              </w:rPr>
              <w:t>Rodriguez v. British Columbia (Attorney General)</w:t>
            </w:r>
            <w:r w:rsidRPr="003C02EC">
              <w:rPr>
                <w:rFonts w:eastAsia="Calibri"/>
                <w:sz w:val="20"/>
              </w:rPr>
              <w:t xml:space="preserve">, [1993] 3 S.C.R. 519, that s. 241 did not infringe certain </w:t>
            </w:r>
            <w:r w:rsidRPr="003C02EC">
              <w:rPr>
                <w:rFonts w:eastAsia="Calibri"/>
                <w:i/>
                <w:sz w:val="20"/>
              </w:rPr>
              <w:t>Charter</w:t>
            </w:r>
            <w:r w:rsidRPr="003C02EC">
              <w:rPr>
                <w:rFonts w:eastAsia="Calibri"/>
                <w:sz w:val="20"/>
              </w:rPr>
              <w:t xml:space="preserve"> rights under ss. 7 and 15. </w:t>
            </w:r>
            <w:r w:rsidRPr="003C02EC">
              <w:rPr>
                <w:rFonts w:eastAsia="Calibri"/>
                <w:bCs/>
                <w:sz w:val="20"/>
                <w:lang w:val="en-GB"/>
              </w:rPr>
              <w:t xml:space="preserve"> </w:t>
            </w:r>
            <w:r w:rsidRPr="003C02EC">
              <w:rPr>
                <w:rFonts w:eastAsia="Calibri"/>
                <w:sz w:val="20"/>
              </w:rPr>
              <w:t>A majority of the Court of Appeal, however, allowed the Attorney General of Canada’s (“AGC”) appeal.</w:t>
            </w:r>
          </w:p>
          <w:p w:rsidR="00E75BCB" w:rsidRPr="003C02EC" w:rsidRDefault="00E75BCB" w:rsidP="00C5574B">
            <w:pPr>
              <w:tabs>
                <w:tab w:val="left" w:pos="9720"/>
              </w:tabs>
              <w:jc w:val="both"/>
              <w:rPr>
                <w:rFonts w:eastAsia="Calibri"/>
                <w:sz w:val="20"/>
              </w:rPr>
            </w:pPr>
          </w:p>
        </w:tc>
      </w:tr>
      <w:tr w:rsidR="00E75BCB" w:rsidRPr="003C02EC" w:rsidTr="00C5574B">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June 15, 2012</w:t>
            </w:r>
          </w:p>
          <w:p w:rsidR="00E75BCB" w:rsidRPr="003C02EC" w:rsidRDefault="00E75BCB" w:rsidP="00C5574B">
            <w:pPr>
              <w:tabs>
                <w:tab w:val="left" w:pos="9720"/>
              </w:tabs>
              <w:jc w:val="both"/>
              <w:rPr>
                <w:rFonts w:eastAsia="Calibri"/>
                <w:sz w:val="20"/>
              </w:rPr>
            </w:pPr>
            <w:r w:rsidRPr="003C02EC">
              <w:rPr>
                <w:rFonts w:eastAsia="Calibri"/>
                <w:sz w:val="20"/>
              </w:rPr>
              <w:t>Supreme Court of British Columbia</w:t>
            </w:r>
          </w:p>
          <w:p w:rsidR="00E75BCB" w:rsidRPr="003C02EC" w:rsidRDefault="00E75BCB" w:rsidP="00C5574B">
            <w:pPr>
              <w:tabs>
                <w:tab w:val="left" w:pos="9720"/>
              </w:tabs>
              <w:jc w:val="both"/>
              <w:rPr>
                <w:rFonts w:eastAsia="Calibri"/>
                <w:sz w:val="20"/>
              </w:rPr>
            </w:pPr>
            <w:r w:rsidRPr="003C02EC">
              <w:rPr>
                <w:rFonts w:eastAsia="Calibri"/>
                <w:sz w:val="20"/>
              </w:rPr>
              <w:t>(Smith J.)</w:t>
            </w:r>
          </w:p>
          <w:p w:rsidR="00E75BCB" w:rsidRPr="003C02EC" w:rsidRDefault="001B62D0" w:rsidP="00C5574B">
            <w:pPr>
              <w:tabs>
                <w:tab w:val="left" w:pos="9720"/>
              </w:tabs>
              <w:jc w:val="both"/>
              <w:rPr>
                <w:rFonts w:eastAsia="Calibri"/>
                <w:sz w:val="20"/>
              </w:rPr>
            </w:pPr>
            <w:hyperlink r:id="rId61" w:history="1">
              <w:r w:rsidR="00E75BCB" w:rsidRPr="003C02EC">
                <w:rPr>
                  <w:rFonts w:eastAsia="Calibri"/>
                  <w:color w:val="0000FF"/>
                  <w:sz w:val="20"/>
                  <w:u w:val="single"/>
                </w:rPr>
                <w:t>2012 BCSC 886</w:t>
              </w:r>
            </w:hyperlink>
          </w:p>
          <w:p w:rsidR="00E75BCB" w:rsidRPr="003C02EC" w:rsidRDefault="00E75BCB" w:rsidP="00C5574B">
            <w:pPr>
              <w:tabs>
                <w:tab w:val="left" w:pos="9720"/>
              </w:tabs>
              <w:jc w:val="both"/>
              <w:rPr>
                <w:rFonts w:eastAsia="Calibri"/>
                <w:sz w:val="20"/>
                <w:highlight w:val="yellow"/>
              </w:rPr>
            </w:pPr>
          </w:p>
        </w:tc>
        <w:tc>
          <w:tcPr>
            <w:tcW w:w="324" w:type="pct"/>
          </w:tcPr>
          <w:p w:rsidR="00E75BCB" w:rsidRPr="003C02EC" w:rsidRDefault="00E75BCB" w:rsidP="00C5574B">
            <w:pPr>
              <w:tabs>
                <w:tab w:val="left" w:pos="9720"/>
              </w:tabs>
              <w:jc w:val="both"/>
              <w:rPr>
                <w:rFonts w:eastAsia="Calibri"/>
                <w:sz w:val="20"/>
                <w:highlight w:val="yellow"/>
              </w:rPr>
            </w:pPr>
          </w:p>
        </w:tc>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 xml:space="preserve">Sections 14, 21, 22, 222 and 241 of the </w:t>
            </w:r>
            <w:r w:rsidRPr="003C02EC">
              <w:rPr>
                <w:rFonts w:eastAsia="Calibri"/>
                <w:i/>
                <w:sz w:val="20"/>
              </w:rPr>
              <w:t>Criminal Code</w:t>
            </w:r>
            <w:r w:rsidRPr="003C02EC">
              <w:rPr>
                <w:rFonts w:eastAsia="Calibri"/>
                <w:sz w:val="20"/>
              </w:rPr>
              <w:t xml:space="preserve"> declared to unjustifiably infringe ss. 7 and 15 of the </w:t>
            </w:r>
            <w:r w:rsidRPr="003C02EC">
              <w:rPr>
                <w:rFonts w:eastAsia="Calibri"/>
                <w:i/>
                <w:sz w:val="20"/>
              </w:rPr>
              <w:t>Charter</w:t>
            </w:r>
            <w:r w:rsidRPr="003C02EC">
              <w:rPr>
                <w:rFonts w:eastAsia="Calibri"/>
                <w:sz w:val="20"/>
              </w:rPr>
              <w:t>; however, declaration suspended for one year.</w:t>
            </w:r>
          </w:p>
          <w:p w:rsidR="00E75BCB" w:rsidRPr="003C02EC" w:rsidRDefault="00E75BCB" w:rsidP="00C5574B">
            <w:pPr>
              <w:tabs>
                <w:tab w:val="left" w:pos="9720"/>
              </w:tabs>
              <w:jc w:val="both"/>
              <w:rPr>
                <w:rFonts w:eastAsia="Calibri"/>
                <w:sz w:val="20"/>
                <w:highlight w:val="yellow"/>
              </w:rPr>
            </w:pPr>
          </w:p>
        </w:tc>
      </w:tr>
      <w:tr w:rsidR="00E75BCB" w:rsidRPr="003C02EC" w:rsidTr="00C5574B">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lastRenderedPageBreak/>
              <w:t>October 10, 2013</w:t>
            </w:r>
          </w:p>
          <w:p w:rsidR="00E75BCB" w:rsidRPr="003C02EC" w:rsidRDefault="00E75BCB" w:rsidP="00C5574B">
            <w:pPr>
              <w:tabs>
                <w:tab w:val="left" w:pos="9720"/>
              </w:tabs>
              <w:jc w:val="both"/>
              <w:rPr>
                <w:rFonts w:eastAsia="Calibri"/>
                <w:sz w:val="20"/>
              </w:rPr>
            </w:pPr>
            <w:r w:rsidRPr="003C02EC">
              <w:rPr>
                <w:rFonts w:eastAsia="Calibri"/>
                <w:sz w:val="20"/>
              </w:rPr>
              <w:t>Court of Appeal for British Columbia (Vancouver)</w:t>
            </w:r>
          </w:p>
          <w:p w:rsidR="00E75BCB" w:rsidRPr="003C02EC" w:rsidRDefault="00E75BCB" w:rsidP="00C5574B">
            <w:pPr>
              <w:tabs>
                <w:tab w:val="left" w:pos="9720"/>
              </w:tabs>
              <w:jc w:val="both"/>
              <w:rPr>
                <w:rFonts w:eastAsia="Calibri"/>
                <w:sz w:val="20"/>
              </w:rPr>
            </w:pPr>
            <w:r w:rsidRPr="003C02EC">
              <w:rPr>
                <w:rFonts w:eastAsia="Calibri"/>
                <w:sz w:val="20"/>
              </w:rPr>
              <w:t>(Finch C.J.B.C. [dissenting], Newbury and Saunders JJ.A.)</w:t>
            </w:r>
          </w:p>
          <w:p w:rsidR="00E75BCB" w:rsidRPr="003C02EC" w:rsidRDefault="001B62D0" w:rsidP="00C5574B">
            <w:pPr>
              <w:tabs>
                <w:tab w:val="left" w:pos="9720"/>
              </w:tabs>
              <w:jc w:val="both"/>
              <w:rPr>
                <w:rFonts w:eastAsia="Calibri"/>
                <w:sz w:val="20"/>
              </w:rPr>
            </w:pPr>
            <w:hyperlink r:id="rId62" w:history="1">
              <w:r w:rsidR="00E75BCB" w:rsidRPr="003C02EC">
                <w:rPr>
                  <w:rFonts w:eastAsia="Calibri"/>
                  <w:color w:val="0000FF"/>
                  <w:sz w:val="20"/>
                  <w:u w:val="single"/>
                </w:rPr>
                <w:t>2013 BCCA 435</w:t>
              </w:r>
            </w:hyperlink>
          </w:p>
          <w:p w:rsidR="00E75BCB" w:rsidRPr="003C02EC" w:rsidRDefault="00E75BCB" w:rsidP="00C5574B">
            <w:pPr>
              <w:tabs>
                <w:tab w:val="left" w:pos="9720"/>
              </w:tabs>
              <w:jc w:val="both"/>
              <w:rPr>
                <w:rFonts w:eastAsia="Calibri"/>
                <w:sz w:val="20"/>
              </w:rPr>
            </w:pPr>
          </w:p>
        </w:tc>
        <w:tc>
          <w:tcPr>
            <w:tcW w:w="324" w:type="pct"/>
          </w:tcPr>
          <w:p w:rsidR="00E75BCB" w:rsidRPr="003C02EC" w:rsidRDefault="00E75BCB" w:rsidP="00C5574B">
            <w:pPr>
              <w:tabs>
                <w:tab w:val="left" w:pos="9720"/>
              </w:tabs>
              <w:jc w:val="both"/>
              <w:rPr>
                <w:rFonts w:eastAsia="Calibri"/>
                <w:sz w:val="20"/>
              </w:rPr>
            </w:pPr>
          </w:p>
        </w:tc>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 xml:space="preserve">Appeal allowed (Finch C.J.B.C. dissenting). </w:t>
            </w:r>
          </w:p>
        </w:tc>
      </w:tr>
      <w:tr w:rsidR="00E75BCB" w:rsidRPr="003C02EC" w:rsidTr="00C5574B">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October 25, 2013</w:t>
            </w:r>
          </w:p>
          <w:p w:rsidR="00E75BCB" w:rsidRPr="003C02EC" w:rsidRDefault="00E75BCB" w:rsidP="00C5574B">
            <w:pPr>
              <w:tabs>
                <w:tab w:val="left" w:pos="9720"/>
              </w:tabs>
              <w:jc w:val="both"/>
              <w:rPr>
                <w:rFonts w:eastAsia="Calibri"/>
                <w:sz w:val="20"/>
              </w:rPr>
            </w:pPr>
            <w:r w:rsidRPr="003C02EC">
              <w:rPr>
                <w:rFonts w:eastAsia="Calibri"/>
                <w:sz w:val="20"/>
              </w:rPr>
              <w:t>Supreme Court of Canada</w:t>
            </w:r>
          </w:p>
          <w:p w:rsidR="00E75BCB" w:rsidRPr="003C02EC" w:rsidRDefault="00E75BCB" w:rsidP="00C5574B">
            <w:pPr>
              <w:tabs>
                <w:tab w:val="left" w:pos="9720"/>
              </w:tabs>
              <w:jc w:val="both"/>
              <w:rPr>
                <w:rFonts w:eastAsia="Calibri"/>
                <w:sz w:val="20"/>
              </w:rPr>
            </w:pPr>
          </w:p>
        </w:tc>
        <w:tc>
          <w:tcPr>
            <w:tcW w:w="324" w:type="pct"/>
          </w:tcPr>
          <w:p w:rsidR="00E75BCB" w:rsidRPr="003C02EC" w:rsidRDefault="00E75BCB" w:rsidP="00C5574B">
            <w:pPr>
              <w:tabs>
                <w:tab w:val="left" w:pos="9720"/>
              </w:tabs>
              <w:jc w:val="both"/>
              <w:rPr>
                <w:rFonts w:eastAsia="Calibri"/>
                <w:sz w:val="20"/>
              </w:rPr>
            </w:pPr>
          </w:p>
        </w:tc>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 xml:space="preserve">Application for leave to appeal filed, together with motion </w:t>
            </w:r>
            <w:r w:rsidRPr="003C02EC">
              <w:rPr>
                <w:rFonts w:eastAsia="Calibri"/>
                <w:bCs/>
                <w:sz w:val="20"/>
              </w:rPr>
              <w:t xml:space="preserve">to expedite </w:t>
            </w:r>
            <w:r w:rsidRPr="003C02EC">
              <w:rPr>
                <w:rFonts w:eastAsia="Calibri"/>
                <w:bCs/>
                <w:sz w:val="20"/>
                <w:lang w:val="en-GB"/>
              </w:rPr>
              <w:t>consideration of leave application and if leave is granted, to expedite appeal.</w:t>
            </w:r>
          </w:p>
          <w:p w:rsidR="00E75BCB" w:rsidRPr="003C02EC" w:rsidRDefault="00E75BCB" w:rsidP="00C5574B">
            <w:pPr>
              <w:tabs>
                <w:tab w:val="left" w:pos="9720"/>
              </w:tabs>
              <w:jc w:val="both"/>
              <w:rPr>
                <w:rFonts w:eastAsia="Calibri"/>
                <w:sz w:val="20"/>
              </w:rPr>
            </w:pPr>
          </w:p>
        </w:tc>
      </w:tr>
      <w:tr w:rsidR="00E75BCB" w:rsidRPr="003C02EC" w:rsidTr="00C5574B">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November 22, 2013</w:t>
            </w:r>
          </w:p>
          <w:p w:rsidR="00E75BCB" w:rsidRPr="003C02EC" w:rsidRDefault="00E75BCB" w:rsidP="00C5574B">
            <w:pPr>
              <w:tabs>
                <w:tab w:val="left" w:pos="9720"/>
              </w:tabs>
              <w:jc w:val="both"/>
              <w:rPr>
                <w:rFonts w:eastAsia="Calibri"/>
                <w:sz w:val="20"/>
              </w:rPr>
            </w:pPr>
            <w:r w:rsidRPr="003C02EC">
              <w:rPr>
                <w:rFonts w:eastAsia="Calibri"/>
                <w:sz w:val="20"/>
              </w:rPr>
              <w:t>Supreme Court of Canada</w:t>
            </w:r>
          </w:p>
        </w:tc>
        <w:tc>
          <w:tcPr>
            <w:tcW w:w="324" w:type="pct"/>
          </w:tcPr>
          <w:p w:rsidR="00E75BCB" w:rsidRPr="003C02EC" w:rsidRDefault="00E75BCB" w:rsidP="00C5574B">
            <w:pPr>
              <w:tabs>
                <w:tab w:val="left" w:pos="9720"/>
              </w:tabs>
              <w:jc w:val="both"/>
              <w:rPr>
                <w:rFonts w:eastAsia="Calibri"/>
                <w:sz w:val="20"/>
              </w:rPr>
            </w:pPr>
          </w:p>
        </w:tc>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Joint motion for leave to intervene from Council of Canadians with Disabilities and Canadian Association for Community Living filed.</w:t>
            </w:r>
          </w:p>
          <w:p w:rsidR="00E75BCB" w:rsidRPr="003C02EC" w:rsidRDefault="00E75BCB" w:rsidP="00C5574B">
            <w:pPr>
              <w:tabs>
                <w:tab w:val="left" w:pos="9720"/>
              </w:tabs>
              <w:jc w:val="both"/>
              <w:rPr>
                <w:rFonts w:eastAsia="Calibri"/>
                <w:sz w:val="20"/>
              </w:rPr>
            </w:pPr>
          </w:p>
        </w:tc>
      </w:tr>
      <w:tr w:rsidR="00E75BCB" w:rsidRPr="003C02EC" w:rsidTr="00C5574B">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November 25, 2013</w:t>
            </w:r>
          </w:p>
          <w:p w:rsidR="00E75BCB" w:rsidRPr="003C02EC" w:rsidRDefault="00E75BCB" w:rsidP="00C5574B">
            <w:pPr>
              <w:tabs>
                <w:tab w:val="left" w:pos="9720"/>
              </w:tabs>
              <w:jc w:val="both"/>
              <w:rPr>
                <w:rFonts w:eastAsia="Calibri"/>
                <w:sz w:val="20"/>
              </w:rPr>
            </w:pPr>
            <w:r w:rsidRPr="003C02EC">
              <w:rPr>
                <w:rFonts w:eastAsia="Calibri"/>
                <w:sz w:val="20"/>
              </w:rPr>
              <w:t>Supreme Court of Canada</w:t>
            </w:r>
          </w:p>
        </w:tc>
        <w:tc>
          <w:tcPr>
            <w:tcW w:w="324" w:type="pct"/>
          </w:tcPr>
          <w:p w:rsidR="00E75BCB" w:rsidRPr="003C02EC" w:rsidRDefault="00E75BCB" w:rsidP="00C5574B">
            <w:pPr>
              <w:tabs>
                <w:tab w:val="left" w:pos="9720"/>
              </w:tabs>
              <w:jc w:val="both"/>
              <w:rPr>
                <w:rFonts w:eastAsia="Calibri"/>
                <w:sz w:val="20"/>
              </w:rPr>
            </w:pPr>
          </w:p>
        </w:tc>
        <w:tc>
          <w:tcPr>
            <w:tcW w:w="2338" w:type="pct"/>
          </w:tcPr>
          <w:p w:rsidR="00E75BCB" w:rsidRPr="003C02EC" w:rsidRDefault="00E75BCB" w:rsidP="00C5574B">
            <w:pPr>
              <w:tabs>
                <w:tab w:val="left" w:pos="9720"/>
              </w:tabs>
              <w:jc w:val="both"/>
              <w:rPr>
                <w:rFonts w:eastAsia="Calibri"/>
                <w:sz w:val="20"/>
              </w:rPr>
            </w:pPr>
            <w:r w:rsidRPr="003C02EC">
              <w:rPr>
                <w:rFonts w:eastAsia="Calibri"/>
                <w:sz w:val="20"/>
              </w:rPr>
              <w:t>Joint motion for leave to intervene from Euthanasia Prevention Coalition and Euthanasia Prevention Coalition — British Columbia.</w:t>
            </w: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54"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39" w:type="pct"/>
        <w:tblLayout w:type="fixed"/>
        <w:tblCellMar>
          <w:left w:w="0" w:type="dxa"/>
          <w:bottom w:w="99" w:type="dxa"/>
          <w:right w:w="0" w:type="dxa"/>
        </w:tblCellMar>
        <w:tblLook w:val="04A0" w:firstRow="1" w:lastRow="0" w:firstColumn="1" w:lastColumn="0" w:noHBand="0" w:noVBand="1"/>
      </w:tblPr>
      <w:tblGrid>
        <w:gridCol w:w="4437"/>
        <w:gridCol w:w="620"/>
        <w:gridCol w:w="4445"/>
      </w:tblGrid>
      <w:tr w:rsidR="00E75BCB" w:rsidRPr="003C02EC" w:rsidTr="00C5574B">
        <w:tc>
          <w:tcPr>
            <w:tcW w:w="5000" w:type="pct"/>
            <w:gridSpan w:val="3"/>
          </w:tcPr>
          <w:p w:rsidR="00E75BCB" w:rsidRPr="003C02EC" w:rsidRDefault="00E75BCB" w:rsidP="00C5574B">
            <w:pPr>
              <w:tabs>
                <w:tab w:val="left" w:pos="1011"/>
              </w:tabs>
              <w:jc w:val="both"/>
              <w:rPr>
                <w:rFonts w:eastAsia="Calibri"/>
                <w:sz w:val="20"/>
                <w:lang w:val="fr-CA"/>
              </w:rPr>
            </w:pPr>
            <w:r w:rsidRPr="003C02EC">
              <w:rPr>
                <w:rFonts w:eastAsia="Calibri"/>
                <w:i/>
                <w:sz w:val="20"/>
                <w:lang w:val="fr-CA"/>
              </w:rPr>
              <w:t xml:space="preserve">Charte des droits </w:t>
            </w:r>
            <w:r w:rsidRPr="003C02EC">
              <w:rPr>
                <w:rFonts w:eastAsia="MS Mincho"/>
                <w:sz w:val="20"/>
                <w:lang w:val="fr-CA"/>
              </w:rPr>
              <w:t>─</w:t>
            </w:r>
            <w:r w:rsidRPr="003C02EC">
              <w:rPr>
                <w:rFonts w:eastAsia="Calibri"/>
                <w:sz w:val="20"/>
                <w:lang w:val="fr-CA"/>
              </w:rPr>
              <w:t xml:space="preserve"> Droit à la vie </w:t>
            </w:r>
            <w:r w:rsidRPr="003C02EC">
              <w:rPr>
                <w:rFonts w:eastAsia="MS Mincho"/>
                <w:sz w:val="20"/>
                <w:lang w:val="fr-CA"/>
              </w:rPr>
              <w:t>─</w:t>
            </w:r>
            <w:r w:rsidRPr="003C02EC">
              <w:rPr>
                <w:rFonts w:eastAsia="Calibri"/>
                <w:sz w:val="20"/>
                <w:lang w:val="fr-CA"/>
              </w:rPr>
              <w:t xml:space="preserve"> Égalité </w:t>
            </w:r>
            <w:r w:rsidRPr="003C02EC">
              <w:rPr>
                <w:rFonts w:eastAsia="MS Mincho"/>
                <w:sz w:val="20"/>
                <w:lang w:val="fr-CA"/>
              </w:rPr>
              <w:t>─</w:t>
            </w:r>
            <w:r w:rsidRPr="003C02EC">
              <w:rPr>
                <w:rFonts w:eastAsia="Calibri"/>
                <w:sz w:val="20"/>
                <w:lang w:val="fr-CA"/>
              </w:rPr>
              <w:t xml:space="preserve"> Justice fondamentale </w:t>
            </w:r>
            <w:r w:rsidRPr="003C02EC">
              <w:rPr>
                <w:rFonts w:eastAsia="MS Mincho"/>
                <w:sz w:val="20"/>
                <w:lang w:val="fr-CA"/>
              </w:rPr>
              <w:t>─</w:t>
            </w:r>
            <w:r w:rsidRPr="003C02EC">
              <w:rPr>
                <w:rFonts w:eastAsia="Calibri"/>
                <w:sz w:val="20"/>
                <w:lang w:val="fr-CA"/>
              </w:rPr>
              <w:t xml:space="preserve"> Des patients atteints de maladies terminales demandent qu</w:t>
            </w:r>
            <w:r w:rsidRPr="003C02EC">
              <w:rPr>
                <w:rFonts w:eastAsia="Calibri"/>
                <w:smallCaps/>
                <w:sz w:val="20"/>
                <w:lang w:val="fr-CA"/>
              </w:rPr>
              <w:t>’</w:t>
            </w:r>
            <w:r w:rsidRPr="003C02EC">
              <w:rPr>
                <w:rFonts w:eastAsia="Calibri"/>
                <w:sz w:val="20"/>
                <w:lang w:val="fr-CA"/>
              </w:rPr>
              <w:t xml:space="preserve">on les aide à se donner la mort </w:t>
            </w:r>
            <w:r w:rsidRPr="003C02EC">
              <w:rPr>
                <w:rFonts w:eastAsia="MS Mincho"/>
                <w:sz w:val="20"/>
                <w:lang w:val="fr-CA"/>
              </w:rPr>
              <w:t>─</w:t>
            </w:r>
            <w:r w:rsidRPr="003C02EC">
              <w:rPr>
                <w:rFonts w:eastAsia="Calibri"/>
                <w:sz w:val="20"/>
                <w:lang w:val="fr-CA"/>
              </w:rPr>
              <w:t xml:space="preserve"> Le juge de première instance a-t-il eu tort de faire une distinction avec l</w:t>
            </w:r>
            <w:r w:rsidRPr="003C02EC">
              <w:rPr>
                <w:rFonts w:eastAsia="Calibri"/>
                <w:smallCaps/>
                <w:sz w:val="20"/>
                <w:lang w:val="fr-CA"/>
              </w:rPr>
              <w:t>’</w:t>
            </w:r>
            <w:r w:rsidRPr="003C02EC">
              <w:rPr>
                <w:rFonts w:eastAsia="Calibri"/>
                <w:sz w:val="20"/>
                <w:lang w:val="fr-CA"/>
              </w:rPr>
              <w:t xml:space="preserve">arrêt </w:t>
            </w:r>
            <w:r w:rsidRPr="003C02EC">
              <w:rPr>
                <w:rFonts w:eastAsia="Calibri"/>
                <w:i/>
                <w:sz w:val="20"/>
                <w:lang w:val="fr-CA"/>
              </w:rPr>
              <w:t>Rodriguez c. Colombie-Britannique (Procureur général)</w:t>
            </w:r>
            <w:r w:rsidRPr="003C02EC">
              <w:rPr>
                <w:rFonts w:eastAsia="Calibri"/>
                <w:sz w:val="20"/>
                <w:lang w:val="fr-CA"/>
              </w:rPr>
              <w:t>, [1993] 3 R.C.S. 519? — La disposition du</w:t>
            </w:r>
            <w:r w:rsidRPr="003C02EC">
              <w:rPr>
                <w:rFonts w:eastAsia="Calibri"/>
                <w:i/>
                <w:sz w:val="20"/>
                <w:lang w:val="fr-CA"/>
              </w:rPr>
              <w:t xml:space="preserve"> Code criminel</w:t>
            </w:r>
            <w:r w:rsidRPr="003C02EC">
              <w:rPr>
                <w:rFonts w:eastAsia="Calibri"/>
                <w:sz w:val="20"/>
                <w:lang w:val="fr-CA"/>
              </w:rPr>
              <w:t xml:space="preserve"> qui interdit d</w:t>
            </w:r>
            <w:r w:rsidRPr="003C02EC">
              <w:rPr>
                <w:rFonts w:eastAsia="Calibri"/>
                <w:smallCaps/>
                <w:sz w:val="20"/>
                <w:lang w:val="fr-CA"/>
              </w:rPr>
              <w:t>’</w:t>
            </w:r>
            <w:r w:rsidRPr="003C02EC">
              <w:rPr>
                <w:rFonts w:eastAsia="Calibri"/>
                <w:sz w:val="20"/>
                <w:lang w:val="fr-CA"/>
              </w:rPr>
              <w:t>aider quelqu</w:t>
            </w:r>
            <w:r w:rsidRPr="003C02EC">
              <w:rPr>
                <w:rFonts w:eastAsia="Calibri"/>
                <w:smallCaps/>
                <w:sz w:val="20"/>
                <w:lang w:val="fr-CA"/>
              </w:rPr>
              <w:t>’</w:t>
            </w:r>
            <w:r w:rsidRPr="003C02EC">
              <w:rPr>
                <w:rFonts w:eastAsia="Calibri"/>
                <w:sz w:val="20"/>
                <w:lang w:val="fr-CA"/>
              </w:rPr>
              <w:t xml:space="preserve">un à se donner la mort porte-t-elle atteinte aux art. 7 ou 15 de la </w:t>
            </w:r>
            <w:r w:rsidRPr="003C02EC">
              <w:rPr>
                <w:rFonts w:eastAsia="Calibri"/>
                <w:i/>
                <w:sz w:val="20"/>
                <w:lang w:val="fr-CA"/>
              </w:rPr>
              <w:t>Charte</w:t>
            </w:r>
            <w:r w:rsidRPr="003C02EC">
              <w:rPr>
                <w:rFonts w:eastAsia="Calibri"/>
                <w:sz w:val="20"/>
                <w:lang w:val="fr-CA"/>
              </w:rPr>
              <w:t xml:space="preserve">? </w:t>
            </w:r>
            <w:r w:rsidRPr="003C02EC">
              <w:rPr>
                <w:rFonts w:eastAsia="MS Mincho"/>
                <w:sz w:val="20"/>
                <w:lang w:val="fr-CA"/>
              </w:rPr>
              <w:t>─</w:t>
            </w:r>
            <w:r w:rsidRPr="003C02EC">
              <w:rPr>
                <w:rFonts w:eastAsia="Calibri"/>
                <w:sz w:val="20"/>
                <w:lang w:val="fr-CA"/>
              </w:rPr>
              <w:t xml:space="preserve"> Dans l</w:t>
            </w:r>
            <w:r w:rsidRPr="003C02EC">
              <w:rPr>
                <w:rFonts w:eastAsia="Calibri"/>
                <w:smallCaps/>
                <w:sz w:val="20"/>
                <w:lang w:val="fr-CA"/>
              </w:rPr>
              <w:t>’</w:t>
            </w:r>
            <w:r w:rsidRPr="003C02EC">
              <w:rPr>
                <w:rFonts w:eastAsia="Calibri"/>
                <w:sz w:val="20"/>
                <w:lang w:val="fr-CA"/>
              </w:rPr>
              <w:t>affirmative, cette atteinte est-elle justifiable en vertu de l</w:t>
            </w:r>
            <w:r w:rsidRPr="003C02EC">
              <w:rPr>
                <w:rFonts w:eastAsia="Calibri"/>
                <w:smallCaps/>
                <w:sz w:val="20"/>
                <w:lang w:val="fr-CA"/>
              </w:rPr>
              <w:t>’</w:t>
            </w:r>
            <w:r w:rsidRPr="003C02EC">
              <w:rPr>
                <w:rFonts w:eastAsia="Calibri"/>
                <w:sz w:val="20"/>
                <w:lang w:val="fr-CA"/>
              </w:rPr>
              <w:t xml:space="preserve">article premier? </w:t>
            </w:r>
            <w:r w:rsidRPr="003C02EC">
              <w:rPr>
                <w:rFonts w:eastAsia="MS Mincho"/>
                <w:sz w:val="20"/>
                <w:lang w:val="fr-CA"/>
              </w:rPr>
              <w:t>─</w:t>
            </w:r>
            <w:r w:rsidRPr="003C02EC">
              <w:rPr>
                <w:rFonts w:eastAsia="Calibri"/>
                <w:i/>
                <w:sz w:val="20"/>
                <w:lang w:val="fr-CA"/>
              </w:rPr>
              <w:t xml:space="preserve"> Code criminel</w:t>
            </w:r>
            <w:r w:rsidRPr="003C02EC">
              <w:rPr>
                <w:rFonts w:eastAsia="Calibri"/>
                <w:sz w:val="20"/>
                <w:lang w:val="fr-CA"/>
              </w:rPr>
              <w:t>, L.R.C., 1985, ch. C</w:t>
            </w:r>
            <w:r w:rsidRPr="003C02EC">
              <w:rPr>
                <w:rFonts w:eastAsia="MS Mincho" w:hAnsi="MS Mincho"/>
                <w:sz w:val="20"/>
                <w:lang w:val="fr-CA"/>
              </w:rPr>
              <w:t>‑</w:t>
            </w:r>
            <w:r w:rsidRPr="003C02EC">
              <w:rPr>
                <w:rFonts w:eastAsia="Calibri"/>
                <w:sz w:val="20"/>
                <w:lang w:val="fr-CA"/>
              </w:rPr>
              <w:t>46, al. 241</w:t>
            </w:r>
            <w:r w:rsidRPr="003C02EC">
              <w:rPr>
                <w:rFonts w:eastAsia="Calibri"/>
                <w:i/>
                <w:sz w:val="20"/>
                <w:lang w:val="fr-CA"/>
              </w:rPr>
              <w:t>b)</w:t>
            </w:r>
            <w:r w:rsidRPr="003C02EC">
              <w:rPr>
                <w:rFonts w:eastAsia="Calibri"/>
                <w:sz w:val="20"/>
                <w:lang w:val="fr-CA"/>
              </w:rPr>
              <w:t>.</w:t>
            </w:r>
          </w:p>
        </w:tc>
      </w:tr>
      <w:tr w:rsidR="00E75BCB" w:rsidRPr="00023015" w:rsidTr="00C5574B">
        <w:tc>
          <w:tcPr>
            <w:tcW w:w="5000" w:type="pct"/>
            <w:gridSpan w:val="3"/>
          </w:tcPr>
          <w:p w:rsidR="00E75BCB" w:rsidRPr="003C02EC" w:rsidRDefault="00E75BCB" w:rsidP="00C5574B">
            <w:pPr>
              <w:tabs>
                <w:tab w:val="left" w:pos="-1200"/>
                <w:tab w:val="left" w:pos="-720"/>
                <w:tab w:val="left" w:pos="720"/>
                <w:tab w:val="left" w:pos="9720"/>
              </w:tabs>
              <w:jc w:val="both"/>
              <w:rPr>
                <w:rFonts w:eastAsia="Calibri"/>
                <w:bCs/>
                <w:sz w:val="20"/>
                <w:lang w:val="fr-CA"/>
              </w:rPr>
            </w:pPr>
          </w:p>
          <w:p w:rsidR="00E75BCB" w:rsidRPr="003C02EC" w:rsidRDefault="00E75BCB" w:rsidP="00C5574B">
            <w:pPr>
              <w:tabs>
                <w:tab w:val="left" w:pos="-1200"/>
                <w:tab w:val="left" w:pos="-720"/>
                <w:tab w:val="left" w:pos="720"/>
                <w:tab w:val="left" w:pos="9720"/>
              </w:tabs>
              <w:jc w:val="both"/>
              <w:rPr>
                <w:rFonts w:eastAsia="Calibri"/>
                <w:bCs/>
                <w:sz w:val="20"/>
                <w:lang w:val="fr-CA"/>
              </w:rPr>
            </w:pPr>
            <w:r w:rsidRPr="003C02EC">
              <w:rPr>
                <w:rFonts w:eastAsia="Calibri"/>
                <w:bCs/>
                <w:sz w:val="20"/>
                <w:lang w:val="fr-CA"/>
              </w:rPr>
              <w:t>Madame Kay Carter et la demanderesse Mme Gloria Taylor, maintenant décédées, souffraient toutes les deux de maladies intraitables et progressives.  Elles ont intenté avec d</w:t>
            </w:r>
            <w:r w:rsidRPr="003C02EC">
              <w:rPr>
                <w:rFonts w:eastAsia="Calibri"/>
                <w:bCs/>
                <w:smallCaps/>
                <w:sz w:val="20"/>
                <w:lang w:val="fr-CA"/>
              </w:rPr>
              <w:t>’</w:t>
            </w:r>
            <w:r w:rsidRPr="003C02EC">
              <w:rPr>
                <w:rFonts w:eastAsia="Calibri"/>
                <w:bCs/>
                <w:sz w:val="20"/>
                <w:lang w:val="fr-CA"/>
              </w:rPr>
              <w:t>autres une action au civil en Cour suprême de la Colombie-Britannique, contestant la constitutionnalité des dispositions du</w:t>
            </w:r>
            <w:r w:rsidRPr="003C02EC">
              <w:rPr>
                <w:rFonts w:eastAsia="Calibri"/>
                <w:bCs/>
                <w:i/>
                <w:sz w:val="20"/>
                <w:lang w:val="fr-CA"/>
              </w:rPr>
              <w:t xml:space="preserve"> Code criminel</w:t>
            </w:r>
            <w:r w:rsidRPr="003C02EC">
              <w:rPr>
                <w:rFonts w:eastAsia="Calibri"/>
                <w:bCs/>
                <w:sz w:val="20"/>
                <w:lang w:val="fr-CA"/>
              </w:rPr>
              <w:t xml:space="preserve"> interdisant le suicide assisté et l</w:t>
            </w:r>
            <w:r w:rsidRPr="003C02EC">
              <w:rPr>
                <w:rFonts w:eastAsia="Calibri"/>
                <w:bCs/>
                <w:smallCaps/>
                <w:sz w:val="20"/>
                <w:lang w:val="fr-CA"/>
              </w:rPr>
              <w:t>’</w:t>
            </w:r>
            <w:r w:rsidRPr="003C02EC">
              <w:rPr>
                <w:rFonts w:eastAsia="Calibri"/>
                <w:bCs/>
                <w:sz w:val="20"/>
                <w:lang w:val="fr-CA"/>
              </w:rPr>
              <w:t>euthanasie, plus particulièrement les art. 14, 21(1)</w:t>
            </w:r>
            <w:r w:rsidRPr="003C02EC">
              <w:rPr>
                <w:rFonts w:eastAsia="Calibri"/>
                <w:bCs/>
                <w:i/>
                <w:sz w:val="20"/>
                <w:lang w:val="fr-CA"/>
              </w:rPr>
              <w:t>b)</w:t>
            </w:r>
            <w:r w:rsidRPr="003C02EC">
              <w:rPr>
                <w:rFonts w:eastAsia="Calibri"/>
                <w:bCs/>
                <w:sz w:val="20"/>
                <w:lang w:val="fr-CA"/>
              </w:rPr>
              <w:t>, 21(2), 22, 222(1)-222(5) et 241.  Cependant, dans leur demande, elles se sont concentrées sur l</w:t>
            </w:r>
            <w:r w:rsidRPr="003C02EC">
              <w:rPr>
                <w:rFonts w:eastAsia="Calibri"/>
                <w:bCs/>
                <w:smallCaps/>
                <w:sz w:val="20"/>
                <w:lang w:val="fr-CA"/>
              </w:rPr>
              <w:t>’</w:t>
            </w:r>
            <w:r w:rsidRPr="003C02EC">
              <w:rPr>
                <w:rFonts w:eastAsia="Calibri"/>
                <w:bCs/>
                <w:sz w:val="20"/>
                <w:lang w:val="fr-CA"/>
              </w:rPr>
              <w:t>art. 241, qui interdit d</w:t>
            </w:r>
            <w:r w:rsidRPr="003C02EC">
              <w:rPr>
                <w:rFonts w:eastAsia="Calibri"/>
                <w:bCs/>
                <w:smallCaps/>
                <w:sz w:val="20"/>
                <w:lang w:val="fr-CA"/>
              </w:rPr>
              <w:t>’</w:t>
            </w:r>
            <w:r w:rsidRPr="003C02EC">
              <w:rPr>
                <w:rFonts w:eastAsia="Calibri"/>
                <w:bCs/>
                <w:sz w:val="20"/>
                <w:lang w:val="fr-CA"/>
              </w:rPr>
              <w:t>aider quelqu</w:t>
            </w:r>
            <w:r w:rsidRPr="003C02EC">
              <w:rPr>
                <w:rFonts w:eastAsia="Calibri"/>
                <w:bCs/>
                <w:smallCaps/>
                <w:sz w:val="20"/>
                <w:lang w:val="fr-CA"/>
              </w:rPr>
              <w:t>’</w:t>
            </w:r>
            <w:r w:rsidRPr="003C02EC">
              <w:rPr>
                <w:rFonts w:eastAsia="Calibri"/>
                <w:bCs/>
                <w:sz w:val="20"/>
                <w:lang w:val="fr-CA"/>
              </w:rPr>
              <w:t>un à se donner la mort.  Elles ont eu gain de cause en première instance, malgré l</w:t>
            </w:r>
            <w:r w:rsidRPr="003C02EC">
              <w:rPr>
                <w:rFonts w:eastAsia="Calibri"/>
                <w:bCs/>
                <w:smallCaps/>
                <w:sz w:val="20"/>
                <w:lang w:val="fr-CA"/>
              </w:rPr>
              <w:t>’</w:t>
            </w:r>
            <w:r w:rsidRPr="003C02EC">
              <w:rPr>
                <w:rFonts w:eastAsia="Calibri"/>
                <w:bCs/>
                <w:sz w:val="20"/>
                <w:lang w:val="fr-CA"/>
              </w:rPr>
              <w:t>arrêt de cette Cour dans l</w:t>
            </w:r>
            <w:r w:rsidRPr="003C02EC">
              <w:rPr>
                <w:rFonts w:eastAsia="Calibri"/>
                <w:bCs/>
                <w:smallCaps/>
                <w:sz w:val="20"/>
                <w:lang w:val="fr-CA"/>
              </w:rPr>
              <w:t>’</w:t>
            </w:r>
            <w:r w:rsidRPr="003C02EC">
              <w:rPr>
                <w:rFonts w:eastAsia="Calibri"/>
                <w:bCs/>
                <w:sz w:val="20"/>
                <w:lang w:val="fr-CA"/>
              </w:rPr>
              <w:t xml:space="preserve">affaire </w:t>
            </w:r>
            <w:r w:rsidRPr="003C02EC">
              <w:rPr>
                <w:rFonts w:eastAsia="Calibri"/>
                <w:i/>
                <w:sz w:val="20"/>
                <w:lang w:val="fr-CA"/>
              </w:rPr>
              <w:t>Rodriguez c. Colombie-Britannique (Procureur général)</w:t>
            </w:r>
            <w:r w:rsidRPr="003C02EC">
              <w:rPr>
                <w:rFonts w:eastAsia="Calibri"/>
                <w:sz w:val="20"/>
                <w:lang w:val="fr-CA"/>
              </w:rPr>
              <w:t>, [1993] 3 R.C.S. 519, c</w:t>
            </w:r>
            <w:r w:rsidRPr="003C02EC">
              <w:rPr>
                <w:rFonts w:eastAsia="Calibri"/>
                <w:smallCaps/>
                <w:sz w:val="20"/>
                <w:lang w:val="fr-CA"/>
              </w:rPr>
              <w:t>’</w:t>
            </w:r>
            <w:r w:rsidRPr="003C02EC">
              <w:rPr>
                <w:rFonts w:eastAsia="Calibri"/>
                <w:sz w:val="20"/>
                <w:lang w:val="fr-CA"/>
              </w:rPr>
              <w:t>est-à-dire que l</w:t>
            </w:r>
            <w:r w:rsidRPr="003C02EC">
              <w:rPr>
                <w:rFonts w:eastAsia="Calibri"/>
                <w:smallCaps/>
                <w:sz w:val="20"/>
                <w:lang w:val="fr-CA"/>
              </w:rPr>
              <w:t>’</w:t>
            </w:r>
            <w:r w:rsidRPr="003C02EC">
              <w:rPr>
                <w:rFonts w:eastAsia="Calibri"/>
                <w:sz w:val="20"/>
                <w:lang w:val="fr-CA"/>
              </w:rPr>
              <w:t xml:space="preserve">art. 241 ne portait pas atteinte à certains droits garantis par la </w:t>
            </w:r>
            <w:r w:rsidRPr="003C02EC">
              <w:rPr>
                <w:rFonts w:eastAsia="Calibri"/>
                <w:i/>
                <w:sz w:val="20"/>
                <w:lang w:val="fr-CA"/>
              </w:rPr>
              <w:t>Charte</w:t>
            </w:r>
            <w:r w:rsidRPr="003C02EC">
              <w:rPr>
                <w:rFonts w:eastAsia="Calibri"/>
                <w:sz w:val="20"/>
                <w:lang w:val="fr-CA"/>
              </w:rPr>
              <w:t xml:space="preserve"> dans les art. 7 et 15.  Toutefois, les juges majoritaires de la Cour d</w:t>
            </w:r>
            <w:r w:rsidRPr="003C02EC">
              <w:rPr>
                <w:rFonts w:eastAsia="Calibri"/>
                <w:smallCaps/>
                <w:sz w:val="20"/>
                <w:lang w:val="fr-CA"/>
              </w:rPr>
              <w:t>’</w:t>
            </w:r>
            <w:r w:rsidRPr="003C02EC">
              <w:rPr>
                <w:rFonts w:eastAsia="Calibri"/>
                <w:sz w:val="20"/>
                <w:lang w:val="fr-CA"/>
              </w:rPr>
              <w:t>appel ont accueilli l</w:t>
            </w:r>
            <w:r w:rsidRPr="003C02EC">
              <w:rPr>
                <w:rFonts w:eastAsia="Calibri"/>
                <w:smallCaps/>
                <w:sz w:val="20"/>
                <w:lang w:val="fr-CA"/>
              </w:rPr>
              <w:t>’</w:t>
            </w:r>
            <w:r w:rsidRPr="003C02EC">
              <w:rPr>
                <w:rFonts w:eastAsia="Calibri"/>
                <w:sz w:val="20"/>
                <w:lang w:val="fr-CA"/>
              </w:rPr>
              <w:t>appel du procureur général du Canada.</w:t>
            </w:r>
          </w:p>
          <w:p w:rsidR="00E75BCB" w:rsidRPr="003C02EC" w:rsidRDefault="00E75BCB" w:rsidP="00C5574B">
            <w:pPr>
              <w:tabs>
                <w:tab w:val="left" w:pos="9720"/>
              </w:tabs>
              <w:jc w:val="both"/>
              <w:rPr>
                <w:rFonts w:eastAsia="Calibri"/>
                <w:sz w:val="20"/>
                <w:lang w:val="fr-CA"/>
              </w:rPr>
            </w:pPr>
          </w:p>
        </w:tc>
      </w:tr>
      <w:tr w:rsidR="00E75BCB" w:rsidRPr="00023015" w:rsidTr="00C5574B">
        <w:tc>
          <w:tcPr>
            <w:tcW w:w="2335"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15 juin 2012</w:t>
            </w:r>
          </w:p>
          <w:p w:rsidR="00E75BCB" w:rsidRPr="003C02EC" w:rsidRDefault="00E75BCB" w:rsidP="00C5574B">
            <w:pPr>
              <w:tabs>
                <w:tab w:val="left" w:pos="9720"/>
              </w:tabs>
              <w:jc w:val="both"/>
              <w:rPr>
                <w:rFonts w:eastAsia="Calibri"/>
                <w:sz w:val="20"/>
                <w:lang w:val="fr-CA"/>
              </w:rPr>
            </w:pPr>
            <w:r w:rsidRPr="003C02EC">
              <w:rPr>
                <w:rFonts w:eastAsia="Calibri"/>
                <w:sz w:val="20"/>
                <w:lang w:val="fr-CA"/>
              </w:rPr>
              <w:lastRenderedPageBreak/>
              <w:t>Cour suprême de la Colombie-Britannique</w:t>
            </w:r>
          </w:p>
          <w:p w:rsidR="00E75BCB" w:rsidRPr="003C02EC" w:rsidRDefault="00E75BCB" w:rsidP="00C5574B">
            <w:pPr>
              <w:tabs>
                <w:tab w:val="left" w:pos="9720"/>
              </w:tabs>
              <w:jc w:val="both"/>
              <w:rPr>
                <w:rFonts w:eastAsia="Calibri"/>
                <w:sz w:val="20"/>
                <w:lang w:val="fr-CA"/>
              </w:rPr>
            </w:pPr>
            <w:r w:rsidRPr="003C02EC">
              <w:rPr>
                <w:rFonts w:eastAsia="Calibri"/>
                <w:sz w:val="20"/>
                <w:lang w:val="fr-CA"/>
              </w:rPr>
              <w:t>(Juge Smith)</w:t>
            </w:r>
          </w:p>
          <w:p w:rsidR="00E75BCB" w:rsidRPr="003C02EC" w:rsidRDefault="001B62D0" w:rsidP="00C5574B">
            <w:pPr>
              <w:tabs>
                <w:tab w:val="left" w:pos="9720"/>
              </w:tabs>
              <w:jc w:val="both"/>
              <w:rPr>
                <w:rFonts w:eastAsia="Calibri"/>
                <w:sz w:val="20"/>
                <w:lang w:val="fr-CA"/>
              </w:rPr>
            </w:pPr>
            <w:hyperlink r:id="rId63" w:history="1">
              <w:r w:rsidR="00E75BCB" w:rsidRPr="003C02EC">
                <w:rPr>
                  <w:rFonts w:eastAsia="Calibri"/>
                  <w:color w:val="0000FF"/>
                  <w:sz w:val="20"/>
                  <w:u w:val="single"/>
                  <w:lang w:val="fr-CA"/>
                </w:rPr>
                <w:t>2012 BCSC 886</w:t>
              </w:r>
            </w:hyperlink>
          </w:p>
          <w:p w:rsidR="00E75BCB" w:rsidRPr="003C02EC" w:rsidRDefault="00E75BCB" w:rsidP="00C5574B">
            <w:pPr>
              <w:tabs>
                <w:tab w:val="left" w:pos="9720"/>
              </w:tabs>
              <w:jc w:val="both"/>
              <w:rPr>
                <w:rFonts w:eastAsia="Calibri"/>
                <w:sz w:val="20"/>
                <w:highlight w:val="yellow"/>
                <w:lang w:val="fr-CA"/>
              </w:rPr>
            </w:pPr>
          </w:p>
        </w:tc>
        <w:tc>
          <w:tcPr>
            <w:tcW w:w="326" w:type="pct"/>
          </w:tcPr>
          <w:p w:rsidR="00E75BCB" w:rsidRPr="003C02EC" w:rsidRDefault="00E75BCB" w:rsidP="00C5574B">
            <w:pPr>
              <w:tabs>
                <w:tab w:val="left" w:pos="9720"/>
              </w:tabs>
              <w:jc w:val="both"/>
              <w:rPr>
                <w:rFonts w:eastAsia="Calibri"/>
                <w:sz w:val="20"/>
                <w:highlight w:val="yellow"/>
                <w:lang w:val="fr-CA"/>
              </w:rPr>
            </w:pPr>
          </w:p>
        </w:tc>
        <w:tc>
          <w:tcPr>
            <w:tcW w:w="2339"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 xml:space="preserve">Jugement déclarant que les articles 14, 21, 22, 222 et </w:t>
            </w:r>
            <w:r w:rsidRPr="003C02EC">
              <w:rPr>
                <w:rFonts w:eastAsia="Calibri"/>
                <w:sz w:val="20"/>
                <w:lang w:val="fr-CA"/>
              </w:rPr>
              <w:lastRenderedPageBreak/>
              <w:t>241 du</w:t>
            </w:r>
            <w:r w:rsidRPr="003C02EC">
              <w:rPr>
                <w:rFonts w:eastAsia="Calibri"/>
                <w:i/>
                <w:sz w:val="20"/>
                <w:lang w:val="fr-CA"/>
              </w:rPr>
              <w:t xml:space="preserve"> Code criminel</w:t>
            </w:r>
            <w:r w:rsidRPr="003C02EC">
              <w:rPr>
                <w:rFonts w:eastAsia="Calibri"/>
                <w:sz w:val="20"/>
                <w:lang w:val="fr-CA"/>
              </w:rPr>
              <w:t xml:space="preserve"> portent atteinte de manière injustifiée aux art. 7 et 15 de la </w:t>
            </w:r>
            <w:r w:rsidRPr="003C02EC">
              <w:rPr>
                <w:rFonts w:eastAsia="Calibri"/>
                <w:i/>
                <w:sz w:val="20"/>
                <w:lang w:val="fr-CA"/>
              </w:rPr>
              <w:t>Charte</w:t>
            </w:r>
            <w:r w:rsidRPr="003C02EC">
              <w:rPr>
                <w:rFonts w:eastAsia="Calibri"/>
                <w:sz w:val="20"/>
                <w:lang w:val="fr-CA"/>
              </w:rPr>
              <w:t>; toutefois, l</w:t>
            </w:r>
            <w:r w:rsidRPr="003C02EC">
              <w:rPr>
                <w:rFonts w:eastAsia="Calibri"/>
                <w:smallCaps/>
                <w:sz w:val="20"/>
                <w:lang w:val="fr-CA"/>
              </w:rPr>
              <w:t>’</w:t>
            </w:r>
            <w:r w:rsidRPr="003C02EC">
              <w:rPr>
                <w:rFonts w:eastAsia="Calibri"/>
                <w:sz w:val="20"/>
                <w:lang w:val="fr-CA"/>
              </w:rPr>
              <w:t>exécution du jugement est suspendue pendant un an.</w:t>
            </w:r>
          </w:p>
          <w:p w:rsidR="00E75BCB" w:rsidRPr="003C02EC" w:rsidRDefault="00E75BCB" w:rsidP="00C5574B">
            <w:pPr>
              <w:tabs>
                <w:tab w:val="left" w:pos="9720"/>
              </w:tabs>
              <w:jc w:val="both"/>
              <w:rPr>
                <w:rFonts w:eastAsia="Calibri"/>
                <w:sz w:val="20"/>
                <w:highlight w:val="yellow"/>
                <w:lang w:val="fr-CA"/>
              </w:rPr>
            </w:pPr>
          </w:p>
        </w:tc>
      </w:tr>
      <w:tr w:rsidR="00E75BCB" w:rsidRPr="00023015" w:rsidTr="00C5574B">
        <w:tc>
          <w:tcPr>
            <w:tcW w:w="2335"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lastRenderedPageBreak/>
              <w:t>10 octobre 2013</w:t>
            </w:r>
          </w:p>
          <w:p w:rsidR="00E75BCB" w:rsidRPr="003C02EC" w:rsidRDefault="00E75BCB" w:rsidP="00C5574B">
            <w:pPr>
              <w:tabs>
                <w:tab w:val="left" w:pos="9720"/>
              </w:tabs>
              <w:jc w:val="both"/>
              <w:rPr>
                <w:rFonts w:eastAsia="Calibri"/>
                <w:sz w:val="20"/>
                <w:lang w:val="fr-CA"/>
              </w:rPr>
            </w:pPr>
            <w:r w:rsidRPr="003C02EC">
              <w:rPr>
                <w:rFonts w:eastAsia="Calibri"/>
                <w:sz w:val="20"/>
                <w:lang w:val="fr-CA"/>
              </w:rPr>
              <w:t>Cour d</w:t>
            </w:r>
            <w:r w:rsidRPr="003C02EC">
              <w:rPr>
                <w:rFonts w:eastAsia="Calibri"/>
                <w:smallCaps/>
                <w:sz w:val="20"/>
                <w:lang w:val="fr-CA"/>
              </w:rPr>
              <w:t>’</w:t>
            </w:r>
            <w:r w:rsidRPr="003C02EC">
              <w:rPr>
                <w:rFonts w:eastAsia="Calibri"/>
                <w:sz w:val="20"/>
                <w:lang w:val="fr-CA"/>
              </w:rPr>
              <w:t>appel de la Colombie-Britannique (Vancouver)</w:t>
            </w:r>
          </w:p>
          <w:p w:rsidR="00E75BCB" w:rsidRPr="003C02EC" w:rsidRDefault="00E75BCB" w:rsidP="00C5574B">
            <w:pPr>
              <w:tabs>
                <w:tab w:val="left" w:pos="9720"/>
              </w:tabs>
              <w:jc w:val="both"/>
              <w:rPr>
                <w:rFonts w:eastAsia="Calibri"/>
                <w:sz w:val="20"/>
                <w:lang w:val="fr-CA"/>
              </w:rPr>
            </w:pPr>
            <w:r w:rsidRPr="003C02EC">
              <w:rPr>
                <w:rFonts w:eastAsia="Calibri"/>
                <w:sz w:val="20"/>
                <w:lang w:val="fr-CA"/>
              </w:rPr>
              <w:t>(Juge en chef Finch [dissident], juges Newbury et Saunders)</w:t>
            </w:r>
          </w:p>
          <w:p w:rsidR="00E75BCB" w:rsidRPr="003C02EC" w:rsidRDefault="001B62D0" w:rsidP="00C5574B">
            <w:pPr>
              <w:tabs>
                <w:tab w:val="left" w:pos="9720"/>
              </w:tabs>
              <w:jc w:val="both"/>
              <w:rPr>
                <w:rFonts w:eastAsia="Calibri"/>
                <w:sz w:val="20"/>
                <w:lang w:val="fr-CA"/>
              </w:rPr>
            </w:pPr>
            <w:hyperlink r:id="rId64" w:history="1">
              <w:r w:rsidR="00E75BCB" w:rsidRPr="003C02EC">
                <w:rPr>
                  <w:rFonts w:eastAsia="Calibri"/>
                  <w:color w:val="0000FF"/>
                  <w:sz w:val="20"/>
                  <w:u w:val="single"/>
                  <w:lang w:val="fr-CA"/>
                </w:rPr>
                <w:t>2013 BCCA 435</w:t>
              </w:r>
            </w:hyperlink>
          </w:p>
          <w:p w:rsidR="00E75BCB" w:rsidRPr="003C02EC" w:rsidRDefault="00E75BCB" w:rsidP="00C5574B">
            <w:pPr>
              <w:tabs>
                <w:tab w:val="left" w:pos="9720"/>
              </w:tabs>
              <w:jc w:val="both"/>
              <w:rPr>
                <w:rFonts w:eastAsia="Calibri"/>
                <w:sz w:val="20"/>
                <w:lang w:val="fr-CA"/>
              </w:rPr>
            </w:pPr>
          </w:p>
        </w:tc>
        <w:tc>
          <w:tcPr>
            <w:tcW w:w="326" w:type="pct"/>
          </w:tcPr>
          <w:p w:rsidR="00E75BCB" w:rsidRPr="003C02EC" w:rsidRDefault="00E75BCB" w:rsidP="00C5574B">
            <w:pPr>
              <w:tabs>
                <w:tab w:val="left" w:pos="9720"/>
              </w:tabs>
              <w:jc w:val="both"/>
              <w:rPr>
                <w:rFonts w:eastAsia="Calibri"/>
                <w:sz w:val="20"/>
                <w:lang w:val="fr-CA"/>
              </w:rPr>
            </w:pPr>
          </w:p>
        </w:tc>
        <w:tc>
          <w:tcPr>
            <w:tcW w:w="2339"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 xml:space="preserve">Appel accueilli (juge en chef Finch dissident). </w:t>
            </w:r>
          </w:p>
        </w:tc>
      </w:tr>
      <w:tr w:rsidR="00E75BCB" w:rsidRPr="00023015" w:rsidTr="00C5574B">
        <w:tc>
          <w:tcPr>
            <w:tcW w:w="2335"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25 octobre 2013</w:t>
            </w:r>
          </w:p>
          <w:p w:rsidR="00E75BCB" w:rsidRPr="003C02EC" w:rsidRDefault="00E75BCB" w:rsidP="00C5574B">
            <w:pPr>
              <w:tabs>
                <w:tab w:val="left" w:pos="9720"/>
              </w:tabs>
              <w:jc w:val="both"/>
              <w:rPr>
                <w:rFonts w:eastAsia="Calibri"/>
                <w:sz w:val="20"/>
                <w:lang w:val="fr-CA"/>
              </w:rPr>
            </w:pPr>
            <w:r w:rsidRPr="003C02EC">
              <w:rPr>
                <w:rFonts w:eastAsia="Calibri"/>
                <w:sz w:val="20"/>
                <w:lang w:val="fr-CA"/>
              </w:rPr>
              <w:t>Cour suprême du Canada</w:t>
            </w:r>
          </w:p>
          <w:p w:rsidR="00E75BCB" w:rsidRPr="003C02EC" w:rsidRDefault="00E75BCB" w:rsidP="00C5574B">
            <w:pPr>
              <w:tabs>
                <w:tab w:val="left" w:pos="9720"/>
              </w:tabs>
              <w:jc w:val="both"/>
              <w:rPr>
                <w:rFonts w:eastAsia="Calibri"/>
                <w:sz w:val="20"/>
                <w:lang w:val="fr-CA"/>
              </w:rPr>
            </w:pPr>
          </w:p>
        </w:tc>
        <w:tc>
          <w:tcPr>
            <w:tcW w:w="326" w:type="pct"/>
          </w:tcPr>
          <w:p w:rsidR="00E75BCB" w:rsidRPr="003C02EC" w:rsidRDefault="00E75BCB" w:rsidP="00C5574B">
            <w:pPr>
              <w:tabs>
                <w:tab w:val="left" w:pos="9720"/>
              </w:tabs>
              <w:jc w:val="both"/>
              <w:rPr>
                <w:rFonts w:eastAsia="Calibri"/>
                <w:sz w:val="20"/>
                <w:lang w:val="fr-CA"/>
              </w:rPr>
            </w:pPr>
          </w:p>
        </w:tc>
        <w:tc>
          <w:tcPr>
            <w:tcW w:w="2339"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Demande d</w:t>
            </w:r>
            <w:r w:rsidRPr="003C02EC">
              <w:rPr>
                <w:rFonts w:eastAsia="Calibri"/>
                <w:smallCaps/>
                <w:sz w:val="20"/>
                <w:lang w:val="fr-CA"/>
              </w:rPr>
              <w:t>’</w:t>
            </w:r>
            <w:r w:rsidRPr="003C02EC">
              <w:rPr>
                <w:rFonts w:eastAsia="Calibri"/>
                <w:sz w:val="20"/>
                <w:lang w:val="fr-CA"/>
              </w:rPr>
              <w:t>autorisation d</w:t>
            </w:r>
            <w:r w:rsidRPr="003C02EC">
              <w:rPr>
                <w:rFonts w:eastAsia="Calibri"/>
                <w:smallCaps/>
                <w:sz w:val="20"/>
                <w:lang w:val="fr-CA"/>
              </w:rPr>
              <w:t>’</w:t>
            </w:r>
            <w:r w:rsidRPr="003C02EC">
              <w:rPr>
                <w:rFonts w:eastAsia="Calibri"/>
                <w:sz w:val="20"/>
                <w:lang w:val="fr-CA"/>
              </w:rPr>
              <w:t>appel, déposée, accompagnée d</w:t>
            </w:r>
            <w:r w:rsidRPr="003C02EC">
              <w:rPr>
                <w:rFonts w:eastAsia="Calibri"/>
                <w:smallCaps/>
                <w:sz w:val="20"/>
                <w:lang w:val="fr-CA"/>
              </w:rPr>
              <w:t>’</w:t>
            </w:r>
            <w:r w:rsidRPr="003C02EC">
              <w:rPr>
                <w:rFonts w:eastAsia="Calibri"/>
                <w:sz w:val="20"/>
                <w:lang w:val="fr-CA"/>
              </w:rPr>
              <w:t>une requête visant à hâter l</w:t>
            </w:r>
            <w:r w:rsidRPr="003C02EC">
              <w:rPr>
                <w:rFonts w:eastAsia="Calibri"/>
                <w:smallCaps/>
                <w:sz w:val="20"/>
                <w:lang w:val="fr-CA"/>
              </w:rPr>
              <w:t>’</w:t>
            </w:r>
            <w:r w:rsidRPr="003C02EC">
              <w:rPr>
                <w:rFonts w:eastAsia="Calibri"/>
                <w:sz w:val="20"/>
                <w:lang w:val="fr-CA"/>
              </w:rPr>
              <w:t>examen de la demande d</w:t>
            </w:r>
            <w:r w:rsidRPr="003C02EC">
              <w:rPr>
                <w:rFonts w:eastAsia="Calibri"/>
                <w:smallCaps/>
                <w:sz w:val="20"/>
                <w:lang w:val="fr-CA"/>
              </w:rPr>
              <w:t>’</w:t>
            </w:r>
            <w:r w:rsidRPr="003C02EC">
              <w:rPr>
                <w:rFonts w:eastAsia="Calibri"/>
                <w:sz w:val="20"/>
                <w:lang w:val="fr-CA"/>
              </w:rPr>
              <w:t>autorisation et, si l</w:t>
            </w:r>
            <w:r w:rsidRPr="003C02EC">
              <w:rPr>
                <w:rFonts w:eastAsia="Calibri"/>
                <w:smallCaps/>
                <w:sz w:val="20"/>
                <w:lang w:val="fr-CA"/>
              </w:rPr>
              <w:t>’</w:t>
            </w:r>
            <w:r w:rsidRPr="003C02EC">
              <w:rPr>
                <w:rFonts w:eastAsia="Calibri"/>
                <w:sz w:val="20"/>
                <w:lang w:val="fr-CA"/>
              </w:rPr>
              <w:t>autorisation est accordée, à accélérer la procédure d</w:t>
            </w:r>
            <w:r w:rsidRPr="003C02EC">
              <w:rPr>
                <w:rFonts w:eastAsia="Calibri"/>
                <w:smallCaps/>
                <w:sz w:val="20"/>
                <w:lang w:val="fr-CA"/>
              </w:rPr>
              <w:t>’</w:t>
            </w:r>
            <w:r w:rsidRPr="003C02EC">
              <w:rPr>
                <w:rFonts w:eastAsia="Calibri"/>
                <w:sz w:val="20"/>
                <w:lang w:val="fr-CA"/>
              </w:rPr>
              <w:t>appel</w:t>
            </w:r>
            <w:r w:rsidRPr="003C02EC">
              <w:rPr>
                <w:rFonts w:eastAsia="Calibri"/>
                <w:bCs/>
                <w:sz w:val="20"/>
                <w:lang w:val="fr-CA"/>
              </w:rPr>
              <w:t>.</w:t>
            </w:r>
          </w:p>
          <w:p w:rsidR="00E75BCB" w:rsidRPr="003C02EC" w:rsidRDefault="00E75BCB" w:rsidP="00C5574B">
            <w:pPr>
              <w:tabs>
                <w:tab w:val="left" w:pos="9720"/>
              </w:tabs>
              <w:jc w:val="both"/>
              <w:rPr>
                <w:rFonts w:eastAsia="Calibri"/>
                <w:sz w:val="20"/>
                <w:lang w:val="fr-CA"/>
              </w:rPr>
            </w:pPr>
          </w:p>
        </w:tc>
      </w:tr>
      <w:tr w:rsidR="00E75BCB" w:rsidRPr="00023015" w:rsidTr="00C5574B">
        <w:tc>
          <w:tcPr>
            <w:tcW w:w="2335"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22 novembre 2013</w:t>
            </w:r>
          </w:p>
          <w:p w:rsidR="00E75BCB" w:rsidRPr="003C02EC" w:rsidRDefault="00E75BCB" w:rsidP="00C5574B">
            <w:pPr>
              <w:tabs>
                <w:tab w:val="left" w:pos="9720"/>
              </w:tabs>
              <w:jc w:val="both"/>
              <w:rPr>
                <w:rFonts w:eastAsia="Calibri"/>
                <w:sz w:val="20"/>
                <w:lang w:val="fr-CA"/>
              </w:rPr>
            </w:pPr>
            <w:r w:rsidRPr="003C02EC">
              <w:rPr>
                <w:rFonts w:eastAsia="Calibri"/>
                <w:sz w:val="20"/>
                <w:lang w:val="fr-CA"/>
              </w:rPr>
              <w:t>Cour suprême du Canada</w:t>
            </w:r>
          </w:p>
        </w:tc>
        <w:tc>
          <w:tcPr>
            <w:tcW w:w="326" w:type="pct"/>
          </w:tcPr>
          <w:p w:rsidR="00E75BCB" w:rsidRPr="003C02EC" w:rsidRDefault="00E75BCB" w:rsidP="00C5574B">
            <w:pPr>
              <w:tabs>
                <w:tab w:val="left" w:pos="9720"/>
              </w:tabs>
              <w:jc w:val="both"/>
              <w:rPr>
                <w:rFonts w:eastAsia="Calibri"/>
                <w:sz w:val="20"/>
                <w:lang w:val="fr-CA"/>
              </w:rPr>
            </w:pPr>
          </w:p>
        </w:tc>
        <w:tc>
          <w:tcPr>
            <w:tcW w:w="2339"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Requête conjointe en intervention du Conseil des Canadiens avec déficiences et de l</w:t>
            </w:r>
            <w:r w:rsidRPr="003C02EC">
              <w:rPr>
                <w:rFonts w:eastAsia="Calibri"/>
                <w:smallCaps/>
                <w:sz w:val="20"/>
                <w:lang w:val="fr-CA"/>
              </w:rPr>
              <w:t>’</w:t>
            </w:r>
            <w:r w:rsidRPr="003C02EC">
              <w:rPr>
                <w:rFonts w:eastAsia="Calibri"/>
                <w:sz w:val="20"/>
                <w:lang w:val="fr-CA"/>
              </w:rPr>
              <w:t>Association canadienne pour l</w:t>
            </w:r>
            <w:r w:rsidRPr="003C02EC">
              <w:rPr>
                <w:rFonts w:eastAsia="Calibri"/>
                <w:smallCaps/>
                <w:sz w:val="20"/>
                <w:lang w:val="fr-CA"/>
              </w:rPr>
              <w:t>’</w:t>
            </w:r>
            <w:r w:rsidRPr="003C02EC">
              <w:rPr>
                <w:rFonts w:eastAsia="Calibri"/>
                <w:sz w:val="20"/>
                <w:lang w:val="fr-CA"/>
              </w:rPr>
              <w:t>intégration communautaire, déposée.</w:t>
            </w:r>
          </w:p>
          <w:p w:rsidR="00E75BCB" w:rsidRPr="003C02EC" w:rsidRDefault="00E75BCB" w:rsidP="00C5574B">
            <w:pPr>
              <w:tabs>
                <w:tab w:val="left" w:pos="9720"/>
              </w:tabs>
              <w:jc w:val="both"/>
              <w:rPr>
                <w:rFonts w:eastAsia="Calibri"/>
                <w:sz w:val="20"/>
                <w:lang w:val="fr-CA"/>
              </w:rPr>
            </w:pPr>
          </w:p>
        </w:tc>
      </w:tr>
      <w:tr w:rsidR="00E75BCB" w:rsidRPr="00023015" w:rsidTr="00C5574B">
        <w:tc>
          <w:tcPr>
            <w:tcW w:w="2335"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25 novembre 2013</w:t>
            </w:r>
          </w:p>
          <w:p w:rsidR="00E75BCB" w:rsidRPr="003C02EC" w:rsidRDefault="00E75BCB" w:rsidP="00C5574B">
            <w:pPr>
              <w:tabs>
                <w:tab w:val="left" w:pos="9720"/>
              </w:tabs>
              <w:jc w:val="both"/>
              <w:rPr>
                <w:rFonts w:eastAsia="Calibri"/>
                <w:sz w:val="20"/>
                <w:lang w:val="fr-CA"/>
              </w:rPr>
            </w:pPr>
            <w:r w:rsidRPr="003C02EC">
              <w:rPr>
                <w:rFonts w:eastAsia="Calibri"/>
                <w:sz w:val="20"/>
                <w:lang w:val="fr-CA"/>
              </w:rPr>
              <w:t>Cour suprême du Canada</w:t>
            </w:r>
          </w:p>
        </w:tc>
        <w:tc>
          <w:tcPr>
            <w:tcW w:w="326" w:type="pct"/>
          </w:tcPr>
          <w:p w:rsidR="00E75BCB" w:rsidRPr="003C02EC" w:rsidRDefault="00E75BCB" w:rsidP="00C5574B">
            <w:pPr>
              <w:tabs>
                <w:tab w:val="left" w:pos="9720"/>
              </w:tabs>
              <w:jc w:val="both"/>
              <w:rPr>
                <w:rFonts w:eastAsia="Calibri"/>
                <w:sz w:val="20"/>
                <w:lang w:val="fr-CA"/>
              </w:rPr>
            </w:pPr>
          </w:p>
        </w:tc>
        <w:tc>
          <w:tcPr>
            <w:tcW w:w="2339" w:type="pct"/>
          </w:tcPr>
          <w:p w:rsidR="00E75BCB" w:rsidRPr="003C02EC" w:rsidRDefault="00E75BCB" w:rsidP="00C5574B">
            <w:pPr>
              <w:tabs>
                <w:tab w:val="left" w:pos="9720"/>
              </w:tabs>
              <w:jc w:val="both"/>
              <w:rPr>
                <w:rFonts w:eastAsia="Calibri"/>
                <w:sz w:val="20"/>
                <w:lang w:val="fr-CA"/>
              </w:rPr>
            </w:pPr>
            <w:r w:rsidRPr="003C02EC">
              <w:rPr>
                <w:rFonts w:eastAsia="Calibri"/>
                <w:sz w:val="20"/>
                <w:lang w:val="fr-CA"/>
              </w:rPr>
              <w:t>Requête conjointe en intervention d</w:t>
            </w:r>
            <w:r w:rsidRPr="003C02EC">
              <w:rPr>
                <w:rFonts w:eastAsia="Calibri"/>
                <w:smallCaps/>
                <w:sz w:val="20"/>
                <w:lang w:val="fr-CA"/>
              </w:rPr>
              <w:t>’</w:t>
            </w:r>
            <w:r w:rsidRPr="003C02EC">
              <w:rPr>
                <w:rFonts w:eastAsia="Calibri"/>
                <w:sz w:val="20"/>
                <w:lang w:val="fr-CA"/>
              </w:rPr>
              <w:t>Euthanasia Prevention Coalition et d</w:t>
            </w:r>
            <w:r w:rsidRPr="003C02EC">
              <w:rPr>
                <w:rFonts w:eastAsia="Calibri"/>
                <w:smallCaps/>
                <w:sz w:val="20"/>
                <w:lang w:val="fr-CA"/>
              </w:rPr>
              <w:t>’</w:t>
            </w:r>
            <w:r w:rsidRPr="003C02EC">
              <w:rPr>
                <w:rFonts w:eastAsia="Calibri"/>
                <w:sz w:val="20"/>
                <w:lang w:val="fr-CA"/>
              </w:rPr>
              <w:t>Euthanasia Prevention Coalition – British Columbia.</w:t>
            </w:r>
          </w:p>
        </w:tc>
      </w:tr>
    </w:tbl>
    <w:p w:rsidR="00370E33" w:rsidRPr="00E75BCB" w:rsidRDefault="00370E33" w:rsidP="00370E33">
      <w:pPr>
        <w:rPr>
          <w:sz w:val="20"/>
          <w:szCs w:val="20"/>
          <w:lang w:val="fr-CA"/>
        </w:rPr>
      </w:pPr>
    </w:p>
    <w:p w:rsidR="00370E33" w:rsidRDefault="001B62D0" w:rsidP="00370E33">
      <w:pPr>
        <w:rPr>
          <w:sz w:val="20"/>
          <w:szCs w:val="20"/>
        </w:rPr>
      </w:pPr>
      <w:r>
        <w:rPr>
          <w:sz w:val="20"/>
          <w:szCs w:val="20"/>
          <w:lang w:val="fr-CA"/>
        </w:rPr>
        <w:pict>
          <v:rect id="_x0000_i1055"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B6A58" w:rsidRPr="00421D33" w:rsidTr="00E66729">
        <w:trPr>
          <w:cantSplit/>
        </w:trPr>
        <w:tc>
          <w:tcPr>
            <w:tcW w:w="1458" w:type="dxa"/>
          </w:tcPr>
          <w:p w:rsidR="006B6A58" w:rsidRPr="00421D33" w:rsidRDefault="006B6A58" w:rsidP="00E66729">
            <w:pPr>
              <w:rPr>
                <w:sz w:val="20"/>
                <w:szCs w:val="20"/>
              </w:rPr>
            </w:pPr>
            <w:r w:rsidRPr="00421D33">
              <w:rPr>
                <w:rStyle w:val="SCCFileNumberChar"/>
                <w:sz w:val="20"/>
                <w:szCs w:val="20"/>
              </w:rPr>
              <w:t>35592</w:t>
            </w:r>
          </w:p>
          <w:p w:rsidR="006B6A58" w:rsidRPr="00421D33" w:rsidRDefault="006B6A58" w:rsidP="00E66729">
            <w:pPr>
              <w:rPr>
                <w:b/>
                <w:sz w:val="20"/>
                <w:szCs w:val="20"/>
                <w:lang w:val="fr-CA"/>
              </w:rPr>
            </w:pPr>
          </w:p>
        </w:tc>
        <w:tc>
          <w:tcPr>
            <w:tcW w:w="8118" w:type="dxa"/>
          </w:tcPr>
          <w:p w:rsidR="006B6A58" w:rsidRPr="00421D33" w:rsidRDefault="006B6A58" w:rsidP="00E66729">
            <w:pPr>
              <w:rPr>
                <w:sz w:val="20"/>
                <w:szCs w:val="20"/>
              </w:rPr>
            </w:pPr>
            <w:r w:rsidRPr="00421D33">
              <w:rPr>
                <w:rStyle w:val="SCCLsocChar"/>
                <w:sz w:val="20"/>
                <w:szCs w:val="20"/>
                <w:lang w:val="en-CA"/>
              </w:rPr>
              <w:t>Shawn Jordan v. Dawn Johnson</w:t>
            </w:r>
            <w:r w:rsidRPr="00421D33">
              <w:rPr>
                <w:sz w:val="20"/>
                <w:szCs w:val="20"/>
              </w:rPr>
              <w:t xml:space="preserve"> (Alta.) (Civil) (By Leave)</w:t>
            </w:r>
          </w:p>
          <w:p w:rsidR="006B6A58" w:rsidRPr="00421D33" w:rsidRDefault="006B6A58" w:rsidP="00E66729">
            <w:pPr>
              <w:rPr>
                <w:sz w:val="20"/>
                <w:szCs w:val="20"/>
              </w:rPr>
            </w:pPr>
          </w:p>
        </w:tc>
      </w:tr>
      <w:tr w:rsidR="006B6A58" w:rsidRPr="00421D33" w:rsidTr="00E66729">
        <w:trPr>
          <w:cantSplit/>
        </w:trPr>
        <w:tc>
          <w:tcPr>
            <w:tcW w:w="1458" w:type="dxa"/>
          </w:tcPr>
          <w:p w:rsidR="006B6A58" w:rsidRPr="00421D33" w:rsidRDefault="006B6A58" w:rsidP="00E66729">
            <w:pPr>
              <w:rPr>
                <w:sz w:val="20"/>
                <w:szCs w:val="20"/>
              </w:rPr>
            </w:pPr>
            <w:r w:rsidRPr="00421D33">
              <w:rPr>
                <w:sz w:val="20"/>
                <w:szCs w:val="20"/>
              </w:rPr>
              <w:t>Coram :</w:t>
            </w:r>
          </w:p>
        </w:tc>
        <w:tc>
          <w:tcPr>
            <w:tcW w:w="8118" w:type="dxa"/>
          </w:tcPr>
          <w:p w:rsidR="006B6A58" w:rsidRPr="00421D33" w:rsidRDefault="006B6A58" w:rsidP="00E66729">
            <w:pPr>
              <w:rPr>
                <w:sz w:val="20"/>
                <w:szCs w:val="20"/>
              </w:rPr>
            </w:pPr>
            <w:r w:rsidRPr="00421D33">
              <w:rPr>
                <w:rStyle w:val="SCCCoramChar"/>
                <w:sz w:val="20"/>
                <w:szCs w:val="20"/>
                <w:lang w:val="en-CA"/>
              </w:rPr>
              <w:t>Abella, Rothstein and Moldaver JJ.</w:t>
            </w:r>
          </w:p>
          <w:p w:rsidR="006B6A58" w:rsidRPr="00421D33" w:rsidRDefault="006B6A58" w:rsidP="00E66729">
            <w:pPr>
              <w:rPr>
                <w:sz w:val="20"/>
                <w:szCs w:val="20"/>
                <w:u w:val="single"/>
              </w:rPr>
            </w:pPr>
          </w:p>
        </w:tc>
      </w:tr>
      <w:tr w:rsidR="006B6A58" w:rsidRPr="00023015" w:rsidTr="00E66729">
        <w:trPr>
          <w:cantSplit/>
        </w:trPr>
        <w:tc>
          <w:tcPr>
            <w:tcW w:w="9576" w:type="dxa"/>
            <w:gridSpan w:val="2"/>
          </w:tcPr>
          <w:p w:rsidR="006B6A58" w:rsidRPr="00421D33" w:rsidRDefault="006B6A58" w:rsidP="00E66729">
            <w:pPr>
              <w:pStyle w:val="SCCShortJudgment"/>
              <w:rPr>
                <w:szCs w:val="20"/>
              </w:rPr>
            </w:pPr>
            <w:r w:rsidRPr="00421D33">
              <w:rPr>
                <w:szCs w:val="20"/>
              </w:rPr>
              <w:t>The application for leave to appeal from the judgment of the Court of Appeal of Alberta (Calgary), Number 1201-0345-AC, 2013 ABCA 233, dated July 4, 2013, is dismissed without costs.</w:t>
            </w:r>
          </w:p>
          <w:p w:rsidR="006B6A58" w:rsidRPr="00421D33" w:rsidRDefault="006B6A58" w:rsidP="00E66729">
            <w:pPr>
              <w:pStyle w:val="SCCShortJudgment"/>
              <w:ind w:firstLine="0"/>
              <w:rPr>
                <w:szCs w:val="20"/>
              </w:rPr>
            </w:pPr>
          </w:p>
          <w:p w:rsidR="006B6A58" w:rsidRPr="00421D33" w:rsidRDefault="006B6A58" w:rsidP="00E66729">
            <w:pPr>
              <w:pStyle w:val="SCCShortJudgment"/>
              <w:rPr>
                <w:szCs w:val="20"/>
                <w:lang w:val="fr-CA"/>
              </w:rPr>
            </w:pPr>
            <w:r w:rsidRPr="00421D33">
              <w:rPr>
                <w:szCs w:val="20"/>
                <w:lang w:val="fr-CA"/>
              </w:rPr>
              <w:t>La demande d’autorisation d’appel de l’arrêt de la Cour d'appel de l’Alberta (Calgary), numéro 1201-0345-AC, 2013 ABCA 233, daté du 4 juillet 2013, est rejetée sans dépens.</w:t>
            </w:r>
          </w:p>
        </w:tc>
      </w:tr>
    </w:tbl>
    <w:p w:rsidR="00370E33" w:rsidRPr="0016547E" w:rsidRDefault="00370E33" w:rsidP="00370E33">
      <w:pPr>
        <w:rPr>
          <w:sz w:val="20"/>
          <w:szCs w:val="20"/>
          <w:lang w:val="fr-CA"/>
        </w:rPr>
      </w:pPr>
    </w:p>
    <w:p w:rsidR="00370E33" w:rsidRPr="001B157C" w:rsidRDefault="00370E33" w:rsidP="00370E33">
      <w:pPr>
        <w:rPr>
          <w:sz w:val="20"/>
          <w:szCs w:val="20"/>
          <w:u w:val="single"/>
        </w:rPr>
      </w:pPr>
      <w:r w:rsidRPr="001B157C">
        <w:rPr>
          <w:sz w:val="20"/>
          <w:szCs w:val="20"/>
          <w:u w:val="single"/>
        </w:rPr>
        <w:t>CASE SUMMARY</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5BCB" w:rsidRPr="003C02EC" w:rsidTr="00C5574B">
        <w:tc>
          <w:tcPr>
            <w:tcW w:w="5000" w:type="pct"/>
            <w:gridSpan w:val="3"/>
          </w:tcPr>
          <w:p w:rsidR="00E75BCB" w:rsidRPr="003C02EC" w:rsidRDefault="00E75BCB" w:rsidP="00C5574B">
            <w:pPr>
              <w:jc w:val="both"/>
              <w:rPr>
                <w:rFonts w:eastAsia="Calibri"/>
                <w:sz w:val="20"/>
              </w:rPr>
            </w:pPr>
            <w:r w:rsidRPr="003C02EC">
              <w:rPr>
                <w:rFonts w:eastAsia="Calibri"/>
                <w:sz w:val="20"/>
              </w:rPr>
              <w:t xml:space="preserve">Family law – Custody – Access – Court ordering supervised access for father of two children – Do adequate safeguards exist to prevent public officers from using the judicial system as an instrument to officiously oppress a member of Her Majesty’s citizenry, and if not how is that member required or able to prevent the continuation of that oppression? – If an endorsed order has no record of public pronouncement, supporting application, or consent of the </w:t>
            </w:r>
            <w:r w:rsidRPr="003C02EC">
              <w:rPr>
                <w:rFonts w:eastAsia="Calibri"/>
                <w:sz w:val="20"/>
              </w:rPr>
              <w:lastRenderedPageBreak/>
              <w:t>parties to support its validity, does the Supreme Court of Canada have a duty in law, to annul it, if it is patently improper?</w:t>
            </w:r>
          </w:p>
        </w:tc>
      </w:tr>
      <w:tr w:rsidR="00E75BCB" w:rsidRPr="003C02EC" w:rsidTr="00C5574B">
        <w:tc>
          <w:tcPr>
            <w:tcW w:w="5000" w:type="pct"/>
            <w:gridSpan w:val="3"/>
          </w:tcPr>
          <w:p w:rsidR="00E75BCB" w:rsidRPr="003C02EC" w:rsidRDefault="00E75BCB" w:rsidP="00C5574B">
            <w:pPr>
              <w:jc w:val="both"/>
              <w:rPr>
                <w:rFonts w:eastAsia="Calibri"/>
                <w:sz w:val="20"/>
              </w:rPr>
            </w:pPr>
          </w:p>
        </w:tc>
      </w:tr>
      <w:tr w:rsidR="00E75BCB" w:rsidRPr="003C02EC" w:rsidTr="00C5574B">
        <w:tc>
          <w:tcPr>
            <w:tcW w:w="5000" w:type="pct"/>
            <w:gridSpan w:val="3"/>
          </w:tcPr>
          <w:p w:rsidR="00E75BCB" w:rsidRPr="003C02EC" w:rsidRDefault="00E75BCB" w:rsidP="00C5574B">
            <w:pPr>
              <w:jc w:val="both"/>
              <w:rPr>
                <w:rFonts w:eastAsia="Calibri"/>
                <w:sz w:val="20"/>
              </w:rPr>
            </w:pPr>
            <w:r w:rsidRPr="003C02EC">
              <w:rPr>
                <w:rFonts w:eastAsia="Calibri"/>
                <w:sz w:val="20"/>
              </w:rPr>
              <w:t>The parties are parents of an approximately 12 year old son and 11 year old daughter who separated in 2004.  In 2007, there was a court order that provided Mr. Jordan with reasonable access to the children.  In 2010, as a result of an email he wrote to the Maintenance Enforcement Program, the mother was granted a temporary order for supervised access.  The father did not have any access to the children at all for the next two and a half years.  In 2012, the father applied to nullify the order, asking that he be granted liberal and generous unsupervised access, a retroactive variation of child support and the return of his driver’s licence and passport.</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t>December 13, 2012</w:t>
            </w:r>
          </w:p>
          <w:p w:rsidR="00E75BCB" w:rsidRPr="003C02EC" w:rsidRDefault="00E75BCB" w:rsidP="00C5574B">
            <w:pPr>
              <w:jc w:val="both"/>
              <w:rPr>
                <w:rFonts w:eastAsia="Calibri"/>
                <w:sz w:val="20"/>
              </w:rPr>
            </w:pPr>
            <w:r w:rsidRPr="003C02EC">
              <w:rPr>
                <w:rFonts w:eastAsia="Calibri"/>
                <w:sz w:val="20"/>
              </w:rPr>
              <w:t>Court of Queen’s Bench of Alberta</w:t>
            </w:r>
          </w:p>
          <w:p w:rsidR="00E75BCB" w:rsidRPr="003C02EC" w:rsidRDefault="00E75BCB" w:rsidP="00C5574B">
            <w:pPr>
              <w:jc w:val="both"/>
              <w:rPr>
                <w:rFonts w:eastAsia="Calibri"/>
                <w:sz w:val="20"/>
              </w:rPr>
            </w:pPr>
            <w:r w:rsidRPr="003C02EC">
              <w:rPr>
                <w:rFonts w:eastAsia="Calibri"/>
                <w:sz w:val="20"/>
              </w:rPr>
              <w:t>Unreported</w:t>
            </w:r>
          </w:p>
          <w:p w:rsidR="00E75BCB" w:rsidRPr="003C02EC" w:rsidRDefault="00E75BCB" w:rsidP="00C5574B">
            <w:pPr>
              <w:jc w:val="both"/>
              <w:rPr>
                <w:rFonts w:eastAsia="Calibri"/>
                <w:sz w:val="20"/>
              </w:rPr>
            </w:pP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Applicant’s application to nullify 2010 supervised access order dismissed</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t>July 4, 2013</w:t>
            </w:r>
          </w:p>
          <w:p w:rsidR="00E75BCB" w:rsidRPr="003C02EC" w:rsidRDefault="00E75BCB" w:rsidP="00C5574B">
            <w:pPr>
              <w:jc w:val="both"/>
              <w:rPr>
                <w:rFonts w:eastAsia="Calibri"/>
                <w:sz w:val="20"/>
              </w:rPr>
            </w:pPr>
            <w:r w:rsidRPr="003C02EC">
              <w:rPr>
                <w:rFonts w:eastAsia="Calibri"/>
                <w:sz w:val="20"/>
              </w:rPr>
              <w:t>Court of Appeal of Alberta (Calgary)</w:t>
            </w:r>
          </w:p>
          <w:p w:rsidR="00E75BCB" w:rsidRPr="003C02EC" w:rsidRDefault="00E75BCB" w:rsidP="00C5574B">
            <w:pPr>
              <w:jc w:val="both"/>
              <w:rPr>
                <w:rFonts w:eastAsia="Calibri"/>
                <w:sz w:val="20"/>
              </w:rPr>
            </w:pPr>
            <w:r w:rsidRPr="003C02EC">
              <w:rPr>
                <w:rFonts w:eastAsia="Calibri"/>
                <w:sz w:val="20"/>
              </w:rPr>
              <w:t>(O'Brien, Martin and O'Ferrall JJ.A.)</w:t>
            </w:r>
          </w:p>
          <w:p w:rsidR="00E75BCB" w:rsidRPr="003C02EC" w:rsidRDefault="00E75BCB" w:rsidP="00C5574B">
            <w:pPr>
              <w:jc w:val="both"/>
              <w:rPr>
                <w:rFonts w:eastAsia="Calibri"/>
                <w:sz w:val="20"/>
              </w:rPr>
            </w:pPr>
            <w:r w:rsidRPr="003C02EC">
              <w:rPr>
                <w:rFonts w:eastAsia="Calibri"/>
                <w:sz w:val="20"/>
              </w:rPr>
              <w:t>2013 ABCA 233</w:t>
            </w:r>
          </w:p>
          <w:p w:rsidR="00E75BCB" w:rsidRPr="003C02EC" w:rsidRDefault="00E75BCB" w:rsidP="00C5574B">
            <w:pPr>
              <w:jc w:val="both"/>
              <w:rPr>
                <w:rFonts w:eastAsia="Calibri"/>
                <w:sz w:val="20"/>
              </w:rPr>
            </w:pP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Applicant’s appeal dismissed</w:t>
            </w:r>
          </w:p>
          <w:p w:rsidR="00E75BCB" w:rsidRPr="003C02EC" w:rsidRDefault="00E75BCB" w:rsidP="00C5574B">
            <w:pPr>
              <w:jc w:val="both"/>
              <w:rPr>
                <w:rFonts w:eastAsia="Calibri"/>
                <w:sz w:val="20"/>
              </w:rPr>
            </w:pPr>
          </w:p>
        </w:tc>
      </w:tr>
      <w:tr w:rsidR="00E75BCB" w:rsidRPr="003C02EC" w:rsidTr="00C5574B">
        <w:tc>
          <w:tcPr>
            <w:tcW w:w="2427" w:type="pct"/>
          </w:tcPr>
          <w:p w:rsidR="00E75BCB" w:rsidRPr="003C02EC" w:rsidRDefault="00E75BCB" w:rsidP="00C5574B">
            <w:pPr>
              <w:jc w:val="both"/>
              <w:rPr>
                <w:rFonts w:eastAsia="Calibri"/>
                <w:sz w:val="20"/>
              </w:rPr>
            </w:pPr>
            <w:r w:rsidRPr="003C02EC">
              <w:rPr>
                <w:rFonts w:eastAsia="Calibri"/>
                <w:sz w:val="20"/>
              </w:rPr>
              <w:t>September 26, 2013</w:t>
            </w:r>
          </w:p>
          <w:p w:rsidR="00E75BCB" w:rsidRPr="003C02EC" w:rsidRDefault="00E75BCB" w:rsidP="00C5574B">
            <w:pPr>
              <w:jc w:val="both"/>
              <w:rPr>
                <w:rFonts w:eastAsia="Calibri"/>
                <w:sz w:val="20"/>
              </w:rPr>
            </w:pPr>
            <w:r w:rsidRPr="003C02EC">
              <w:rPr>
                <w:rFonts w:eastAsia="Calibri"/>
                <w:sz w:val="20"/>
              </w:rPr>
              <w:t>Supreme Court of Canada</w:t>
            </w:r>
          </w:p>
        </w:tc>
        <w:tc>
          <w:tcPr>
            <w:tcW w:w="243" w:type="pct"/>
          </w:tcPr>
          <w:p w:rsidR="00E75BCB" w:rsidRPr="003C02EC" w:rsidRDefault="00E75BCB" w:rsidP="00C5574B">
            <w:pPr>
              <w:jc w:val="both"/>
              <w:rPr>
                <w:rFonts w:eastAsia="Calibri"/>
                <w:sz w:val="20"/>
              </w:rPr>
            </w:pPr>
          </w:p>
        </w:tc>
        <w:tc>
          <w:tcPr>
            <w:tcW w:w="2330" w:type="pct"/>
          </w:tcPr>
          <w:p w:rsidR="00E75BCB" w:rsidRPr="003C02EC" w:rsidRDefault="00E75BCB" w:rsidP="00C5574B">
            <w:pPr>
              <w:jc w:val="both"/>
              <w:rPr>
                <w:rFonts w:eastAsia="Calibri"/>
                <w:sz w:val="20"/>
              </w:rPr>
            </w:pPr>
            <w:r w:rsidRPr="003C02EC">
              <w:rPr>
                <w:rFonts w:eastAsia="Calibri"/>
                <w:sz w:val="20"/>
              </w:rPr>
              <w:t>Application for leave to appeal filed</w:t>
            </w:r>
          </w:p>
          <w:p w:rsidR="00E75BCB" w:rsidRPr="003C02EC" w:rsidRDefault="00E75BCB" w:rsidP="00C5574B">
            <w:pPr>
              <w:jc w:val="both"/>
              <w:rPr>
                <w:rFonts w:eastAsia="Calibri"/>
                <w:sz w:val="20"/>
              </w:rPr>
            </w:pPr>
          </w:p>
        </w:tc>
      </w:tr>
    </w:tbl>
    <w:p w:rsidR="00370E33" w:rsidRDefault="00370E33" w:rsidP="00370E33">
      <w:pPr>
        <w:rPr>
          <w:sz w:val="20"/>
          <w:szCs w:val="20"/>
        </w:rPr>
      </w:pPr>
    </w:p>
    <w:p w:rsidR="00370E33" w:rsidRPr="00C50A5C" w:rsidRDefault="001B62D0" w:rsidP="00370E33">
      <w:pPr>
        <w:rPr>
          <w:sz w:val="20"/>
          <w:szCs w:val="20"/>
        </w:rPr>
      </w:pPr>
      <w:r>
        <w:rPr>
          <w:sz w:val="20"/>
          <w:szCs w:val="20"/>
          <w:lang w:val="fr-CA"/>
        </w:rPr>
        <w:pict>
          <v:rect id="_x0000_i1056" style="width:2in;height:1pt" o:hrpct="0" o:hralign="center" o:hrstd="t" o:hrnoshade="t" o:hr="t" fillcolor="black [3213]" stroked="f"/>
        </w:pict>
      </w:r>
    </w:p>
    <w:p w:rsidR="00370E33" w:rsidRDefault="00370E33" w:rsidP="00370E33">
      <w:pPr>
        <w:rPr>
          <w:sz w:val="20"/>
          <w:szCs w:val="20"/>
        </w:rPr>
      </w:pPr>
    </w:p>
    <w:p w:rsidR="00370E33" w:rsidRPr="001B157C" w:rsidRDefault="00370E33" w:rsidP="00370E33">
      <w:pPr>
        <w:rPr>
          <w:sz w:val="20"/>
          <w:szCs w:val="20"/>
          <w:u w:val="single"/>
          <w:lang w:val="fr-CA"/>
        </w:rPr>
      </w:pPr>
      <w:r w:rsidRPr="001B157C">
        <w:rPr>
          <w:sz w:val="20"/>
          <w:szCs w:val="20"/>
          <w:u w:val="single"/>
          <w:lang w:val="fr-CA"/>
        </w:rPr>
        <w:t>RÉSUMÉ DE L’AFFAIRE</w:t>
      </w:r>
    </w:p>
    <w:p w:rsidR="00370E33" w:rsidRDefault="00370E33" w:rsidP="00370E3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5BCB" w:rsidRPr="00023015" w:rsidTr="00C5574B">
        <w:tc>
          <w:tcPr>
            <w:tcW w:w="5000" w:type="pct"/>
            <w:gridSpan w:val="3"/>
          </w:tcPr>
          <w:p w:rsidR="00E75BCB" w:rsidRPr="003C02EC" w:rsidRDefault="00E75BCB" w:rsidP="00C5574B">
            <w:pPr>
              <w:jc w:val="both"/>
              <w:rPr>
                <w:rFonts w:eastAsia="Calibri"/>
                <w:sz w:val="20"/>
                <w:lang w:val="fr-CA"/>
              </w:rPr>
            </w:pPr>
            <w:r w:rsidRPr="003C02EC">
              <w:rPr>
                <w:rFonts w:eastAsia="Calibri"/>
                <w:sz w:val="20"/>
                <w:lang w:val="fr-CA"/>
              </w:rPr>
              <w:t>Droit de la famille – Garde – Accès – Ordonnance judiciaire accordant un droit d’accès supervisé à un père de deux enfants – Existe</w:t>
            </w:r>
            <w:r w:rsidRPr="003C02EC">
              <w:rPr>
                <w:rFonts w:eastAsia="Calibri"/>
                <w:sz w:val="20"/>
                <w:lang w:val="fr-CA"/>
              </w:rPr>
              <w:noBreakHyphen/>
              <w:t>t</w:t>
            </w:r>
            <w:r w:rsidRPr="003C02EC">
              <w:rPr>
                <w:rFonts w:eastAsia="Calibri"/>
                <w:sz w:val="20"/>
                <w:lang w:val="fr-CA"/>
              </w:rPr>
              <w:noBreakHyphen/>
              <w:t>il des mécanismes adéquats de protection empêchant des fonctionnaires de recourir au système judiciaire pour opprimer officieusement un citoyen de Sa Majesté, et, dans la négative, comment le citoyen en question doit</w:t>
            </w:r>
            <w:r w:rsidRPr="003C02EC">
              <w:rPr>
                <w:rFonts w:eastAsia="Calibri"/>
                <w:sz w:val="20"/>
                <w:lang w:val="fr-CA"/>
              </w:rPr>
              <w:noBreakHyphen/>
              <w:t>il ou peut</w:t>
            </w:r>
            <w:r w:rsidRPr="003C02EC">
              <w:rPr>
                <w:rFonts w:eastAsia="Calibri"/>
                <w:sz w:val="20"/>
                <w:lang w:val="fr-CA"/>
              </w:rPr>
              <w:noBreakHyphen/>
              <w:t>il faire cesser cette oppression? – Si une ordonnance, par ailleurs dûment signée mais à l’égard de laquelle on ne dispose d’aucune assise prononcée en audience publique, d’aucune demande présentée en vue de l’obtenir ou de quelque consentement de la part des parties qui en confirmerait la validité, est manifestement injustifiée, la Cour suprême du Canada est</w:t>
            </w:r>
            <w:r w:rsidRPr="003C02EC">
              <w:rPr>
                <w:rFonts w:eastAsia="Calibri"/>
                <w:sz w:val="20"/>
                <w:lang w:val="fr-CA"/>
              </w:rPr>
              <w:noBreakHyphen/>
              <w:t>elle tenue en droit de l’annuler?</w:t>
            </w:r>
          </w:p>
        </w:tc>
      </w:tr>
      <w:tr w:rsidR="00E75BCB" w:rsidRPr="00023015" w:rsidTr="00C5574B">
        <w:tc>
          <w:tcPr>
            <w:tcW w:w="5000" w:type="pct"/>
            <w:gridSpan w:val="3"/>
          </w:tcPr>
          <w:p w:rsidR="00E75BCB" w:rsidRPr="003C02EC" w:rsidRDefault="00E75BCB" w:rsidP="00C5574B">
            <w:pPr>
              <w:jc w:val="both"/>
              <w:rPr>
                <w:rFonts w:eastAsia="Calibri"/>
                <w:sz w:val="20"/>
                <w:lang w:val="fr-CA"/>
              </w:rPr>
            </w:pPr>
          </w:p>
        </w:tc>
      </w:tr>
      <w:tr w:rsidR="00E75BCB" w:rsidRPr="00023015" w:rsidTr="00C5574B">
        <w:tc>
          <w:tcPr>
            <w:tcW w:w="5000" w:type="pct"/>
            <w:gridSpan w:val="3"/>
          </w:tcPr>
          <w:p w:rsidR="00E75BCB" w:rsidRPr="003C02EC" w:rsidRDefault="00E75BCB" w:rsidP="00C5574B">
            <w:pPr>
              <w:jc w:val="both"/>
              <w:rPr>
                <w:rFonts w:eastAsia="Calibri"/>
                <w:sz w:val="20"/>
                <w:lang w:val="fr-CA"/>
              </w:rPr>
            </w:pPr>
            <w:r w:rsidRPr="003C02EC">
              <w:rPr>
                <w:rFonts w:eastAsia="Calibri"/>
                <w:sz w:val="20"/>
                <w:lang w:val="fr-CA"/>
              </w:rPr>
              <w:t>Les parties sont les parents d’un garçon d’environ 12 ans et d’une fille de 11 ans; ils se sont séparés en 2004.  En 2007, M. Jordan s’est vu accorder un droit d’accès raisonnable aux enfants par ordonnance judiciaire.  En 2010, en raison d’un courriel qu’il a envoyé aux responsables du programme d’exécution des ordonnances alimentaires, la mère a obtenu une ordonnance temporaire d’accès supervisé.  Le père n’a exercé aucun droit d’accès auprès de ses enfants pendant les deux années et demie qui ont suivi.  En 2012, le père a demandé l’annulation de l’ordonnance, en plus de solliciter un droit d’accès non supervisé souple et généreux, la modification rétroactive de la pension alimentaire au profit des enfants et la remise de son permis de conduire et de son passeport.</w:t>
            </w:r>
          </w:p>
          <w:p w:rsidR="00E75BCB" w:rsidRPr="003C02EC" w:rsidRDefault="00E75BCB" w:rsidP="00C5574B">
            <w:pPr>
              <w:jc w:val="both"/>
              <w:rPr>
                <w:rFonts w:eastAsia="Calibri"/>
                <w:sz w:val="20"/>
                <w:lang w:val="fr-CA"/>
              </w:rPr>
            </w:pPr>
          </w:p>
        </w:tc>
      </w:tr>
      <w:tr w:rsidR="00E75BCB" w:rsidRPr="00023015"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t>13 décembre 2012</w:t>
            </w:r>
          </w:p>
          <w:p w:rsidR="00E75BCB" w:rsidRPr="003C02EC" w:rsidRDefault="00E75BCB" w:rsidP="00C5574B">
            <w:pPr>
              <w:jc w:val="both"/>
              <w:rPr>
                <w:rFonts w:eastAsia="Calibri"/>
                <w:sz w:val="20"/>
                <w:lang w:val="fr-CA"/>
              </w:rPr>
            </w:pPr>
            <w:r w:rsidRPr="003C02EC">
              <w:rPr>
                <w:rFonts w:eastAsia="Calibri"/>
                <w:sz w:val="20"/>
                <w:lang w:val="fr-CA"/>
              </w:rPr>
              <w:t>Cour du Banc de la Reine de l’Alberta</w:t>
            </w:r>
          </w:p>
          <w:p w:rsidR="00E75BCB" w:rsidRPr="003C02EC" w:rsidRDefault="00E75BCB" w:rsidP="00C5574B">
            <w:pPr>
              <w:jc w:val="both"/>
              <w:rPr>
                <w:rFonts w:eastAsia="Calibri"/>
                <w:sz w:val="20"/>
                <w:lang w:val="fr-CA"/>
              </w:rPr>
            </w:pPr>
            <w:r w:rsidRPr="003C02EC">
              <w:rPr>
                <w:rFonts w:eastAsia="Calibri"/>
                <w:sz w:val="20"/>
                <w:lang w:val="fr-CA"/>
              </w:rPr>
              <w:t>Non publié</w:t>
            </w:r>
          </w:p>
          <w:p w:rsidR="00E75BCB" w:rsidRPr="003C02EC" w:rsidRDefault="00E75BCB" w:rsidP="00C5574B">
            <w:pPr>
              <w:jc w:val="both"/>
              <w:rPr>
                <w:rFonts w:eastAsia="Calibri"/>
                <w:sz w:val="20"/>
                <w:lang w:val="fr-CA"/>
              </w:rPr>
            </w:pP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Demande présentée par le demandeur pour faire annuler l’ordonnance d’accès supervisé rendue en 2010, rejetée.</w:t>
            </w:r>
          </w:p>
          <w:p w:rsidR="00E75BCB" w:rsidRPr="003C02EC" w:rsidRDefault="00E75BCB" w:rsidP="00C5574B">
            <w:pPr>
              <w:jc w:val="both"/>
              <w:rPr>
                <w:rFonts w:eastAsia="Calibri"/>
                <w:sz w:val="20"/>
                <w:lang w:val="fr-CA"/>
              </w:rPr>
            </w:pPr>
          </w:p>
        </w:tc>
      </w:tr>
      <w:tr w:rsidR="00E75BCB" w:rsidRPr="003C02EC"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t>4 juillet 2013</w:t>
            </w:r>
          </w:p>
          <w:p w:rsidR="00E75BCB" w:rsidRPr="003C02EC" w:rsidRDefault="00E75BCB" w:rsidP="00C5574B">
            <w:pPr>
              <w:jc w:val="both"/>
              <w:rPr>
                <w:rFonts w:eastAsia="Calibri"/>
                <w:sz w:val="20"/>
                <w:lang w:val="fr-CA"/>
              </w:rPr>
            </w:pPr>
            <w:r w:rsidRPr="003C02EC">
              <w:rPr>
                <w:rFonts w:eastAsia="Calibri"/>
                <w:sz w:val="20"/>
                <w:lang w:val="fr-CA"/>
              </w:rPr>
              <w:t>Cour d’appel de l’Alberta (Calgary)</w:t>
            </w:r>
          </w:p>
          <w:p w:rsidR="00E75BCB" w:rsidRPr="003C02EC" w:rsidRDefault="00E75BCB" w:rsidP="00C5574B">
            <w:pPr>
              <w:jc w:val="both"/>
              <w:rPr>
                <w:rFonts w:eastAsia="Calibri"/>
                <w:sz w:val="20"/>
                <w:lang w:val="fr-CA"/>
              </w:rPr>
            </w:pPr>
            <w:r w:rsidRPr="003C02EC">
              <w:rPr>
                <w:rFonts w:eastAsia="Calibri"/>
                <w:sz w:val="20"/>
                <w:lang w:val="fr-CA"/>
              </w:rPr>
              <w:t>(Juges O’Brien, Martin et O’Ferrall)</w:t>
            </w:r>
          </w:p>
          <w:p w:rsidR="00E75BCB" w:rsidRPr="003C02EC" w:rsidRDefault="00E75BCB" w:rsidP="00C5574B">
            <w:pPr>
              <w:jc w:val="both"/>
              <w:rPr>
                <w:rFonts w:eastAsia="Calibri"/>
                <w:sz w:val="20"/>
                <w:lang w:val="fr-CA"/>
              </w:rPr>
            </w:pPr>
            <w:r w:rsidRPr="003C02EC">
              <w:rPr>
                <w:rFonts w:eastAsia="Calibri"/>
                <w:sz w:val="20"/>
                <w:lang w:val="fr-CA"/>
              </w:rPr>
              <w:t>2013 ABCA 233</w:t>
            </w:r>
          </w:p>
          <w:p w:rsidR="00E75BCB" w:rsidRPr="003C02EC" w:rsidRDefault="00E75BCB" w:rsidP="00C5574B">
            <w:pPr>
              <w:jc w:val="both"/>
              <w:rPr>
                <w:rFonts w:eastAsia="Calibri"/>
                <w:sz w:val="20"/>
                <w:lang w:val="fr-CA"/>
              </w:rPr>
            </w:pP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Appel du demandeur rejeté.</w:t>
            </w:r>
          </w:p>
          <w:p w:rsidR="00E75BCB" w:rsidRPr="003C02EC" w:rsidRDefault="00E75BCB" w:rsidP="00C5574B">
            <w:pPr>
              <w:jc w:val="both"/>
              <w:rPr>
                <w:rFonts w:eastAsia="Calibri"/>
                <w:sz w:val="20"/>
                <w:lang w:val="fr-CA"/>
              </w:rPr>
            </w:pPr>
          </w:p>
        </w:tc>
      </w:tr>
      <w:tr w:rsidR="00E75BCB" w:rsidRPr="003C02EC" w:rsidTr="00C5574B">
        <w:tc>
          <w:tcPr>
            <w:tcW w:w="2427" w:type="pct"/>
          </w:tcPr>
          <w:p w:rsidR="00E75BCB" w:rsidRPr="003C02EC" w:rsidRDefault="00E75BCB" w:rsidP="00C5574B">
            <w:pPr>
              <w:jc w:val="both"/>
              <w:rPr>
                <w:rFonts w:eastAsia="Calibri"/>
                <w:sz w:val="20"/>
                <w:lang w:val="fr-CA"/>
              </w:rPr>
            </w:pPr>
            <w:r w:rsidRPr="003C02EC">
              <w:rPr>
                <w:rFonts w:eastAsia="Calibri"/>
                <w:sz w:val="20"/>
                <w:lang w:val="fr-CA"/>
              </w:rPr>
              <w:lastRenderedPageBreak/>
              <w:t>26 septembre 2013</w:t>
            </w:r>
          </w:p>
          <w:p w:rsidR="00E75BCB" w:rsidRPr="003C02EC" w:rsidRDefault="00E75BCB" w:rsidP="00C5574B">
            <w:pPr>
              <w:jc w:val="both"/>
              <w:rPr>
                <w:rFonts w:eastAsia="Calibri"/>
                <w:sz w:val="20"/>
                <w:lang w:val="fr-CA"/>
              </w:rPr>
            </w:pPr>
            <w:r w:rsidRPr="003C02EC">
              <w:rPr>
                <w:rFonts w:eastAsia="Calibri"/>
                <w:sz w:val="20"/>
                <w:lang w:val="fr-CA"/>
              </w:rPr>
              <w:t>Cour suprême du Canada</w:t>
            </w:r>
          </w:p>
        </w:tc>
        <w:tc>
          <w:tcPr>
            <w:tcW w:w="243" w:type="pct"/>
          </w:tcPr>
          <w:p w:rsidR="00E75BCB" w:rsidRPr="003C02EC" w:rsidRDefault="00E75BCB" w:rsidP="00C5574B">
            <w:pPr>
              <w:jc w:val="both"/>
              <w:rPr>
                <w:rFonts w:eastAsia="Calibri"/>
                <w:sz w:val="20"/>
                <w:lang w:val="fr-CA"/>
              </w:rPr>
            </w:pPr>
          </w:p>
        </w:tc>
        <w:tc>
          <w:tcPr>
            <w:tcW w:w="2330" w:type="pct"/>
          </w:tcPr>
          <w:p w:rsidR="00E75BCB" w:rsidRPr="003C02EC" w:rsidRDefault="00E75BCB" w:rsidP="00C5574B">
            <w:pPr>
              <w:jc w:val="both"/>
              <w:rPr>
                <w:rFonts w:eastAsia="Calibri"/>
                <w:sz w:val="20"/>
                <w:lang w:val="fr-CA"/>
              </w:rPr>
            </w:pPr>
            <w:r w:rsidRPr="003C02EC">
              <w:rPr>
                <w:rFonts w:eastAsia="Calibri"/>
                <w:sz w:val="20"/>
                <w:lang w:val="fr-CA"/>
              </w:rPr>
              <w:t>Demande d’autorisation d’appel déposée.</w:t>
            </w:r>
          </w:p>
          <w:p w:rsidR="00E75BCB" w:rsidRPr="003C02EC" w:rsidRDefault="00E75BCB" w:rsidP="00C5574B">
            <w:pPr>
              <w:jc w:val="both"/>
              <w:rPr>
                <w:rFonts w:eastAsia="Calibri"/>
                <w:sz w:val="20"/>
                <w:lang w:val="fr-CA"/>
              </w:rPr>
            </w:pPr>
          </w:p>
        </w:tc>
      </w:tr>
    </w:tbl>
    <w:p w:rsidR="00370E33" w:rsidRDefault="00370E33" w:rsidP="00370E33">
      <w:pPr>
        <w:rPr>
          <w:sz w:val="20"/>
          <w:szCs w:val="20"/>
        </w:rPr>
      </w:pPr>
    </w:p>
    <w:p w:rsidR="00370E33" w:rsidRDefault="001B62D0" w:rsidP="00370E33">
      <w:pPr>
        <w:rPr>
          <w:sz w:val="20"/>
          <w:szCs w:val="20"/>
        </w:rPr>
      </w:pPr>
      <w:r>
        <w:rPr>
          <w:sz w:val="20"/>
          <w:szCs w:val="20"/>
          <w:lang w:val="fr-CA"/>
        </w:rPr>
        <w:pict>
          <v:rect id="_x0000_i1057" style="width:2in;height:1pt" o:hrpct="0" o:hralign="center" o:hrstd="t" o:hrnoshade="t" o:hr="t" fillcolor="black [3213]" stroked="f"/>
        </w:pict>
      </w:r>
    </w:p>
    <w:p w:rsidR="00370E33" w:rsidRDefault="00370E33" w:rsidP="00370E33">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6E0384" w:rsidRPr="006E0384" w:rsidRDefault="006E0384" w:rsidP="006E0384">
      <w:pPr>
        <w:tabs>
          <w:tab w:val="left" w:pos="-1440"/>
          <w:tab w:val="left" w:pos="-720"/>
        </w:tabs>
        <w:jc w:val="both"/>
        <w:rPr>
          <w:rFonts w:eastAsia="Times New Roman" w:cs="Times New Roman"/>
          <w:sz w:val="20"/>
          <w:szCs w:val="20"/>
          <w:lang w:val="fr-CA" w:eastAsia="en-CA"/>
        </w:rPr>
      </w:pPr>
      <w:r w:rsidRPr="006E0384">
        <w:rPr>
          <w:rFonts w:eastAsia="Times New Roman" w:cs="Times New Roman"/>
          <w:sz w:val="20"/>
          <w:szCs w:val="20"/>
          <w:lang w:val="fr-CA" w:eastAsia="en-CA"/>
        </w:rPr>
        <w:t>07.01.2014</w:t>
      </w:r>
    </w:p>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tabs>
          <w:tab w:val="left" w:pos="-1440"/>
          <w:tab w:val="left" w:pos="-720"/>
        </w:tabs>
        <w:jc w:val="both"/>
        <w:rPr>
          <w:rFonts w:eastAsia="Times New Roman" w:cs="Times New Roman"/>
          <w:sz w:val="20"/>
          <w:szCs w:val="20"/>
          <w:lang w:val="fr-CA" w:eastAsia="en-CA"/>
        </w:rPr>
      </w:pPr>
      <w:r w:rsidRPr="006E0384">
        <w:rPr>
          <w:rFonts w:eastAsia="Times New Roman" w:cs="Times New Roman"/>
          <w:sz w:val="20"/>
          <w:szCs w:val="20"/>
          <w:lang w:val="fr-CA" w:eastAsia="en-CA"/>
        </w:rPr>
        <w:t>Before / Devant :   LEBEL J. / LE JUGE LEBEL</w:t>
      </w:r>
    </w:p>
    <w:p w:rsidR="006E0384" w:rsidRPr="006E0384" w:rsidRDefault="006E0384" w:rsidP="006E038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E0384" w:rsidRPr="006E0384" w:rsidTr="00F230CC">
        <w:tc>
          <w:tcPr>
            <w:tcW w:w="4338" w:type="dxa"/>
          </w:tcPr>
          <w:p w:rsidR="006E0384" w:rsidRPr="006E0384" w:rsidRDefault="0016688F" w:rsidP="006E0384">
            <w:pPr>
              <w:tabs>
                <w:tab w:val="left" w:pos="-1440"/>
                <w:tab w:val="left" w:pos="-720"/>
              </w:tabs>
              <w:jc w:val="both"/>
              <w:rPr>
                <w:b/>
              </w:rPr>
            </w:pPr>
            <w:r w:rsidRPr="006E0384">
              <w:rPr>
                <w:szCs w:val="24"/>
                <w:lang w:val="en-US"/>
              </w:rPr>
              <w:fldChar w:fldCharType="begin"/>
            </w:r>
            <w:r w:rsidR="006E0384" w:rsidRPr="006E0384">
              <w:rPr>
                <w:szCs w:val="24"/>
                <w:lang w:val="en-US"/>
              </w:rPr>
              <w:instrText xml:space="preserve"> SEQ CHAPTER \h \r 1</w:instrText>
            </w:r>
            <w:r w:rsidRPr="006E0384">
              <w:rPr>
                <w:szCs w:val="24"/>
                <w:lang w:val="en-US"/>
              </w:rPr>
              <w:fldChar w:fldCharType="end"/>
            </w:r>
            <w:r w:rsidR="006E0384" w:rsidRPr="006E0384">
              <w:rPr>
                <w:b/>
                <w:bCs/>
                <w:lang w:val="en-US"/>
              </w:rPr>
              <w:t>Order</w:t>
            </w:r>
          </w:p>
        </w:tc>
        <w:tc>
          <w:tcPr>
            <w:tcW w:w="1170" w:type="dxa"/>
          </w:tcPr>
          <w:p w:rsidR="006E0384" w:rsidRPr="006E0384" w:rsidRDefault="006E0384" w:rsidP="006E0384">
            <w:pPr>
              <w:tabs>
                <w:tab w:val="left" w:pos="-1440"/>
                <w:tab w:val="left" w:pos="-720"/>
              </w:tabs>
              <w:jc w:val="both"/>
            </w:pPr>
          </w:p>
          <w:p w:rsidR="006E0384" w:rsidRPr="006E0384" w:rsidRDefault="006E0384" w:rsidP="006E0384">
            <w:pPr>
              <w:tabs>
                <w:tab w:val="left" w:pos="-1440"/>
                <w:tab w:val="left" w:pos="-720"/>
              </w:tabs>
              <w:jc w:val="both"/>
            </w:pPr>
          </w:p>
        </w:tc>
        <w:tc>
          <w:tcPr>
            <w:tcW w:w="4327" w:type="dxa"/>
          </w:tcPr>
          <w:p w:rsidR="006E0384" w:rsidRPr="006E0384" w:rsidRDefault="0016688F" w:rsidP="006E0384">
            <w:pPr>
              <w:tabs>
                <w:tab w:val="left" w:pos="-1440"/>
                <w:tab w:val="left" w:pos="-720"/>
              </w:tabs>
              <w:jc w:val="both"/>
              <w:rPr>
                <w:lang w:val="fr-CA"/>
              </w:rPr>
            </w:pPr>
            <w:r w:rsidRPr="006E0384">
              <w:rPr>
                <w:szCs w:val="24"/>
                <w:lang w:val="en-US"/>
              </w:rPr>
              <w:fldChar w:fldCharType="begin"/>
            </w:r>
            <w:r w:rsidR="006E0384" w:rsidRPr="006E0384">
              <w:rPr>
                <w:szCs w:val="24"/>
                <w:lang w:val="fr-CA"/>
              </w:rPr>
              <w:instrText xml:space="preserve"> SEQ CHAPTER \h \r 1</w:instrText>
            </w:r>
            <w:r w:rsidRPr="006E0384">
              <w:rPr>
                <w:szCs w:val="24"/>
                <w:lang w:val="en-US"/>
              </w:rPr>
              <w:fldChar w:fldCharType="end"/>
            </w:r>
            <w:r w:rsidR="006E0384" w:rsidRPr="006E0384">
              <w:rPr>
                <w:b/>
                <w:bCs/>
                <w:lang w:val="fr-CA"/>
              </w:rPr>
              <w:t>Ordonnance</w:t>
            </w:r>
            <w:r w:rsidRPr="006E0384">
              <w:rPr>
                <w:lang w:val="en-US"/>
              </w:rPr>
              <w:fldChar w:fldCharType="begin"/>
            </w:r>
            <w:r w:rsidR="006E0384" w:rsidRPr="006E0384">
              <w:rPr>
                <w:lang w:val="fr-CA"/>
              </w:rPr>
              <w:instrText xml:space="preserve"> SEQ CHAPTER \h \r 1</w:instrText>
            </w:r>
            <w:r w:rsidRPr="006E0384">
              <w:rPr>
                <w:lang w:val="en-US"/>
              </w:rPr>
              <w:fldChar w:fldCharType="end"/>
            </w:r>
            <w:r w:rsidRPr="006E0384">
              <w:rPr>
                <w:lang w:val="en-US"/>
              </w:rPr>
              <w:fldChar w:fldCharType="begin"/>
            </w:r>
            <w:r w:rsidR="006E0384" w:rsidRPr="006E0384">
              <w:rPr>
                <w:lang w:val="fr-CA"/>
              </w:rPr>
              <w:instrText xml:space="preserve"> SEQ CHAPTER \h \r 1</w:instrText>
            </w:r>
            <w:r w:rsidRPr="006E0384">
              <w:rPr>
                <w:lang w:val="en-US"/>
              </w:rPr>
              <w:fldChar w:fldCharType="end"/>
            </w:r>
            <w:r w:rsidRPr="006E0384">
              <w:rPr>
                <w:lang w:val="en-US"/>
              </w:rPr>
              <w:fldChar w:fldCharType="begin"/>
            </w:r>
            <w:r w:rsidR="006E0384" w:rsidRPr="006E0384">
              <w:rPr>
                <w:lang w:val="fr-CA"/>
              </w:rPr>
              <w:instrText xml:space="preserve"> SEQ CHAPTER \h \r 1</w:instrText>
            </w:r>
            <w:r w:rsidRPr="006E0384">
              <w:rPr>
                <w:lang w:val="en-US"/>
              </w:rPr>
              <w:fldChar w:fldCharType="end"/>
            </w:r>
            <w:r w:rsidRPr="006E0384">
              <w:rPr>
                <w:lang w:val="en-US"/>
              </w:rPr>
              <w:fldChar w:fldCharType="begin"/>
            </w:r>
            <w:r w:rsidR="006E0384" w:rsidRPr="006E0384">
              <w:rPr>
                <w:lang w:val="fr-CA"/>
              </w:rPr>
              <w:instrText xml:space="preserve"> SEQ CHAPTER \h \r 1</w:instrText>
            </w:r>
            <w:r w:rsidRPr="006E0384">
              <w:rPr>
                <w:lang w:val="en-US"/>
              </w:rPr>
              <w:fldChar w:fldCharType="end"/>
            </w:r>
          </w:p>
        </w:tc>
      </w:tr>
      <w:tr w:rsidR="006E0384" w:rsidRPr="006E0384" w:rsidTr="00F230CC">
        <w:tc>
          <w:tcPr>
            <w:tcW w:w="4338" w:type="dxa"/>
          </w:tcPr>
          <w:p w:rsidR="006E0384" w:rsidRPr="006E0384" w:rsidRDefault="006E0384" w:rsidP="006E0384">
            <w:pPr>
              <w:spacing w:line="233" w:lineRule="auto"/>
              <w:jc w:val="both"/>
              <w:rPr>
                <w:b/>
                <w:bCs/>
                <w:lang w:val="en-US"/>
              </w:rPr>
            </w:pPr>
            <w:r w:rsidRPr="006E0384">
              <w:rPr>
                <w:b/>
                <w:bCs/>
                <w:lang w:val="en-US"/>
              </w:rPr>
              <w:t>IN THE MATTER OF SECTION 53 OF THE SUPREME COURT ACT, R.S.C. 1985, C. S-26;</w:t>
            </w:r>
            <w:r w:rsidRPr="006E0384">
              <w:rPr>
                <w:lang w:val="en-US"/>
              </w:rPr>
              <w:t xml:space="preserve"> </w:t>
            </w:r>
            <w:r w:rsidRPr="006E0384">
              <w:rPr>
                <w:b/>
                <w:bCs/>
                <w:lang w:val="en-US"/>
              </w:rPr>
              <w:t>AND IN THE MATTER OF A REFERENCE BY THE GOVERNOR IN COUNCIL CONCERNING SECTIONS 5 AND 6 OF THE SUPREME COURT ACT, R.S.C. 1985, C. S-26, AS SET OUT IN ORDER IN COUNCIL, P.C. 2013-1105, DATED OCTOBER 22, 2013</w:t>
            </w:r>
          </w:p>
          <w:p w:rsidR="006E0384" w:rsidRPr="006E0384" w:rsidRDefault="006E0384" w:rsidP="006E0384">
            <w:pPr>
              <w:spacing w:line="233" w:lineRule="auto"/>
              <w:jc w:val="both"/>
              <w:rPr>
                <w:b/>
                <w:bCs/>
                <w:lang w:val="en-US"/>
              </w:rPr>
            </w:pPr>
          </w:p>
          <w:p w:rsidR="006E0384" w:rsidRPr="006E0384" w:rsidRDefault="006E0384" w:rsidP="006E0384">
            <w:pPr>
              <w:tabs>
                <w:tab w:val="left" w:pos="-1440"/>
                <w:tab w:val="left" w:pos="-720"/>
              </w:tabs>
              <w:jc w:val="both"/>
              <w:rPr>
                <w:lang w:val="fr-CA"/>
              </w:rPr>
            </w:pPr>
            <w:r w:rsidRPr="006E0384">
              <w:rPr>
                <w:b/>
                <w:bCs/>
                <w:lang w:val="fr-CA"/>
              </w:rPr>
              <w:t>DANS L'AFFAIRE DE L'ARTICLE 53 DE LA LOI SUR LA COUR SUPRÊME, L.R.C. 1985, CH. S-26;</w:t>
            </w:r>
            <w:r w:rsidRPr="006E0384">
              <w:rPr>
                <w:lang w:val="fr-CA"/>
              </w:rPr>
              <w:t xml:space="preserve"> </w:t>
            </w:r>
            <w:r w:rsidRPr="006E0384">
              <w:rPr>
                <w:b/>
                <w:bCs/>
                <w:lang w:val="fr-CA"/>
              </w:rPr>
              <w:t>DANS L'AFFAIRE D'UN RENVOI PAR LE GOUVERNEUR EN CONSEIL CONCERNANT LES ARTICLES 5 ET 6 DE LA LOI SUR LA COUR SUPRÊME, L.R.C. 1985, CH. S-26, DANS LE DÉCRET C.P. 2013-1105 EN DATE DU 22 OCTOBRE 2013</w:t>
            </w:r>
          </w:p>
          <w:p w:rsidR="006E0384" w:rsidRPr="006E0384" w:rsidRDefault="006E0384" w:rsidP="006E0384">
            <w:pPr>
              <w:tabs>
                <w:tab w:val="left" w:pos="-1440"/>
                <w:tab w:val="left" w:pos="-720"/>
              </w:tabs>
              <w:jc w:val="both"/>
            </w:pPr>
            <w:r w:rsidRPr="006E0384">
              <w:t>(35586)</w:t>
            </w:r>
          </w:p>
        </w:tc>
        <w:tc>
          <w:tcPr>
            <w:tcW w:w="1170" w:type="dxa"/>
          </w:tcPr>
          <w:p w:rsidR="006E0384" w:rsidRPr="006E0384" w:rsidRDefault="006E0384" w:rsidP="006E0384">
            <w:pPr>
              <w:tabs>
                <w:tab w:val="left" w:pos="-1440"/>
                <w:tab w:val="left" w:pos="-720"/>
              </w:tabs>
              <w:jc w:val="both"/>
            </w:pPr>
          </w:p>
        </w:tc>
        <w:tc>
          <w:tcPr>
            <w:tcW w:w="4327" w:type="dxa"/>
          </w:tcPr>
          <w:p w:rsidR="006E0384" w:rsidRPr="006E0384" w:rsidRDefault="006E0384" w:rsidP="006E0384">
            <w:pPr>
              <w:tabs>
                <w:tab w:val="left" w:pos="-1440"/>
                <w:tab w:val="left" w:pos="-720"/>
              </w:tabs>
              <w:jc w:val="both"/>
            </w:pPr>
          </w:p>
        </w:tc>
      </w:tr>
    </w:tbl>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r w:rsidRPr="006E0384">
        <w:rPr>
          <w:rFonts w:eastAsia="Times New Roman" w:cs="Times New Roman"/>
          <w:b/>
          <w:sz w:val="20"/>
          <w:szCs w:val="20"/>
          <w:lang w:eastAsia="en-CA"/>
        </w:rPr>
        <w:t>GRANTED / ACCORDÉE</w: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spacing w:line="233" w:lineRule="auto"/>
        <w:jc w:val="both"/>
        <w:rPr>
          <w:rFonts w:eastAsia="Times New Roman" w:cs="Times New Roman"/>
          <w:b/>
          <w:sz w:val="20"/>
          <w:szCs w:val="20"/>
          <w:lang w:eastAsia="en-CA"/>
        </w:rPr>
      </w:pPr>
      <w:r w:rsidRPr="006E0384">
        <w:rPr>
          <w:rFonts w:eastAsia="Times New Roman" w:cs="Times New Roman"/>
          <w:b/>
          <w:sz w:val="20"/>
          <w:szCs w:val="20"/>
          <w:lang w:eastAsia="en-CA"/>
        </w:rPr>
        <w:t>IT IS HEREBY ORDERED THAT:</w: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16688F" w:rsidP="006E0384">
      <w:pPr>
        <w:spacing w:line="233" w:lineRule="auto"/>
        <w:jc w:val="both"/>
        <w:rPr>
          <w:rFonts w:eastAsia="Times New Roman" w:cs="Times New Roman"/>
          <w:sz w:val="20"/>
          <w:szCs w:val="20"/>
          <w:lang w:eastAsia="en-CA"/>
        </w:rPr>
      </w:pPr>
      <w:r w:rsidRPr="006E0384">
        <w:rPr>
          <w:rFonts w:eastAsia="Times New Roman" w:cs="Times New Roman"/>
          <w:sz w:val="20"/>
          <w:szCs w:val="20"/>
          <w:lang w:eastAsia="en-CA"/>
        </w:rPr>
        <w:fldChar w:fldCharType="begin"/>
      </w:r>
      <w:r w:rsidR="006E0384" w:rsidRPr="006E0384">
        <w:rPr>
          <w:rFonts w:eastAsia="Times New Roman" w:cs="Times New Roman"/>
          <w:sz w:val="20"/>
          <w:szCs w:val="20"/>
          <w:lang w:eastAsia="en-CA"/>
        </w:rPr>
        <w:instrText xml:space="preserve"> SEQ CHAPTER \h \r 1</w:instrText>
      </w:r>
      <w:r w:rsidRPr="006E0384">
        <w:rPr>
          <w:rFonts w:eastAsia="Times New Roman" w:cs="Times New Roman"/>
          <w:sz w:val="20"/>
          <w:szCs w:val="20"/>
          <w:lang w:eastAsia="en-CA"/>
        </w:rPr>
        <w:fldChar w:fldCharType="end"/>
      </w:r>
      <w:r w:rsidR="006E0384" w:rsidRPr="006E0384">
        <w:rPr>
          <w:rFonts w:eastAsia="Times New Roman" w:cs="Times New Roman"/>
          <w:sz w:val="20"/>
          <w:szCs w:val="20"/>
          <w:lang w:eastAsia="en-CA"/>
        </w:rPr>
        <w:t>The remaining time for oral argument at the hearing of this reference shall be as follows:</w:t>
      </w:r>
    </w:p>
    <w:p w:rsidR="006E0384" w:rsidRPr="006E0384" w:rsidRDefault="006E0384" w:rsidP="006E0384">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257"/>
      </w:tblGrid>
      <w:tr w:rsidR="006E0384" w:rsidRPr="006E0384" w:rsidTr="00F230CC">
        <w:tc>
          <w:tcPr>
            <w:tcW w:w="7578" w:type="dxa"/>
          </w:tcPr>
          <w:p w:rsidR="006E0384" w:rsidRPr="006E0384" w:rsidRDefault="006E0384" w:rsidP="006E0384">
            <w:pPr>
              <w:tabs>
                <w:tab w:val="left" w:pos="-1440"/>
                <w:tab w:val="left" w:pos="-720"/>
              </w:tabs>
              <w:jc w:val="both"/>
            </w:pPr>
            <w:r w:rsidRPr="006E0384">
              <w:t>The Attorney General of Canada:</w:t>
            </w:r>
          </w:p>
          <w:p w:rsidR="006E0384" w:rsidRPr="006E0384" w:rsidRDefault="006E0384" w:rsidP="006E0384">
            <w:pPr>
              <w:tabs>
                <w:tab w:val="left" w:pos="-1440"/>
                <w:tab w:val="left" w:pos="-720"/>
              </w:tabs>
              <w:jc w:val="both"/>
            </w:pPr>
          </w:p>
        </w:tc>
        <w:tc>
          <w:tcPr>
            <w:tcW w:w="2257" w:type="dxa"/>
          </w:tcPr>
          <w:p w:rsidR="006E0384" w:rsidRPr="006E0384" w:rsidRDefault="006E0384" w:rsidP="006E0384">
            <w:pPr>
              <w:tabs>
                <w:tab w:val="left" w:pos="-1440"/>
                <w:tab w:val="left" w:pos="-720"/>
              </w:tabs>
              <w:jc w:val="both"/>
            </w:pPr>
            <w:r w:rsidRPr="006E0384">
              <w:t>80 minutes</w:t>
            </w:r>
          </w:p>
        </w:tc>
      </w:tr>
      <w:tr w:rsidR="006E0384" w:rsidRPr="006E0384" w:rsidTr="00F230CC">
        <w:tc>
          <w:tcPr>
            <w:tcW w:w="7578" w:type="dxa"/>
          </w:tcPr>
          <w:p w:rsidR="006E0384" w:rsidRPr="006E0384" w:rsidRDefault="006E0384" w:rsidP="006E0384">
            <w:pPr>
              <w:tabs>
                <w:tab w:val="left" w:pos="-1440"/>
                <w:tab w:val="left" w:pos="-720"/>
              </w:tabs>
              <w:jc w:val="both"/>
            </w:pPr>
            <w:r w:rsidRPr="006E0384">
              <w:t>The Attorney General of Quebec:</w:t>
            </w:r>
          </w:p>
          <w:p w:rsidR="006E0384" w:rsidRPr="006E0384" w:rsidRDefault="006E0384" w:rsidP="006E0384">
            <w:pPr>
              <w:tabs>
                <w:tab w:val="left" w:pos="-1440"/>
                <w:tab w:val="left" w:pos="-720"/>
              </w:tabs>
              <w:jc w:val="both"/>
            </w:pPr>
          </w:p>
        </w:tc>
        <w:tc>
          <w:tcPr>
            <w:tcW w:w="2257" w:type="dxa"/>
          </w:tcPr>
          <w:p w:rsidR="006E0384" w:rsidRPr="006E0384" w:rsidRDefault="006E0384" w:rsidP="006E0384">
            <w:pPr>
              <w:tabs>
                <w:tab w:val="left" w:pos="-1440"/>
                <w:tab w:val="left" w:pos="-720"/>
              </w:tabs>
              <w:jc w:val="both"/>
            </w:pPr>
            <w:r w:rsidRPr="006E0384">
              <w:t>60 minutes</w:t>
            </w:r>
          </w:p>
        </w:tc>
      </w:tr>
      <w:tr w:rsidR="006E0384" w:rsidRPr="006E0384" w:rsidTr="00F230CC">
        <w:tc>
          <w:tcPr>
            <w:tcW w:w="7578" w:type="dxa"/>
          </w:tcPr>
          <w:p w:rsidR="006E0384" w:rsidRPr="006E0384" w:rsidRDefault="006E0384" w:rsidP="006E0384">
            <w:pPr>
              <w:tabs>
                <w:tab w:val="left" w:pos="-1440"/>
                <w:tab w:val="left" w:pos="-720"/>
              </w:tabs>
              <w:jc w:val="both"/>
            </w:pPr>
            <w:r w:rsidRPr="006E0384">
              <w:t>The Attorney General of Ontario:</w:t>
            </w:r>
          </w:p>
          <w:p w:rsidR="006E0384" w:rsidRPr="006E0384" w:rsidRDefault="006E0384" w:rsidP="006E0384">
            <w:pPr>
              <w:tabs>
                <w:tab w:val="left" w:pos="-1440"/>
                <w:tab w:val="left" w:pos="-720"/>
              </w:tabs>
              <w:jc w:val="both"/>
            </w:pPr>
          </w:p>
        </w:tc>
        <w:tc>
          <w:tcPr>
            <w:tcW w:w="2257" w:type="dxa"/>
          </w:tcPr>
          <w:p w:rsidR="006E0384" w:rsidRPr="006E0384" w:rsidRDefault="006E0384" w:rsidP="006E0384">
            <w:pPr>
              <w:tabs>
                <w:tab w:val="left" w:pos="-1440"/>
                <w:tab w:val="left" w:pos="-720"/>
              </w:tabs>
              <w:jc w:val="both"/>
            </w:pPr>
            <w:r w:rsidRPr="006E0384">
              <w:t>60 minutes</w:t>
            </w:r>
          </w:p>
        </w:tc>
      </w:tr>
      <w:tr w:rsidR="006E0384" w:rsidRPr="006E0384" w:rsidTr="00F230CC">
        <w:tc>
          <w:tcPr>
            <w:tcW w:w="7578" w:type="dxa"/>
          </w:tcPr>
          <w:p w:rsidR="006E0384" w:rsidRPr="006E0384" w:rsidRDefault="006E0384" w:rsidP="006E0384">
            <w:pPr>
              <w:tabs>
                <w:tab w:val="left" w:pos="-1440"/>
                <w:tab w:val="left" w:pos="-720"/>
              </w:tabs>
              <w:jc w:val="both"/>
            </w:pPr>
            <w:r w:rsidRPr="006E0384">
              <w:rPr>
                <w:lang w:val="en-US"/>
              </w:rPr>
              <w:t>Reply by the Attorney General of Canada:</w:t>
            </w:r>
          </w:p>
        </w:tc>
        <w:tc>
          <w:tcPr>
            <w:tcW w:w="2257" w:type="dxa"/>
          </w:tcPr>
          <w:p w:rsidR="006E0384" w:rsidRPr="006E0384" w:rsidRDefault="006E0384" w:rsidP="006E0384">
            <w:pPr>
              <w:tabs>
                <w:tab w:val="left" w:pos="-1440"/>
                <w:tab w:val="left" w:pos="-720"/>
              </w:tabs>
              <w:jc w:val="both"/>
            </w:pPr>
            <w:r w:rsidRPr="006E0384">
              <w:rPr>
                <w:lang w:val="en-US"/>
              </w:rPr>
              <w:t>10 minutes</w:t>
            </w:r>
          </w:p>
        </w:tc>
      </w:tr>
    </w:tbl>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16688F" w:rsidP="006E0384">
      <w:pPr>
        <w:rPr>
          <w:rFonts w:eastAsia="Times New Roman" w:cs="Times New Roman"/>
          <w:b/>
          <w:bCs/>
          <w:sz w:val="20"/>
          <w:szCs w:val="20"/>
          <w:lang w:val="fr-CA" w:eastAsia="en-CA"/>
        </w:rPr>
      </w:pPr>
      <w:r w:rsidRPr="006E0384">
        <w:rPr>
          <w:rFonts w:eastAsia="Times New Roman" w:cs="Times New Roman"/>
          <w:b/>
          <w:sz w:val="20"/>
          <w:szCs w:val="20"/>
          <w:lang w:val="fr-FR" w:eastAsia="en-CA"/>
        </w:rPr>
        <w:fldChar w:fldCharType="begin"/>
      </w:r>
      <w:r w:rsidR="006E0384" w:rsidRPr="006E0384">
        <w:rPr>
          <w:rFonts w:eastAsia="Times New Roman" w:cs="Times New Roman"/>
          <w:b/>
          <w:sz w:val="20"/>
          <w:szCs w:val="20"/>
          <w:lang w:val="fr-CA" w:eastAsia="en-CA"/>
        </w:rPr>
        <w:instrText xml:space="preserve"> SEQ CHAPTER \h \</w:instrText>
      </w:r>
      <w:r w:rsidR="006E0384" w:rsidRPr="006E0384">
        <w:rPr>
          <w:rFonts w:eastAsia="Times New Roman" w:cs="Times New Roman"/>
          <w:b/>
          <w:sz w:val="20"/>
          <w:szCs w:val="20"/>
          <w:lang w:val="fr-FR" w:eastAsia="en-CA"/>
        </w:rPr>
        <w:instrText>r 1</w:instrText>
      </w:r>
      <w:r w:rsidRPr="006E0384">
        <w:rPr>
          <w:rFonts w:eastAsia="Times New Roman" w:cs="Times New Roman"/>
          <w:b/>
          <w:sz w:val="20"/>
          <w:szCs w:val="20"/>
          <w:lang w:val="fr-FR" w:eastAsia="en-CA"/>
        </w:rPr>
        <w:fldChar w:fldCharType="end"/>
      </w:r>
      <w:r w:rsidR="006E0384" w:rsidRPr="006E0384">
        <w:rPr>
          <w:rFonts w:eastAsia="Times New Roman" w:cs="Times New Roman"/>
          <w:b/>
          <w:sz w:val="20"/>
          <w:szCs w:val="20"/>
          <w:lang w:val="fr-FR" w:eastAsia="en-CA"/>
        </w:rPr>
        <w:t>IL EST ORDONNÉ CE QUI SUIT</w:t>
      </w:r>
      <w:r w:rsidR="006E0384" w:rsidRPr="006E0384">
        <w:rPr>
          <w:rFonts w:eastAsia="Times New Roman" w:cs="Times New Roman"/>
          <w:b/>
          <w:bCs/>
          <w:sz w:val="20"/>
          <w:szCs w:val="20"/>
          <w:lang w:val="fr-CA" w:eastAsia="en-CA"/>
        </w:rPr>
        <w:t> :</w:t>
      </w:r>
    </w:p>
    <w:p w:rsidR="006E0384" w:rsidRPr="006E0384" w:rsidRDefault="006E0384" w:rsidP="006E0384">
      <w:pPr>
        <w:rPr>
          <w:rFonts w:eastAsia="Times New Roman" w:cs="Times New Roman"/>
          <w:b/>
          <w:bCs/>
          <w:sz w:val="20"/>
          <w:szCs w:val="20"/>
          <w:lang w:val="fr-CA" w:eastAsia="en-CA"/>
        </w:rPr>
      </w:pPr>
    </w:p>
    <w:p w:rsidR="006E0384" w:rsidRPr="006E0384" w:rsidRDefault="0016688F" w:rsidP="006E0384">
      <w:pPr>
        <w:rPr>
          <w:rFonts w:eastAsia="Times New Roman" w:cs="Times New Roman"/>
          <w:sz w:val="20"/>
          <w:szCs w:val="20"/>
          <w:lang w:val="fr-FR" w:eastAsia="en-CA"/>
        </w:rPr>
      </w:pPr>
      <w:r w:rsidRPr="006E0384">
        <w:rPr>
          <w:rFonts w:eastAsia="Times New Roman" w:cs="Times New Roman"/>
          <w:sz w:val="20"/>
          <w:szCs w:val="20"/>
          <w:lang w:val="fr-FR" w:eastAsia="en-CA"/>
        </w:rPr>
        <w:fldChar w:fldCharType="begin"/>
      </w:r>
      <w:r w:rsidR="006E0384" w:rsidRPr="006E0384">
        <w:rPr>
          <w:rFonts w:eastAsia="Times New Roman" w:cs="Times New Roman"/>
          <w:sz w:val="20"/>
          <w:szCs w:val="20"/>
          <w:lang w:val="fr-FR" w:eastAsia="en-CA"/>
        </w:rPr>
        <w:instrText xml:space="preserve"> SEQ CHAPTER \h \r 1</w:instrText>
      </w:r>
      <w:r w:rsidRPr="006E0384">
        <w:rPr>
          <w:rFonts w:eastAsia="Times New Roman" w:cs="Times New Roman"/>
          <w:sz w:val="20"/>
          <w:szCs w:val="20"/>
          <w:lang w:val="fr-FR" w:eastAsia="en-CA"/>
        </w:rPr>
        <w:fldChar w:fldCharType="end"/>
      </w:r>
      <w:r w:rsidR="006E0384" w:rsidRPr="006E0384">
        <w:rPr>
          <w:rFonts w:eastAsia="Times New Roman" w:cs="Times New Roman"/>
          <w:sz w:val="20"/>
          <w:szCs w:val="20"/>
          <w:lang w:val="fr-FR" w:eastAsia="en-CA"/>
        </w:rPr>
        <w:t xml:space="preserve">Le temps qu’il reste pour les plaidoiries orales lors de l’audition du présent renvoi </w:t>
      </w:r>
      <w:r w:rsidRPr="006E0384">
        <w:rPr>
          <w:rFonts w:eastAsia="Times New Roman" w:cs="Times New Roman"/>
          <w:sz w:val="20"/>
          <w:szCs w:val="20"/>
          <w:lang w:val="fr-FR" w:eastAsia="en-CA"/>
        </w:rPr>
        <w:fldChar w:fldCharType="begin"/>
      </w:r>
      <w:r w:rsidR="006E0384" w:rsidRPr="006E0384">
        <w:rPr>
          <w:rFonts w:eastAsia="Times New Roman" w:cs="Times New Roman"/>
          <w:sz w:val="20"/>
          <w:szCs w:val="20"/>
          <w:lang w:val="fr-FR" w:eastAsia="en-CA"/>
        </w:rPr>
        <w:instrText xml:space="preserve"> SEQ CHAPTER \h \r 1</w:instrText>
      </w:r>
      <w:r w:rsidRPr="006E0384">
        <w:rPr>
          <w:rFonts w:eastAsia="Times New Roman" w:cs="Times New Roman"/>
          <w:sz w:val="20"/>
          <w:szCs w:val="20"/>
          <w:lang w:val="fr-FR" w:eastAsia="en-CA"/>
        </w:rPr>
        <w:fldChar w:fldCharType="end"/>
      </w:r>
      <w:r w:rsidR="006E0384" w:rsidRPr="006E0384">
        <w:rPr>
          <w:rFonts w:eastAsia="Times New Roman" w:cs="Times New Roman"/>
          <w:sz w:val="20"/>
          <w:szCs w:val="20"/>
          <w:lang w:val="fr-FR" w:eastAsia="en-CA"/>
        </w:rPr>
        <w:t>sera réparti comme suit :</w:t>
      </w:r>
    </w:p>
    <w:p w:rsidR="006E0384" w:rsidRPr="006E0384" w:rsidRDefault="006E0384" w:rsidP="006E0384">
      <w:pPr>
        <w:rPr>
          <w:rFonts w:eastAsia="Times New Roman" w:cs="Times New Roman"/>
          <w:b/>
          <w:bCs/>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257"/>
      </w:tblGrid>
      <w:tr w:rsidR="006E0384" w:rsidRPr="006E0384" w:rsidTr="00F230CC">
        <w:tc>
          <w:tcPr>
            <w:tcW w:w="7578" w:type="dxa"/>
          </w:tcPr>
          <w:p w:rsidR="006E0384" w:rsidRPr="006E0384" w:rsidRDefault="006E0384" w:rsidP="006E0384">
            <w:pPr>
              <w:tabs>
                <w:tab w:val="left" w:pos="-1440"/>
                <w:tab w:val="left" w:pos="-720"/>
              </w:tabs>
              <w:jc w:val="both"/>
              <w:rPr>
                <w:lang w:val="fr-CA"/>
              </w:rPr>
            </w:pPr>
            <w:r w:rsidRPr="006E0384">
              <w:rPr>
                <w:bCs/>
                <w:lang w:val="fr-CA"/>
              </w:rPr>
              <w:t>Le procureur général du Canada :</w:t>
            </w:r>
          </w:p>
          <w:p w:rsidR="006E0384" w:rsidRPr="006E0384" w:rsidRDefault="006E0384" w:rsidP="006E0384">
            <w:pPr>
              <w:tabs>
                <w:tab w:val="left" w:pos="-1440"/>
                <w:tab w:val="left" w:pos="-720"/>
              </w:tabs>
              <w:jc w:val="both"/>
              <w:rPr>
                <w:lang w:val="fr-CA"/>
              </w:rPr>
            </w:pPr>
          </w:p>
        </w:tc>
        <w:tc>
          <w:tcPr>
            <w:tcW w:w="2257" w:type="dxa"/>
          </w:tcPr>
          <w:p w:rsidR="006E0384" w:rsidRPr="006E0384" w:rsidRDefault="006E0384" w:rsidP="006E0384">
            <w:pPr>
              <w:tabs>
                <w:tab w:val="left" w:pos="-1440"/>
                <w:tab w:val="left" w:pos="-720"/>
              </w:tabs>
              <w:jc w:val="both"/>
            </w:pPr>
            <w:r w:rsidRPr="006E0384">
              <w:t>80 minutes</w:t>
            </w:r>
          </w:p>
        </w:tc>
      </w:tr>
      <w:tr w:rsidR="006E0384" w:rsidRPr="006E0384" w:rsidTr="00F230CC">
        <w:tc>
          <w:tcPr>
            <w:tcW w:w="7578" w:type="dxa"/>
          </w:tcPr>
          <w:p w:rsidR="006E0384" w:rsidRPr="006E0384" w:rsidRDefault="006E0384" w:rsidP="006E0384">
            <w:pPr>
              <w:tabs>
                <w:tab w:val="left" w:pos="-1440"/>
                <w:tab w:val="left" w:pos="-720"/>
              </w:tabs>
              <w:jc w:val="both"/>
              <w:rPr>
                <w:bCs/>
                <w:lang w:val="fr-CA"/>
              </w:rPr>
            </w:pPr>
            <w:r w:rsidRPr="006E0384">
              <w:rPr>
                <w:bCs/>
                <w:lang w:val="fr-CA"/>
              </w:rPr>
              <w:t xml:space="preserve">Le procureur général du Québec : </w:t>
            </w:r>
          </w:p>
          <w:p w:rsidR="006E0384" w:rsidRPr="006E0384" w:rsidRDefault="006E0384" w:rsidP="006E0384">
            <w:pPr>
              <w:tabs>
                <w:tab w:val="left" w:pos="-1440"/>
                <w:tab w:val="left" w:pos="-720"/>
              </w:tabs>
              <w:jc w:val="both"/>
              <w:rPr>
                <w:lang w:val="fr-CA"/>
              </w:rPr>
            </w:pPr>
          </w:p>
        </w:tc>
        <w:tc>
          <w:tcPr>
            <w:tcW w:w="2257" w:type="dxa"/>
          </w:tcPr>
          <w:p w:rsidR="006E0384" w:rsidRPr="006E0384" w:rsidRDefault="006E0384" w:rsidP="006E0384">
            <w:pPr>
              <w:tabs>
                <w:tab w:val="left" w:pos="-1440"/>
                <w:tab w:val="left" w:pos="-720"/>
              </w:tabs>
              <w:jc w:val="both"/>
            </w:pPr>
            <w:r w:rsidRPr="006E0384">
              <w:t>60 minutes</w:t>
            </w:r>
          </w:p>
        </w:tc>
      </w:tr>
      <w:tr w:rsidR="006E0384" w:rsidRPr="006E0384" w:rsidTr="00F230CC">
        <w:tc>
          <w:tcPr>
            <w:tcW w:w="7578" w:type="dxa"/>
          </w:tcPr>
          <w:p w:rsidR="006E0384" w:rsidRPr="006E0384" w:rsidRDefault="006E0384" w:rsidP="006E0384">
            <w:pPr>
              <w:tabs>
                <w:tab w:val="left" w:pos="-1440"/>
                <w:tab w:val="left" w:pos="-720"/>
              </w:tabs>
              <w:jc w:val="both"/>
              <w:rPr>
                <w:bCs/>
                <w:lang w:val="fr-CA"/>
              </w:rPr>
            </w:pPr>
            <w:r w:rsidRPr="006E0384">
              <w:rPr>
                <w:bCs/>
                <w:lang w:val="fr-CA"/>
              </w:rPr>
              <w:t>Le procureur général de l’Ontario :</w:t>
            </w:r>
          </w:p>
          <w:p w:rsidR="006E0384" w:rsidRPr="006E0384" w:rsidRDefault="006E0384" w:rsidP="006E0384">
            <w:pPr>
              <w:tabs>
                <w:tab w:val="left" w:pos="-1440"/>
                <w:tab w:val="left" w:pos="-720"/>
              </w:tabs>
              <w:jc w:val="both"/>
              <w:rPr>
                <w:lang w:val="fr-CA"/>
              </w:rPr>
            </w:pPr>
          </w:p>
        </w:tc>
        <w:tc>
          <w:tcPr>
            <w:tcW w:w="2257" w:type="dxa"/>
          </w:tcPr>
          <w:p w:rsidR="006E0384" w:rsidRPr="006E0384" w:rsidRDefault="006E0384" w:rsidP="006E0384">
            <w:pPr>
              <w:tabs>
                <w:tab w:val="left" w:pos="-1440"/>
                <w:tab w:val="left" w:pos="-720"/>
              </w:tabs>
              <w:jc w:val="both"/>
            </w:pPr>
            <w:r w:rsidRPr="006E0384">
              <w:t>60 minutes</w:t>
            </w:r>
          </w:p>
        </w:tc>
      </w:tr>
      <w:tr w:rsidR="006E0384" w:rsidRPr="006E0384" w:rsidTr="00F230CC">
        <w:tc>
          <w:tcPr>
            <w:tcW w:w="7578" w:type="dxa"/>
          </w:tcPr>
          <w:p w:rsidR="006E0384" w:rsidRPr="006E0384" w:rsidRDefault="006E0384" w:rsidP="006E0384">
            <w:pPr>
              <w:tabs>
                <w:tab w:val="left" w:pos="-1440"/>
                <w:tab w:val="left" w:pos="-720"/>
              </w:tabs>
              <w:jc w:val="both"/>
              <w:rPr>
                <w:lang w:val="fr-CA"/>
              </w:rPr>
            </w:pPr>
            <w:r w:rsidRPr="006E0384">
              <w:rPr>
                <w:lang w:val="fr-CA"/>
              </w:rPr>
              <w:t>Réplique par le procureur général du Canada :</w:t>
            </w:r>
          </w:p>
        </w:tc>
        <w:tc>
          <w:tcPr>
            <w:tcW w:w="2257" w:type="dxa"/>
          </w:tcPr>
          <w:p w:rsidR="006E0384" w:rsidRPr="006E0384" w:rsidRDefault="006E0384" w:rsidP="006E0384">
            <w:pPr>
              <w:tabs>
                <w:tab w:val="left" w:pos="-1440"/>
                <w:tab w:val="left" w:pos="-720"/>
              </w:tabs>
              <w:jc w:val="both"/>
            </w:pPr>
            <w:r w:rsidRPr="006E0384">
              <w:rPr>
                <w:lang w:val="en-US"/>
              </w:rPr>
              <w:t>10 minutes</w:t>
            </w:r>
          </w:p>
        </w:tc>
      </w:tr>
    </w:tbl>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1B62D0" w:rsidP="006E038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6E0384" w:rsidRPr="006E0384" w:rsidRDefault="006E0384" w:rsidP="006E0384">
      <w:pPr>
        <w:tabs>
          <w:tab w:val="left" w:pos="-1440"/>
          <w:tab w:val="left" w:pos="-720"/>
        </w:tabs>
        <w:jc w:val="both"/>
        <w:rPr>
          <w:rFonts w:eastAsia="Times New Roman" w:cs="Times New Roman"/>
          <w:sz w:val="20"/>
          <w:szCs w:val="20"/>
          <w:lang w:val="fr-CA" w:eastAsia="en-CA"/>
        </w:rPr>
      </w:pPr>
      <w:r w:rsidRPr="006E0384">
        <w:rPr>
          <w:rFonts w:eastAsia="Times New Roman" w:cs="Times New Roman"/>
          <w:sz w:val="20"/>
          <w:szCs w:val="20"/>
          <w:lang w:val="fr-CA" w:eastAsia="en-CA"/>
        </w:rPr>
        <w:t>07.01.2014</w:t>
      </w:r>
    </w:p>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r w:rsidRPr="006E0384">
        <w:rPr>
          <w:rFonts w:eastAsia="Times New Roman" w:cs="Times New Roman"/>
          <w:sz w:val="20"/>
          <w:szCs w:val="20"/>
          <w:lang w:val="fr-CA" w:eastAsia="en-CA"/>
        </w:rPr>
        <w:t xml:space="preserve">Before / Devant:   </w:t>
      </w:r>
      <w:r w:rsidRPr="006E0384">
        <w:rPr>
          <w:rFonts w:eastAsia="Times New Roman" w:cs="Times New Roman"/>
          <w:sz w:val="20"/>
          <w:szCs w:val="20"/>
          <w:lang w:eastAsia="en-CA"/>
        </w:rPr>
        <w:t>THE REGISTRAR / LE REGISTRAIRE</w:t>
      </w:r>
    </w:p>
    <w:p w:rsidR="006E0384" w:rsidRPr="006E0384" w:rsidRDefault="006E0384" w:rsidP="006E0384">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E0384" w:rsidRPr="006E0384" w:rsidTr="00F230CC">
        <w:trPr>
          <w:trHeight w:val="151"/>
        </w:trPr>
        <w:tc>
          <w:tcPr>
            <w:tcW w:w="4338" w:type="dxa"/>
          </w:tcPr>
          <w:p w:rsidR="006E0384" w:rsidRPr="006E0384" w:rsidRDefault="0016688F" w:rsidP="006E0384">
            <w:pPr>
              <w:tabs>
                <w:tab w:val="left" w:pos="-1440"/>
                <w:tab w:val="left" w:pos="-720"/>
              </w:tabs>
              <w:jc w:val="both"/>
              <w:rPr>
                <w:lang w:val="fr-CA"/>
              </w:rPr>
            </w:pPr>
            <w:r w:rsidRPr="006E0384">
              <w:rPr>
                <w:lang w:val="en-US"/>
              </w:rPr>
              <w:fldChar w:fldCharType="begin"/>
            </w:r>
            <w:r w:rsidR="006E0384" w:rsidRPr="006E0384">
              <w:rPr>
                <w:lang w:val="fr-CA"/>
              </w:rPr>
              <w:instrText xml:space="preserve"> SEQ CHAPTER \h \r 1</w:instrText>
            </w:r>
            <w:r w:rsidRPr="006E0384">
              <w:rPr>
                <w:lang w:val="en-US"/>
              </w:rPr>
              <w:fldChar w:fldCharType="end"/>
            </w:r>
            <w:r w:rsidR="006E0384" w:rsidRPr="006E0384">
              <w:rPr>
                <w:b/>
                <w:bCs/>
                <w:lang w:val="fr-CA"/>
              </w:rPr>
              <w:t>Miscellaneous motion</w:t>
            </w:r>
          </w:p>
          <w:p w:rsidR="006E0384" w:rsidRPr="006E0384" w:rsidRDefault="0016688F" w:rsidP="006E0384">
            <w:pPr>
              <w:tabs>
                <w:tab w:val="left" w:pos="-1440"/>
                <w:tab w:val="left" w:pos="-720"/>
              </w:tabs>
              <w:jc w:val="both"/>
              <w:rPr>
                <w:lang w:val="fr-CA"/>
              </w:rPr>
            </w:pPr>
            <w:r w:rsidRPr="006E0384">
              <w:rPr>
                <w:lang w:val="en-US"/>
              </w:rPr>
              <w:fldChar w:fldCharType="begin"/>
            </w:r>
            <w:r w:rsidR="006E0384" w:rsidRPr="006E0384">
              <w:rPr>
                <w:lang w:val="fr-CA"/>
              </w:rPr>
              <w:instrText xml:space="preserve"> SEQ CHAPTER \h \r 1</w:instrText>
            </w:r>
            <w:r w:rsidRPr="006E0384">
              <w:rPr>
                <w:lang w:val="en-US"/>
              </w:rPr>
              <w:fldChar w:fldCharType="end"/>
            </w:r>
          </w:p>
        </w:tc>
        <w:tc>
          <w:tcPr>
            <w:tcW w:w="1170" w:type="dxa"/>
          </w:tcPr>
          <w:p w:rsidR="006E0384" w:rsidRPr="006E0384" w:rsidRDefault="006E0384" w:rsidP="006E0384">
            <w:pPr>
              <w:jc w:val="both"/>
              <w:rPr>
                <w:lang w:val="fr-CA"/>
              </w:rPr>
            </w:pPr>
          </w:p>
          <w:p w:rsidR="006E0384" w:rsidRPr="006E0384" w:rsidRDefault="006E0384" w:rsidP="006E0384">
            <w:pPr>
              <w:jc w:val="both"/>
              <w:rPr>
                <w:lang w:val="fr-CA"/>
              </w:rPr>
            </w:pPr>
          </w:p>
        </w:tc>
        <w:tc>
          <w:tcPr>
            <w:tcW w:w="4327" w:type="dxa"/>
          </w:tcPr>
          <w:p w:rsidR="006E0384" w:rsidRPr="006E0384" w:rsidRDefault="0016688F" w:rsidP="006E0384">
            <w:pPr>
              <w:jc w:val="both"/>
              <w:rPr>
                <w:b/>
                <w:lang w:val="fr-CA"/>
              </w:rPr>
            </w:pPr>
            <w:r w:rsidRPr="006E0384">
              <w:rPr>
                <w:lang w:val="en-US"/>
              </w:rPr>
              <w:fldChar w:fldCharType="begin"/>
            </w:r>
            <w:r w:rsidR="006E0384" w:rsidRPr="006E0384">
              <w:rPr>
                <w:lang w:val="fr-CA"/>
              </w:rPr>
              <w:instrText xml:space="preserve"> SEQ CHAPTER \h \r 1</w:instrText>
            </w:r>
            <w:r w:rsidRPr="006E0384">
              <w:rPr>
                <w:lang w:val="en-US"/>
              </w:rPr>
              <w:fldChar w:fldCharType="end"/>
            </w:r>
            <w:r w:rsidR="006E0384" w:rsidRPr="006E0384">
              <w:rPr>
                <w:b/>
                <w:bCs/>
                <w:lang w:val="fr-CA"/>
              </w:rPr>
              <w:t>Requête diverse</w:t>
            </w:r>
          </w:p>
          <w:p w:rsidR="006E0384" w:rsidRPr="006E0384" w:rsidRDefault="0016688F" w:rsidP="006E0384">
            <w:pPr>
              <w:jc w:val="both"/>
              <w:rPr>
                <w:b/>
                <w:lang w:val="fr-CA"/>
              </w:rPr>
            </w:pPr>
            <w:r w:rsidRPr="006E0384">
              <w:rPr>
                <w:b/>
                <w:lang w:val="en-US"/>
              </w:rPr>
              <w:fldChar w:fldCharType="begin"/>
            </w:r>
            <w:r w:rsidR="006E0384" w:rsidRPr="006E0384">
              <w:rPr>
                <w:b/>
                <w:lang w:val="fr-CA"/>
              </w:rPr>
              <w:instrText xml:space="preserve"> SEQ CHAPTER \h \r 1</w:instrText>
            </w:r>
            <w:r w:rsidRPr="006E0384">
              <w:rPr>
                <w:b/>
                <w:lang w:val="en-US"/>
              </w:rPr>
              <w:fldChar w:fldCharType="end"/>
            </w:r>
            <w:r w:rsidRPr="006E0384">
              <w:rPr>
                <w:b/>
                <w:lang w:val="en-US"/>
              </w:rPr>
              <w:fldChar w:fldCharType="begin"/>
            </w:r>
            <w:r w:rsidR="006E0384" w:rsidRPr="006E0384">
              <w:rPr>
                <w:b/>
                <w:lang w:val="fr-CA"/>
              </w:rPr>
              <w:instrText xml:space="preserve"> SEQ CHAPTER \h \r 1</w:instrText>
            </w:r>
            <w:r w:rsidRPr="006E0384">
              <w:rPr>
                <w:b/>
                <w:lang w:val="en-US"/>
              </w:rPr>
              <w:fldChar w:fldCharType="end"/>
            </w:r>
          </w:p>
        </w:tc>
      </w:tr>
      <w:tr w:rsidR="006E0384" w:rsidRPr="00023015" w:rsidTr="00F230CC">
        <w:trPr>
          <w:trHeight w:val="150"/>
        </w:trPr>
        <w:tc>
          <w:tcPr>
            <w:tcW w:w="4338" w:type="dxa"/>
          </w:tcPr>
          <w:p w:rsidR="006E0384" w:rsidRPr="006E0384" w:rsidRDefault="006E0384" w:rsidP="006E0384">
            <w:pPr>
              <w:tabs>
                <w:tab w:val="left" w:pos="-1440"/>
                <w:tab w:val="left" w:pos="-720"/>
              </w:tabs>
              <w:jc w:val="both"/>
              <w:rPr>
                <w:lang w:val="fr-CA"/>
              </w:rPr>
            </w:pPr>
            <w:r w:rsidRPr="006E0384">
              <w:rPr>
                <w:lang w:val="fr-CA"/>
              </w:rPr>
              <w:t xml:space="preserve">Ghislain Hudon, personnellement et ès qualités de tuteur à ses enfants mineurs, Raphaël Hudon, Jérémy Hudon et Gabriel Hudon, Sandra Bergeron, personnellement et ès qualités de tutrice à ses enfants mineurs, Raphaël Hudon, Jérémy Hudon et Gabriel Hudon </w:t>
            </w:r>
          </w:p>
          <w:p w:rsidR="006E0384" w:rsidRPr="006E0384" w:rsidRDefault="006E0384" w:rsidP="006E0384">
            <w:pPr>
              <w:tabs>
                <w:tab w:val="left" w:pos="-1440"/>
                <w:tab w:val="left" w:pos="-720"/>
              </w:tabs>
              <w:jc w:val="both"/>
              <w:rPr>
                <w:lang w:val="fr-CA"/>
              </w:rPr>
            </w:pPr>
          </w:p>
          <w:p w:rsidR="006E0384" w:rsidRPr="006E0384" w:rsidRDefault="006E0384" w:rsidP="006E0384">
            <w:pPr>
              <w:tabs>
                <w:tab w:val="left" w:pos="-1440"/>
                <w:tab w:val="left" w:pos="-720"/>
              </w:tabs>
              <w:jc w:val="both"/>
              <w:rPr>
                <w:lang w:val="fr-CA"/>
              </w:rPr>
            </w:pPr>
            <w:r w:rsidRPr="006E0384">
              <w:rPr>
                <w:lang w:val="fr-CA"/>
              </w:rPr>
              <w:tab/>
              <w:t>c. (35485)</w:t>
            </w:r>
          </w:p>
          <w:p w:rsidR="006E0384" w:rsidRPr="006E0384" w:rsidRDefault="006E0384" w:rsidP="006E0384">
            <w:pPr>
              <w:tabs>
                <w:tab w:val="left" w:pos="-1440"/>
                <w:tab w:val="left" w:pos="-720"/>
              </w:tabs>
              <w:jc w:val="both"/>
              <w:rPr>
                <w:lang w:val="fr-CA"/>
              </w:rPr>
            </w:pPr>
          </w:p>
          <w:p w:rsidR="006E0384" w:rsidRPr="006E0384" w:rsidRDefault="006E0384" w:rsidP="006E0384">
            <w:pPr>
              <w:tabs>
                <w:tab w:val="left" w:pos="-1440"/>
                <w:tab w:val="left" w:pos="-720"/>
              </w:tabs>
              <w:jc w:val="both"/>
              <w:rPr>
                <w:lang w:val="fr-CA"/>
              </w:rPr>
            </w:pPr>
            <w:r w:rsidRPr="006E0384">
              <w:rPr>
                <w:lang w:val="fr-CA"/>
              </w:rPr>
              <w:t>Jean-Marie Lévesque (Qc)</w:t>
            </w:r>
          </w:p>
        </w:tc>
        <w:tc>
          <w:tcPr>
            <w:tcW w:w="1170" w:type="dxa"/>
          </w:tcPr>
          <w:p w:rsidR="006E0384" w:rsidRPr="006E0384" w:rsidRDefault="006E0384" w:rsidP="006E0384">
            <w:pPr>
              <w:jc w:val="both"/>
              <w:rPr>
                <w:lang w:val="fr-CA"/>
              </w:rPr>
            </w:pPr>
          </w:p>
        </w:tc>
        <w:tc>
          <w:tcPr>
            <w:tcW w:w="4327" w:type="dxa"/>
          </w:tcPr>
          <w:p w:rsidR="006E0384" w:rsidRPr="006E0384" w:rsidRDefault="006E0384" w:rsidP="006E0384">
            <w:pPr>
              <w:jc w:val="both"/>
              <w:rPr>
                <w:lang w:val="fr-CA"/>
              </w:rPr>
            </w:pPr>
          </w:p>
        </w:tc>
      </w:tr>
    </w:tbl>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tabs>
          <w:tab w:val="left" w:pos="-1440"/>
          <w:tab w:val="left" w:pos="-720"/>
        </w:tabs>
        <w:jc w:val="both"/>
        <w:rPr>
          <w:rFonts w:eastAsia="Times New Roman" w:cs="Times New Roman"/>
          <w:sz w:val="20"/>
          <w:szCs w:val="20"/>
          <w:lang w:val="fr-CA" w:eastAsia="en-CA"/>
        </w:rPr>
      </w:pPr>
      <w:r w:rsidRPr="006E0384">
        <w:rPr>
          <w:rFonts w:eastAsia="Times New Roman" w:cs="Times New Roman"/>
          <w:b/>
          <w:sz w:val="20"/>
          <w:szCs w:val="20"/>
          <w:lang w:val="fr-CA" w:eastAsia="en-CA"/>
        </w:rPr>
        <w:t>GRANTED / ACCORDÉE</w:t>
      </w:r>
    </w:p>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jc w:val="both"/>
        <w:rPr>
          <w:rFonts w:eastAsia="Times New Roman" w:cs="Times New Roman"/>
          <w:sz w:val="20"/>
          <w:szCs w:val="20"/>
          <w:lang w:val="fr-CA" w:eastAsia="en-CA"/>
        </w:rPr>
      </w:pPr>
      <w:r w:rsidRPr="006E0384">
        <w:rPr>
          <w:rFonts w:eastAsia="Times New Roman" w:cs="Times New Roman"/>
          <w:b/>
          <w:bCs/>
          <w:sz w:val="20"/>
          <w:szCs w:val="20"/>
          <w:lang w:val="fr-CA" w:eastAsia="en-CA"/>
        </w:rPr>
        <w:t>SUITE À LA REQUÊTE</w:t>
      </w:r>
      <w:r w:rsidRPr="006E0384">
        <w:rPr>
          <w:rFonts w:eastAsia="Times New Roman" w:cs="Times New Roman"/>
          <w:bCs/>
          <w:sz w:val="20"/>
          <w:szCs w:val="20"/>
          <w:lang w:val="fr-CA" w:eastAsia="en-CA"/>
        </w:rPr>
        <w:t xml:space="preserve"> des</w:t>
      </w:r>
      <w:r w:rsidRPr="006E0384">
        <w:rPr>
          <w:rFonts w:eastAsia="Times New Roman" w:cs="Times New Roman"/>
          <w:sz w:val="20"/>
          <w:szCs w:val="20"/>
          <w:lang w:val="fr-CA" w:eastAsia="en-CA"/>
        </w:rPr>
        <w:t xml:space="preserve"> demandeurs en vertu du paragraphe 32(2) des </w:t>
      </w:r>
      <w:r w:rsidRPr="006E0384">
        <w:rPr>
          <w:rFonts w:eastAsia="Times New Roman" w:cs="Times New Roman"/>
          <w:i/>
          <w:sz w:val="20"/>
          <w:szCs w:val="20"/>
          <w:lang w:val="fr-CA" w:eastAsia="en-CA"/>
        </w:rPr>
        <w:t>Règles de la Cour suprême</w:t>
      </w:r>
      <w:r w:rsidRPr="006E0384">
        <w:rPr>
          <w:rFonts w:eastAsia="Times New Roman" w:cs="Times New Roman"/>
          <w:sz w:val="20"/>
          <w:szCs w:val="20"/>
          <w:lang w:val="fr-CA" w:eastAsia="en-CA"/>
        </w:rPr>
        <w:t>, sollicitant la permission de soumettre un document supplémentaire au soutien de la demande d’autorisation d’appel, à savoir une décision de la Cour supérieure;</w:t>
      </w:r>
    </w:p>
    <w:p w:rsidR="006E0384" w:rsidRPr="006E0384" w:rsidRDefault="006E0384" w:rsidP="006E0384">
      <w:pPr>
        <w:jc w:val="both"/>
        <w:rPr>
          <w:rFonts w:eastAsia="Times New Roman" w:cs="Times New Roman"/>
          <w:bCs/>
          <w:sz w:val="20"/>
          <w:szCs w:val="20"/>
          <w:lang w:val="fr-CA" w:eastAsia="en-CA"/>
        </w:rPr>
      </w:pPr>
    </w:p>
    <w:p w:rsidR="006E0384" w:rsidRPr="006E0384" w:rsidRDefault="006E0384" w:rsidP="006E0384">
      <w:pPr>
        <w:jc w:val="both"/>
        <w:rPr>
          <w:rFonts w:eastAsia="Times New Roman" w:cs="Times New Roman"/>
          <w:sz w:val="20"/>
          <w:szCs w:val="20"/>
          <w:lang w:val="fr-CA" w:eastAsia="en-CA"/>
        </w:rPr>
      </w:pPr>
      <w:r w:rsidRPr="006E0384">
        <w:rPr>
          <w:rFonts w:eastAsia="Times New Roman" w:cs="Times New Roman"/>
          <w:b/>
          <w:bCs/>
          <w:sz w:val="20"/>
          <w:szCs w:val="20"/>
          <w:lang w:val="fr-CA" w:eastAsia="en-CA"/>
        </w:rPr>
        <w:t xml:space="preserve">IL EST ORDONNÉ CE QUI SUIT : </w:t>
      </w:r>
    </w:p>
    <w:p w:rsidR="006E0384" w:rsidRPr="006E0384" w:rsidRDefault="006E0384" w:rsidP="006E0384">
      <w:pPr>
        <w:jc w:val="both"/>
        <w:rPr>
          <w:rFonts w:eastAsia="Times New Roman" w:cs="Times New Roman"/>
          <w:sz w:val="20"/>
          <w:szCs w:val="20"/>
          <w:lang w:val="fr-CA" w:eastAsia="en-CA"/>
        </w:rPr>
      </w:pPr>
    </w:p>
    <w:p w:rsidR="006E0384" w:rsidRPr="006E0384" w:rsidRDefault="006E0384" w:rsidP="006E0384">
      <w:pPr>
        <w:ind w:left="720"/>
        <w:jc w:val="both"/>
        <w:rPr>
          <w:rFonts w:eastAsia="Times New Roman" w:cs="Times New Roman"/>
          <w:b/>
          <w:bCs/>
          <w:sz w:val="20"/>
          <w:szCs w:val="20"/>
          <w:lang w:eastAsia="en-CA"/>
        </w:rPr>
      </w:pPr>
      <w:r w:rsidRPr="006E0384">
        <w:rPr>
          <w:rFonts w:eastAsia="Times New Roman" w:cs="Times New Roman"/>
          <w:sz w:val="20"/>
          <w:szCs w:val="20"/>
          <w:lang w:eastAsia="en-CA"/>
        </w:rPr>
        <w:t>La requête est accueillie.</w: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jc w:val="both"/>
        <w:rPr>
          <w:rFonts w:eastAsia="Times New Roman" w:cs="Times New Roman"/>
          <w:sz w:val="20"/>
          <w:szCs w:val="20"/>
          <w:lang w:val="en-US" w:eastAsia="en-CA"/>
        </w:rPr>
      </w:pPr>
      <w:r w:rsidRPr="006E0384">
        <w:rPr>
          <w:rFonts w:eastAsia="Times New Roman" w:cs="Times New Roman"/>
          <w:b/>
          <w:bCs/>
          <w:sz w:val="20"/>
          <w:szCs w:val="20"/>
          <w:lang w:val="en-US" w:eastAsia="en-CA"/>
        </w:rPr>
        <w:t>UPON A MOTION</w:t>
      </w:r>
      <w:r w:rsidRPr="006E0384">
        <w:rPr>
          <w:rFonts w:eastAsia="Times New Roman" w:cs="Times New Roman"/>
          <w:bCs/>
          <w:sz w:val="20"/>
          <w:szCs w:val="20"/>
          <w:lang w:val="en-US" w:eastAsia="en-CA"/>
        </w:rPr>
        <w:t xml:space="preserve"> by the applicants pursuant to Rule </w:t>
      </w:r>
      <w:r w:rsidRPr="006E0384">
        <w:rPr>
          <w:rFonts w:eastAsia="Times New Roman" w:cs="Times New Roman"/>
          <w:sz w:val="20"/>
          <w:szCs w:val="20"/>
          <w:lang w:val="en-US" w:eastAsia="en-CA"/>
        </w:rPr>
        <w:t xml:space="preserve">32(2) of the </w:t>
      </w:r>
      <w:r w:rsidRPr="006E0384">
        <w:rPr>
          <w:rFonts w:eastAsia="Times New Roman" w:cs="Times New Roman"/>
          <w:i/>
          <w:sz w:val="20"/>
          <w:szCs w:val="20"/>
          <w:lang w:val="en-US" w:eastAsia="en-CA"/>
        </w:rPr>
        <w:t>Rules of the Supreme Court</w:t>
      </w:r>
      <w:r w:rsidRPr="006E0384">
        <w:rPr>
          <w:rFonts w:eastAsia="Times New Roman" w:cs="Times New Roman"/>
          <w:sz w:val="20"/>
          <w:szCs w:val="20"/>
          <w:lang w:val="en-US" w:eastAsia="en-CA"/>
        </w:rPr>
        <w:t xml:space="preserve"> for permission to submit additional material in support of the application for leave to appeal, namely a decision of the Superior Court;</w:t>
      </w:r>
    </w:p>
    <w:p w:rsidR="006E0384" w:rsidRPr="006E0384" w:rsidRDefault="006E0384" w:rsidP="006E0384">
      <w:pPr>
        <w:jc w:val="both"/>
        <w:rPr>
          <w:rFonts w:eastAsia="Times New Roman" w:cs="Times New Roman"/>
          <w:bCs/>
          <w:sz w:val="20"/>
          <w:szCs w:val="20"/>
          <w:lang w:val="en-US" w:eastAsia="en-CA"/>
        </w:rPr>
      </w:pPr>
    </w:p>
    <w:p w:rsidR="006E0384" w:rsidRPr="006E0384" w:rsidRDefault="006E0384" w:rsidP="006E0384">
      <w:pPr>
        <w:jc w:val="both"/>
        <w:rPr>
          <w:rFonts w:eastAsia="Times New Roman" w:cs="Times New Roman"/>
          <w:sz w:val="20"/>
          <w:szCs w:val="20"/>
          <w:lang w:val="en-US" w:eastAsia="en-CA"/>
        </w:rPr>
      </w:pPr>
      <w:r w:rsidRPr="006E0384">
        <w:rPr>
          <w:rFonts w:eastAsia="Times New Roman" w:cs="Times New Roman"/>
          <w:b/>
          <w:bCs/>
          <w:sz w:val="20"/>
          <w:szCs w:val="20"/>
          <w:lang w:val="en-US" w:eastAsia="en-CA"/>
        </w:rPr>
        <w:t xml:space="preserve">IT IS HEREBY ORDERED THAT: </w:t>
      </w:r>
    </w:p>
    <w:p w:rsidR="006E0384" w:rsidRPr="006E0384" w:rsidRDefault="006E0384" w:rsidP="006E0384">
      <w:pPr>
        <w:jc w:val="both"/>
        <w:rPr>
          <w:rFonts w:eastAsia="Times New Roman" w:cs="Times New Roman"/>
          <w:sz w:val="20"/>
          <w:szCs w:val="20"/>
          <w:lang w:val="en-US" w:eastAsia="en-CA"/>
        </w:rPr>
      </w:pPr>
    </w:p>
    <w:p w:rsidR="006E0384" w:rsidRPr="006E0384" w:rsidRDefault="006E0384" w:rsidP="006E0384">
      <w:pPr>
        <w:ind w:left="720"/>
        <w:jc w:val="both"/>
        <w:rPr>
          <w:rFonts w:eastAsia="Times New Roman" w:cs="Times New Roman"/>
          <w:sz w:val="20"/>
          <w:szCs w:val="20"/>
          <w:lang w:val="en-US" w:eastAsia="en-CA"/>
        </w:rPr>
      </w:pPr>
      <w:r w:rsidRPr="006E0384">
        <w:rPr>
          <w:rFonts w:eastAsia="Times New Roman" w:cs="Times New Roman"/>
          <w:sz w:val="20"/>
          <w:szCs w:val="20"/>
          <w:lang w:val="en-US" w:eastAsia="en-CA"/>
        </w:rPr>
        <w:t>The motion is granted.</w:t>
      </w:r>
    </w:p>
    <w:p w:rsidR="006E0384" w:rsidRPr="006E0384" w:rsidRDefault="006E0384" w:rsidP="006E0384">
      <w:pPr>
        <w:ind w:left="720"/>
        <w:jc w:val="both"/>
        <w:rPr>
          <w:rFonts w:eastAsia="Times New Roman" w:cs="Times New Roman"/>
          <w:b/>
          <w:bCs/>
          <w:sz w:val="20"/>
          <w:szCs w:val="20"/>
          <w:lang w:val="en-US" w:eastAsia="en-CA"/>
        </w:rPr>
      </w:pPr>
    </w:p>
    <w:p w:rsidR="006E0384" w:rsidRPr="006E0384" w:rsidRDefault="001B62D0" w:rsidP="006E038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val="fr-CA" w:eastAsia="en-CA"/>
        </w:rPr>
      </w:pPr>
      <w:r w:rsidRPr="006E0384">
        <w:rPr>
          <w:rFonts w:eastAsia="Times New Roman" w:cs="Times New Roman"/>
          <w:sz w:val="20"/>
          <w:szCs w:val="20"/>
          <w:lang w:val="fr-CA" w:eastAsia="en-CA"/>
        </w:rPr>
        <w:t>07.01.2014</w:t>
      </w:r>
    </w:p>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r w:rsidRPr="006E0384">
        <w:rPr>
          <w:rFonts w:eastAsia="Times New Roman" w:cs="Times New Roman"/>
          <w:sz w:val="20"/>
          <w:szCs w:val="20"/>
          <w:lang w:val="fr-CA" w:eastAsia="en-CA"/>
        </w:rPr>
        <w:t xml:space="preserve">Before / Devant:   </w:t>
      </w:r>
      <w:r w:rsidRPr="006E0384">
        <w:rPr>
          <w:rFonts w:eastAsia="Times New Roman" w:cs="Times New Roman"/>
          <w:sz w:val="20"/>
          <w:szCs w:val="20"/>
          <w:lang w:eastAsia="en-CA"/>
        </w:rPr>
        <w:t>THE REGISTRAR / LE REGISTRAIRE</w:t>
      </w:r>
    </w:p>
    <w:p w:rsidR="006E0384" w:rsidRPr="006E0384" w:rsidRDefault="006E0384" w:rsidP="006E0384">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E0384" w:rsidRPr="006E0384" w:rsidTr="00F230CC">
        <w:trPr>
          <w:trHeight w:val="151"/>
        </w:trPr>
        <w:tc>
          <w:tcPr>
            <w:tcW w:w="4338" w:type="dxa"/>
          </w:tcPr>
          <w:p w:rsidR="006E0384" w:rsidRPr="006E0384" w:rsidRDefault="0016688F" w:rsidP="006E0384">
            <w:pPr>
              <w:tabs>
                <w:tab w:val="left" w:pos="-1440"/>
                <w:tab w:val="left" w:pos="-720"/>
              </w:tabs>
              <w:jc w:val="both"/>
              <w:rPr>
                <w:lang w:val="fr-CA"/>
              </w:rPr>
            </w:pPr>
            <w:r w:rsidRPr="006E0384">
              <w:rPr>
                <w:lang w:val="en-US"/>
              </w:rPr>
              <w:fldChar w:fldCharType="begin"/>
            </w:r>
            <w:r w:rsidR="006E0384" w:rsidRPr="006E0384">
              <w:rPr>
                <w:lang w:val="fr-CA"/>
              </w:rPr>
              <w:instrText xml:space="preserve"> SEQ CHAPTER \h \r 1</w:instrText>
            </w:r>
            <w:r w:rsidRPr="006E0384">
              <w:rPr>
                <w:lang w:val="en-US"/>
              </w:rPr>
              <w:fldChar w:fldCharType="end"/>
            </w:r>
            <w:r w:rsidR="006E0384" w:rsidRPr="006E0384">
              <w:rPr>
                <w:b/>
                <w:bCs/>
                <w:lang w:val="fr-CA"/>
              </w:rPr>
              <w:t>Miscellaneous motion</w:t>
            </w:r>
          </w:p>
          <w:p w:rsidR="006E0384" w:rsidRPr="006E0384" w:rsidRDefault="0016688F" w:rsidP="006E0384">
            <w:pPr>
              <w:tabs>
                <w:tab w:val="left" w:pos="-1440"/>
                <w:tab w:val="left" w:pos="-720"/>
              </w:tabs>
              <w:jc w:val="both"/>
              <w:rPr>
                <w:lang w:val="fr-CA"/>
              </w:rPr>
            </w:pPr>
            <w:r w:rsidRPr="006E0384">
              <w:rPr>
                <w:lang w:val="en-US"/>
              </w:rPr>
              <w:fldChar w:fldCharType="begin"/>
            </w:r>
            <w:r w:rsidR="006E0384" w:rsidRPr="006E0384">
              <w:rPr>
                <w:lang w:val="fr-CA"/>
              </w:rPr>
              <w:instrText xml:space="preserve"> SEQ CHAPTER \h \r 1</w:instrText>
            </w:r>
            <w:r w:rsidRPr="006E0384">
              <w:rPr>
                <w:lang w:val="en-US"/>
              </w:rPr>
              <w:fldChar w:fldCharType="end"/>
            </w:r>
          </w:p>
        </w:tc>
        <w:tc>
          <w:tcPr>
            <w:tcW w:w="1170" w:type="dxa"/>
          </w:tcPr>
          <w:p w:rsidR="006E0384" w:rsidRPr="006E0384" w:rsidRDefault="006E0384" w:rsidP="006E0384">
            <w:pPr>
              <w:jc w:val="both"/>
              <w:rPr>
                <w:lang w:val="fr-CA"/>
              </w:rPr>
            </w:pPr>
          </w:p>
          <w:p w:rsidR="006E0384" w:rsidRPr="006E0384" w:rsidRDefault="006E0384" w:rsidP="006E0384">
            <w:pPr>
              <w:jc w:val="both"/>
              <w:rPr>
                <w:lang w:val="fr-CA"/>
              </w:rPr>
            </w:pPr>
          </w:p>
        </w:tc>
        <w:tc>
          <w:tcPr>
            <w:tcW w:w="4327" w:type="dxa"/>
          </w:tcPr>
          <w:p w:rsidR="006E0384" w:rsidRPr="006E0384" w:rsidRDefault="0016688F" w:rsidP="006E0384">
            <w:pPr>
              <w:jc w:val="both"/>
              <w:rPr>
                <w:b/>
                <w:lang w:val="fr-CA"/>
              </w:rPr>
            </w:pPr>
            <w:r w:rsidRPr="006E0384">
              <w:rPr>
                <w:lang w:val="en-US"/>
              </w:rPr>
              <w:fldChar w:fldCharType="begin"/>
            </w:r>
            <w:r w:rsidR="006E0384" w:rsidRPr="006E0384">
              <w:rPr>
                <w:lang w:val="fr-CA"/>
              </w:rPr>
              <w:instrText xml:space="preserve"> SEQ CHAPTER \h \r 1</w:instrText>
            </w:r>
            <w:r w:rsidRPr="006E0384">
              <w:rPr>
                <w:lang w:val="en-US"/>
              </w:rPr>
              <w:fldChar w:fldCharType="end"/>
            </w:r>
            <w:r w:rsidR="006E0384" w:rsidRPr="006E0384">
              <w:rPr>
                <w:b/>
                <w:bCs/>
                <w:lang w:val="fr-CA"/>
              </w:rPr>
              <w:t>Requête diverse</w:t>
            </w:r>
          </w:p>
          <w:p w:rsidR="006E0384" w:rsidRPr="006E0384" w:rsidRDefault="0016688F" w:rsidP="006E0384">
            <w:pPr>
              <w:jc w:val="both"/>
              <w:rPr>
                <w:b/>
                <w:lang w:val="fr-CA"/>
              </w:rPr>
            </w:pPr>
            <w:r w:rsidRPr="006E0384">
              <w:rPr>
                <w:b/>
                <w:lang w:val="en-US"/>
              </w:rPr>
              <w:fldChar w:fldCharType="begin"/>
            </w:r>
            <w:r w:rsidR="006E0384" w:rsidRPr="006E0384">
              <w:rPr>
                <w:b/>
                <w:lang w:val="fr-CA"/>
              </w:rPr>
              <w:instrText xml:space="preserve"> SEQ CHAPTER \h \r 1</w:instrText>
            </w:r>
            <w:r w:rsidRPr="006E0384">
              <w:rPr>
                <w:b/>
                <w:lang w:val="en-US"/>
              </w:rPr>
              <w:fldChar w:fldCharType="end"/>
            </w:r>
            <w:r w:rsidRPr="006E0384">
              <w:rPr>
                <w:b/>
                <w:lang w:val="en-US"/>
              </w:rPr>
              <w:fldChar w:fldCharType="begin"/>
            </w:r>
            <w:r w:rsidR="006E0384" w:rsidRPr="006E0384">
              <w:rPr>
                <w:b/>
                <w:lang w:val="fr-CA"/>
              </w:rPr>
              <w:instrText xml:space="preserve"> SEQ CHAPTER \h \r 1</w:instrText>
            </w:r>
            <w:r w:rsidRPr="006E0384">
              <w:rPr>
                <w:b/>
                <w:lang w:val="en-US"/>
              </w:rPr>
              <w:fldChar w:fldCharType="end"/>
            </w:r>
          </w:p>
        </w:tc>
      </w:tr>
      <w:tr w:rsidR="006E0384" w:rsidRPr="00023015" w:rsidTr="00F230CC">
        <w:trPr>
          <w:trHeight w:val="150"/>
        </w:trPr>
        <w:tc>
          <w:tcPr>
            <w:tcW w:w="4338" w:type="dxa"/>
          </w:tcPr>
          <w:p w:rsidR="006E0384" w:rsidRPr="006E0384" w:rsidRDefault="006E0384" w:rsidP="006E0384">
            <w:pPr>
              <w:tabs>
                <w:tab w:val="left" w:pos="-1440"/>
                <w:tab w:val="left" w:pos="-720"/>
              </w:tabs>
              <w:jc w:val="both"/>
              <w:rPr>
                <w:lang w:val="fr-CA"/>
              </w:rPr>
            </w:pPr>
            <w:r w:rsidRPr="006E0384">
              <w:rPr>
                <w:lang w:val="fr-CA"/>
              </w:rPr>
              <w:t xml:space="preserve">Ghislain Hudon, personnellement et ès qualités de tuteur à ses enfants mineurs, Raphaël Hudon, Jérémy Hudon et Gabriel Hudon, Sandra Bergeron, personnellement et ès qualités de tutrice à ses enfants mineurs, Raphaël Hudon, Jérémy Hudon et Gabriel Hudon </w:t>
            </w:r>
          </w:p>
          <w:p w:rsidR="006E0384" w:rsidRPr="006E0384" w:rsidRDefault="006E0384" w:rsidP="006E0384">
            <w:pPr>
              <w:tabs>
                <w:tab w:val="left" w:pos="-1440"/>
                <w:tab w:val="left" w:pos="-720"/>
              </w:tabs>
              <w:jc w:val="both"/>
              <w:rPr>
                <w:lang w:val="fr-CA"/>
              </w:rPr>
            </w:pPr>
          </w:p>
          <w:p w:rsidR="006E0384" w:rsidRPr="006E0384" w:rsidRDefault="006E0384" w:rsidP="006E0384">
            <w:pPr>
              <w:tabs>
                <w:tab w:val="left" w:pos="-1440"/>
                <w:tab w:val="left" w:pos="-720"/>
              </w:tabs>
              <w:jc w:val="both"/>
              <w:rPr>
                <w:lang w:val="fr-CA"/>
              </w:rPr>
            </w:pPr>
            <w:r w:rsidRPr="006E0384">
              <w:rPr>
                <w:lang w:val="fr-CA"/>
              </w:rPr>
              <w:lastRenderedPageBreak/>
              <w:tab/>
              <w:t>c. (35486)</w:t>
            </w:r>
          </w:p>
          <w:p w:rsidR="006E0384" w:rsidRPr="006E0384" w:rsidRDefault="006E0384" w:rsidP="006E0384">
            <w:pPr>
              <w:tabs>
                <w:tab w:val="left" w:pos="-1440"/>
                <w:tab w:val="left" w:pos="-720"/>
              </w:tabs>
              <w:jc w:val="both"/>
              <w:rPr>
                <w:lang w:val="fr-CA"/>
              </w:rPr>
            </w:pPr>
          </w:p>
          <w:p w:rsidR="006E0384" w:rsidRPr="006E0384" w:rsidRDefault="006E0384" w:rsidP="006E0384">
            <w:pPr>
              <w:tabs>
                <w:tab w:val="left" w:pos="-1440"/>
                <w:tab w:val="left" w:pos="-720"/>
              </w:tabs>
              <w:jc w:val="both"/>
              <w:rPr>
                <w:lang w:val="fr-CA"/>
              </w:rPr>
            </w:pPr>
            <w:r w:rsidRPr="006E0384">
              <w:rPr>
                <w:lang w:val="fr-CA"/>
              </w:rPr>
              <w:t>Louis Carpentier et autre (Qc)</w:t>
            </w:r>
          </w:p>
        </w:tc>
        <w:tc>
          <w:tcPr>
            <w:tcW w:w="1170" w:type="dxa"/>
          </w:tcPr>
          <w:p w:rsidR="006E0384" w:rsidRPr="006E0384" w:rsidRDefault="006E0384" w:rsidP="006E0384">
            <w:pPr>
              <w:jc w:val="both"/>
              <w:rPr>
                <w:lang w:val="fr-CA"/>
              </w:rPr>
            </w:pPr>
          </w:p>
        </w:tc>
        <w:tc>
          <w:tcPr>
            <w:tcW w:w="4327" w:type="dxa"/>
          </w:tcPr>
          <w:p w:rsidR="006E0384" w:rsidRPr="006E0384" w:rsidRDefault="006E0384" w:rsidP="006E0384">
            <w:pPr>
              <w:jc w:val="both"/>
              <w:rPr>
                <w:lang w:val="fr-CA"/>
              </w:rPr>
            </w:pPr>
          </w:p>
        </w:tc>
      </w:tr>
    </w:tbl>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tabs>
          <w:tab w:val="left" w:pos="-1440"/>
          <w:tab w:val="left" w:pos="-720"/>
        </w:tabs>
        <w:jc w:val="both"/>
        <w:rPr>
          <w:rFonts w:eastAsia="Times New Roman" w:cs="Times New Roman"/>
          <w:sz w:val="20"/>
          <w:szCs w:val="20"/>
          <w:lang w:val="fr-CA" w:eastAsia="en-CA"/>
        </w:rPr>
      </w:pPr>
      <w:r w:rsidRPr="006E0384">
        <w:rPr>
          <w:rFonts w:eastAsia="Times New Roman" w:cs="Times New Roman"/>
          <w:b/>
          <w:sz w:val="20"/>
          <w:szCs w:val="20"/>
          <w:lang w:val="fr-CA" w:eastAsia="en-CA"/>
        </w:rPr>
        <w:t>GRANTED / ACCORDÉE</w:t>
      </w:r>
    </w:p>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jc w:val="both"/>
        <w:rPr>
          <w:rFonts w:eastAsia="Times New Roman" w:cs="Times New Roman"/>
          <w:sz w:val="20"/>
          <w:szCs w:val="20"/>
          <w:lang w:val="fr-CA" w:eastAsia="en-CA"/>
        </w:rPr>
      </w:pPr>
      <w:r w:rsidRPr="006E0384">
        <w:rPr>
          <w:rFonts w:eastAsia="Times New Roman" w:cs="Times New Roman"/>
          <w:b/>
          <w:bCs/>
          <w:sz w:val="20"/>
          <w:szCs w:val="20"/>
          <w:lang w:val="fr-CA" w:eastAsia="en-CA"/>
        </w:rPr>
        <w:t>SUITE À LA REQUÊTE</w:t>
      </w:r>
      <w:r w:rsidRPr="006E0384">
        <w:rPr>
          <w:rFonts w:eastAsia="Times New Roman" w:cs="Times New Roman"/>
          <w:bCs/>
          <w:sz w:val="20"/>
          <w:szCs w:val="20"/>
          <w:lang w:val="fr-CA" w:eastAsia="en-CA"/>
        </w:rPr>
        <w:t xml:space="preserve"> des</w:t>
      </w:r>
      <w:r w:rsidRPr="006E0384">
        <w:rPr>
          <w:rFonts w:eastAsia="Times New Roman" w:cs="Times New Roman"/>
          <w:sz w:val="20"/>
          <w:szCs w:val="20"/>
          <w:lang w:val="fr-CA" w:eastAsia="en-CA"/>
        </w:rPr>
        <w:t xml:space="preserve"> demandeurs en vertu du paragraphe 32(2) des </w:t>
      </w:r>
      <w:r w:rsidRPr="006E0384">
        <w:rPr>
          <w:rFonts w:eastAsia="Times New Roman" w:cs="Times New Roman"/>
          <w:i/>
          <w:sz w:val="20"/>
          <w:szCs w:val="20"/>
          <w:lang w:val="fr-CA" w:eastAsia="en-CA"/>
        </w:rPr>
        <w:t>Règles de la Cour suprême</w:t>
      </w:r>
      <w:r w:rsidRPr="006E0384">
        <w:rPr>
          <w:rFonts w:eastAsia="Times New Roman" w:cs="Times New Roman"/>
          <w:sz w:val="20"/>
          <w:szCs w:val="20"/>
          <w:lang w:val="fr-CA" w:eastAsia="en-CA"/>
        </w:rPr>
        <w:t>, sollicitant la permission de soumettre un document supplémentaire au soutien de la demande d’autorisation d’appel, à savoir une décision de la Cour supérieure;</w:t>
      </w:r>
    </w:p>
    <w:p w:rsidR="006E0384" w:rsidRPr="006E0384" w:rsidRDefault="006E0384" w:rsidP="006E0384">
      <w:pPr>
        <w:jc w:val="both"/>
        <w:rPr>
          <w:rFonts w:eastAsia="Times New Roman" w:cs="Times New Roman"/>
          <w:bCs/>
          <w:sz w:val="20"/>
          <w:szCs w:val="20"/>
          <w:lang w:val="fr-CA" w:eastAsia="en-CA"/>
        </w:rPr>
      </w:pPr>
    </w:p>
    <w:p w:rsidR="006E0384" w:rsidRPr="006E0384" w:rsidRDefault="006E0384" w:rsidP="006E0384">
      <w:pPr>
        <w:jc w:val="both"/>
        <w:rPr>
          <w:rFonts w:eastAsia="Times New Roman" w:cs="Times New Roman"/>
          <w:sz w:val="20"/>
          <w:szCs w:val="20"/>
          <w:lang w:val="fr-CA" w:eastAsia="en-CA"/>
        </w:rPr>
      </w:pPr>
      <w:r w:rsidRPr="006E0384">
        <w:rPr>
          <w:rFonts w:eastAsia="Times New Roman" w:cs="Times New Roman"/>
          <w:b/>
          <w:bCs/>
          <w:sz w:val="20"/>
          <w:szCs w:val="20"/>
          <w:lang w:val="fr-CA" w:eastAsia="en-CA"/>
        </w:rPr>
        <w:t xml:space="preserve">IL EST ORDONNÉ CE QUI SUIT : </w:t>
      </w:r>
    </w:p>
    <w:p w:rsidR="006E0384" w:rsidRPr="006E0384" w:rsidRDefault="006E0384" w:rsidP="006E0384">
      <w:pPr>
        <w:jc w:val="both"/>
        <w:rPr>
          <w:rFonts w:eastAsia="Times New Roman" w:cs="Times New Roman"/>
          <w:sz w:val="20"/>
          <w:szCs w:val="20"/>
          <w:lang w:val="fr-CA" w:eastAsia="en-CA"/>
        </w:rPr>
      </w:pPr>
    </w:p>
    <w:p w:rsidR="006E0384" w:rsidRPr="00822540" w:rsidRDefault="006E0384" w:rsidP="006E0384">
      <w:pPr>
        <w:ind w:left="720"/>
        <w:jc w:val="both"/>
        <w:rPr>
          <w:rFonts w:eastAsia="Times New Roman" w:cs="Times New Roman"/>
          <w:b/>
          <w:bCs/>
          <w:sz w:val="20"/>
          <w:szCs w:val="20"/>
          <w:lang w:eastAsia="en-CA"/>
        </w:rPr>
      </w:pPr>
      <w:r w:rsidRPr="00822540">
        <w:rPr>
          <w:rFonts w:eastAsia="Times New Roman" w:cs="Times New Roman"/>
          <w:sz w:val="20"/>
          <w:szCs w:val="20"/>
          <w:lang w:eastAsia="en-CA"/>
        </w:rPr>
        <w:t>La requête est accueillie.</w: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jc w:val="both"/>
        <w:rPr>
          <w:rFonts w:eastAsia="Times New Roman" w:cs="Times New Roman"/>
          <w:sz w:val="20"/>
          <w:szCs w:val="20"/>
          <w:lang w:val="en-US" w:eastAsia="en-CA"/>
        </w:rPr>
      </w:pPr>
      <w:r w:rsidRPr="006E0384">
        <w:rPr>
          <w:rFonts w:eastAsia="Times New Roman" w:cs="Times New Roman"/>
          <w:b/>
          <w:bCs/>
          <w:sz w:val="20"/>
          <w:szCs w:val="20"/>
          <w:lang w:val="en-US" w:eastAsia="en-CA"/>
        </w:rPr>
        <w:t>UPON A MOTION</w:t>
      </w:r>
      <w:r w:rsidRPr="006E0384">
        <w:rPr>
          <w:rFonts w:eastAsia="Times New Roman" w:cs="Times New Roman"/>
          <w:bCs/>
          <w:sz w:val="20"/>
          <w:szCs w:val="20"/>
          <w:lang w:val="en-US" w:eastAsia="en-CA"/>
        </w:rPr>
        <w:t xml:space="preserve"> by the applicants pursuant to Rule </w:t>
      </w:r>
      <w:r w:rsidRPr="006E0384">
        <w:rPr>
          <w:rFonts w:eastAsia="Times New Roman" w:cs="Times New Roman"/>
          <w:sz w:val="20"/>
          <w:szCs w:val="20"/>
          <w:lang w:val="en-US" w:eastAsia="en-CA"/>
        </w:rPr>
        <w:t xml:space="preserve">32(2) of the </w:t>
      </w:r>
      <w:r w:rsidRPr="006E0384">
        <w:rPr>
          <w:rFonts w:eastAsia="Times New Roman" w:cs="Times New Roman"/>
          <w:i/>
          <w:sz w:val="20"/>
          <w:szCs w:val="20"/>
          <w:lang w:val="en-US" w:eastAsia="en-CA"/>
        </w:rPr>
        <w:t>Rules of the Supreme Court</w:t>
      </w:r>
      <w:r w:rsidRPr="006E0384">
        <w:rPr>
          <w:rFonts w:eastAsia="Times New Roman" w:cs="Times New Roman"/>
          <w:sz w:val="20"/>
          <w:szCs w:val="20"/>
          <w:lang w:val="en-US" w:eastAsia="en-CA"/>
        </w:rPr>
        <w:t xml:space="preserve"> for permission to submit additional material in support of the application for leave to appeal, namely a decision of the Superior Court;</w:t>
      </w:r>
    </w:p>
    <w:p w:rsidR="006E0384" w:rsidRPr="006E0384" w:rsidRDefault="006E0384" w:rsidP="006E0384">
      <w:pPr>
        <w:jc w:val="both"/>
        <w:rPr>
          <w:rFonts w:eastAsia="Times New Roman" w:cs="Times New Roman"/>
          <w:bCs/>
          <w:sz w:val="20"/>
          <w:szCs w:val="20"/>
          <w:lang w:val="en-US" w:eastAsia="en-CA"/>
        </w:rPr>
      </w:pPr>
    </w:p>
    <w:p w:rsidR="006E0384" w:rsidRPr="006E0384" w:rsidRDefault="006E0384" w:rsidP="006E0384">
      <w:pPr>
        <w:jc w:val="both"/>
        <w:rPr>
          <w:rFonts w:eastAsia="Times New Roman" w:cs="Times New Roman"/>
          <w:sz w:val="20"/>
          <w:szCs w:val="20"/>
          <w:lang w:val="en-US" w:eastAsia="en-CA"/>
        </w:rPr>
      </w:pPr>
      <w:r w:rsidRPr="006E0384">
        <w:rPr>
          <w:rFonts w:eastAsia="Times New Roman" w:cs="Times New Roman"/>
          <w:b/>
          <w:bCs/>
          <w:sz w:val="20"/>
          <w:szCs w:val="20"/>
          <w:lang w:val="en-US" w:eastAsia="en-CA"/>
        </w:rPr>
        <w:t xml:space="preserve">IT IS HEREBY ORDERED THAT: </w:t>
      </w:r>
    </w:p>
    <w:p w:rsidR="006E0384" w:rsidRPr="006E0384" w:rsidRDefault="006E0384" w:rsidP="006E0384">
      <w:pPr>
        <w:jc w:val="both"/>
        <w:rPr>
          <w:rFonts w:eastAsia="Times New Roman" w:cs="Times New Roman"/>
          <w:sz w:val="20"/>
          <w:szCs w:val="20"/>
          <w:lang w:val="en-US" w:eastAsia="en-CA"/>
        </w:rPr>
      </w:pPr>
    </w:p>
    <w:p w:rsidR="006E0384" w:rsidRPr="006E0384" w:rsidRDefault="006E0384" w:rsidP="006E0384">
      <w:pPr>
        <w:ind w:left="720"/>
        <w:jc w:val="both"/>
        <w:rPr>
          <w:rFonts w:eastAsia="Times New Roman" w:cs="Times New Roman"/>
          <w:b/>
          <w:bCs/>
          <w:sz w:val="20"/>
          <w:szCs w:val="20"/>
          <w:lang w:val="en-US" w:eastAsia="en-CA"/>
        </w:rPr>
      </w:pPr>
      <w:r w:rsidRPr="006E0384">
        <w:rPr>
          <w:rFonts w:eastAsia="Times New Roman" w:cs="Times New Roman"/>
          <w:sz w:val="20"/>
          <w:szCs w:val="20"/>
          <w:lang w:val="en-US" w:eastAsia="en-CA"/>
        </w:rPr>
        <w:t>The motion is granted.</w: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1B62D0" w:rsidP="006E038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r w:rsidRPr="006E0384">
        <w:rPr>
          <w:rFonts w:eastAsia="Times New Roman" w:cs="Times New Roman"/>
          <w:sz w:val="20"/>
          <w:szCs w:val="20"/>
          <w:lang w:eastAsia="en-CA"/>
        </w:rPr>
        <w:t>07.01.2014</w: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jc w:val="both"/>
        <w:rPr>
          <w:rFonts w:eastAsia="Times New Roman" w:cs="Times New Roman"/>
          <w:sz w:val="20"/>
          <w:szCs w:val="20"/>
          <w:lang w:val="fr-CA" w:eastAsia="en-CA"/>
        </w:rPr>
      </w:pPr>
      <w:r w:rsidRPr="006E0384">
        <w:rPr>
          <w:rFonts w:eastAsia="Times New Roman" w:cs="Times New Roman"/>
          <w:sz w:val="20"/>
          <w:szCs w:val="20"/>
          <w:lang w:val="fr-CA" w:eastAsia="en-CA"/>
        </w:rPr>
        <w:t>Before / Devant :   THE REGISTRAR / LE REGISTRAIRE</w:t>
      </w:r>
    </w:p>
    <w:p w:rsidR="006E0384" w:rsidRPr="006E0384" w:rsidRDefault="006E0384" w:rsidP="006E038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E0384" w:rsidRPr="00023015" w:rsidTr="00F230CC">
        <w:trPr>
          <w:trHeight w:val="151"/>
        </w:trPr>
        <w:tc>
          <w:tcPr>
            <w:tcW w:w="4338" w:type="dxa"/>
          </w:tcPr>
          <w:p w:rsidR="006E0384" w:rsidRPr="006E0384" w:rsidRDefault="006E0384" w:rsidP="006E0384">
            <w:pPr>
              <w:jc w:val="both"/>
              <w:rPr>
                <w:lang w:val="en-US"/>
              </w:rPr>
            </w:pPr>
            <w:r w:rsidRPr="006E0384">
              <w:rPr>
                <w:b/>
                <w:bCs/>
                <w:color w:val="000000"/>
                <w:lang w:val="en-GB"/>
              </w:rPr>
              <w:t>Motion to extend the time to serve and file the appellant’s factum to December 6, 2013, and his record and book of authorities to December 17, 2013</w:t>
            </w:r>
          </w:p>
        </w:tc>
        <w:tc>
          <w:tcPr>
            <w:tcW w:w="1170" w:type="dxa"/>
          </w:tcPr>
          <w:p w:rsidR="006E0384" w:rsidRPr="006E0384" w:rsidRDefault="006E0384" w:rsidP="006E0384">
            <w:pPr>
              <w:jc w:val="both"/>
            </w:pPr>
          </w:p>
          <w:p w:rsidR="006E0384" w:rsidRPr="006E0384" w:rsidRDefault="006E0384" w:rsidP="006E0384">
            <w:pPr>
              <w:jc w:val="both"/>
            </w:pPr>
          </w:p>
          <w:p w:rsidR="006E0384" w:rsidRPr="006E0384" w:rsidRDefault="006E0384" w:rsidP="006E0384">
            <w:pPr>
              <w:jc w:val="both"/>
            </w:pPr>
          </w:p>
          <w:p w:rsidR="006E0384" w:rsidRPr="006E0384" w:rsidRDefault="006E0384" w:rsidP="006E0384">
            <w:pPr>
              <w:jc w:val="both"/>
            </w:pPr>
          </w:p>
          <w:p w:rsidR="006E0384" w:rsidRPr="006E0384" w:rsidRDefault="006E0384" w:rsidP="006E0384">
            <w:pPr>
              <w:jc w:val="both"/>
            </w:pPr>
          </w:p>
        </w:tc>
        <w:tc>
          <w:tcPr>
            <w:tcW w:w="4327" w:type="dxa"/>
          </w:tcPr>
          <w:p w:rsidR="006E0384" w:rsidRPr="006E0384" w:rsidRDefault="006E0384" w:rsidP="006E0384">
            <w:pPr>
              <w:jc w:val="both"/>
              <w:rPr>
                <w:b/>
                <w:lang w:val="fr-CA"/>
              </w:rPr>
            </w:pPr>
            <w:r w:rsidRPr="006E0384">
              <w:rPr>
                <w:b/>
                <w:bCs/>
                <w:color w:val="000000"/>
                <w:lang w:val="fr-CA"/>
              </w:rPr>
              <w:t>Requête en prorogation du délai de signification et de dépôt du mémoire de l’appelant jusqu’au 6 décembre 2013 et de ses dossier et recueil de sources jusqu'au 17 décembre 2013</w:t>
            </w:r>
            <w:r w:rsidR="0016688F" w:rsidRPr="006E0384">
              <w:rPr>
                <w:b/>
                <w:lang w:val="en-US"/>
              </w:rPr>
              <w:fldChar w:fldCharType="begin"/>
            </w:r>
            <w:r w:rsidRPr="006E0384">
              <w:rPr>
                <w:b/>
                <w:lang w:val="fr-CA"/>
              </w:rPr>
              <w:instrText xml:space="preserve"> SEQ CHAPTER \h \r 1</w:instrText>
            </w:r>
            <w:r w:rsidR="0016688F" w:rsidRPr="006E0384">
              <w:rPr>
                <w:b/>
                <w:lang w:val="en-US"/>
              </w:rPr>
              <w:fldChar w:fldCharType="end"/>
            </w:r>
          </w:p>
        </w:tc>
      </w:tr>
      <w:tr w:rsidR="006E0384" w:rsidRPr="006E0384" w:rsidTr="00F230CC">
        <w:trPr>
          <w:trHeight w:val="150"/>
        </w:trPr>
        <w:tc>
          <w:tcPr>
            <w:tcW w:w="4338" w:type="dxa"/>
          </w:tcPr>
          <w:p w:rsidR="006E0384" w:rsidRPr="006E0384" w:rsidRDefault="006E0384" w:rsidP="006E0384">
            <w:pPr>
              <w:tabs>
                <w:tab w:val="left" w:pos="-1440"/>
                <w:tab w:val="left" w:pos="-720"/>
              </w:tabs>
              <w:jc w:val="both"/>
            </w:pPr>
            <w:r w:rsidRPr="006E0384">
              <w:t>Andrew Gordon Wakeling et al.</w:t>
            </w:r>
          </w:p>
          <w:p w:rsidR="006E0384" w:rsidRPr="006E0384" w:rsidRDefault="006E0384" w:rsidP="006E0384">
            <w:pPr>
              <w:tabs>
                <w:tab w:val="left" w:pos="-1440"/>
                <w:tab w:val="left" w:pos="-720"/>
              </w:tabs>
              <w:jc w:val="both"/>
            </w:pPr>
          </w:p>
          <w:p w:rsidR="006E0384" w:rsidRPr="006E0384" w:rsidRDefault="006E0384" w:rsidP="006E0384">
            <w:pPr>
              <w:tabs>
                <w:tab w:val="left" w:pos="-1440"/>
                <w:tab w:val="left" w:pos="-720"/>
              </w:tabs>
              <w:jc w:val="both"/>
            </w:pPr>
            <w:r w:rsidRPr="006E0384">
              <w:tab/>
              <w:t>v. (35072)</w:t>
            </w:r>
          </w:p>
          <w:p w:rsidR="006E0384" w:rsidRPr="006E0384" w:rsidRDefault="006E0384" w:rsidP="006E0384">
            <w:pPr>
              <w:tabs>
                <w:tab w:val="left" w:pos="-1440"/>
                <w:tab w:val="left" w:pos="-720"/>
              </w:tabs>
              <w:jc w:val="both"/>
            </w:pPr>
          </w:p>
          <w:p w:rsidR="006E0384" w:rsidRPr="006E0384" w:rsidRDefault="006E0384" w:rsidP="006E0384">
            <w:pPr>
              <w:tabs>
                <w:tab w:val="left" w:pos="-1440"/>
                <w:tab w:val="left" w:pos="-720"/>
              </w:tabs>
              <w:jc w:val="both"/>
              <w:rPr>
                <w:lang w:val="fr-CA"/>
              </w:rPr>
            </w:pPr>
            <w:r w:rsidRPr="006E0384">
              <w:t xml:space="preserve">Attorney General of Canada on behalf of the United States of America et al. </w:t>
            </w:r>
            <w:r w:rsidRPr="006E0384">
              <w:rPr>
                <w:lang w:val="fr-CA"/>
              </w:rPr>
              <w:t>(Crim.) (B.C.)</w:t>
            </w:r>
          </w:p>
        </w:tc>
        <w:tc>
          <w:tcPr>
            <w:tcW w:w="1170" w:type="dxa"/>
          </w:tcPr>
          <w:p w:rsidR="006E0384" w:rsidRPr="006E0384" w:rsidRDefault="006E0384" w:rsidP="006E0384">
            <w:pPr>
              <w:jc w:val="both"/>
              <w:rPr>
                <w:lang w:val="fr-CA"/>
              </w:rPr>
            </w:pPr>
          </w:p>
        </w:tc>
        <w:tc>
          <w:tcPr>
            <w:tcW w:w="4327" w:type="dxa"/>
          </w:tcPr>
          <w:p w:rsidR="006E0384" w:rsidRPr="006E0384" w:rsidRDefault="006E0384" w:rsidP="006E0384">
            <w:pPr>
              <w:jc w:val="both"/>
              <w:rPr>
                <w:lang w:val="fr-CA"/>
              </w:rPr>
            </w:pPr>
          </w:p>
        </w:tc>
      </w:tr>
    </w:tbl>
    <w:p w:rsidR="006E0384" w:rsidRPr="006E0384" w:rsidRDefault="006E0384" w:rsidP="006E0384">
      <w:pPr>
        <w:tabs>
          <w:tab w:val="left" w:pos="-1440"/>
          <w:tab w:val="left" w:pos="-720"/>
        </w:tabs>
        <w:jc w:val="both"/>
        <w:rPr>
          <w:rFonts w:eastAsia="Times New Roman" w:cs="Times New Roman"/>
          <w:sz w:val="20"/>
          <w:szCs w:val="20"/>
          <w:lang w:val="fr-CA" w:eastAsia="en-CA"/>
        </w:rPr>
      </w:pPr>
    </w:p>
    <w:p w:rsidR="006E0384" w:rsidRPr="006E0384" w:rsidRDefault="006E0384" w:rsidP="006E0384">
      <w:pPr>
        <w:tabs>
          <w:tab w:val="left" w:pos="-1440"/>
          <w:tab w:val="left" w:pos="-720"/>
        </w:tabs>
        <w:jc w:val="both"/>
        <w:rPr>
          <w:rFonts w:eastAsia="Times New Roman" w:cs="Times New Roman"/>
          <w:sz w:val="20"/>
          <w:szCs w:val="20"/>
          <w:lang w:eastAsia="en-CA"/>
        </w:rPr>
      </w:pPr>
      <w:r w:rsidRPr="006E0384">
        <w:rPr>
          <w:rFonts w:eastAsia="Times New Roman" w:cs="Times New Roman"/>
          <w:b/>
          <w:sz w:val="20"/>
          <w:szCs w:val="20"/>
          <w:lang w:eastAsia="en-CA"/>
        </w:rPr>
        <w:t>GRANTED / ACCORDÉE</w: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6E0384" w:rsidRPr="006E0384" w:rsidRDefault="006E0384" w:rsidP="006E0384">
      <w:pPr>
        <w:tabs>
          <w:tab w:val="left" w:pos="-1440"/>
          <w:tab w:val="left" w:pos="-720"/>
        </w:tabs>
        <w:spacing w:line="-19" w:lineRule="auto"/>
        <w:jc w:val="both"/>
        <w:rPr>
          <w:rFonts w:eastAsia="Times New Roman" w:cs="Times New Roman"/>
          <w:sz w:val="20"/>
          <w:szCs w:val="20"/>
          <w:lang w:eastAsia="en-CA"/>
        </w:rPr>
      </w:pPr>
    </w:p>
    <w:p w:rsidR="006E0384" w:rsidRPr="006E0384" w:rsidRDefault="001B62D0" w:rsidP="006E038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6E0384" w:rsidRPr="006E0384" w:rsidRDefault="006E0384" w:rsidP="006E0384">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023015"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C50A5C" w:rsidRDefault="002C2A9E" w:rsidP="00C1697B">
            <w:pPr>
              <w:rPr>
                <w:sz w:val="20"/>
                <w:szCs w:val="20"/>
              </w:rPr>
            </w:pPr>
            <w:r>
              <w:rPr>
                <w:sz w:val="20"/>
                <w:szCs w:val="20"/>
              </w:rPr>
              <w:t>09</w:t>
            </w:r>
            <w:r w:rsidR="00C1697B" w:rsidRPr="00C50A5C">
              <w:rPr>
                <w:sz w:val="20"/>
                <w:szCs w:val="20"/>
              </w:rPr>
              <w:t>.0</w:t>
            </w:r>
            <w:r>
              <w:rPr>
                <w:sz w:val="20"/>
                <w:szCs w:val="20"/>
              </w:rPr>
              <w:t>1</w:t>
            </w:r>
            <w:r w:rsidR="00C1697B" w:rsidRPr="00C50A5C">
              <w:rPr>
                <w:sz w:val="20"/>
                <w:szCs w:val="20"/>
              </w:rPr>
              <w:t>.201</w:t>
            </w:r>
            <w:r>
              <w:rPr>
                <w:sz w:val="20"/>
                <w:szCs w:val="20"/>
              </w:rPr>
              <w:t>4</w:t>
            </w:r>
          </w:p>
          <w:p w:rsidR="00C1697B" w:rsidRPr="00C50A5C" w:rsidRDefault="00C1697B" w:rsidP="00C1697B">
            <w:pPr>
              <w:rPr>
                <w:sz w:val="20"/>
                <w:szCs w:val="20"/>
              </w:rPr>
            </w:pPr>
          </w:p>
          <w:p w:rsidR="00C1697B" w:rsidRPr="00C1697B" w:rsidRDefault="002C2A9E" w:rsidP="00C1697B">
            <w:pPr>
              <w:rPr>
                <w:b/>
                <w:sz w:val="20"/>
                <w:szCs w:val="20"/>
              </w:rPr>
            </w:pPr>
            <w:r>
              <w:rPr>
                <w:b/>
                <w:sz w:val="20"/>
                <w:szCs w:val="20"/>
              </w:rPr>
              <w:t>Joint Administrators of Nortel Networks UK Limited (in administration) on behalf of the EMEA Debtors</w:t>
            </w:r>
          </w:p>
          <w:p w:rsidR="00C1697B" w:rsidRPr="00C1697B" w:rsidRDefault="00C1697B" w:rsidP="00C1697B">
            <w:pPr>
              <w:rPr>
                <w:b/>
                <w:sz w:val="20"/>
                <w:szCs w:val="20"/>
              </w:rPr>
            </w:pPr>
          </w:p>
          <w:p w:rsidR="00C1697B" w:rsidRPr="00822540" w:rsidRDefault="00C1697B" w:rsidP="00C1697B">
            <w:pPr>
              <w:rPr>
                <w:b/>
                <w:sz w:val="20"/>
                <w:szCs w:val="20"/>
                <w:lang w:val="fr-CA"/>
              </w:rPr>
            </w:pPr>
            <w:r w:rsidRPr="00C1697B">
              <w:rPr>
                <w:b/>
                <w:sz w:val="20"/>
                <w:szCs w:val="20"/>
              </w:rPr>
              <w:tab/>
            </w:r>
            <w:r w:rsidRPr="00822540">
              <w:rPr>
                <w:b/>
                <w:sz w:val="20"/>
                <w:szCs w:val="20"/>
                <w:lang w:val="fr-CA"/>
              </w:rPr>
              <w:t>v. (3</w:t>
            </w:r>
            <w:r w:rsidR="002C2A9E" w:rsidRPr="00822540">
              <w:rPr>
                <w:b/>
                <w:sz w:val="20"/>
                <w:szCs w:val="20"/>
                <w:lang w:val="fr-CA"/>
              </w:rPr>
              <w:t>55</w:t>
            </w:r>
            <w:r w:rsidRPr="00822540">
              <w:rPr>
                <w:b/>
                <w:sz w:val="20"/>
                <w:szCs w:val="20"/>
                <w:lang w:val="fr-CA"/>
              </w:rPr>
              <w:t>3</w:t>
            </w:r>
            <w:r w:rsidR="002C2A9E" w:rsidRPr="00822540">
              <w:rPr>
                <w:b/>
                <w:sz w:val="20"/>
                <w:szCs w:val="20"/>
                <w:lang w:val="fr-CA"/>
              </w:rPr>
              <w:t>2</w:t>
            </w:r>
            <w:r w:rsidRPr="00822540">
              <w:rPr>
                <w:b/>
                <w:sz w:val="20"/>
                <w:szCs w:val="20"/>
                <w:lang w:val="fr-CA"/>
              </w:rPr>
              <w:t>)</w:t>
            </w:r>
          </w:p>
          <w:p w:rsidR="00C1697B" w:rsidRPr="00822540" w:rsidRDefault="00C1697B" w:rsidP="00C1697B">
            <w:pPr>
              <w:rPr>
                <w:b/>
                <w:sz w:val="20"/>
                <w:szCs w:val="20"/>
                <w:lang w:val="fr-CA"/>
              </w:rPr>
            </w:pPr>
          </w:p>
          <w:p w:rsidR="00C1697B" w:rsidRPr="00822540" w:rsidRDefault="002C2A9E" w:rsidP="00C1697B">
            <w:pPr>
              <w:rPr>
                <w:b/>
                <w:sz w:val="20"/>
                <w:szCs w:val="20"/>
                <w:lang w:val="fr-CA"/>
              </w:rPr>
            </w:pPr>
            <w:r w:rsidRPr="00822540">
              <w:rPr>
                <w:b/>
                <w:sz w:val="20"/>
                <w:szCs w:val="20"/>
                <w:lang w:val="fr-CA"/>
              </w:rPr>
              <w:t>Norte</w:t>
            </w:r>
            <w:r w:rsidR="00C1697B" w:rsidRPr="00822540">
              <w:rPr>
                <w:b/>
                <w:sz w:val="20"/>
                <w:szCs w:val="20"/>
                <w:lang w:val="fr-CA"/>
              </w:rPr>
              <w:t>l</w:t>
            </w:r>
            <w:r w:rsidRPr="00822540">
              <w:rPr>
                <w:b/>
                <w:sz w:val="20"/>
                <w:szCs w:val="20"/>
                <w:lang w:val="fr-CA"/>
              </w:rPr>
              <w:t xml:space="preserve"> Networ</w:t>
            </w:r>
            <w:r w:rsidR="00C1697B" w:rsidRPr="00822540">
              <w:rPr>
                <w:b/>
                <w:sz w:val="20"/>
                <w:szCs w:val="20"/>
                <w:lang w:val="fr-CA"/>
              </w:rPr>
              <w:t>k</w:t>
            </w:r>
            <w:r w:rsidRPr="00822540">
              <w:rPr>
                <w:b/>
                <w:sz w:val="20"/>
                <w:szCs w:val="20"/>
                <w:lang w:val="fr-CA"/>
              </w:rPr>
              <w:t>s Corporation et al.</w:t>
            </w:r>
            <w:r w:rsidR="00C1697B" w:rsidRPr="00822540">
              <w:rPr>
                <w:b/>
                <w:sz w:val="20"/>
                <w:szCs w:val="20"/>
                <w:lang w:val="fr-CA"/>
              </w:rPr>
              <w:t xml:space="preserve"> (Ont.) </w:t>
            </w:r>
          </w:p>
          <w:p w:rsidR="00C1697B" w:rsidRPr="00822540" w:rsidRDefault="00C1697B" w:rsidP="00C1697B">
            <w:pPr>
              <w:rPr>
                <w:sz w:val="20"/>
                <w:szCs w:val="20"/>
                <w:lang w:val="fr-CA"/>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2C2A9E" w:rsidRDefault="001B62D0" w:rsidP="00697C62">
            <w:pPr>
              <w:rPr>
                <w:sz w:val="20"/>
                <w:szCs w:val="20"/>
              </w:rPr>
            </w:pPr>
            <w:r>
              <w:rPr>
                <w:sz w:val="20"/>
                <w:szCs w:val="20"/>
                <w:lang w:val="fr-CA"/>
              </w:rPr>
              <w:pict>
                <v:rect id="_x0000_i1066" style="width:108pt;height:1pt" o:hrpct="0" o:hralign="center" o:hrstd="t" o:hrnoshade="t" o:hr="t" fillcolor="black [3213]" stroked="f"/>
              </w:pict>
            </w:r>
          </w:p>
        </w:tc>
        <w:tc>
          <w:tcPr>
            <w:tcW w:w="1080" w:type="dxa"/>
            <w:shd w:val="clear" w:color="auto" w:fill="auto"/>
          </w:tcPr>
          <w:p w:rsidR="00802863" w:rsidRPr="002C2A9E" w:rsidRDefault="00802863"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p w:rsidR="003B3977" w:rsidRPr="002C2A9E" w:rsidRDefault="003B3977" w:rsidP="00802863">
            <w:pPr>
              <w:jc w:val="center"/>
              <w:rPr>
                <w:sz w:val="20"/>
                <w:szCs w:val="20"/>
              </w:rPr>
            </w:pPr>
          </w:p>
        </w:tc>
        <w:tc>
          <w:tcPr>
            <w:tcW w:w="4417" w:type="dxa"/>
            <w:shd w:val="clear" w:color="auto" w:fill="auto"/>
          </w:tcPr>
          <w:p w:rsidR="00802863" w:rsidRPr="002C2A9E" w:rsidRDefault="00802863" w:rsidP="00802863">
            <w:pPr>
              <w:rPr>
                <w:sz w:val="20"/>
                <w:szCs w:val="20"/>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2301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050E05" w:rsidRDefault="00A86627" w:rsidP="00732DB7">
      <w:pPr>
        <w:widowControl w:val="0"/>
        <w:rPr>
          <w:sz w:val="20"/>
          <w:szCs w:val="20"/>
          <w:lang w:val="fr-CA"/>
        </w:rPr>
      </w:pPr>
      <w:r w:rsidRPr="00050E05">
        <w:rPr>
          <w:sz w:val="20"/>
          <w:szCs w:val="20"/>
          <w:lang w:val="fr-CA"/>
        </w:rPr>
        <w:t>13</w:t>
      </w:r>
      <w:r w:rsidR="00732DB7" w:rsidRPr="00050E05">
        <w:rPr>
          <w:sz w:val="20"/>
          <w:szCs w:val="20"/>
          <w:lang w:val="fr-CA"/>
        </w:rPr>
        <w:t>.0</w:t>
      </w:r>
      <w:r w:rsidRPr="00050E05">
        <w:rPr>
          <w:sz w:val="20"/>
          <w:szCs w:val="20"/>
          <w:lang w:val="fr-CA"/>
        </w:rPr>
        <w:t>1</w:t>
      </w:r>
      <w:r w:rsidR="00732DB7" w:rsidRPr="00050E05">
        <w:rPr>
          <w:sz w:val="20"/>
          <w:szCs w:val="20"/>
          <w:lang w:val="fr-CA"/>
        </w:rPr>
        <w:t>.201</w:t>
      </w:r>
      <w:r w:rsidRPr="00050E05">
        <w:rPr>
          <w:sz w:val="20"/>
          <w:szCs w:val="20"/>
          <w:lang w:val="fr-CA"/>
        </w:rPr>
        <w:t>4</w:t>
      </w:r>
    </w:p>
    <w:p w:rsidR="00732DB7" w:rsidRPr="00050E05" w:rsidRDefault="00732DB7" w:rsidP="00732DB7">
      <w:pPr>
        <w:widowControl w:val="0"/>
        <w:rPr>
          <w:sz w:val="20"/>
          <w:szCs w:val="20"/>
          <w:lang w:val="fr-CA"/>
        </w:rPr>
      </w:pPr>
    </w:p>
    <w:p w:rsidR="004909C5" w:rsidRPr="00F34001" w:rsidRDefault="004909C5" w:rsidP="004909C5">
      <w:pPr>
        <w:widowControl w:val="0"/>
        <w:ind w:left="720" w:hanging="720"/>
        <w:rPr>
          <w:sz w:val="20"/>
          <w:szCs w:val="20"/>
          <w:u w:val="single"/>
          <w:lang w:val="fr-CA"/>
        </w:rPr>
      </w:pPr>
      <w:r w:rsidRPr="00F34001">
        <w:rPr>
          <w:sz w:val="20"/>
          <w:szCs w:val="20"/>
          <w:lang w:val="fr-CA"/>
        </w:rPr>
        <w:t xml:space="preserve">Coram: </w:t>
      </w:r>
      <w:r w:rsidRPr="00F34001">
        <w:rPr>
          <w:sz w:val="20"/>
          <w:szCs w:val="20"/>
          <w:lang w:val="fr-CA"/>
        </w:rPr>
        <w:tab/>
      </w:r>
      <w:r w:rsidRPr="00F34001">
        <w:rPr>
          <w:sz w:val="20"/>
          <w:szCs w:val="20"/>
          <w:u w:val="single"/>
          <w:lang w:val="fr-CA"/>
        </w:rPr>
        <w:t>La juge en chef McLachlin et les juges Abella, Cromwell, Moldaver et Karakatsanis</w:t>
      </w:r>
    </w:p>
    <w:p w:rsidR="00732DB7" w:rsidRPr="00050E05" w:rsidRDefault="00732DB7" w:rsidP="00732DB7">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023015" w:rsidTr="00697C62">
        <w:tc>
          <w:tcPr>
            <w:tcW w:w="4380" w:type="dxa"/>
            <w:tcMar>
              <w:left w:w="0" w:type="dxa"/>
              <w:right w:w="0" w:type="dxa"/>
            </w:tcMar>
          </w:tcPr>
          <w:p w:rsidR="004909C5" w:rsidRDefault="004909C5" w:rsidP="004909C5">
            <w:pPr>
              <w:widowControl w:val="0"/>
              <w:rPr>
                <w:b/>
                <w:sz w:val="20"/>
                <w:szCs w:val="20"/>
                <w:lang w:val="fr-CA"/>
              </w:rPr>
            </w:pPr>
            <w:r w:rsidRPr="00F34001">
              <w:rPr>
                <w:b/>
                <w:sz w:val="20"/>
                <w:szCs w:val="20"/>
                <w:lang w:val="fr-CA"/>
              </w:rPr>
              <w:t xml:space="preserve">Marilyne Dionne </w:t>
            </w:r>
          </w:p>
          <w:p w:rsidR="004909C5" w:rsidRDefault="004909C5" w:rsidP="004909C5">
            <w:pPr>
              <w:widowControl w:val="0"/>
              <w:rPr>
                <w:b/>
                <w:sz w:val="20"/>
                <w:szCs w:val="20"/>
                <w:lang w:val="fr-CA"/>
              </w:rPr>
            </w:pPr>
          </w:p>
          <w:p w:rsidR="004909C5" w:rsidRPr="00F34001" w:rsidRDefault="004909C5" w:rsidP="004909C5">
            <w:pPr>
              <w:widowControl w:val="0"/>
              <w:rPr>
                <w:sz w:val="20"/>
                <w:szCs w:val="20"/>
                <w:lang w:val="fr-CA"/>
              </w:rPr>
            </w:pPr>
            <w:r>
              <w:rPr>
                <w:b/>
                <w:sz w:val="20"/>
                <w:szCs w:val="20"/>
                <w:lang w:val="fr-CA"/>
              </w:rPr>
              <w:tab/>
            </w:r>
            <w:r w:rsidRPr="00F34001">
              <w:rPr>
                <w:b/>
                <w:sz w:val="20"/>
                <w:szCs w:val="20"/>
                <w:lang w:val="fr-CA"/>
              </w:rPr>
              <w:t xml:space="preserve">c. </w:t>
            </w:r>
            <w:r w:rsidRPr="00F34001">
              <w:rPr>
                <w:sz w:val="20"/>
                <w:szCs w:val="20"/>
                <w:lang w:val="fr-CA"/>
              </w:rPr>
              <w:t>(</w:t>
            </w:r>
            <w:hyperlink r:id="rId83" w:history="1">
              <w:r w:rsidRPr="00F34001">
                <w:rPr>
                  <w:rStyle w:val="Hyperlink"/>
                  <w:sz w:val="20"/>
                  <w:szCs w:val="20"/>
                  <w:lang w:val="fr-CA"/>
                </w:rPr>
                <w:t>34854</w:t>
              </w:r>
            </w:hyperlink>
            <w:r w:rsidRPr="00F34001">
              <w:rPr>
                <w:sz w:val="20"/>
                <w:szCs w:val="20"/>
                <w:lang w:val="fr-CA"/>
              </w:rPr>
              <w:t>)</w:t>
            </w:r>
          </w:p>
          <w:p w:rsidR="004909C5" w:rsidRPr="004909C5" w:rsidRDefault="004909C5" w:rsidP="00C1697B">
            <w:pPr>
              <w:widowControl w:val="0"/>
              <w:jc w:val="both"/>
              <w:rPr>
                <w:b/>
                <w:sz w:val="20"/>
                <w:szCs w:val="20"/>
                <w:lang w:val="fr-CA"/>
              </w:rPr>
            </w:pPr>
          </w:p>
          <w:p w:rsidR="00732DB7" w:rsidRPr="00C50A5C" w:rsidRDefault="004909C5" w:rsidP="004909C5">
            <w:pPr>
              <w:widowControl w:val="0"/>
              <w:jc w:val="both"/>
              <w:rPr>
                <w:sz w:val="20"/>
                <w:szCs w:val="20"/>
                <w:lang w:val="fr-CA"/>
              </w:rPr>
            </w:pPr>
            <w:r w:rsidRPr="004909C5">
              <w:rPr>
                <w:b/>
                <w:sz w:val="20"/>
                <w:szCs w:val="20"/>
                <w:lang w:val="fr-CA"/>
              </w:rPr>
              <w:t>Commission scolaire des Patriotes et autre (Qc) (Civile) (Autorisation)</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960B7B" w:rsidRDefault="00960B7B" w:rsidP="00960B7B">
            <w:pPr>
              <w:tabs>
                <w:tab w:val="left" w:pos="-2970"/>
              </w:tabs>
              <w:jc w:val="both"/>
              <w:rPr>
                <w:sz w:val="20"/>
                <w:szCs w:val="20"/>
                <w:lang w:val="fr-CA"/>
              </w:rPr>
            </w:pPr>
            <w:r w:rsidRPr="000557DC">
              <w:rPr>
                <w:sz w:val="20"/>
                <w:szCs w:val="20"/>
                <w:lang w:val="fr-CA"/>
              </w:rPr>
              <w:t>Denis Lavoie</w:t>
            </w:r>
            <w:r>
              <w:rPr>
                <w:sz w:val="20"/>
                <w:szCs w:val="20"/>
                <w:lang w:val="fr-CA"/>
              </w:rPr>
              <w:t xml:space="preserve">, </w:t>
            </w:r>
            <w:r w:rsidRPr="000557DC">
              <w:rPr>
                <w:sz w:val="20"/>
                <w:szCs w:val="20"/>
                <w:lang w:val="fr-CA"/>
              </w:rPr>
              <w:t>Graciela Barrère</w:t>
            </w:r>
            <w:r>
              <w:rPr>
                <w:sz w:val="20"/>
                <w:szCs w:val="20"/>
                <w:lang w:val="fr-CA"/>
              </w:rPr>
              <w:t xml:space="preserve">, </w:t>
            </w:r>
            <w:r w:rsidRPr="000557DC">
              <w:rPr>
                <w:sz w:val="20"/>
                <w:szCs w:val="20"/>
                <w:lang w:val="fr-CA"/>
              </w:rPr>
              <w:t>Pierre Brun</w:t>
            </w:r>
            <w:r>
              <w:rPr>
                <w:sz w:val="20"/>
                <w:szCs w:val="20"/>
                <w:lang w:val="fr-CA"/>
              </w:rPr>
              <w:t xml:space="preserve"> et </w:t>
            </w:r>
            <w:r w:rsidRPr="000557DC">
              <w:rPr>
                <w:sz w:val="20"/>
                <w:szCs w:val="20"/>
                <w:lang w:val="fr-CA"/>
              </w:rPr>
              <w:t>Isabelle Bolla</w:t>
            </w:r>
            <w:r>
              <w:rPr>
                <w:sz w:val="20"/>
                <w:szCs w:val="20"/>
                <w:lang w:val="fr-CA"/>
              </w:rPr>
              <w:t xml:space="preserve"> p</w:t>
            </w:r>
            <w:r w:rsidRPr="000557DC">
              <w:rPr>
                <w:sz w:val="20"/>
                <w:szCs w:val="20"/>
                <w:lang w:val="fr-CA"/>
              </w:rPr>
              <w:t>our l’appelante</w:t>
            </w:r>
            <w:r>
              <w:rPr>
                <w:sz w:val="20"/>
                <w:szCs w:val="20"/>
                <w:lang w:val="fr-CA"/>
              </w:rPr>
              <w:t>.</w:t>
            </w:r>
          </w:p>
          <w:p w:rsidR="00960B7B" w:rsidRDefault="00960B7B" w:rsidP="00960B7B">
            <w:pPr>
              <w:tabs>
                <w:tab w:val="left" w:pos="-2970"/>
              </w:tabs>
              <w:jc w:val="both"/>
              <w:rPr>
                <w:sz w:val="20"/>
                <w:szCs w:val="20"/>
                <w:lang w:val="fr-CA"/>
              </w:rPr>
            </w:pPr>
          </w:p>
          <w:p w:rsidR="00960B7B" w:rsidRPr="000557DC" w:rsidRDefault="00960B7B" w:rsidP="00960B7B">
            <w:pPr>
              <w:tabs>
                <w:tab w:val="left" w:pos="-2970"/>
              </w:tabs>
              <w:jc w:val="both"/>
              <w:rPr>
                <w:sz w:val="20"/>
                <w:szCs w:val="20"/>
                <w:lang w:val="fr-CA"/>
              </w:rPr>
            </w:pPr>
            <w:r w:rsidRPr="000557DC">
              <w:rPr>
                <w:sz w:val="20"/>
                <w:szCs w:val="20"/>
                <w:lang w:val="fr-CA"/>
              </w:rPr>
              <w:t>Pierre-Michel Lajeunesse</w:t>
            </w:r>
            <w:r>
              <w:rPr>
                <w:sz w:val="20"/>
                <w:szCs w:val="20"/>
                <w:lang w:val="fr-CA"/>
              </w:rPr>
              <w:t xml:space="preserve"> et </w:t>
            </w:r>
            <w:r w:rsidRPr="000557DC">
              <w:rPr>
                <w:sz w:val="20"/>
                <w:szCs w:val="20"/>
                <w:lang w:val="fr-CA"/>
              </w:rPr>
              <w:t>Marie-Anne Lecavalier</w:t>
            </w:r>
            <w:r>
              <w:rPr>
                <w:sz w:val="20"/>
                <w:szCs w:val="20"/>
                <w:lang w:val="fr-CA"/>
              </w:rPr>
              <w:t xml:space="preserve"> po</w:t>
            </w:r>
            <w:r w:rsidRPr="000557DC">
              <w:rPr>
                <w:sz w:val="20"/>
                <w:szCs w:val="20"/>
                <w:lang w:val="fr-CA"/>
              </w:rPr>
              <w:t>ur l’intervenante</w:t>
            </w:r>
            <w:r>
              <w:rPr>
                <w:sz w:val="20"/>
                <w:szCs w:val="20"/>
                <w:lang w:val="fr-CA"/>
              </w:rPr>
              <w:t xml:space="preserve"> </w:t>
            </w:r>
            <w:r w:rsidRPr="000557DC">
              <w:rPr>
                <w:sz w:val="20"/>
                <w:szCs w:val="20"/>
                <w:lang w:val="fr-CA"/>
              </w:rPr>
              <w:t>Commission de la santé et de la sécurité du travail</w:t>
            </w:r>
            <w:r>
              <w:rPr>
                <w:sz w:val="20"/>
                <w:szCs w:val="20"/>
                <w:lang w:val="fr-CA"/>
              </w:rPr>
              <w:t>.</w:t>
            </w:r>
          </w:p>
          <w:p w:rsidR="00960B7B" w:rsidRPr="000557DC" w:rsidRDefault="00960B7B" w:rsidP="00960B7B">
            <w:pPr>
              <w:tabs>
                <w:tab w:val="left" w:pos="-2970"/>
              </w:tabs>
              <w:jc w:val="both"/>
              <w:rPr>
                <w:sz w:val="20"/>
                <w:szCs w:val="20"/>
                <w:lang w:val="fr-CA"/>
              </w:rPr>
            </w:pPr>
          </w:p>
          <w:p w:rsidR="00960B7B" w:rsidRPr="000557DC" w:rsidRDefault="00960B7B" w:rsidP="00960B7B">
            <w:pPr>
              <w:tabs>
                <w:tab w:val="left" w:pos="-2970"/>
              </w:tabs>
              <w:jc w:val="both"/>
              <w:rPr>
                <w:sz w:val="20"/>
                <w:szCs w:val="20"/>
                <w:lang w:val="fr-CA"/>
              </w:rPr>
            </w:pPr>
            <w:r w:rsidRPr="000557DC">
              <w:rPr>
                <w:sz w:val="20"/>
                <w:szCs w:val="20"/>
                <w:lang w:val="fr-CA"/>
              </w:rPr>
              <w:t>Claudine Morin</w:t>
            </w:r>
            <w:r>
              <w:rPr>
                <w:sz w:val="20"/>
                <w:szCs w:val="20"/>
                <w:lang w:val="fr-CA"/>
              </w:rPr>
              <w:t xml:space="preserve"> et </w:t>
            </w:r>
            <w:r w:rsidRPr="000557DC">
              <w:rPr>
                <w:sz w:val="20"/>
                <w:szCs w:val="20"/>
                <w:lang w:val="fr-CA"/>
              </w:rPr>
              <w:t>Nathalie Léger</w:t>
            </w:r>
            <w:r>
              <w:rPr>
                <w:sz w:val="20"/>
                <w:szCs w:val="20"/>
                <w:lang w:val="fr-CA"/>
              </w:rPr>
              <w:t xml:space="preserve"> p</w:t>
            </w:r>
            <w:r w:rsidRPr="000557DC">
              <w:rPr>
                <w:sz w:val="20"/>
                <w:szCs w:val="20"/>
                <w:lang w:val="fr-CA"/>
              </w:rPr>
              <w:t>our l’</w:t>
            </w:r>
            <w:r w:rsidR="002E0525">
              <w:rPr>
                <w:sz w:val="20"/>
                <w:szCs w:val="20"/>
                <w:lang w:val="fr-CA"/>
              </w:rPr>
              <w:t>i</w:t>
            </w:r>
            <w:r w:rsidRPr="000557DC">
              <w:rPr>
                <w:sz w:val="20"/>
                <w:szCs w:val="20"/>
                <w:lang w:val="fr-CA"/>
              </w:rPr>
              <w:t>ntervenante</w:t>
            </w:r>
            <w:r>
              <w:rPr>
                <w:sz w:val="20"/>
                <w:szCs w:val="20"/>
                <w:lang w:val="fr-CA"/>
              </w:rPr>
              <w:t xml:space="preserve"> </w:t>
            </w:r>
            <w:r w:rsidRPr="000557DC">
              <w:rPr>
                <w:sz w:val="20"/>
                <w:szCs w:val="20"/>
                <w:lang w:val="fr-CA"/>
              </w:rPr>
              <w:t>Fédération des syndicats de l'enseignement</w:t>
            </w:r>
            <w:r>
              <w:rPr>
                <w:sz w:val="20"/>
                <w:szCs w:val="20"/>
                <w:lang w:val="fr-CA"/>
              </w:rPr>
              <w:t>.</w:t>
            </w:r>
          </w:p>
          <w:p w:rsidR="00960B7B" w:rsidRPr="000557DC" w:rsidRDefault="00960B7B" w:rsidP="00960B7B">
            <w:pPr>
              <w:tabs>
                <w:tab w:val="left" w:pos="-2970"/>
              </w:tabs>
              <w:jc w:val="both"/>
              <w:rPr>
                <w:sz w:val="20"/>
                <w:szCs w:val="20"/>
                <w:lang w:val="fr-CA"/>
              </w:rPr>
            </w:pPr>
          </w:p>
          <w:p w:rsidR="00960B7B" w:rsidRDefault="00960B7B" w:rsidP="00960B7B">
            <w:pPr>
              <w:tabs>
                <w:tab w:val="left" w:pos="-2970"/>
              </w:tabs>
              <w:jc w:val="both"/>
              <w:rPr>
                <w:sz w:val="20"/>
                <w:szCs w:val="20"/>
                <w:lang w:val="fr-CA"/>
              </w:rPr>
            </w:pPr>
            <w:r w:rsidRPr="000557DC">
              <w:rPr>
                <w:sz w:val="20"/>
                <w:szCs w:val="20"/>
                <w:lang w:val="fr-CA"/>
              </w:rPr>
              <w:t>Marie-France Bernier</w:t>
            </w:r>
            <w:r>
              <w:rPr>
                <w:sz w:val="20"/>
                <w:szCs w:val="20"/>
                <w:lang w:val="fr-CA"/>
              </w:rPr>
              <w:t xml:space="preserve"> p</w:t>
            </w:r>
            <w:r w:rsidRPr="000557DC">
              <w:rPr>
                <w:sz w:val="20"/>
                <w:szCs w:val="20"/>
                <w:lang w:val="fr-CA"/>
              </w:rPr>
              <w:t>our l’intimée</w:t>
            </w:r>
            <w:r>
              <w:rPr>
                <w:sz w:val="20"/>
                <w:szCs w:val="20"/>
                <w:lang w:val="fr-CA"/>
              </w:rPr>
              <w:t xml:space="preserve"> </w:t>
            </w:r>
            <w:r w:rsidRPr="000557DC">
              <w:rPr>
                <w:sz w:val="20"/>
                <w:szCs w:val="20"/>
                <w:lang w:val="fr-CA"/>
              </w:rPr>
              <w:t>Commission des lésions professionnelles</w:t>
            </w:r>
            <w:r>
              <w:rPr>
                <w:sz w:val="20"/>
                <w:szCs w:val="20"/>
                <w:lang w:val="fr-CA"/>
              </w:rPr>
              <w:t>.</w:t>
            </w:r>
          </w:p>
          <w:p w:rsidR="00960B7B" w:rsidRPr="000557DC" w:rsidRDefault="00960B7B" w:rsidP="00960B7B">
            <w:pPr>
              <w:tabs>
                <w:tab w:val="left" w:pos="-2970"/>
              </w:tabs>
              <w:jc w:val="both"/>
              <w:rPr>
                <w:sz w:val="20"/>
                <w:szCs w:val="20"/>
                <w:lang w:val="fr-CA"/>
              </w:rPr>
            </w:pPr>
          </w:p>
          <w:p w:rsidR="00732DB7" w:rsidRPr="004909C5" w:rsidRDefault="00960B7B" w:rsidP="00960B7B">
            <w:pPr>
              <w:widowControl w:val="0"/>
              <w:jc w:val="both"/>
              <w:rPr>
                <w:sz w:val="20"/>
                <w:szCs w:val="20"/>
                <w:lang w:val="fr-CA"/>
              </w:rPr>
            </w:pPr>
            <w:r w:rsidRPr="000557DC">
              <w:rPr>
                <w:sz w:val="20"/>
                <w:szCs w:val="20"/>
                <w:lang w:val="fr-CA"/>
              </w:rPr>
              <w:t>Yann Bernard</w:t>
            </w:r>
            <w:r>
              <w:rPr>
                <w:sz w:val="20"/>
                <w:szCs w:val="20"/>
                <w:lang w:val="fr-CA"/>
              </w:rPr>
              <w:t xml:space="preserve">, </w:t>
            </w:r>
            <w:r w:rsidRPr="000557DC">
              <w:rPr>
                <w:sz w:val="20"/>
                <w:szCs w:val="20"/>
                <w:lang w:val="fr-CA"/>
              </w:rPr>
              <w:t>Paule Veilleux</w:t>
            </w:r>
            <w:r>
              <w:rPr>
                <w:sz w:val="20"/>
                <w:szCs w:val="20"/>
                <w:lang w:val="fr-CA"/>
              </w:rPr>
              <w:t xml:space="preserve"> et </w:t>
            </w:r>
            <w:r w:rsidRPr="000557DC">
              <w:rPr>
                <w:sz w:val="20"/>
                <w:szCs w:val="20"/>
                <w:lang w:val="fr-CA"/>
              </w:rPr>
              <w:t>René Paquette</w:t>
            </w:r>
            <w:r>
              <w:rPr>
                <w:sz w:val="20"/>
                <w:szCs w:val="20"/>
                <w:lang w:val="fr-CA"/>
              </w:rPr>
              <w:t xml:space="preserve"> p</w:t>
            </w:r>
            <w:r w:rsidRPr="000557DC">
              <w:rPr>
                <w:sz w:val="20"/>
                <w:szCs w:val="20"/>
                <w:lang w:val="fr-CA"/>
              </w:rPr>
              <w:t>our l’intimée</w:t>
            </w:r>
            <w:r>
              <w:rPr>
                <w:sz w:val="20"/>
                <w:szCs w:val="20"/>
                <w:lang w:val="fr-CA"/>
              </w:rPr>
              <w:t xml:space="preserve"> </w:t>
            </w:r>
            <w:r w:rsidRPr="000557DC">
              <w:rPr>
                <w:sz w:val="20"/>
                <w:szCs w:val="20"/>
                <w:lang w:val="fr-CA"/>
              </w:rPr>
              <w:t>Commission scolaire des Patriotes</w:t>
            </w:r>
            <w:r>
              <w:rPr>
                <w:sz w:val="20"/>
                <w:szCs w:val="20"/>
                <w:lang w:val="fr-CA"/>
              </w:rPr>
              <w:t>.</w:t>
            </w:r>
          </w:p>
        </w:tc>
      </w:tr>
    </w:tbl>
    <w:p w:rsidR="00C1697B" w:rsidRPr="004909C5" w:rsidRDefault="00C1697B" w:rsidP="00C1697B">
      <w:pPr>
        <w:widowControl w:val="0"/>
        <w:rPr>
          <w:lang w:val="fr-CA"/>
        </w:rPr>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023015"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5A40A4" w:rsidP="005A40A4">
            <w:pPr>
              <w:widowControl w:val="0"/>
              <w:jc w:val="both"/>
              <w:rPr>
                <w:b/>
                <w:sz w:val="20"/>
                <w:szCs w:val="20"/>
              </w:rPr>
            </w:pPr>
            <w:r w:rsidRPr="00BC1CFC">
              <w:rPr>
                <w:sz w:val="20"/>
                <w:szCs w:val="20"/>
              </w:rPr>
              <w:t xml:space="preserve">Administrative law - Standard of review - Labour law - Protective reassignment - Substitute teachers - Contract - Pregnancy - Whether </w:t>
            </w:r>
            <w:r w:rsidRPr="00BC1CFC">
              <w:rPr>
                <w:i/>
                <w:sz w:val="20"/>
                <w:szCs w:val="20"/>
              </w:rPr>
              <w:t>Act respecting occupational health and safety</w:t>
            </w:r>
            <w:r w:rsidRPr="00BC1CFC">
              <w:rPr>
                <w:sz w:val="20"/>
                <w:szCs w:val="20"/>
              </w:rPr>
              <w:t>, R.S.Q., c. S-2.1 (</w:t>
            </w:r>
            <w:r w:rsidRPr="00BC1CFC">
              <w:rPr>
                <w:i/>
                <w:sz w:val="20"/>
                <w:szCs w:val="20"/>
              </w:rPr>
              <w:t>AOHS</w:t>
            </w:r>
            <w:r w:rsidRPr="00BC1CFC">
              <w:rPr>
                <w:sz w:val="20"/>
                <w:szCs w:val="20"/>
              </w:rPr>
              <w:t xml:space="preserve">), applicable to appellant despite her unstable employment status in light of objectives of that legislation, its interaction with civil law rules and characteristics of employment relationship in issue - Whether </w:t>
            </w:r>
            <w:r w:rsidRPr="00BC1CFC">
              <w:rPr>
                <w:i/>
                <w:sz w:val="20"/>
                <w:szCs w:val="20"/>
              </w:rPr>
              <w:t>AOHS</w:t>
            </w:r>
            <w:r w:rsidRPr="00BC1CFC">
              <w:rPr>
                <w:sz w:val="20"/>
                <w:szCs w:val="20"/>
              </w:rPr>
              <w:t xml:space="preserve"> applicable to appellant having regard to protection against pregnancy-based discrimination afforded by </w:t>
            </w:r>
            <w:r w:rsidRPr="00BC1CFC">
              <w:rPr>
                <w:i/>
                <w:sz w:val="20"/>
                <w:szCs w:val="20"/>
              </w:rPr>
              <w:t>Charter of human rights and freedoms</w:t>
            </w:r>
            <w:r w:rsidRPr="00BC1CFC">
              <w:rPr>
                <w:sz w:val="20"/>
                <w:szCs w:val="20"/>
              </w:rPr>
              <w:t xml:space="preserve"> - Applicable standard of review.</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5A40A4" w:rsidP="00C1697B">
            <w:pPr>
              <w:widowControl w:val="0"/>
              <w:jc w:val="both"/>
              <w:rPr>
                <w:sz w:val="20"/>
                <w:szCs w:val="20"/>
                <w:lang w:val="fr-CA"/>
              </w:rPr>
            </w:pPr>
            <w:r w:rsidRPr="006A39E7">
              <w:rPr>
                <w:sz w:val="20"/>
                <w:szCs w:val="20"/>
                <w:lang w:val="fr-CA"/>
              </w:rPr>
              <w:t xml:space="preserve">Droit administratif - Norme de contrôle - Droit du travail - Retrait préventif - Suppléance - Contrat - Grossesse - La </w:t>
            </w:r>
            <w:r w:rsidRPr="006A39E7">
              <w:rPr>
                <w:i/>
                <w:sz w:val="20"/>
                <w:szCs w:val="20"/>
                <w:lang w:val="fr-CA"/>
              </w:rPr>
              <w:t>Loi sur la santé et la sécurité du travail</w:t>
            </w:r>
            <w:r w:rsidRPr="006A39E7">
              <w:rPr>
                <w:sz w:val="20"/>
                <w:szCs w:val="20"/>
                <w:lang w:val="fr-CA"/>
              </w:rPr>
              <w:t>, L.R.Q., c. S-2.1 (</w:t>
            </w:r>
            <w:r w:rsidRPr="006A39E7">
              <w:rPr>
                <w:i/>
                <w:sz w:val="20"/>
                <w:szCs w:val="20"/>
                <w:lang w:val="fr-CA"/>
              </w:rPr>
              <w:t>LSST</w:t>
            </w:r>
            <w:r w:rsidRPr="006A39E7">
              <w:rPr>
                <w:sz w:val="20"/>
                <w:szCs w:val="20"/>
                <w:lang w:val="fr-CA"/>
              </w:rPr>
              <w:t xml:space="preserve">), s’applique-t-elle à l’appelante, malgré son statut d’emploi précaire, eu égard aux objectifs de cette législation, à l’interaction de cette dernière avec les règles du droit civil et aux particularités de la relation de travail en cause? - La </w:t>
            </w:r>
            <w:r w:rsidRPr="006A39E7">
              <w:rPr>
                <w:i/>
                <w:sz w:val="20"/>
                <w:szCs w:val="20"/>
                <w:lang w:val="fr-CA"/>
              </w:rPr>
              <w:t>LSST</w:t>
            </w:r>
            <w:r w:rsidRPr="006A39E7">
              <w:rPr>
                <w:sz w:val="20"/>
                <w:szCs w:val="20"/>
                <w:lang w:val="fr-CA"/>
              </w:rPr>
              <w:t xml:space="preserve"> s’applique-t-elle à l’appelante eu égard à la protection contre la discrimination fondée sur la grossesse prévue par la </w:t>
            </w:r>
            <w:r w:rsidRPr="006A39E7">
              <w:rPr>
                <w:i/>
                <w:sz w:val="20"/>
                <w:szCs w:val="20"/>
                <w:lang w:val="fr-CA"/>
              </w:rPr>
              <w:t>Charte des droits et libertés de la personne</w:t>
            </w:r>
            <w:r w:rsidRPr="006A39E7">
              <w:rPr>
                <w:sz w:val="20"/>
                <w:szCs w:val="20"/>
                <w:lang w:val="fr-CA"/>
              </w:rPr>
              <w:t>? - Quelle est la norme de contrôle applicable?</w:t>
            </w:r>
          </w:p>
        </w:tc>
      </w:tr>
    </w:tbl>
    <w:p w:rsidR="00732DB7" w:rsidRDefault="00732DB7" w:rsidP="00732DB7">
      <w:pPr>
        <w:widowControl w:val="0"/>
        <w:rPr>
          <w:sz w:val="20"/>
          <w:szCs w:val="20"/>
          <w:lang w:val="fr-CA"/>
        </w:rPr>
      </w:pPr>
    </w:p>
    <w:p w:rsidR="002A27D1" w:rsidRDefault="001B62D0" w:rsidP="002A27D1">
      <w:pPr>
        <w:widowControl w:val="0"/>
        <w:rPr>
          <w:sz w:val="20"/>
          <w:szCs w:val="20"/>
        </w:rPr>
      </w:pPr>
      <w:r>
        <w:rPr>
          <w:sz w:val="20"/>
          <w:szCs w:val="20"/>
          <w:lang w:val="fr-CA"/>
        </w:rPr>
        <w:pict>
          <v:rect id="_x0000_i1069" style="width:2in;height:1pt" o:hrpct="0" o:hralign="center" o:hrstd="t" o:hrnoshade="t" o:hr="t" fillcolor="black [3213]" stroked="f"/>
        </w:pict>
      </w:r>
    </w:p>
    <w:p w:rsidR="002A27D1" w:rsidRDefault="002A27D1" w:rsidP="002A27D1">
      <w:pPr>
        <w:widowControl w:val="0"/>
        <w:rPr>
          <w:sz w:val="20"/>
          <w:szCs w:val="20"/>
        </w:rPr>
      </w:pPr>
    </w:p>
    <w:p w:rsidR="00A86627" w:rsidRPr="00C50A5C" w:rsidRDefault="00A86627" w:rsidP="00A86627">
      <w:pPr>
        <w:widowControl w:val="0"/>
        <w:rPr>
          <w:sz w:val="20"/>
          <w:szCs w:val="20"/>
        </w:rPr>
      </w:pPr>
      <w:r>
        <w:rPr>
          <w:sz w:val="20"/>
          <w:szCs w:val="20"/>
        </w:rPr>
        <w:t>14</w:t>
      </w:r>
      <w:r w:rsidRPr="00C50A5C">
        <w:rPr>
          <w:sz w:val="20"/>
          <w:szCs w:val="20"/>
        </w:rPr>
        <w:t>.0</w:t>
      </w:r>
      <w:r>
        <w:rPr>
          <w:sz w:val="20"/>
          <w:szCs w:val="20"/>
        </w:rPr>
        <w:t>1</w:t>
      </w:r>
      <w:r w:rsidRPr="00C50A5C">
        <w:rPr>
          <w:sz w:val="20"/>
          <w:szCs w:val="20"/>
        </w:rPr>
        <w:t>.201</w:t>
      </w:r>
      <w:r>
        <w:rPr>
          <w:sz w:val="20"/>
          <w:szCs w:val="20"/>
        </w:rPr>
        <w:t>4</w:t>
      </w:r>
    </w:p>
    <w:p w:rsidR="00A86627" w:rsidRPr="00C50A5C" w:rsidRDefault="00A86627" w:rsidP="00A86627">
      <w:pPr>
        <w:widowControl w:val="0"/>
        <w:rPr>
          <w:sz w:val="20"/>
          <w:szCs w:val="20"/>
        </w:rPr>
      </w:pPr>
    </w:p>
    <w:p w:rsidR="00A86627" w:rsidRPr="00C50A5C" w:rsidRDefault="00A86627" w:rsidP="00A86627">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Rothstein</w:t>
      </w:r>
      <w:r w:rsidR="004909C5">
        <w:rPr>
          <w:sz w:val="20"/>
          <w:szCs w:val="20"/>
          <w:u w:val="single"/>
        </w:rPr>
        <w:t xml:space="preserve">, </w:t>
      </w:r>
      <w:r w:rsidRPr="00C50A5C">
        <w:rPr>
          <w:sz w:val="20"/>
          <w:szCs w:val="20"/>
          <w:u w:val="single"/>
        </w:rPr>
        <w:t>Cromwell</w:t>
      </w:r>
      <w:r w:rsidR="004909C5">
        <w:rPr>
          <w:sz w:val="20"/>
          <w:szCs w:val="20"/>
          <w:u w:val="single"/>
        </w:rPr>
        <w:t>, Karakatsanis and</w:t>
      </w:r>
      <w:r w:rsidRPr="00C50A5C">
        <w:rPr>
          <w:sz w:val="20"/>
          <w:szCs w:val="20"/>
          <w:u w:val="single"/>
        </w:rPr>
        <w:t xml:space="preserve"> </w:t>
      </w:r>
      <w:r w:rsidR="004909C5">
        <w:rPr>
          <w:sz w:val="20"/>
          <w:szCs w:val="20"/>
          <w:u w:val="single"/>
        </w:rPr>
        <w:t xml:space="preserve">Wagner </w:t>
      </w:r>
      <w:r w:rsidRPr="00C50A5C">
        <w:rPr>
          <w:sz w:val="20"/>
          <w:szCs w:val="20"/>
          <w:u w:val="single"/>
        </w:rPr>
        <w:t>JJ.</w:t>
      </w:r>
      <w:r w:rsidRPr="00C50A5C">
        <w:rPr>
          <w:sz w:val="20"/>
          <w:szCs w:val="20"/>
        </w:rPr>
        <w:t xml:space="preserve"> </w:t>
      </w:r>
    </w:p>
    <w:p w:rsidR="00A86627" w:rsidRPr="00C50A5C" w:rsidRDefault="00A86627" w:rsidP="00A8662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86627" w:rsidRPr="00C50A5C" w:rsidTr="00A86627">
        <w:tc>
          <w:tcPr>
            <w:tcW w:w="4380" w:type="dxa"/>
            <w:tcMar>
              <w:left w:w="0" w:type="dxa"/>
              <w:right w:w="0" w:type="dxa"/>
            </w:tcMar>
          </w:tcPr>
          <w:p w:rsidR="00A86627" w:rsidRPr="00C50A5C" w:rsidRDefault="005A40A4" w:rsidP="00A86627">
            <w:pPr>
              <w:widowControl w:val="0"/>
              <w:jc w:val="both"/>
              <w:rPr>
                <w:b/>
                <w:sz w:val="20"/>
                <w:szCs w:val="20"/>
              </w:rPr>
            </w:pPr>
            <w:r>
              <w:rPr>
                <w:b/>
                <w:sz w:val="20"/>
                <w:szCs w:val="20"/>
              </w:rPr>
              <w:t xml:space="preserve">Canadian National Railway Company </w:t>
            </w:r>
            <w:r w:rsidR="00A86627" w:rsidRPr="00C50A5C">
              <w:rPr>
                <w:b/>
                <w:sz w:val="20"/>
                <w:szCs w:val="20"/>
              </w:rPr>
              <w:t>et al.</w:t>
            </w:r>
          </w:p>
          <w:p w:rsidR="00A86627" w:rsidRPr="00C50A5C" w:rsidRDefault="00A86627" w:rsidP="00A86627">
            <w:pPr>
              <w:widowControl w:val="0"/>
              <w:jc w:val="both"/>
              <w:rPr>
                <w:b/>
                <w:sz w:val="20"/>
                <w:szCs w:val="20"/>
              </w:rPr>
            </w:pPr>
          </w:p>
          <w:p w:rsidR="00A86627" w:rsidRPr="005F360C" w:rsidRDefault="00A86627" w:rsidP="00A86627">
            <w:pPr>
              <w:widowControl w:val="0"/>
              <w:tabs>
                <w:tab w:val="left" w:pos="736"/>
              </w:tabs>
              <w:jc w:val="both"/>
              <w:rPr>
                <w:b/>
                <w:sz w:val="20"/>
                <w:szCs w:val="20"/>
              </w:rPr>
            </w:pPr>
            <w:r w:rsidRPr="00C50A5C">
              <w:rPr>
                <w:b/>
                <w:sz w:val="20"/>
                <w:szCs w:val="20"/>
              </w:rPr>
              <w:tab/>
              <w:t xml:space="preserve">v. </w:t>
            </w:r>
            <w:r w:rsidR="005F360C" w:rsidRPr="005F360C">
              <w:rPr>
                <w:sz w:val="20"/>
                <w:szCs w:val="20"/>
              </w:rPr>
              <w:t>(</w:t>
            </w:r>
            <w:hyperlink r:id="rId84" w:history="1">
              <w:r w:rsidR="005F360C" w:rsidRPr="005F360C">
                <w:rPr>
                  <w:rStyle w:val="Hyperlink"/>
                  <w:sz w:val="20"/>
                  <w:szCs w:val="20"/>
                </w:rPr>
                <w:t>35145</w:t>
              </w:r>
            </w:hyperlink>
            <w:r w:rsidR="005F360C" w:rsidRPr="005F360C">
              <w:rPr>
                <w:sz w:val="20"/>
                <w:szCs w:val="20"/>
              </w:rPr>
              <w:t>)</w:t>
            </w:r>
          </w:p>
          <w:p w:rsidR="00A86627" w:rsidRPr="00C50A5C" w:rsidRDefault="00A86627" w:rsidP="00A86627">
            <w:pPr>
              <w:widowControl w:val="0"/>
              <w:jc w:val="both"/>
              <w:rPr>
                <w:b/>
                <w:sz w:val="20"/>
                <w:szCs w:val="20"/>
              </w:rPr>
            </w:pPr>
          </w:p>
          <w:p w:rsidR="00A86627" w:rsidRPr="005A40A4" w:rsidRDefault="005A40A4" w:rsidP="005A40A4">
            <w:pPr>
              <w:widowControl w:val="0"/>
              <w:jc w:val="both"/>
              <w:rPr>
                <w:sz w:val="20"/>
                <w:szCs w:val="20"/>
              </w:rPr>
            </w:pPr>
            <w:r>
              <w:rPr>
                <w:b/>
                <w:sz w:val="20"/>
                <w:szCs w:val="20"/>
              </w:rPr>
              <w:t>Atto</w:t>
            </w:r>
            <w:r w:rsidR="00A86627" w:rsidRPr="00C50A5C">
              <w:rPr>
                <w:b/>
                <w:sz w:val="20"/>
                <w:szCs w:val="20"/>
              </w:rPr>
              <w:t>r</w:t>
            </w:r>
            <w:r>
              <w:rPr>
                <w:b/>
                <w:sz w:val="20"/>
                <w:szCs w:val="20"/>
              </w:rPr>
              <w:t>n</w:t>
            </w:r>
            <w:r w:rsidR="00A86627" w:rsidRPr="00C50A5C">
              <w:rPr>
                <w:b/>
                <w:sz w:val="20"/>
                <w:szCs w:val="20"/>
              </w:rPr>
              <w:t>e</w:t>
            </w:r>
            <w:r>
              <w:rPr>
                <w:b/>
                <w:sz w:val="20"/>
                <w:szCs w:val="20"/>
              </w:rPr>
              <w:t>y G</w:t>
            </w:r>
            <w:r w:rsidR="00A86627" w:rsidRPr="00C50A5C">
              <w:rPr>
                <w:b/>
                <w:sz w:val="20"/>
                <w:szCs w:val="20"/>
              </w:rPr>
              <w:t>en</w:t>
            </w:r>
            <w:r>
              <w:rPr>
                <w:b/>
                <w:sz w:val="20"/>
                <w:szCs w:val="20"/>
              </w:rPr>
              <w:t>e</w:t>
            </w:r>
            <w:r w:rsidR="00A86627" w:rsidRPr="00C50A5C">
              <w:rPr>
                <w:b/>
                <w:sz w:val="20"/>
                <w:szCs w:val="20"/>
              </w:rPr>
              <w:t xml:space="preserve">ral </w:t>
            </w:r>
            <w:r>
              <w:rPr>
                <w:b/>
                <w:sz w:val="20"/>
                <w:szCs w:val="20"/>
              </w:rPr>
              <w:t xml:space="preserve">of </w:t>
            </w:r>
            <w:r w:rsidR="00A86627" w:rsidRPr="00C50A5C">
              <w:rPr>
                <w:b/>
                <w:sz w:val="20"/>
                <w:szCs w:val="20"/>
              </w:rPr>
              <w:t>C</w:t>
            </w:r>
            <w:r>
              <w:rPr>
                <w:b/>
                <w:sz w:val="20"/>
                <w:szCs w:val="20"/>
              </w:rPr>
              <w:t>a</w:t>
            </w:r>
            <w:r w:rsidR="00A86627" w:rsidRPr="00C50A5C">
              <w:rPr>
                <w:b/>
                <w:sz w:val="20"/>
                <w:szCs w:val="20"/>
              </w:rPr>
              <w:t>n</w:t>
            </w:r>
            <w:r>
              <w:rPr>
                <w:b/>
                <w:sz w:val="20"/>
                <w:szCs w:val="20"/>
              </w:rPr>
              <w:t>ada et al.</w:t>
            </w:r>
            <w:r w:rsidR="00A86627" w:rsidRPr="00C50A5C">
              <w:rPr>
                <w:b/>
                <w:sz w:val="20"/>
                <w:szCs w:val="20"/>
              </w:rPr>
              <w:t xml:space="preserve"> (</w:t>
            </w:r>
            <w:r w:rsidR="004909C5">
              <w:rPr>
                <w:b/>
                <w:sz w:val="20"/>
                <w:szCs w:val="20"/>
              </w:rPr>
              <w:t>F</w:t>
            </w:r>
            <w:r w:rsidR="00A86627" w:rsidRPr="00C50A5C">
              <w:rPr>
                <w:b/>
                <w:sz w:val="20"/>
                <w:szCs w:val="20"/>
              </w:rPr>
              <w:t>.C.) (Civil) (By Leave)</w:t>
            </w:r>
          </w:p>
        </w:tc>
        <w:tc>
          <w:tcPr>
            <w:tcW w:w="720" w:type="dxa"/>
            <w:tcMar>
              <w:left w:w="0" w:type="dxa"/>
              <w:right w:w="0" w:type="dxa"/>
            </w:tcMar>
          </w:tcPr>
          <w:p w:rsidR="00A86627" w:rsidRPr="005A40A4" w:rsidRDefault="00A86627" w:rsidP="00A86627">
            <w:pPr>
              <w:widowControl w:val="0"/>
              <w:jc w:val="center"/>
              <w:rPr>
                <w:sz w:val="20"/>
                <w:szCs w:val="20"/>
              </w:rPr>
            </w:pPr>
          </w:p>
        </w:tc>
        <w:tc>
          <w:tcPr>
            <w:tcW w:w="4380" w:type="dxa"/>
            <w:tcMar>
              <w:left w:w="0" w:type="dxa"/>
              <w:right w:w="0" w:type="dxa"/>
            </w:tcMar>
          </w:tcPr>
          <w:p w:rsidR="005F360C" w:rsidRDefault="005F360C" w:rsidP="005F360C">
            <w:pPr>
              <w:tabs>
                <w:tab w:val="left" w:pos="-2970"/>
              </w:tabs>
              <w:jc w:val="both"/>
              <w:rPr>
                <w:sz w:val="20"/>
                <w:szCs w:val="20"/>
                <w:lang w:val="en-US"/>
              </w:rPr>
            </w:pPr>
            <w:r w:rsidRPr="000C446C">
              <w:rPr>
                <w:sz w:val="20"/>
                <w:szCs w:val="20"/>
                <w:lang w:val="en-US"/>
              </w:rPr>
              <w:t>Guy J. Pratte</w:t>
            </w:r>
            <w:r>
              <w:rPr>
                <w:sz w:val="20"/>
                <w:szCs w:val="20"/>
                <w:lang w:val="en-US"/>
              </w:rPr>
              <w:t xml:space="preserve">, </w:t>
            </w:r>
            <w:r w:rsidRPr="000C446C">
              <w:rPr>
                <w:sz w:val="20"/>
                <w:szCs w:val="20"/>
                <w:lang w:val="en-US"/>
              </w:rPr>
              <w:t>Nadia Effendi</w:t>
            </w:r>
            <w:r>
              <w:rPr>
                <w:sz w:val="20"/>
                <w:szCs w:val="20"/>
                <w:lang w:val="en-US"/>
              </w:rPr>
              <w:t xml:space="preserve"> and </w:t>
            </w:r>
            <w:r w:rsidRPr="000C446C">
              <w:rPr>
                <w:sz w:val="20"/>
                <w:szCs w:val="20"/>
                <w:lang w:val="en-US"/>
              </w:rPr>
              <w:t>Éric Harvey</w:t>
            </w:r>
            <w:r>
              <w:rPr>
                <w:sz w:val="20"/>
                <w:szCs w:val="20"/>
                <w:lang w:val="en-US"/>
              </w:rPr>
              <w:t xml:space="preserve"> f</w:t>
            </w:r>
            <w:r w:rsidRPr="000C446C">
              <w:rPr>
                <w:sz w:val="20"/>
                <w:szCs w:val="20"/>
                <w:lang w:val="en-US"/>
              </w:rPr>
              <w:t xml:space="preserve">or the </w:t>
            </w:r>
            <w:r>
              <w:rPr>
                <w:sz w:val="20"/>
                <w:szCs w:val="20"/>
                <w:lang w:val="en-US"/>
              </w:rPr>
              <w:t>a</w:t>
            </w:r>
            <w:r w:rsidRPr="000C446C">
              <w:rPr>
                <w:sz w:val="20"/>
                <w:szCs w:val="20"/>
                <w:lang w:val="en-US"/>
              </w:rPr>
              <w:t>ppellant</w:t>
            </w:r>
            <w:r>
              <w:rPr>
                <w:sz w:val="20"/>
                <w:szCs w:val="20"/>
                <w:lang w:val="en-US"/>
              </w:rPr>
              <w:t>.</w:t>
            </w:r>
          </w:p>
          <w:p w:rsidR="005F360C" w:rsidRDefault="005F360C" w:rsidP="005F360C">
            <w:pPr>
              <w:tabs>
                <w:tab w:val="left" w:pos="-2970"/>
              </w:tabs>
              <w:jc w:val="both"/>
              <w:rPr>
                <w:sz w:val="20"/>
                <w:szCs w:val="20"/>
                <w:lang w:val="en-US"/>
              </w:rPr>
            </w:pPr>
          </w:p>
          <w:p w:rsidR="005F360C" w:rsidRDefault="005F360C" w:rsidP="005F360C">
            <w:pPr>
              <w:tabs>
                <w:tab w:val="left" w:pos="-2970"/>
              </w:tabs>
              <w:jc w:val="both"/>
              <w:rPr>
                <w:sz w:val="20"/>
                <w:szCs w:val="20"/>
                <w:lang w:val="en-US"/>
              </w:rPr>
            </w:pPr>
            <w:r w:rsidRPr="000C446C">
              <w:rPr>
                <w:sz w:val="20"/>
                <w:szCs w:val="20"/>
                <w:lang w:val="en-US"/>
              </w:rPr>
              <w:t>Peter Southey</w:t>
            </w:r>
            <w:r>
              <w:rPr>
                <w:sz w:val="20"/>
                <w:szCs w:val="20"/>
                <w:lang w:val="en-US"/>
              </w:rPr>
              <w:t xml:space="preserve"> f</w:t>
            </w:r>
            <w:r w:rsidRPr="000C446C">
              <w:rPr>
                <w:sz w:val="20"/>
                <w:szCs w:val="20"/>
                <w:lang w:val="en-US"/>
              </w:rPr>
              <w:t xml:space="preserve">or the </w:t>
            </w:r>
            <w:r>
              <w:rPr>
                <w:sz w:val="20"/>
                <w:szCs w:val="20"/>
                <w:lang w:val="en-US"/>
              </w:rPr>
              <w:t>r</w:t>
            </w:r>
            <w:r w:rsidRPr="000C446C">
              <w:rPr>
                <w:sz w:val="20"/>
                <w:szCs w:val="20"/>
                <w:lang w:val="en-US"/>
              </w:rPr>
              <w:t>espondent</w:t>
            </w:r>
            <w:r>
              <w:rPr>
                <w:sz w:val="20"/>
                <w:szCs w:val="20"/>
                <w:lang w:val="en-US"/>
              </w:rPr>
              <w:t xml:space="preserve"> </w:t>
            </w:r>
            <w:r w:rsidRPr="000C446C">
              <w:rPr>
                <w:sz w:val="20"/>
                <w:szCs w:val="20"/>
                <w:lang w:val="en-US"/>
              </w:rPr>
              <w:t>Attorney General of Canada</w:t>
            </w:r>
            <w:r>
              <w:rPr>
                <w:sz w:val="20"/>
                <w:szCs w:val="20"/>
                <w:lang w:val="en-US"/>
              </w:rPr>
              <w:t>.</w:t>
            </w:r>
          </w:p>
          <w:p w:rsidR="005F360C" w:rsidRDefault="005F360C" w:rsidP="005F360C">
            <w:pPr>
              <w:tabs>
                <w:tab w:val="left" w:pos="-2970"/>
              </w:tabs>
              <w:jc w:val="both"/>
              <w:rPr>
                <w:sz w:val="20"/>
                <w:szCs w:val="20"/>
                <w:lang w:val="en-US"/>
              </w:rPr>
            </w:pPr>
          </w:p>
          <w:p w:rsidR="005F360C" w:rsidRPr="000C446C" w:rsidRDefault="005F360C" w:rsidP="005F360C">
            <w:pPr>
              <w:tabs>
                <w:tab w:val="left" w:pos="-2970"/>
              </w:tabs>
              <w:jc w:val="both"/>
              <w:rPr>
                <w:sz w:val="20"/>
                <w:szCs w:val="20"/>
                <w:lang w:val="en-US"/>
              </w:rPr>
            </w:pPr>
            <w:r w:rsidRPr="000C446C">
              <w:rPr>
                <w:sz w:val="20"/>
                <w:szCs w:val="20"/>
                <w:lang w:val="en-US"/>
              </w:rPr>
              <w:t xml:space="preserve">Forrest C. Hume </w:t>
            </w:r>
            <w:r>
              <w:rPr>
                <w:sz w:val="20"/>
                <w:szCs w:val="20"/>
                <w:lang w:val="en-US"/>
              </w:rPr>
              <w:t xml:space="preserve">and </w:t>
            </w:r>
            <w:r w:rsidRPr="000C446C">
              <w:rPr>
                <w:sz w:val="20"/>
                <w:szCs w:val="20"/>
                <w:lang w:val="en-US"/>
              </w:rPr>
              <w:t>Cynthia A. Millar</w:t>
            </w:r>
            <w:r>
              <w:rPr>
                <w:sz w:val="20"/>
                <w:szCs w:val="20"/>
                <w:lang w:val="en-US"/>
              </w:rPr>
              <w:t xml:space="preserve"> f</w:t>
            </w:r>
            <w:r w:rsidRPr="000C446C">
              <w:rPr>
                <w:sz w:val="20"/>
                <w:szCs w:val="20"/>
                <w:lang w:val="en-US"/>
              </w:rPr>
              <w:t xml:space="preserve">or the </w:t>
            </w:r>
            <w:r>
              <w:rPr>
                <w:sz w:val="20"/>
                <w:szCs w:val="20"/>
                <w:lang w:val="en-US"/>
              </w:rPr>
              <w:t>r</w:t>
            </w:r>
            <w:r w:rsidRPr="000C446C">
              <w:rPr>
                <w:sz w:val="20"/>
                <w:szCs w:val="20"/>
                <w:lang w:val="en-US"/>
              </w:rPr>
              <w:t>espondent</w:t>
            </w:r>
            <w:r>
              <w:rPr>
                <w:sz w:val="20"/>
                <w:szCs w:val="20"/>
                <w:lang w:val="en-US"/>
              </w:rPr>
              <w:t xml:space="preserve"> </w:t>
            </w:r>
            <w:r w:rsidRPr="000C446C">
              <w:rPr>
                <w:sz w:val="20"/>
                <w:szCs w:val="20"/>
                <w:lang w:val="en-US"/>
              </w:rPr>
              <w:t>Peace River Coal Inc. &amp;</w:t>
            </w:r>
            <w:r>
              <w:rPr>
                <w:sz w:val="20"/>
                <w:szCs w:val="20"/>
                <w:lang w:val="en-US"/>
              </w:rPr>
              <w:t xml:space="preserve"> </w:t>
            </w:r>
            <w:r w:rsidRPr="000C446C">
              <w:rPr>
                <w:sz w:val="20"/>
                <w:szCs w:val="20"/>
                <w:lang w:val="en-US"/>
              </w:rPr>
              <w:t xml:space="preserve">Canadian </w:t>
            </w:r>
            <w:r w:rsidRPr="000C446C">
              <w:rPr>
                <w:sz w:val="20"/>
                <w:szCs w:val="20"/>
                <w:lang w:val="en-US"/>
              </w:rPr>
              <w:lastRenderedPageBreak/>
              <w:t>Industrial Transportation Association</w:t>
            </w:r>
            <w:r>
              <w:rPr>
                <w:sz w:val="20"/>
                <w:szCs w:val="20"/>
                <w:lang w:val="en-US"/>
              </w:rPr>
              <w:t>.</w:t>
            </w:r>
          </w:p>
          <w:p w:rsidR="005F360C" w:rsidRPr="000C446C" w:rsidRDefault="005F360C" w:rsidP="005F360C">
            <w:pPr>
              <w:tabs>
                <w:tab w:val="left" w:pos="-2970"/>
              </w:tabs>
              <w:jc w:val="both"/>
              <w:rPr>
                <w:sz w:val="20"/>
                <w:szCs w:val="20"/>
                <w:lang w:val="en-US"/>
              </w:rPr>
            </w:pPr>
          </w:p>
          <w:p w:rsidR="00A86627" w:rsidRPr="00C50A5C" w:rsidRDefault="005F360C" w:rsidP="005F360C">
            <w:pPr>
              <w:widowControl w:val="0"/>
              <w:jc w:val="both"/>
              <w:rPr>
                <w:sz w:val="20"/>
                <w:szCs w:val="20"/>
              </w:rPr>
            </w:pPr>
            <w:r w:rsidRPr="000C446C">
              <w:rPr>
                <w:sz w:val="20"/>
                <w:szCs w:val="20"/>
                <w:lang w:val="en-US"/>
              </w:rPr>
              <w:t xml:space="preserve">Sean Gaudet </w:t>
            </w:r>
            <w:r>
              <w:rPr>
                <w:sz w:val="20"/>
                <w:szCs w:val="20"/>
                <w:lang w:val="en-US"/>
              </w:rPr>
              <w:t>f</w:t>
            </w:r>
            <w:r w:rsidRPr="000C446C">
              <w:rPr>
                <w:sz w:val="20"/>
                <w:szCs w:val="20"/>
                <w:lang w:val="en-US"/>
              </w:rPr>
              <w:t xml:space="preserve">or the </w:t>
            </w:r>
            <w:r>
              <w:rPr>
                <w:sz w:val="20"/>
                <w:szCs w:val="20"/>
                <w:lang w:val="en-US"/>
              </w:rPr>
              <w:t>r</w:t>
            </w:r>
            <w:r w:rsidRPr="000C446C">
              <w:rPr>
                <w:sz w:val="20"/>
                <w:szCs w:val="20"/>
                <w:lang w:val="en-US"/>
              </w:rPr>
              <w:t>espondent Attorney General of Canada</w:t>
            </w:r>
            <w:r>
              <w:rPr>
                <w:sz w:val="20"/>
                <w:szCs w:val="20"/>
                <w:lang w:val="en-US"/>
              </w:rPr>
              <w:t>.</w:t>
            </w:r>
          </w:p>
        </w:tc>
      </w:tr>
    </w:tbl>
    <w:p w:rsidR="00A86627" w:rsidRDefault="00A86627" w:rsidP="00A86627">
      <w:pPr>
        <w:widowControl w:val="0"/>
      </w:pPr>
    </w:p>
    <w:p w:rsidR="00A86627" w:rsidRPr="0085476B" w:rsidRDefault="00A86627" w:rsidP="00A86627">
      <w:pPr>
        <w:widowControl w:val="0"/>
        <w:rPr>
          <w:sz w:val="20"/>
          <w:szCs w:val="20"/>
        </w:rPr>
      </w:pPr>
      <w:r w:rsidRPr="0085476B">
        <w:rPr>
          <w:b/>
          <w:sz w:val="20"/>
          <w:szCs w:val="20"/>
        </w:rPr>
        <w:t xml:space="preserve">RESERVED / </w:t>
      </w:r>
      <w:r w:rsidRPr="0085476B">
        <w:rPr>
          <w:b/>
          <w:sz w:val="20"/>
          <w:szCs w:val="20"/>
          <w:lang w:val="fr-CA"/>
        </w:rPr>
        <w:t>EN DÉLIBÉRÉ</w:t>
      </w:r>
    </w:p>
    <w:p w:rsidR="00A86627" w:rsidRDefault="00A86627" w:rsidP="00A86627"/>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86627" w:rsidRPr="00023015" w:rsidTr="00A86627">
        <w:tc>
          <w:tcPr>
            <w:tcW w:w="4380" w:type="dxa"/>
            <w:tcMar>
              <w:left w:w="0" w:type="dxa"/>
              <w:right w:w="0" w:type="dxa"/>
            </w:tcMar>
          </w:tcPr>
          <w:p w:rsidR="00A86627" w:rsidRPr="00CC4D84" w:rsidRDefault="00A86627" w:rsidP="00A86627">
            <w:pPr>
              <w:widowControl w:val="0"/>
              <w:jc w:val="both"/>
              <w:rPr>
                <w:b/>
                <w:sz w:val="20"/>
                <w:szCs w:val="20"/>
                <w:u w:val="single"/>
              </w:rPr>
            </w:pPr>
            <w:r w:rsidRPr="00CC4D84">
              <w:rPr>
                <w:b/>
                <w:sz w:val="20"/>
                <w:szCs w:val="20"/>
                <w:u w:val="single"/>
              </w:rPr>
              <w:t>Nature of the case:</w:t>
            </w:r>
          </w:p>
          <w:p w:rsidR="00A86627" w:rsidRPr="00C1697B" w:rsidRDefault="00A86627" w:rsidP="00A86627">
            <w:pPr>
              <w:widowControl w:val="0"/>
              <w:jc w:val="both"/>
              <w:rPr>
                <w:b/>
                <w:sz w:val="20"/>
                <w:szCs w:val="20"/>
              </w:rPr>
            </w:pPr>
          </w:p>
          <w:p w:rsidR="008C18BB" w:rsidRPr="008C18BB" w:rsidRDefault="008C18BB" w:rsidP="008C18BB">
            <w:pPr>
              <w:pStyle w:val="SCCBanSummary"/>
              <w:rPr>
                <w:sz w:val="20"/>
                <w:szCs w:val="20"/>
                <w:lang w:val="en-CA"/>
              </w:rPr>
            </w:pPr>
            <w:r w:rsidRPr="008C18BB">
              <w:rPr>
                <w:sz w:val="20"/>
                <w:szCs w:val="20"/>
                <w:lang w:val="en-CA"/>
              </w:rPr>
              <w:t>(Sealing Order)</w:t>
            </w:r>
          </w:p>
          <w:p w:rsidR="008C18BB" w:rsidRPr="00073F89" w:rsidRDefault="008C18BB" w:rsidP="008C18BB">
            <w:pPr>
              <w:widowControl w:val="0"/>
              <w:ind w:left="720" w:hanging="720"/>
              <w:jc w:val="both"/>
              <w:rPr>
                <w:sz w:val="20"/>
                <w:szCs w:val="20"/>
              </w:rPr>
            </w:pPr>
          </w:p>
          <w:p w:rsidR="00A86627" w:rsidRPr="00C1697B" w:rsidRDefault="008C18BB" w:rsidP="008C18BB">
            <w:pPr>
              <w:widowControl w:val="0"/>
              <w:jc w:val="both"/>
              <w:rPr>
                <w:b/>
                <w:sz w:val="20"/>
                <w:szCs w:val="20"/>
              </w:rPr>
            </w:pPr>
            <w:r w:rsidRPr="00073F89">
              <w:rPr>
                <w:iCs/>
                <w:color w:val="000000"/>
                <w:sz w:val="20"/>
                <w:szCs w:val="20"/>
              </w:rPr>
              <w:t>Transportation law - Railways - Rates and service charges - Governor in Council deciding decision by Canadian Transportation Agency that it had no jurisdiction to hear Peace River Coal Inc.’s complaint that CN’s fuel surcharge for transporting coal was unreasonable, was incorrect</w:t>
            </w:r>
            <w:r w:rsidRPr="00073F89">
              <w:rPr>
                <w:sz w:val="20"/>
                <w:szCs w:val="20"/>
              </w:rPr>
              <w:t xml:space="preserve"> - Whether Governor in Council had authority under s. 40 of </w:t>
            </w:r>
            <w:r w:rsidRPr="00073F89">
              <w:rPr>
                <w:i/>
                <w:sz w:val="20"/>
                <w:szCs w:val="20"/>
              </w:rPr>
              <w:t>Canada Transportation Act</w:t>
            </w:r>
            <w:r w:rsidRPr="00073F89">
              <w:rPr>
                <w:sz w:val="20"/>
                <w:szCs w:val="20"/>
              </w:rPr>
              <w:t>, S.C. 1996, c. 10</w:t>
            </w:r>
            <w:r w:rsidRPr="00073F89">
              <w:rPr>
                <w:i/>
                <w:sz w:val="20"/>
                <w:szCs w:val="20"/>
              </w:rPr>
              <w:t xml:space="preserve"> </w:t>
            </w:r>
            <w:r w:rsidRPr="00073F89">
              <w:rPr>
                <w:sz w:val="20"/>
                <w:szCs w:val="20"/>
              </w:rPr>
              <w:t xml:space="preserve">to vary or rescind decisions of the Agency on questions of law and jurisdiction - Whether legal framework established in </w:t>
            </w:r>
            <w:r w:rsidRPr="00073F89">
              <w:rPr>
                <w:i/>
                <w:sz w:val="20"/>
                <w:szCs w:val="20"/>
              </w:rPr>
              <w:t>Dunsmuir v. New Brunswick</w:t>
            </w:r>
            <w:r w:rsidRPr="00073F89">
              <w:rPr>
                <w:sz w:val="20"/>
                <w:szCs w:val="20"/>
              </w:rPr>
              <w:t>, 2008 SCC 9</w:t>
            </w:r>
            <w:r w:rsidRPr="00073F89">
              <w:rPr>
                <w:i/>
                <w:sz w:val="20"/>
                <w:szCs w:val="20"/>
              </w:rPr>
              <w:t xml:space="preserve"> </w:t>
            </w:r>
            <w:r w:rsidRPr="00073F89">
              <w:rPr>
                <w:sz w:val="20"/>
                <w:szCs w:val="20"/>
              </w:rPr>
              <w:t>for the determination of standard of review applies to decisions of the Governor in Council</w:t>
            </w:r>
          </w:p>
        </w:tc>
        <w:tc>
          <w:tcPr>
            <w:tcW w:w="720" w:type="dxa"/>
            <w:tcMar>
              <w:left w:w="0" w:type="dxa"/>
              <w:right w:w="0" w:type="dxa"/>
            </w:tcMar>
          </w:tcPr>
          <w:p w:rsidR="00A86627" w:rsidRPr="00C1697B" w:rsidRDefault="00A86627" w:rsidP="00A86627">
            <w:pPr>
              <w:widowControl w:val="0"/>
              <w:jc w:val="center"/>
              <w:rPr>
                <w:sz w:val="20"/>
                <w:szCs w:val="20"/>
              </w:rPr>
            </w:pPr>
          </w:p>
        </w:tc>
        <w:tc>
          <w:tcPr>
            <w:tcW w:w="4380" w:type="dxa"/>
            <w:tcMar>
              <w:left w:w="0" w:type="dxa"/>
              <w:right w:w="0" w:type="dxa"/>
            </w:tcMar>
          </w:tcPr>
          <w:p w:rsidR="00A86627" w:rsidRPr="00CC4D84" w:rsidRDefault="00A86627" w:rsidP="00A86627">
            <w:pPr>
              <w:widowControl w:val="0"/>
              <w:jc w:val="both"/>
              <w:rPr>
                <w:b/>
                <w:sz w:val="20"/>
                <w:szCs w:val="20"/>
                <w:u w:val="single"/>
                <w:lang w:val="fr-CA"/>
              </w:rPr>
            </w:pPr>
            <w:r w:rsidRPr="00CC4D84">
              <w:rPr>
                <w:b/>
                <w:sz w:val="20"/>
                <w:szCs w:val="20"/>
                <w:u w:val="single"/>
                <w:lang w:val="fr-CA"/>
              </w:rPr>
              <w:t>Nature de la cause :</w:t>
            </w:r>
          </w:p>
          <w:p w:rsidR="00A86627" w:rsidRPr="00C1697B" w:rsidRDefault="00A86627" w:rsidP="00A86627">
            <w:pPr>
              <w:widowControl w:val="0"/>
              <w:jc w:val="both"/>
              <w:rPr>
                <w:sz w:val="20"/>
                <w:szCs w:val="20"/>
                <w:lang w:val="fr-CA"/>
              </w:rPr>
            </w:pPr>
          </w:p>
          <w:p w:rsidR="008C18BB" w:rsidRPr="006634D6" w:rsidRDefault="008C18BB" w:rsidP="008C18BB">
            <w:pPr>
              <w:pStyle w:val="SCCBanSummary"/>
              <w:rPr>
                <w:sz w:val="20"/>
                <w:szCs w:val="20"/>
                <w:lang w:val="fr-CA"/>
              </w:rPr>
            </w:pPr>
            <w:r w:rsidRPr="006634D6">
              <w:rPr>
                <w:sz w:val="20"/>
                <w:szCs w:val="20"/>
                <w:lang w:val="fr-CA"/>
              </w:rPr>
              <w:t>(Ordonnance de mise sous scellés)</w:t>
            </w:r>
          </w:p>
          <w:p w:rsidR="008C18BB" w:rsidRPr="006634D6" w:rsidRDefault="008C18BB" w:rsidP="008C18BB">
            <w:pPr>
              <w:rPr>
                <w:sz w:val="20"/>
                <w:szCs w:val="20"/>
                <w:lang w:val="fr-CA"/>
              </w:rPr>
            </w:pPr>
          </w:p>
          <w:p w:rsidR="00A86627" w:rsidRPr="00C1697B" w:rsidRDefault="008C18BB" w:rsidP="008C18BB">
            <w:pPr>
              <w:widowControl w:val="0"/>
              <w:jc w:val="both"/>
              <w:rPr>
                <w:sz w:val="20"/>
                <w:szCs w:val="20"/>
                <w:lang w:val="fr-CA"/>
              </w:rPr>
            </w:pPr>
            <w:r w:rsidRPr="006634D6">
              <w:rPr>
                <w:iCs/>
                <w:color w:val="000000"/>
                <w:sz w:val="20"/>
                <w:szCs w:val="20"/>
                <w:lang w:val="fr-CA"/>
              </w:rPr>
              <w:t>Droit des transports - Chemins de fer - Tarifs et frais de service - Le gouverneur en conseil a décidé que la décision de l’Office des transports du Canada selon laquelle il n’avait pas compétence pour entendre la plainte de Peace River Coal Inc. portant que le supplément carburant imposé par le CN sur le transport du charbon était déraisonnable était incorrecte - Le gouverneur en conseil avait-il le pouvoir en vertu de l’art. 40 de la</w:t>
            </w:r>
            <w:r w:rsidRPr="006634D6">
              <w:rPr>
                <w:i/>
                <w:iCs/>
                <w:color w:val="000000"/>
                <w:sz w:val="20"/>
                <w:szCs w:val="20"/>
                <w:lang w:val="fr-CA"/>
              </w:rPr>
              <w:t xml:space="preserve"> Loi sur les transports au Canada</w:t>
            </w:r>
            <w:r w:rsidRPr="006634D6">
              <w:rPr>
                <w:iCs/>
                <w:color w:val="000000"/>
                <w:sz w:val="20"/>
                <w:szCs w:val="20"/>
                <w:lang w:val="fr-CA"/>
              </w:rPr>
              <w:t>, L.C. 1996, ch. 10</w:t>
            </w:r>
            <w:r w:rsidRPr="006634D6">
              <w:rPr>
                <w:i/>
                <w:iCs/>
                <w:color w:val="000000"/>
                <w:sz w:val="20"/>
                <w:szCs w:val="20"/>
                <w:lang w:val="fr-CA"/>
              </w:rPr>
              <w:t xml:space="preserve"> </w:t>
            </w:r>
            <w:r w:rsidRPr="006634D6">
              <w:rPr>
                <w:iCs/>
                <w:color w:val="000000"/>
                <w:sz w:val="20"/>
                <w:szCs w:val="20"/>
                <w:lang w:val="fr-CA"/>
              </w:rPr>
              <w:t xml:space="preserve">de modifier ou d’annuler la décision de l’Office sur des questions de droit et de compétence? - Le cadre juridique établi dans l’arrêt </w:t>
            </w:r>
            <w:r w:rsidRPr="006634D6">
              <w:rPr>
                <w:i/>
                <w:iCs/>
                <w:color w:val="000000"/>
                <w:sz w:val="20"/>
                <w:szCs w:val="20"/>
                <w:lang w:val="fr-CA"/>
              </w:rPr>
              <w:t>Dunsmuir c. Nouveau-Brunswick</w:t>
            </w:r>
            <w:r w:rsidRPr="006634D6">
              <w:rPr>
                <w:iCs/>
                <w:color w:val="000000"/>
                <w:sz w:val="20"/>
                <w:szCs w:val="20"/>
                <w:lang w:val="fr-CA"/>
              </w:rPr>
              <w:t>, 2008 CSC 9 pour la détermination de la norme de contrôle s’applique-t-il aux décisions du gouverneur en conseil?</w:t>
            </w:r>
          </w:p>
        </w:tc>
      </w:tr>
    </w:tbl>
    <w:p w:rsidR="00A86627" w:rsidRDefault="00A86627" w:rsidP="00A86627">
      <w:pPr>
        <w:widowControl w:val="0"/>
        <w:rPr>
          <w:sz w:val="20"/>
          <w:szCs w:val="20"/>
          <w:lang w:val="fr-CA"/>
        </w:rPr>
      </w:pPr>
    </w:p>
    <w:p w:rsidR="00A86627" w:rsidRDefault="001B62D0" w:rsidP="00A86627">
      <w:pPr>
        <w:widowControl w:val="0"/>
        <w:rPr>
          <w:sz w:val="20"/>
          <w:szCs w:val="20"/>
        </w:rPr>
      </w:pPr>
      <w:r>
        <w:rPr>
          <w:sz w:val="20"/>
          <w:szCs w:val="20"/>
          <w:lang w:val="fr-CA"/>
        </w:rPr>
        <w:pict>
          <v:rect id="_x0000_i1070" style="width:2in;height:1pt" o:hrpct="0" o:hralign="center" o:hrstd="t" o:hrnoshade="t" o:hr="t" fillcolor="black [3213]" stroked="f"/>
        </w:pict>
      </w:r>
    </w:p>
    <w:p w:rsidR="00A86627" w:rsidRDefault="00A86627" w:rsidP="00A86627">
      <w:pPr>
        <w:widowControl w:val="0"/>
        <w:rPr>
          <w:sz w:val="20"/>
          <w:szCs w:val="20"/>
        </w:rPr>
      </w:pPr>
    </w:p>
    <w:p w:rsidR="004909C5" w:rsidRPr="00C50A5C" w:rsidRDefault="004909C5" w:rsidP="004909C5">
      <w:pPr>
        <w:widowControl w:val="0"/>
        <w:rPr>
          <w:sz w:val="20"/>
          <w:szCs w:val="20"/>
        </w:rPr>
      </w:pPr>
      <w:r>
        <w:rPr>
          <w:sz w:val="20"/>
          <w:szCs w:val="20"/>
        </w:rPr>
        <w:t>15</w:t>
      </w:r>
      <w:r w:rsidRPr="00C50A5C">
        <w:rPr>
          <w:sz w:val="20"/>
          <w:szCs w:val="20"/>
        </w:rPr>
        <w:t>.0</w:t>
      </w:r>
      <w:r>
        <w:rPr>
          <w:sz w:val="20"/>
          <w:szCs w:val="20"/>
        </w:rPr>
        <w:t>1</w:t>
      </w:r>
      <w:r w:rsidRPr="00C50A5C">
        <w:rPr>
          <w:sz w:val="20"/>
          <w:szCs w:val="20"/>
        </w:rPr>
        <w:t>.201</w:t>
      </w:r>
      <w:r>
        <w:rPr>
          <w:sz w:val="20"/>
          <w:szCs w:val="20"/>
        </w:rPr>
        <w:t>4</w:t>
      </w:r>
    </w:p>
    <w:p w:rsidR="004909C5" w:rsidRPr="00C50A5C" w:rsidRDefault="004909C5" w:rsidP="004909C5">
      <w:pPr>
        <w:widowControl w:val="0"/>
        <w:rPr>
          <w:sz w:val="20"/>
          <w:szCs w:val="20"/>
        </w:rPr>
      </w:pPr>
    </w:p>
    <w:p w:rsidR="004909C5" w:rsidRPr="00C50A5C" w:rsidRDefault="004909C5" w:rsidP="004909C5">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Cromwell</w:t>
      </w:r>
      <w:r>
        <w:rPr>
          <w:sz w:val="20"/>
          <w:szCs w:val="20"/>
          <w:u w:val="single"/>
        </w:rPr>
        <w:t>, Moldaver, Karakatsanis and</w:t>
      </w:r>
      <w:r w:rsidRPr="00C50A5C">
        <w:rPr>
          <w:sz w:val="20"/>
          <w:szCs w:val="20"/>
          <w:u w:val="single"/>
        </w:rPr>
        <w:t xml:space="preserve"> </w:t>
      </w:r>
      <w:r>
        <w:rPr>
          <w:sz w:val="20"/>
          <w:szCs w:val="20"/>
          <w:u w:val="single"/>
        </w:rPr>
        <w:t xml:space="preserve">Wagner </w:t>
      </w:r>
      <w:r w:rsidRPr="00C50A5C">
        <w:rPr>
          <w:sz w:val="20"/>
          <w:szCs w:val="20"/>
          <w:u w:val="single"/>
        </w:rPr>
        <w:t>JJ.</w:t>
      </w:r>
      <w:r w:rsidRPr="00C50A5C">
        <w:rPr>
          <w:sz w:val="20"/>
          <w:szCs w:val="20"/>
        </w:rPr>
        <w:t xml:space="preserve"> </w:t>
      </w:r>
    </w:p>
    <w:p w:rsidR="004909C5" w:rsidRPr="00C50A5C" w:rsidRDefault="004909C5" w:rsidP="004909C5">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909C5" w:rsidRPr="00C50A5C" w:rsidTr="004909C5">
        <w:tc>
          <w:tcPr>
            <w:tcW w:w="4380" w:type="dxa"/>
            <w:tcMar>
              <w:left w:w="0" w:type="dxa"/>
              <w:right w:w="0" w:type="dxa"/>
            </w:tcMar>
          </w:tcPr>
          <w:p w:rsidR="004909C5" w:rsidRPr="000A0091" w:rsidRDefault="00CA6D8B" w:rsidP="00CA6D8B">
            <w:pPr>
              <w:widowControl w:val="0"/>
              <w:jc w:val="both"/>
              <w:rPr>
                <w:sz w:val="20"/>
                <w:szCs w:val="20"/>
              </w:rPr>
            </w:pPr>
            <w:r w:rsidRPr="008D0D98">
              <w:rPr>
                <w:b/>
                <w:iCs/>
                <w:sz w:val="20"/>
                <w:szCs w:val="20"/>
              </w:rPr>
              <w:t>In the Matter of Section 53 of the Supreme Court Act, R.S.C. 1985, c. S-26 ;  And in the Matter of a Reference by the Governor in Council concerning sections 5 and 6 of the Supreme Court Act, R.S.C. 1985, c. S-26, as set out in Order in Council, P.C. 2013</w:t>
            </w:r>
            <w:r w:rsidRPr="008D0D98">
              <w:rPr>
                <w:rFonts w:ascii="MS Mincho" w:eastAsia="MS Mincho" w:hAnsi="MS Mincho" w:cs="MS Mincho" w:hint="eastAsia"/>
                <w:b/>
                <w:iCs/>
                <w:sz w:val="20"/>
                <w:szCs w:val="20"/>
              </w:rPr>
              <w:t>‑</w:t>
            </w:r>
            <w:r w:rsidRPr="008D0D98">
              <w:rPr>
                <w:b/>
                <w:iCs/>
                <w:sz w:val="20"/>
                <w:szCs w:val="20"/>
              </w:rPr>
              <w:t xml:space="preserve">1105, dated October 22, 2013 / Dans l’affaire de l’article 53 de la Loi sur la Cour suprême, L.R.C. 1985, ch. </w:t>
            </w:r>
            <w:r w:rsidRPr="008D0D98">
              <w:rPr>
                <w:b/>
                <w:iCs/>
                <w:sz w:val="20"/>
                <w:szCs w:val="20"/>
                <w:lang w:val="fr-CA"/>
              </w:rPr>
              <w:t>S-26; Dans l’affaire d’un renvoir par le Gouverneur en conseil concernant les articles 5 et 6 de la Loi sur la Cour Suprême, L.R.C. 1985, ch. S</w:t>
            </w:r>
            <w:r w:rsidRPr="008D0D98">
              <w:rPr>
                <w:rFonts w:ascii="MS Mincho" w:eastAsia="MS Mincho" w:hAnsi="MS Mincho" w:cs="MS Mincho" w:hint="eastAsia"/>
                <w:b/>
                <w:iCs/>
                <w:sz w:val="20"/>
                <w:szCs w:val="20"/>
                <w:lang w:val="fr-CA"/>
              </w:rPr>
              <w:t>‑</w:t>
            </w:r>
            <w:r w:rsidRPr="008D0D98">
              <w:rPr>
                <w:b/>
                <w:iCs/>
                <w:sz w:val="20"/>
                <w:szCs w:val="20"/>
                <w:lang w:val="fr-CA"/>
              </w:rPr>
              <w:t xml:space="preserve">26, dans le décret C.P. 2013-1105 en date du 22 octobre 2013 </w:t>
            </w:r>
            <w:r w:rsidRPr="008D0D98">
              <w:rPr>
                <w:iCs/>
                <w:sz w:val="20"/>
                <w:szCs w:val="20"/>
                <w:lang w:val="fr-CA"/>
              </w:rPr>
              <w:t xml:space="preserve">(Can.) </w:t>
            </w:r>
            <w:r w:rsidRPr="008D0D98">
              <w:rPr>
                <w:iCs/>
                <w:sz w:val="20"/>
                <w:szCs w:val="20"/>
              </w:rPr>
              <w:t>(Civil/Civile) (Reference/Renvoi) (</w:t>
            </w:r>
            <w:hyperlink r:id="rId85" w:history="1">
              <w:r w:rsidRPr="008D0D98">
                <w:rPr>
                  <w:rStyle w:val="Hyperlink"/>
                  <w:iCs/>
                  <w:sz w:val="20"/>
                  <w:szCs w:val="20"/>
                </w:rPr>
                <w:t>35586</w:t>
              </w:r>
            </w:hyperlink>
            <w:r w:rsidRPr="008D0D98">
              <w:rPr>
                <w:iCs/>
                <w:sz w:val="20"/>
                <w:szCs w:val="20"/>
              </w:rPr>
              <w:t>)</w:t>
            </w:r>
          </w:p>
        </w:tc>
        <w:tc>
          <w:tcPr>
            <w:tcW w:w="720" w:type="dxa"/>
            <w:tcMar>
              <w:left w:w="0" w:type="dxa"/>
              <w:right w:w="0" w:type="dxa"/>
            </w:tcMar>
          </w:tcPr>
          <w:p w:rsidR="004909C5" w:rsidRPr="000A0091" w:rsidRDefault="004909C5" w:rsidP="004909C5">
            <w:pPr>
              <w:widowControl w:val="0"/>
              <w:jc w:val="center"/>
              <w:rPr>
                <w:sz w:val="20"/>
                <w:szCs w:val="20"/>
              </w:rPr>
            </w:pPr>
          </w:p>
        </w:tc>
        <w:tc>
          <w:tcPr>
            <w:tcW w:w="4380" w:type="dxa"/>
            <w:tcMar>
              <w:left w:w="0" w:type="dxa"/>
              <w:right w:w="0" w:type="dxa"/>
            </w:tcMar>
          </w:tcPr>
          <w:p w:rsidR="001619EC" w:rsidRPr="00F114F9" w:rsidRDefault="001619EC" w:rsidP="001619EC">
            <w:pPr>
              <w:jc w:val="both"/>
              <w:rPr>
                <w:sz w:val="20"/>
                <w:szCs w:val="20"/>
                <w:lang w:val="en-US"/>
              </w:rPr>
            </w:pPr>
            <w:r w:rsidRPr="00F114F9">
              <w:rPr>
                <w:sz w:val="20"/>
                <w:szCs w:val="20"/>
              </w:rPr>
              <w:t xml:space="preserve">René LeBlanc and </w:t>
            </w:r>
            <w:r w:rsidRPr="00F114F9">
              <w:rPr>
                <w:sz w:val="20"/>
                <w:szCs w:val="20"/>
                <w:lang w:val="en-US"/>
              </w:rPr>
              <w:t>Christine Mohr</w:t>
            </w:r>
            <w:r>
              <w:rPr>
                <w:sz w:val="20"/>
                <w:szCs w:val="20"/>
                <w:lang w:val="en-US"/>
              </w:rPr>
              <w:t xml:space="preserve"> f</w:t>
            </w:r>
            <w:r w:rsidRPr="00F114F9">
              <w:rPr>
                <w:sz w:val="20"/>
                <w:szCs w:val="20"/>
              </w:rPr>
              <w:t xml:space="preserve">or the appellant </w:t>
            </w:r>
            <w:r w:rsidRPr="00F114F9">
              <w:rPr>
                <w:sz w:val="20"/>
                <w:szCs w:val="20"/>
                <w:lang w:val="en-US"/>
              </w:rPr>
              <w:t>Attorney General of Canada</w:t>
            </w:r>
            <w:r>
              <w:rPr>
                <w:sz w:val="20"/>
                <w:szCs w:val="20"/>
                <w:lang w:val="en-US"/>
              </w:rPr>
              <w:t>.</w:t>
            </w:r>
          </w:p>
          <w:p w:rsidR="001619EC" w:rsidRPr="00F114F9" w:rsidRDefault="001619EC" w:rsidP="001619EC">
            <w:pPr>
              <w:jc w:val="both"/>
              <w:rPr>
                <w:sz w:val="20"/>
                <w:szCs w:val="20"/>
                <w:lang w:val="en-US"/>
              </w:rPr>
            </w:pPr>
          </w:p>
          <w:p w:rsidR="001619EC" w:rsidRPr="00F114F9" w:rsidRDefault="001619EC" w:rsidP="001619EC">
            <w:pPr>
              <w:jc w:val="both"/>
              <w:rPr>
                <w:sz w:val="20"/>
                <w:szCs w:val="20"/>
              </w:rPr>
            </w:pPr>
            <w:r w:rsidRPr="00F114F9">
              <w:rPr>
                <w:sz w:val="20"/>
                <w:szCs w:val="20"/>
                <w:lang w:val="en-US"/>
              </w:rPr>
              <w:t>Sébastien Grammond</w:t>
            </w:r>
            <w:r>
              <w:rPr>
                <w:sz w:val="20"/>
                <w:szCs w:val="20"/>
                <w:lang w:val="en-US"/>
              </w:rPr>
              <w:t xml:space="preserve"> f</w:t>
            </w:r>
            <w:r w:rsidRPr="00F114F9">
              <w:rPr>
                <w:sz w:val="20"/>
                <w:szCs w:val="20"/>
                <w:lang w:val="en-US"/>
              </w:rPr>
              <w:t xml:space="preserve">or the </w:t>
            </w:r>
            <w:r>
              <w:rPr>
                <w:sz w:val="20"/>
                <w:szCs w:val="20"/>
                <w:lang w:val="en-US"/>
              </w:rPr>
              <w:t>i</w:t>
            </w:r>
            <w:r w:rsidRPr="00F114F9">
              <w:rPr>
                <w:sz w:val="20"/>
                <w:szCs w:val="20"/>
                <w:lang w:val="en-US"/>
              </w:rPr>
              <w:t>ntervener</w:t>
            </w:r>
            <w:r>
              <w:rPr>
                <w:sz w:val="20"/>
                <w:szCs w:val="20"/>
                <w:lang w:val="en-US"/>
              </w:rPr>
              <w:t xml:space="preserve"> </w:t>
            </w:r>
            <w:r w:rsidRPr="00F114F9">
              <w:rPr>
                <w:sz w:val="20"/>
                <w:szCs w:val="20"/>
                <w:lang w:val="en-US"/>
              </w:rPr>
              <w:t xml:space="preserve">Canadian Association of </w:t>
            </w:r>
            <w:r w:rsidRPr="00F114F9">
              <w:rPr>
                <w:sz w:val="20"/>
                <w:szCs w:val="20"/>
              </w:rPr>
              <w:t>Provincial Court Judges</w:t>
            </w:r>
            <w:r>
              <w:rPr>
                <w:sz w:val="20"/>
                <w:szCs w:val="20"/>
              </w:rPr>
              <w:t>.</w:t>
            </w:r>
          </w:p>
          <w:p w:rsidR="001619EC" w:rsidRPr="00F114F9" w:rsidRDefault="001619EC" w:rsidP="001619EC">
            <w:pPr>
              <w:jc w:val="both"/>
              <w:rPr>
                <w:sz w:val="20"/>
                <w:szCs w:val="20"/>
              </w:rPr>
            </w:pPr>
          </w:p>
          <w:p w:rsidR="001619EC" w:rsidRPr="00F114F9" w:rsidRDefault="001619EC" w:rsidP="001619EC">
            <w:pPr>
              <w:jc w:val="both"/>
              <w:rPr>
                <w:sz w:val="20"/>
                <w:szCs w:val="20"/>
                <w:lang w:val="fr-CA"/>
              </w:rPr>
            </w:pPr>
            <w:r w:rsidRPr="00F114F9">
              <w:rPr>
                <w:sz w:val="20"/>
                <w:szCs w:val="20"/>
                <w:lang w:val="fr-CA"/>
              </w:rPr>
              <w:t>Sébastien Grammond</w:t>
            </w:r>
            <w:r>
              <w:rPr>
                <w:sz w:val="20"/>
                <w:szCs w:val="20"/>
                <w:lang w:val="fr-CA"/>
              </w:rPr>
              <w:t xml:space="preserve">, </w:t>
            </w:r>
            <w:r w:rsidRPr="00F114F9">
              <w:rPr>
                <w:sz w:val="20"/>
                <w:szCs w:val="20"/>
                <w:lang w:val="fr-CA"/>
              </w:rPr>
              <w:t>Jeffrey Haylock</w:t>
            </w:r>
            <w:r>
              <w:rPr>
                <w:sz w:val="20"/>
                <w:szCs w:val="20"/>
                <w:lang w:val="fr-CA"/>
              </w:rPr>
              <w:t xml:space="preserve"> et </w:t>
            </w:r>
            <w:r w:rsidRPr="00F114F9">
              <w:rPr>
                <w:sz w:val="20"/>
                <w:szCs w:val="20"/>
                <w:lang w:val="fr-CA"/>
              </w:rPr>
              <w:t>Nicolas M. Rouleau</w:t>
            </w:r>
            <w:r>
              <w:rPr>
                <w:sz w:val="20"/>
                <w:szCs w:val="20"/>
                <w:lang w:val="fr-CA"/>
              </w:rPr>
              <w:t xml:space="preserve"> p</w:t>
            </w:r>
            <w:r w:rsidRPr="00F114F9">
              <w:rPr>
                <w:sz w:val="20"/>
                <w:szCs w:val="20"/>
                <w:lang w:val="fr-CA"/>
              </w:rPr>
              <w:t>our les intervenants</w:t>
            </w:r>
            <w:r>
              <w:rPr>
                <w:sz w:val="20"/>
                <w:szCs w:val="20"/>
                <w:lang w:val="fr-CA"/>
              </w:rPr>
              <w:t xml:space="preserve"> </w:t>
            </w:r>
            <w:r w:rsidRPr="00F114F9">
              <w:rPr>
                <w:sz w:val="20"/>
                <w:szCs w:val="20"/>
                <w:lang w:val="fr-CA"/>
              </w:rPr>
              <w:t>Robert Décary, Alice Desjardins et Gilles Létourneau</w:t>
            </w:r>
            <w:r>
              <w:rPr>
                <w:sz w:val="20"/>
                <w:szCs w:val="20"/>
                <w:lang w:val="fr-CA"/>
              </w:rPr>
              <w:t>.</w:t>
            </w:r>
          </w:p>
          <w:p w:rsidR="001619EC" w:rsidRPr="00F114F9" w:rsidRDefault="001619EC" w:rsidP="001619EC">
            <w:pPr>
              <w:jc w:val="both"/>
              <w:rPr>
                <w:sz w:val="20"/>
                <w:szCs w:val="20"/>
                <w:lang w:val="fr-CA"/>
              </w:rPr>
            </w:pPr>
          </w:p>
          <w:p w:rsidR="001619EC" w:rsidRPr="00F114F9" w:rsidRDefault="001619EC" w:rsidP="001619EC">
            <w:pPr>
              <w:jc w:val="both"/>
              <w:rPr>
                <w:sz w:val="20"/>
                <w:szCs w:val="20"/>
                <w:lang w:val="fr-CA"/>
              </w:rPr>
            </w:pPr>
            <w:r w:rsidRPr="00F114F9">
              <w:rPr>
                <w:sz w:val="20"/>
                <w:szCs w:val="20"/>
                <w:lang w:val="fr-CA"/>
              </w:rPr>
              <w:t>André Fauteux</w:t>
            </w:r>
            <w:r>
              <w:rPr>
                <w:sz w:val="20"/>
                <w:szCs w:val="20"/>
                <w:lang w:val="fr-CA"/>
              </w:rPr>
              <w:t xml:space="preserve"> et </w:t>
            </w:r>
            <w:r w:rsidRPr="00F114F9">
              <w:rPr>
                <w:sz w:val="20"/>
                <w:szCs w:val="20"/>
                <w:lang w:val="fr-CA"/>
              </w:rPr>
              <w:tab/>
              <w:t>Jean-François Beaupré</w:t>
            </w:r>
            <w:r>
              <w:rPr>
                <w:sz w:val="20"/>
                <w:szCs w:val="20"/>
                <w:lang w:val="fr-CA"/>
              </w:rPr>
              <w:t xml:space="preserve"> p</w:t>
            </w:r>
            <w:r w:rsidRPr="00F114F9">
              <w:rPr>
                <w:sz w:val="20"/>
                <w:szCs w:val="20"/>
                <w:lang w:val="fr-CA"/>
              </w:rPr>
              <w:t>our l’intervenant</w:t>
            </w:r>
            <w:r>
              <w:rPr>
                <w:sz w:val="20"/>
                <w:szCs w:val="20"/>
                <w:lang w:val="fr-CA"/>
              </w:rPr>
              <w:t xml:space="preserve"> </w:t>
            </w:r>
            <w:r w:rsidRPr="00F114F9">
              <w:rPr>
                <w:sz w:val="20"/>
                <w:szCs w:val="20"/>
                <w:lang w:val="fr-CA"/>
              </w:rPr>
              <w:t>Procureur général du Québec</w:t>
            </w:r>
            <w:r>
              <w:rPr>
                <w:sz w:val="20"/>
                <w:szCs w:val="20"/>
                <w:lang w:val="fr-CA"/>
              </w:rPr>
              <w:t>.</w:t>
            </w:r>
          </w:p>
          <w:p w:rsidR="001619EC" w:rsidRPr="00F114F9" w:rsidRDefault="001619EC" w:rsidP="001619EC">
            <w:pPr>
              <w:jc w:val="both"/>
              <w:rPr>
                <w:sz w:val="20"/>
                <w:szCs w:val="20"/>
                <w:lang w:val="fr-CA"/>
              </w:rPr>
            </w:pPr>
          </w:p>
          <w:p w:rsidR="001619EC" w:rsidRPr="00F114F9" w:rsidRDefault="001619EC" w:rsidP="001619EC">
            <w:pPr>
              <w:jc w:val="both"/>
              <w:rPr>
                <w:sz w:val="20"/>
                <w:szCs w:val="20"/>
                <w:lang w:val="en-US"/>
              </w:rPr>
            </w:pPr>
            <w:r w:rsidRPr="00F114F9">
              <w:rPr>
                <w:sz w:val="20"/>
                <w:szCs w:val="20"/>
                <w:lang w:val="en-US"/>
              </w:rPr>
              <w:t>Patrick J. Monahan</w:t>
            </w:r>
            <w:r>
              <w:rPr>
                <w:sz w:val="20"/>
                <w:szCs w:val="20"/>
                <w:lang w:val="en-US"/>
              </w:rPr>
              <w:t xml:space="preserve"> et </w:t>
            </w:r>
            <w:r w:rsidRPr="00F114F9">
              <w:rPr>
                <w:sz w:val="20"/>
                <w:szCs w:val="20"/>
                <w:lang w:val="en-US"/>
              </w:rPr>
              <w:t>Josh Hunter</w:t>
            </w:r>
            <w:r>
              <w:rPr>
                <w:sz w:val="20"/>
                <w:szCs w:val="20"/>
                <w:lang w:val="en-US"/>
              </w:rPr>
              <w:t xml:space="preserve"> f</w:t>
            </w:r>
            <w:r w:rsidRPr="00F114F9">
              <w:rPr>
                <w:sz w:val="20"/>
                <w:szCs w:val="20"/>
                <w:lang w:val="en-US"/>
              </w:rPr>
              <w:t xml:space="preserve">or the </w:t>
            </w:r>
            <w:r>
              <w:rPr>
                <w:sz w:val="20"/>
                <w:szCs w:val="20"/>
                <w:lang w:val="en-US"/>
              </w:rPr>
              <w:t>i</w:t>
            </w:r>
            <w:r w:rsidRPr="00F114F9">
              <w:rPr>
                <w:sz w:val="20"/>
                <w:szCs w:val="20"/>
                <w:lang w:val="en-US"/>
              </w:rPr>
              <w:t>ntervener</w:t>
            </w:r>
            <w:r>
              <w:rPr>
                <w:sz w:val="20"/>
                <w:szCs w:val="20"/>
                <w:lang w:val="en-US"/>
              </w:rPr>
              <w:t xml:space="preserve"> </w:t>
            </w:r>
            <w:r w:rsidRPr="00F114F9">
              <w:rPr>
                <w:sz w:val="20"/>
                <w:szCs w:val="20"/>
                <w:lang w:val="en-US"/>
              </w:rPr>
              <w:t>Attorney General of Ontario</w:t>
            </w:r>
            <w:r>
              <w:rPr>
                <w:sz w:val="20"/>
                <w:szCs w:val="20"/>
                <w:lang w:val="en-US"/>
              </w:rPr>
              <w:t>.</w:t>
            </w:r>
          </w:p>
          <w:p w:rsidR="001619EC" w:rsidRPr="00F114F9" w:rsidRDefault="001619EC" w:rsidP="001619EC">
            <w:pPr>
              <w:jc w:val="both"/>
              <w:rPr>
                <w:sz w:val="20"/>
                <w:szCs w:val="20"/>
                <w:lang w:val="en-US"/>
              </w:rPr>
            </w:pPr>
          </w:p>
          <w:p w:rsidR="001619EC" w:rsidRPr="00F114F9" w:rsidRDefault="001619EC" w:rsidP="001619EC">
            <w:pPr>
              <w:jc w:val="both"/>
              <w:rPr>
                <w:sz w:val="20"/>
                <w:szCs w:val="20"/>
                <w:lang w:val="en-US"/>
              </w:rPr>
            </w:pPr>
            <w:r w:rsidRPr="00F114F9">
              <w:rPr>
                <w:sz w:val="20"/>
                <w:szCs w:val="20"/>
                <w:lang w:val="en-US"/>
              </w:rPr>
              <w:t>Rocco Galati</w:t>
            </w:r>
            <w:r>
              <w:rPr>
                <w:sz w:val="20"/>
                <w:szCs w:val="20"/>
                <w:lang w:val="en-US"/>
              </w:rPr>
              <w:t xml:space="preserve"> f</w:t>
            </w:r>
            <w:r w:rsidRPr="00F114F9">
              <w:rPr>
                <w:sz w:val="20"/>
                <w:szCs w:val="20"/>
                <w:lang w:val="en-US"/>
              </w:rPr>
              <w:t xml:space="preserve">or the </w:t>
            </w:r>
            <w:r>
              <w:rPr>
                <w:sz w:val="20"/>
                <w:szCs w:val="20"/>
                <w:lang w:val="en-US"/>
              </w:rPr>
              <w:t>i</w:t>
            </w:r>
            <w:r w:rsidRPr="00F114F9">
              <w:rPr>
                <w:sz w:val="20"/>
                <w:szCs w:val="20"/>
                <w:lang w:val="en-US"/>
              </w:rPr>
              <w:t>ntervener</w:t>
            </w:r>
            <w:r>
              <w:rPr>
                <w:sz w:val="20"/>
                <w:szCs w:val="20"/>
                <w:lang w:val="en-US"/>
              </w:rPr>
              <w:t xml:space="preserve"> </w:t>
            </w:r>
            <w:r w:rsidRPr="00F114F9">
              <w:rPr>
                <w:sz w:val="20"/>
                <w:szCs w:val="20"/>
                <w:lang w:val="en-US"/>
              </w:rPr>
              <w:t>Rocco Galati</w:t>
            </w:r>
            <w:r>
              <w:rPr>
                <w:sz w:val="20"/>
                <w:szCs w:val="20"/>
                <w:lang w:val="en-US"/>
              </w:rPr>
              <w:t>.</w:t>
            </w:r>
          </w:p>
          <w:p w:rsidR="001619EC" w:rsidRPr="00F114F9" w:rsidRDefault="001619EC" w:rsidP="001619EC">
            <w:pPr>
              <w:jc w:val="both"/>
              <w:rPr>
                <w:sz w:val="20"/>
                <w:szCs w:val="20"/>
                <w:lang w:val="en-US"/>
              </w:rPr>
            </w:pPr>
          </w:p>
          <w:p w:rsidR="004909C5" w:rsidRPr="00C50A5C" w:rsidRDefault="001619EC" w:rsidP="001619EC">
            <w:pPr>
              <w:widowControl w:val="0"/>
              <w:jc w:val="both"/>
              <w:rPr>
                <w:sz w:val="20"/>
                <w:szCs w:val="20"/>
              </w:rPr>
            </w:pPr>
            <w:r w:rsidRPr="00F114F9">
              <w:rPr>
                <w:sz w:val="20"/>
                <w:szCs w:val="20"/>
                <w:lang w:val="en-US"/>
              </w:rPr>
              <w:t>Paul Slansky</w:t>
            </w:r>
            <w:r>
              <w:rPr>
                <w:sz w:val="20"/>
                <w:szCs w:val="20"/>
                <w:lang w:val="en-US"/>
              </w:rPr>
              <w:t xml:space="preserve"> f</w:t>
            </w:r>
            <w:r w:rsidRPr="00F114F9">
              <w:rPr>
                <w:sz w:val="20"/>
                <w:szCs w:val="20"/>
                <w:lang w:val="en-US"/>
              </w:rPr>
              <w:t xml:space="preserve">or the </w:t>
            </w:r>
            <w:r>
              <w:rPr>
                <w:sz w:val="20"/>
                <w:szCs w:val="20"/>
                <w:lang w:val="en-US"/>
              </w:rPr>
              <w:t>i</w:t>
            </w:r>
            <w:r w:rsidRPr="00F114F9">
              <w:rPr>
                <w:sz w:val="20"/>
                <w:szCs w:val="20"/>
                <w:lang w:val="en-US"/>
              </w:rPr>
              <w:t>ntervener</w:t>
            </w:r>
            <w:r>
              <w:rPr>
                <w:sz w:val="20"/>
                <w:szCs w:val="20"/>
                <w:lang w:val="en-US"/>
              </w:rPr>
              <w:t xml:space="preserve"> </w:t>
            </w:r>
            <w:r w:rsidRPr="00F114F9">
              <w:rPr>
                <w:sz w:val="20"/>
                <w:szCs w:val="20"/>
                <w:lang w:val="en-US"/>
              </w:rPr>
              <w:t>Constitutional Rights Centre Inc.</w:t>
            </w:r>
          </w:p>
        </w:tc>
      </w:tr>
    </w:tbl>
    <w:p w:rsidR="004909C5" w:rsidRDefault="004909C5" w:rsidP="004909C5">
      <w:pPr>
        <w:widowControl w:val="0"/>
      </w:pPr>
    </w:p>
    <w:p w:rsidR="004909C5" w:rsidRPr="0085476B" w:rsidRDefault="004909C5" w:rsidP="004909C5">
      <w:pPr>
        <w:widowControl w:val="0"/>
        <w:rPr>
          <w:sz w:val="20"/>
          <w:szCs w:val="20"/>
        </w:rPr>
      </w:pPr>
      <w:r w:rsidRPr="0085476B">
        <w:rPr>
          <w:b/>
          <w:sz w:val="20"/>
          <w:szCs w:val="20"/>
        </w:rPr>
        <w:t xml:space="preserve">RESERVED / </w:t>
      </w:r>
      <w:r w:rsidRPr="000A0091">
        <w:rPr>
          <w:b/>
          <w:sz w:val="20"/>
          <w:szCs w:val="20"/>
        </w:rPr>
        <w:t>EN DÉLIBÉRÉ</w:t>
      </w:r>
    </w:p>
    <w:p w:rsidR="004909C5" w:rsidRDefault="004909C5" w:rsidP="004909C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909C5" w:rsidRPr="00023015" w:rsidTr="004909C5">
        <w:tc>
          <w:tcPr>
            <w:tcW w:w="4380" w:type="dxa"/>
            <w:tcMar>
              <w:left w:w="0" w:type="dxa"/>
              <w:right w:w="0" w:type="dxa"/>
            </w:tcMar>
          </w:tcPr>
          <w:p w:rsidR="004909C5" w:rsidRPr="00CC4D84" w:rsidRDefault="004909C5" w:rsidP="004909C5">
            <w:pPr>
              <w:widowControl w:val="0"/>
              <w:jc w:val="both"/>
              <w:rPr>
                <w:b/>
                <w:sz w:val="20"/>
                <w:szCs w:val="20"/>
                <w:u w:val="single"/>
              </w:rPr>
            </w:pPr>
            <w:r w:rsidRPr="00CC4D84">
              <w:rPr>
                <w:b/>
                <w:sz w:val="20"/>
                <w:szCs w:val="20"/>
                <w:u w:val="single"/>
              </w:rPr>
              <w:t>Nature of the case:</w:t>
            </w:r>
          </w:p>
          <w:p w:rsidR="004909C5" w:rsidRPr="00C1697B" w:rsidRDefault="004909C5" w:rsidP="004909C5">
            <w:pPr>
              <w:widowControl w:val="0"/>
              <w:jc w:val="both"/>
              <w:rPr>
                <w:b/>
                <w:sz w:val="20"/>
                <w:szCs w:val="20"/>
              </w:rPr>
            </w:pPr>
          </w:p>
          <w:p w:rsidR="004909C5" w:rsidRPr="00C1697B" w:rsidRDefault="00F54ACD" w:rsidP="004909C5">
            <w:pPr>
              <w:widowControl w:val="0"/>
              <w:jc w:val="both"/>
              <w:rPr>
                <w:b/>
                <w:sz w:val="20"/>
                <w:szCs w:val="20"/>
              </w:rPr>
            </w:pPr>
            <w:r w:rsidRPr="00F129EE">
              <w:rPr>
                <w:sz w:val="20"/>
                <w:szCs w:val="20"/>
              </w:rPr>
              <w:t>Legislation - Interpretation - Constitutional law - Supreme Court of Canada - Appointment of judges - Reference</w:t>
            </w:r>
          </w:p>
        </w:tc>
        <w:tc>
          <w:tcPr>
            <w:tcW w:w="720" w:type="dxa"/>
            <w:tcMar>
              <w:left w:w="0" w:type="dxa"/>
              <w:right w:w="0" w:type="dxa"/>
            </w:tcMar>
          </w:tcPr>
          <w:p w:rsidR="004909C5" w:rsidRPr="00C1697B" w:rsidRDefault="004909C5" w:rsidP="004909C5">
            <w:pPr>
              <w:widowControl w:val="0"/>
              <w:jc w:val="center"/>
              <w:rPr>
                <w:sz w:val="20"/>
                <w:szCs w:val="20"/>
              </w:rPr>
            </w:pPr>
          </w:p>
        </w:tc>
        <w:tc>
          <w:tcPr>
            <w:tcW w:w="4380" w:type="dxa"/>
            <w:tcMar>
              <w:left w:w="0" w:type="dxa"/>
              <w:right w:w="0" w:type="dxa"/>
            </w:tcMar>
          </w:tcPr>
          <w:p w:rsidR="004909C5" w:rsidRPr="00CC4D84" w:rsidRDefault="004909C5" w:rsidP="004909C5">
            <w:pPr>
              <w:widowControl w:val="0"/>
              <w:jc w:val="both"/>
              <w:rPr>
                <w:b/>
                <w:sz w:val="20"/>
                <w:szCs w:val="20"/>
                <w:u w:val="single"/>
                <w:lang w:val="fr-CA"/>
              </w:rPr>
            </w:pPr>
            <w:r w:rsidRPr="00CC4D84">
              <w:rPr>
                <w:b/>
                <w:sz w:val="20"/>
                <w:szCs w:val="20"/>
                <w:u w:val="single"/>
                <w:lang w:val="fr-CA"/>
              </w:rPr>
              <w:t>Nature de la cause :</w:t>
            </w:r>
          </w:p>
          <w:p w:rsidR="004909C5" w:rsidRPr="00C1697B" w:rsidRDefault="004909C5" w:rsidP="004909C5">
            <w:pPr>
              <w:widowControl w:val="0"/>
              <w:jc w:val="both"/>
              <w:rPr>
                <w:sz w:val="20"/>
                <w:szCs w:val="20"/>
                <w:lang w:val="fr-CA"/>
              </w:rPr>
            </w:pPr>
          </w:p>
          <w:p w:rsidR="004909C5" w:rsidRPr="00C1697B" w:rsidRDefault="00F54ACD" w:rsidP="004909C5">
            <w:pPr>
              <w:widowControl w:val="0"/>
              <w:jc w:val="both"/>
              <w:rPr>
                <w:sz w:val="20"/>
                <w:szCs w:val="20"/>
                <w:lang w:val="fr-CA"/>
              </w:rPr>
            </w:pPr>
            <w:r w:rsidRPr="0053180D">
              <w:rPr>
                <w:sz w:val="20"/>
                <w:szCs w:val="20"/>
                <w:lang w:val="fr-CA"/>
              </w:rPr>
              <w:t>Législation - Interprétation - Droit constitutionnel - Cour suprême du Canada - Nomination des juges - Renvoi</w:t>
            </w:r>
          </w:p>
        </w:tc>
      </w:tr>
    </w:tbl>
    <w:p w:rsidR="004909C5" w:rsidRDefault="004909C5" w:rsidP="004909C5">
      <w:pPr>
        <w:widowControl w:val="0"/>
        <w:rPr>
          <w:sz w:val="20"/>
          <w:szCs w:val="20"/>
          <w:lang w:val="fr-CA"/>
        </w:rPr>
      </w:pPr>
    </w:p>
    <w:p w:rsidR="004909C5" w:rsidRDefault="001B62D0" w:rsidP="004909C5">
      <w:pPr>
        <w:widowControl w:val="0"/>
        <w:rPr>
          <w:sz w:val="20"/>
          <w:szCs w:val="20"/>
        </w:rPr>
      </w:pPr>
      <w:r>
        <w:rPr>
          <w:sz w:val="20"/>
          <w:szCs w:val="20"/>
          <w:lang w:val="fr-CA"/>
        </w:rPr>
        <w:pict>
          <v:rect id="_x0000_i1071" style="width:2in;height:1pt" o:hrpct="0" o:hralign="center" o:hrstd="t" o:hrnoshade="t" o:hr="t" fillcolor="black [3213]" stroked="f"/>
        </w:pict>
      </w:r>
    </w:p>
    <w:p w:rsidR="004909C5" w:rsidRDefault="004909C5" w:rsidP="004909C5">
      <w:pPr>
        <w:widowControl w:val="0"/>
        <w:rPr>
          <w:sz w:val="20"/>
          <w:szCs w:val="20"/>
        </w:rPr>
      </w:pPr>
    </w:p>
    <w:p w:rsidR="004909C5" w:rsidRPr="00C50A5C" w:rsidRDefault="004909C5" w:rsidP="004909C5">
      <w:pPr>
        <w:widowControl w:val="0"/>
        <w:rPr>
          <w:sz w:val="20"/>
          <w:szCs w:val="20"/>
        </w:rPr>
      </w:pPr>
      <w:r>
        <w:rPr>
          <w:sz w:val="20"/>
          <w:szCs w:val="20"/>
        </w:rPr>
        <w:t>16</w:t>
      </w:r>
      <w:r w:rsidRPr="00C50A5C">
        <w:rPr>
          <w:sz w:val="20"/>
          <w:szCs w:val="20"/>
        </w:rPr>
        <w:t>.0</w:t>
      </w:r>
      <w:r>
        <w:rPr>
          <w:sz w:val="20"/>
          <w:szCs w:val="20"/>
        </w:rPr>
        <w:t>1</w:t>
      </w:r>
      <w:r w:rsidRPr="00C50A5C">
        <w:rPr>
          <w:sz w:val="20"/>
          <w:szCs w:val="20"/>
        </w:rPr>
        <w:t>.201</w:t>
      </w:r>
      <w:r>
        <w:rPr>
          <w:sz w:val="20"/>
          <w:szCs w:val="20"/>
        </w:rPr>
        <w:t>4</w:t>
      </w:r>
    </w:p>
    <w:p w:rsidR="004909C5" w:rsidRPr="00C50A5C" w:rsidRDefault="004909C5" w:rsidP="004909C5">
      <w:pPr>
        <w:widowControl w:val="0"/>
        <w:rPr>
          <w:sz w:val="20"/>
          <w:szCs w:val="20"/>
        </w:rPr>
      </w:pPr>
    </w:p>
    <w:p w:rsidR="004909C5" w:rsidRPr="00C50A5C" w:rsidRDefault="004909C5" w:rsidP="004909C5">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Rothstein</w:t>
      </w:r>
      <w:r>
        <w:rPr>
          <w:sz w:val="20"/>
          <w:szCs w:val="20"/>
          <w:u w:val="single"/>
        </w:rPr>
        <w:t xml:space="preserve">, </w:t>
      </w:r>
      <w:r w:rsidRPr="00C50A5C">
        <w:rPr>
          <w:sz w:val="20"/>
          <w:szCs w:val="20"/>
          <w:u w:val="single"/>
        </w:rPr>
        <w:t>Cromwell</w:t>
      </w:r>
      <w:r>
        <w:rPr>
          <w:sz w:val="20"/>
          <w:szCs w:val="20"/>
          <w:u w:val="single"/>
        </w:rPr>
        <w:t>, Moldaver and</w:t>
      </w:r>
      <w:r w:rsidRPr="00C50A5C">
        <w:rPr>
          <w:sz w:val="20"/>
          <w:szCs w:val="20"/>
          <w:u w:val="single"/>
        </w:rPr>
        <w:t xml:space="preserve"> </w:t>
      </w:r>
      <w:r>
        <w:rPr>
          <w:sz w:val="20"/>
          <w:szCs w:val="20"/>
          <w:u w:val="single"/>
        </w:rPr>
        <w:t xml:space="preserve">Wagner </w:t>
      </w:r>
      <w:r w:rsidRPr="00C50A5C">
        <w:rPr>
          <w:sz w:val="20"/>
          <w:szCs w:val="20"/>
          <w:u w:val="single"/>
        </w:rPr>
        <w:t>JJ.</w:t>
      </w:r>
      <w:r w:rsidRPr="00C50A5C">
        <w:rPr>
          <w:sz w:val="20"/>
          <w:szCs w:val="20"/>
        </w:rPr>
        <w:t xml:space="preserve"> </w:t>
      </w:r>
    </w:p>
    <w:p w:rsidR="004909C5" w:rsidRPr="00C50A5C" w:rsidRDefault="004909C5" w:rsidP="004909C5">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909C5" w:rsidRPr="00C50A5C" w:rsidTr="004909C5">
        <w:tc>
          <w:tcPr>
            <w:tcW w:w="4380" w:type="dxa"/>
            <w:tcMar>
              <w:left w:w="0" w:type="dxa"/>
              <w:right w:w="0" w:type="dxa"/>
            </w:tcMar>
          </w:tcPr>
          <w:p w:rsidR="004909C5" w:rsidRPr="00C50A5C" w:rsidRDefault="004909C5" w:rsidP="004909C5">
            <w:pPr>
              <w:widowControl w:val="0"/>
              <w:jc w:val="both"/>
              <w:rPr>
                <w:b/>
                <w:sz w:val="20"/>
                <w:szCs w:val="20"/>
              </w:rPr>
            </w:pPr>
            <w:r>
              <w:rPr>
                <w:b/>
                <w:sz w:val="20"/>
                <w:szCs w:val="20"/>
              </w:rPr>
              <w:t>W.E.B.</w:t>
            </w:r>
          </w:p>
          <w:p w:rsidR="004909C5" w:rsidRPr="00C50A5C" w:rsidRDefault="004909C5" w:rsidP="004909C5">
            <w:pPr>
              <w:widowControl w:val="0"/>
              <w:jc w:val="both"/>
              <w:rPr>
                <w:b/>
                <w:sz w:val="20"/>
                <w:szCs w:val="20"/>
              </w:rPr>
            </w:pPr>
          </w:p>
          <w:p w:rsidR="004909C5" w:rsidRPr="00C50A5C" w:rsidRDefault="004909C5" w:rsidP="004909C5">
            <w:pPr>
              <w:widowControl w:val="0"/>
              <w:tabs>
                <w:tab w:val="left" w:pos="736"/>
              </w:tabs>
              <w:jc w:val="both"/>
              <w:rPr>
                <w:b/>
                <w:sz w:val="20"/>
                <w:szCs w:val="20"/>
              </w:rPr>
            </w:pPr>
            <w:r w:rsidRPr="00C50A5C">
              <w:rPr>
                <w:b/>
                <w:sz w:val="20"/>
                <w:szCs w:val="20"/>
              </w:rPr>
              <w:tab/>
              <w:t xml:space="preserve">v. </w:t>
            </w:r>
            <w:r w:rsidR="00BC05EA" w:rsidRPr="00771CE4">
              <w:rPr>
                <w:iCs/>
                <w:sz w:val="20"/>
                <w:szCs w:val="20"/>
              </w:rPr>
              <w:t>(</w:t>
            </w:r>
            <w:hyperlink r:id="rId86" w:history="1">
              <w:r w:rsidR="00BC05EA" w:rsidRPr="00771CE4">
                <w:rPr>
                  <w:rStyle w:val="Hyperlink"/>
                  <w:iCs/>
                  <w:sz w:val="20"/>
                  <w:szCs w:val="20"/>
                </w:rPr>
                <w:t>35089</w:t>
              </w:r>
            </w:hyperlink>
            <w:r w:rsidR="00BC05EA" w:rsidRPr="00771CE4">
              <w:rPr>
                <w:iCs/>
                <w:sz w:val="20"/>
                <w:szCs w:val="20"/>
              </w:rPr>
              <w:t>)</w:t>
            </w:r>
          </w:p>
          <w:p w:rsidR="004909C5" w:rsidRPr="00C50A5C" w:rsidRDefault="004909C5" w:rsidP="004909C5">
            <w:pPr>
              <w:widowControl w:val="0"/>
              <w:jc w:val="both"/>
              <w:rPr>
                <w:b/>
                <w:sz w:val="20"/>
                <w:szCs w:val="20"/>
              </w:rPr>
            </w:pPr>
          </w:p>
          <w:p w:rsidR="004909C5" w:rsidRPr="004909C5" w:rsidRDefault="004909C5" w:rsidP="004909C5">
            <w:pPr>
              <w:widowControl w:val="0"/>
              <w:jc w:val="both"/>
              <w:rPr>
                <w:sz w:val="20"/>
                <w:szCs w:val="20"/>
              </w:rPr>
            </w:pPr>
            <w:r>
              <w:rPr>
                <w:b/>
                <w:sz w:val="20"/>
                <w:szCs w:val="20"/>
              </w:rPr>
              <w:t>Her Majesty the Qu</w:t>
            </w:r>
            <w:r w:rsidRPr="00C50A5C">
              <w:rPr>
                <w:b/>
                <w:sz w:val="20"/>
                <w:szCs w:val="20"/>
              </w:rPr>
              <w:t>een</w:t>
            </w:r>
            <w:r>
              <w:rPr>
                <w:b/>
                <w:sz w:val="20"/>
                <w:szCs w:val="20"/>
              </w:rPr>
              <w:t xml:space="preserve"> </w:t>
            </w:r>
            <w:r w:rsidRPr="00C50A5C">
              <w:rPr>
                <w:b/>
                <w:sz w:val="20"/>
                <w:szCs w:val="20"/>
              </w:rPr>
              <w:t>(</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(By</w:t>
            </w:r>
            <w:r>
              <w:rPr>
                <w:b/>
                <w:sz w:val="20"/>
                <w:szCs w:val="20"/>
              </w:rPr>
              <w:t> </w:t>
            </w:r>
            <w:r w:rsidRPr="00C50A5C">
              <w:rPr>
                <w:b/>
                <w:sz w:val="20"/>
                <w:szCs w:val="20"/>
              </w:rPr>
              <w:t>Leave)</w:t>
            </w:r>
          </w:p>
        </w:tc>
        <w:tc>
          <w:tcPr>
            <w:tcW w:w="720" w:type="dxa"/>
            <w:tcMar>
              <w:left w:w="0" w:type="dxa"/>
              <w:right w:w="0" w:type="dxa"/>
            </w:tcMar>
          </w:tcPr>
          <w:p w:rsidR="004909C5" w:rsidRPr="004909C5" w:rsidRDefault="004909C5" w:rsidP="004909C5">
            <w:pPr>
              <w:widowControl w:val="0"/>
              <w:jc w:val="center"/>
              <w:rPr>
                <w:sz w:val="20"/>
                <w:szCs w:val="20"/>
              </w:rPr>
            </w:pPr>
          </w:p>
        </w:tc>
        <w:tc>
          <w:tcPr>
            <w:tcW w:w="4380" w:type="dxa"/>
            <w:tcMar>
              <w:left w:w="0" w:type="dxa"/>
              <w:right w:w="0" w:type="dxa"/>
            </w:tcMar>
          </w:tcPr>
          <w:p w:rsidR="00BC05EA" w:rsidRPr="00493739" w:rsidRDefault="00BC05EA" w:rsidP="00BC05EA">
            <w:pPr>
              <w:tabs>
                <w:tab w:val="left" w:pos="-2970"/>
              </w:tabs>
              <w:jc w:val="both"/>
              <w:rPr>
                <w:sz w:val="20"/>
                <w:szCs w:val="20"/>
                <w:lang w:val="en-US"/>
              </w:rPr>
            </w:pPr>
            <w:r w:rsidRPr="00493739">
              <w:rPr>
                <w:sz w:val="20"/>
                <w:szCs w:val="20"/>
                <w:lang w:val="en-US"/>
              </w:rPr>
              <w:t>Michael A. Crystal</w:t>
            </w:r>
            <w:r>
              <w:rPr>
                <w:sz w:val="20"/>
                <w:szCs w:val="20"/>
                <w:lang w:val="en-US"/>
              </w:rPr>
              <w:t xml:space="preserve"> and </w:t>
            </w:r>
            <w:r w:rsidRPr="00493739">
              <w:rPr>
                <w:sz w:val="20"/>
                <w:szCs w:val="20"/>
                <w:lang w:val="en-US"/>
              </w:rPr>
              <w:t>Heather Cross</w:t>
            </w:r>
            <w:r>
              <w:rPr>
                <w:sz w:val="20"/>
                <w:szCs w:val="20"/>
                <w:lang w:val="en-US"/>
              </w:rPr>
              <w:t xml:space="preserve"> f</w:t>
            </w:r>
            <w:r w:rsidRPr="00493739">
              <w:rPr>
                <w:sz w:val="20"/>
                <w:szCs w:val="20"/>
                <w:lang w:val="en-US"/>
              </w:rPr>
              <w:t xml:space="preserve">or the </w:t>
            </w:r>
            <w:r>
              <w:rPr>
                <w:sz w:val="20"/>
                <w:szCs w:val="20"/>
                <w:lang w:val="en-US"/>
              </w:rPr>
              <w:t>a</w:t>
            </w:r>
            <w:r w:rsidRPr="00493739">
              <w:rPr>
                <w:sz w:val="20"/>
                <w:szCs w:val="20"/>
                <w:lang w:val="en-US"/>
              </w:rPr>
              <w:t>ppellant.</w:t>
            </w:r>
          </w:p>
          <w:p w:rsidR="00BC05EA" w:rsidRPr="00493739" w:rsidRDefault="00BC05EA" w:rsidP="00BC05EA">
            <w:pPr>
              <w:tabs>
                <w:tab w:val="left" w:pos="-2970"/>
              </w:tabs>
              <w:jc w:val="both"/>
              <w:rPr>
                <w:sz w:val="20"/>
                <w:szCs w:val="20"/>
                <w:lang w:val="en-US"/>
              </w:rPr>
            </w:pPr>
          </w:p>
          <w:p w:rsidR="004909C5" w:rsidRPr="00C50A5C" w:rsidRDefault="00BC05EA" w:rsidP="00BC05EA">
            <w:pPr>
              <w:widowControl w:val="0"/>
              <w:jc w:val="both"/>
              <w:rPr>
                <w:sz w:val="20"/>
                <w:szCs w:val="20"/>
              </w:rPr>
            </w:pPr>
            <w:r w:rsidRPr="00493739">
              <w:rPr>
                <w:sz w:val="20"/>
                <w:szCs w:val="20"/>
                <w:lang w:val="en-US"/>
              </w:rPr>
              <w:t xml:space="preserve">Holly Loubert </w:t>
            </w:r>
            <w:r>
              <w:rPr>
                <w:sz w:val="20"/>
                <w:szCs w:val="20"/>
                <w:lang w:val="en-US"/>
              </w:rPr>
              <w:t>f</w:t>
            </w:r>
            <w:r w:rsidRPr="00493739">
              <w:rPr>
                <w:sz w:val="20"/>
                <w:szCs w:val="20"/>
                <w:lang w:val="en-US"/>
              </w:rPr>
              <w:t xml:space="preserve">or the </w:t>
            </w:r>
            <w:r>
              <w:rPr>
                <w:sz w:val="20"/>
                <w:szCs w:val="20"/>
                <w:lang w:val="en-US"/>
              </w:rPr>
              <w:t>r</w:t>
            </w:r>
            <w:r w:rsidRPr="00493739">
              <w:rPr>
                <w:sz w:val="20"/>
                <w:szCs w:val="20"/>
                <w:lang w:val="en-US"/>
              </w:rPr>
              <w:t>espondent.</w:t>
            </w:r>
          </w:p>
        </w:tc>
      </w:tr>
    </w:tbl>
    <w:p w:rsidR="004909C5" w:rsidRDefault="004909C5" w:rsidP="004909C5">
      <w:pPr>
        <w:widowControl w:val="0"/>
      </w:pPr>
    </w:p>
    <w:p w:rsidR="00BC05EA" w:rsidRPr="00771CE4" w:rsidRDefault="00BC05EA" w:rsidP="00BC05EA">
      <w:pPr>
        <w:widowControl w:val="0"/>
        <w:rPr>
          <w:sz w:val="20"/>
          <w:szCs w:val="20"/>
        </w:rPr>
      </w:pPr>
      <w:r w:rsidRPr="00771CE4">
        <w:rPr>
          <w:b/>
          <w:sz w:val="20"/>
          <w:szCs w:val="20"/>
        </w:rPr>
        <w:t>2014 SCC 2 / 2014 CSC 2</w:t>
      </w:r>
    </w:p>
    <w:p w:rsidR="00BC05EA" w:rsidRDefault="00BC05EA" w:rsidP="00BC05EA">
      <w:pPr>
        <w:widowControl w:val="0"/>
        <w:rPr>
          <w:b/>
          <w:sz w:val="20"/>
          <w:szCs w:val="20"/>
        </w:rPr>
      </w:pPr>
    </w:p>
    <w:p w:rsidR="00BC05EA" w:rsidRPr="00BC05EA" w:rsidRDefault="00BC05EA" w:rsidP="00BC05EA">
      <w:pPr>
        <w:widowControl w:val="0"/>
        <w:rPr>
          <w:sz w:val="20"/>
          <w:szCs w:val="20"/>
          <w:lang w:val="fr-CA"/>
        </w:rPr>
      </w:pPr>
      <w:r w:rsidRPr="00BC05EA">
        <w:rPr>
          <w:b/>
          <w:sz w:val="20"/>
          <w:szCs w:val="20"/>
          <w:lang w:val="fr-CA"/>
        </w:rPr>
        <w:t>DISMISSED / REJETÉ</w:t>
      </w:r>
    </w:p>
    <w:p w:rsidR="004909C5" w:rsidRPr="00BC05EA" w:rsidRDefault="004909C5" w:rsidP="004909C5">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909C5" w:rsidRPr="00023015" w:rsidTr="004909C5">
        <w:tc>
          <w:tcPr>
            <w:tcW w:w="4380" w:type="dxa"/>
            <w:tcMar>
              <w:left w:w="0" w:type="dxa"/>
              <w:right w:w="0" w:type="dxa"/>
            </w:tcMar>
          </w:tcPr>
          <w:p w:rsidR="004909C5" w:rsidRPr="00CC4D84" w:rsidRDefault="004909C5" w:rsidP="004909C5">
            <w:pPr>
              <w:widowControl w:val="0"/>
              <w:jc w:val="both"/>
              <w:rPr>
                <w:b/>
                <w:sz w:val="20"/>
                <w:szCs w:val="20"/>
                <w:u w:val="single"/>
              </w:rPr>
            </w:pPr>
            <w:r w:rsidRPr="00CC4D84">
              <w:rPr>
                <w:b/>
                <w:sz w:val="20"/>
                <w:szCs w:val="20"/>
                <w:u w:val="single"/>
              </w:rPr>
              <w:t>Nature of the case:</w:t>
            </w:r>
          </w:p>
          <w:p w:rsidR="004909C5" w:rsidRPr="00C1697B" w:rsidRDefault="004909C5" w:rsidP="004909C5">
            <w:pPr>
              <w:widowControl w:val="0"/>
              <w:jc w:val="both"/>
              <w:rPr>
                <w:b/>
                <w:sz w:val="20"/>
                <w:szCs w:val="20"/>
              </w:rPr>
            </w:pPr>
          </w:p>
          <w:p w:rsidR="00960B7B" w:rsidRPr="00A6121B" w:rsidRDefault="00960B7B" w:rsidP="00960B7B">
            <w:pPr>
              <w:widowControl w:val="0"/>
              <w:jc w:val="both"/>
              <w:rPr>
                <w:sz w:val="20"/>
                <w:szCs w:val="20"/>
              </w:rPr>
            </w:pPr>
            <w:r w:rsidRPr="00A6121B">
              <w:rPr>
                <w:sz w:val="20"/>
                <w:szCs w:val="20"/>
              </w:rPr>
              <w:t>(</w:t>
            </w:r>
            <w:r w:rsidRPr="00A6121B">
              <w:rPr>
                <w:smallCaps/>
                <w:sz w:val="20"/>
                <w:szCs w:val="20"/>
              </w:rPr>
              <w:t>Publication Ban in Case</w:t>
            </w:r>
            <w:r w:rsidRPr="00A6121B">
              <w:rPr>
                <w:sz w:val="20"/>
                <w:szCs w:val="20"/>
              </w:rPr>
              <w:t xml:space="preserve">) </w:t>
            </w:r>
          </w:p>
          <w:p w:rsidR="00960B7B" w:rsidRPr="00A6121B" w:rsidRDefault="00960B7B" w:rsidP="00960B7B">
            <w:pPr>
              <w:jc w:val="both"/>
              <w:rPr>
                <w:sz w:val="20"/>
                <w:szCs w:val="20"/>
              </w:rPr>
            </w:pPr>
          </w:p>
          <w:p w:rsidR="00960B7B" w:rsidRDefault="00960B7B" w:rsidP="00960B7B">
            <w:pPr>
              <w:widowControl w:val="0"/>
              <w:jc w:val="both"/>
              <w:rPr>
                <w:sz w:val="20"/>
                <w:szCs w:val="20"/>
              </w:rPr>
            </w:pPr>
          </w:p>
          <w:p w:rsidR="004909C5" w:rsidRPr="00C1697B" w:rsidRDefault="00960B7B" w:rsidP="00960B7B">
            <w:pPr>
              <w:widowControl w:val="0"/>
              <w:jc w:val="both"/>
              <w:rPr>
                <w:b/>
                <w:sz w:val="20"/>
                <w:szCs w:val="20"/>
              </w:rPr>
            </w:pPr>
            <w:r w:rsidRPr="00A6121B">
              <w:rPr>
                <w:sz w:val="20"/>
                <w:szCs w:val="20"/>
              </w:rPr>
              <w:t>Criminal law - Trial - Ineffective assistance of counsel - Accused not testifying at trial - Whether a miscarriage of justice occurred because the accused did not give informed consent to trial counsel’s decision to refrain from calling him as a witness in his own defence - Whether the Court of Appeal erred in ascribing any weight to the accused’s “agreement” not to testify - Whether the Court of Appeal erred in finding that the accused’s acquiescence in trial counsel’s decision to refrain from calling him to testify constituted informed consent.</w:t>
            </w:r>
          </w:p>
        </w:tc>
        <w:tc>
          <w:tcPr>
            <w:tcW w:w="720" w:type="dxa"/>
            <w:tcMar>
              <w:left w:w="0" w:type="dxa"/>
              <w:right w:w="0" w:type="dxa"/>
            </w:tcMar>
          </w:tcPr>
          <w:p w:rsidR="004909C5" w:rsidRPr="00C1697B" w:rsidRDefault="004909C5" w:rsidP="004909C5">
            <w:pPr>
              <w:widowControl w:val="0"/>
              <w:jc w:val="center"/>
              <w:rPr>
                <w:sz w:val="20"/>
                <w:szCs w:val="20"/>
              </w:rPr>
            </w:pPr>
          </w:p>
        </w:tc>
        <w:tc>
          <w:tcPr>
            <w:tcW w:w="4380" w:type="dxa"/>
            <w:tcMar>
              <w:left w:w="0" w:type="dxa"/>
              <w:right w:w="0" w:type="dxa"/>
            </w:tcMar>
          </w:tcPr>
          <w:p w:rsidR="004909C5" w:rsidRPr="00CC4D84" w:rsidRDefault="004909C5" w:rsidP="004909C5">
            <w:pPr>
              <w:widowControl w:val="0"/>
              <w:jc w:val="both"/>
              <w:rPr>
                <w:b/>
                <w:sz w:val="20"/>
                <w:szCs w:val="20"/>
                <w:u w:val="single"/>
                <w:lang w:val="fr-CA"/>
              </w:rPr>
            </w:pPr>
            <w:r w:rsidRPr="00CC4D84">
              <w:rPr>
                <w:b/>
                <w:sz w:val="20"/>
                <w:szCs w:val="20"/>
                <w:u w:val="single"/>
                <w:lang w:val="fr-CA"/>
              </w:rPr>
              <w:t>Nature de la cause :</w:t>
            </w:r>
          </w:p>
          <w:p w:rsidR="004909C5" w:rsidRPr="00C1697B" w:rsidRDefault="004909C5" w:rsidP="004909C5">
            <w:pPr>
              <w:widowControl w:val="0"/>
              <w:jc w:val="both"/>
              <w:rPr>
                <w:sz w:val="20"/>
                <w:szCs w:val="20"/>
                <w:lang w:val="fr-CA"/>
              </w:rPr>
            </w:pPr>
          </w:p>
          <w:p w:rsidR="00960B7B" w:rsidRPr="008B366D" w:rsidRDefault="00960B7B" w:rsidP="00960B7B">
            <w:pPr>
              <w:widowControl w:val="0"/>
              <w:jc w:val="both"/>
              <w:rPr>
                <w:sz w:val="20"/>
                <w:szCs w:val="20"/>
                <w:lang w:val="fr-CA"/>
              </w:rPr>
            </w:pPr>
            <w:r w:rsidRPr="008B366D">
              <w:rPr>
                <w:sz w:val="20"/>
                <w:szCs w:val="20"/>
                <w:lang w:val="fr-CA"/>
              </w:rPr>
              <w:t>(</w:t>
            </w:r>
            <w:r w:rsidRPr="008B366D">
              <w:rPr>
                <w:smallCaps/>
                <w:sz w:val="20"/>
                <w:szCs w:val="20"/>
                <w:lang w:val="fr-CA"/>
              </w:rPr>
              <w:t>Ordonnance de non-publication dans le dossier</w:t>
            </w:r>
            <w:r w:rsidRPr="008B366D">
              <w:rPr>
                <w:sz w:val="20"/>
                <w:szCs w:val="20"/>
                <w:lang w:val="fr-CA"/>
              </w:rPr>
              <w:t xml:space="preserve">) </w:t>
            </w:r>
          </w:p>
          <w:p w:rsidR="00960B7B" w:rsidRPr="008B366D" w:rsidRDefault="00960B7B" w:rsidP="00960B7B">
            <w:pPr>
              <w:jc w:val="both"/>
              <w:rPr>
                <w:sz w:val="20"/>
                <w:szCs w:val="20"/>
                <w:lang w:val="fr-CA"/>
              </w:rPr>
            </w:pPr>
          </w:p>
          <w:p w:rsidR="004909C5" w:rsidRPr="00C1697B" w:rsidRDefault="00960B7B" w:rsidP="00960B7B">
            <w:pPr>
              <w:jc w:val="both"/>
              <w:rPr>
                <w:sz w:val="20"/>
                <w:szCs w:val="20"/>
                <w:lang w:val="fr-CA"/>
              </w:rPr>
            </w:pPr>
            <w:r w:rsidRPr="008B366D">
              <w:rPr>
                <w:sz w:val="20"/>
                <w:szCs w:val="20"/>
                <w:lang w:val="fr-CA"/>
              </w:rPr>
              <w:t>Droit criminel - Procès - Assistance inefficace de l’avocat - L’accusé n’a pas témoigné au procès - Y a-t-il eu erreur judiciaire du fait que l’accusé n’avait pas donné son consentement éclairé à la décision de son avocate au procès de ne pas l’avoir cité comme témoin pour sa propre défense? - La Cour d’appel a-t-elle eu tort d’avoir accordé de l’importance au fait que l’accusé avait « accepté » de ne pas témoigner? - La Cour d’appel a-t-elle eu tort de conclure que l’acquiescement de l’accusé à la décision de l’avocate au procès de ne pas l’avoir appelé à témoigner constituait un consentement éclairé?</w:t>
            </w:r>
          </w:p>
        </w:tc>
      </w:tr>
    </w:tbl>
    <w:p w:rsidR="004909C5" w:rsidRDefault="004909C5" w:rsidP="004909C5">
      <w:pPr>
        <w:widowControl w:val="0"/>
        <w:rPr>
          <w:sz w:val="20"/>
          <w:szCs w:val="20"/>
          <w:lang w:val="fr-CA"/>
        </w:rPr>
      </w:pPr>
    </w:p>
    <w:p w:rsidR="004909C5" w:rsidRDefault="001B62D0" w:rsidP="004909C5">
      <w:pPr>
        <w:widowControl w:val="0"/>
        <w:rPr>
          <w:sz w:val="20"/>
          <w:szCs w:val="20"/>
        </w:rPr>
      </w:pPr>
      <w:r>
        <w:rPr>
          <w:sz w:val="20"/>
          <w:szCs w:val="20"/>
          <w:lang w:val="fr-CA"/>
        </w:rPr>
        <w:pict>
          <v:rect id="_x0000_i1072" style="width:2in;height:1pt" o:hrpct="0" o:hralign="center" o:hrstd="t" o:hrnoshade="t" o:hr="t" fillcolor="black [3213]" stroked="f"/>
        </w:pict>
      </w:r>
    </w:p>
    <w:p w:rsidR="004909C5" w:rsidRDefault="004909C5" w:rsidP="004909C5">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2301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C42C54" w:rsidRDefault="008D64DB" w:rsidP="00AF1715">
      <w:pPr>
        <w:rPr>
          <w:b/>
          <w:sz w:val="20"/>
          <w:szCs w:val="20"/>
          <w:lang w:val="fr-CA"/>
        </w:rPr>
      </w:pPr>
      <w:r w:rsidRPr="00C42C54">
        <w:rPr>
          <w:b/>
          <w:sz w:val="20"/>
          <w:szCs w:val="20"/>
          <w:lang w:val="fr-CA"/>
        </w:rPr>
        <w:t>JANUARY 16</w:t>
      </w:r>
      <w:r w:rsidR="00AF1715" w:rsidRPr="00C42C54">
        <w:rPr>
          <w:b/>
          <w:sz w:val="20"/>
          <w:szCs w:val="20"/>
          <w:lang w:val="fr-CA"/>
        </w:rPr>
        <w:t>, 201</w:t>
      </w:r>
      <w:r w:rsidRPr="00C42C54">
        <w:rPr>
          <w:b/>
          <w:sz w:val="20"/>
          <w:szCs w:val="20"/>
          <w:lang w:val="fr-CA"/>
        </w:rPr>
        <w:t>4</w:t>
      </w:r>
      <w:r w:rsidR="00AF1715" w:rsidRPr="00C42C54">
        <w:rPr>
          <w:b/>
          <w:sz w:val="20"/>
          <w:szCs w:val="20"/>
          <w:lang w:val="fr-CA"/>
        </w:rPr>
        <w:t xml:space="preserve"> / LE </w:t>
      </w:r>
      <w:r w:rsidRPr="00C42C54">
        <w:rPr>
          <w:b/>
          <w:sz w:val="20"/>
          <w:szCs w:val="20"/>
          <w:lang w:val="fr-CA"/>
        </w:rPr>
        <w:t>16 JANVIER</w:t>
      </w:r>
      <w:r w:rsidR="00AF1715" w:rsidRPr="00C42C54">
        <w:rPr>
          <w:b/>
          <w:sz w:val="20"/>
          <w:szCs w:val="20"/>
          <w:lang w:val="fr-CA"/>
        </w:rPr>
        <w:t xml:space="preserve"> 201</w:t>
      </w:r>
      <w:r w:rsidRPr="00C42C54">
        <w:rPr>
          <w:b/>
          <w:sz w:val="20"/>
          <w:szCs w:val="20"/>
          <w:lang w:val="fr-CA"/>
        </w:rPr>
        <w:t>4</w:t>
      </w:r>
    </w:p>
    <w:p w:rsidR="00AF1715" w:rsidRPr="00C42C54" w:rsidRDefault="00AF1715" w:rsidP="00AF1715">
      <w:pPr>
        <w:rPr>
          <w:sz w:val="20"/>
          <w:szCs w:val="20"/>
          <w:lang w:val="fr-CA"/>
        </w:rPr>
      </w:pPr>
    </w:p>
    <w:p w:rsidR="00327885" w:rsidRPr="007B579D" w:rsidRDefault="0016688F" w:rsidP="00327885">
      <w:pPr>
        <w:ind w:left="1440" w:hanging="1440"/>
        <w:jc w:val="both"/>
        <w:rPr>
          <w:sz w:val="20"/>
          <w:lang w:val="fr-CA"/>
        </w:rPr>
      </w:pPr>
      <w:r w:rsidRPr="00202C5F">
        <w:rPr>
          <w:b/>
          <w:sz w:val="20"/>
        </w:rPr>
        <w:fldChar w:fldCharType="begin"/>
      </w:r>
      <w:r w:rsidR="00327885" w:rsidRPr="007B579D">
        <w:rPr>
          <w:b/>
          <w:sz w:val="20"/>
          <w:lang w:val="fr-CA"/>
        </w:rPr>
        <w:instrText xml:space="preserve"> SEQ CHAPTER \h \r 1</w:instrText>
      </w:r>
      <w:r w:rsidRPr="00202C5F">
        <w:rPr>
          <w:b/>
          <w:sz w:val="20"/>
        </w:rPr>
        <w:fldChar w:fldCharType="end"/>
      </w:r>
      <w:r w:rsidR="00327885" w:rsidRPr="007B579D">
        <w:rPr>
          <w:b/>
          <w:sz w:val="20"/>
          <w:lang w:val="fr-CA"/>
        </w:rPr>
        <w:t>34</w:t>
      </w:r>
      <w:r w:rsidR="00327885">
        <w:rPr>
          <w:b/>
          <w:sz w:val="20"/>
          <w:lang w:val="fr-CA"/>
        </w:rPr>
        <w:t>800</w:t>
      </w:r>
      <w:r w:rsidR="00327885" w:rsidRPr="007B579D">
        <w:rPr>
          <w:sz w:val="20"/>
          <w:lang w:val="fr-CA"/>
        </w:rPr>
        <w:tab/>
      </w:r>
      <w:r w:rsidR="00327885" w:rsidRPr="007B579D">
        <w:rPr>
          <w:b/>
          <w:sz w:val="20"/>
          <w:u w:val="single"/>
          <w:lang w:val="fr-CA"/>
        </w:rPr>
        <w:t>Vivendi Canada Inc. c. Michel Dell’Aniello – et – Alliance des manufacturiers et des exportateurs du Canada, faisant affaire sous le nom de Manufacturiers et Exportateurs Canada, et Chambre de commerce du Canada</w:t>
      </w:r>
      <w:r w:rsidR="00327885" w:rsidRPr="007B579D">
        <w:rPr>
          <w:b/>
          <w:sz w:val="20"/>
          <w:lang w:val="fr-CA"/>
        </w:rPr>
        <w:t xml:space="preserve"> </w:t>
      </w:r>
      <w:r w:rsidR="00327885" w:rsidRPr="007B579D">
        <w:rPr>
          <w:iCs/>
          <w:sz w:val="20"/>
          <w:lang w:val="fr-CA"/>
        </w:rPr>
        <w:t>(</w:t>
      </w:r>
      <w:r w:rsidR="00327885">
        <w:rPr>
          <w:iCs/>
          <w:sz w:val="20"/>
          <w:lang w:val="fr-CA"/>
        </w:rPr>
        <w:t>Qc</w:t>
      </w:r>
      <w:r w:rsidR="00327885" w:rsidRPr="007B579D">
        <w:rPr>
          <w:iCs/>
          <w:sz w:val="20"/>
          <w:lang w:val="fr-CA"/>
        </w:rPr>
        <w:t>)</w:t>
      </w:r>
    </w:p>
    <w:p w:rsidR="00327885" w:rsidRPr="007B579D" w:rsidRDefault="00327885" w:rsidP="00327885">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7B579D">
        <w:rPr>
          <w:b/>
          <w:sz w:val="20"/>
          <w:lang w:val="fr-CA"/>
        </w:rPr>
        <w:t>2014 SCC 1 / 2014 CSC 1</w:t>
      </w:r>
    </w:p>
    <w:p w:rsidR="00327885" w:rsidRPr="007B579D" w:rsidRDefault="00327885" w:rsidP="0032788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327885" w:rsidRPr="007B579D" w:rsidRDefault="00327885" w:rsidP="00327885">
      <w:pPr>
        <w:ind w:left="1440" w:hanging="1440"/>
        <w:rPr>
          <w:sz w:val="20"/>
          <w:u w:val="single"/>
          <w:lang w:val="fr-CA"/>
        </w:rPr>
      </w:pPr>
      <w:r w:rsidRPr="007B579D">
        <w:rPr>
          <w:sz w:val="20"/>
          <w:lang w:val="fr-CA"/>
        </w:rPr>
        <w:t>Coram:</w:t>
      </w:r>
      <w:r w:rsidRPr="007B579D">
        <w:rPr>
          <w:sz w:val="20"/>
          <w:lang w:val="fr-CA"/>
        </w:rPr>
        <w:tab/>
      </w:r>
      <w:r w:rsidRPr="007B579D">
        <w:rPr>
          <w:sz w:val="20"/>
          <w:u w:val="single"/>
          <w:lang w:val="fr-CA"/>
        </w:rPr>
        <w:t xml:space="preserve">Les juges LeBel, Abella, Rothstein, Cromwell, Moldaver, Karakatsanis et Wagner </w:t>
      </w:r>
    </w:p>
    <w:p w:rsidR="00327885" w:rsidRPr="007B579D" w:rsidRDefault="00327885" w:rsidP="00327885">
      <w:pPr>
        <w:ind w:left="1440" w:hanging="1440"/>
        <w:rPr>
          <w:sz w:val="16"/>
          <w:u w:val="single"/>
          <w:lang w:val="fr-CA"/>
        </w:rPr>
      </w:pPr>
      <w:r w:rsidRPr="007B579D">
        <w:rPr>
          <w:sz w:val="20"/>
          <w:u w:val="single"/>
          <w:lang w:val="fr-CA"/>
        </w:rPr>
        <w:t xml:space="preserve"> </w:t>
      </w:r>
    </w:p>
    <w:p w:rsidR="00327885" w:rsidRDefault="00327885" w:rsidP="00327885">
      <w:pPr>
        <w:jc w:val="both"/>
        <w:rPr>
          <w:rFonts w:eastAsia="Calibri"/>
          <w:sz w:val="20"/>
          <w:lang w:val="fr-CA"/>
        </w:rPr>
      </w:pPr>
      <w:r w:rsidRPr="007B579D">
        <w:rPr>
          <w:rFonts w:eastAsia="Calibri"/>
          <w:sz w:val="20"/>
          <w:lang w:val="fr-CA"/>
        </w:rPr>
        <w:t>L’appel interjeté contre l’arrêt de la Cour d’appel du Québec (Montréal), numéro 500-09-020995-106, 2012 QCCA 384, en date du 29 février 2012, entendu le 24 avril 2013, est rejeté avec dépens.</w:t>
      </w:r>
    </w:p>
    <w:p w:rsidR="00327885" w:rsidRPr="007B579D" w:rsidRDefault="00327885" w:rsidP="00327885">
      <w:pPr>
        <w:jc w:val="both"/>
        <w:rPr>
          <w:rFonts w:eastAsia="Calibri"/>
          <w:sz w:val="20"/>
          <w:lang w:val="fr-CA"/>
        </w:rPr>
      </w:pPr>
    </w:p>
    <w:p w:rsidR="00327885" w:rsidRPr="007B579D" w:rsidRDefault="00327885" w:rsidP="00327885">
      <w:pPr>
        <w:jc w:val="both"/>
        <w:rPr>
          <w:rFonts w:eastAsia="Calibri"/>
          <w:sz w:val="20"/>
        </w:rPr>
      </w:pPr>
      <w:r w:rsidRPr="007B579D">
        <w:rPr>
          <w:rFonts w:eastAsia="Calibri"/>
          <w:sz w:val="20"/>
        </w:rPr>
        <w:t>The appeal from the judgment of the Court of Appeal of Quebec (Montréal), Number 500-09-020995-106, 2012 QCCA 384, dated February 29, 2012, heard on April 24, 2013, is dismissed with costs.</w:t>
      </w:r>
    </w:p>
    <w:p w:rsidR="008D64DB" w:rsidRDefault="008D64DB" w:rsidP="00AF1715">
      <w:pPr>
        <w:rPr>
          <w:sz w:val="20"/>
          <w:szCs w:val="20"/>
        </w:rPr>
      </w:pPr>
    </w:p>
    <w:p w:rsidR="00AF1715" w:rsidRPr="003B3977" w:rsidRDefault="001B62D0" w:rsidP="00AF1715">
      <w:pPr>
        <w:spacing w:line="0" w:lineRule="atLeast"/>
        <w:rPr>
          <w:sz w:val="20"/>
          <w:szCs w:val="20"/>
        </w:rPr>
      </w:pPr>
      <w:r>
        <w:rPr>
          <w:b/>
          <w:sz w:val="20"/>
          <w:szCs w:val="20"/>
        </w:rPr>
        <w:pict>
          <v:rect id="_x0000_i1075"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8D64DB" w:rsidRPr="00A84883" w:rsidRDefault="008D64DB" w:rsidP="008D64DB">
      <w:pPr>
        <w:rPr>
          <w:b/>
          <w:sz w:val="20"/>
          <w:szCs w:val="20"/>
        </w:rPr>
      </w:pPr>
      <w:r w:rsidRPr="00A84883">
        <w:rPr>
          <w:b/>
          <w:sz w:val="20"/>
          <w:szCs w:val="20"/>
        </w:rPr>
        <w:t>JANUARY 17, 2014 / LE 17 JANVIER 2014</w:t>
      </w:r>
    </w:p>
    <w:p w:rsidR="00D004FC" w:rsidRPr="00A84883" w:rsidRDefault="00D004FC" w:rsidP="00D004FC">
      <w:pPr>
        <w:spacing w:line="0" w:lineRule="atLeast"/>
        <w:rPr>
          <w:rFonts w:cs="Times New Roman"/>
          <w:sz w:val="20"/>
          <w:szCs w:val="20"/>
        </w:rPr>
      </w:pPr>
    </w:p>
    <w:p w:rsidR="00106012" w:rsidRPr="005C722A" w:rsidRDefault="0016688F" w:rsidP="00106012">
      <w:pPr>
        <w:ind w:left="1440" w:hanging="1440"/>
        <w:jc w:val="both"/>
        <w:rPr>
          <w:sz w:val="20"/>
          <w:szCs w:val="20"/>
        </w:rPr>
      </w:pPr>
      <w:r w:rsidRPr="005C722A">
        <w:rPr>
          <w:b/>
          <w:sz w:val="20"/>
          <w:szCs w:val="20"/>
        </w:rPr>
        <w:fldChar w:fldCharType="begin"/>
      </w:r>
      <w:r w:rsidR="00106012" w:rsidRPr="005C722A">
        <w:rPr>
          <w:b/>
          <w:sz w:val="20"/>
          <w:szCs w:val="20"/>
        </w:rPr>
        <w:instrText xml:space="preserve"> SEQ CHAPTER \h \r 1</w:instrText>
      </w:r>
      <w:r w:rsidRPr="005C722A">
        <w:rPr>
          <w:b/>
          <w:sz w:val="20"/>
          <w:szCs w:val="20"/>
        </w:rPr>
        <w:fldChar w:fldCharType="end"/>
      </w:r>
      <w:r w:rsidR="00106012" w:rsidRPr="005C722A">
        <w:rPr>
          <w:b/>
          <w:sz w:val="20"/>
          <w:szCs w:val="20"/>
        </w:rPr>
        <w:t>34914</w:t>
      </w:r>
      <w:r w:rsidR="00106012" w:rsidRPr="005C722A">
        <w:rPr>
          <w:sz w:val="20"/>
          <w:szCs w:val="20"/>
        </w:rPr>
        <w:tab/>
      </w:r>
      <w:r w:rsidR="00106012" w:rsidRPr="005C722A">
        <w:rPr>
          <w:b/>
          <w:sz w:val="20"/>
          <w:szCs w:val="20"/>
          <w:u w:val="single"/>
        </w:rPr>
        <w:t>Erin Lee MacDonald v. Her Majesty The Queen – AND BETWEEN – Her Majesty The Queen v. Erin Lee MacDonald – and – Director of Public Prosecutions and Attorney General of Ontario</w:t>
      </w:r>
      <w:r w:rsidR="00106012" w:rsidRPr="005C722A">
        <w:rPr>
          <w:b/>
          <w:sz w:val="20"/>
          <w:szCs w:val="20"/>
        </w:rPr>
        <w:t xml:space="preserve"> </w:t>
      </w:r>
      <w:r w:rsidR="00106012" w:rsidRPr="005C722A">
        <w:rPr>
          <w:iCs/>
          <w:sz w:val="20"/>
          <w:szCs w:val="20"/>
        </w:rPr>
        <w:t>(N.S.)</w:t>
      </w:r>
    </w:p>
    <w:p w:rsidR="00106012" w:rsidRPr="005C722A" w:rsidRDefault="00106012" w:rsidP="00106012">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2014 SCC 3 / 2014 CSC 3</w:t>
      </w:r>
    </w:p>
    <w:p w:rsidR="00106012" w:rsidRPr="005C722A" w:rsidRDefault="00106012" w:rsidP="0010601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106012" w:rsidRPr="005C722A" w:rsidRDefault="00106012" w:rsidP="00106012">
      <w:pPr>
        <w:ind w:left="1440" w:hanging="1440"/>
        <w:rPr>
          <w:sz w:val="20"/>
          <w:szCs w:val="20"/>
          <w:u w:val="single"/>
        </w:rPr>
      </w:pPr>
      <w:r w:rsidRPr="005C722A">
        <w:rPr>
          <w:sz w:val="20"/>
          <w:szCs w:val="20"/>
        </w:rPr>
        <w:t>Coram:</w:t>
      </w:r>
      <w:r w:rsidRPr="005C722A">
        <w:rPr>
          <w:sz w:val="20"/>
          <w:szCs w:val="20"/>
        </w:rPr>
        <w:tab/>
      </w:r>
      <w:r w:rsidRPr="005C722A">
        <w:rPr>
          <w:sz w:val="20"/>
          <w:szCs w:val="20"/>
          <w:u w:val="single"/>
        </w:rPr>
        <w:t>McLachlin C.J. and LeBel, Fish, Abella, Rothstein, Moldaver and Wagner JJ.</w:t>
      </w:r>
    </w:p>
    <w:p w:rsidR="00106012" w:rsidRPr="005C722A" w:rsidRDefault="00106012" w:rsidP="00106012">
      <w:pPr>
        <w:ind w:left="1440" w:hanging="1440"/>
        <w:jc w:val="both"/>
        <w:rPr>
          <w:sz w:val="20"/>
          <w:szCs w:val="20"/>
          <w:u w:val="single"/>
        </w:rPr>
      </w:pPr>
    </w:p>
    <w:p w:rsidR="00106012" w:rsidRPr="005C722A" w:rsidRDefault="00106012" w:rsidP="00106012">
      <w:pPr>
        <w:jc w:val="both"/>
        <w:rPr>
          <w:rFonts w:eastAsia="Calibri"/>
          <w:sz w:val="20"/>
          <w:szCs w:val="20"/>
        </w:rPr>
      </w:pPr>
      <w:r w:rsidRPr="005C722A">
        <w:rPr>
          <w:rFonts w:eastAsia="Calibri"/>
          <w:sz w:val="20"/>
          <w:szCs w:val="20"/>
        </w:rPr>
        <w:t xml:space="preserve">The appeal brought by Erin Lee MacDonald from the judgment of the Nova Scotia Court of Appeal, Number CAC 347642, 2012 NSCA 50, dated May 11, 2012, heard on May 23, 2013, is dismissed. The Crown’s appeal on the charge under section 95(1) of the </w:t>
      </w:r>
      <w:r w:rsidRPr="005C722A">
        <w:rPr>
          <w:rFonts w:eastAsia="Calibri"/>
          <w:i/>
          <w:sz w:val="20"/>
          <w:szCs w:val="20"/>
        </w:rPr>
        <w:t>Criminal Code</w:t>
      </w:r>
      <w:r w:rsidRPr="005C722A">
        <w:rPr>
          <w:rFonts w:eastAsia="Calibri"/>
          <w:sz w:val="20"/>
          <w:szCs w:val="20"/>
        </w:rPr>
        <w:t xml:space="preserve"> is allowed and the conviction is restored. The matter is remitted to the Court of Appeal for sentencing.</w:t>
      </w:r>
    </w:p>
    <w:p w:rsidR="00106012" w:rsidRPr="005C722A" w:rsidRDefault="00106012" w:rsidP="00106012">
      <w:pPr>
        <w:jc w:val="both"/>
        <w:rPr>
          <w:rFonts w:eastAsia="Calibri"/>
          <w:sz w:val="20"/>
          <w:szCs w:val="20"/>
        </w:rPr>
      </w:pPr>
    </w:p>
    <w:p w:rsidR="00106012" w:rsidRPr="005C722A" w:rsidRDefault="00106012" w:rsidP="00106012">
      <w:pPr>
        <w:jc w:val="both"/>
        <w:rPr>
          <w:rFonts w:eastAsia="Calibri"/>
          <w:sz w:val="20"/>
          <w:szCs w:val="20"/>
          <w:lang w:val="fr-CA"/>
        </w:rPr>
      </w:pPr>
      <w:r w:rsidRPr="005C722A">
        <w:rPr>
          <w:rFonts w:eastAsia="Calibri"/>
          <w:sz w:val="20"/>
          <w:szCs w:val="20"/>
          <w:lang w:val="fr-CA"/>
        </w:rPr>
        <w:t xml:space="preserve">L’appel interjeté par Erin Lee MacDonald contre l’arrêt de la Cour d’appel de la Nouvelle-Écosse, numéro CAC 347642, 2012 NSCA 50, en date du 11 mai 2012, entendu le 23 mai 2013, est rejeté. L’appel du ministère public relativement à l’accusation portée en vertu du par. 95(1) du </w:t>
      </w:r>
      <w:r w:rsidRPr="005C722A">
        <w:rPr>
          <w:rFonts w:eastAsia="Calibri"/>
          <w:i/>
          <w:sz w:val="20"/>
          <w:szCs w:val="20"/>
          <w:lang w:val="fr-CA"/>
        </w:rPr>
        <w:t>Code criminel</w:t>
      </w:r>
      <w:r w:rsidRPr="005C722A">
        <w:rPr>
          <w:rFonts w:eastAsia="Calibri"/>
          <w:sz w:val="20"/>
          <w:szCs w:val="20"/>
          <w:lang w:val="fr-CA"/>
        </w:rPr>
        <w:t xml:space="preserve"> est accueilli et la déclaration de culpabilité est rétablie. L’affaire est renvoyée à la Cour d’appel pour la détermination de la peine. </w:t>
      </w:r>
    </w:p>
    <w:p w:rsidR="00D004FC" w:rsidRPr="00CF2840" w:rsidRDefault="00D004FC" w:rsidP="00D004FC">
      <w:pPr>
        <w:spacing w:line="0" w:lineRule="atLeast"/>
        <w:rPr>
          <w:rFonts w:cs="Times New Roman"/>
          <w:sz w:val="20"/>
          <w:szCs w:val="20"/>
          <w:lang w:val="fr-CA"/>
        </w:rPr>
      </w:pPr>
    </w:p>
    <w:p w:rsidR="00D004FC" w:rsidRDefault="001B62D0" w:rsidP="00D004FC">
      <w:pPr>
        <w:jc w:val="both"/>
        <w:rPr>
          <w:rFonts w:cs="Times New Roman"/>
          <w:b/>
          <w:sz w:val="20"/>
          <w:szCs w:val="20"/>
        </w:rPr>
      </w:pPr>
      <w:r>
        <w:rPr>
          <w:rFonts w:cs="Times New Roman"/>
          <w:b/>
          <w:sz w:val="20"/>
          <w:szCs w:val="20"/>
        </w:rPr>
        <w:pict>
          <v:rect id="_x0000_i107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50E05" w:rsidRPr="00754A71" w:rsidRDefault="00050E05" w:rsidP="00050E05">
      <w:pPr>
        <w:ind w:left="1440" w:hanging="1440"/>
        <w:jc w:val="both"/>
        <w:rPr>
          <w:sz w:val="20"/>
          <w:szCs w:val="20"/>
          <w:lang w:val="fr-CA"/>
        </w:rPr>
      </w:pPr>
      <w:r w:rsidRPr="00754A71">
        <w:rPr>
          <w:rFonts w:eastAsia="Calibri"/>
          <w:i/>
          <w:sz w:val="20"/>
          <w:szCs w:val="20"/>
          <w:lang w:val="fr-CA"/>
        </w:rPr>
        <w:t>Vivendi Canada Inc. c. Michel Dell</w:t>
      </w:r>
      <w:r w:rsidR="00BC7DCE">
        <w:rPr>
          <w:rFonts w:eastAsia="Calibri"/>
          <w:i/>
          <w:sz w:val="20"/>
          <w:szCs w:val="20"/>
          <w:lang w:val="fr-CA"/>
        </w:rPr>
        <w:t>’</w:t>
      </w:r>
      <w:r w:rsidRPr="00754A71">
        <w:rPr>
          <w:rFonts w:eastAsia="Calibri"/>
          <w:i/>
          <w:sz w:val="20"/>
          <w:szCs w:val="20"/>
          <w:lang w:val="fr-CA"/>
        </w:rPr>
        <w:t>Aniello</w:t>
      </w:r>
      <w:r w:rsidRPr="00754A71">
        <w:rPr>
          <w:sz w:val="20"/>
          <w:szCs w:val="20"/>
          <w:lang w:val="fr-CA"/>
        </w:rPr>
        <w:t xml:space="preserve"> (Qc) (</w:t>
      </w:r>
      <w:hyperlink r:id="rId99" w:history="1">
        <w:r w:rsidRPr="00754A71">
          <w:rPr>
            <w:rStyle w:val="Hyperlink"/>
            <w:sz w:val="20"/>
            <w:szCs w:val="20"/>
            <w:lang w:val="fr-CA"/>
          </w:rPr>
          <w:t>34800</w:t>
        </w:r>
      </w:hyperlink>
      <w:r w:rsidRPr="00754A71">
        <w:rPr>
          <w:sz w:val="20"/>
          <w:szCs w:val="20"/>
          <w:lang w:val="fr-CA"/>
        </w:rPr>
        <w:t>)</w:t>
      </w:r>
    </w:p>
    <w:p w:rsidR="00822540" w:rsidRPr="00822540" w:rsidRDefault="00822540" w:rsidP="00822540">
      <w:pPr>
        <w:jc w:val="both"/>
        <w:rPr>
          <w:b/>
          <w:sz w:val="20"/>
          <w:szCs w:val="20"/>
        </w:rPr>
      </w:pPr>
      <w:r w:rsidRPr="005A1E5C">
        <w:rPr>
          <w:b/>
          <w:sz w:val="20"/>
          <w:szCs w:val="20"/>
        </w:rPr>
        <w:t xml:space="preserve">Indexed as:  </w:t>
      </w:r>
      <w:r w:rsidRPr="00822540">
        <w:rPr>
          <w:rStyle w:val="SCCAppellantForIndexChar"/>
          <w:rFonts w:eastAsiaTheme="minorHAnsi"/>
          <w:sz w:val="20"/>
          <w:lang w:val="en-CA"/>
        </w:rPr>
        <w:t>Vivendi Canada Inc.</w:t>
      </w:r>
      <w:r w:rsidRPr="005A1E5C">
        <w:rPr>
          <w:b/>
          <w:sz w:val="20"/>
          <w:szCs w:val="20"/>
        </w:rPr>
        <w:t xml:space="preserve"> </w:t>
      </w:r>
      <w:r w:rsidRPr="005A1E5C">
        <w:rPr>
          <w:b/>
          <w:i/>
          <w:sz w:val="20"/>
          <w:szCs w:val="20"/>
        </w:rPr>
        <w:t>v.</w:t>
      </w:r>
      <w:r w:rsidRPr="005A1E5C">
        <w:rPr>
          <w:b/>
          <w:sz w:val="20"/>
          <w:szCs w:val="20"/>
        </w:rPr>
        <w:t xml:space="preserve"> </w:t>
      </w:r>
      <w:r w:rsidRPr="005A1E5C">
        <w:rPr>
          <w:rStyle w:val="SCCRespondentForIndexChar"/>
          <w:rFonts w:eastAsiaTheme="minorHAnsi"/>
          <w:sz w:val="20"/>
        </w:rPr>
        <w:t>Dell’Aniello</w:t>
      </w:r>
      <w:r>
        <w:rPr>
          <w:rStyle w:val="SCCRespondentForIndexChar"/>
          <w:rFonts w:eastAsiaTheme="minorHAnsi"/>
          <w:sz w:val="20"/>
        </w:rPr>
        <w:t xml:space="preserve"> / </w:t>
      </w:r>
      <w:r w:rsidRPr="00822540">
        <w:rPr>
          <w:b/>
          <w:sz w:val="20"/>
          <w:szCs w:val="20"/>
        </w:rPr>
        <w:t>Répertorié : </w:t>
      </w:r>
      <w:r w:rsidRPr="00822540">
        <w:rPr>
          <w:rStyle w:val="SCCAppellantForIndexChar"/>
          <w:rFonts w:eastAsiaTheme="minorHAnsi"/>
          <w:sz w:val="20"/>
          <w:lang w:val="en-CA"/>
        </w:rPr>
        <w:t>Vivendi Canada Inc.</w:t>
      </w:r>
      <w:r w:rsidRPr="00822540">
        <w:rPr>
          <w:b/>
          <w:sz w:val="20"/>
          <w:szCs w:val="20"/>
        </w:rPr>
        <w:t xml:space="preserve"> </w:t>
      </w:r>
      <w:r w:rsidRPr="00822540">
        <w:rPr>
          <w:b/>
          <w:i/>
          <w:sz w:val="20"/>
          <w:szCs w:val="20"/>
        </w:rPr>
        <w:t>c.</w:t>
      </w:r>
      <w:r w:rsidRPr="00822540">
        <w:rPr>
          <w:b/>
          <w:sz w:val="20"/>
          <w:szCs w:val="20"/>
        </w:rPr>
        <w:t xml:space="preserve"> </w:t>
      </w:r>
      <w:r w:rsidRPr="00822540">
        <w:rPr>
          <w:rStyle w:val="SCCRespondentForIndexChar"/>
          <w:rFonts w:eastAsiaTheme="minorHAnsi"/>
          <w:sz w:val="20"/>
        </w:rPr>
        <w:t>Dell’Aniello</w:t>
      </w:r>
    </w:p>
    <w:p w:rsidR="005C6840" w:rsidRPr="00822540" w:rsidRDefault="005C6840" w:rsidP="005C6840">
      <w:pPr>
        <w:pStyle w:val="SCCSystemYear"/>
        <w:jc w:val="both"/>
        <w:rPr>
          <w:sz w:val="20"/>
          <w:lang w:val="en-CA"/>
        </w:rPr>
      </w:pPr>
      <w:r w:rsidRPr="00822540">
        <w:rPr>
          <w:sz w:val="20"/>
          <w:lang w:val="en-CA"/>
        </w:rPr>
        <w:t>Neutral citation:  201</w:t>
      </w:r>
      <w:r w:rsidR="00050E05" w:rsidRPr="00822540">
        <w:rPr>
          <w:sz w:val="20"/>
          <w:lang w:val="en-CA"/>
        </w:rPr>
        <w:t>4</w:t>
      </w:r>
      <w:r w:rsidRPr="00822540">
        <w:rPr>
          <w:sz w:val="20"/>
          <w:lang w:val="en-CA"/>
        </w:rPr>
        <w:t xml:space="preserve"> SCC </w:t>
      </w:r>
      <w:r w:rsidR="007F387B" w:rsidRPr="00822540">
        <w:rPr>
          <w:sz w:val="20"/>
          <w:lang w:val="en-CA"/>
        </w:rPr>
        <w:t>1</w:t>
      </w:r>
      <w:r w:rsidRPr="00822540">
        <w:rPr>
          <w:sz w:val="20"/>
          <w:lang w:val="en-CA"/>
        </w:rPr>
        <w:t xml:space="preserve"> / Référence neutre : 201</w:t>
      </w:r>
      <w:r w:rsidR="00050E05" w:rsidRPr="00822540">
        <w:rPr>
          <w:sz w:val="20"/>
          <w:lang w:val="en-CA"/>
        </w:rPr>
        <w:t>4</w:t>
      </w:r>
      <w:r w:rsidRPr="00822540">
        <w:rPr>
          <w:sz w:val="20"/>
          <w:lang w:val="en-CA"/>
        </w:rPr>
        <w:t xml:space="preserve"> CSC </w:t>
      </w:r>
      <w:r w:rsidR="007F387B" w:rsidRPr="00822540">
        <w:rPr>
          <w:sz w:val="20"/>
          <w:lang w:val="en-CA"/>
        </w:rPr>
        <w:t>1</w:t>
      </w:r>
    </w:p>
    <w:p w:rsidR="005C6840" w:rsidRPr="00822540" w:rsidRDefault="005C6840" w:rsidP="005C6840">
      <w:pPr>
        <w:rPr>
          <w:rFonts w:cs="Times New Roman"/>
          <w:sz w:val="20"/>
          <w:szCs w:val="20"/>
        </w:rPr>
      </w:pPr>
      <w:r w:rsidRPr="00822540">
        <w:rPr>
          <w:rFonts w:cs="Times New Roman"/>
          <w:sz w:val="20"/>
          <w:szCs w:val="20"/>
        </w:rPr>
        <w:t xml:space="preserve">Hearing:  </w:t>
      </w:r>
      <w:r w:rsidR="00822540" w:rsidRPr="00822540">
        <w:rPr>
          <w:rFonts w:cs="Times New Roman"/>
          <w:sz w:val="20"/>
          <w:szCs w:val="20"/>
        </w:rPr>
        <w:t>April 24</w:t>
      </w:r>
      <w:r w:rsidRPr="00822540">
        <w:rPr>
          <w:rFonts w:cs="Times New Roman"/>
          <w:sz w:val="20"/>
          <w:szCs w:val="20"/>
        </w:rPr>
        <w:t>, 201</w:t>
      </w:r>
      <w:r w:rsidR="00822540" w:rsidRPr="00822540">
        <w:rPr>
          <w:rFonts w:cs="Times New Roman"/>
          <w:sz w:val="20"/>
          <w:szCs w:val="20"/>
        </w:rPr>
        <w:t>3</w:t>
      </w:r>
      <w:r w:rsidRPr="00822540">
        <w:rPr>
          <w:rFonts w:cs="Times New Roman"/>
          <w:sz w:val="20"/>
          <w:szCs w:val="20"/>
        </w:rPr>
        <w:t xml:space="preserve"> / Judgment:  </w:t>
      </w:r>
      <w:r w:rsidR="00050E05" w:rsidRPr="00822540">
        <w:rPr>
          <w:rFonts w:cs="Times New Roman"/>
          <w:sz w:val="20"/>
          <w:szCs w:val="20"/>
        </w:rPr>
        <w:t>Janua</w:t>
      </w:r>
      <w:r w:rsidRPr="00822540">
        <w:rPr>
          <w:rFonts w:cs="Times New Roman"/>
          <w:sz w:val="20"/>
          <w:szCs w:val="20"/>
        </w:rPr>
        <w:t>r</w:t>
      </w:r>
      <w:r w:rsidR="00050E05" w:rsidRPr="00822540">
        <w:rPr>
          <w:rFonts w:cs="Times New Roman"/>
          <w:sz w:val="20"/>
          <w:szCs w:val="20"/>
        </w:rPr>
        <w:t>y</w:t>
      </w:r>
      <w:r w:rsidRPr="00822540">
        <w:rPr>
          <w:rFonts w:cs="Times New Roman"/>
          <w:sz w:val="20"/>
          <w:szCs w:val="20"/>
        </w:rPr>
        <w:t xml:space="preserve"> </w:t>
      </w:r>
      <w:r w:rsidR="00050E05" w:rsidRPr="00822540">
        <w:rPr>
          <w:rFonts w:cs="Times New Roman"/>
          <w:sz w:val="20"/>
          <w:szCs w:val="20"/>
        </w:rPr>
        <w:t>16</w:t>
      </w:r>
      <w:r w:rsidRPr="00822540">
        <w:rPr>
          <w:rFonts w:cs="Times New Roman"/>
          <w:sz w:val="20"/>
          <w:szCs w:val="20"/>
        </w:rPr>
        <w:t>, 201</w:t>
      </w:r>
      <w:r w:rsidR="00050E05" w:rsidRPr="00822540">
        <w:rPr>
          <w:rFonts w:cs="Times New Roman"/>
          <w:sz w:val="20"/>
          <w:szCs w:val="20"/>
        </w:rPr>
        <w:t>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822540">
        <w:rPr>
          <w:rFonts w:cs="Times New Roman"/>
          <w:sz w:val="20"/>
          <w:szCs w:val="20"/>
          <w:lang w:val="fr-CA"/>
        </w:rPr>
        <w:t>24</w:t>
      </w:r>
      <w:r w:rsidRPr="003B3977">
        <w:rPr>
          <w:rFonts w:cs="Times New Roman"/>
          <w:sz w:val="20"/>
          <w:szCs w:val="20"/>
          <w:lang w:val="fr-CA"/>
        </w:rPr>
        <w:t xml:space="preserve"> </w:t>
      </w:r>
      <w:r w:rsidR="00822540">
        <w:rPr>
          <w:rFonts w:cs="Times New Roman"/>
          <w:sz w:val="20"/>
          <w:szCs w:val="20"/>
          <w:lang w:val="fr-CA"/>
        </w:rPr>
        <w:t>av</w:t>
      </w:r>
      <w:r w:rsidRPr="003B3977">
        <w:rPr>
          <w:rFonts w:cs="Times New Roman"/>
          <w:sz w:val="20"/>
          <w:szCs w:val="20"/>
          <w:lang w:val="fr-CA"/>
        </w:rPr>
        <w:t>r</w:t>
      </w:r>
      <w:r w:rsidR="00822540">
        <w:rPr>
          <w:rFonts w:cs="Times New Roman"/>
          <w:sz w:val="20"/>
          <w:szCs w:val="20"/>
          <w:lang w:val="fr-CA"/>
        </w:rPr>
        <w:t>il</w:t>
      </w:r>
      <w:r w:rsidRPr="003B3977">
        <w:rPr>
          <w:rFonts w:cs="Times New Roman"/>
          <w:sz w:val="20"/>
          <w:szCs w:val="20"/>
          <w:lang w:val="fr-CA"/>
        </w:rPr>
        <w:t xml:space="preserve"> 201</w:t>
      </w:r>
      <w:r w:rsidR="00822540">
        <w:rPr>
          <w:rFonts w:cs="Times New Roman"/>
          <w:sz w:val="20"/>
          <w:szCs w:val="20"/>
          <w:lang w:val="fr-CA"/>
        </w:rPr>
        <w:t>3</w:t>
      </w:r>
      <w:r w:rsidRPr="003B3977">
        <w:rPr>
          <w:rFonts w:cs="Times New Roman"/>
          <w:sz w:val="20"/>
          <w:szCs w:val="20"/>
          <w:lang w:val="fr-CA"/>
        </w:rPr>
        <w:t xml:space="preserve"> / Jugement : Le </w:t>
      </w:r>
      <w:r w:rsidR="00050E05">
        <w:rPr>
          <w:rFonts w:cs="Times New Roman"/>
          <w:sz w:val="20"/>
          <w:szCs w:val="20"/>
          <w:lang w:val="fr-CA"/>
        </w:rPr>
        <w:t>16 janvi</w:t>
      </w:r>
      <w:r w:rsidRPr="003B3977">
        <w:rPr>
          <w:rFonts w:cs="Times New Roman"/>
          <w:sz w:val="20"/>
          <w:szCs w:val="20"/>
          <w:lang w:val="fr-CA"/>
        </w:rPr>
        <w:t>e</w:t>
      </w:r>
      <w:r w:rsidR="00050E05">
        <w:rPr>
          <w:rFonts w:cs="Times New Roman"/>
          <w:sz w:val="20"/>
          <w:szCs w:val="20"/>
          <w:lang w:val="fr-CA"/>
        </w:rPr>
        <w:t>r</w:t>
      </w:r>
      <w:r w:rsidRPr="003B3977">
        <w:rPr>
          <w:rFonts w:cs="Times New Roman"/>
          <w:sz w:val="20"/>
          <w:szCs w:val="20"/>
          <w:lang w:val="fr-CA"/>
        </w:rPr>
        <w:t xml:space="preserve"> 201</w:t>
      </w:r>
      <w:r w:rsidR="00050E05">
        <w:rPr>
          <w:rFonts w:cs="Times New Roman"/>
          <w:sz w:val="20"/>
          <w:szCs w:val="20"/>
          <w:lang w:val="fr-CA"/>
        </w:rPr>
        <w:t>4</w:t>
      </w:r>
    </w:p>
    <w:p w:rsidR="005C6840" w:rsidRPr="003B3977" w:rsidRDefault="001B62D0" w:rsidP="005C6840">
      <w:pPr>
        <w:rPr>
          <w:rFonts w:cs="Times New Roman"/>
          <w:sz w:val="20"/>
          <w:szCs w:val="20"/>
          <w:lang w:val="fr-CA"/>
        </w:rPr>
      </w:pPr>
      <w:r>
        <w:rPr>
          <w:rFonts w:cs="Times New Roman"/>
          <w:i/>
          <w:sz w:val="20"/>
          <w:szCs w:val="20"/>
        </w:rPr>
        <w:pict>
          <v:rect id="_x0000_i107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822540" w:rsidRPr="006919A1" w:rsidRDefault="00822540" w:rsidP="00822540">
      <w:pPr>
        <w:jc w:val="both"/>
        <w:rPr>
          <w:sz w:val="20"/>
          <w:szCs w:val="20"/>
          <w:lang w:val="fr-CA"/>
        </w:rPr>
      </w:pPr>
      <w:r w:rsidRPr="006919A1">
        <w:rPr>
          <w:sz w:val="20"/>
          <w:szCs w:val="20"/>
          <w:lang w:val="fr-CA"/>
        </w:rPr>
        <w:t>Présents : Les juges LeBel, Abella, Rothstein, Cromwell, Moldaver, Karakatsanis et Wagner.</w:t>
      </w:r>
    </w:p>
    <w:p w:rsidR="00822540" w:rsidRDefault="00822540" w:rsidP="00822540">
      <w:pPr>
        <w:jc w:val="both"/>
        <w:rPr>
          <w:smallCaps/>
          <w:sz w:val="20"/>
          <w:lang w:val="fr-CA"/>
        </w:rPr>
      </w:pPr>
    </w:p>
    <w:p w:rsidR="00822540" w:rsidRPr="006919A1" w:rsidRDefault="00822540" w:rsidP="00822540">
      <w:pPr>
        <w:pStyle w:val="SCCNormalDoubleSpacing"/>
        <w:spacing w:line="240" w:lineRule="auto"/>
        <w:rPr>
          <w:i/>
          <w:sz w:val="20"/>
          <w:lang w:val="fr-CA"/>
        </w:rPr>
      </w:pPr>
      <w:r w:rsidRPr="006919A1">
        <w:rPr>
          <w:sz w:val="20"/>
          <w:lang w:val="fr-CA"/>
        </w:rPr>
        <w:tab/>
      </w:r>
      <w:r w:rsidRPr="006919A1">
        <w:rPr>
          <w:i/>
          <w:sz w:val="20"/>
          <w:lang w:val="fr-CA"/>
        </w:rPr>
        <w:t>Procédure civile — Recours collectifs — Conditions d’ouverture du recours — Questions de droit ou de fait identiques, similaires ou connexes  — Principe de la proportionnalité — Demande d’autorisation d’exercer un recours collectif au nom de l’ensemble des bénéficiaires d’un régime</w:t>
      </w:r>
      <w:r w:rsidRPr="006919A1">
        <w:rPr>
          <w:sz w:val="20"/>
          <w:lang w:val="fr-FR"/>
        </w:rPr>
        <w:t xml:space="preserve"> </w:t>
      </w:r>
      <w:r w:rsidRPr="006919A1">
        <w:rPr>
          <w:i/>
          <w:sz w:val="20"/>
          <w:lang w:val="fr-FR"/>
        </w:rPr>
        <w:t xml:space="preserve">privé </w:t>
      </w:r>
      <w:r w:rsidRPr="006919A1">
        <w:rPr>
          <w:i/>
          <w:sz w:val="20"/>
          <w:lang w:val="fr-CA"/>
        </w:rPr>
        <w:t>d’assurance</w:t>
      </w:r>
      <w:r w:rsidRPr="006919A1">
        <w:rPr>
          <w:i/>
          <w:sz w:val="20"/>
          <w:lang w:val="fr-CA"/>
        </w:rPr>
        <w:noBreakHyphen/>
        <w:t>maladie pour attaquer la validité d’une modification unilatérale apportée par l’employeur au régime et pour recouvrer les dommages découlant de cette modification — Les réclamations de l’ensemble des membres du groupe proposé soulèvent</w:t>
      </w:r>
      <w:r w:rsidRPr="006919A1">
        <w:rPr>
          <w:i/>
          <w:sz w:val="20"/>
          <w:lang w:val="fr-CA"/>
        </w:rPr>
        <w:noBreakHyphen/>
        <w:t>elles une question commune qui puisse faire progresser le règlement du litige? — Le critère de la communauté de questions exige</w:t>
      </w:r>
      <w:r w:rsidRPr="006919A1">
        <w:rPr>
          <w:i/>
          <w:sz w:val="20"/>
          <w:lang w:val="fr-CA"/>
        </w:rPr>
        <w:noBreakHyphen/>
        <w:t>t</w:t>
      </w:r>
      <w:r w:rsidRPr="006919A1">
        <w:rPr>
          <w:i/>
          <w:sz w:val="20"/>
          <w:lang w:val="fr-CA"/>
        </w:rPr>
        <w:noBreakHyphen/>
        <w:t>il une réponse commune pour tous les membres du groupe? — Le juge d’autorisation peut</w:t>
      </w:r>
      <w:r w:rsidRPr="006919A1">
        <w:rPr>
          <w:i/>
          <w:sz w:val="20"/>
          <w:lang w:val="fr-CA"/>
        </w:rPr>
        <w:noBreakHyphen/>
        <w:t>il, au nom du principe de la proportionnalité, refuser d’autoriser un recours collectif qui respecterait par ailleurs les quatre critères établis par le législateur? — Code de procédure civile, L.R.Q., ch. C</w:t>
      </w:r>
      <w:r w:rsidRPr="006919A1">
        <w:rPr>
          <w:rFonts w:eastAsia="MS Mincho" w:hint="eastAsia"/>
          <w:i/>
          <w:sz w:val="20"/>
          <w:lang w:val="fr-CA"/>
        </w:rPr>
        <w:t>‑</w:t>
      </w:r>
      <w:r w:rsidRPr="006919A1">
        <w:rPr>
          <w:i/>
          <w:sz w:val="20"/>
          <w:lang w:val="fr-CA"/>
        </w:rPr>
        <w:t>25, art. 4.2, 1003a).</w:t>
      </w:r>
    </w:p>
    <w:p w:rsidR="00822540" w:rsidRDefault="00822540" w:rsidP="00822540">
      <w:pPr>
        <w:pStyle w:val="SCCNormalDoubleSpacing"/>
        <w:spacing w:line="240" w:lineRule="auto"/>
        <w:rPr>
          <w:sz w:val="20"/>
          <w:lang w:val="fr-CA"/>
        </w:rPr>
      </w:pPr>
    </w:p>
    <w:p w:rsidR="00822540" w:rsidRPr="006919A1" w:rsidRDefault="00822540" w:rsidP="00822540">
      <w:pPr>
        <w:pStyle w:val="SCCNormalDoubleSpacing"/>
        <w:spacing w:line="240" w:lineRule="auto"/>
        <w:rPr>
          <w:sz w:val="20"/>
          <w:lang w:val="fr-CA"/>
        </w:rPr>
      </w:pPr>
      <w:r w:rsidRPr="006919A1">
        <w:rPr>
          <w:sz w:val="20"/>
          <w:lang w:val="fr-CA"/>
        </w:rPr>
        <w:tab/>
        <w:t>Le litige résulte d’une modification unilatérale apportée par V au régime d’assurance</w:t>
      </w:r>
      <w:r w:rsidRPr="006919A1">
        <w:rPr>
          <w:sz w:val="20"/>
          <w:lang w:val="fr-CA"/>
        </w:rPr>
        <w:noBreakHyphen/>
        <w:t>maladie (« Régime ») dont elle est le promoteur pour ses retraités et leurs conjoints survivants.  D a déposé au nom de l’ensemble des bénéficiaires du Régime une requête en autorisation d’exercer un recours collectif pour attaquer la validité de cette modification.  La Cour supérieure a rejeté la requête, au motif que les réclamations de l’ensemble des membres du groupe proposé ne soulevaient pas de questions identiques, similaires ou connexes, compte tenu des règles différentes régissant le droit de chacun des membres aux prestations d’assurance.  La Cour d’appel a conclu que le juge d’autorisation avait fait erreur dans son appréciation du critère énoncé à l’al. 1003</w:t>
      </w:r>
      <w:r w:rsidRPr="006919A1">
        <w:rPr>
          <w:i/>
          <w:sz w:val="20"/>
          <w:lang w:val="fr-CA"/>
        </w:rPr>
        <w:t>a</w:t>
      </w:r>
      <w:r w:rsidRPr="006919A1">
        <w:rPr>
          <w:sz w:val="20"/>
          <w:lang w:val="fr-CA"/>
        </w:rPr>
        <w:t xml:space="preserve">) du </w:t>
      </w:r>
      <w:r w:rsidRPr="006919A1">
        <w:rPr>
          <w:i/>
          <w:sz w:val="20"/>
          <w:lang w:val="fr-CA"/>
        </w:rPr>
        <w:t>Code de procédure civile</w:t>
      </w:r>
      <w:r w:rsidRPr="006919A1">
        <w:rPr>
          <w:sz w:val="20"/>
          <w:lang w:val="fr-CA"/>
        </w:rPr>
        <w:t xml:space="preserve"> (« </w:t>
      </w:r>
      <w:r w:rsidRPr="006919A1">
        <w:rPr>
          <w:i/>
          <w:sz w:val="20"/>
          <w:lang w:val="fr-CA"/>
        </w:rPr>
        <w:t>C.p.c. </w:t>
      </w:r>
      <w:r w:rsidRPr="006919A1">
        <w:rPr>
          <w:sz w:val="20"/>
          <w:lang w:val="fr-CA"/>
        </w:rPr>
        <w:t>») et qu’il existe une question commune aux réclamations de l’ensemble des membres du groupe.</w:t>
      </w:r>
    </w:p>
    <w:p w:rsidR="00822540" w:rsidRDefault="00822540" w:rsidP="00822540">
      <w:pPr>
        <w:pStyle w:val="SCCNormalDoubleSpacing"/>
        <w:spacing w:line="240" w:lineRule="auto"/>
        <w:rPr>
          <w:sz w:val="20"/>
          <w:lang w:val="fr-CA"/>
        </w:rPr>
      </w:pPr>
    </w:p>
    <w:p w:rsidR="00822540" w:rsidRPr="006919A1" w:rsidRDefault="00822540" w:rsidP="00822540">
      <w:pPr>
        <w:pStyle w:val="SCCNormalDoubleSpacing"/>
        <w:spacing w:line="240" w:lineRule="auto"/>
        <w:rPr>
          <w:sz w:val="20"/>
          <w:lang w:val="fr-CA"/>
        </w:rPr>
      </w:pPr>
      <w:r w:rsidRPr="006919A1">
        <w:rPr>
          <w:sz w:val="20"/>
          <w:lang w:val="fr-CA"/>
        </w:rPr>
        <w:tab/>
      </w:r>
      <w:r w:rsidRPr="006919A1">
        <w:rPr>
          <w:i/>
          <w:sz w:val="20"/>
          <w:lang w:val="fr-CA"/>
        </w:rPr>
        <w:t>Arrêt :</w:t>
      </w:r>
      <w:r w:rsidRPr="006919A1">
        <w:rPr>
          <w:sz w:val="20"/>
          <w:lang w:val="fr-CA"/>
        </w:rPr>
        <w:t xml:space="preserve"> Le pourvoi est rejeté.</w:t>
      </w:r>
    </w:p>
    <w:p w:rsidR="00822540" w:rsidRDefault="00822540" w:rsidP="00822540">
      <w:pPr>
        <w:pStyle w:val="SCCNormalDoubleSpacing"/>
        <w:spacing w:line="240" w:lineRule="auto"/>
        <w:rPr>
          <w:sz w:val="20"/>
          <w:lang w:val="fr-CA"/>
        </w:rPr>
      </w:pPr>
    </w:p>
    <w:p w:rsidR="00822540" w:rsidRPr="006919A1" w:rsidRDefault="00822540" w:rsidP="00822540">
      <w:pPr>
        <w:pStyle w:val="SCCNormalDoubleSpacing"/>
        <w:spacing w:line="240" w:lineRule="auto"/>
        <w:rPr>
          <w:sz w:val="20"/>
          <w:lang w:val="fr-CA"/>
        </w:rPr>
      </w:pPr>
      <w:r w:rsidRPr="006919A1">
        <w:rPr>
          <w:sz w:val="20"/>
          <w:lang w:val="fr-CA"/>
        </w:rPr>
        <w:tab/>
        <w:t>L’alinéa 1003</w:t>
      </w:r>
      <w:r w:rsidRPr="006919A1">
        <w:rPr>
          <w:i/>
          <w:sz w:val="20"/>
          <w:lang w:val="fr-CA"/>
        </w:rPr>
        <w:t>a</w:t>
      </w:r>
      <w:r w:rsidRPr="006919A1">
        <w:rPr>
          <w:sz w:val="20"/>
          <w:lang w:val="fr-CA"/>
        </w:rPr>
        <w:t xml:space="preserve">) </w:t>
      </w:r>
      <w:r w:rsidRPr="006919A1">
        <w:rPr>
          <w:i/>
          <w:sz w:val="20"/>
          <w:lang w:val="fr-CA"/>
        </w:rPr>
        <w:t>C.p.c.</w:t>
      </w:r>
      <w:r w:rsidRPr="006919A1">
        <w:rPr>
          <w:sz w:val="20"/>
          <w:lang w:val="fr-CA"/>
        </w:rPr>
        <w:t xml:space="preserve"> précise qu’un recours collectif ne peut être autorisé que si le tribunal conclut que « les recours des membres soulèvent des questions de droit ou de fait identiques, similaires ou connexes ».  Ce critère de la communauté de questions est requis non seulement par le droit québécois, mais aussi par celui de toutes les provinces de common law canadiennes.  Le libellé de l’al. 1003</w:t>
      </w:r>
      <w:r w:rsidRPr="006919A1">
        <w:rPr>
          <w:i/>
          <w:sz w:val="20"/>
          <w:lang w:val="fr-CA"/>
        </w:rPr>
        <w:t>a</w:t>
      </w:r>
      <w:r w:rsidRPr="006919A1">
        <w:rPr>
          <w:sz w:val="20"/>
          <w:lang w:val="fr-CA"/>
        </w:rPr>
        <w:t>) décrit toutefois ce critère en termes plus larges et plus flexibles que les lois des autres provinces qui ont légiféré en matière de recours collectifs.  Pour satisfaire au critère de la communauté de questions de l’al. 1003</w:t>
      </w:r>
      <w:r w:rsidRPr="006919A1">
        <w:rPr>
          <w:i/>
          <w:sz w:val="20"/>
          <w:lang w:val="fr-CA"/>
        </w:rPr>
        <w:t>a</w:t>
      </w:r>
      <w:r w:rsidRPr="006919A1">
        <w:rPr>
          <w:sz w:val="20"/>
          <w:lang w:val="fr-CA"/>
        </w:rPr>
        <w:t xml:space="preserve">) </w:t>
      </w:r>
      <w:r w:rsidRPr="006919A1">
        <w:rPr>
          <w:i/>
          <w:sz w:val="20"/>
          <w:lang w:val="fr-CA"/>
        </w:rPr>
        <w:t>C.p.c.</w:t>
      </w:r>
      <w:r w:rsidRPr="006919A1">
        <w:rPr>
          <w:sz w:val="20"/>
          <w:lang w:val="fr-CA"/>
        </w:rPr>
        <w:t>, le requérant doit démontrer qu’un aspect du litige se prête à une décision collective et, qu’une fois cet aspect décidé, les parties auront réglé une part non négligeable du litige.  Ainsi, la seule présence d’une question de droit ou de fait identique, connexe ou similaire suffit pour satisfaire au critère énoncé à l’al. 1003</w:t>
      </w:r>
      <w:r w:rsidRPr="006919A1">
        <w:rPr>
          <w:i/>
          <w:sz w:val="20"/>
          <w:lang w:val="fr-CA"/>
        </w:rPr>
        <w:t>a</w:t>
      </w:r>
      <w:r w:rsidRPr="006919A1">
        <w:rPr>
          <w:sz w:val="20"/>
          <w:lang w:val="fr-CA"/>
        </w:rPr>
        <w:t>) sauf si cette question ne joue qu’un rôle négligeable quant au sort du recours.  Il n’est pas requis que la question permette une résolution complète du litige.  Les questions communes n’appellent pas nécessairement des réponses communes.  Au stade de l’autorisation, la procédure civile québécoise retient une conception souple du critère de la communauté de questions.  En conséquence, le critère de l’al. 1003</w:t>
      </w:r>
      <w:r w:rsidRPr="006919A1">
        <w:rPr>
          <w:i/>
          <w:sz w:val="20"/>
          <w:lang w:val="fr-CA"/>
        </w:rPr>
        <w:t>a</w:t>
      </w:r>
      <w:r w:rsidRPr="006919A1">
        <w:rPr>
          <w:sz w:val="20"/>
          <w:lang w:val="fr-CA"/>
        </w:rPr>
        <w:t>) peut être respecté même si des réponses nuancées doivent être apportées, pour les divers membres du groupe, aux questions communes soulevées par le recours collectif.</w:t>
      </w:r>
    </w:p>
    <w:p w:rsidR="00822540" w:rsidRDefault="00822540" w:rsidP="00822540">
      <w:pPr>
        <w:pStyle w:val="SCCNormalDoubleSpacing"/>
        <w:spacing w:line="240" w:lineRule="auto"/>
        <w:rPr>
          <w:sz w:val="20"/>
          <w:lang w:val="fr-CA"/>
        </w:rPr>
      </w:pPr>
    </w:p>
    <w:p w:rsidR="00822540" w:rsidRPr="006919A1" w:rsidRDefault="00822540" w:rsidP="00822540">
      <w:pPr>
        <w:pStyle w:val="SCCNormalDoubleSpacing"/>
        <w:spacing w:line="240" w:lineRule="auto"/>
        <w:rPr>
          <w:sz w:val="20"/>
          <w:lang w:val="fr-CA"/>
        </w:rPr>
      </w:pPr>
      <w:r w:rsidRPr="006919A1">
        <w:rPr>
          <w:sz w:val="20"/>
          <w:lang w:val="fr-CA"/>
        </w:rPr>
        <w:tab/>
        <w:t>Le fait que des membres du groupe demeurent dans différentes provinces canadiennes ne devrait pas empêcher le tribunal d’autoriser l’exercice du recours collectif, compte tenu qu’il peut recevoir la preuve du droit applicable dans les provinces de common law ou en prendre connaissance d’office.  Seules des divergences substantielles entre les différents régimes juridiques applicables feraient perdre au recours sa dimension collective.</w:t>
      </w:r>
    </w:p>
    <w:p w:rsidR="00822540" w:rsidRDefault="00822540" w:rsidP="00822540">
      <w:pPr>
        <w:pStyle w:val="SCCNormalDoubleSpacing"/>
        <w:spacing w:line="240" w:lineRule="auto"/>
        <w:rPr>
          <w:sz w:val="20"/>
          <w:lang w:val="fr-CA"/>
        </w:rPr>
      </w:pPr>
    </w:p>
    <w:p w:rsidR="00822540" w:rsidRPr="006919A1" w:rsidRDefault="00822540" w:rsidP="00822540">
      <w:pPr>
        <w:pStyle w:val="SCCNormalDoubleSpacing"/>
        <w:spacing w:line="240" w:lineRule="auto"/>
        <w:rPr>
          <w:sz w:val="20"/>
          <w:lang w:val="fr-CA"/>
        </w:rPr>
      </w:pPr>
      <w:r w:rsidRPr="006919A1">
        <w:rPr>
          <w:sz w:val="20"/>
          <w:lang w:val="fr-CA"/>
        </w:rPr>
        <w:tab/>
        <w:t xml:space="preserve">En outre, l’art. 1003 est clair : lorsque le juge d’autorisation est d’avis que les quatre critères sont respectés, il doit autoriser le recours collectif.  Il n’a pas à se demander si le recours collectif est le véhicule procédural le plus </w:t>
      </w:r>
      <w:r w:rsidRPr="006919A1">
        <w:rPr>
          <w:sz w:val="20"/>
          <w:lang w:val="fr-CA"/>
        </w:rPr>
        <w:lastRenderedPageBreak/>
        <w:t xml:space="preserve">adéquat.  Le principe de la proportionnalité énoncé à l’art. 4.2 </w:t>
      </w:r>
      <w:r w:rsidRPr="006919A1">
        <w:rPr>
          <w:i/>
          <w:sz w:val="20"/>
          <w:lang w:val="fr-CA"/>
        </w:rPr>
        <w:t>C.p.c.</w:t>
      </w:r>
      <w:r w:rsidRPr="006919A1">
        <w:rPr>
          <w:sz w:val="20"/>
          <w:lang w:val="fr-CA"/>
        </w:rPr>
        <w:t xml:space="preserve"> a pour effet de renforcer le pouvoir d’appréciation déjà reconnu au juge dans l’examen de chacun des quatre critères prévus à l’art. 1003 </w:t>
      </w:r>
      <w:r w:rsidRPr="006919A1">
        <w:rPr>
          <w:i/>
          <w:sz w:val="20"/>
          <w:lang w:val="fr-CA"/>
        </w:rPr>
        <w:t>C.p.c.</w:t>
      </w:r>
      <w:r w:rsidRPr="006919A1">
        <w:rPr>
          <w:sz w:val="20"/>
          <w:lang w:val="fr-CA"/>
        </w:rPr>
        <w:t xml:space="preserve"> Toutefois, le juge d’autorisation ne peut pas, au nom du principe de la proportionnalité, refuser d’autoriser un recours qui respecterait par ailleurs les critères établis.  La proportionnalité du recours collectif ne constitue pas un cinquième critère indépendant.</w:t>
      </w:r>
    </w:p>
    <w:p w:rsidR="00822540" w:rsidRDefault="00822540" w:rsidP="00822540">
      <w:pPr>
        <w:pStyle w:val="SCCNormalDoubleSpacing"/>
        <w:spacing w:line="240" w:lineRule="auto"/>
        <w:rPr>
          <w:sz w:val="20"/>
          <w:lang w:val="fr-CA"/>
        </w:rPr>
      </w:pPr>
    </w:p>
    <w:p w:rsidR="00822540" w:rsidRPr="006919A1" w:rsidRDefault="00822540" w:rsidP="00822540">
      <w:pPr>
        <w:pStyle w:val="SCCNormalDoubleSpacing"/>
        <w:spacing w:line="240" w:lineRule="auto"/>
        <w:rPr>
          <w:sz w:val="20"/>
          <w:lang w:val="fr-CA"/>
        </w:rPr>
      </w:pPr>
      <w:r w:rsidRPr="006919A1">
        <w:rPr>
          <w:sz w:val="20"/>
          <w:lang w:val="fr-CA"/>
        </w:rPr>
        <w:tab/>
        <w:t>En l’espèce, le juge d’autorisation a commis deux erreurs dans son appréciation du critère énoncé à l’al. 1003</w:t>
      </w:r>
      <w:r w:rsidRPr="006919A1">
        <w:rPr>
          <w:i/>
          <w:sz w:val="20"/>
          <w:lang w:val="fr-CA"/>
        </w:rPr>
        <w:t>a</w:t>
      </w:r>
      <w:r w:rsidRPr="006919A1">
        <w:rPr>
          <w:sz w:val="20"/>
          <w:lang w:val="fr-CA"/>
        </w:rPr>
        <w:t xml:space="preserve">) </w:t>
      </w:r>
      <w:r w:rsidRPr="006919A1">
        <w:rPr>
          <w:i/>
          <w:sz w:val="20"/>
          <w:lang w:val="fr-CA"/>
        </w:rPr>
        <w:t>C.p.c. :</w:t>
      </w:r>
      <w:r w:rsidRPr="006919A1">
        <w:rPr>
          <w:sz w:val="20"/>
          <w:lang w:val="fr-CA"/>
        </w:rPr>
        <w:t xml:space="preserve"> d’une part, il s’est prononcé sur le fond du litige en statuant que les droits de certains membres du groupe à des prestations d’assurance ne s’étaient pas cristallisés, outrepassant ainsi la fonction de filtrage des requêtes à laquelle il devait se limiter; d’autre part, il a adopté une méthodologie erronée en cherchant des réponses communes au lieu de se limiter à cerner une ou plusieurs questions communes aux réclamations de l’ensemble des membres du groupe proposé.  En conséquence, notre Cour, à l’instar de la Cour d’appel, se doit de reprendre l’analyse requise par l’al. 1003</w:t>
      </w:r>
      <w:r w:rsidRPr="006919A1">
        <w:rPr>
          <w:i/>
          <w:sz w:val="20"/>
          <w:lang w:val="fr-CA"/>
        </w:rPr>
        <w:t>a</w:t>
      </w:r>
      <w:r w:rsidRPr="006919A1">
        <w:rPr>
          <w:sz w:val="20"/>
          <w:lang w:val="fr-CA"/>
        </w:rPr>
        <w:t>) selon les principes applicables.  La principale question que soulève la requête en autorisation d’exercer un recours collectif présentée par D est la validité ou la légalité des modifications apportées au Régime en 2009.  Ces modifications ont eu pour effet de réduire, à compter du 1er janvier 2009, certains avantages promis aux retraités et aux conjoints survivants.  Comme les réclamations de chacun des membres du groupe sont basées sur le Régime, la question de la validité ou de la légalité des modifications de 2009 se pose à l’égard de tous les membres du groupe.  La réponse à cette question permettra de faire progresser le règlement de l’ensemble des réclamations.  Ces divers éléments indiquent donc la présence d’une question commune.  L’existence de sous</w:t>
      </w:r>
      <w:r w:rsidRPr="006919A1">
        <w:rPr>
          <w:sz w:val="20"/>
          <w:lang w:val="fr-CA"/>
        </w:rPr>
        <w:noBreakHyphen/>
        <w:t>groupes à l’intérieur du groupe proposé ne constitue pas à elle seule un motif suffisant pour refuser l’autorisation d’exercer un recours collectif.  Les circonstances des divers membres du groupe peuvent varier, pourvu qu’il n’existe pas de conflit d’intérêts entre ceux</w:t>
      </w:r>
      <w:r w:rsidRPr="006919A1">
        <w:rPr>
          <w:sz w:val="20"/>
          <w:lang w:val="fr-CA"/>
        </w:rPr>
        <w:noBreakHyphen/>
        <w:t>ci.</w:t>
      </w:r>
    </w:p>
    <w:p w:rsidR="00822540" w:rsidRDefault="00822540" w:rsidP="00822540">
      <w:pPr>
        <w:pStyle w:val="SCCNormalDoubleSpacing"/>
        <w:spacing w:line="240" w:lineRule="auto"/>
        <w:rPr>
          <w:sz w:val="20"/>
          <w:lang w:val="fr-CA"/>
        </w:rPr>
      </w:pPr>
    </w:p>
    <w:p w:rsidR="00822540" w:rsidRDefault="00822540" w:rsidP="00822540">
      <w:pPr>
        <w:pStyle w:val="SCCNormalDoubleSpacing"/>
        <w:spacing w:line="240" w:lineRule="auto"/>
        <w:rPr>
          <w:sz w:val="20"/>
          <w:lang w:val="fr-CA"/>
        </w:rPr>
      </w:pPr>
      <w:r w:rsidRPr="006919A1">
        <w:rPr>
          <w:sz w:val="20"/>
          <w:lang w:val="fr-CA"/>
        </w:rPr>
        <w:tab/>
        <w:t>La validité ou la légalité des modifications de 2009 ainsi que les autres questions formulées par D dans sa requête en autorisation d’exercer un recours collectif constituent des questions visées à l’al. 1003</w:t>
      </w:r>
      <w:r w:rsidRPr="006919A1">
        <w:rPr>
          <w:i/>
          <w:sz w:val="20"/>
          <w:lang w:val="fr-CA"/>
        </w:rPr>
        <w:t>a</w:t>
      </w:r>
      <w:r w:rsidRPr="006919A1">
        <w:rPr>
          <w:sz w:val="20"/>
          <w:lang w:val="fr-CA"/>
        </w:rPr>
        <w:t xml:space="preserve">) </w:t>
      </w:r>
      <w:r w:rsidRPr="006919A1">
        <w:rPr>
          <w:i/>
          <w:sz w:val="20"/>
          <w:lang w:val="fr-CA"/>
        </w:rPr>
        <w:t>C.p.c.</w:t>
      </w:r>
      <w:r w:rsidRPr="006919A1">
        <w:rPr>
          <w:sz w:val="20"/>
          <w:lang w:val="fr-CA"/>
        </w:rPr>
        <w:t xml:space="preserve"> Puisque V a admis que les conditions fixées aux al. </w:t>
      </w:r>
      <w:r w:rsidRPr="006919A1">
        <w:rPr>
          <w:i/>
          <w:sz w:val="20"/>
          <w:lang w:val="fr-CA"/>
        </w:rPr>
        <w:t>c</w:t>
      </w:r>
      <w:r w:rsidRPr="006919A1">
        <w:rPr>
          <w:sz w:val="20"/>
          <w:lang w:val="fr-CA"/>
        </w:rPr>
        <w:t xml:space="preserve">) et </w:t>
      </w:r>
      <w:r w:rsidRPr="006919A1">
        <w:rPr>
          <w:i/>
          <w:sz w:val="20"/>
          <w:lang w:val="fr-CA"/>
        </w:rPr>
        <w:t>d</w:t>
      </w:r>
      <w:r w:rsidRPr="006919A1">
        <w:rPr>
          <w:sz w:val="20"/>
          <w:lang w:val="fr-CA"/>
        </w:rPr>
        <w:t>) sont remplies et n’a pas contesté la décision de la Cour d’appel concluant au respect de celle prévue à l’al. </w:t>
      </w:r>
      <w:r w:rsidRPr="006919A1">
        <w:rPr>
          <w:i/>
          <w:sz w:val="20"/>
          <w:lang w:val="fr-CA"/>
        </w:rPr>
        <w:t>b</w:t>
      </w:r>
      <w:r w:rsidRPr="006919A1">
        <w:rPr>
          <w:sz w:val="20"/>
          <w:lang w:val="fr-CA"/>
        </w:rPr>
        <w:t xml:space="preserve">), tous les critères énoncés à l’art. 1003 </w:t>
      </w:r>
      <w:r w:rsidRPr="006919A1">
        <w:rPr>
          <w:i/>
          <w:sz w:val="20"/>
          <w:lang w:val="fr-CA"/>
        </w:rPr>
        <w:t>C.p.c.</w:t>
      </w:r>
      <w:r w:rsidRPr="006919A1">
        <w:rPr>
          <w:sz w:val="20"/>
          <w:lang w:val="fr-CA"/>
        </w:rPr>
        <w:t xml:space="preserve"> sont donc respectés. </w:t>
      </w:r>
    </w:p>
    <w:p w:rsidR="00822540" w:rsidRDefault="00822540" w:rsidP="00822540">
      <w:pPr>
        <w:pStyle w:val="SCCNormalDoubleSpacing"/>
        <w:spacing w:line="240" w:lineRule="auto"/>
        <w:rPr>
          <w:sz w:val="20"/>
          <w:lang w:val="fr-CA"/>
        </w:rPr>
      </w:pPr>
    </w:p>
    <w:p w:rsidR="00822540" w:rsidRPr="006919A1" w:rsidRDefault="00822540" w:rsidP="00822540">
      <w:pPr>
        <w:pStyle w:val="SCCNormalDoubleSpacing"/>
        <w:spacing w:line="240" w:lineRule="auto"/>
        <w:rPr>
          <w:sz w:val="20"/>
          <w:lang w:val="fr-CA"/>
        </w:rPr>
      </w:pPr>
      <w:r w:rsidRPr="006919A1">
        <w:rPr>
          <w:sz w:val="20"/>
          <w:lang w:val="fr-CA"/>
        </w:rPr>
        <w:tab/>
        <w:t>POURVOI contre un arrêt de la Cour d’appel du Québec (les juges Chamberland, Rochon et Léger), 2012 QCCA 384, 95 C.C.P.B 165, [2012] J.Q. n</w:t>
      </w:r>
      <w:r w:rsidRPr="006919A1">
        <w:rPr>
          <w:sz w:val="20"/>
          <w:vertAlign w:val="superscript"/>
          <w:lang w:val="fr-CA"/>
        </w:rPr>
        <w:t>o</w:t>
      </w:r>
      <w:r w:rsidRPr="006919A1">
        <w:rPr>
          <w:sz w:val="20"/>
          <w:lang w:val="fr-CA"/>
        </w:rPr>
        <w:t xml:space="preserve"> 1611 (QL), 2012 CarswellQue 1613, SOQUIJ AZ</w:t>
      </w:r>
      <w:r w:rsidRPr="006919A1">
        <w:rPr>
          <w:sz w:val="20"/>
          <w:lang w:val="fr-CA"/>
        </w:rPr>
        <w:noBreakHyphen/>
        <w:t>50834969, qui a infirmé une décision du juge Mayer, 2010 QCCS 3416, 83 C.C.P.B. 22, [2010] J.Q. n</w:t>
      </w:r>
      <w:r w:rsidRPr="006919A1">
        <w:rPr>
          <w:sz w:val="20"/>
          <w:vertAlign w:val="superscript"/>
          <w:lang w:val="fr-CA"/>
        </w:rPr>
        <w:t>o</w:t>
      </w:r>
      <w:r w:rsidRPr="006919A1">
        <w:rPr>
          <w:sz w:val="20"/>
          <w:lang w:val="fr-CA"/>
        </w:rPr>
        <w:t xml:space="preserve"> 7459 (QL), 2010 CarswellQue 7870, SOQUIJ AZ</w:t>
      </w:r>
      <w:r w:rsidRPr="006919A1">
        <w:rPr>
          <w:sz w:val="20"/>
          <w:lang w:val="fr-CA"/>
        </w:rPr>
        <w:noBreakHyphen/>
        <w:t>50662009.  Pourvoi rejeté.</w:t>
      </w:r>
    </w:p>
    <w:p w:rsidR="00822540" w:rsidRDefault="00822540" w:rsidP="00822540">
      <w:pPr>
        <w:pStyle w:val="SCCNormalDoubleSpacing"/>
        <w:spacing w:line="240" w:lineRule="auto"/>
        <w:rPr>
          <w:rStyle w:val="SCCCounselNameChar"/>
          <w:sz w:val="20"/>
          <w:lang w:val="fr-CA"/>
        </w:rPr>
      </w:pPr>
    </w:p>
    <w:p w:rsidR="00822540" w:rsidRPr="006919A1" w:rsidRDefault="00822540" w:rsidP="00822540">
      <w:pPr>
        <w:pStyle w:val="SCCNormalDoubleSpacing"/>
        <w:spacing w:line="240" w:lineRule="auto"/>
        <w:rPr>
          <w:sz w:val="20"/>
          <w:lang w:val="fr-CA"/>
        </w:rPr>
      </w:pPr>
      <w:r w:rsidRPr="006919A1">
        <w:rPr>
          <w:rStyle w:val="SCCCounselNameChar"/>
          <w:sz w:val="20"/>
          <w:lang w:val="fr-CA"/>
        </w:rPr>
        <w:tab/>
        <w:t>Sylvain Lussier,</w:t>
      </w:r>
      <w:r w:rsidRPr="006919A1">
        <w:rPr>
          <w:rStyle w:val="SCCCounselSeparatorChar"/>
          <w:sz w:val="20"/>
        </w:rPr>
        <w:t xml:space="preserve"> </w:t>
      </w:r>
      <w:r w:rsidRPr="006919A1">
        <w:rPr>
          <w:rStyle w:val="SCCCounselNameChar"/>
          <w:sz w:val="20"/>
          <w:lang w:val="fr-CA"/>
        </w:rPr>
        <w:t>Michel Benoit</w:t>
      </w:r>
      <w:r w:rsidRPr="006919A1">
        <w:rPr>
          <w:rStyle w:val="SCCCounselSeparatorChar"/>
          <w:sz w:val="20"/>
        </w:rPr>
        <w:t xml:space="preserve"> et </w:t>
      </w:r>
      <w:r w:rsidRPr="006919A1">
        <w:rPr>
          <w:rStyle w:val="SCCCounselNameChar"/>
          <w:sz w:val="20"/>
          <w:lang w:val="fr-CA"/>
        </w:rPr>
        <w:t>Julien Ranger</w:t>
      </w:r>
      <w:r w:rsidRPr="006919A1">
        <w:rPr>
          <w:rStyle w:val="SCCCounselNameChar"/>
          <w:sz w:val="20"/>
          <w:lang w:val="fr-CA"/>
        </w:rPr>
        <w:noBreakHyphen/>
        <w:t>Musiol</w:t>
      </w:r>
      <w:r w:rsidRPr="006919A1">
        <w:rPr>
          <w:rStyle w:val="SCCCounselPartyRoleChar"/>
          <w:sz w:val="20"/>
          <w:lang w:val="fr-CA"/>
        </w:rPr>
        <w:t>, pour l’appelante.</w:t>
      </w:r>
    </w:p>
    <w:p w:rsidR="00822540" w:rsidRDefault="00822540" w:rsidP="00822540">
      <w:pPr>
        <w:pStyle w:val="SCCNormalDoubleSpacing"/>
        <w:spacing w:line="240" w:lineRule="auto"/>
        <w:rPr>
          <w:rStyle w:val="SCCCounselNameChar"/>
          <w:sz w:val="20"/>
          <w:lang w:val="fr-CA"/>
        </w:rPr>
      </w:pPr>
    </w:p>
    <w:p w:rsidR="00822540" w:rsidRPr="006919A1" w:rsidRDefault="00822540" w:rsidP="00822540">
      <w:pPr>
        <w:pStyle w:val="SCCNormalDoubleSpacing"/>
        <w:spacing w:line="240" w:lineRule="auto"/>
        <w:rPr>
          <w:sz w:val="20"/>
          <w:lang w:val="fr-CA"/>
        </w:rPr>
      </w:pPr>
      <w:r w:rsidRPr="006919A1">
        <w:rPr>
          <w:rStyle w:val="SCCCounselNameChar"/>
          <w:sz w:val="20"/>
          <w:lang w:val="fr-CA"/>
        </w:rPr>
        <w:tab/>
        <w:t>Claude Tardif</w:t>
      </w:r>
      <w:r w:rsidRPr="006919A1">
        <w:rPr>
          <w:rStyle w:val="SCCCounselSeparatorChar"/>
          <w:sz w:val="20"/>
        </w:rPr>
        <w:t xml:space="preserve"> et </w:t>
      </w:r>
      <w:r w:rsidRPr="006919A1">
        <w:rPr>
          <w:rStyle w:val="SCCCounselNameChar"/>
          <w:sz w:val="20"/>
          <w:lang w:val="fr-CA"/>
        </w:rPr>
        <w:t>Catherine Massé</w:t>
      </w:r>
      <w:r w:rsidRPr="006919A1">
        <w:rPr>
          <w:rStyle w:val="SCCCounselNameChar"/>
          <w:sz w:val="20"/>
          <w:lang w:val="fr-CA"/>
        </w:rPr>
        <w:noBreakHyphen/>
        <w:t>Lacoste</w:t>
      </w:r>
      <w:r w:rsidRPr="006919A1">
        <w:rPr>
          <w:rStyle w:val="SCCCounselPartyRoleChar"/>
          <w:sz w:val="20"/>
          <w:lang w:val="fr-CA"/>
        </w:rPr>
        <w:t>, pour l’intimé.</w:t>
      </w:r>
    </w:p>
    <w:p w:rsidR="00822540" w:rsidRDefault="00822540" w:rsidP="00822540">
      <w:pPr>
        <w:pStyle w:val="SCCNormalDoubleSpacing"/>
        <w:spacing w:line="240" w:lineRule="auto"/>
        <w:rPr>
          <w:rStyle w:val="SCCCounselNameChar"/>
          <w:sz w:val="20"/>
          <w:lang w:val="fr-CA"/>
        </w:rPr>
      </w:pPr>
    </w:p>
    <w:p w:rsidR="00822540" w:rsidRPr="006919A1" w:rsidRDefault="00822540" w:rsidP="00822540">
      <w:pPr>
        <w:pStyle w:val="SCCNormalDoubleSpacing"/>
        <w:spacing w:line="240" w:lineRule="auto"/>
        <w:rPr>
          <w:sz w:val="20"/>
          <w:lang w:val="fr-CA"/>
        </w:rPr>
      </w:pPr>
      <w:r w:rsidRPr="006919A1">
        <w:rPr>
          <w:rStyle w:val="SCCCounselNameChar"/>
          <w:sz w:val="20"/>
          <w:lang w:val="fr-CA"/>
        </w:rPr>
        <w:tab/>
        <w:t>Michael A. Feder et</w:t>
      </w:r>
      <w:r w:rsidRPr="006919A1">
        <w:rPr>
          <w:rStyle w:val="SCCCounselSeparatorChar"/>
          <w:sz w:val="20"/>
        </w:rPr>
        <w:t xml:space="preserve"> </w:t>
      </w:r>
      <w:r w:rsidRPr="006919A1">
        <w:rPr>
          <w:rStyle w:val="SCCCounselNameChar"/>
          <w:sz w:val="20"/>
          <w:lang w:val="fr-CA"/>
        </w:rPr>
        <w:t>Pierre</w:t>
      </w:r>
      <w:r w:rsidRPr="006919A1">
        <w:rPr>
          <w:rStyle w:val="SCCCounselNameChar"/>
          <w:sz w:val="20"/>
          <w:lang w:val="fr-CA"/>
        </w:rPr>
        <w:noBreakHyphen/>
        <w:t>Jérôme Bouchard</w:t>
      </w:r>
      <w:r w:rsidRPr="006919A1">
        <w:rPr>
          <w:rStyle w:val="SCCCounselPartyRoleChar"/>
          <w:sz w:val="20"/>
          <w:lang w:val="fr-CA"/>
        </w:rPr>
        <w:t>, pour les intervenantes.</w:t>
      </w:r>
    </w:p>
    <w:p w:rsidR="00822540" w:rsidRDefault="00822540" w:rsidP="00822540">
      <w:pPr>
        <w:pStyle w:val="SCCLawFirm"/>
        <w:spacing w:line="240" w:lineRule="auto"/>
        <w:rPr>
          <w:sz w:val="20"/>
          <w:lang w:val="fr-CA"/>
        </w:rPr>
      </w:pPr>
    </w:p>
    <w:p w:rsidR="00822540" w:rsidRPr="006919A1" w:rsidRDefault="00822540" w:rsidP="00822540">
      <w:pPr>
        <w:pStyle w:val="SCCLawFirm"/>
        <w:spacing w:line="240" w:lineRule="auto"/>
        <w:rPr>
          <w:sz w:val="20"/>
          <w:lang w:val="fr-CA"/>
        </w:rPr>
      </w:pPr>
      <w:r w:rsidRPr="006919A1">
        <w:rPr>
          <w:sz w:val="20"/>
          <w:lang w:val="fr-CA"/>
        </w:rPr>
        <w:tab/>
        <w:t>Procureurs de l’appelante : Osler, Hoskin &amp; Harcourt, Montréal.</w:t>
      </w:r>
    </w:p>
    <w:p w:rsidR="00822540" w:rsidRDefault="00822540" w:rsidP="00822540">
      <w:pPr>
        <w:pStyle w:val="SCCLawFirm"/>
        <w:spacing w:line="240" w:lineRule="auto"/>
        <w:rPr>
          <w:sz w:val="20"/>
          <w:lang w:val="fr-CA"/>
        </w:rPr>
      </w:pPr>
    </w:p>
    <w:p w:rsidR="00822540" w:rsidRPr="006919A1" w:rsidRDefault="00822540" w:rsidP="00822540">
      <w:pPr>
        <w:pStyle w:val="SCCLawFirm"/>
        <w:spacing w:line="240" w:lineRule="auto"/>
        <w:rPr>
          <w:sz w:val="20"/>
          <w:lang w:val="fr-CA"/>
        </w:rPr>
      </w:pPr>
      <w:r w:rsidRPr="006919A1">
        <w:rPr>
          <w:sz w:val="20"/>
          <w:lang w:val="fr-CA"/>
        </w:rPr>
        <w:tab/>
        <w:t>Procureurs de l’intimé : Rivest, Schmidt, Montréal.</w:t>
      </w:r>
    </w:p>
    <w:p w:rsidR="00822540" w:rsidRDefault="00822540" w:rsidP="00822540">
      <w:pPr>
        <w:pStyle w:val="SCCLawFirm"/>
        <w:spacing w:line="240" w:lineRule="auto"/>
        <w:rPr>
          <w:sz w:val="20"/>
          <w:lang w:val="fr-CA"/>
        </w:rPr>
      </w:pPr>
    </w:p>
    <w:p w:rsidR="00822540" w:rsidRDefault="00822540" w:rsidP="00822540">
      <w:pPr>
        <w:pStyle w:val="SCCLawFirm"/>
        <w:spacing w:line="240" w:lineRule="auto"/>
        <w:rPr>
          <w:sz w:val="20"/>
          <w:lang w:val="fr-CA"/>
        </w:rPr>
      </w:pPr>
      <w:r w:rsidRPr="006919A1">
        <w:rPr>
          <w:sz w:val="20"/>
          <w:lang w:val="fr-CA"/>
        </w:rPr>
        <w:tab/>
        <w:t>Procureurs des intervenantes : McCarthy Tétrault, Vancouver.</w:t>
      </w:r>
    </w:p>
    <w:p w:rsidR="00DD0B49" w:rsidRPr="00822540" w:rsidRDefault="00DD0B49" w:rsidP="00DD0B49">
      <w:pPr>
        <w:rPr>
          <w:rFonts w:cs="Times New Roman"/>
          <w:sz w:val="20"/>
          <w:szCs w:val="20"/>
        </w:rPr>
      </w:pPr>
      <w:r w:rsidRPr="00822540">
        <w:rPr>
          <w:rFonts w:cs="Times New Roman"/>
          <w:sz w:val="20"/>
          <w:szCs w:val="20"/>
        </w:rPr>
        <w:t>________________________</w:t>
      </w:r>
    </w:p>
    <w:p w:rsidR="00DD0B49" w:rsidRPr="00822540" w:rsidRDefault="00DD0B49" w:rsidP="00DD0B49">
      <w:pPr>
        <w:rPr>
          <w:rFonts w:cs="Times New Roman"/>
          <w:sz w:val="20"/>
          <w:szCs w:val="20"/>
        </w:rPr>
      </w:pPr>
    </w:p>
    <w:p w:rsidR="00822540" w:rsidRPr="005A1E5C" w:rsidRDefault="00822540" w:rsidP="00822540">
      <w:pPr>
        <w:jc w:val="both"/>
        <w:rPr>
          <w:sz w:val="20"/>
          <w:szCs w:val="20"/>
        </w:rPr>
      </w:pPr>
      <w:r w:rsidRPr="005A1E5C">
        <w:rPr>
          <w:sz w:val="20"/>
          <w:szCs w:val="20"/>
        </w:rPr>
        <w:t>Present:  LeBel, Abella, Rothstein, Cromwell, Moldaver, Karakatsanis and Wagner JJ.</w:t>
      </w:r>
    </w:p>
    <w:p w:rsidR="00822540" w:rsidRDefault="00822540" w:rsidP="00822540">
      <w:pPr>
        <w:pStyle w:val="SCCLowerCourtNameLowercase"/>
        <w:spacing w:line="240" w:lineRule="auto"/>
        <w:rPr>
          <w:sz w:val="20"/>
        </w:rPr>
      </w:pPr>
    </w:p>
    <w:p w:rsidR="00822540" w:rsidRPr="005A1E5C" w:rsidRDefault="00822540" w:rsidP="00822540">
      <w:pPr>
        <w:pStyle w:val="SCCNormalDoubleSpacing"/>
        <w:spacing w:line="240" w:lineRule="auto"/>
        <w:rPr>
          <w:i/>
          <w:sz w:val="20"/>
        </w:rPr>
      </w:pPr>
      <w:r w:rsidRPr="005A1E5C">
        <w:rPr>
          <w:sz w:val="20"/>
        </w:rPr>
        <w:tab/>
      </w:r>
      <w:r w:rsidRPr="005A1E5C">
        <w:rPr>
          <w:i/>
          <w:sz w:val="20"/>
        </w:rPr>
        <w:t>Civil procedure — Class actions — Conditions for authorization of action — Identical, similar or related questions of law or fact — Principle of proportionality — Application for authorization to institute class action on behalf of all beneficiaries of private health insurance plan in order to challenge validity of unilateral amendment made to plan by employer and in order to recover damages related to that amendment — Whether claims of all members of proposed group raise common question that can serve to advance resolution of litigation — Whether commonality requirement means that common answer necessary for all members of group — Whether motion judge can rely on principle of proportionality to refuse to authorize class action that otherwise meets four criteria established by legislature — Code of Civil Procedure, R.S.Q., c. C</w:t>
      </w:r>
      <w:r w:rsidRPr="005A1E5C">
        <w:rPr>
          <w:rFonts w:eastAsia="MS Mincho"/>
          <w:i/>
          <w:sz w:val="20"/>
        </w:rPr>
        <w:noBreakHyphen/>
      </w:r>
      <w:r w:rsidRPr="005A1E5C">
        <w:rPr>
          <w:i/>
          <w:sz w:val="20"/>
        </w:rPr>
        <w:t>25, arts. 4.2, 1003(a).</w:t>
      </w:r>
    </w:p>
    <w:p w:rsidR="00822540" w:rsidRDefault="00822540" w:rsidP="00822540">
      <w:pPr>
        <w:pStyle w:val="SCCNormalDoubleSpacing"/>
        <w:spacing w:line="240" w:lineRule="auto"/>
        <w:rPr>
          <w:sz w:val="20"/>
        </w:rPr>
      </w:pPr>
    </w:p>
    <w:p w:rsidR="00822540" w:rsidRPr="005A1E5C" w:rsidRDefault="00822540" w:rsidP="00822540">
      <w:pPr>
        <w:pStyle w:val="SCCNormalDoubleSpacing"/>
        <w:spacing w:line="240" w:lineRule="auto"/>
        <w:rPr>
          <w:sz w:val="20"/>
        </w:rPr>
      </w:pPr>
      <w:r w:rsidRPr="005A1E5C">
        <w:rPr>
          <w:sz w:val="20"/>
        </w:rPr>
        <w:lastRenderedPageBreak/>
        <w:tab/>
        <w:t>The litigation in this case arises out of a unilateral amendment made by V to the health insurance plan (“Plan”) of which it is the sponsor for its retirees and their surviving spouses.  D filed a motion for authorization to institute a class action, on behalf of all the beneficiaries of the Plan, in order to challenge the validity of the amendment.  The Superior Court dismissed the motion on the basis that the claims of all the members of the proposed group did not raise questions that were identical, similar or related, given the different rules governing each member’s right to insurance benefits.  The Court of Appeal concluded that the judge who heard the motion for authorization had erred in his assessment with respect to the criterion set out in art. 1003(</w:t>
      </w:r>
      <w:r w:rsidRPr="005A1E5C">
        <w:rPr>
          <w:i/>
          <w:sz w:val="20"/>
        </w:rPr>
        <w:t>a</w:t>
      </w:r>
      <w:r w:rsidRPr="005A1E5C">
        <w:rPr>
          <w:sz w:val="20"/>
        </w:rPr>
        <w:t xml:space="preserve">) of the </w:t>
      </w:r>
      <w:r w:rsidRPr="005A1E5C">
        <w:rPr>
          <w:i/>
          <w:sz w:val="20"/>
        </w:rPr>
        <w:t>Code of Civil Procedure</w:t>
      </w:r>
      <w:r w:rsidRPr="005A1E5C">
        <w:rPr>
          <w:sz w:val="20"/>
        </w:rPr>
        <w:t xml:space="preserve"> (“</w:t>
      </w:r>
      <w:r w:rsidRPr="005A1E5C">
        <w:rPr>
          <w:i/>
          <w:sz w:val="20"/>
        </w:rPr>
        <w:t>C.C.P.</w:t>
      </w:r>
      <w:r w:rsidRPr="005A1E5C">
        <w:rPr>
          <w:sz w:val="20"/>
        </w:rPr>
        <w:t>”), and that there was a question common to the claims of all the members of the group.</w:t>
      </w:r>
    </w:p>
    <w:p w:rsidR="00822540" w:rsidRDefault="00822540" w:rsidP="00822540">
      <w:pPr>
        <w:pStyle w:val="SCCNormalDoubleSpacing"/>
        <w:spacing w:line="240" w:lineRule="auto"/>
        <w:rPr>
          <w:sz w:val="20"/>
        </w:rPr>
      </w:pPr>
    </w:p>
    <w:p w:rsidR="00822540" w:rsidRPr="005A1E5C" w:rsidRDefault="00822540" w:rsidP="00822540">
      <w:pPr>
        <w:pStyle w:val="SCCNormalDoubleSpacing"/>
        <w:spacing w:line="240" w:lineRule="auto"/>
        <w:rPr>
          <w:sz w:val="20"/>
        </w:rPr>
      </w:pPr>
      <w:r w:rsidRPr="005A1E5C">
        <w:rPr>
          <w:sz w:val="20"/>
        </w:rPr>
        <w:tab/>
      </w:r>
      <w:r w:rsidRPr="005A1E5C">
        <w:rPr>
          <w:i/>
          <w:sz w:val="20"/>
        </w:rPr>
        <w:t>Held:</w:t>
      </w:r>
      <w:r w:rsidRPr="005A1E5C">
        <w:rPr>
          <w:sz w:val="20"/>
        </w:rPr>
        <w:t xml:space="preserve">  The appeal should be dismissed.</w:t>
      </w:r>
    </w:p>
    <w:p w:rsidR="00822540" w:rsidRDefault="00822540" w:rsidP="00822540">
      <w:pPr>
        <w:pStyle w:val="SCCNormalDoubleSpacing"/>
        <w:spacing w:line="240" w:lineRule="auto"/>
        <w:rPr>
          <w:sz w:val="20"/>
        </w:rPr>
      </w:pPr>
    </w:p>
    <w:p w:rsidR="00822540" w:rsidRPr="005A1E5C" w:rsidRDefault="00822540" w:rsidP="00822540">
      <w:pPr>
        <w:pStyle w:val="SCCNormalDoubleSpacing"/>
        <w:spacing w:line="240" w:lineRule="auto"/>
        <w:rPr>
          <w:sz w:val="20"/>
        </w:rPr>
      </w:pPr>
      <w:r w:rsidRPr="005A1E5C">
        <w:rPr>
          <w:sz w:val="20"/>
        </w:rPr>
        <w:tab/>
        <w:t>Article 1003(</w:t>
      </w:r>
      <w:r w:rsidRPr="005A1E5C">
        <w:rPr>
          <w:i/>
          <w:sz w:val="20"/>
        </w:rPr>
        <w:t>a</w:t>
      </w:r>
      <w:r w:rsidRPr="005A1E5C">
        <w:rPr>
          <w:sz w:val="20"/>
        </w:rPr>
        <w:t xml:space="preserve">) </w:t>
      </w:r>
      <w:r w:rsidRPr="005A1E5C">
        <w:rPr>
          <w:i/>
          <w:sz w:val="20"/>
        </w:rPr>
        <w:t>C.C.P. </w:t>
      </w:r>
      <w:r w:rsidRPr="005A1E5C">
        <w:rPr>
          <w:sz w:val="20"/>
        </w:rPr>
        <w:t>provides that a class action may be authorized only if the court concludes that “the recourses of the members raise identical, similar or related questions of law or fact”.  This commonality requirement applies not only in Quebec law, but also in that of all the common law provinces of Canada.  However, the requirement is expressed in broader and more flexible terms in art. 1003(</w:t>
      </w:r>
      <w:r w:rsidRPr="005A1E5C">
        <w:rPr>
          <w:i/>
          <w:sz w:val="20"/>
        </w:rPr>
        <w:t>a</w:t>
      </w:r>
      <w:r w:rsidRPr="005A1E5C">
        <w:rPr>
          <w:sz w:val="20"/>
        </w:rPr>
        <w:t>) than in the legislation of the other provinces that have legislated with respect to class actions.  To meet the commonality requirement of art. 1003(</w:t>
      </w:r>
      <w:r w:rsidRPr="005A1E5C">
        <w:rPr>
          <w:i/>
          <w:sz w:val="20"/>
        </w:rPr>
        <w:t>a</w:t>
      </w:r>
      <w:r w:rsidRPr="005A1E5C">
        <w:rPr>
          <w:sz w:val="20"/>
        </w:rPr>
        <w:t xml:space="preserve">) </w:t>
      </w:r>
      <w:r w:rsidRPr="005A1E5C">
        <w:rPr>
          <w:i/>
          <w:sz w:val="20"/>
        </w:rPr>
        <w:t>C.C.P.</w:t>
      </w:r>
      <w:r w:rsidRPr="005A1E5C">
        <w:rPr>
          <w:sz w:val="20"/>
        </w:rPr>
        <w:t>, the applicant must show that an aspect of the case lends itself to a collective decision and that once a decision has been reached on that aspect, the parties will have resolved a not insignificant portion of the dispute.  All that is needed in order to meet the requirement of art. 1003(</w:t>
      </w:r>
      <w:r w:rsidRPr="005A1E5C">
        <w:rPr>
          <w:i/>
          <w:sz w:val="20"/>
        </w:rPr>
        <w:t>a</w:t>
      </w:r>
      <w:r w:rsidRPr="005A1E5C">
        <w:rPr>
          <w:sz w:val="20"/>
        </w:rPr>
        <w:t>) is therefore that there be an identical, related or similar question of law or fact, unless that question would play only an insignificant role in the outcome of the class action.  It is not necessary that the question make a complete resolution of the case possible.  The common questions do not have to lead to common answers.  At the authorization stage, the approach taken to the commonality requirement in Quebec civil procedure is a flexible one.  As a result, the criterion of art. 1003(</w:t>
      </w:r>
      <w:r w:rsidRPr="005A1E5C">
        <w:rPr>
          <w:i/>
          <w:sz w:val="20"/>
        </w:rPr>
        <w:t>a</w:t>
      </w:r>
      <w:r w:rsidRPr="005A1E5C">
        <w:rPr>
          <w:sz w:val="20"/>
        </w:rPr>
        <w:t>) may be met even if the common questions raised by the class action require nuanced answers for the various members of the group.</w:t>
      </w:r>
    </w:p>
    <w:p w:rsidR="00822540" w:rsidRDefault="00822540" w:rsidP="00822540">
      <w:pPr>
        <w:pStyle w:val="SCCNormalDoubleSpacing"/>
        <w:spacing w:line="240" w:lineRule="auto"/>
        <w:rPr>
          <w:sz w:val="20"/>
        </w:rPr>
      </w:pPr>
    </w:p>
    <w:p w:rsidR="00822540" w:rsidRPr="005A1E5C" w:rsidRDefault="00822540" w:rsidP="00822540">
      <w:pPr>
        <w:pStyle w:val="SCCNormalDoubleSpacing"/>
        <w:spacing w:line="240" w:lineRule="auto"/>
        <w:rPr>
          <w:sz w:val="20"/>
        </w:rPr>
      </w:pPr>
      <w:r w:rsidRPr="005A1E5C">
        <w:rPr>
          <w:sz w:val="20"/>
        </w:rPr>
        <w:tab/>
        <w:t>The fact that members of the group live in different Canadian provinces should not prevent the court from authorizing the class action, given that it can accept proof of the law applicable in the common law provinces or take judicial notice of that law.  Only substantial differences between the applicable legal schemes would cause the action to lose its collective nature.</w:t>
      </w:r>
    </w:p>
    <w:p w:rsidR="00822540" w:rsidRDefault="00822540" w:rsidP="00822540">
      <w:pPr>
        <w:pStyle w:val="SCCNormalDoubleSpacing"/>
        <w:spacing w:line="240" w:lineRule="auto"/>
        <w:rPr>
          <w:sz w:val="20"/>
        </w:rPr>
      </w:pPr>
    </w:p>
    <w:p w:rsidR="00822540" w:rsidRPr="005A1E5C" w:rsidRDefault="00822540" w:rsidP="00822540">
      <w:pPr>
        <w:pStyle w:val="SCCNormalDoubleSpacing"/>
        <w:spacing w:line="240" w:lineRule="auto"/>
        <w:rPr>
          <w:sz w:val="20"/>
        </w:rPr>
      </w:pPr>
      <w:r w:rsidRPr="005A1E5C">
        <w:rPr>
          <w:sz w:val="20"/>
        </w:rPr>
        <w:tab/>
        <w:t xml:space="preserve">Moreover, art. 1003 is clear: the motion judge must authorize the class action if he or she is of the opinion that the four criteria are met.  The judge does not have to ask whether a class action is the most appropriate procedural vehicle.  The effect of the principle of proportionality set out in art. 4.2 </w:t>
      </w:r>
      <w:r w:rsidRPr="005A1E5C">
        <w:rPr>
          <w:i/>
          <w:sz w:val="20"/>
        </w:rPr>
        <w:t>C.C.P. </w:t>
      </w:r>
      <w:r w:rsidRPr="005A1E5C">
        <w:rPr>
          <w:sz w:val="20"/>
        </w:rPr>
        <w:t xml:space="preserve">is to reinforce the discretion judges are already acknowledged to have when considering each of the four criteria of art. 1003 </w:t>
      </w:r>
      <w:r w:rsidRPr="005A1E5C">
        <w:rPr>
          <w:i/>
          <w:sz w:val="20"/>
        </w:rPr>
        <w:t>C.C.P. </w:t>
      </w:r>
      <w:r w:rsidRPr="005A1E5C">
        <w:rPr>
          <w:sz w:val="20"/>
        </w:rPr>
        <w:t xml:space="preserve"> However, the motion judge cannot rely on the principle of proportionality to refuse to authorize an action that otherwise meets the established criteria.  The proportionality of the class action is not a separate fifth criterion.</w:t>
      </w:r>
    </w:p>
    <w:p w:rsidR="00822540" w:rsidRDefault="00822540" w:rsidP="00822540">
      <w:pPr>
        <w:pStyle w:val="SCCNormalDoubleSpacing"/>
        <w:spacing w:line="240" w:lineRule="auto"/>
        <w:rPr>
          <w:sz w:val="20"/>
        </w:rPr>
      </w:pPr>
    </w:p>
    <w:p w:rsidR="00822540" w:rsidRPr="005A1E5C" w:rsidRDefault="00822540" w:rsidP="00822540">
      <w:pPr>
        <w:pStyle w:val="SCCNormalDoubleSpacing"/>
        <w:spacing w:line="240" w:lineRule="auto"/>
        <w:rPr>
          <w:sz w:val="20"/>
        </w:rPr>
      </w:pPr>
      <w:r w:rsidRPr="005A1E5C">
        <w:rPr>
          <w:sz w:val="20"/>
        </w:rPr>
        <w:tab/>
        <w:t>In this case, the motion judge made two errors in assessing the criterion of art. 1003(</w:t>
      </w:r>
      <w:r w:rsidRPr="005A1E5C">
        <w:rPr>
          <w:i/>
          <w:sz w:val="20"/>
        </w:rPr>
        <w:t>a</w:t>
      </w:r>
      <w:r w:rsidRPr="005A1E5C">
        <w:rPr>
          <w:sz w:val="20"/>
        </w:rPr>
        <w:t xml:space="preserve">) </w:t>
      </w:r>
      <w:r w:rsidRPr="005A1E5C">
        <w:rPr>
          <w:i/>
          <w:sz w:val="20"/>
        </w:rPr>
        <w:t>C.C.P.</w:t>
      </w:r>
      <w:r w:rsidRPr="005A1E5C">
        <w:rPr>
          <w:sz w:val="20"/>
        </w:rPr>
        <w:t>:  first, he ruled on the merits of the case by determining that the rights to insurance benefits of certain members of the group had not crystallized, thereby overstepping the bounds of the function of screening motions to which he should have limited himself; second, he adopted the wrong methodology by seeking common answers rather than merely identifying one or more questions that were common to the claims of all the members of the proposed group.  As a result, this Court, like the Court of Appeal, must reopen the analysis under art. 1003(</w:t>
      </w:r>
      <w:r w:rsidRPr="005A1E5C">
        <w:rPr>
          <w:i/>
          <w:sz w:val="20"/>
        </w:rPr>
        <w:t>a</w:t>
      </w:r>
      <w:r w:rsidRPr="005A1E5C">
        <w:rPr>
          <w:sz w:val="20"/>
        </w:rPr>
        <w:t>) in light of the applicable principles.  The main question raised in D’s motion for authorization to institute a class action is whether the amendments made to the Plan in 2009 are valid or lawful.  Those amendments had the effect of reducing, as of January 1, 2009, certain benefits promised to the retirees and surviving spouses.  Since the claims of all the group’s members are based on the Plan, the question of the validity or the legality of the 2009 amendments arises for all the members.  The answer to this question can serve to advance the resolution of all the claims.  Hence, there is a common question.  The existence of subgroups within the proposed group does not on its own constitute a sufficient basis for refusing to authorize a class action.  The circumstances of the various members of the group can differ as long as the members have no conflicting interests.</w:t>
      </w:r>
    </w:p>
    <w:p w:rsidR="00822540" w:rsidRDefault="00822540" w:rsidP="00822540">
      <w:pPr>
        <w:pStyle w:val="SCCNormalDoubleSpacing"/>
        <w:spacing w:line="240" w:lineRule="auto"/>
        <w:rPr>
          <w:sz w:val="20"/>
        </w:rPr>
      </w:pPr>
    </w:p>
    <w:p w:rsidR="00822540" w:rsidRDefault="00822540" w:rsidP="00822540">
      <w:pPr>
        <w:pStyle w:val="SCCNormalDoubleSpacing"/>
        <w:spacing w:line="240" w:lineRule="auto"/>
        <w:rPr>
          <w:sz w:val="20"/>
        </w:rPr>
      </w:pPr>
      <w:r w:rsidRPr="005A1E5C">
        <w:rPr>
          <w:sz w:val="20"/>
        </w:rPr>
        <w:tab/>
        <w:t>The validity or legality of the 2009 amendments and the other questions raised by D in his motion for authorization to institute a class action are the type of questions referred to in art. 1003(</w:t>
      </w:r>
      <w:r w:rsidRPr="005A1E5C">
        <w:rPr>
          <w:i/>
          <w:sz w:val="20"/>
        </w:rPr>
        <w:t>a</w:t>
      </w:r>
      <w:r w:rsidRPr="005A1E5C">
        <w:rPr>
          <w:sz w:val="20"/>
        </w:rPr>
        <w:t xml:space="preserve">) </w:t>
      </w:r>
      <w:r w:rsidRPr="005A1E5C">
        <w:rPr>
          <w:i/>
          <w:sz w:val="20"/>
        </w:rPr>
        <w:t>C.C.P. </w:t>
      </w:r>
      <w:r w:rsidRPr="005A1E5C">
        <w:rPr>
          <w:sz w:val="20"/>
        </w:rPr>
        <w:t xml:space="preserve"> Since V has admitted that the conditions of art. 1003(</w:t>
      </w:r>
      <w:r w:rsidRPr="005A1E5C">
        <w:rPr>
          <w:i/>
          <w:sz w:val="20"/>
        </w:rPr>
        <w:t>c</w:t>
      </w:r>
      <w:r w:rsidRPr="005A1E5C">
        <w:rPr>
          <w:sz w:val="20"/>
        </w:rPr>
        <w:t>) and (</w:t>
      </w:r>
      <w:r w:rsidRPr="005A1E5C">
        <w:rPr>
          <w:i/>
          <w:sz w:val="20"/>
        </w:rPr>
        <w:t>d</w:t>
      </w:r>
      <w:r w:rsidRPr="005A1E5C">
        <w:rPr>
          <w:sz w:val="20"/>
        </w:rPr>
        <w:t>) are met and has not contested the Court of Appeal’s decision finding that the one set out in art. 1003(</w:t>
      </w:r>
      <w:r w:rsidRPr="005A1E5C">
        <w:rPr>
          <w:i/>
          <w:sz w:val="20"/>
        </w:rPr>
        <w:t>b</w:t>
      </w:r>
      <w:r w:rsidRPr="005A1E5C">
        <w:rPr>
          <w:sz w:val="20"/>
        </w:rPr>
        <w:t xml:space="preserve">) is met, all the criteria of art. 1003 </w:t>
      </w:r>
      <w:r w:rsidRPr="005A1E5C">
        <w:rPr>
          <w:i/>
          <w:sz w:val="20"/>
        </w:rPr>
        <w:t>C.C.P. </w:t>
      </w:r>
      <w:r w:rsidRPr="005A1E5C">
        <w:rPr>
          <w:sz w:val="20"/>
        </w:rPr>
        <w:t>are met.</w:t>
      </w:r>
    </w:p>
    <w:p w:rsidR="00822540" w:rsidRDefault="00822540" w:rsidP="00822540">
      <w:pPr>
        <w:pStyle w:val="SCCNormalDoubleSpacing"/>
        <w:spacing w:line="240" w:lineRule="auto"/>
        <w:rPr>
          <w:sz w:val="20"/>
        </w:rPr>
      </w:pPr>
    </w:p>
    <w:p w:rsidR="00822540" w:rsidRPr="005A1E5C" w:rsidRDefault="00822540" w:rsidP="00822540">
      <w:pPr>
        <w:pStyle w:val="SCCNormalDoubleSpacing"/>
        <w:spacing w:line="240" w:lineRule="auto"/>
        <w:rPr>
          <w:sz w:val="20"/>
        </w:rPr>
      </w:pPr>
      <w:r w:rsidRPr="00822540">
        <w:rPr>
          <w:sz w:val="20"/>
        </w:rPr>
        <w:tab/>
        <w:t>APPEAL from a judgment of the Quebec Court of Appeal (Chamberland, Rochon and Léger JJ.A.), 2012 QCCA 384, 95 C.C.P.B 165, [2012] J.Q. n</w:t>
      </w:r>
      <w:r w:rsidRPr="00822540">
        <w:rPr>
          <w:sz w:val="20"/>
          <w:vertAlign w:val="superscript"/>
        </w:rPr>
        <w:t>o</w:t>
      </w:r>
      <w:r w:rsidRPr="00822540">
        <w:rPr>
          <w:sz w:val="20"/>
        </w:rPr>
        <w:t> 1611 (QL), 2012 CarswellQue 1613, SOQUIJ AZ</w:t>
      </w:r>
      <w:r w:rsidRPr="00822540">
        <w:rPr>
          <w:sz w:val="20"/>
        </w:rPr>
        <w:noBreakHyphen/>
        <w:t>50834969, reversing a decision of Mayer J., 2010 QCCS 3416, 83 C.C.P.B. 22, [2010] J.Q. n</w:t>
      </w:r>
      <w:r w:rsidRPr="00822540">
        <w:rPr>
          <w:sz w:val="20"/>
          <w:vertAlign w:val="superscript"/>
        </w:rPr>
        <w:t>o</w:t>
      </w:r>
      <w:r w:rsidRPr="00822540">
        <w:rPr>
          <w:sz w:val="20"/>
        </w:rPr>
        <w:t> 7459 (QL), 2010 CarswellQue 7870, SOQUIJ AZ</w:t>
      </w:r>
      <w:r w:rsidRPr="00822540">
        <w:rPr>
          <w:sz w:val="20"/>
        </w:rPr>
        <w:noBreakHyphen/>
        <w:t xml:space="preserve">50662009.  </w:t>
      </w:r>
      <w:r w:rsidRPr="005A1E5C">
        <w:rPr>
          <w:sz w:val="20"/>
        </w:rPr>
        <w:t>Appeal dismissed.</w:t>
      </w:r>
    </w:p>
    <w:p w:rsidR="00822540" w:rsidRDefault="00822540" w:rsidP="00822540">
      <w:pPr>
        <w:pStyle w:val="SCCNormalDoubleSpacing"/>
        <w:spacing w:line="240" w:lineRule="auto"/>
        <w:rPr>
          <w:rStyle w:val="SCCCounselNameChar"/>
          <w:sz w:val="20"/>
        </w:rPr>
      </w:pPr>
    </w:p>
    <w:p w:rsidR="00822540" w:rsidRPr="005A1E5C" w:rsidRDefault="00822540" w:rsidP="00822540">
      <w:pPr>
        <w:pStyle w:val="SCCNormalDoubleSpacing"/>
        <w:spacing w:line="240" w:lineRule="auto"/>
        <w:rPr>
          <w:sz w:val="20"/>
        </w:rPr>
      </w:pPr>
      <w:r w:rsidRPr="005A1E5C">
        <w:rPr>
          <w:rStyle w:val="SCCCounselNameChar"/>
          <w:sz w:val="20"/>
        </w:rPr>
        <w:tab/>
        <w:t>Sylvain Lussier,</w:t>
      </w:r>
      <w:r w:rsidRPr="005A1E5C">
        <w:rPr>
          <w:rStyle w:val="SCCCounselSeparatorChar"/>
          <w:sz w:val="20"/>
          <w:lang w:val="en-CA"/>
        </w:rPr>
        <w:t xml:space="preserve"> </w:t>
      </w:r>
      <w:r w:rsidRPr="005A1E5C">
        <w:rPr>
          <w:rStyle w:val="SCCCounselNameChar"/>
          <w:sz w:val="20"/>
        </w:rPr>
        <w:t>Michel Benoit</w:t>
      </w:r>
      <w:r w:rsidRPr="005A1E5C">
        <w:rPr>
          <w:rStyle w:val="SCCCounselSeparatorChar"/>
          <w:sz w:val="20"/>
          <w:lang w:val="en-CA"/>
        </w:rPr>
        <w:t xml:space="preserve"> and </w:t>
      </w:r>
      <w:r w:rsidRPr="005A1E5C">
        <w:rPr>
          <w:rStyle w:val="SCCCounselNameChar"/>
          <w:sz w:val="20"/>
        </w:rPr>
        <w:t>Julien Ranger</w:t>
      </w:r>
      <w:r w:rsidRPr="005A1E5C">
        <w:rPr>
          <w:rStyle w:val="SCCCounselNameChar"/>
          <w:sz w:val="20"/>
        </w:rPr>
        <w:noBreakHyphen/>
        <w:t>Musiol</w:t>
      </w:r>
      <w:r w:rsidRPr="005A1E5C">
        <w:rPr>
          <w:rStyle w:val="SCCCounselPartyRoleChar"/>
          <w:sz w:val="20"/>
        </w:rPr>
        <w:t>, for the appellant.</w:t>
      </w:r>
    </w:p>
    <w:p w:rsidR="00822540" w:rsidRDefault="00822540" w:rsidP="00822540">
      <w:pPr>
        <w:pStyle w:val="SCCNormalDoubleSpacing"/>
        <w:spacing w:line="240" w:lineRule="auto"/>
        <w:rPr>
          <w:rStyle w:val="SCCCounselNameChar"/>
          <w:sz w:val="20"/>
        </w:rPr>
      </w:pPr>
    </w:p>
    <w:p w:rsidR="00822540" w:rsidRPr="005A1E5C" w:rsidRDefault="00822540" w:rsidP="00822540">
      <w:pPr>
        <w:pStyle w:val="SCCNormalDoubleSpacing"/>
        <w:spacing w:line="240" w:lineRule="auto"/>
        <w:rPr>
          <w:sz w:val="20"/>
        </w:rPr>
      </w:pPr>
      <w:r w:rsidRPr="005A1E5C">
        <w:rPr>
          <w:rStyle w:val="SCCCounselNameChar"/>
          <w:sz w:val="20"/>
        </w:rPr>
        <w:tab/>
        <w:t>Claude Tardif</w:t>
      </w:r>
      <w:r w:rsidRPr="005A1E5C">
        <w:rPr>
          <w:rStyle w:val="SCCCounselSeparatorChar"/>
          <w:sz w:val="20"/>
          <w:lang w:val="en-CA"/>
        </w:rPr>
        <w:t xml:space="preserve"> and </w:t>
      </w:r>
      <w:r w:rsidRPr="005A1E5C">
        <w:rPr>
          <w:rStyle w:val="SCCCounselNameChar"/>
          <w:sz w:val="20"/>
        </w:rPr>
        <w:t>Catherine Massé</w:t>
      </w:r>
      <w:r w:rsidRPr="005A1E5C">
        <w:rPr>
          <w:rStyle w:val="SCCCounselNameChar"/>
          <w:sz w:val="20"/>
        </w:rPr>
        <w:noBreakHyphen/>
        <w:t>Lacoste</w:t>
      </w:r>
      <w:r w:rsidRPr="005A1E5C">
        <w:rPr>
          <w:rStyle w:val="SCCCounselPartyRoleChar"/>
          <w:sz w:val="20"/>
        </w:rPr>
        <w:t>, for the respondent.</w:t>
      </w:r>
    </w:p>
    <w:p w:rsidR="00822540" w:rsidRDefault="00822540" w:rsidP="00822540">
      <w:pPr>
        <w:pStyle w:val="SCCNormalDoubleSpacing"/>
        <w:spacing w:line="240" w:lineRule="auto"/>
        <w:rPr>
          <w:rStyle w:val="SCCCounselNameChar"/>
          <w:sz w:val="20"/>
        </w:rPr>
      </w:pPr>
    </w:p>
    <w:p w:rsidR="00822540" w:rsidRPr="005A1E5C" w:rsidRDefault="00822540" w:rsidP="00822540">
      <w:pPr>
        <w:pStyle w:val="SCCNormalDoubleSpacing"/>
        <w:spacing w:line="240" w:lineRule="auto"/>
        <w:rPr>
          <w:sz w:val="20"/>
        </w:rPr>
      </w:pPr>
      <w:r w:rsidRPr="005A1E5C">
        <w:rPr>
          <w:rStyle w:val="SCCCounselNameChar"/>
          <w:sz w:val="20"/>
        </w:rPr>
        <w:tab/>
        <w:t>Michael A. Feder and</w:t>
      </w:r>
      <w:r w:rsidRPr="00822540">
        <w:rPr>
          <w:rStyle w:val="SCCCounselSeparatorChar"/>
          <w:sz w:val="20"/>
          <w:lang w:val="en-CA"/>
        </w:rPr>
        <w:t xml:space="preserve"> </w:t>
      </w:r>
      <w:r w:rsidRPr="005A1E5C">
        <w:rPr>
          <w:rStyle w:val="SCCCounselNameChar"/>
          <w:sz w:val="20"/>
        </w:rPr>
        <w:t>Pierre</w:t>
      </w:r>
      <w:r w:rsidRPr="005A1E5C">
        <w:rPr>
          <w:rStyle w:val="SCCCounselNameChar"/>
          <w:sz w:val="20"/>
        </w:rPr>
        <w:noBreakHyphen/>
        <w:t>Jérôme Bouchard</w:t>
      </w:r>
      <w:r w:rsidRPr="005A1E5C">
        <w:rPr>
          <w:rStyle w:val="SCCCounselPartyRoleChar"/>
          <w:sz w:val="20"/>
        </w:rPr>
        <w:t>, for the interveners.</w:t>
      </w:r>
    </w:p>
    <w:p w:rsidR="00822540" w:rsidRDefault="00822540" w:rsidP="00822540">
      <w:pPr>
        <w:pStyle w:val="SCCLawFirm"/>
        <w:spacing w:line="240" w:lineRule="auto"/>
        <w:rPr>
          <w:sz w:val="20"/>
        </w:rPr>
      </w:pPr>
    </w:p>
    <w:p w:rsidR="00822540" w:rsidRPr="005A1E5C" w:rsidRDefault="00822540" w:rsidP="00822540">
      <w:pPr>
        <w:pStyle w:val="SCCLawFirm"/>
        <w:spacing w:line="240" w:lineRule="auto"/>
        <w:rPr>
          <w:sz w:val="20"/>
        </w:rPr>
      </w:pPr>
      <w:r w:rsidRPr="005A1E5C">
        <w:rPr>
          <w:sz w:val="20"/>
        </w:rPr>
        <w:tab/>
        <w:t>Solicitors for the appellant:  Osler, Hoskin &amp; Harcourt, Montréal.</w:t>
      </w:r>
    </w:p>
    <w:p w:rsidR="00822540" w:rsidRDefault="00822540" w:rsidP="00822540">
      <w:pPr>
        <w:pStyle w:val="SCCLawFirm"/>
        <w:spacing w:line="240" w:lineRule="auto"/>
        <w:rPr>
          <w:sz w:val="20"/>
        </w:rPr>
      </w:pPr>
    </w:p>
    <w:p w:rsidR="00822540" w:rsidRPr="005A1E5C" w:rsidRDefault="00822540" w:rsidP="00822540">
      <w:pPr>
        <w:pStyle w:val="SCCLawFirm"/>
        <w:spacing w:line="240" w:lineRule="auto"/>
        <w:rPr>
          <w:sz w:val="20"/>
        </w:rPr>
      </w:pPr>
      <w:r w:rsidRPr="005A1E5C">
        <w:rPr>
          <w:sz w:val="20"/>
        </w:rPr>
        <w:tab/>
        <w:t>Solicitors for the respondent:  Rivest, Schmidt, Montréal.</w:t>
      </w:r>
    </w:p>
    <w:p w:rsidR="00822540" w:rsidRDefault="00822540" w:rsidP="00822540">
      <w:pPr>
        <w:pStyle w:val="SCCLawFirm"/>
        <w:spacing w:line="240" w:lineRule="auto"/>
        <w:rPr>
          <w:sz w:val="20"/>
        </w:rPr>
      </w:pPr>
    </w:p>
    <w:p w:rsidR="00822540" w:rsidRDefault="00822540" w:rsidP="00822540">
      <w:pPr>
        <w:pStyle w:val="SCCLawFirm"/>
        <w:spacing w:line="240" w:lineRule="auto"/>
        <w:rPr>
          <w:sz w:val="20"/>
        </w:rPr>
      </w:pPr>
      <w:r w:rsidRPr="005A1E5C">
        <w:rPr>
          <w:sz w:val="20"/>
        </w:rPr>
        <w:tab/>
        <w:t>Solicitors for the interveners:  McCarthy Tétrault, Vancouver.</w:t>
      </w:r>
    </w:p>
    <w:p w:rsidR="003B3977" w:rsidRPr="00822540" w:rsidRDefault="003B3977" w:rsidP="005C6840">
      <w:pPr>
        <w:rPr>
          <w:rFonts w:cs="Times New Roman"/>
          <w:sz w:val="20"/>
          <w:szCs w:val="20"/>
        </w:rPr>
      </w:pPr>
    </w:p>
    <w:p w:rsidR="005C6840" w:rsidRDefault="001B62D0" w:rsidP="005C6840">
      <w:pPr>
        <w:rPr>
          <w:lang w:val="fr-CA"/>
        </w:rPr>
      </w:pPr>
      <w:r>
        <w:rPr>
          <w:rFonts w:cs="Times New Roman"/>
          <w:sz w:val="20"/>
          <w:szCs w:val="20"/>
          <w:lang w:val="fr-CA"/>
        </w:rPr>
        <w:pict>
          <v:rect id="_x0000_i1080" style="width:144.3pt;height:1pt" o:hrpct="300" o:hralign="center" o:hrstd="t" o:hrnoshade="t" o:hr="t" fillcolor="black [3213]" stroked="f"/>
        </w:pict>
      </w:r>
      <w:r w:rsidR="005C6840">
        <w:rPr>
          <w:lang w:val="fr-CA"/>
        </w:rPr>
        <w:br w:type="page"/>
      </w:r>
    </w:p>
    <w:p w:rsidR="00050E05" w:rsidRPr="00050E05" w:rsidRDefault="00050E05" w:rsidP="00050E05">
      <w:pPr>
        <w:ind w:left="720" w:hanging="720"/>
        <w:rPr>
          <w:rFonts w:eastAsia="Calibri"/>
          <w:b/>
          <w:sz w:val="20"/>
          <w:szCs w:val="20"/>
        </w:rPr>
      </w:pPr>
      <w:r w:rsidRPr="00754A71">
        <w:rPr>
          <w:i/>
          <w:sz w:val="20"/>
          <w:szCs w:val="20"/>
        </w:rPr>
        <w:lastRenderedPageBreak/>
        <w:t>Erin Lee MacDonald et al</w:t>
      </w:r>
      <w:r w:rsidR="00CF2840">
        <w:rPr>
          <w:i/>
          <w:sz w:val="20"/>
          <w:szCs w:val="20"/>
        </w:rPr>
        <w:t>.</w:t>
      </w:r>
      <w:r w:rsidRPr="00754A71">
        <w:rPr>
          <w:i/>
          <w:sz w:val="20"/>
          <w:szCs w:val="20"/>
        </w:rPr>
        <w:t xml:space="preserve"> v. Her Majesty the Queen et al</w:t>
      </w:r>
      <w:r w:rsidRPr="00754A71">
        <w:rPr>
          <w:sz w:val="20"/>
          <w:szCs w:val="20"/>
        </w:rPr>
        <w:t xml:space="preserve">. </w:t>
      </w:r>
      <w:r w:rsidRPr="00050E05">
        <w:rPr>
          <w:sz w:val="20"/>
          <w:szCs w:val="20"/>
        </w:rPr>
        <w:t>(N.S.) (</w:t>
      </w:r>
      <w:hyperlink r:id="rId100" w:history="1">
        <w:r w:rsidRPr="00050E05">
          <w:rPr>
            <w:rStyle w:val="Hyperlink"/>
            <w:sz w:val="20"/>
            <w:szCs w:val="20"/>
          </w:rPr>
          <w:t>34914</w:t>
        </w:r>
      </w:hyperlink>
      <w:r w:rsidRPr="00050E05">
        <w:rPr>
          <w:sz w:val="20"/>
          <w:szCs w:val="20"/>
        </w:rPr>
        <w:t>)</w:t>
      </w:r>
    </w:p>
    <w:p w:rsidR="00C42C54" w:rsidRPr="00C42C54" w:rsidRDefault="00C42C54" w:rsidP="00C42C54">
      <w:pPr>
        <w:jc w:val="both"/>
        <w:rPr>
          <w:b/>
          <w:sz w:val="20"/>
          <w:szCs w:val="20"/>
        </w:rPr>
      </w:pPr>
      <w:r w:rsidRPr="00FF34C3">
        <w:rPr>
          <w:b/>
          <w:sz w:val="20"/>
          <w:szCs w:val="20"/>
        </w:rPr>
        <w:t xml:space="preserve">Indexed as:  R. </w:t>
      </w:r>
      <w:r w:rsidRPr="00FF34C3">
        <w:rPr>
          <w:b/>
          <w:i/>
          <w:sz w:val="20"/>
          <w:szCs w:val="20"/>
        </w:rPr>
        <w:t xml:space="preserve">v. </w:t>
      </w:r>
      <w:r w:rsidRPr="00C42C54">
        <w:rPr>
          <w:rStyle w:val="SCCAppellantForIndexChar"/>
          <w:rFonts w:eastAsiaTheme="minorHAnsi"/>
          <w:sz w:val="20"/>
          <w:lang w:val="en-CA"/>
        </w:rPr>
        <w:t>MacDonald</w:t>
      </w:r>
      <w:r>
        <w:rPr>
          <w:rStyle w:val="SCCAppellantForIndexChar"/>
          <w:rFonts w:eastAsiaTheme="minorHAnsi"/>
          <w:sz w:val="20"/>
          <w:lang w:val="en-CA"/>
        </w:rPr>
        <w:t xml:space="preserve"> / </w:t>
      </w:r>
      <w:r w:rsidRPr="00C42C54">
        <w:rPr>
          <w:b/>
          <w:sz w:val="20"/>
          <w:szCs w:val="20"/>
        </w:rPr>
        <w:t xml:space="preserve">Répertorié : R. </w:t>
      </w:r>
      <w:r w:rsidRPr="00C42C54">
        <w:rPr>
          <w:b/>
          <w:i/>
          <w:sz w:val="20"/>
          <w:szCs w:val="20"/>
        </w:rPr>
        <w:t xml:space="preserve">c. </w:t>
      </w:r>
      <w:r w:rsidRPr="00C42C54">
        <w:rPr>
          <w:rStyle w:val="SCCAppellantForIndexChar"/>
          <w:rFonts w:eastAsiaTheme="minorHAnsi"/>
          <w:sz w:val="20"/>
          <w:lang w:val="en-CA"/>
        </w:rPr>
        <w:t>MacDonald</w:t>
      </w:r>
    </w:p>
    <w:p w:rsidR="00902E51" w:rsidRPr="00352A49" w:rsidRDefault="00902E51" w:rsidP="00902E51">
      <w:pPr>
        <w:pStyle w:val="SCCSystemYear"/>
        <w:jc w:val="both"/>
        <w:rPr>
          <w:sz w:val="20"/>
        </w:rPr>
      </w:pPr>
      <w:r w:rsidRPr="00352A49">
        <w:rPr>
          <w:sz w:val="20"/>
        </w:rPr>
        <w:t>Neutral citation:  201</w:t>
      </w:r>
      <w:r w:rsidR="00050E05">
        <w:rPr>
          <w:sz w:val="20"/>
        </w:rPr>
        <w:t>4</w:t>
      </w:r>
      <w:r w:rsidRPr="00352A49">
        <w:rPr>
          <w:sz w:val="20"/>
        </w:rPr>
        <w:t xml:space="preserve"> SCC </w:t>
      </w:r>
      <w:r w:rsidR="00C42C54">
        <w:rPr>
          <w:sz w:val="20"/>
        </w:rPr>
        <w:t>3</w:t>
      </w:r>
      <w:r w:rsidRPr="00352A49">
        <w:rPr>
          <w:sz w:val="20"/>
        </w:rPr>
        <w:t xml:space="preserve"> / Référence neutre : 201</w:t>
      </w:r>
      <w:r w:rsidR="00050E05">
        <w:rPr>
          <w:sz w:val="20"/>
        </w:rPr>
        <w:t>4</w:t>
      </w:r>
      <w:r w:rsidRPr="00352A49">
        <w:rPr>
          <w:sz w:val="20"/>
        </w:rPr>
        <w:t xml:space="preserve"> CSC </w:t>
      </w:r>
      <w:r w:rsidR="00C42C54">
        <w:rPr>
          <w:sz w:val="20"/>
        </w:rPr>
        <w:t>3</w:t>
      </w:r>
    </w:p>
    <w:p w:rsidR="00902E51" w:rsidRPr="00352A49" w:rsidRDefault="00902E51" w:rsidP="00902E51">
      <w:pPr>
        <w:rPr>
          <w:sz w:val="20"/>
          <w:szCs w:val="20"/>
          <w:lang w:val="fr-CA"/>
        </w:rPr>
      </w:pPr>
      <w:r w:rsidRPr="00352A49">
        <w:rPr>
          <w:sz w:val="20"/>
          <w:szCs w:val="20"/>
          <w:lang w:val="fr-CA"/>
        </w:rPr>
        <w:t>Hearing:  Ma</w:t>
      </w:r>
      <w:r w:rsidR="00C42C54">
        <w:rPr>
          <w:sz w:val="20"/>
          <w:szCs w:val="20"/>
          <w:lang w:val="fr-CA"/>
        </w:rPr>
        <w:t>y</w:t>
      </w:r>
      <w:r w:rsidRPr="00352A49">
        <w:rPr>
          <w:sz w:val="20"/>
          <w:szCs w:val="20"/>
          <w:lang w:val="fr-CA"/>
        </w:rPr>
        <w:t xml:space="preserve"> 2</w:t>
      </w:r>
      <w:r w:rsidR="00C42C54">
        <w:rPr>
          <w:sz w:val="20"/>
          <w:szCs w:val="20"/>
          <w:lang w:val="fr-CA"/>
        </w:rPr>
        <w:t>3</w:t>
      </w:r>
      <w:r w:rsidRPr="00352A49">
        <w:rPr>
          <w:sz w:val="20"/>
          <w:szCs w:val="20"/>
          <w:lang w:val="fr-CA"/>
        </w:rPr>
        <w:t xml:space="preserve">, 2013 / Judgment:  </w:t>
      </w:r>
      <w:r w:rsidR="00050E05">
        <w:rPr>
          <w:sz w:val="20"/>
          <w:szCs w:val="20"/>
          <w:lang w:val="fr-CA"/>
        </w:rPr>
        <w:t>J</w:t>
      </w:r>
      <w:r w:rsidRPr="00352A49">
        <w:rPr>
          <w:sz w:val="20"/>
          <w:szCs w:val="20"/>
          <w:lang w:val="fr-CA"/>
        </w:rPr>
        <w:t>a</w:t>
      </w:r>
      <w:r w:rsidR="00050E05">
        <w:rPr>
          <w:sz w:val="20"/>
          <w:szCs w:val="20"/>
          <w:lang w:val="fr-CA"/>
        </w:rPr>
        <w:t>nuar</w:t>
      </w:r>
      <w:r w:rsidRPr="00352A49">
        <w:rPr>
          <w:sz w:val="20"/>
          <w:szCs w:val="20"/>
          <w:lang w:val="fr-CA"/>
        </w:rPr>
        <w:t>y 1</w:t>
      </w:r>
      <w:r w:rsidR="00050E05">
        <w:rPr>
          <w:sz w:val="20"/>
          <w:szCs w:val="20"/>
          <w:lang w:val="fr-CA"/>
        </w:rPr>
        <w:t>7</w:t>
      </w:r>
      <w:r w:rsidRPr="00352A49">
        <w:rPr>
          <w:sz w:val="20"/>
          <w:szCs w:val="20"/>
          <w:lang w:val="fr-CA"/>
        </w:rPr>
        <w:t>, 201</w:t>
      </w:r>
      <w:r w:rsidR="00050E05">
        <w:rPr>
          <w:sz w:val="20"/>
          <w:szCs w:val="20"/>
          <w:lang w:val="fr-CA"/>
        </w:rPr>
        <w:t>4</w:t>
      </w:r>
    </w:p>
    <w:p w:rsidR="00902E51" w:rsidRPr="003B3977" w:rsidRDefault="00902E51" w:rsidP="00902E51">
      <w:pPr>
        <w:rPr>
          <w:sz w:val="20"/>
          <w:szCs w:val="20"/>
          <w:lang w:val="fr-CA"/>
        </w:rPr>
      </w:pPr>
      <w:r w:rsidRPr="003B3977">
        <w:rPr>
          <w:sz w:val="20"/>
          <w:szCs w:val="20"/>
          <w:lang w:val="fr-CA"/>
        </w:rPr>
        <w:t>Audition : Le 2</w:t>
      </w:r>
      <w:r w:rsidR="00C42C54">
        <w:rPr>
          <w:sz w:val="20"/>
          <w:szCs w:val="20"/>
          <w:lang w:val="fr-CA"/>
        </w:rPr>
        <w:t>3</w:t>
      </w:r>
      <w:r>
        <w:rPr>
          <w:sz w:val="20"/>
          <w:szCs w:val="20"/>
          <w:lang w:val="fr-CA"/>
        </w:rPr>
        <w:t xml:space="preserve"> </w:t>
      </w:r>
      <w:r w:rsidRPr="003B3977">
        <w:rPr>
          <w:sz w:val="20"/>
          <w:szCs w:val="20"/>
          <w:lang w:val="fr-CA"/>
        </w:rPr>
        <w:t>ma</w:t>
      </w:r>
      <w:r w:rsidR="00C42C54">
        <w:rPr>
          <w:sz w:val="20"/>
          <w:szCs w:val="20"/>
          <w:lang w:val="fr-CA"/>
        </w:rPr>
        <w:t>i</w:t>
      </w:r>
      <w:r w:rsidRPr="003B3977">
        <w:rPr>
          <w:sz w:val="20"/>
          <w:szCs w:val="20"/>
          <w:lang w:val="fr-CA"/>
        </w:rPr>
        <w:t xml:space="preserve"> 201</w:t>
      </w:r>
      <w:r>
        <w:rPr>
          <w:sz w:val="20"/>
          <w:szCs w:val="20"/>
          <w:lang w:val="fr-CA"/>
        </w:rPr>
        <w:t>3</w:t>
      </w:r>
      <w:r w:rsidRPr="003B3977">
        <w:rPr>
          <w:sz w:val="20"/>
          <w:szCs w:val="20"/>
          <w:lang w:val="fr-CA"/>
        </w:rPr>
        <w:t xml:space="preserve"> / Jugement : Le </w:t>
      </w:r>
      <w:r>
        <w:rPr>
          <w:sz w:val="20"/>
          <w:szCs w:val="20"/>
          <w:lang w:val="fr-CA"/>
        </w:rPr>
        <w:t>1</w:t>
      </w:r>
      <w:r w:rsidR="00050E05">
        <w:rPr>
          <w:sz w:val="20"/>
          <w:szCs w:val="20"/>
          <w:lang w:val="fr-CA"/>
        </w:rPr>
        <w:t>7 j</w:t>
      </w:r>
      <w:r>
        <w:rPr>
          <w:sz w:val="20"/>
          <w:szCs w:val="20"/>
          <w:lang w:val="fr-CA"/>
        </w:rPr>
        <w:t>a</w:t>
      </w:r>
      <w:r w:rsidR="00050E05">
        <w:rPr>
          <w:sz w:val="20"/>
          <w:szCs w:val="20"/>
          <w:lang w:val="fr-CA"/>
        </w:rPr>
        <w:t>nv</w:t>
      </w:r>
      <w:r>
        <w:rPr>
          <w:sz w:val="20"/>
          <w:szCs w:val="20"/>
          <w:lang w:val="fr-CA"/>
        </w:rPr>
        <w:t>i</w:t>
      </w:r>
      <w:r w:rsidR="00050E05">
        <w:rPr>
          <w:sz w:val="20"/>
          <w:szCs w:val="20"/>
          <w:lang w:val="fr-CA"/>
        </w:rPr>
        <w:t>er</w:t>
      </w:r>
      <w:r w:rsidRPr="003B3977">
        <w:rPr>
          <w:sz w:val="20"/>
          <w:szCs w:val="20"/>
          <w:lang w:val="fr-CA"/>
        </w:rPr>
        <w:t xml:space="preserve"> 201</w:t>
      </w:r>
      <w:r w:rsidR="00050E05">
        <w:rPr>
          <w:sz w:val="20"/>
          <w:szCs w:val="20"/>
          <w:lang w:val="fr-CA"/>
        </w:rPr>
        <w:t>4</w:t>
      </w:r>
    </w:p>
    <w:p w:rsidR="005C6840" w:rsidRPr="003B3977" w:rsidRDefault="001B62D0" w:rsidP="005C6840">
      <w:pPr>
        <w:rPr>
          <w:sz w:val="20"/>
          <w:szCs w:val="20"/>
          <w:lang w:val="fr-CA"/>
        </w:rPr>
      </w:pPr>
      <w:r>
        <w:rPr>
          <w:i/>
          <w:sz w:val="20"/>
          <w:szCs w:val="20"/>
        </w:rPr>
        <w:pict>
          <v:rect id="_x0000_i1081"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42C54" w:rsidRPr="00FF34C3" w:rsidRDefault="00C42C54" w:rsidP="00C42C54">
      <w:pPr>
        <w:jc w:val="both"/>
        <w:rPr>
          <w:sz w:val="20"/>
          <w:szCs w:val="20"/>
        </w:rPr>
      </w:pPr>
      <w:r w:rsidRPr="00FF34C3">
        <w:rPr>
          <w:sz w:val="20"/>
          <w:szCs w:val="20"/>
        </w:rPr>
        <w:t>Present:  McLachlin C.J. and LeBel, Fish, Abella, Rothstein, Moldaver and Wagner JJ.</w:t>
      </w:r>
    </w:p>
    <w:p w:rsidR="00C42C54" w:rsidRDefault="00C42C54" w:rsidP="00C42C54">
      <w:pPr>
        <w:pStyle w:val="SCCNormalDoubleSpacing"/>
        <w:spacing w:line="240" w:lineRule="auto"/>
        <w:rPr>
          <w:sz w:val="20"/>
        </w:rPr>
      </w:pPr>
    </w:p>
    <w:p w:rsidR="00C42C54" w:rsidRPr="00FF34C3" w:rsidRDefault="00C42C54" w:rsidP="00C42C54">
      <w:pPr>
        <w:pStyle w:val="SCCNormalDoubleSpacing"/>
        <w:spacing w:line="240" w:lineRule="auto"/>
        <w:rPr>
          <w:i/>
          <w:sz w:val="20"/>
        </w:rPr>
      </w:pPr>
      <w:r w:rsidRPr="00FF34C3">
        <w:rPr>
          <w:sz w:val="20"/>
        </w:rPr>
        <w:tab/>
      </w:r>
      <w:r w:rsidRPr="00FF34C3">
        <w:rPr>
          <w:i/>
          <w:sz w:val="20"/>
        </w:rPr>
        <w:t>Constitutional law — Charter of Rights — Search and seizure — Police responding to noise complaint at accused’s residence — Accused answering door while concealing loaded restricted firearm — Police pushing door open further to ascertain concealment — Whether officer’s conduct constituted search and if so, whether search reasonable — Canadian Charter of Rights and Freedoms, s. 8.</w:t>
      </w:r>
    </w:p>
    <w:p w:rsidR="00C42C54" w:rsidRDefault="00C42C54" w:rsidP="00C42C54">
      <w:pPr>
        <w:pStyle w:val="SCCNormalDoubleSpacing"/>
        <w:spacing w:line="240" w:lineRule="auto"/>
        <w:rPr>
          <w:i/>
          <w:sz w:val="20"/>
        </w:rPr>
      </w:pPr>
    </w:p>
    <w:p w:rsidR="00C42C54" w:rsidRPr="00FF34C3" w:rsidRDefault="00C42C54" w:rsidP="00C42C54">
      <w:pPr>
        <w:pStyle w:val="SCCNormalDoubleSpacing"/>
        <w:spacing w:line="240" w:lineRule="auto"/>
        <w:rPr>
          <w:i/>
          <w:sz w:val="20"/>
        </w:rPr>
      </w:pPr>
      <w:r w:rsidRPr="00FF34C3">
        <w:rPr>
          <w:i/>
          <w:sz w:val="20"/>
        </w:rPr>
        <w:tab/>
        <w:t xml:space="preserve">Criminal law — Offences — Elements of offence — Mens rea — Possession of loaded restricted firearm — Police responding to noise complaint at accused’s residence — Accused answering door while concealing loaded restricted firearm — Accused’s licence to possess firearm in Alberta not extending to Nova Scotia, but accused believing it did — Whether </w:t>
      </w:r>
      <w:r w:rsidRPr="00FF34C3">
        <w:rPr>
          <w:rFonts w:eastAsia="MS Gothic"/>
          <w:i/>
          <w:sz w:val="20"/>
        </w:rPr>
        <w:t>Crown required to prove accused knew or was wilfully blind to fact that possession of firearm was unauthorized</w:t>
      </w:r>
      <w:r w:rsidRPr="00FF34C3">
        <w:rPr>
          <w:i/>
          <w:sz w:val="20"/>
        </w:rPr>
        <w:t xml:space="preserve"> — Criminal Code, R.S.C. 1985, c. C</w:t>
      </w:r>
      <w:r w:rsidRPr="00FF34C3">
        <w:rPr>
          <w:i/>
          <w:sz w:val="20"/>
        </w:rPr>
        <w:noBreakHyphen/>
        <w:t>46, s. 95.</w:t>
      </w:r>
    </w:p>
    <w:p w:rsidR="00C42C54" w:rsidRDefault="00C42C54" w:rsidP="00C42C54">
      <w:pPr>
        <w:pStyle w:val="SCCNormalDoubleSpacing"/>
        <w:spacing w:line="240" w:lineRule="auto"/>
        <w:rPr>
          <w:sz w:val="20"/>
        </w:rPr>
      </w:pPr>
    </w:p>
    <w:p w:rsidR="00C42C54" w:rsidRPr="00FF34C3" w:rsidRDefault="00C42C54" w:rsidP="00C42C54">
      <w:pPr>
        <w:pStyle w:val="SCCNormalDoubleSpacing"/>
        <w:spacing w:line="240" w:lineRule="auto"/>
        <w:rPr>
          <w:sz w:val="20"/>
        </w:rPr>
      </w:pPr>
      <w:r w:rsidRPr="00FF34C3">
        <w:rPr>
          <w:sz w:val="20"/>
        </w:rPr>
        <w:tab/>
        <w:t xml:space="preserve">Police responded to a noise complaint at M’s home in Halifax.  When M opened the door, an officer observed that M had an object in his hand, hidden behind his leg.  </w:t>
      </w:r>
      <w:r w:rsidRPr="00FF34C3">
        <w:rPr>
          <w:rFonts w:eastAsia="MS Gothic"/>
          <w:sz w:val="20"/>
        </w:rPr>
        <w:t xml:space="preserve">The officer twice asked M what was in his hand.  Because M did not answer, the officer pushed the door open a few inches further to see.  </w:t>
      </w:r>
      <w:r w:rsidRPr="00FF34C3">
        <w:rPr>
          <w:sz w:val="20"/>
        </w:rPr>
        <w:t xml:space="preserve">A struggle ensued and M was disarmed of a loaded handgun.  M was licensed to possess and transport the handgun in Alberta, but not Nova Scotia as he believed he was.  At trial, the judge concluded that M’s possession of the gun was unauthorized.  He also concluded that the officer’s pushing the door open further did not breach M’s s. 8 </w:t>
      </w:r>
      <w:r w:rsidRPr="00FF34C3">
        <w:rPr>
          <w:i/>
          <w:sz w:val="20"/>
        </w:rPr>
        <w:t>Charter</w:t>
      </w:r>
      <w:r w:rsidRPr="00FF34C3">
        <w:rPr>
          <w:sz w:val="20"/>
        </w:rPr>
        <w:t xml:space="preserve"> right to be free from unreasonable search.  The trial judge convicted M of careless handling of a firearm (under s. 86 of the </w:t>
      </w:r>
      <w:r w:rsidRPr="00FF34C3">
        <w:rPr>
          <w:i/>
          <w:sz w:val="20"/>
        </w:rPr>
        <w:t>Criminal Code</w:t>
      </w:r>
      <w:r w:rsidRPr="00FF34C3">
        <w:rPr>
          <w:sz w:val="20"/>
        </w:rPr>
        <w:t>), possessing a weapon for a dangerous purpose (s. 88), and possessing a loaded restricted firearm (s. 95).  The trial judge sentenced M to a three</w:t>
      </w:r>
      <w:r w:rsidRPr="00FF34C3">
        <w:rPr>
          <w:sz w:val="20"/>
        </w:rPr>
        <w:noBreakHyphen/>
        <w:t>year imprisonment and a 10</w:t>
      </w:r>
      <w:r w:rsidRPr="00FF34C3">
        <w:rPr>
          <w:sz w:val="20"/>
        </w:rPr>
        <w:noBreakHyphen/>
        <w:t xml:space="preserve">year weapons prohibition.  A majority of the Court of Appeal upheld the trial judge’s decision that the officer did not breach M’s s. 8 </w:t>
      </w:r>
      <w:r w:rsidRPr="00FF34C3">
        <w:rPr>
          <w:i/>
          <w:sz w:val="20"/>
        </w:rPr>
        <w:t>Charter</w:t>
      </w:r>
      <w:r w:rsidRPr="00FF34C3">
        <w:rPr>
          <w:sz w:val="20"/>
        </w:rPr>
        <w:t xml:space="preserve"> right.  It upheld M’s ss. 86 and 88 </w:t>
      </w:r>
      <w:r w:rsidRPr="00FF34C3">
        <w:rPr>
          <w:i/>
          <w:sz w:val="20"/>
        </w:rPr>
        <w:t>Criminal Code</w:t>
      </w:r>
      <w:r w:rsidRPr="00FF34C3">
        <w:rPr>
          <w:sz w:val="20"/>
        </w:rPr>
        <w:t xml:space="preserve"> convictions, but significantly reduced the sentences.  However, the Court of Appeal allowed M’s appeal of his s. 95 conviction and substituted an acquittal. </w:t>
      </w:r>
    </w:p>
    <w:p w:rsidR="00C42C54" w:rsidRDefault="00C42C54" w:rsidP="00C42C54">
      <w:pPr>
        <w:pStyle w:val="SCCNormalDoubleSpacing"/>
        <w:spacing w:line="240" w:lineRule="auto"/>
        <w:rPr>
          <w:rStyle w:val="QuoteChar"/>
        </w:rPr>
      </w:pPr>
    </w:p>
    <w:p w:rsidR="00C42C54" w:rsidRPr="00FF34C3" w:rsidRDefault="00C42C54" w:rsidP="00C42C54">
      <w:pPr>
        <w:pStyle w:val="SCCNormalDoubleSpacing"/>
        <w:spacing w:line="240" w:lineRule="auto"/>
        <w:rPr>
          <w:sz w:val="20"/>
        </w:rPr>
      </w:pPr>
      <w:r w:rsidRPr="00FF34C3">
        <w:rPr>
          <w:rStyle w:val="QuoteChar"/>
          <w:sz w:val="20"/>
        </w:rPr>
        <w:tab/>
        <w:t>Held:</w:t>
      </w:r>
      <w:r w:rsidRPr="00FF34C3">
        <w:rPr>
          <w:sz w:val="20"/>
        </w:rPr>
        <w:t xml:space="preserve">  The appeal of the s. 8 </w:t>
      </w:r>
      <w:r w:rsidRPr="00FF34C3">
        <w:rPr>
          <w:i/>
          <w:sz w:val="20"/>
        </w:rPr>
        <w:t xml:space="preserve">Charter </w:t>
      </w:r>
      <w:r w:rsidRPr="00FF34C3">
        <w:rPr>
          <w:sz w:val="20"/>
        </w:rPr>
        <w:t xml:space="preserve">issue should be dismissed and the Crown’s appeal of the s. 95 </w:t>
      </w:r>
      <w:r w:rsidRPr="00FF34C3">
        <w:rPr>
          <w:i/>
          <w:sz w:val="20"/>
        </w:rPr>
        <w:t>Criminal Code</w:t>
      </w:r>
      <w:r w:rsidRPr="00FF34C3">
        <w:rPr>
          <w:sz w:val="20"/>
        </w:rPr>
        <w:t xml:space="preserve"> acquittal should be allowed.  The matter is remitted to the Court of Appeal for sentencing.</w:t>
      </w:r>
    </w:p>
    <w:p w:rsidR="00C42C54" w:rsidRDefault="00C42C54" w:rsidP="00C42C54">
      <w:pPr>
        <w:pStyle w:val="SCCNormalDoubleSpacing"/>
        <w:spacing w:line="240" w:lineRule="auto"/>
        <w:rPr>
          <w:sz w:val="20"/>
        </w:rPr>
      </w:pPr>
    </w:p>
    <w:p w:rsidR="00C42C54" w:rsidRPr="00FF34C3" w:rsidRDefault="00C42C54" w:rsidP="00C42C54">
      <w:pPr>
        <w:pStyle w:val="SCCNormalDoubleSpacing"/>
        <w:spacing w:line="240" w:lineRule="auto"/>
        <w:rPr>
          <w:sz w:val="20"/>
        </w:rPr>
      </w:pPr>
      <w:r w:rsidRPr="00FF34C3">
        <w:rPr>
          <w:sz w:val="20"/>
        </w:rPr>
        <w:tab/>
      </w:r>
      <w:r w:rsidRPr="00FF34C3">
        <w:rPr>
          <w:i/>
          <w:iCs/>
          <w:sz w:val="20"/>
        </w:rPr>
        <w:t>Per</w:t>
      </w:r>
      <w:r w:rsidRPr="00FF34C3">
        <w:rPr>
          <w:sz w:val="20"/>
        </w:rPr>
        <w:t xml:space="preserve"> McLachlin C.J. and </w:t>
      </w:r>
      <w:r w:rsidRPr="00FF34C3">
        <w:rPr>
          <w:b/>
          <w:sz w:val="20"/>
        </w:rPr>
        <w:t>LeBel</w:t>
      </w:r>
      <w:r w:rsidRPr="00FF34C3">
        <w:rPr>
          <w:sz w:val="20"/>
        </w:rPr>
        <w:t xml:space="preserve">, Fish and Abella JJ.:  The officer’s action of pushing the door open further constituted a “search” for purposes of s. 8 of the </w:t>
      </w:r>
      <w:r w:rsidRPr="00FF34C3">
        <w:rPr>
          <w:i/>
          <w:sz w:val="20"/>
        </w:rPr>
        <w:t>Charter</w:t>
      </w:r>
      <w:r w:rsidRPr="00FF34C3">
        <w:rPr>
          <w:sz w:val="20"/>
        </w:rPr>
        <w:t xml:space="preserve">.  The action went beyond the implied licence to knock on the door and constituted an invasion of M’s reasonable expectation of privacy in his home.  Although the officer’s action constituted a search for s. 8 purposes, that search was reasonable because both stages of the </w:t>
      </w:r>
      <w:r w:rsidRPr="00FF34C3">
        <w:rPr>
          <w:i/>
          <w:sz w:val="20"/>
        </w:rPr>
        <w:t>Waterfield</w:t>
      </w:r>
      <w:r w:rsidRPr="00FF34C3">
        <w:rPr>
          <w:sz w:val="20"/>
        </w:rPr>
        <w:t xml:space="preserve"> test were satisfied.  The first stage was satisfied because the warrantless search falls within the scope of the common law police duty to protect life and safety and the second, because the search constitutes a justifiable exercise of powers associated with the duty. </w:t>
      </w:r>
    </w:p>
    <w:p w:rsidR="00C42C54" w:rsidRDefault="00C42C54" w:rsidP="00C42C54">
      <w:pPr>
        <w:pStyle w:val="SCCNormalDoubleSpacing"/>
        <w:spacing w:line="240" w:lineRule="auto"/>
        <w:rPr>
          <w:sz w:val="20"/>
        </w:rPr>
      </w:pPr>
    </w:p>
    <w:p w:rsidR="00C42C54" w:rsidRPr="00FF34C3" w:rsidRDefault="00C42C54" w:rsidP="00C42C54">
      <w:pPr>
        <w:pStyle w:val="SCCNormalDoubleSpacing"/>
        <w:spacing w:line="240" w:lineRule="auto"/>
        <w:rPr>
          <w:sz w:val="20"/>
        </w:rPr>
      </w:pPr>
      <w:r w:rsidRPr="00FF34C3">
        <w:rPr>
          <w:sz w:val="20"/>
        </w:rPr>
        <w:tab/>
        <w:t xml:space="preserve">To determine whether a safety search is reasonably necessary, and therefore justifiable, a number of factors must be weighed to balance the police duty against the liberty interest in question.  These factors include: the importance of the duty to the public good; the necessity of the infringement for the performance of the duty; and the extent of the infringement.  The duty to protect life and safety is of the utmost importance to the public good, but an infringement on individual liberty may be necessary when, for example, the officer has reasonable grounds to believe that the individual is armed and dangerous.  That infringement will be justified only to the extent that it is necessary for the officer to search for weapons.  </w:t>
      </w:r>
      <w:r w:rsidRPr="00FF34C3">
        <w:rPr>
          <w:rFonts w:eastAsia="MS Gothic"/>
          <w:sz w:val="20"/>
        </w:rPr>
        <w:t xml:space="preserve">In other words, and as this Court recognized in </w:t>
      </w:r>
      <w:r w:rsidRPr="00FF34C3">
        <w:rPr>
          <w:i/>
          <w:sz w:val="20"/>
        </w:rPr>
        <w:t>R. v. Mann</w:t>
      </w:r>
      <w:r w:rsidRPr="00FF34C3">
        <w:rPr>
          <w:sz w:val="20"/>
        </w:rPr>
        <w:t>, 2004 SCC 52, [2004] 3 S.C.R. 59</w:t>
      </w:r>
      <w:r w:rsidRPr="00FF34C3">
        <w:rPr>
          <w:rFonts w:eastAsia="MS Gothic"/>
          <w:sz w:val="20"/>
        </w:rPr>
        <w:t xml:space="preserve">, the powers of the police are limited.  Courts must consider not only the extent of the infringement, but how it </w:t>
      </w:r>
      <w:r w:rsidRPr="00FF34C3">
        <w:rPr>
          <w:rFonts w:eastAsia="MS Gothic"/>
          <w:sz w:val="20"/>
        </w:rPr>
        <w:lastRenderedPageBreak/>
        <w:t xml:space="preserve">was carried out.  Restraints on safety searches are particularly important in homes, where such searches can often give the police access to a considerable amount of very sensitive personal information. </w:t>
      </w:r>
    </w:p>
    <w:p w:rsidR="00C42C54" w:rsidRDefault="00C42C54" w:rsidP="00C42C54">
      <w:pPr>
        <w:pStyle w:val="SCCNormalDoubleSpacing"/>
        <w:spacing w:line="240" w:lineRule="auto"/>
        <w:rPr>
          <w:rFonts w:eastAsia="MS Gothic"/>
          <w:sz w:val="20"/>
        </w:rPr>
      </w:pPr>
    </w:p>
    <w:p w:rsidR="00C42C54" w:rsidRPr="00FF34C3" w:rsidRDefault="00C42C54" w:rsidP="00C42C54">
      <w:pPr>
        <w:pStyle w:val="SCCNormalDoubleSpacing"/>
        <w:spacing w:line="240" w:lineRule="auto"/>
        <w:rPr>
          <w:rFonts w:eastAsia="MS Gothic"/>
          <w:sz w:val="20"/>
        </w:rPr>
      </w:pPr>
      <w:r w:rsidRPr="00FF34C3">
        <w:rPr>
          <w:rFonts w:eastAsia="MS Gothic"/>
          <w:sz w:val="20"/>
        </w:rPr>
        <w:tab/>
        <w:t xml:space="preserve">In this case, the officer had reasonable grounds to believe that there was an imminent threat to public and police safety and that the search was necessary to eliminate that threat.  The manner in which he carried out the search was also reasonable.  The trial judge found that the officer pushed the door open no more than was necessary to find out what M had behind his leg.  The officer twice asked M what he had in his hand but received no answer.  In these circumstances, it is hard to imagine a less invasive way of determining whether M was concealing a weapon and thereby eliminating any threat.  It follows that M’s rights under s. 8 of the </w:t>
      </w:r>
      <w:r w:rsidRPr="00FF34C3">
        <w:rPr>
          <w:rFonts w:eastAsia="MS Gothic"/>
          <w:i/>
          <w:sz w:val="20"/>
        </w:rPr>
        <w:t>Charter</w:t>
      </w:r>
      <w:r w:rsidRPr="00FF34C3">
        <w:rPr>
          <w:rFonts w:eastAsia="MS Gothic"/>
          <w:sz w:val="20"/>
        </w:rPr>
        <w:t xml:space="preserve"> were not violated.  </w:t>
      </w:r>
    </w:p>
    <w:p w:rsidR="00C42C54" w:rsidRDefault="00C42C54" w:rsidP="00C42C54">
      <w:pPr>
        <w:pStyle w:val="SCCNormalDoubleSpacing"/>
        <w:spacing w:line="240" w:lineRule="auto"/>
        <w:rPr>
          <w:rFonts w:eastAsia="MS Gothic"/>
          <w:sz w:val="20"/>
        </w:rPr>
      </w:pPr>
    </w:p>
    <w:p w:rsidR="00C42C54" w:rsidRPr="00FF34C3" w:rsidRDefault="00C42C54" w:rsidP="00C42C54">
      <w:pPr>
        <w:pStyle w:val="SCCNormalDoubleSpacing"/>
        <w:spacing w:line="240" w:lineRule="auto"/>
        <w:rPr>
          <w:rFonts w:eastAsia="MS Gothic"/>
          <w:sz w:val="20"/>
        </w:rPr>
      </w:pPr>
      <w:r w:rsidRPr="00FF34C3">
        <w:rPr>
          <w:rFonts w:eastAsia="MS Gothic"/>
          <w:sz w:val="20"/>
        </w:rPr>
        <w:tab/>
        <w:t xml:space="preserve">As for a s. 95 </w:t>
      </w:r>
      <w:r w:rsidRPr="00FF34C3">
        <w:rPr>
          <w:rFonts w:eastAsia="MS Gothic"/>
          <w:i/>
          <w:sz w:val="20"/>
        </w:rPr>
        <w:t>Criminal Code</w:t>
      </w:r>
      <w:r w:rsidRPr="00FF34C3">
        <w:rPr>
          <w:rFonts w:eastAsia="MS Gothic"/>
          <w:sz w:val="20"/>
        </w:rPr>
        <w:t xml:space="preserve"> conviction, the Court of Appeal erred in requiring the Crown to prove that M knew that his possession and acquisition licence and authorization to transport the firearm did not extend to his Halifax home.  That requirement is inconsistent with the rule, codified in s. 19 of the </w:t>
      </w:r>
      <w:r w:rsidRPr="00FF34C3">
        <w:rPr>
          <w:rFonts w:eastAsia="MS Gothic"/>
          <w:i/>
          <w:sz w:val="20"/>
        </w:rPr>
        <w:t>Code</w:t>
      </w:r>
      <w:r w:rsidRPr="00FF34C3">
        <w:rPr>
          <w:rFonts w:eastAsia="MS Gothic"/>
          <w:sz w:val="20"/>
        </w:rPr>
        <w:t xml:space="preserve">, that ignorance of the law is no excuse.  Section 95 is a </w:t>
      </w:r>
      <w:r w:rsidRPr="00FF34C3">
        <w:rPr>
          <w:rFonts w:eastAsia="MS Gothic"/>
          <w:i/>
          <w:sz w:val="20"/>
        </w:rPr>
        <w:t>mens rea</w:t>
      </w:r>
      <w:r w:rsidRPr="00FF34C3">
        <w:rPr>
          <w:rFonts w:eastAsia="MS Gothic"/>
          <w:sz w:val="20"/>
        </w:rPr>
        <w:t xml:space="preserve"> offence, but does not include knowledge of </w:t>
      </w:r>
      <w:r w:rsidRPr="00FF34C3">
        <w:rPr>
          <w:rFonts w:eastAsia="MS Gothic"/>
          <w:i/>
          <w:sz w:val="20"/>
        </w:rPr>
        <w:t>unauthorized</w:t>
      </w:r>
      <w:r w:rsidRPr="00FF34C3">
        <w:rPr>
          <w:rFonts w:eastAsia="MS Gothic"/>
          <w:sz w:val="20"/>
        </w:rPr>
        <w:t xml:space="preserve"> possession.  Rather, knowledge of possession, together with intention to possess in a particular place, is enough. </w:t>
      </w:r>
    </w:p>
    <w:p w:rsidR="00C42C54" w:rsidRDefault="00C42C54" w:rsidP="00C42C54">
      <w:pPr>
        <w:pStyle w:val="SCCNormalDoubleSpacing"/>
        <w:spacing w:line="240" w:lineRule="auto"/>
        <w:rPr>
          <w:rFonts w:eastAsia="MS Gothic"/>
          <w:sz w:val="20"/>
        </w:rPr>
      </w:pPr>
    </w:p>
    <w:p w:rsidR="00C42C54" w:rsidRPr="00FF34C3" w:rsidRDefault="00C42C54" w:rsidP="00C42C54">
      <w:pPr>
        <w:pStyle w:val="SCCNormalDoubleSpacing"/>
        <w:spacing w:line="240" w:lineRule="auto"/>
        <w:rPr>
          <w:rFonts w:eastAsia="MS Gothic"/>
          <w:sz w:val="20"/>
        </w:rPr>
      </w:pPr>
      <w:r w:rsidRPr="00FF34C3">
        <w:rPr>
          <w:rFonts w:eastAsia="MS Gothic"/>
          <w:sz w:val="20"/>
        </w:rPr>
        <w:tab/>
        <w:t xml:space="preserve">In this case, M’s subjective belief that he could possess the firearm in his Halifax home is a mistake of law and that mistake is no defence.  Therefore, M’s s. 95 conviction must be restored and the matter remitted to the Court of Appeal both for sentencing and for assessing the constitutional validity of the mandatory minimum sentence under s. 95. </w:t>
      </w:r>
    </w:p>
    <w:p w:rsidR="00C42C54" w:rsidRDefault="00C42C54" w:rsidP="00C42C54">
      <w:pPr>
        <w:pStyle w:val="SCCNormalDoubleSpacing"/>
        <w:spacing w:line="240" w:lineRule="auto"/>
        <w:rPr>
          <w:rFonts w:eastAsia="MS Gothic"/>
          <w:sz w:val="20"/>
        </w:rPr>
      </w:pPr>
    </w:p>
    <w:p w:rsidR="00C42C54" w:rsidRPr="00FF34C3" w:rsidRDefault="00C42C54" w:rsidP="00C42C54">
      <w:pPr>
        <w:pStyle w:val="SCCNormalDoubleSpacing"/>
        <w:spacing w:line="240" w:lineRule="auto"/>
        <w:rPr>
          <w:sz w:val="20"/>
        </w:rPr>
      </w:pPr>
      <w:r w:rsidRPr="00FF34C3">
        <w:rPr>
          <w:rFonts w:eastAsia="MS Gothic"/>
          <w:sz w:val="20"/>
        </w:rPr>
        <w:tab/>
      </w:r>
      <w:r w:rsidRPr="00FF34C3">
        <w:rPr>
          <w:i/>
          <w:iCs/>
          <w:sz w:val="20"/>
        </w:rPr>
        <w:t>Per</w:t>
      </w:r>
      <w:r w:rsidRPr="00FF34C3">
        <w:rPr>
          <w:sz w:val="20"/>
        </w:rPr>
        <w:t xml:space="preserve"> Rothstein, </w:t>
      </w:r>
      <w:r w:rsidRPr="00FF34C3">
        <w:rPr>
          <w:b/>
          <w:bCs/>
          <w:sz w:val="20"/>
        </w:rPr>
        <w:t>Moldaver</w:t>
      </w:r>
      <w:r w:rsidRPr="00FF34C3">
        <w:rPr>
          <w:sz w:val="20"/>
        </w:rPr>
        <w:t xml:space="preserve"> and </w:t>
      </w:r>
      <w:r w:rsidRPr="00FF34C3">
        <w:rPr>
          <w:b/>
          <w:sz w:val="20"/>
        </w:rPr>
        <w:t>Wagner </w:t>
      </w:r>
      <w:r w:rsidRPr="00FF34C3">
        <w:rPr>
          <w:sz w:val="20"/>
        </w:rPr>
        <w:t xml:space="preserve">JJ.:  The majority concludes that the officer’s conduct in this case was only justified because he had reasonable grounds to believe that M was armed and dangerous.  In doing so, they effectively overturn the “safety search” power recognized in </w:t>
      </w:r>
      <w:r w:rsidRPr="00FF34C3">
        <w:rPr>
          <w:i/>
          <w:sz w:val="20"/>
        </w:rPr>
        <w:t xml:space="preserve">Mann </w:t>
      </w:r>
      <w:r w:rsidRPr="00FF34C3">
        <w:rPr>
          <w:sz w:val="20"/>
        </w:rPr>
        <w:t xml:space="preserve">and a decade of subsequent jurisprudence.  </w:t>
      </w:r>
    </w:p>
    <w:p w:rsidR="00C42C54" w:rsidRDefault="00C42C54" w:rsidP="00C42C54">
      <w:pPr>
        <w:pStyle w:val="SCCNormalDoubleSpacing"/>
        <w:spacing w:line="240" w:lineRule="auto"/>
        <w:rPr>
          <w:sz w:val="20"/>
        </w:rPr>
      </w:pPr>
    </w:p>
    <w:p w:rsidR="00C42C54" w:rsidRPr="00FF34C3" w:rsidRDefault="00C42C54" w:rsidP="00C42C54">
      <w:pPr>
        <w:pStyle w:val="SCCNormalDoubleSpacing"/>
        <w:spacing w:line="240" w:lineRule="auto"/>
        <w:rPr>
          <w:rFonts w:eastAsia="MS Gothic"/>
          <w:sz w:val="20"/>
        </w:rPr>
      </w:pPr>
      <w:r w:rsidRPr="00FF34C3">
        <w:rPr>
          <w:sz w:val="20"/>
        </w:rPr>
        <w:tab/>
      </w:r>
      <w:r w:rsidRPr="00FF34C3">
        <w:rPr>
          <w:rFonts w:eastAsia="MS Gothic"/>
          <w:sz w:val="20"/>
        </w:rPr>
        <w:t xml:space="preserve">This Court decided in </w:t>
      </w:r>
      <w:r w:rsidRPr="00FF34C3">
        <w:rPr>
          <w:rFonts w:eastAsia="MS Gothic"/>
          <w:i/>
          <w:sz w:val="20"/>
        </w:rPr>
        <w:t>Mann</w:t>
      </w:r>
      <w:r w:rsidRPr="00FF34C3">
        <w:rPr>
          <w:rFonts w:eastAsia="MS Gothic"/>
          <w:sz w:val="20"/>
        </w:rPr>
        <w:t xml:space="preserve"> that officers may conduct protective searches when they have reasonable grounds to </w:t>
      </w:r>
      <w:r w:rsidRPr="00FF34C3">
        <w:rPr>
          <w:rFonts w:eastAsia="MS Gothic"/>
          <w:i/>
          <w:sz w:val="20"/>
        </w:rPr>
        <w:t>suspect</w:t>
      </w:r>
      <w:r w:rsidRPr="00FF34C3">
        <w:rPr>
          <w:rFonts w:eastAsia="MS Gothic"/>
          <w:sz w:val="20"/>
        </w:rPr>
        <w:t xml:space="preserve"> that an individual is armed and dangerous.  And that is why the search was justified in this case.  Five reasons support this conclusion. </w:t>
      </w:r>
    </w:p>
    <w:p w:rsidR="00C42C54" w:rsidRDefault="00C42C54" w:rsidP="00C42C54">
      <w:pPr>
        <w:pStyle w:val="SCCNormalDoubleSpacing"/>
        <w:spacing w:line="240" w:lineRule="auto"/>
        <w:rPr>
          <w:rFonts w:eastAsia="MS Gothic"/>
          <w:sz w:val="20"/>
        </w:rPr>
      </w:pPr>
    </w:p>
    <w:p w:rsidR="00C42C54" w:rsidRPr="00FF34C3" w:rsidRDefault="00C42C54" w:rsidP="00C42C54">
      <w:pPr>
        <w:pStyle w:val="SCCNormalDoubleSpacing"/>
        <w:spacing w:line="240" w:lineRule="auto"/>
        <w:rPr>
          <w:rFonts w:eastAsia="MS Gothic"/>
          <w:sz w:val="20"/>
        </w:rPr>
      </w:pPr>
      <w:r w:rsidRPr="00FF34C3">
        <w:rPr>
          <w:rFonts w:eastAsia="MS Gothic"/>
          <w:sz w:val="20"/>
        </w:rPr>
        <w:tab/>
        <w:t xml:space="preserve">First, the language of </w:t>
      </w:r>
      <w:r w:rsidRPr="00FF34C3">
        <w:rPr>
          <w:rFonts w:eastAsia="MS Gothic"/>
          <w:i/>
          <w:sz w:val="20"/>
        </w:rPr>
        <w:t xml:space="preserve">Mann </w:t>
      </w:r>
      <w:r w:rsidRPr="00FF34C3">
        <w:rPr>
          <w:rFonts w:eastAsia="MS Gothic"/>
          <w:sz w:val="20"/>
        </w:rPr>
        <w:t xml:space="preserve">makes clear that it recognized a protective search power predicated on reasonable suspicion.  Second, </w:t>
      </w:r>
      <w:r w:rsidRPr="00FF34C3">
        <w:rPr>
          <w:rFonts w:eastAsia="MS Gothic"/>
          <w:i/>
          <w:sz w:val="20"/>
        </w:rPr>
        <w:t xml:space="preserve">Mann </w:t>
      </w:r>
      <w:r w:rsidRPr="00FF34C3">
        <w:rPr>
          <w:rFonts w:eastAsia="MS Gothic"/>
          <w:sz w:val="20"/>
        </w:rPr>
        <w:t xml:space="preserve">relies on the U.S. Supreme Court’s seminal decision in </w:t>
      </w:r>
      <w:r w:rsidRPr="00FF34C3">
        <w:rPr>
          <w:rFonts w:eastAsia="MS Gothic"/>
          <w:i/>
          <w:sz w:val="20"/>
        </w:rPr>
        <w:t>Terry v. Ohio</w:t>
      </w:r>
      <w:r w:rsidRPr="00FF34C3">
        <w:rPr>
          <w:rFonts w:eastAsia="MS Gothic"/>
          <w:sz w:val="20"/>
        </w:rPr>
        <w:t xml:space="preserve">, 392 U.S. 1 (1968), a decision which recognized a directly analogous protective search power on a reasonable suspicion standard.  Third, subsequent judgments from this Court and courts of appeal have affirmed that </w:t>
      </w:r>
      <w:r w:rsidRPr="00FF34C3">
        <w:rPr>
          <w:rFonts w:eastAsia="MS Gothic"/>
          <w:i/>
          <w:sz w:val="20"/>
        </w:rPr>
        <w:t xml:space="preserve">Mann </w:t>
      </w:r>
      <w:r w:rsidRPr="00FF34C3">
        <w:rPr>
          <w:rFonts w:eastAsia="MS Gothic"/>
          <w:sz w:val="20"/>
        </w:rPr>
        <w:t xml:space="preserve">employed the reasonable suspicion standard.  Fourth, the logical consequences of a reasonable grounds to believe standard make little sense in this context; if </w:t>
      </w:r>
      <w:r w:rsidRPr="00FF34C3">
        <w:rPr>
          <w:rFonts w:eastAsia="MS Gothic"/>
          <w:i/>
          <w:sz w:val="20"/>
        </w:rPr>
        <w:t xml:space="preserve">Mann </w:t>
      </w:r>
      <w:r w:rsidRPr="00FF34C3">
        <w:rPr>
          <w:rFonts w:eastAsia="MS Gothic"/>
          <w:sz w:val="20"/>
        </w:rPr>
        <w:t>required reasonable grounds to believe for a pat</w:t>
      </w:r>
      <w:r w:rsidRPr="00FF34C3">
        <w:rPr>
          <w:rFonts w:eastAsia="MS Gothic"/>
          <w:sz w:val="20"/>
        </w:rPr>
        <w:noBreakHyphen/>
        <w:t xml:space="preserve">down search, it would seem that all that </w:t>
      </w:r>
      <w:r w:rsidRPr="00FF34C3">
        <w:rPr>
          <w:rFonts w:eastAsia="MS Gothic"/>
          <w:i/>
          <w:sz w:val="20"/>
        </w:rPr>
        <w:t xml:space="preserve">Mann </w:t>
      </w:r>
      <w:r w:rsidRPr="00FF34C3">
        <w:rPr>
          <w:rFonts w:eastAsia="MS Gothic"/>
          <w:sz w:val="20"/>
        </w:rPr>
        <w:t xml:space="preserve">achieves is a power to </w:t>
      </w:r>
      <w:r w:rsidRPr="00FF34C3">
        <w:rPr>
          <w:rFonts w:eastAsia="MS Gothic"/>
          <w:i/>
          <w:sz w:val="20"/>
        </w:rPr>
        <w:t xml:space="preserve">search </w:t>
      </w:r>
      <w:r w:rsidRPr="00FF34C3">
        <w:rPr>
          <w:rFonts w:eastAsia="MS Gothic"/>
          <w:sz w:val="20"/>
        </w:rPr>
        <w:t xml:space="preserve">when there are already grounds to </w:t>
      </w:r>
      <w:r w:rsidRPr="00FF34C3">
        <w:rPr>
          <w:rFonts w:eastAsia="MS Gothic"/>
          <w:i/>
          <w:sz w:val="20"/>
        </w:rPr>
        <w:t>arrest</w:t>
      </w:r>
      <w:r w:rsidRPr="00FF34C3">
        <w:rPr>
          <w:rFonts w:eastAsia="MS Gothic"/>
          <w:sz w:val="20"/>
        </w:rPr>
        <w:t>.  Fifth, the facts of this case do not support a finding that the officer had reasonable grounds to believe that M was armed and dangerous.</w:t>
      </w:r>
    </w:p>
    <w:p w:rsidR="00C42C54" w:rsidRDefault="00C42C54" w:rsidP="00C42C54">
      <w:pPr>
        <w:pStyle w:val="SCCNormalDoubleSpacing"/>
        <w:spacing w:line="240" w:lineRule="auto"/>
        <w:rPr>
          <w:rFonts w:eastAsia="MS Gothic"/>
          <w:sz w:val="20"/>
        </w:rPr>
      </w:pPr>
    </w:p>
    <w:p w:rsidR="00C42C54" w:rsidRPr="00FF34C3" w:rsidRDefault="00C42C54" w:rsidP="00C42C54">
      <w:pPr>
        <w:pStyle w:val="SCCNormalDoubleSpacing"/>
        <w:spacing w:line="240" w:lineRule="auto"/>
        <w:rPr>
          <w:rFonts w:eastAsia="MS Gothic"/>
          <w:sz w:val="20"/>
        </w:rPr>
      </w:pPr>
      <w:r w:rsidRPr="00FF34C3">
        <w:rPr>
          <w:rFonts w:eastAsia="MS Gothic"/>
          <w:sz w:val="20"/>
        </w:rPr>
        <w:tab/>
        <w:t xml:space="preserve">These five reasons — the language of </w:t>
      </w:r>
      <w:r w:rsidRPr="00FF34C3">
        <w:rPr>
          <w:rFonts w:eastAsia="MS Gothic"/>
          <w:i/>
          <w:sz w:val="20"/>
        </w:rPr>
        <w:t>Mann</w:t>
      </w:r>
      <w:r w:rsidRPr="00FF34C3">
        <w:rPr>
          <w:rFonts w:eastAsia="MS Gothic"/>
          <w:sz w:val="20"/>
        </w:rPr>
        <w:t xml:space="preserve">, the history from which </w:t>
      </w:r>
      <w:r w:rsidRPr="00FF34C3">
        <w:rPr>
          <w:rFonts w:eastAsia="MS Gothic"/>
          <w:i/>
          <w:sz w:val="20"/>
        </w:rPr>
        <w:t>Mann</w:t>
      </w:r>
      <w:r w:rsidRPr="00FF34C3">
        <w:rPr>
          <w:rFonts w:eastAsia="MS Gothic"/>
          <w:sz w:val="20"/>
        </w:rPr>
        <w:t xml:space="preserve"> emerged, the consequences of interpreting </w:t>
      </w:r>
      <w:r w:rsidRPr="00FF34C3">
        <w:rPr>
          <w:rFonts w:eastAsia="MS Gothic"/>
          <w:i/>
          <w:sz w:val="20"/>
        </w:rPr>
        <w:t>Mann</w:t>
      </w:r>
      <w:r w:rsidRPr="00FF34C3">
        <w:rPr>
          <w:rFonts w:eastAsia="MS Gothic"/>
          <w:sz w:val="20"/>
        </w:rPr>
        <w:t xml:space="preserve"> as requiring reasonable grounds to believe, the jurisprudence that has interpreted </w:t>
      </w:r>
      <w:r w:rsidRPr="00FF34C3">
        <w:rPr>
          <w:rFonts w:eastAsia="MS Gothic"/>
          <w:i/>
          <w:sz w:val="20"/>
        </w:rPr>
        <w:t>Mann</w:t>
      </w:r>
      <w:r w:rsidRPr="00FF34C3">
        <w:rPr>
          <w:rFonts w:eastAsia="MS Gothic"/>
          <w:sz w:val="20"/>
        </w:rPr>
        <w:t xml:space="preserve">, and the facts of this case — all lead to the same unavoidable conclusion: </w:t>
      </w:r>
      <w:r w:rsidRPr="00FF34C3">
        <w:rPr>
          <w:rFonts w:eastAsia="MS Gothic"/>
          <w:i/>
          <w:sz w:val="20"/>
        </w:rPr>
        <w:t>Mann</w:t>
      </w:r>
      <w:r w:rsidRPr="00FF34C3">
        <w:rPr>
          <w:rFonts w:eastAsia="MS Gothic"/>
          <w:sz w:val="20"/>
        </w:rPr>
        <w:t xml:space="preserve"> recognized a protective search power predicated on reasonable suspicion. </w:t>
      </w:r>
    </w:p>
    <w:p w:rsidR="00C42C54" w:rsidRDefault="00C42C54" w:rsidP="00C42C54">
      <w:pPr>
        <w:pStyle w:val="SCCNormalDoubleSpacing"/>
        <w:spacing w:line="240" w:lineRule="auto"/>
        <w:rPr>
          <w:rFonts w:eastAsia="MS Gothic"/>
          <w:sz w:val="20"/>
        </w:rPr>
      </w:pPr>
    </w:p>
    <w:p w:rsidR="00C42C54" w:rsidRPr="00FF34C3" w:rsidRDefault="00C42C54" w:rsidP="00C42C54">
      <w:pPr>
        <w:pStyle w:val="SCCNormalDoubleSpacing"/>
        <w:spacing w:line="240" w:lineRule="auto"/>
        <w:rPr>
          <w:i/>
          <w:iCs/>
          <w:sz w:val="20"/>
        </w:rPr>
      </w:pPr>
      <w:r w:rsidRPr="00FF34C3">
        <w:rPr>
          <w:rFonts w:eastAsia="MS Gothic"/>
          <w:sz w:val="20"/>
        </w:rPr>
        <w:tab/>
        <w:t xml:space="preserve">This case ought to have been resolved by extending the logic of </w:t>
      </w:r>
      <w:r w:rsidRPr="00FF34C3">
        <w:rPr>
          <w:rFonts w:eastAsia="MS Gothic"/>
          <w:i/>
          <w:sz w:val="20"/>
        </w:rPr>
        <w:t>Mann</w:t>
      </w:r>
      <w:r w:rsidRPr="00FF34C3">
        <w:rPr>
          <w:rFonts w:eastAsia="MS Gothic"/>
          <w:sz w:val="20"/>
        </w:rPr>
        <w:t>.  First, the officer, while lawfully engaged in his duties, had a reasonable suspicion that M was armed and dangerous.  Second, in response to that reasonable suspicion, the officer’s conduct — pushing M’s door open a few more inches — was no more intrusive of M’s privacy interests than was reasonably necessary to address the threat.  Accordingly, the search was reasonable for s. 8 purposes.</w:t>
      </w:r>
    </w:p>
    <w:p w:rsidR="00C42C54" w:rsidRDefault="00C42C54" w:rsidP="00C42C54">
      <w:pPr>
        <w:pStyle w:val="SCCNormalDoubleSpacing"/>
        <w:spacing w:line="240" w:lineRule="auto"/>
        <w:rPr>
          <w:rFonts w:eastAsia="MS Gothic"/>
          <w:sz w:val="20"/>
        </w:rPr>
      </w:pPr>
    </w:p>
    <w:p w:rsidR="00C42C54" w:rsidRDefault="00C42C54" w:rsidP="00C42C54">
      <w:pPr>
        <w:pStyle w:val="SCCNormalDoubleSpacing"/>
        <w:spacing w:line="240" w:lineRule="auto"/>
        <w:rPr>
          <w:sz w:val="20"/>
        </w:rPr>
      </w:pPr>
      <w:r w:rsidRPr="00FF34C3">
        <w:rPr>
          <w:rFonts w:eastAsia="MS Gothic"/>
          <w:sz w:val="20"/>
        </w:rPr>
        <w:tab/>
        <w:t xml:space="preserve">The consequences of the majority’s decision is to deprive officers of </w:t>
      </w:r>
      <w:r w:rsidRPr="00FF34C3">
        <w:rPr>
          <w:sz w:val="20"/>
        </w:rPr>
        <w:t xml:space="preserve">the ability to conduct </w:t>
      </w:r>
      <w:r w:rsidRPr="00FF34C3">
        <w:rPr>
          <w:rFonts w:eastAsia="MS Gothic"/>
          <w:sz w:val="20"/>
        </w:rPr>
        <w:t>protective</w:t>
      </w:r>
      <w:r w:rsidRPr="00FF34C3">
        <w:rPr>
          <w:sz w:val="20"/>
        </w:rPr>
        <w:t xml:space="preserve"> searches except in circumstances where they already have grounds to arrest.  As of today, officers are empowered to detain individuals they </w:t>
      </w:r>
      <w:r w:rsidRPr="00FF34C3">
        <w:rPr>
          <w:i/>
          <w:sz w:val="20"/>
        </w:rPr>
        <w:t xml:space="preserve">suspect </w:t>
      </w:r>
      <w:r w:rsidRPr="00FF34C3">
        <w:rPr>
          <w:sz w:val="20"/>
        </w:rPr>
        <w:t>are armed and dangerous for investigatory purposes, but they have no power to conduct pat</w:t>
      </w:r>
      <w:r w:rsidRPr="00FF34C3">
        <w:rPr>
          <w:sz w:val="20"/>
        </w:rPr>
        <w:noBreakHyphen/>
        <w:t xml:space="preserve">down searches to ensure their safety or the safety of the public as they conduct these investigations.  However, a police officer in the field, faced with a realistic risk of imminent harm, should be able to act immediately and take reasonable steps, in the form of a minimally intrusive safety search, to alleviate the risk.   </w:t>
      </w:r>
    </w:p>
    <w:p w:rsidR="00C42C54" w:rsidRDefault="00C42C54" w:rsidP="00C42C54">
      <w:pPr>
        <w:pStyle w:val="SCCNormalDoubleSpacing"/>
        <w:spacing w:line="240" w:lineRule="auto"/>
        <w:rPr>
          <w:sz w:val="20"/>
        </w:rPr>
      </w:pPr>
    </w:p>
    <w:p w:rsidR="00C42C54" w:rsidRPr="00FF34C3" w:rsidRDefault="00C42C54" w:rsidP="00C42C54">
      <w:pPr>
        <w:pStyle w:val="SCCNormalDoubleSpacing"/>
        <w:spacing w:line="240" w:lineRule="auto"/>
        <w:rPr>
          <w:sz w:val="20"/>
        </w:rPr>
      </w:pPr>
      <w:r w:rsidRPr="00FF34C3">
        <w:rPr>
          <w:sz w:val="20"/>
        </w:rPr>
        <w:tab/>
        <w:t xml:space="preserve">APPEALS from a judgment of the Nova Scotia Court of Appeal (MacDonald C.J. and Saunders and Beveridge JJ.A.), 2012 NSCA 50, 317 N.S.R. (2d) 90, 1003 A.P.R. 90, 283 C.C.C. (3d) 308, 261 C.R.R. (2d) 303, [2012] N.S.J. No. 252 (QL), 2012 CarswellNS 328, setting aside the accused’s conviction for possession of a loaded restricted firearm.  Appeal of Erin Lee MacDonald dismissed and appeal of Her Majesty The Queen allowed. </w:t>
      </w:r>
    </w:p>
    <w:p w:rsidR="00C42C54" w:rsidRDefault="00C42C54" w:rsidP="00C42C54">
      <w:pPr>
        <w:pStyle w:val="SCCNormalDoubleSpacing"/>
        <w:spacing w:line="240" w:lineRule="auto"/>
        <w:rPr>
          <w:rStyle w:val="SCCCounselNameChar"/>
          <w:sz w:val="20"/>
        </w:rPr>
      </w:pPr>
    </w:p>
    <w:p w:rsidR="00C42C54" w:rsidRPr="00FF34C3" w:rsidRDefault="00C42C54" w:rsidP="00C42C54">
      <w:pPr>
        <w:pStyle w:val="SCCNormalDoubleSpacing"/>
        <w:spacing w:line="240" w:lineRule="auto"/>
        <w:rPr>
          <w:sz w:val="20"/>
        </w:rPr>
      </w:pPr>
      <w:r w:rsidRPr="00FF34C3">
        <w:rPr>
          <w:rStyle w:val="SCCCounselNameChar"/>
          <w:sz w:val="20"/>
        </w:rPr>
        <w:tab/>
        <w:t>Hersh Wolch, Q.C.,</w:t>
      </w:r>
      <w:r w:rsidRPr="00C42C54">
        <w:rPr>
          <w:rStyle w:val="SCCCounselSeparatorChar"/>
          <w:sz w:val="20"/>
          <w:lang w:val="en-CA"/>
        </w:rPr>
        <w:t xml:space="preserve"> and </w:t>
      </w:r>
      <w:r w:rsidRPr="00FF34C3">
        <w:rPr>
          <w:rStyle w:val="SCCCounselNameChar"/>
          <w:sz w:val="20"/>
        </w:rPr>
        <w:t>Janna Watts</w:t>
      </w:r>
      <w:r w:rsidRPr="00FF34C3">
        <w:rPr>
          <w:rStyle w:val="SCCCounselPartyRoleChar"/>
          <w:sz w:val="20"/>
        </w:rPr>
        <w:t>, for the appellant/respondent.</w:t>
      </w:r>
    </w:p>
    <w:p w:rsidR="00C42C54" w:rsidRDefault="00C42C54" w:rsidP="00C42C54">
      <w:pPr>
        <w:pStyle w:val="SCCNormalDoubleSpacing"/>
        <w:spacing w:line="240" w:lineRule="auto"/>
        <w:rPr>
          <w:rStyle w:val="SCCCounselNameChar"/>
          <w:sz w:val="20"/>
        </w:rPr>
      </w:pPr>
    </w:p>
    <w:p w:rsidR="00C42C54" w:rsidRPr="00FF34C3" w:rsidRDefault="00C42C54" w:rsidP="00C42C54">
      <w:pPr>
        <w:pStyle w:val="SCCNormalDoubleSpacing"/>
        <w:spacing w:line="240" w:lineRule="auto"/>
        <w:rPr>
          <w:sz w:val="20"/>
        </w:rPr>
      </w:pPr>
      <w:r w:rsidRPr="00FF34C3">
        <w:rPr>
          <w:rStyle w:val="SCCCounselNameChar"/>
          <w:sz w:val="20"/>
        </w:rPr>
        <w:tab/>
        <w:t>William D. Delaney, Q.C.,</w:t>
      </w:r>
      <w:r w:rsidRPr="00C42C54">
        <w:rPr>
          <w:rStyle w:val="SCCCounselSeparatorChar"/>
          <w:sz w:val="20"/>
          <w:lang w:val="en-CA"/>
        </w:rPr>
        <w:t xml:space="preserve"> and </w:t>
      </w:r>
      <w:r w:rsidRPr="00FF34C3">
        <w:rPr>
          <w:rStyle w:val="SCCCounselNameChar"/>
          <w:sz w:val="20"/>
        </w:rPr>
        <w:t>Timothy S. O’Leary</w:t>
      </w:r>
      <w:r w:rsidRPr="00FF34C3">
        <w:rPr>
          <w:rStyle w:val="SCCCounselPartyRoleChar"/>
          <w:sz w:val="20"/>
        </w:rPr>
        <w:t>, for the respondent/appellant.</w:t>
      </w:r>
    </w:p>
    <w:p w:rsidR="00C42C54" w:rsidRDefault="00C42C54" w:rsidP="00C42C54">
      <w:pPr>
        <w:pStyle w:val="SCCNormalDoubleSpacing"/>
        <w:spacing w:line="240" w:lineRule="auto"/>
        <w:rPr>
          <w:rStyle w:val="SCCCounselNameChar"/>
          <w:sz w:val="20"/>
        </w:rPr>
      </w:pPr>
    </w:p>
    <w:p w:rsidR="00C42C54" w:rsidRPr="00FF34C3" w:rsidRDefault="00C42C54" w:rsidP="00C42C54">
      <w:pPr>
        <w:pStyle w:val="SCCNormalDoubleSpacing"/>
        <w:spacing w:line="240" w:lineRule="auto"/>
        <w:rPr>
          <w:rStyle w:val="SCCCounselPartyRoleChar"/>
          <w:sz w:val="20"/>
        </w:rPr>
      </w:pPr>
      <w:r w:rsidRPr="00FF34C3">
        <w:rPr>
          <w:rStyle w:val="SCCCounselNameChar"/>
          <w:sz w:val="20"/>
        </w:rPr>
        <w:tab/>
        <w:t>James C. Martin and Ann Marie Simmons</w:t>
      </w:r>
      <w:r w:rsidRPr="00FF34C3">
        <w:rPr>
          <w:rStyle w:val="SCCCounselPartyRoleChar"/>
          <w:sz w:val="20"/>
        </w:rPr>
        <w:t>, for the intervener the Director of Public Prosecutions.</w:t>
      </w:r>
    </w:p>
    <w:p w:rsidR="00C42C54" w:rsidRDefault="00C42C54" w:rsidP="00C42C54">
      <w:pPr>
        <w:pStyle w:val="SCCNormalDoubleSpacing"/>
        <w:spacing w:line="240" w:lineRule="auto"/>
        <w:rPr>
          <w:rStyle w:val="SCCCounselNameChar"/>
          <w:sz w:val="20"/>
        </w:rPr>
      </w:pPr>
    </w:p>
    <w:p w:rsidR="00C42C54" w:rsidRPr="00FF34C3" w:rsidRDefault="00C42C54" w:rsidP="00C42C54">
      <w:pPr>
        <w:pStyle w:val="SCCNormalDoubleSpacing"/>
        <w:spacing w:line="240" w:lineRule="auto"/>
        <w:rPr>
          <w:sz w:val="20"/>
        </w:rPr>
      </w:pPr>
      <w:r w:rsidRPr="00FF34C3">
        <w:rPr>
          <w:rStyle w:val="SCCCounselNameChar"/>
          <w:sz w:val="20"/>
        </w:rPr>
        <w:tab/>
        <w:t>John C. Pearson</w:t>
      </w:r>
      <w:r w:rsidRPr="00C42C54">
        <w:rPr>
          <w:rStyle w:val="SCCCounselSeparatorChar"/>
          <w:sz w:val="20"/>
          <w:lang w:val="en-CA"/>
        </w:rPr>
        <w:t xml:space="preserve"> and </w:t>
      </w:r>
      <w:r w:rsidRPr="00FF34C3">
        <w:rPr>
          <w:rStyle w:val="SCCCounselNameChar"/>
          <w:sz w:val="20"/>
        </w:rPr>
        <w:t>Michelle Campbell</w:t>
      </w:r>
      <w:r w:rsidRPr="00FF34C3">
        <w:rPr>
          <w:rStyle w:val="SCCCounselPartyRoleChar"/>
          <w:sz w:val="20"/>
        </w:rPr>
        <w:t>, for the intervener the Attorney General of Ontario.</w:t>
      </w:r>
    </w:p>
    <w:p w:rsidR="00C42C54" w:rsidRDefault="00C42C54" w:rsidP="00C42C54">
      <w:pPr>
        <w:pStyle w:val="SCCLawFirm"/>
        <w:spacing w:line="240" w:lineRule="auto"/>
        <w:rPr>
          <w:sz w:val="20"/>
        </w:rPr>
      </w:pPr>
    </w:p>
    <w:p w:rsidR="00C42C54" w:rsidRPr="00FF34C3" w:rsidRDefault="00C42C54" w:rsidP="00C42C54">
      <w:pPr>
        <w:pStyle w:val="SCCLawFirm"/>
        <w:spacing w:line="240" w:lineRule="auto"/>
        <w:rPr>
          <w:sz w:val="20"/>
        </w:rPr>
      </w:pPr>
      <w:r w:rsidRPr="00FF34C3">
        <w:rPr>
          <w:sz w:val="20"/>
        </w:rPr>
        <w:tab/>
        <w:t>Solicitors for the appellant/respondent:  Wolch, Hursh, deWit, Silverberg &amp; Watts, Calgary.</w:t>
      </w:r>
    </w:p>
    <w:p w:rsidR="00C42C54" w:rsidRDefault="00C42C54" w:rsidP="00C42C54">
      <w:pPr>
        <w:pStyle w:val="SCCLawFirm"/>
        <w:spacing w:line="240" w:lineRule="auto"/>
        <w:rPr>
          <w:sz w:val="20"/>
        </w:rPr>
      </w:pPr>
    </w:p>
    <w:p w:rsidR="00C42C54" w:rsidRPr="00FF34C3" w:rsidRDefault="00C42C54" w:rsidP="00C42C54">
      <w:pPr>
        <w:pStyle w:val="SCCLawFirm"/>
        <w:spacing w:line="240" w:lineRule="auto"/>
        <w:rPr>
          <w:sz w:val="20"/>
        </w:rPr>
      </w:pPr>
      <w:r w:rsidRPr="00FF34C3">
        <w:rPr>
          <w:sz w:val="20"/>
        </w:rPr>
        <w:tab/>
        <w:t>Solicitor for the respondent/appellant:  Public Prosecution Service of Nova Scotia, Halifax.</w:t>
      </w:r>
    </w:p>
    <w:p w:rsidR="00C42C54" w:rsidRDefault="00C42C54" w:rsidP="00C42C54">
      <w:pPr>
        <w:pStyle w:val="SCCLawFirm"/>
        <w:spacing w:line="240" w:lineRule="auto"/>
        <w:rPr>
          <w:sz w:val="20"/>
        </w:rPr>
      </w:pPr>
    </w:p>
    <w:p w:rsidR="00C42C54" w:rsidRPr="00FF34C3" w:rsidRDefault="00C42C54" w:rsidP="00C42C54">
      <w:pPr>
        <w:pStyle w:val="SCCLawFirm"/>
        <w:spacing w:line="240" w:lineRule="auto"/>
        <w:rPr>
          <w:sz w:val="20"/>
        </w:rPr>
      </w:pPr>
      <w:r w:rsidRPr="00FF34C3">
        <w:rPr>
          <w:sz w:val="20"/>
        </w:rPr>
        <w:tab/>
        <w:t>Solicitor for the intervener the Director of Public Prosecutions:  Public Prosecution Service of Canada, Halifax.</w:t>
      </w:r>
    </w:p>
    <w:p w:rsidR="00C42C54" w:rsidRDefault="00C42C54" w:rsidP="00C42C54">
      <w:pPr>
        <w:pStyle w:val="SCCLawFirm"/>
        <w:spacing w:line="240" w:lineRule="auto"/>
        <w:rPr>
          <w:sz w:val="20"/>
        </w:rPr>
      </w:pPr>
    </w:p>
    <w:p w:rsidR="00C42C54" w:rsidRDefault="00C42C54" w:rsidP="00C42C54">
      <w:pPr>
        <w:pStyle w:val="SCCLawFirm"/>
        <w:spacing w:line="240" w:lineRule="auto"/>
        <w:rPr>
          <w:sz w:val="20"/>
        </w:rPr>
      </w:pPr>
      <w:r w:rsidRPr="00FF34C3">
        <w:rPr>
          <w:sz w:val="20"/>
        </w:rPr>
        <w:tab/>
        <w:t>Solicitor for the intervener the Attorney General of Ontario:  Attorney General of Ontario, Toronto.</w:t>
      </w:r>
    </w:p>
    <w:p w:rsidR="00902E51" w:rsidRPr="00C42C54" w:rsidRDefault="00902E51" w:rsidP="00902E51">
      <w:pPr>
        <w:rPr>
          <w:sz w:val="20"/>
          <w:szCs w:val="20"/>
          <w:lang w:val="fr-CA"/>
        </w:rPr>
      </w:pPr>
      <w:r w:rsidRPr="00C42C54">
        <w:rPr>
          <w:sz w:val="20"/>
          <w:szCs w:val="20"/>
          <w:lang w:val="fr-CA"/>
        </w:rPr>
        <w:t>________________________</w:t>
      </w:r>
    </w:p>
    <w:p w:rsidR="00902E51" w:rsidRPr="00C42C54" w:rsidRDefault="00902E51" w:rsidP="00902E51">
      <w:pPr>
        <w:rPr>
          <w:sz w:val="20"/>
          <w:szCs w:val="20"/>
          <w:lang w:val="fr-CA"/>
        </w:rPr>
      </w:pPr>
    </w:p>
    <w:p w:rsidR="00C42C54" w:rsidRPr="003F1C41" w:rsidRDefault="00C42C54" w:rsidP="00C42C54">
      <w:pPr>
        <w:jc w:val="both"/>
        <w:rPr>
          <w:sz w:val="20"/>
          <w:szCs w:val="20"/>
          <w:lang w:val="fr-CA"/>
        </w:rPr>
      </w:pPr>
      <w:r w:rsidRPr="003F1C41">
        <w:rPr>
          <w:sz w:val="20"/>
          <w:szCs w:val="20"/>
          <w:lang w:val="fr-CA"/>
        </w:rPr>
        <w:t>Présents : La juge en chef McLachlin et les juges LeBel, Fish, Abella, Rothstein, Moldaver et Wagner.</w:t>
      </w:r>
    </w:p>
    <w:p w:rsidR="00C42C54" w:rsidRDefault="00C42C54" w:rsidP="00C42C54">
      <w:pPr>
        <w:jc w:val="both"/>
        <w:rPr>
          <w:smallCaps/>
          <w:sz w:val="20"/>
          <w:lang w:val="fr-CA"/>
        </w:rPr>
      </w:pPr>
    </w:p>
    <w:p w:rsidR="00C42C54" w:rsidRPr="003F1C41" w:rsidRDefault="00C42C54" w:rsidP="00C42C54">
      <w:pPr>
        <w:pStyle w:val="SCCNormalDoubleSpacing"/>
        <w:spacing w:line="240" w:lineRule="auto"/>
        <w:rPr>
          <w:i/>
          <w:sz w:val="20"/>
          <w:lang w:val="fr-CA"/>
        </w:rPr>
      </w:pPr>
      <w:r w:rsidRPr="003F1C41">
        <w:rPr>
          <w:sz w:val="20"/>
          <w:lang w:val="fr-CA"/>
        </w:rPr>
        <w:tab/>
      </w:r>
      <w:r w:rsidRPr="003F1C41">
        <w:rPr>
          <w:i/>
          <w:sz w:val="20"/>
          <w:lang w:val="fr-CA"/>
        </w:rPr>
        <w:t xml:space="preserve">Droit constitutionnel — Charte des droits — Fouilles, perquisitions et saisies — </w:t>
      </w:r>
      <w:bookmarkStart w:id="2" w:name="OLE_LINK1"/>
      <w:bookmarkStart w:id="3" w:name="OLE_LINK2"/>
      <w:r w:rsidRPr="003F1C41">
        <w:rPr>
          <w:i/>
          <w:sz w:val="20"/>
          <w:lang w:val="fr-CA"/>
        </w:rPr>
        <w:t xml:space="preserve">Policier répondant à une plainte de bruit à la résidence de l’accusé — Accusé dissimulant une arme à feu à autorisation restreinte chargée en ouvrant la porte — </w:t>
      </w:r>
      <w:bookmarkEnd w:id="2"/>
      <w:bookmarkEnd w:id="3"/>
      <w:r w:rsidRPr="003F1C41">
        <w:rPr>
          <w:i/>
          <w:sz w:val="20"/>
          <w:lang w:val="fr-CA"/>
        </w:rPr>
        <w:t>Policier poussant la porte pour l’ouvrir un peu plus afin de voir ce que dissimulait l’accusé — La conduite du policier constituait</w:t>
      </w:r>
      <w:r w:rsidRPr="003F1C41">
        <w:rPr>
          <w:i/>
          <w:sz w:val="20"/>
          <w:lang w:val="fr-CA"/>
        </w:rPr>
        <w:noBreakHyphen/>
        <w:t>elle une fouille et, dans l’affirmative, la fouille était</w:t>
      </w:r>
      <w:r w:rsidRPr="003F1C41">
        <w:rPr>
          <w:i/>
          <w:sz w:val="20"/>
          <w:lang w:val="fr-CA"/>
        </w:rPr>
        <w:noBreakHyphen/>
        <w:t>elle abusive? — Charte canadienne des droits et libertés, art. 8.</w:t>
      </w:r>
    </w:p>
    <w:p w:rsidR="00C42C54" w:rsidRDefault="00C42C54" w:rsidP="00C42C54">
      <w:pPr>
        <w:pStyle w:val="SCCNormalDoubleSpacing"/>
        <w:spacing w:line="240" w:lineRule="auto"/>
        <w:rPr>
          <w:i/>
          <w:sz w:val="20"/>
          <w:lang w:val="fr-CA"/>
        </w:rPr>
      </w:pPr>
    </w:p>
    <w:p w:rsidR="00C42C54" w:rsidRPr="003F1C41" w:rsidRDefault="00C42C54" w:rsidP="00C42C54">
      <w:pPr>
        <w:pStyle w:val="SCCNormalDoubleSpacing"/>
        <w:spacing w:line="240" w:lineRule="auto"/>
        <w:rPr>
          <w:i/>
          <w:sz w:val="20"/>
          <w:lang w:val="fr-CA"/>
        </w:rPr>
      </w:pPr>
      <w:r w:rsidRPr="003F1C41">
        <w:rPr>
          <w:i/>
          <w:sz w:val="20"/>
          <w:lang w:val="fr-CA"/>
        </w:rPr>
        <w:tab/>
        <w:t>Droit criminel — Infractions — Éléments de l’infraction — Mens rea — Possession d’une arme à feu à autorisation restreinte chargée — Policier répondant à une plainte de bruit à la résidence de l’accusé — Accusé dissimulant une arme à feu à autorisation restreinte chargée en ouvrant la porte — Accusé croyant à tort que son permis de possession d’une arme à feu en Alberta était valide en Nouvelle</w:t>
      </w:r>
      <w:r w:rsidRPr="003F1C41">
        <w:rPr>
          <w:i/>
          <w:sz w:val="20"/>
          <w:lang w:val="fr-CA"/>
        </w:rPr>
        <w:noBreakHyphen/>
        <w:t>Écosse — Le ministère public devait</w:t>
      </w:r>
      <w:r w:rsidRPr="003F1C41">
        <w:rPr>
          <w:i/>
          <w:sz w:val="20"/>
          <w:lang w:val="fr-CA"/>
        </w:rPr>
        <w:noBreakHyphen/>
        <w:t>il prouver que l’accusé savait ou avait ignoré volontairement que sa possession de l’arme à feu n’était pas autorisée? — Code criminel, L.R.C. 1985, ch. C</w:t>
      </w:r>
      <w:r w:rsidRPr="003F1C41">
        <w:rPr>
          <w:i/>
          <w:sz w:val="20"/>
          <w:lang w:val="fr-CA"/>
        </w:rPr>
        <w:noBreakHyphen/>
        <w:t>46, art. 95</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La police a répondu à une plainte de bruit à la résidence de M à Halifax.  Lorsque M a ouvert la porte, un policier a remarqué que M tenait un objet dans sa main, dissimulé derrière sa jambe.  Le policier a demandé deux fois à M ce qu’il tenait dans sa main.  Comme M ne répondait pas, le policier a poussé la porte pour l’ouvrir quelques pouces de plus pour mieux voir.  Après un bref corps à corps, le policier a enlevé à M l’arme de poing chargée qu’il tenait.  M était titulaire d’un permis de possession et de transport de l’arme de poing valide en Alberta mais, contrairement à ce qu’il croyait, non valide en Nouvelle</w:t>
      </w:r>
      <w:r w:rsidRPr="003F1C41">
        <w:rPr>
          <w:sz w:val="20"/>
          <w:lang w:val="fr-CA"/>
        </w:rPr>
        <w:noBreakHyphen/>
        <w:t xml:space="preserve">Écosse.  Le juge du procès a conclu que M n’était pas autorisé à posséder l’arme à feu.  Il a aussi conclu qu’en poussant la porte pour l’ouvrir un peu plus, le policier n’avait pas violé le droit de M à la protection contre les fouilles abusives garanti par l’art. 8 de la </w:t>
      </w:r>
      <w:r w:rsidRPr="003F1C41">
        <w:rPr>
          <w:i/>
          <w:sz w:val="20"/>
          <w:lang w:val="fr-CA"/>
        </w:rPr>
        <w:t>Charte</w:t>
      </w:r>
      <w:r w:rsidRPr="003F1C41">
        <w:rPr>
          <w:sz w:val="20"/>
          <w:lang w:val="fr-CA"/>
        </w:rPr>
        <w:t xml:space="preserve">.  Le juge du procès a déclaré M coupable d’avoir manipulé une arme à feu d’une manière négligente (aux termes de l’art. 86 du </w:t>
      </w:r>
      <w:r w:rsidRPr="003F1C41">
        <w:rPr>
          <w:i/>
          <w:sz w:val="20"/>
          <w:lang w:val="fr-CA"/>
        </w:rPr>
        <w:t>Code criminel</w:t>
      </w:r>
      <w:r w:rsidRPr="003F1C41">
        <w:rPr>
          <w:sz w:val="20"/>
          <w:lang w:val="fr-CA"/>
        </w:rPr>
        <w:t xml:space="preserve">), d’avoir eu en sa possession une arme dans un dessein dangereux (art. 88) et d’avoir eu en sa possession une arme à feu à autorisation restreinte chargée (art. 95).  Il a condamné M à trois ans d’emprisonnement et lui a interdit de posséder une arme à feu pendant 10 ans.  La Cour d’appel, à la majorité, a maintenu la décision du premier juge selon laquelle le policier n’avait pas violé le droit que l’art. 8 de la </w:t>
      </w:r>
      <w:r w:rsidRPr="003F1C41">
        <w:rPr>
          <w:i/>
          <w:sz w:val="20"/>
          <w:lang w:val="fr-CA"/>
        </w:rPr>
        <w:t>Charte</w:t>
      </w:r>
      <w:r w:rsidRPr="003F1C41">
        <w:rPr>
          <w:sz w:val="20"/>
          <w:lang w:val="fr-CA"/>
        </w:rPr>
        <w:t xml:space="preserve"> garantit à M.  Elle a maintenu les déclarations de culpabilité fondées sur les art. 86 et 88 du </w:t>
      </w:r>
      <w:r w:rsidRPr="003F1C41">
        <w:rPr>
          <w:i/>
          <w:sz w:val="20"/>
          <w:lang w:val="fr-CA"/>
        </w:rPr>
        <w:t>Code criminel</w:t>
      </w:r>
      <w:r w:rsidRPr="003F1C41">
        <w:rPr>
          <w:sz w:val="20"/>
          <w:lang w:val="fr-CA"/>
        </w:rPr>
        <w:t xml:space="preserve"> mais a atténué considérablement les peines.  Cependant, la Cour d’appel a accueilli l’appel de M à l’encontre de la déclaration de culpabilité fondée sur l’art. 95 et a ordonné un acquittement.</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lastRenderedPageBreak/>
        <w:tab/>
      </w:r>
      <w:r w:rsidRPr="003F1C41">
        <w:rPr>
          <w:i/>
          <w:sz w:val="20"/>
          <w:lang w:val="fr-CA"/>
        </w:rPr>
        <w:t>Arrêt</w:t>
      </w:r>
      <w:r w:rsidRPr="003F1C41">
        <w:rPr>
          <w:sz w:val="20"/>
          <w:lang w:val="fr-CA"/>
        </w:rPr>
        <w:t xml:space="preserve"> : Le pourvoi est rejeté sur la question relative à l’art. 8 de la </w:t>
      </w:r>
      <w:r w:rsidRPr="003F1C41">
        <w:rPr>
          <w:i/>
          <w:sz w:val="20"/>
          <w:lang w:val="fr-CA"/>
        </w:rPr>
        <w:t>Charte</w:t>
      </w:r>
      <w:r w:rsidRPr="003F1C41">
        <w:rPr>
          <w:sz w:val="20"/>
          <w:lang w:val="fr-CA"/>
        </w:rPr>
        <w:t xml:space="preserve"> et le pourvoi du ministère public relativement à l’accusation portée en vertu de l’art. 95 du </w:t>
      </w:r>
      <w:r w:rsidRPr="003F1C41">
        <w:rPr>
          <w:i/>
          <w:sz w:val="20"/>
          <w:lang w:val="fr-CA"/>
        </w:rPr>
        <w:t>Code criminel</w:t>
      </w:r>
      <w:r w:rsidRPr="003F1C41">
        <w:rPr>
          <w:sz w:val="20"/>
          <w:lang w:val="fr-CA"/>
        </w:rPr>
        <w:t xml:space="preserve"> est accueilli.  L’affaire est renvoyée à la Cour d’appel pour la détermination de la peine.</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r>
      <w:r w:rsidRPr="003F1C41">
        <w:rPr>
          <w:i/>
          <w:sz w:val="20"/>
          <w:lang w:val="fr-CA"/>
        </w:rPr>
        <w:t>La</w:t>
      </w:r>
      <w:r w:rsidRPr="003F1C41">
        <w:rPr>
          <w:sz w:val="20"/>
          <w:lang w:val="fr-CA"/>
        </w:rPr>
        <w:t xml:space="preserve"> juge en chef McLachlin et les juges </w:t>
      </w:r>
      <w:r w:rsidRPr="003F1C41">
        <w:rPr>
          <w:b/>
          <w:sz w:val="20"/>
          <w:lang w:val="fr-CA"/>
        </w:rPr>
        <w:t>LeBel</w:t>
      </w:r>
      <w:r w:rsidRPr="003F1C41">
        <w:rPr>
          <w:sz w:val="20"/>
          <w:lang w:val="fr-CA"/>
        </w:rPr>
        <w:t xml:space="preserve">, Fish et Abella : L’intervention du policier, lorsqu’il a poussé la porte un peu plus loin, constituait une « fouille » au sens de l’art. 8 de la </w:t>
      </w:r>
      <w:r w:rsidRPr="003F1C41">
        <w:rPr>
          <w:i/>
          <w:sz w:val="20"/>
          <w:lang w:val="fr-CA"/>
        </w:rPr>
        <w:t>Charte</w:t>
      </w:r>
      <w:r w:rsidRPr="003F1C41">
        <w:rPr>
          <w:sz w:val="20"/>
          <w:lang w:val="fr-CA"/>
        </w:rPr>
        <w:t>.  Ce geste allait au</w:t>
      </w:r>
      <w:r w:rsidRPr="003F1C41">
        <w:rPr>
          <w:sz w:val="20"/>
          <w:lang w:val="fr-CA"/>
        </w:rPr>
        <w:noBreakHyphen/>
        <w:t xml:space="preserve">delà de l’autorisation implicite de frapper à la porte et constituait une atteinte à une attente raisonnable de M en matière de respect de la vie privée dans sa demeure.  Même si l’intervention du policier constituait une fouille au sens de l’art. 8, cette fouille n’était pas abusive parce que les deux volets du critère de l’arrêt </w:t>
      </w:r>
      <w:r w:rsidRPr="003F1C41">
        <w:rPr>
          <w:i/>
          <w:sz w:val="20"/>
          <w:lang w:val="fr-CA"/>
        </w:rPr>
        <w:t>Waterfield</w:t>
      </w:r>
      <w:r w:rsidRPr="003F1C41">
        <w:rPr>
          <w:sz w:val="20"/>
          <w:lang w:val="fr-CA"/>
        </w:rPr>
        <w:t xml:space="preserve"> étaient respectés.  Le premier volet était respecté puisque la fouille sans mandat s’inscrivait dans le cadre du devoir qu’ont les policiers en common law de protéger la vie et la sécurité et le second, puisque la fouille constituait un exercice justifiable des pouvoirs afférents à ce devoir.  </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 xml:space="preserve">Pour déterminer si une fouille de sécurité est raisonnablement nécessaire, et donc justifiable, un certain nombre de facteurs doivent être pris en considération pour mettre en équilibre le devoir des policiers et le droit à la liberté en cause.  Ces facteurs englobent l’importance de ce devoir pour l’intérêt public, la nécessité de l’atteinte pour l’accomplissement de ce devoir et l’ampleur de l’atteinte.  Le devoir de protéger la vie et la sécurité est de la plus haute importance pour l’intérêt public, mais une atteinte à la liberté d’une personne peut être nécessaire lorsque, par exemple, le policier a des motifs raisonnables de croire que cette personne est armée et dangereuse.  Cette atteinte à la liberté ne sera justifiée que dans la mesure où il est nécessaire que le policier vérifie la présence d’armes.  En d’autres mots, et comme notre Cour l’a reconnu dans </w:t>
      </w:r>
      <w:r w:rsidRPr="003F1C41">
        <w:rPr>
          <w:i/>
          <w:sz w:val="20"/>
          <w:lang w:val="fr-CA"/>
        </w:rPr>
        <w:t>R. c. Mann</w:t>
      </w:r>
      <w:r w:rsidRPr="003F1C41">
        <w:rPr>
          <w:sz w:val="20"/>
          <w:lang w:val="fr-CA"/>
        </w:rPr>
        <w:t>, 2004 CSC 52, [2004] 3 R.C.S. 59, les pouvoirs des policiers sont limités.  Les tribunaux doivent prendre en compte non seulement l’ampleur de l’atteinte, mais aussi la façon dont la fouille a été effectuée.  Des limites à l’égard des fouilles de sécurité effectuées dans une résidence privée sont particulièrement importantes car ces fouilles peuvent souvent permettre à la police d’obtenir de nombreux renseignements personnels très délicats.</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 xml:space="preserve">En l’espèce, le policier avait des motifs raisonnables de croire à l’existence d’une menace imminente pour la sécurité du public et celle des policiers et que la fouille était nécessaire pour éliminer cette menace.  La façon dont il a effectué la fouille n’était pas non plus abusive.  Le juge du procès a conclu que le policier n’a pas ouvert la porte plus qu’il n’était nécessaire pour découvrir ce qui se trouvait derrière la jambe de M.  Le policier a demandé deux fois à M ce qu’il tenait dans sa main, sans obtenir de réponse.  Dans de telles circonstances, il est difficile d’imaginer une façon moins envahissante de déterminer si M cachait une arme et, par le fait même, d’éliminer toute menace.  Par conséquent, il n’y a pas eu violation des droits que l’art. 8 de la </w:t>
      </w:r>
      <w:r w:rsidRPr="003F1C41">
        <w:rPr>
          <w:i/>
          <w:sz w:val="20"/>
          <w:lang w:val="fr-CA"/>
        </w:rPr>
        <w:t>Charte</w:t>
      </w:r>
      <w:r w:rsidRPr="003F1C41">
        <w:rPr>
          <w:sz w:val="20"/>
          <w:lang w:val="fr-CA"/>
        </w:rPr>
        <w:t xml:space="preserve"> confère à M.</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 xml:space="preserve">Pour ce qui est de la déclaration de culpabilité fondée sur l’art. 95 du </w:t>
      </w:r>
      <w:r w:rsidRPr="003F1C41">
        <w:rPr>
          <w:i/>
          <w:sz w:val="20"/>
          <w:lang w:val="fr-CA"/>
        </w:rPr>
        <w:t>Code criminel</w:t>
      </w:r>
      <w:r w:rsidRPr="003F1C41">
        <w:rPr>
          <w:sz w:val="20"/>
          <w:lang w:val="fr-CA"/>
        </w:rPr>
        <w:t xml:space="preserve">, la Cour d’appel a commis une erreur en obligeant le ministère public à prouver que M savait que son permis de possession et d’acquisition de l’arme à feu et son autorisation de transporter l’arme n’étaient pas valides à sa résidence de Halifax.  Cette exigence contrevient à la règle, codifiée à l’art. 19 du </w:t>
      </w:r>
      <w:r w:rsidRPr="003F1C41">
        <w:rPr>
          <w:i/>
          <w:sz w:val="20"/>
          <w:lang w:val="fr-CA"/>
        </w:rPr>
        <w:t>Code</w:t>
      </w:r>
      <w:r w:rsidRPr="003F1C41">
        <w:rPr>
          <w:sz w:val="20"/>
          <w:lang w:val="fr-CA"/>
        </w:rPr>
        <w:t xml:space="preserve">, selon laquelle l’ignorance de la loi n’est pas une excuse.  L’article 95 crée une infraction exigeant la </w:t>
      </w:r>
      <w:r w:rsidRPr="003F1C41">
        <w:rPr>
          <w:i/>
          <w:sz w:val="20"/>
          <w:lang w:val="fr-CA"/>
        </w:rPr>
        <w:t>mens rea</w:t>
      </w:r>
      <w:r w:rsidRPr="003F1C41">
        <w:rPr>
          <w:sz w:val="20"/>
          <w:lang w:val="fr-CA"/>
        </w:rPr>
        <w:t xml:space="preserve">, mais il ne comporte pas comme élément la connaissance que la possession de l’arme </w:t>
      </w:r>
      <w:r w:rsidRPr="003F1C41">
        <w:rPr>
          <w:i/>
          <w:sz w:val="20"/>
          <w:lang w:val="fr-CA"/>
        </w:rPr>
        <w:t>n’est pas</w:t>
      </w:r>
      <w:r w:rsidRPr="003F1C41">
        <w:rPr>
          <w:sz w:val="20"/>
          <w:lang w:val="fr-CA"/>
        </w:rPr>
        <w:t xml:space="preserve"> </w:t>
      </w:r>
      <w:r w:rsidRPr="003F1C41">
        <w:rPr>
          <w:i/>
          <w:sz w:val="20"/>
          <w:lang w:val="fr-CA"/>
        </w:rPr>
        <w:t>autorisée</w:t>
      </w:r>
      <w:r w:rsidRPr="003F1C41">
        <w:rPr>
          <w:sz w:val="20"/>
          <w:lang w:val="fr-CA"/>
        </w:rPr>
        <w:t>.  Il suffit plutôt de prouver que la personne sait qu’elle a l’arme en sa possession et qu’elle a l’intention de la posséder dans un lieu donné.</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En l’espèce, la croyance subjective de M qu’il pouvait avoir l’arme à feu en sa possession dans sa résidence de Halifax est une erreur de droit et cette erreur ne constitue pas un moyen de défense.  Par conséquent, la déclaration de culpabilité de M fondée sur l’art. 95 doit être rétablie et l’affaire doit être renvoyée à la Cour d’appel pour la détermination de la peine et pour qu’elle détermine la validité constitutionnelle de la peine minimale obligatoire applicable aux termes de l’art. 95.</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r>
      <w:r w:rsidRPr="003F1C41">
        <w:rPr>
          <w:i/>
          <w:sz w:val="20"/>
          <w:lang w:val="fr-CA"/>
        </w:rPr>
        <w:t>Les</w:t>
      </w:r>
      <w:r w:rsidRPr="003F1C41">
        <w:rPr>
          <w:sz w:val="20"/>
          <w:lang w:val="fr-CA"/>
        </w:rPr>
        <w:t xml:space="preserve"> juges Rothstein, </w:t>
      </w:r>
      <w:r w:rsidRPr="003F1C41">
        <w:rPr>
          <w:b/>
          <w:sz w:val="20"/>
          <w:lang w:val="fr-CA"/>
        </w:rPr>
        <w:t>Moldaver</w:t>
      </w:r>
      <w:r w:rsidRPr="003F1C41">
        <w:rPr>
          <w:sz w:val="20"/>
          <w:lang w:val="fr-CA"/>
        </w:rPr>
        <w:t xml:space="preserve"> et </w:t>
      </w:r>
      <w:r w:rsidRPr="003F1C41">
        <w:rPr>
          <w:b/>
          <w:sz w:val="20"/>
          <w:lang w:val="fr-CA"/>
        </w:rPr>
        <w:t>Wagner</w:t>
      </w:r>
      <w:r w:rsidRPr="003F1C41">
        <w:rPr>
          <w:sz w:val="20"/>
          <w:lang w:val="fr-CA"/>
        </w:rPr>
        <w:t xml:space="preserve"> : Selon les juges majoritaires, la conduite du policier en l’espèce était justifiée uniquement parce qu’il avait des motifs raisonnables de croire que M était armé et dangereux.  De ce fait, ils infirment effectivement le pouvoir de procéder à une « fouille de sécurité » reconnu dans </w:t>
      </w:r>
      <w:r w:rsidRPr="003F1C41">
        <w:rPr>
          <w:i/>
          <w:sz w:val="20"/>
          <w:lang w:val="fr-CA"/>
        </w:rPr>
        <w:t>Mann</w:t>
      </w:r>
      <w:r w:rsidRPr="003F1C41">
        <w:rPr>
          <w:sz w:val="20"/>
          <w:lang w:val="fr-CA"/>
        </w:rPr>
        <w:t xml:space="preserve"> et dans la jurisprudence des dix années qui ont suivi. </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lastRenderedPageBreak/>
        <w:tab/>
        <w:t xml:space="preserve">Dans l’arrêt </w:t>
      </w:r>
      <w:r w:rsidRPr="003F1C41">
        <w:rPr>
          <w:i/>
          <w:sz w:val="20"/>
          <w:lang w:val="fr-CA"/>
        </w:rPr>
        <w:t>Mann</w:t>
      </w:r>
      <w:r w:rsidRPr="003F1C41">
        <w:rPr>
          <w:sz w:val="20"/>
          <w:lang w:val="fr-CA"/>
        </w:rPr>
        <w:t xml:space="preserve">, cette Cour a statué que les policiers peuvent procéder à des fouilles préventives lorsqu’ils ont des motifs raisonnables de </w:t>
      </w:r>
      <w:r w:rsidRPr="003F1C41">
        <w:rPr>
          <w:i/>
          <w:sz w:val="20"/>
          <w:lang w:val="fr-CA"/>
        </w:rPr>
        <w:t>soupçonner</w:t>
      </w:r>
      <w:r w:rsidRPr="003F1C41">
        <w:rPr>
          <w:sz w:val="20"/>
          <w:lang w:val="fr-CA"/>
        </w:rPr>
        <w:t xml:space="preserve"> qu’une personne est armée et dangereuse.  Et c’est pourquoi la fouille était justifiée en l’espèce.  Cinq raisons confirment cette conclusion.</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 xml:space="preserve">Premièrement, le libellé de </w:t>
      </w:r>
      <w:r w:rsidRPr="003F1C41">
        <w:rPr>
          <w:i/>
          <w:sz w:val="20"/>
          <w:lang w:val="fr-CA"/>
        </w:rPr>
        <w:t>Mann</w:t>
      </w:r>
      <w:r w:rsidRPr="003F1C41">
        <w:rPr>
          <w:sz w:val="20"/>
          <w:lang w:val="fr-CA"/>
        </w:rPr>
        <w:t xml:space="preserve"> indique clairement que cet arrêt reconnaît un pouvoir de fouille préventive fondé sur des soupçons raisonnables.  Deuxièmement, la Cour dans </w:t>
      </w:r>
      <w:r w:rsidRPr="003F1C41">
        <w:rPr>
          <w:i/>
          <w:sz w:val="20"/>
          <w:lang w:val="fr-CA"/>
        </w:rPr>
        <w:t xml:space="preserve">Mann </w:t>
      </w:r>
      <w:r w:rsidRPr="003F1C41">
        <w:rPr>
          <w:sz w:val="20"/>
          <w:lang w:val="fr-CA"/>
        </w:rPr>
        <w:t xml:space="preserve">s’appuie sur l’arrêt de principe </w:t>
      </w:r>
      <w:r w:rsidRPr="003F1C41">
        <w:rPr>
          <w:i/>
          <w:sz w:val="20"/>
          <w:lang w:val="fr-CA"/>
        </w:rPr>
        <w:t>Terry c. Ohio</w:t>
      </w:r>
      <w:r w:rsidRPr="003F1C41">
        <w:rPr>
          <w:sz w:val="20"/>
          <w:lang w:val="fr-CA"/>
        </w:rPr>
        <w:t>, 392 U.S. 1 (1968), rendu par la Cour suprême des États</w:t>
      </w:r>
      <w:r w:rsidRPr="003F1C41">
        <w:rPr>
          <w:sz w:val="20"/>
          <w:lang w:val="fr-CA"/>
        </w:rPr>
        <w:noBreakHyphen/>
        <w:t xml:space="preserve">Unis, une décision qui a reconnu un pouvoir de fouilles préventives directement analogue fondé sur une norme de soupçons raisonnables.  Troisièmement, les décisions subséquentes de notre Cour et des cours d’appel ont confirmé que l’arrêt </w:t>
      </w:r>
      <w:r w:rsidRPr="003F1C41">
        <w:rPr>
          <w:i/>
          <w:sz w:val="20"/>
          <w:lang w:val="fr-CA"/>
        </w:rPr>
        <w:t>Mann</w:t>
      </w:r>
      <w:r w:rsidRPr="003F1C41">
        <w:rPr>
          <w:sz w:val="20"/>
          <w:lang w:val="fr-CA"/>
        </w:rPr>
        <w:t xml:space="preserve"> avait adopté la norme des soupçons raisonnables.  Quatrièmement, il n’est guère logique d’appliquer la norme des motifs raisonnables de croire dans ce contexte; s’il établit que des motifs raisonnables de croire sont exigés pour justifier une fouille par palpation, l’arrêt </w:t>
      </w:r>
      <w:r w:rsidRPr="003F1C41">
        <w:rPr>
          <w:i/>
          <w:sz w:val="20"/>
          <w:lang w:val="fr-CA"/>
        </w:rPr>
        <w:t>Mann</w:t>
      </w:r>
      <w:r w:rsidRPr="003F1C41">
        <w:rPr>
          <w:sz w:val="20"/>
          <w:lang w:val="fr-CA"/>
        </w:rPr>
        <w:t xml:space="preserve"> ne fait donc apparemment que reconnaître un pouvoir de </w:t>
      </w:r>
      <w:r w:rsidRPr="003F1C41">
        <w:rPr>
          <w:i/>
          <w:sz w:val="20"/>
          <w:lang w:val="fr-CA"/>
        </w:rPr>
        <w:t>fouille</w:t>
      </w:r>
      <w:r w:rsidRPr="003F1C41">
        <w:rPr>
          <w:sz w:val="20"/>
          <w:lang w:val="fr-CA"/>
        </w:rPr>
        <w:t xml:space="preserve"> lorsqu’il existe déjà des motifs de procéder à une </w:t>
      </w:r>
      <w:r w:rsidRPr="003F1C41">
        <w:rPr>
          <w:i/>
          <w:sz w:val="20"/>
          <w:lang w:val="fr-CA"/>
        </w:rPr>
        <w:t>arrestation</w:t>
      </w:r>
      <w:r w:rsidRPr="003F1C41">
        <w:rPr>
          <w:sz w:val="20"/>
          <w:lang w:val="fr-CA"/>
        </w:rPr>
        <w:t>.  Cinquièmement, les faits de l’espèce ne permettent pas de conclure que le policier avait des motifs raisonnables de croire que M était armé et dangereux.</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 xml:space="preserve">À la lumière de ces cinq motifs — le libellé de </w:t>
      </w:r>
      <w:r w:rsidRPr="003F1C41">
        <w:rPr>
          <w:i/>
          <w:sz w:val="20"/>
          <w:lang w:val="fr-CA"/>
        </w:rPr>
        <w:t>Mann</w:t>
      </w:r>
      <w:r w:rsidRPr="003F1C41">
        <w:rPr>
          <w:sz w:val="20"/>
          <w:lang w:val="fr-CA"/>
        </w:rPr>
        <w:t xml:space="preserve">, le contexte historique ayant mené à cet arrêt, les conséquences de l’interprétation selon laquelle l’arrêt </w:t>
      </w:r>
      <w:r w:rsidRPr="003F1C41">
        <w:rPr>
          <w:i/>
          <w:sz w:val="20"/>
          <w:lang w:val="fr-CA"/>
        </w:rPr>
        <w:t>Mann</w:t>
      </w:r>
      <w:r w:rsidRPr="003F1C41">
        <w:rPr>
          <w:sz w:val="20"/>
          <w:lang w:val="fr-CA"/>
        </w:rPr>
        <w:t xml:space="preserve"> exige des motifs raisonnables de croire, la jurisprudence qui a interprété ce précédent, et les faits de l’espèce — une seule conclusion s’impose : l’arrêt </w:t>
      </w:r>
      <w:r w:rsidRPr="003F1C41">
        <w:rPr>
          <w:i/>
          <w:sz w:val="20"/>
          <w:lang w:val="fr-CA"/>
        </w:rPr>
        <w:t xml:space="preserve">Mann </w:t>
      </w:r>
      <w:r w:rsidRPr="003F1C41">
        <w:rPr>
          <w:sz w:val="20"/>
          <w:lang w:val="fr-CA"/>
        </w:rPr>
        <w:t>reconnaît un pouvoir de fouille préventive fondé sur des soupçons raisonnables.</w:t>
      </w:r>
    </w:p>
    <w:p w:rsid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3F1C41">
        <w:rPr>
          <w:sz w:val="20"/>
          <w:lang w:val="fr-CA"/>
        </w:rPr>
        <w:tab/>
        <w:t xml:space="preserve">Il aurait fallu résoudre la présente affaire suivant la logique de </w:t>
      </w:r>
      <w:r w:rsidRPr="003F1C41">
        <w:rPr>
          <w:i/>
          <w:sz w:val="20"/>
          <w:lang w:val="fr-CA"/>
        </w:rPr>
        <w:t>Mann</w:t>
      </w:r>
      <w:r w:rsidRPr="003F1C41">
        <w:rPr>
          <w:sz w:val="20"/>
          <w:lang w:val="fr-CA"/>
        </w:rPr>
        <w:t>.  Premièrement, le policier, dans l’exercice légitime de ses fonctions, soupçonnait raisonnablement que M était armé et dangereux.  Deuxièmement, à cause de ces soupçons raisonnables, l’intervention du policier — en poussant la porte de M pour l’ouvrir quelques pouces de plus — n’a porté atteinte au droit de M au respect de sa vie privée que dans la mesure raisonnablement nécessaire pour faire face à la menace.  En conséquence, la fouille n’était pas abusive au sens de l’art. 8.</w:t>
      </w:r>
    </w:p>
    <w:p w:rsidR="00C42C54" w:rsidRDefault="00C42C54" w:rsidP="00C42C54">
      <w:pPr>
        <w:pStyle w:val="SCCNormalDoubleSpacing"/>
        <w:spacing w:line="240" w:lineRule="auto"/>
        <w:rPr>
          <w:sz w:val="20"/>
          <w:lang w:val="fr-CA"/>
        </w:rPr>
      </w:pPr>
    </w:p>
    <w:p w:rsidR="00C42C54" w:rsidRDefault="00C42C54" w:rsidP="00C42C54">
      <w:pPr>
        <w:pStyle w:val="SCCNormalDoubleSpacing"/>
        <w:spacing w:line="240" w:lineRule="auto"/>
        <w:rPr>
          <w:sz w:val="20"/>
          <w:lang w:val="fr-CA"/>
        </w:rPr>
      </w:pPr>
      <w:r w:rsidRPr="003F1C41">
        <w:rPr>
          <w:sz w:val="20"/>
          <w:lang w:val="fr-CA"/>
        </w:rPr>
        <w:tab/>
        <w:t xml:space="preserve">La décision rendue par les juges majoritaires a pour conséquence de priver les policiers du pouvoir d’effectuer une fouille préventive, sauf s’ils ont déjà des motifs de procéder à une arrestation.  À partir d’aujourd’hui, les policiers peuvent détenir à des fins d’enquête les personnes </w:t>
      </w:r>
      <w:r w:rsidRPr="003F1C41">
        <w:rPr>
          <w:i/>
          <w:sz w:val="20"/>
          <w:lang w:val="fr-CA"/>
        </w:rPr>
        <w:t>soupçonnées</w:t>
      </w:r>
      <w:r w:rsidRPr="003F1C41">
        <w:rPr>
          <w:sz w:val="20"/>
          <w:lang w:val="fr-CA"/>
        </w:rPr>
        <w:t xml:space="preserve"> d’être armées et dangereuses, mais ne sont pas autorisés à effectuer des fouilles par palpation pour assurer leur sécurité ou celle du public dans le cadre d’une enquête.  Toutefois, un policier sur le terrain, exposé à un risque réaliste de préjudice imminent, devrait pouvoir agir immédiatement et prendre des mesures raisonnables, sous la forme d’une fouille de sécurité peu envahissante, pour atténuer ce risque.</w:t>
      </w:r>
    </w:p>
    <w:p w:rsidR="00C42C54" w:rsidRPr="00C42C54" w:rsidRDefault="00C42C54" w:rsidP="00C42C54">
      <w:pPr>
        <w:pStyle w:val="SCCNormalDoubleSpacing"/>
        <w:spacing w:line="240" w:lineRule="auto"/>
        <w:rPr>
          <w:sz w:val="20"/>
          <w:lang w:val="fr-CA"/>
        </w:rPr>
      </w:pPr>
    </w:p>
    <w:p w:rsidR="00C42C54" w:rsidRPr="003F1C41" w:rsidRDefault="00C42C54" w:rsidP="00C42C54">
      <w:pPr>
        <w:pStyle w:val="SCCNormalDoubleSpacing"/>
        <w:spacing w:line="240" w:lineRule="auto"/>
        <w:rPr>
          <w:sz w:val="20"/>
          <w:lang w:val="fr-CA"/>
        </w:rPr>
      </w:pPr>
      <w:r w:rsidRPr="00C42C54">
        <w:rPr>
          <w:sz w:val="20"/>
          <w:lang w:val="fr-CA"/>
        </w:rPr>
        <w:tab/>
      </w:r>
      <w:r w:rsidRPr="003F1C41">
        <w:rPr>
          <w:sz w:val="20"/>
          <w:lang w:val="fr-CA"/>
        </w:rPr>
        <w:t>POURVOIS contre un arrêt de la Cour d’appel de la Nouvelle</w:t>
      </w:r>
      <w:r w:rsidRPr="003F1C41">
        <w:rPr>
          <w:sz w:val="20"/>
          <w:lang w:val="fr-CA"/>
        </w:rPr>
        <w:noBreakHyphen/>
        <w:t xml:space="preserve">Écosse (le juge en chef MacDonald et les juges Saunders et Beveridge), 2012 NSCA 50, 317 N.S.R. (2d) 90, 1003 A.P.R. 90, 283 C.C.C. (3d) 308, 261 C.R.R. (2d) 303, [2012] N.S.J. No. 252 (QL), 2012 CarswellNS 328, qui a annulé la déclaration de culpabilité de l’accusé de possession d’une arme à feu à autorisation restreinte chargée.  Pourvoi d’Erin Lee MacDonald rejeté et pourvoi de Sa Majesté la Reine accueilli. </w:t>
      </w:r>
    </w:p>
    <w:p w:rsidR="00C42C54" w:rsidRDefault="00C42C54" w:rsidP="00C42C54">
      <w:pPr>
        <w:pStyle w:val="SCCNormalDoubleSpacing"/>
        <w:spacing w:line="240" w:lineRule="auto"/>
        <w:rPr>
          <w:rStyle w:val="SCCCounselNameChar"/>
          <w:sz w:val="20"/>
          <w:lang w:val="fr-CA"/>
        </w:rPr>
      </w:pPr>
    </w:p>
    <w:p w:rsidR="00C42C54" w:rsidRPr="003F1C41" w:rsidRDefault="00C42C54" w:rsidP="00C42C54">
      <w:pPr>
        <w:pStyle w:val="SCCNormalDoubleSpacing"/>
        <w:spacing w:line="240" w:lineRule="auto"/>
        <w:rPr>
          <w:sz w:val="20"/>
          <w:lang w:val="fr-CA"/>
        </w:rPr>
      </w:pPr>
      <w:r w:rsidRPr="003F1C41">
        <w:rPr>
          <w:rStyle w:val="SCCCounselNameChar"/>
          <w:sz w:val="20"/>
          <w:lang w:val="fr-CA"/>
        </w:rPr>
        <w:tab/>
        <w:t>Hersh Wolch, c.r.,</w:t>
      </w:r>
      <w:r w:rsidRPr="003F1C41">
        <w:rPr>
          <w:rStyle w:val="SCCCounselSeparatorChar"/>
          <w:sz w:val="20"/>
        </w:rPr>
        <w:t xml:space="preserve"> et </w:t>
      </w:r>
      <w:r w:rsidRPr="003F1C41">
        <w:rPr>
          <w:rStyle w:val="SCCCounselNameChar"/>
          <w:sz w:val="20"/>
          <w:lang w:val="fr-CA"/>
        </w:rPr>
        <w:t>Janna Watts</w:t>
      </w:r>
      <w:r w:rsidRPr="003F1C41">
        <w:rPr>
          <w:rStyle w:val="SCCCounselPartyRoleChar"/>
          <w:sz w:val="20"/>
          <w:lang w:val="fr-CA"/>
        </w:rPr>
        <w:t>, pour l’appelant/intimé.</w:t>
      </w:r>
    </w:p>
    <w:p w:rsidR="00C42C54" w:rsidRDefault="00C42C54" w:rsidP="00C42C54">
      <w:pPr>
        <w:pStyle w:val="SCCNormalDoubleSpacing"/>
        <w:spacing w:line="240" w:lineRule="auto"/>
        <w:rPr>
          <w:rStyle w:val="SCCCounselNameChar"/>
          <w:sz w:val="20"/>
          <w:lang w:val="fr-CA"/>
        </w:rPr>
      </w:pPr>
    </w:p>
    <w:p w:rsidR="00C42C54" w:rsidRPr="003F1C41" w:rsidRDefault="00C42C54" w:rsidP="00C42C54">
      <w:pPr>
        <w:pStyle w:val="SCCNormalDoubleSpacing"/>
        <w:spacing w:line="240" w:lineRule="auto"/>
        <w:rPr>
          <w:sz w:val="20"/>
          <w:lang w:val="fr-CA"/>
        </w:rPr>
      </w:pPr>
      <w:r w:rsidRPr="003F1C41">
        <w:rPr>
          <w:rStyle w:val="SCCCounselNameChar"/>
          <w:sz w:val="20"/>
          <w:lang w:val="fr-CA"/>
        </w:rPr>
        <w:tab/>
        <w:t>William D. Delaney, c.r.,</w:t>
      </w:r>
      <w:r w:rsidRPr="003F1C41">
        <w:rPr>
          <w:rStyle w:val="SCCCounselSeparatorChar"/>
          <w:sz w:val="20"/>
        </w:rPr>
        <w:t xml:space="preserve"> et </w:t>
      </w:r>
      <w:r w:rsidRPr="003F1C41">
        <w:rPr>
          <w:rStyle w:val="SCCCounselNameChar"/>
          <w:sz w:val="20"/>
          <w:lang w:val="fr-CA"/>
        </w:rPr>
        <w:t>Timothy S. O’Leary</w:t>
      </w:r>
      <w:r w:rsidRPr="003F1C41">
        <w:rPr>
          <w:rStyle w:val="SCCCounselPartyRoleChar"/>
          <w:sz w:val="20"/>
          <w:lang w:val="fr-CA"/>
        </w:rPr>
        <w:t>, pour l’intimée/appelante.</w:t>
      </w:r>
    </w:p>
    <w:p w:rsidR="00C42C54" w:rsidRDefault="00C42C54" w:rsidP="00C42C54">
      <w:pPr>
        <w:pStyle w:val="SCCNormalDoubleSpacing"/>
        <w:spacing w:line="240" w:lineRule="auto"/>
        <w:rPr>
          <w:rStyle w:val="SCCCounselNameChar"/>
          <w:sz w:val="20"/>
          <w:lang w:val="fr-CA"/>
        </w:rPr>
      </w:pPr>
    </w:p>
    <w:p w:rsidR="00C42C54" w:rsidRPr="003F1C41" w:rsidRDefault="00C42C54" w:rsidP="00C42C54">
      <w:pPr>
        <w:pStyle w:val="SCCNormalDoubleSpacing"/>
        <w:spacing w:line="240" w:lineRule="auto"/>
        <w:rPr>
          <w:sz w:val="20"/>
          <w:lang w:val="fr-CA"/>
        </w:rPr>
      </w:pPr>
      <w:r w:rsidRPr="003F1C41">
        <w:rPr>
          <w:rStyle w:val="SCCCounselNameChar"/>
          <w:sz w:val="20"/>
          <w:lang w:val="fr-CA"/>
        </w:rPr>
        <w:tab/>
        <w:t>James C. Martin</w:t>
      </w:r>
      <w:r w:rsidRPr="003F1C41">
        <w:rPr>
          <w:rStyle w:val="SCCCounselPartyRoleChar"/>
          <w:sz w:val="20"/>
          <w:lang w:val="fr-CA"/>
        </w:rPr>
        <w:t xml:space="preserve"> et </w:t>
      </w:r>
      <w:r w:rsidRPr="003F1C41">
        <w:rPr>
          <w:rStyle w:val="SCCCounselNameChar"/>
          <w:sz w:val="20"/>
          <w:lang w:val="fr-CA"/>
        </w:rPr>
        <w:t>Ann Marie Simmon</w:t>
      </w:r>
      <w:r w:rsidRPr="003F1C41">
        <w:rPr>
          <w:rStyle w:val="SCCCounselSeparatorChar"/>
          <w:sz w:val="20"/>
        </w:rPr>
        <w:t>,</w:t>
      </w:r>
      <w:r w:rsidRPr="003F1C41">
        <w:rPr>
          <w:rStyle w:val="SCCCounselPartyRoleChar"/>
          <w:sz w:val="20"/>
          <w:lang w:val="fr-CA"/>
        </w:rPr>
        <w:t xml:space="preserve"> pour l’intervenant le directeur des poursuites pénales.</w:t>
      </w:r>
    </w:p>
    <w:p w:rsidR="00C42C54" w:rsidRDefault="00C42C54" w:rsidP="00C42C54">
      <w:pPr>
        <w:pStyle w:val="SCCNormalDoubleSpacing"/>
        <w:spacing w:line="240" w:lineRule="auto"/>
        <w:rPr>
          <w:rStyle w:val="SCCCounselNameChar"/>
          <w:sz w:val="20"/>
          <w:lang w:val="fr-CA"/>
        </w:rPr>
      </w:pPr>
    </w:p>
    <w:p w:rsidR="00C42C54" w:rsidRPr="003F1C41" w:rsidRDefault="00C42C54" w:rsidP="00C42C54">
      <w:pPr>
        <w:pStyle w:val="SCCNormalDoubleSpacing"/>
        <w:spacing w:line="240" w:lineRule="auto"/>
        <w:rPr>
          <w:sz w:val="20"/>
          <w:lang w:val="fr-CA"/>
        </w:rPr>
      </w:pPr>
      <w:r w:rsidRPr="003F1C41">
        <w:rPr>
          <w:rStyle w:val="SCCCounselNameChar"/>
          <w:sz w:val="20"/>
          <w:lang w:val="fr-CA"/>
        </w:rPr>
        <w:tab/>
        <w:t>John C. Pearson</w:t>
      </w:r>
      <w:r w:rsidRPr="003F1C41">
        <w:rPr>
          <w:rStyle w:val="SCCCounselSeparatorChar"/>
          <w:sz w:val="20"/>
        </w:rPr>
        <w:t xml:space="preserve"> et </w:t>
      </w:r>
      <w:r w:rsidRPr="003F1C41">
        <w:rPr>
          <w:rStyle w:val="SCCCounselNameChar"/>
          <w:sz w:val="20"/>
          <w:lang w:val="fr-CA"/>
        </w:rPr>
        <w:t>Michelle Campbell</w:t>
      </w:r>
      <w:r w:rsidRPr="003F1C41">
        <w:rPr>
          <w:rStyle w:val="SCCCounselPartyRoleChar"/>
          <w:sz w:val="20"/>
          <w:lang w:val="fr-CA"/>
        </w:rPr>
        <w:t>, pour l’intervenant le procureur général de l’Ontario.</w:t>
      </w:r>
    </w:p>
    <w:p w:rsidR="00C42C54" w:rsidRDefault="00C42C54" w:rsidP="00C42C54">
      <w:pPr>
        <w:pStyle w:val="SCCLawFirm"/>
        <w:spacing w:line="240" w:lineRule="auto"/>
        <w:rPr>
          <w:sz w:val="20"/>
          <w:lang w:val="fr-CA"/>
        </w:rPr>
      </w:pPr>
    </w:p>
    <w:p w:rsidR="00C42C54" w:rsidRPr="003F1C41" w:rsidRDefault="00C42C54" w:rsidP="00C42C54">
      <w:pPr>
        <w:pStyle w:val="SCCLawFirm"/>
        <w:spacing w:line="240" w:lineRule="auto"/>
        <w:rPr>
          <w:sz w:val="20"/>
          <w:lang w:val="fr-CA"/>
        </w:rPr>
      </w:pPr>
      <w:r w:rsidRPr="003F1C41">
        <w:rPr>
          <w:sz w:val="20"/>
          <w:lang w:val="fr-CA"/>
        </w:rPr>
        <w:tab/>
        <w:t>Procureurs de l’appelant/intimé : Wolch, Hursh, deWit, Silverberg &amp; Watts, Calgary.</w:t>
      </w:r>
    </w:p>
    <w:p w:rsidR="00C42C54" w:rsidRDefault="00C42C54" w:rsidP="00C42C54">
      <w:pPr>
        <w:pStyle w:val="SCCLawFirm"/>
        <w:spacing w:line="240" w:lineRule="auto"/>
        <w:rPr>
          <w:sz w:val="20"/>
          <w:lang w:val="fr-CA"/>
        </w:rPr>
      </w:pPr>
    </w:p>
    <w:p w:rsidR="00C42C54" w:rsidRPr="003F1C41" w:rsidRDefault="00C42C54" w:rsidP="00C42C54">
      <w:pPr>
        <w:pStyle w:val="SCCLawFirm"/>
        <w:spacing w:line="240" w:lineRule="auto"/>
        <w:rPr>
          <w:sz w:val="20"/>
          <w:lang w:val="fr-CA"/>
        </w:rPr>
      </w:pPr>
      <w:r w:rsidRPr="003F1C41">
        <w:rPr>
          <w:sz w:val="20"/>
          <w:lang w:val="fr-CA"/>
        </w:rPr>
        <w:tab/>
        <w:t>Procureur de l’intimée/appelante : Public Prosecution Service of Nova Scotia, Halifax.</w:t>
      </w:r>
    </w:p>
    <w:p w:rsidR="00C42C54" w:rsidRDefault="00C42C54" w:rsidP="00C42C54">
      <w:pPr>
        <w:pStyle w:val="SCCLawFirm"/>
        <w:spacing w:line="240" w:lineRule="auto"/>
        <w:rPr>
          <w:sz w:val="20"/>
          <w:lang w:val="fr-CA"/>
        </w:rPr>
      </w:pPr>
    </w:p>
    <w:p w:rsidR="00C42C54" w:rsidRPr="003F1C41" w:rsidRDefault="00C42C54" w:rsidP="00C42C54">
      <w:pPr>
        <w:pStyle w:val="SCCLawFirm"/>
        <w:spacing w:line="240" w:lineRule="auto"/>
        <w:rPr>
          <w:sz w:val="20"/>
          <w:lang w:val="fr-CA"/>
        </w:rPr>
      </w:pPr>
      <w:r w:rsidRPr="003F1C41">
        <w:rPr>
          <w:sz w:val="20"/>
          <w:lang w:val="fr-CA"/>
        </w:rPr>
        <w:tab/>
        <w:t>Procureur de l’intervenant le directeur des poursuites pénales : Service des poursuites pénales du Canada, Halifax.</w:t>
      </w:r>
    </w:p>
    <w:p w:rsidR="00C42C54" w:rsidRDefault="00C42C54" w:rsidP="00C42C54">
      <w:pPr>
        <w:pStyle w:val="SCCLawFirm"/>
        <w:spacing w:line="240" w:lineRule="auto"/>
        <w:rPr>
          <w:sz w:val="20"/>
          <w:lang w:val="fr-CA"/>
        </w:rPr>
      </w:pPr>
    </w:p>
    <w:p w:rsidR="00C42C54" w:rsidRDefault="00C42C54" w:rsidP="00C42C54">
      <w:pPr>
        <w:pStyle w:val="SCCLawFirm"/>
        <w:spacing w:line="240" w:lineRule="auto"/>
        <w:rPr>
          <w:sz w:val="20"/>
          <w:lang w:val="fr-CA"/>
        </w:rPr>
      </w:pPr>
      <w:r w:rsidRPr="003F1C41">
        <w:rPr>
          <w:sz w:val="20"/>
          <w:lang w:val="fr-CA"/>
        </w:rPr>
        <w:lastRenderedPageBreak/>
        <w:tab/>
        <w:t>Procureur de l’intervenant le procureur général de l’Ontario : Procureur général de l’Ontario, Toronto.</w:t>
      </w:r>
    </w:p>
    <w:p w:rsidR="00902E51" w:rsidRPr="00352A49" w:rsidRDefault="00902E51" w:rsidP="00902E51">
      <w:pPr>
        <w:rPr>
          <w:sz w:val="20"/>
          <w:szCs w:val="20"/>
          <w:lang w:val="fr-CA"/>
        </w:rPr>
      </w:pPr>
    </w:p>
    <w:p w:rsidR="003B3977" w:rsidRPr="003F4721" w:rsidRDefault="001B62D0" w:rsidP="003B3977">
      <w:pPr>
        <w:rPr>
          <w:sz w:val="20"/>
          <w:szCs w:val="20"/>
        </w:rPr>
      </w:pPr>
      <w:r>
        <w:rPr>
          <w:rFonts w:cs="Times New Roman"/>
          <w:sz w:val="20"/>
          <w:szCs w:val="20"/>
          <w:lang w:val="fr-CA"/>
        </w:rPr>
        <w:pict>
          <v:rect id="_x0000_i1082"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576" w:footer="960" w:gutter="0"/>
          <w:cols w:space="720"/>
          <w:titlePg/>
          <w:docGrid w:linePitch="272"/>
        </w:sectPr>
      </w:pPr>
    </w:p>
    <w:p w:rsidR="0081610A" w:rsidRPr="002E0C7E" w:rsidRDefault="0016688F"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A86627">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86627">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86627">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DECEMBER - DÉCEMBRE</w:t>
            </w:r>
          </w:p>
        </w:tc>
      </w:tr>
      <w:tr w:rsidR="0081610A" w:rsidRPr="002E0C7E" w:rsidTr="00A8662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r>
      <w:tr w:rsidR="0081610A" w:rsidRPr="002E0C7E" w:rsidTr="00A8662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A86627">
            <w:pPr>
              <w:widowControl w:val="0"/>
              <w:jc w:val="center"/>
              <w:rPr>
                <w:rFonts w:ascii="Arial" w:hAnsi="Arial"/>
                <w:b/>
                <w:sz w:val="14"/>
              </w:rPr>
            </w:pPr>
            <w:r>
              <w:rPr>
                <w:rFonts w:ascii="Arial" w:hAnsi="Arial"/>
                <w:b/>
                <w:sz w:val="14"/>
              </w:rPr>
              <w:t>M</w:t>
            </w:r>
          </w:p>
          <w:p w:rsidR="0081610A" w:rsidRPr="002E0C7E" w:rsidRDefault="0081610A" w:rsidP="00A86627">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7</w:t>
            </w:r>
          </w:p>
        </w:tc>
      </w:tr>
      <w:tr w:rsidR="0081610A" w:rsidRPr="002E0C7E" w:rsidTr="00A8662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A86627">
            <w:pPr>
              <w:widowControl w:val="0"/>
              <w:jc w:val="center"/>
              <w:rPr>
                <w:rFonts w:ascii="Arial" w:hAnsi="Arial"/>
                <w:b/>
                <w:sz w:val="14"/>
              </w:rPr>
            </w:pPr>
            <w:r>
              <w:rPr>
                <w:rFonts w:ascii="Arial" w:hAnsi="Arial"/>
                <w:b/>
                <w:sz w:val="14"/>
              </w:rPr>
              <w:t>M</w:t>
            </w:r>
          </w:p>
          <w:p w:rsidR="0081610A" w:rsidRPr="002E0C7E" w:rsidRDefault="0081610A" w:rsidP="00A86627">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A86627">
            <w:pPr>
              <w:widowControl w:val="0"/>
              <w:jc w:val="center"/>
              <w:rPr>
                <w:rFonts w:ascii="Arial" w:hAnsi="Arial"/>
                <w:b/>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M</w:t>
            </w:r>
          </w:p>
          <w:p w:rsidR="0081610A" w:rsidRPr="002E0C7E" w:rsidRDefault="0081610A" w:rsidP="00A86627">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14</w:t>
            </w:r>
          </w:p>
        </w:tc>
      </w:tr>
      <w:tr w:rsidR="0081610A" w:rsidRPr="002E0C7E" w:rsidTr="00A86627">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A86627">
            <w:pPr>
              <w:widowControl w:val="0"/>
              <w:jc w:val="center"/>
              <w:rPr>
                <w:rFonts w:ascii="Arial" w:hAnsi="Arial"/>
                <w:b/>
                <w:sz w:val="14"/>
              </w:rPr>
            </w:pPr>
            <w:r>
              <w:rPr>
                <w:rFonts w:ascii="Arial" w:hAnsi="Arial"/>
                <w:b/>
                <w:sz w:val="14"/>
              </w:rPr>
              <w:t>H</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A86627">
            <w:pPr>
              <w:widowControl w:val="0"/>
              <w:jc w:val="center"/>
              <w:rPr>
                <w:rFonts w:ascii="Arial" w:hAnsi="Arial"/>
                <w:sz w:val="14"/>
              </w:rPr>
            </w:pPr>
            <w:r>
              <w:rPr>
                <w:rFonts w:ascii="Arial" w:hAnsi="Arial"/>
                <w:b/>
                <w:sz w:val="14"/>
              </w:rPr>
              <w:t>H</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86627">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86627">
            <w:pPr>
              <w:widowControl w:val="0"/>
              <w:jc w:val="center"/>
              <w:rPr>
                <w:rFonts w:ascii="Arial" w:hAnsi="Arial"/>
                <w:b/>
                <w:sz w:val="14"/>
              </w:rPr>
            </w:pPr>
            <w:r>
              <w:rPr>
                <w:rFonts w:ascii="Arial" w:hAnsi="Arial"/>
                <w:b/>
                <w:sz w:val="14"/>
              </w:rPr>
              <w:t>H</w:t>
            </w:r>
          </w:p>
          <w:p w:rsidR="0081610A" w:rsidRPr="002E0C7E" w:rsidRDefault="0081610A" w:rsidP="00A86627">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86627">
            <w:pPr>
              <w:widowControl w:val="0"/>
              <w:jc w:val="center"/>
              <w:rPr>
                <w:rFonts w:ascii="Arial" w:hAnsi="Arial"/>
                <w:b/>
                <w:sz w:val="14"/>
              </w:rPr>
            </w:pPr>
            <w:r>
              <w:rPr>
                <w:rFonts w:ascii="Arial" w:hAnsi="Arial"/>
                <w:b/>
                <w:sz w:val="14"/>
              </w:rPr>
              <w:t>H</w:t>
            </w:r>
          </w:p>
          <w:p w:rsidR="0081610A" w:rsidRPr="002E0C7E" w:rsidRDefault="0081610A" w:rsidP="00A86627">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86627">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A86627">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8662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86627">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MARCH - MARS</w:t>
            </w:r>
          </w:p>
        </w:tc>
      </w:tr>
      <w:tr w:rsidR="0081610A" w:rsidRPr="002E0C7E" w:rsidTr="00A8662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r>
      <w:tr w:rsidR="0081610A" w:rsidRPr="002E0C7E" w:rsidTr="00A866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A86627">
            <w:pPr>
              <w:widowControl w:val="0"/>
              <w:jc w:val="center"/>
              <w:rPr>
                <w:rFonts w:ascii="Arial" w:hAnsi="Arial"/>
                <w:b/>
                <w:sz w:val="14"/>
              </w:rPr>
            </w:pPr>
          </w:p>
          <w:p w:rsidR="0081610A" w:rsidRPr="002E0C7E" w:rsidRDefault="0081610A" w:rsidP="00A86627">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86627">
            <w:pPr>
              <w:widowControl w:val="0"/>
              <w:jc w:val="center"/>
              <w:rPr>
                <w:rFonts w:ascii="Arial" w:hAnsi="Arial"/>
                <w:b/>
                <w:sz w:val="14"/>
              </w:rPr>
            </w:pPr>
            <w:r>
              <w:rPr>
                <w:rFonts w:ascii="Arial" w:hAnsi="Arial"/>
                <w:b/>
                <w:sz w:val="14"/>
              </w:rPr>
              <w:t>H</w:t>
            </w: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r>
      <w:tr w:rsidR="0081610A" w:rsidRPr="002E0C7E" w:rsidTr="00A866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r>
      <w:tr w:rsidR="0081610A" w:rsidRPr="002E0C7E" w:rsidTr="00A8662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A86627">
            <w:pPr>
              <w:widowControl w:val="0"/>
              <w:jc w:val="center"/>
              <w:rPr>
                <w:rFonts w:ascii="Arial" w:hAnsi="Arial"/>
                <w:b/>
                <w:sz w:val="14"/>
              </w:rPr>
            </w:pPr>
            <w:r>
              <w:rPr>
                <w:rFonts w:ascii="Arial" w:hAnsi="Arial"/>
                <w:b/>
                <w:sz w:val="14"/>
              </w:rPr>
              <w:t>M</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A86627">
            <w:pPr>
              <w:widowControl w:val="0"/>
              <w:jc w:val="center"/>
              <w:rPr>
                <w:rFonts w:ascii="Arial" w:hAnsi="Arial"/>
                <w:b/>
                <w:sz w:val="14"/>
              </w:rPr>
            </w:pPr>
            <w:r>
              <w:rPr>
                <w:rFonts w:ascii="Arial" w:hAnsi="Arial"/>
                <w:b/>
                <w:sz w:val="14"/>
              </w:rPr>
              <w:t>M</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A866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A86627">
            <w:pPr>
              <w:widowControl w:val="0"/>
              <w:jc w:val="center"/>
              <w:rPr>
                <w:rFonts w:ascii="Arial" w:hAnsi="Arial"/>
                <w:b/>
                <w:sz w:val="14"/>
              </w:rPr>
            </w:pPr>
            <w:r>
              <w:rPr>
                <w:rFonts w:ascii="Arial" w:hAnsi="Arial"/>
                <w:b/>
                <w:sz w:val="14"/>
              </w:rPr>
              <w:t>M</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A8662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Pr>
                <w:rFonts w:ascii="Arial" w:hAnsi="Arial"/>
                <w:sz w:val="14"/>
              </w:rPr>
              <w:t>23</w:t>
            </w:r>
          </w:p>
          <w:p w:rsidR="0081610A" w:rsidRPr="002E0C7E" w:rsidRDefault="0081610A" w:rsidP="00A86627">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r>
              <w:rPr>
                <w:rFonts w:ascii="Arial" w:hAnsi="Arial"/>
                <w:sz w:val="14"/>
              </w:rPr>
              <w:t>24</w:t>
            </w:r>
          </w:p>
          <w:p w:rsidR="0081610A" w:rsidRPr="002E0C7E" w:rsidRDefault="0081610A" w:rsidP="00A86627">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A86627">
            <w:pPr>
              <w:widowControl w:val="0"/>
              <w:jc w:val="center"/>
              <w:rPr>
                <w:rFonts w:ascii="Arial" w:hAnsi="Arial"/>
                <w:b/>
                <w:sz w:val="14"/>
              </w:rPr>
            </w:pPr>
          </w:p>
          <w:p w:rsidR="0081610A" w:rsidRPr="002E0C7E" w:rsidRDefault="0081610A" w:rsidP="00A8662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A86627">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86627">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86627">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86627">
            <w:pPr>
              <w:widowControl w:val="0"/>
              <w:jc w:val="center"/>
              <w:rPr>
                <w:rFonts w:ascii="Arial" w:hAnsi="Arial"/>
                <w:sz w:val="14"/>
              </w:rPr>
            </w:pPr>
            <w:r w:rsidRPr="002E0C7E">
              <w:rPr>
                <w:rFonts w:ascii="Arial" w:hAnsi="Arial"/>
                <w:b/>
                <w:sz w:val="14"/>
              </w:rPr>
              <w:t>JUNE - JUIN</w:t>
            </w:r>
          </w:p>
        </w:tc>
      </w:tr>
      <w:tr w:rsidR="0081610A" w:rsidRPr="002E0C7E" w:rsidTr="00A86627">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S</w:t>
            </w:r>
          </w:p>
          <w:p w:rsidR="0081610A" w:rsidRPr="002E0C7E" w:rsidRDefault="0081610A" w:rsidP="00A86627">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M</w:t>
            </w:r>
          </w:p>
          <w:p w:rsidR="0081610A" w:rsidRPr="002E0C7E" w:rsidRDefault="0081610A" w:rsidP="00A86627">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W</w:t>
            </w:r>
          </w:p>
          <w:p w:rsidR="0081610A" w:rsidRPr="002E0C7E" w:rsidRDefault="0081610A" w:rsidP="00A86627">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T</w:t>
            </w:r>
          </w:p>
          <w:p w:rsidR="0081610A" w:rsidRPr="002E0C7E" w:rsidRDefault="0081610A" w:rsidP="00A86627">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sidRPr="002E0C7E">
              <w:rPr>
                <w:rFonts w:ascii="Arial" w:hAnsi="Arial"/>
                <w:sz w:val="14"/>
              </w:rPr>
              <w:t>F</w:t>
            </w:r>
          </w:p>
          <w:p w:rsidR="0081610A" w:rsidRPr="002E0C7E" w:rsidRDefault="0081610A" w:rsidP="00A86627">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r>
              <w:rPr>
                <w:rFonts w:ascii="Arial" w:hAnsi="Arial"/>
                <w:sz w:val="14"/>
              </w:rPr>
              <w:t>S</w:t>
            </w:r>
          </w:p>
          <w:p w:rsidR="0081610A" w:rsidRPr="002E0C7E" w:rsidRDefault="0081610A" w:rsidP="00A86627">
            <w:pPr>
              <w:widowControl w:val="0"/>
              <w:jc w:val="center"/>
              <w:rPr>
                <w:rFonts w:ascii="Arial" w:hAnsi="Arial"/>
                <w:sz w:val="14"/>
              </w:rPr>
            </w:pPr>
            <w:r>
              <w:rPr>
                <w:rFonts w:ascii="Arial" w:hAnsi="Arial"/>
                <w:sz w:val="14"/>
              </w:rPr>
              <w:t>S</w:t>
            </w:r>
          </w:p>
        </w:tc>
      </w:tr>
      <w:tr w:rsidR="0081610A" w:rsidRPr="002E0C7E" w:rsidTr="00A86627">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b/>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7</w:t>
            </w:r>
          </w:p>
        </w:tc>
      </w:tr>
      <w:tr w:rsidR="0081610A" w:rsidRPr="002E0C7E" w:rsidTr="00A866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A86627">
            <w:pPr>
              <w:widowControl w:val="0"/>
              <w:jc w:val="center"/>
              <w:rPr>
                <w:rFonts w:ascii="Arial" w:hAnsi="Arial"/>
                <w:b/>
                <w:sz w:val="14"/>
              </w:rPr>
            </w:pPr>
          </w:p>
          <w:p w:rsidR="0081610A" w:rsidRPr="002E0C7E" w:rsidRDefault="0081610A" w:rsidP="00A8662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14</w:t>
            </w:r>
          </w:p>
        </w:tc>
      </w:tr>
      <w:tr w:rsidR="0081610A" w:rsidRPr="002E0C7E" w:rsidTr="00A86627">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A86627">
            <w:pPr>
              <w:widowControl w:val="0"/>
              <w:jc w:val="center"/>
              <w:rPr>
                <w:rFonts w:ascii="Arial" w:hAnsi="Arial"/>
                <w:b/>
                <w:sz w:val="14"/>
              </w:rPr>
            </w:pPr>
            <w:r w:rsidRPr="00DB5777">
              <w:rPr>
                <w:rFonts w:ascii="Arial" w:hAnsi="Arial"/>
                <w:b/>
                <w:sz w:val="14"/>
              </w:rPr>
              <w:t>M</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A86627">
            <w:pPr>
              <w:widowControl w:val="0"/>
              <w:jc w:val="center"/>
              <w:rPr>
                <w:rFonts w:ascii="Arial" w:hAnsi="Arial"/>
                <w:b/>
                <w:sz w:val="14"/>
              </w:rPr>
            </w:pPr>
            <w:r>
              <w:rPr>
                <w:rFonts w:ascii="Arial" w:hAnsi="Arial"/>
                <w:b/>
                <w:sz w:val="14"/>
              </w:rPr>
              <w:t>H</w:t>
            </w:r>
          </w:p>
          <w:p w:rsidR="0081610A" w:rsidRPr="002E0C7E" w:rsidRDefault="0081610A" w:rsidP="00A86627">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A86627">
            <w:pPr>
              <w:widowControl w:val="0"/>
              <w:jc w:val="center"/>
              <w:rPr>
                <w:rFonts w:ascii="Arial" w:hAnsi="Arial"/>
                <w:b/>
                <w:sz w:val="14"/>
              </w:rPr>
            </w:pPr>
            <w:r w:rsidRPr="002453E3">
              <w:rPr>
                <w:rFonts w:ascii="Arial" w:hAnsi="Arial"/>
                <w:b/>
                <w:sz w:val="14"/>
              </w:rPr>
              <w:t>M</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A86627">
            <w:pPr>
              <w:widowControl w:val="0"/>
              <w:jc w:val="center"/>
              <w:rPr>
                <w:rFonts w:ascii="Arial" w:hAnsi="Arial"/>
                <w:b/>
                <w:sz w:val="14"/>
              </w:rPr>
            </w:pPr>
            <w:r w:rsidRPr="006A1E8D">
              <w:rPr>
                <w:rFonts w:ascii="Arial" w:hAnsi="Arial"/>
                <w:b/>
                <w:sz w:val="14"/>
              </w:rPr>
              <w:t>M</w:t>
            </w: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86627">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A86627">
            <w:pPr>
              <w:widowControl w:val="0"/>
              <w:jc w:val="center"/>
              <w:rPr>
                <w:rFonts w:ascii="Arial" w:hAnsi="Arial"/>
                <w:b/>
                <w:sz w:val="14"/>
              </w:rPr>
            </w:pPr>
            <w:r w:rsidRPr="00CD57C3">
              <w:rPr>
                <w:rFonts w:ascii="Arial" w:hAnsi="Arial"/>
                <w:b/>
                <w:sz w:val="14"/>
              </w:rPr>
              <w:t>H</w:t>
            </w: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A86627">
            <w:pPr>
              <w:widowControl w:val="0"/>
              <w:jc w:val="center"/>
              <w:rPr>
                <w:rFonts w:ascii="Arial" w:hAnsi="Arial"/>
                <w:b/>
                <w:sz w:val="14"/>
              </w:rPr>
            </w:pPr>
            <w:r>
              <w:rPr>
                <w:rFonts w:ascii="Arial" w:hAnsi="Arial"/>
                <w:b/>
                <w:sz w:val="14"/>
              </w:rPr>
              <w:t>H</w:t>
            </w:r>
          </w:p>
          <w:p w:rsidR="0081610A" w:rsidRPr="002E0C7E" w:rsidRDefault="0081610A" w:rsidP="00A86627">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86627">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86627">
            <w:pPr>
              <w:widowControl w:val="0"/>
              <w:jc w:val="center"/>
              <w:rPr>
                <w:rFonts w:ascii="Arial" w:hAnsi="Arial"/>
                <w:sz w:val="14"/>
              </w:rPr>
            </w:pPr>
          </w:p>
          <w:p w:rsidR="0081610A" w:rsidRPr="002E0C7E" w:rsidRDefault="0081610A" w:rsidP="00A86627">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A86627">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A86627">
            <w:pPr>
              <w:widowControl w:val="0"/>
              <w:rPr>
                <w:rFonts w:ascii="Arial" w:hAnsi="Arial"/>
                <w:sz w:val="16"/>
              </w:rPr>
            </w:pPr>
            <w:r w:rsidRPr="002E0C7E">
              <w:rPr>
                <w:rFonts w:ascii="Arial" w:hAnsi="Arial"/>
                <w:sz w:val="16"/>
              </w:rPr>
              <w:t>Sittings of the court:</w:t>
            </w:r>
          </w:p>
          <w:p w:rsidR="0081610A" w:rsidRPr="002E0C7E" w:rsidRDefault="0081610A" w:rsidP="00A8662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A86627">
            <w:pPr>
              <w:widowControl w:val="0"/>
              <w:rPr>
                <w:rFonts w:ascii="Arial" w:hAnsi="Arial"/>
                <w:sz w:val="16"/>
              </w:rPr>
            </w:pPr>
          </w:p>
          <w:p w:rsidR="0081610A" w:rsidRPr="002E0C7E" w:rsidRDefault="0081610A" w:rsidP="00A8662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8662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8662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A86627">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866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07"/>
      <w:footerReference w:type="default" r:id="rId10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8C" w:rsidRDefault="00FF5D8C" w:rsidP="00A87207">
      <w:r>
        <w:separator/>
      </w:r>
    </w:p>
  </w:endnote>
  <w:endnote w:type="continuationSeparator" w:id="0">
    <w:p w:rsidR="00FF5D8C" w:rsidRDefault="00FF5D8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pPr>
      <w:pStyle w:val="Footer"/>
      <w:rPr>
        <w:lang w:val="fr-CA"/>
      </w:rPr>
    </w:pPr>
    <w:r>
      <w:rPr>
        <w:lang w:val="fr-CA"/>
      </w:rPr>
      <w:pict>
        <v:rect id="_x0000_i1059" style="width:480.95pt;height:1pt" o:hralign="center" o:hrstd="t" o:hrnoshade="t" o:hr="t" fillcolor="black [3213]" stroked="f"/>
      </w:pict>
    </w:r>
  </w:p>
  <w:p w:rsidR="00FF5D8C" w:rsidRDefault="00FF5D8C" w:rsidP="00245129">
    <w:pPr>
      <w:tabs>
        <w:tab w:val="center" w:pos="4680"/>
      </w:tabs>
    </w:pPr>
    <w:r>
      <w:tab/>
    </w:r>
    <w:r w:rsidRPr="0009648D">
      <w:t xml:space="preserve">- </w:t>
    </w:r>
    <w:r w:rsidR="001B62D0">
      <w:fldChar w:fldCharType="begin"/>
    </w:r>
    <w:r w:rsidR="001B62D0">
      <w:instrText xml:space="preserve"> PAGE   \* MERGEFORMAT </w:instrText>
    </w:r>
    <w:r w:rsidR="001B62D0">
      <w:fldChar w:fldCharType="separate"/>
    </w:r>
    <w:r w:rsidR="001B62D0">
      <w:rPr>
        <w:noProof/>
      </w:rPr>
      <w:t>55</w:t>
    </w:r>
    <w:r w:rsidR="001B62D0">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5D8C" w:rsidRDefault="00FF5D8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755F22">
    <w:pPr>
      <w:tabs>
        <w:tab w:val="left" w:pos="-1440"/>
        <w:tab w:val="left" w:pos="-720"/>
      </w:tabs>
    </w:pPr>
    <w:r>
      <w:pict>
        <v:rect id="_x0000_i1064" style="width:480.95pt;height:1pt" o:hralign="center" o:hrstd="t" o:hrnoshade="t" o:hr="t" fillcolor="black [3213]" stroked="f"/>
      </w:pict>
    </w:r>
  </w:p>
  <w:p w:rsidR="00FF5D8C" w:rsidRDefault="00FF5D8C" w:rsidP="00EB2B90">
    <w:pPr>
      <w:tabs>
        <w:tab w:val="center" w:pos="4680"/>
      </w:tabs>
    </w:pPr>
    <w:r>
      <w:tab/>
      <w:t xml:space="preserve">- </w:t>
    </w:r>
    <w:r w:rsidR="001B62D0">
      <w:fldChar w:fldCharType="begin"/>
    </w:r>
    <w:r w:rsidR="001B62D0">
      <w:instrText xml:space="preserve"> PAGE   \* MERGEFORMAT </w:instrText>
    </w:r>
    <w:r w:rsidR="001B62D0">
      <w:fldChar w:fldCharType="separate"/>
    </w:r>
    <w:r w:rsidR="001B62D0">
      <w:rPr>
        <w:noProof/>
      </w:rPr>
      <w:t>84</w:t>
    </w:r>
    <w:r w:rsidR="001B62D0">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EB2B90">
    <w:pPr>
      <w:tabs>
        <w:tab w:val="center" w:pos="4680"/>
      </w:tabs>
    </w:pPr>
    <w:r>
      <w:pict>
        <v:rect id="_x0000_i1065" style="width:480.95pt;height:1pt" o:hralign="center" o:hrstd="t" o:hrnoshade="t" o:hr="t" fillcolor="black [3213]" stroked="f"/>
      </w:pict>
    </w:r>
  </w:p>
  <w:p w:rsidR="00FF5D8C" w:rsidRPr="0031432F" w:rsidRDefault="00FF5D8C" w:rsidP="00EB2B90">
    <w:pPr>
      <w:tabs>
        <w:tab w:val="center" w:pos="4680"/>
      </w:tabs>
    </w:pPr>
    <w:r>
      <w:tab/>
      <w:t xml:space="preserve">- </w:t>
    </w:r>
    <w:r w:rsidR="001B62D0">
      <w:fldChar w:fldCharType="begin"/>
    </w:r>
    <w:r w:rsidR="001B62D0">
      <w:instrText xml:space="preserve"> PAGE   \* MERGEFORMAT </w:instrText>
    </w:r>
    <w:r w:rsidR="001B62D0">
      <w:fldChar w:fldCharType="separate"/>
    </w:r>
    <w:r w:rsidR="001B62D0">
      <w:rPr>
        <w:noProof/>
      </w:rPr>
      <w:t>82</w:t>
    </w:r>
    <w:r w:rsidR="001B62D0">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5D8C" w:rsidRDefault="00FF5D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5D8C" w:rsidRDefault="00FF5D8C">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FF5D8C" w:rsidRDefault="00FF5D8C" w:rsidP="00697C62">
    <w:pPr>
      <w:tabs>
        <w:tab w:val="center" w:pos="4680"/>
      </w:tabs>
    </w:pPr>
    <w:r>
      <w:tab/>
      <w:t xml:space="preserve">- </w:t>
    </w:r>
    <w:r w:rsidR="0016688F" w:rsidRPr="00B74FED">
      <w:rPr>
        <w:szCs w:val="24"/>
      </w:rPr>
      <w:fldChar w:fldCharType="begin"/>
    </w:r>
    <w:r w:rsidRPr="00B74FED">
      <w:rPr>
        <w:szCs w:val="24"/>
      </w:rPr>
      <w:instrText xml:space="preserve"> PAGE   \* MERGEFORMAT </w:instrText>
    </w:r>
    <w:r w:rsidR="0016688F" w:rsidRPr="00B74FED">
      <w:rPr>
        <w:szCs w:val="24"/>
      </w:rPr>
      <w:fldChar w:fldCharType="separate"/>
    </w:r>
    <w:r>
      <w:rPr>
        <w:noProof/>
        <w:szCs w:val="24"/>
      </w:rPr>
      <w:t>528</w:t>
    </w:r>
    <w:r w:rsidR="0016688F"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802863">
    <w:pPr>
      <w:widowControl w:val="0"/>
      <w:tabs>
        <w:tab w:val="left" w:pos="-1440"/>
        <w:tab w:val="left" w:pos="-720"/>
      </w:tabs>
    </w:pPr>
    <w:r>
      <w:rPr>
        <w:lang w:val="fr-CA"/>
      </w:rPr>
      <w:pict>
        <v:rect id="_x0000_i1068" style="width:480.95pt;height:1pt" o:hralign="center" o:hrstd="t" o:hrnoshade="t" o:hr="t" fillcolor="black [3213]" stroked="f"/>
      </w:pict>
    </w:r>
  </w:p>
  <w:p w:rsidR="00FF5D8C" w:rsidRPr="00180897" w:rsidRDefault="00FF5D8C" w:rsidP="00697C62">
    <w:pPr>
      <w:tabs>
        <w:tab w:val="center" w:pos="4680"/>
      </w:tabs>
    </w:pPr>
    <w:r>
      <w:tab/>
      <w:t xml:space="preserve">- </w:t>
    </w:r>
    <w:r w:rsidR="0016688F" w:rsidRPr="00B74FED">
      <w:rPr>
        <w:szCs w:val="24"/>
      </w:rPr>
      <w:fldChar w:fldCharType="begin"/>
    </w:r>
    <w:r w:rsidRPr="00B74FED">
      <w:rPr>
        <w:szCs w:val="24"/>
      </w:rPr>
      <w:instrText xml:space="preserve"> PAGE   \* MERGEFORMAT </w:instrText>
    </w:r>
    <w:r w:rsidR="0016688F" w:rsidRPr="00B74FED">
      <w:rPr>
        <w:szCs w:val="24"/>
      </w:rPr>
      <w:fldChar w:fldCharType="separate"/>
    </w:r>
    <w:r w:rsidR="001B62D0">
      <w:rPr>
        <w:noProof/>
        <w:szCs w:val="24"/>
      </w:rPr>
      <w:t>85</w:t>
    </w:r>
    <w:r w:rsidR="0016688F"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5D8C" w:rsidRDefault="00FF5D8C">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732DB7">
    <w:r>
      <w:pict>
        <v:rect id="_x0000_i1073" style="width:480.95pt;height:1pt" o:hralign="center" o:hrstd="t" o:hrnoshade="t" o:hr="t" fillcolor="black" stroked="f"/>
      </w:pict>
    </w:r>
  </w:p>
  <w:p w:rsidR="00FF5D8C" w:rsidRDefault="00FF5D8C">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pPr>
      <w:pStyle w:val="Footer"/>
    </w:pPr>
    <w:r>
      <w:pict>
        <v:rect id="_x0000_i1074" style="width:480.95pt;height:1pt" o:hralign="center" o:hrstd="t" o:hrnoshade="t" o:hr="t" fillcolor="black" stroked="f"/>
      </w:pict>
    </w:r>
  </w:p>
  <w:p w:rsidR="00FF5D8C" w:rsidRPr="00283C52" w:rsidRDefault="00FF5D8C">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5D8C" w:rsidRDefault="00FF5D8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732DB7">
    <w:r>
      <w:pict>
        <v:rect id="_x0000_i1077" style="width:480.95pt;height:1pt" o:hralign="center" o:hrstd="t" o:hrnoshade="t" o:hr="t" fillcolor="black" stroked="f"/>
      </w:pict>
    </w:r>
  </w:p>
  <w:p w:rsidR="00FF5D8C" w:rsidRDefault="00FF5D8C">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pPr>
      <w:pStyle w:val="Footer"/>
    </w:pPr>
    <w:r>
      <w:pict>
        <v:rect id="_x0000_i1078" style="width:480.95pt;height:1pt" o:hralign="center" o:hrstd="t" o:hrnoshade="t" o:hr="t" fillcolor="black [3213]" stroked="f"/>
      </w:pict>
    </w:r>
  </w:p>
  <w:p w:rsidR="00FF5D8C" w:rsidRPr="003C2C0F" w:rsidRDefault="00FF5D8C" w:rsidP="00697C62">
    <w:pPr>
      <w:tabs>
        <w:tab w:val="center" w:pos="4680"/>
      </w:tabs>
    </w:pPr>
    <w:r>
      <w:tab/>
      <w:t xml:space="preserve">- </w:t>
    </w:r>
    <w:r w:rsidR="001B62D0">
      <w:fldChar w:fldCharType="begin"/>
    </w:r>
    <w:r w:rsidR="001B62D0">
      <w:instrText xml:space="preserve"> PAGE   \* MERGEFORMAT </w:instrText>
    </w:r>
    <w:r w:rsidR="001B62D0">
      <w:fldChar w:fldCharType="separate"/>
    </w:r>
    <w:r w:rsidR="001B62D0">
      <w:rPr>
        <w:noProof/>
      </w:rPr>
      <w:t>89</w:t>
    </w:r>
    <w:r w:rsidR="001B62D0">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5D8C" w:rsidRDefault="00FF5D8C">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5D8C" w:rsidRDefault="001B62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FF5D8C" w:rsidRDefault="00FF5D8C" w:rsidP="00782AE4">
    <w:pPr>
      <w:tabs>
        <w:tab w:val="center" w:pos="4680"/>
      </w:tabs>
    </w:pPr>
    <w:r>
      <w:tab/>
      <w:t xml:space="preserve">- </w:t>
    </w:r>
    <w:r w:rsidR="0016688F" w:rsidRPr="001775C1">
      <w:rPr>
        <w:szCs w:val="24"/>
      </w:rPr>
      <w:fldChar w:fldCharType="begin"/>
    </w:r>
    <w:r w:rsidRPr="001775C1">
      <w:rPr>
        <w:szCs w:val="24"/>
      </w:rPr>
      <w:instrText xml:space="preserve"> PAGE   \* MERGEFORMAT </w:instrText>
    </w:r>
    <w:r w:rsidR="0016688F" w:rsidRPr="001775C1">
      <w:rPr>
        <w:szCs w:val="24"/>
      </w:rPr>
      <w:fldChar w:fldCharType="separate"/>
    </w:r>
    <w:r w:rsidR="001B62D0">
      <w:rPr>
        <w:noProof/>
        <w:szCs w:val="24"/>
      </w:rPr>
      <w:t>99</w:t>
    </w:r>
    <w:r w:rsidR="0016688F"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782AE4">
    <w:pPr>
      <w:tabs>
        <w:tab w:val="center" w:pos="4680"/>
      </w:tabs>
    </w:pPr>
    <w:r>
      <w:pict>
        <v:rect id="_x0000_i1084" style="width:480.95pt;height:1pt" o:hralign="center" o:hrstd="t" o:hrnoshade="t" o:hr="t" fillcolor="black [3213]" stroked="f"/>
      </w:pict>
    </w:r>
  </w:p>
  <w:p w:rsidR="00FF5D8C" w:rsidRDefault="00FF5D8C" w:rsidP="00782AE4">
    <w:pPr>
      <w:tabs>
        <w:tab w:val="center" w:pos="4680"/>
      </w:tabs>
    </w:pPr>
    <w:r>
      <w:tab/>
      <w:t xml:space="preserve">- </w:t>
    </w:r>
    <w:r w:rsidR="0016688F" w:rsidRPr="001775C1">
      <w:rPr>
        <w:szCs w:val="24"/>
      </w:rPr>
      <w:fldChar w:fldCharType="begin"/>
    </w:r>
    <w:r w:rsidRPr="001775C1">
      <w:rPr>
        <w:szCs w:val="24"/>
      </w:rPr>
      <w:instrText xml:space="preserve"> PAGE   \* MERGEFORMAT </w:instrText>
    </w:r>
    <w:r w:rsidR="0016688F" w:rsidRPr="001775C1">
      <w:rPr>
        <w:szCs w:val="24"/>
      </w:rPr>
      <w:fldChar w:fldCharType="separate"/>
    </w:r>
    <w:r w:rsidR="001B62D0">
      <w:rPr>
        <w:noProof/>
        <w:szCs w:val="24"/>
      </w:rPr>
      <w:t>90</w:t>
    </w:r>
    <w:r w:rsidR="0016688F"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Pr="00924065" w:rsidRDefault="00FF5D8C"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A87207">
    <w:pPr>
      <w:pStyle w:val="Footer"/>
    </w:pPr>
    <w:r>
      <w:pict>
        <v:rect id="_x0000_i1029" style="width:480.95pt;height:1pt" o:hralign="center" o:hrstd="t" o:hrnoshade="t" o:hr="t" fillcolor="black [3213]" stroked="f"/>
      </w:pict>
    </w:r>
  </w:p>
  <w:p w:rsidR="00FF5D8C" w:rsidRPr="00B7374B" w:rsidRDefault="00FF5D8C" w:rsidP="00B7374B">
    <w:pPr>
      <w:tabs>
        <w:tab w:val="center" w:pos="4680"/>
      </w:tabs>
      <w:rPr>
        <w:szCs w:val="24"/>
      </w:rPr>
    </w:pPr>
    <w:r w:rsidRPr="00954D22">
      <w:rPr>
        <w:szCs w:val="24"/>
      </w:rPr>
      <w:tab/>
      <w:t xml:space="preserve">- </w:t>
    </w:r>
    <w:r w:rsidR="0016688F" w:rsidRPr="00954D22">
      <w:rPr>
        <w:szCs w:val="24"/>
      </w:rPr>
      <w:fldChar w:fldCharType="begin"/>
    </w:r>
    <w:r w:rsidRPr="00954D22">
      <w:rPr>
        <w:szCs w:val="24"/>
      </w:rPr>
      <w:instrText xml:space="preserve"> PAGE   \* MERGEFORMAT </w:instrText>
    </w:r>
    <w:r w:rsidR="0016688F" w:rsidRPr="00954D22">
      <w:rPr>
        <w:szCs w:val="24"/>
      </w:rPr>
      <w:fldChar w:fldCharType="separate"/>
    </w:r>
    <w:r>
      <w:rPr>
        <w:noProof/>
        <w:szCs w:val="24"/>
      </w:rPr>
      <w:t>54</w:t>
    </w:r>
    <w:r w:rsidR="0016688F"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755F22">
    <w:pPr>
      <w:tabs>
        <w:tab w:val="left" w:pos="-1440"/>
        <w:tab w:val="left" w:pos="-720"/>
      </w:tabs>
    </w:pPr>
    <w:r>
      <w:pict>
        <v:rect id="_x0000_i1030" style="width:480.95pt;height:1pt" o:hralign="center" o:hrstd="t" o:hrnoshade="t" o:hr="t" fillcolor="black [3213]" stroked="f"/>
      </w:pict>
    </w:r>
  </w:p>
  <w:p w:rsidR="00FF5D8C" w:rsidRPr="00954D22" w:rsidRDefault="00FF5D8C" w:rsidP="00B7374B">
    <w:pPr>
      <w:tabs>
        <w:tab w:val="center" w:pos="4680"/>
      </w:tabs>
      <w:rPr>
        <w:szCs w:val="24"/>
      </w:rPr>
    </w:pPr>
    <w:r w:rsidRPr="00954D22">
      <w:rPr>
        <w:szCs w:val="24"/>
      </w:rPr>
      <w:tab/>
      <w:t xml:space="preserve">- </w:t>
    </w:r>
    <w:r w:rsidR="0016688F">
      <w:rPr>
        <w:szCs w:val="24"/>
      </w:rPr>
      <w:fldChar w:fldCharType="begin"/>
    </w:r>
    <w:r>
      <w:rPr>
        <w:szCs w:val="24"/>
      </w:rPr>
      <w:instrText xml:space="preserve"> PAGE   \* MERGEFORMAT </w:instrText>
    </w:r>
    <w:r w:rsidR="0016688F">
      <w:rPr>
        <w:szCs w:val="24"/>
      </w:rPr>
      <w:fldChar w:fldCharType="separate"/>
    </w:r>
    <w:r w:rsidR="001B62D0">
      <w:rPr>
        <w:noProof/>
        <w:szCs w:val="24"/>
      </w:rPr>
      <w:t>53</w:t>
    </w:r>
    <w:r w:rsidR="0016688F">
      <w:rPr>
        <w:szCs w:val="24"/>
      </w:rPr>
      <w:fldChar w:fldCharType="end"/>
    </w:r>
    <w:r w:rsidRPr="00954D22">
      <w:rPr>
        <w:szCs w:val="24"/>
      </w:rPr>
      <w:t xml:space="preserve"> -</w:t>
    </w:r>
  </w:p>
  <w:p w:rsidR="00FF5D8C" w:rsidRDefault="00FF5D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A87207">
    <w:pPr>
      <w:pStyle w:val="Footer"/>
    </w:pPr>
    <w:r>
      <w:pict>
        <v:rect id="_x0000_i1032" style="width:480.95pt;height:1pt" o:hralign="center" o:hrstd="t" o:hrnoshade="t" o:hr="t" fillcolor="black [3213]" stroked="f"/>
      </w:pict>
    </w:r>
  </w:p>
  <w:p w:rsidR="00FF5D8C" w:rsidRPr="00B7374B" w:rsidRDefault="00FF5D8C" w:rsidP="00B7374B">
    <w:pPr>
      <w:tabs>
        <w:tab w:val="center" w:pos="4680"/>
      </w:tabs>
      <w:rPr>
        <w:szCs w:val="24"/>
      </w:rPr>
    </w:pPr>
    <w:r w:rsidRPr="00954D22">
      <w:rPr>
        <w:szCs w:val="24"/>
      </w:rPr>
      <w:tab/>
      <w:t xml:space="preserve">- </w:t>
    </w:r>
    <w:r w:rsidR="0016688F" w:rsidRPr="00954D22">
      <w:rPr>
        <w:szCs w:val="24"/>
      </w:rPr>
      <w:fldChar w:fldCharType="begin"/>
    </w:r>
    <w:r w:rsidRPr="00954D22">
      <w:rPr>
        <w:szCs w:val="24"/>
      </w:rPr>
      <w:instrText xml:space="preserve"> PAGE   \* MERGEFORMAT </w:instrText>
    </w:r>
    <w:r w:rsidR="0016688F" w:rsidRPr="00954D22">
      <w:rPr>
        <w:szCs w:val="24"/>
      </w:rPr>
      <w:fldChar w:fldCharType="separate"/>
    </w:r>
    <w:r>
      <w:rPr>
        <w:noProof/>
        <w:szCs w:val="24"/>
      </w:rPr>
      <w:t>55</w:t>
    </w:r>
    <w:r w:rsidR="0016688F"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FF5D8C" w:rsidRPr="00954D22" w:rsidRDefault="00FF5D8C" w:rsidP="00B7374B">
    <w:pPr>
      <w:tabs>
        <w:tab w:val="center" w:pos="4680"/>
      </w:tabs>
      <w:rPr>
        <w:szCs w:val="24"/>
      </w:rPr>
    </w:pPr>
    <w:r w:rsidRPr="00954D22">
      <w:rPr>
        <w:szCs w:val="24"/>
      </w:rPr>
      <w:tab/>
      <w:t xml:space="preserve">- </w:t>
    </w:r>
    <w:r w:rsidR="0016688F" w:rsidRPr="00954D22">
      <w:rPr>
        <w:szCs w:val="24"/>
      </w:rPr>
      <w:fldChar w:fldCharType="begin"/>
    </w:r>
    <w:r w:rsidRPr="00954D22">
      <w:rPr>
        <w:szCs w:val="24"/>
      </w:rPr>
      <w:instrText xml:space="preserve"> PAGE   \* MERGEFORMAT </w:instrText>
    </w:r>
    <w:r w:rsidR="0016688F" w:rsidRPr="00954D22">
      <w:rPr>
        <w:szCs w:val="24"/>
      </w:rPr>
      <w:fldChar w:fldCharType="separate"/>
    </w:r>
    <w:r w:rsidR="001B62D0">
      <w:rPr>
        <w:noProof/>
        <w:szCs w:val="24"/>
      </w:rPr>
      <w:t>54</w:t>
    </w:r>
    <w:r w:rsidR="0016688F"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5D8C" w:rsidRDefault="00FF5D8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1B62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FF5D8C" w:rsidRPr="0009648D" w:rsidRDefault="00FF5D8C" w:rsidP="00ED7E83">
    <w:pPr>
      <w:tabs>
        <w:tab w:val="center" w:pos="4680"/>
      </w:tabs>
    </w:pPr>
    <w:r>
      <w:tab/>
    </w:r>
    <w:r w:rsidRPr="0009648D">
      <w:t xml:space="preserve">- </w:t>
    </w:r>
    <w:r w:rsidR="001B62D0">
      <w:fldChar w:fldCharType="begin"/>
    </w:r>
    <w:r w:rsidR="001B62D0">
      <w:instrText xml:space="preserve"> PAGE   \* MERGEFORMAT </w:instrText>
    </w:r>
    <w:r w:rsidR="001B62D0">
      <w:fldChar w:fldCharType="separate"/>
    </w:r>
    <w:r w:rsidR="001B62D0">
      <w:rPr>
        <w:noProof/>
      </w:rPr>
      <w:t>76</w:t>
    </w:r>
    <w:r w:rsidR="001B62D0">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8C" w:rsidRDefault="00FF5D8C" w:rsidP="00A87207">
      <w:r>
        <w:separator/>
      </w:r>
    </w:p>
  </w:footnote>
  <w:footnote w:type="continuationSeparator" w:id="0">
    <w:p w:rsidR="00FF5D8C" w:rsidRDefault="00FF5D8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5D8C">
      <w:tc>
        <w:tcPr>
          <w:tcW w:w="423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F5D8C"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5D8C"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F5D8C">
      <w:trPr>
        <w:gridAfter w:val="2"/>
        <w:wAfter w:w="5250" w:type="dxa"/>
      </w:trPr>
      <w:tc>
        <w:tcPr>
          <w:tcW w:w="4230" w:type="dxa"/>
          <w:tcMar>
            <w:left w:w="0" w:type="dxa"/>
            <w:right w:w="0" w:type="dxa"/>
          </w:tcMar>
        </w:tcPr>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5D8C" w:rsidRPr="00755F22" w:rsidTr="00245129">
      <w:tc>
        <w:tcPr>
          <w:tcW w:w="4230" w:type="dxa"/>
          <w:tcMar>
            <w:left w:w="0" w:type="dxa"/>
            <w:right w:w="0" w:type="dxa"/>
          </w:tcMar>
        </w:tcPr>
        <w:p w:rsidR="00FF5D8C" w:rsidRPr="00755F22" w:rsidRDefault="00FF5D8C" w:rsidP="00831CA9">
          <w:pPr>
            <w:keepNext/>
            <w:keepLines/>
            <w:rPr>
              <w:sz w:val="20"/>
              <w:szCs w:val="20"/>
            </w:rPr>
          </w:pPr>
          <w:r w:rsidRPr="00755F22">
            <w:rPr>
              <w:sz w:val="20"/>
              <w:szCs w:val="20"/>
            </w:rPr>
            <w:t>MOTIONS</w:t>
          </w:r>
        </w:p>
      </w:tc>
      <w:tc>
        <w:tcPr>
          <w:tcW w:w="1170" w:type="dxa"/>
          <w:tcMar>
            <w:left w:w="0" w:type="dxa"/>
            <w:right w:w="0" w:type="dxa"/>
          </w:tcMar>
        </w:tcPr>
        <w:p w:rsidR="00FF5D8C" w:rsidRPr="00755F22" w:rsidRDefault="00FF5D8C" w:rsidP="00831CA9">
          <w:pPr>
            <w:keepLines/>
            <w:jc w:val="center"/>
            <w:rPr>
              <w:sz w:val="20"/>
              <w:szCs w:val="20"/>
            </w:rPr>
          </w:pPr>
        </w:p>
        <w:p w:rsidR="00FF5D8C" w:rsidRPr="00755F22" w:rsidRDefault="00FF5D8C" w:rsidP="00831CA9">
          <w:pPr>
            <w:keepLines/>
            <w:tabs>
              <w:tab w:val="left" w:pos="-1440"/>
              <w:tab w:val="left" w:pos="-720"/>
            </w:tabs>
            <w:jc w:val="center"/>
            <w:rPr>
              <w:sz w:val="20"/>
              <w:szCs w:val="20"/>
            </w:rPr>
          </w:pPr>
        </w:p>
      </w:tc>
      <w:tc>
        <w:tcPr>
          <w:tcW w:w="4080" w:type="dxa"/>
          <w:tcMar>
            <w:left w:w="0" w:type="dxa"/>
            <w:right w:w="0" w:type="dxa"/>
          </w:tcMar>
        </w:tcPr>
        <w:p w:rsidR="00FF5D8C" w:rsidRPr="00BA6468" w:rsidRDefault="00FF5D8C" w:rsidP="00BA6468">
          <w:pPr>
            <w:keepLines/>
            <w:rPr>
              <w:sz w:val="20"/>
              <w:szCs w:val="20"/>
              <w:lang w:val="fr-CA"/>
            </w:rPr>
          </w:pPr>
          <w:r w:rsidRPr="00BA6468">
            <w:rPr>
              <w:sz w:val="20"/>
              <w:szCs w:val="20"/>
              <w:lang w:val="fr-CA"/>
            </w:rPr>
            <w:t>REQUÊTES</w:t>
          </w:r>
        </w:p>
      </w:tc>
    </w:tr>
  </w:tbl>
  <w:p w:rsidR="00FF5D8C" w:rsidRDefault="00FF5D8C"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tc>
        <w:tcPr>
          <w:tcW w:w="4200" w:type="dxa"/>
          <w:tcMar>
            <w:left w:w="0" w:type="dxa"/>
            <w:right w:w="0" w:type="dxa"/>
          </w:tcMar>
        </w:tcPr>
        <w:p w:rsidR="00FF5D8C" w:rsidRDefault="00FF5D8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F5D8C" w:rsidRDefault="00FF5D8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F5D8C" w:rsidRDefault="00FF5D8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5D8C" w:rsidRPr="009256DC" w:rsidRDefault="00FF5D8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F5D8C" w:rsidRPr="009256DC" w:rsidRDefault="00FF5D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F5D8C" w:rsidRPr="009256DC" w:rsidRDefault="00FF5D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rsidTr="00245129">
      <w:tc>
        <w:tcPr>
          <w:tcW w:w="4200" w:type="dxa"/>
          <w:tcMar>
            <w:left w:w="0" w:type="dxa"/>
            <w:right w:w="0" w:type="dxa"/>
          </w:tcMar>
        </w:tcPr>
        <w:p w:rsidR="00FF5D8C" w:rsidRPr="00802863" w:rsidRDefault="00FF5D8C"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F5D8C" w:rsidRPr="00802863" w:rsidRDefault="00FF5D8C" w:rsidP="00802863">
          <w:pPr>
            <w:keepNext/>
            <w:keepLines/>
            <w:widowControl w:val="0"/>
            <w:tabs>
              <w:tab w:val="left" w:pos="-1440"/>
              <w:tab w:val="left" w:pos="-720"/>
            </w:tabs>
            <w:jc w:val="center"/>
            <w:rPr>
              <w:sz w:val="20"/>
              <w:szCs w:val="20"/>
            </w:rPr>
          </w:pPr>
        </w:p>
        <w:p w:rsidR="00FF5D8C" w:rsidRPr="00802863" w:rsidRDefault="00FF5D8C" w:rsidP="00802863">
          <w:pPr>
            <w:keepNext/>
            <w:keepLines/>
            <w:widowControl w:val="0"/>
            <w:tabs>
              <w:tab w:val="left" w:pos="-1440"/>
              <w:tab w:val="left" w:pos="-720"/>
            </w:tabs>
            <w:jc w:val="center"/>
            <w:rPr>
              <w:sz w:val="20"/>
              <w:szCs w:val="20"/>
            </w:rPr>
          </w:pPr>
        </w:p>
        <w:p w:rsidR="00FF5D8C" w:rsidRPr="00802863" w:rsidRDefault="00FF5D8C"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F5D8C" w:rsidRPr="00802863" w:rsidRDefault="00FF5D8C"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F5D8C" w:rsidRPr="009256DC" w:rsidRDefault="00FF5D8C"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tc>
        <w:tcPr>
          <w:tcW w:w="420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5D8C" w:rsidRPr="00283C52"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F5D8C" w:rsidRPr="00283C52"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F5D8C" w:rsidRPr="00283C52"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rsidTr="00245129">
      <w:tc>
        <w:tcPr>
          <w:tcW w:w="4200" w:type="dxa"/>
          <w:tcMar>
            <w:left w:w="0" w:type="dxa"/>
            <w:right w:w="0" w:type="dxa"/>
          </w:tcMar>
        </w:tcPr>
        <w:p w:rsidR="00FF5D8C" w:rsidRPr="00732DB7" w:rsidRDefault="00FF5D8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F5D8C" w:rsidRPr="00732DB7" w:rsidRDefault="00FF5D8C" w:rsidP="00732DB7">
          <w:pPr>
            <w:keepNext/>
            <w:keepLines/>
            <w:tabs>
              <w:tab w:val="left" w:pos="-1440"/>
              <w:tab w:val="left" w:pos="-720"/>
            </w:tabs>
            <w:jc w:val="center"/>
            <w:rPr>
              <w:sz w:val="20"/>
              <w:szCs w:val="20"/>
            </w:rPr>
          </w:pPr>
        </w:p>
        <w:p w:rsidR="00FF5D8C" w:rsidRPr="00732DB7" w:rsidRDefault="00FF5D8C" w:rsidP="00732DB7">
          <w:pPr>
            <w:keepNext/>
            <w:keepLines/>
            <w:tabs>
              <w:tab w:val="left" w:pos="-1440"/>
              <w:tab w:val="left" w:pos="-720"/>
            </w:tabs>
            <w:jc w:val="center"/>
            <w:rPr>
              <w:sz w:val="20"/>
              <w:szCs w:val="20"/>
            </w:rPr>
          </w:pPr>
        </w:p>
        <w:p w:rsidR="00FF5D8C" w:rsidRPr="00732DB7" w:rsidRDefault="00FF5D8C" w:rsidP="00732DB7">
          <w:pPr>
            <w:keepNext/>
            <w:keepLines/>
            <w:tabs>
              <w:tab w:val="left" w:pos="-1440"/>
              <w:tab w:val="left" w:pos="-720"/>
            </w:tabs>
            <w:jc w:val="center"/>
            <w:rPr>
              <w:sz w:val="20"/>
              <w:szCs w:val="20"/>
            </w:rPr>
          </w:pPr>
        </w:p>
      </w:tc>
      <w:tc>
        <w:tcPr>
          <w:tcW w:w="4080" w:type="dxa"/>
          <w:tcMar>
            <w:left w:w="0" w:type="dxa"/>
            <w:right w:w="0" w:type="dxa"/>
          </w:tcMar>
        </w:tcPr>
        <w:p w:rsidR="00FF5D8C" w:rsidRPr="00732DB7" w:rsidRDefault="00FF5D8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F5D8C" w:rsidRPr="00283C52" w:rsidRDefault="00FF5D8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tc>
        <w:tcPr>
          <w:tcW w:w="420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F5D8C" w:rsidRPr="003C2C0F"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F5D8C" w:rsidRPr="003C2C0F"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F5D8C" w:rsidRPr="003C2C0F"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rsidTr="00245129">
      <w:tc>
        <w:tcPr>
          <w:tcW w:w="4200" w:type="dxa"/>
          <w:tcMar>
            <w:left w:w="0" w:type="dxa"/>
            <w:right w:w="0" w:type="dxa"/>
          </w:tcMar>
        </w:tcPr>
        <w:p w:rsidR="00FF5D8C" w:rsidRPr="00FF6EEC" w:rsidRDefault="00FF5D8C" w:rsidP="00FF6EEC">
          <w:pPr>
            <w:rPr>
              <w:sz w:val="20"/>
              <w:szCs w:val="20"/>
            </w:rPr>
          </w:pPr>
          <w:r w:rsidRPr="00FF6EEC">
            <w:rPr>
              <w:sz w:val="20"/>
              <w:szCs w:val="20"/>
            </w:rPr>
            <w:t>PRONOUNCEMENTS OF APPEALS RESERVED</w:t>
          </w:r>
        </w:p>
      </w:tc>
      <w:tc>
        <w:tcPr>
          <w:tcW w:w="1200" w:type="dxa"/>
          <w:tcMar>
            <w:left w:w="0" w:type="dxa"/>
            <w:right w:w="0" w:type="dxa"/>
          </w:tcMar>
        </w:tcPr>
        <w:p w:rsidR="00FF5D8C" w:rsidRPr="00FF6EEC" w:rsidRDefault="00FF5D8C" w:rsidP="00FF6EEC">
          <w:pPr>
            <w:jc w:val="center"/>
            <w:rPr>
              <w:sz w:val="20"/>
              <w:szCs w:val="20"/>
            </w:rPr>
          </w:pPr>
        </w:p>
        <w:p w:rsidR="00FF5D8C" w:rsidRPr="00FF6EEC" w:rsidRDefault="00FF5D8C" w:rsidP="00FF6EEC">
          <w:pPr>
            <w:jc w:val="center"/>
            <w:rPr>
              <w:sz w:val="20"/>
              <w:szCs w:val="20"/>
            </w:rPr>
          </w:pPr>
        </w:p>
        <w:p w:rsidR="00FF5D8C" w:rsidRPr="00FF6EEC" w:rsidRDefault="00FF5D8C" w:rsidP="00FF6EEC">
          <w:pPr>
            <w:jc w:val="center"/>
            <w:rPr>
              <w:sz w:val="20"/>
              <w:szCs w:val="20"/>
            </w:rPr>
          </w:pPr>
        </w:p>
      </w:tc>
      <w:tc>
        <w:tcPr>
          <w:tcW w:w="4080" w:type="dxa"/>
          <w:tcMar>
            <w:left w:w="0" w:type="dxa"/>
            <w:right w:w="0" w:type="dxa"/>
          </w:tcMar>
        </w:tcPr>
        <w:p w:rsidR="00FF5D8C" w:rsidRPr="00FF6EEC" w:rsidRDefault="00FF5D8C" w:rsidP="00FF6EEC">
          <w:pPr>
            <w:rPr>
              <w:sz w:val="20"/>
              <w:szCs w:val="20"/>
              <w:lang w:val="fr-CA"/>
            </w:rPr>
          </w:pPr>
          <w:r w:rsidRPr="00FF6EEC">
            <w:rPr>
              <w:sz w:val="20"/>
              <w:szCs w:val="20"/>
              <w:lang w:val="fr-CA"/>
            </w:rPr>
            <w:t>JUGEMENTS RENDUS SUR LES APPELS EN DÉLIBÉRÉ</w:t>
          </w:r>
        </w:p>
      </w:tc>
    </w:tr>
  </w:tbl>
  <w:p w:rsidR="00FF5D8C" w:rsidRPr="003C2C0F" w:rsidRDefault="00FF5D8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5D8C">
      <w:tc>
        <w:tcPr>
          <w:tcW w:w="423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F5D8C"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5D8C"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5D8C" w:rsidRPr="00782AE4" w:rsidTr="00245129">
      <w:tc>
        <w:tcPr>
          <w:tcW w:w="4230" w:type="dxa"/>
          <w:tcMar>
            <w:left w:w="0" w:type="dxa"/>
            <w:right w:w="0" w:type="dxa"/>
          </w:tcMar>
        </w:tcPr>
        <w:p w:rsidR="00FF5D8C" w:rsidRPr="00782AE4" w:rsidRDefault="00FF5D8C" w:rsidP="00102926">
          <w:pPr>
            <w:keepNext/>
            <w:keepLines/>
            <w:tabs>
              <w:tab w:val="left" w:pos="-1440"/>
              <w:tab w:val="left" w:pos="-720"/>
            </w:tabs>
            <w:rPr>
              <w:sz w:val="20"/>
              <w:szCs w:val="20"/>
            </w:rPr>
          </w:pPr>
          <w:r w:rsidRPr="00782AE4">
            <w:rPr>
              <w:sz w:val="20"/>
              <w:szCs w:val="20"/>
            </w:rPr>
            <w:t xml:space="preserve">HEADNOTES OF RECENT </w:t>
          </w:r>
        </w:p>
        <w:p w:rsidR="00FF5D8C" w:rsidRPr="00782AE4"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F5D8C" w:rsidRDefault="00FF5D8C" w:rsidP="00102926">
          <w:pPr>
            <w:keepNext/>
            <w:keepLines/>
            <w:tabs>
              <w:tab w:val="left" w:pos="-1440"/>
              <w:tab w:val="left" w:pos="-720"/>
            </w:tabs>
            <w:jc w:val="center"/>
            <w:rPr>
              <w:sz w:val="20"/>
              <w:szCs w:val="20"/>
            </w:rPr>
          </w:pPr>
        </w:p>
        <w:p w:rsidR="00FF5D8C" w:rsidRDefault="00FF5D8C" w:rsidP="00102926">
          <w:pPr>
            <w:keepNext/>
            <w:keepLines/>
            <w:tabs>
              <w:tab w:val="left" w:pos="-1440"/>
              <w:tab w:val="left" w:pos="-720"/>
            </w:tabs>
            <w:jc w:val="center"/>
            <w:rPr>
              <w:sz w:val="20"/>
              <w:szCs w:val="20"/>
            </w:rPr>
          </w:pPr>
        </w:p>
        <w:p w:rsidR="00FF5D8C" w:rsidRPr="00782AE4" w:rsidRDefault="00FF5D8C" w:rsidP="00102926">
          <w:pPr>
            <w:keepNext/>
            <w:keepLines/>
            <w:tabs>
              <w:tab w:val="left" w:pos="-1440"/>
              <w:tab w:val="left" w:pos="-720"/>
            </w:tabs>
            <w:jc w:val="center"/>
            <w:rPr>
              <w:sz w:val="20"/>
              <w:szCs w:val="20"/>
            </w:rPr>
          </w:pPr>
        </w:p>
      </w:tc>
      <w:tc>
        <w:tcPr>
          <w:tcW w:w="4080" w:type="dxa"/>
          <w:tcMar>
            <w:left w:w="0" w:type="dxa"/>
            <w:right w:w="0" w:type="dxa"/>
          </w:tcMar>
        </w:tcPr>
        <w:p w:rsidR="00FF5D8C" w:rsidRPr="00102926"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F5D8C" w:rsidRPr="00782AE4" w:rsidRDefault="00FF5D8C" w:rsidP="00102926">
          <w:pPr>
            <w:keepLines/>
            <w:tabs>
              <w:tab w:val="left" w:pos="-1440"/>
              <w:tab w:val="left" w:pos="-720"/>
            </w:tabs>
            <w:rPr>
              <w:sz w:val="20"/>
              <w:szCs w:val="20"/>
            </w:rPr>
          </w:pPr>
          <w:r w:rsidRPr="00102926">
            <w:rPr>
              <w:sz w:val="20"/>
              <w:szCs w:val="20"/>
              <w:lang w:val="fr-CA"/>
            </w:rPr>
            <w:t>RÉCENTS</w:t>
          </w:r>
        </w:p>
      </w:tc>
    </w:tr>
  </w:tbl>
  <w:p w:rsidR="00FF5D8C" w:rsidRDefault="00FF5D8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F5D8C" w:rsidRPr="0044776A" w:rsidTr="00245129">
      <w:tc>
        <w:tcPr>
          <w:tcW w:w="4290" w:type="dxa"/>
          <w:tcMar>
            <w:left w:w="0" w:type="dxa"/>
            <w:right w:w="0" w:type="dxa"/>
          </w:tcMar>
        </w:tcPr>
        <w:p w:rsidR="00FF5D8C" w:rsidRPr="0044776A" w:rsidRDefault="00FF5D8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F5D8C" w:rsidRPr="0044776A" w:rsidRDefault="00FF5D8C" w:rsidP="002E2327">
          <w:pPr>
            <w:keepNext/>
            <w:keepLines/>
            <w:tabs>
              <w:tab w:val="left" w:pos="-1440"/>
              <w:tab w:val="left" w:pos="-720"/>
            </w:tabs>
            <w:jc w:val="center"/>
            <w:rPr>
              <w:sz w:val="20"/>
              <w:szCs w:val="20"/>
            </w:rPr>
          </w:pPr>
        </w:p>
        <w:p w:rsidR="00FF5D8C" w:rsidRPr="0044776A" w:rsidRDefault="00FF5D8C" w:rsidP="002E2327">
          <w:pPr>
            <w:keepNext/>
            <w:keepLines/>
            <w:tabs>
              <w:tab w:val="left" w:pos="-1440"/>
              <w:tab w:val="left" w:pos="-720"/>
            </w:tabs>
            <w:jc w:val="center"/>
            <w:rPr>
              <w:sz w:val="20"/>
              <w:szCs w:val="20"/>
            </w:rPr>
          </w:pPr>
        </w:p>
        <w:p w:rsidR="00FF5D8C" w:rsidRPr="0044776A" w:rsidRDefault="00FF5D8C" w:rsidP="002E2327">
          <w:pPr>
            <w:keepNext/>
            <w:keepLines/>
            <w:tabs>
              <w:tab w:val="left" w:pos="-1440"/>
              <w:tab w:val="left" w:pos="-720"/>
            </w:tabs>
            <w:jc w:val="center"/>
            <w:rPr>
              <w:sz w:val="20"/>
              <w:szCs w:val="20"/>
            </w:rPr>
          </w:pPr>
        </w:p>
      </w:tc>
      <w:tc>
        <w:tcPr>
          <w:tcW w:w="4320" w:type="dxa"/>
          <w:tcMar>
            <w:left w:w="0" w:type="dxa"/>
            <w:right w:w="0" w:type="dxa"/>
          </w:tcMar>
        </w:tcPr>
        <w:p w:rsidR="00FF5D8C" w:rsidRPr="0044776A" w:rsidRDefault="00FF5D8C" w:rsidP="002E2327">
          <w:pPr>
            <w:keepLines/>
            <w:rPr>
              <w:sz w:val="20"/>
              <w:szCs w:val="20"/>
              <w:lang w:val="fr-CA"/>
            </w:rPr>
          </w:pPr>
          <w:r w:rsidRPr="0044776A">
            <w:rPr>
              <w:sz w:val="20"/>
              <w:szCs w:val="20"/>
              <w:lang w:val="fr-CA"/>
            </w:rPr>
            <w:t>DEMANDES D'AUTORISATION D'APPEL DÉPOSÉES</w:t>
          </w:r>
        </w:p>
      </w:tc>
    </w:tr>
  </w:tbl>
  <w:p w:rsidR="00FF5D8C" w:rsidRDefault="00FF5D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rsidTr="00245129">
      <w:tc>
        <w:tcPr>
          <w:tcW w:w="4200" w:type="dxa"/>
          <w:tcMar>
            <w:left w:w="0" w:type="dxa"/>
            <w:right w:w="0" w:type="dxa"/>
          </w:tcMar>
        </w:tcPr>
        <w:p w:rsidR="00FF5D8C" w:rsidRPr="0044776A" w:rsidRDefault="00FF5D8C" w:rsidP="0044776A">
          <w:pPr>
            <w:keepNext/>
            <w:keepLines/>
            <w:widowControl w:val="0"/>
            <w:rPr>
              <w:sz w:val="20"/>
              <w:szCs w:val="20"/>
            </w:rPr>
          </w:pPr>
          <w:r>
            <w:rPr>
              <w:sz w:val="20"/>
              <w:szCs w:val="20"/>
            </w:rPr>
            <w:t>APPLICATIONS FOR LEAVE</w:t>
          </w:r>
        </w:p>
        <w:p w:rsidR="00FF5D8C" w:rsidRPr="0044776A" w:rsidRDefault="00FF5D8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F5D8C" w:rsidRPr="0044776A" w:rsidRDefault="00FF5D8C" w:rsidP="0044776A">
          <w:pPr>
            <w:keepNext/>
            <w:keepLines/>
            <w:widowControl w:val="0"/>
            <w:jc w:val="center"/>
            <w:rPr>
              <w:sz w:val="20"/>
              <w:szCs w:val="20"/>
            </w:rPr>
          </w:pPr>
        </w:p>
        <w:p w:rsidR="00FF5D8C" w:rsidRPr="0044776A" w:rsidRDefault="00FF5D8C" w:rsidP="0044776A">
          <w:pPr>
            <w:keepNext/>
            <w:keepLines/>
            <w:widowControl w:val="0"/>
            <w:jc w:val="center"/>
            <w:rPr>
              <w:sz w:val="20"/>
              <w:szCs w:val="20"/>
            </w:rPr>
          </w:pPr>
        </w:p>
        <w:p w:rsidR="00FF5D8C" w:rsidRPr="0044776A" w:rsidRDefault="00FF5D8C" w:rsidP="0044776A">
          <w:pPr>
            <w:keepNext/>
            <w:keepLines/>
            <w:widowControl w:val="0"/>
            <w:jc w:val="center"/>
            <w:rPr>
              <w:sz w:val="20"/>
              <w:szCs w:val="20"/>
            </w:rPr>
          </w:pPr>
        </w:p>
      </w:tc>
      <w:tc>
        <w:tcPr>
          <w:tcW w:w="4080" w:type="dxa"/>
          <w:tcMar>
            <w:left w:w="0" w:type="dxa"/>
            <w:right w:w="0" w:type="dxa"/>
          </w:tcMar>
        </w:tcPr>
        <w:p w:rsidR="00FF5D8C" w:rsidRPr="0044776A" w:rsidRDefault="00FF5D8C" w:rsidP="0044776A">
          <w:pPr>
            <w:keepLines/>
            <w:widowControl w:val="0"/>
            <w:rPr>
              <w:sz w:val="20"/>
              <w:szCs w:val="20"/>
              <w:lang w:val="fr-CA"/>
            </w:rPr>
          </w:pPr>
          <w:r w:rsidRPr="0044776A">
            <w:rPr>
              <w:sz w:val="20"/>
              <w:szCs w:val="20"/>
              <w:lang w:val="fr-CA"/>
            </w:rPr>
            <w:t>DEMANDES SOUMISES À LA COUR DEPUIS LA DERNIÈRE PARUTION</w:t>
          </w:r>
        </w:p>
        <w:p w:rsidR="00FF5D8C" w:rsidRPr="0044776A" w:rsidRDefault="00FF5D8C" w:rsidP="0044776A">
          <w:pPr>
            <w:widowControl w:val="0"/>
            <w:rPr>
              <w:sz w:val="20"/>
              <w:szCs w:val="20"/>
              <w:lang w:val="fr-CA"/>
            </w:rPr>
          </w:pPr>
        </w:p>
      </w:tc>
    </w:tr>
  </w:tbl>
  <w:p w:rsidR="00FF5D8C" w:rsidRPr="002E2327" w:rsidRDefault="00FF5D8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8C" w:rsidRDefault="00FF5D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tc>
        <w:tcPr>
          <w:tcW w:w="4200" w:type="dxa"/>
          <w:tcMar>
            <w:left w:w="0" w:type="dxa"/>
            <w:right w:w="0" w:type="dxa"/>
          </w:tcMar>
        </w:tcPr>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F5D8C"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F5D8C"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5D8C" w:rsidRPr="00FF6BA5"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F5D8C" w:rsidRPr="00FF6BA5"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F5D8C" w:rsidRPr="00FF6BA5"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F5D8C" w:rsidRPr="00FF6BA5" w:rsidRDefault="00FF5D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5D8C" w:rsidRPr="00023015" w:rsidTr="00245129">
      <w:tc>
        <w:tcPr>
          <w:tcW w:w="4200" w:type="dxa"/>
          <w:tcMar>
            <w:left w:w="0" w:type="dxa"/>
            <w:right w:w="0" w:type="dxa"/>
          </w:tcMar>
        </w:tcPr>
        <w:p w:rsidR="00FF5D8C" w:rsidRPr="00755F22"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F5D8C" w:rsidRPr="00755F22" w:rsidRDefault="00FF5D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F5D8C" w:rsidRPr="00755F22" w:rsidRDefault="00FF5D8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5D8C" w:rsidRPr="00755F22" w:rsidRDefault="00FF5D8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5D8C" w:rsidRPr="00755F22" w:rsidRDefault="00FF5D8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F5D8C" w:rsidRPr="00755F22" w:rsidRDefault="00FF5D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F5D8C" w:rsidRPr="00FF6BA5" w:rsidRDefault="00FF5D8C"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7601"/>
  </w:hdrShapeDefaults>
  <w:footnotePr>
    <w:footnote w:id="-1"/>
    <w:footnote w:id="0"/>
  </w:footnotePr>
  <w:endnotePr>
    <w:endnote w:id="-1"/>
    <w:endnote w:id="0"/>
  </w:endnotePr>
  <w:compat>
    <w:compatSetting w:name="compatibilityMode" w:uri="http://schemas.microsoft.com/office/word" w:val="12"/>
  </w:compat>
  <w:rsids>
    <w:rsidRoot w:val="00662790"/>
    <w:rsid w:val="00023015"/>
    <w:rsid w:val="00025374"/>
    <w:rsid w:val="0003223B"/>
    <w:rsid w:val="000327B2"/>
    <w:rsid w:val="00050E05"/>
    <w:rsid w:val="00052D35"/>
    <w:rsid w:val="00091FA6"/>
    <w:rsid w:val="00096BD9"/>
    <w:rsid w:val="000A0091"/>
    <w:rsid w:val="000B3C9A"/>
    <w:rsid w:val="000B40A2"/>
    <w:rsid w:val="000B4624"/>
    <w:rsid w:val="000C0ACD"/>
    <w:rsid w:val="000C0D2A"/>
    <w:rsid w:val="000C5CE8"/>
    <w:rsid w:val="000E2959"/>
    <w:rsid w:val="000F0B60"/>
    <w:rsid w:val="000F20CE"/>
    <w:rsid w:val="00102926"/>
    <w:rsid w:val="0010587F"/>
    <w:rsid w:val="00106012"/>
    <w:rsid w:val="00111C6B"/>
    <w:rsid w:val="0012102B"/>
    <w:rsid w:val="0013369E"/>
    <w:rsid w:val="001619EC"/>
    <w:rsid w:val="00164E6D"/>
    <w:rsid w:val="0016688F"/>
    <w:rsid w:val="001704E9"/>
    <w:rsid w:val="00170B3F"/>
    <w:rsid w:val="001A1C43"/>
    <w:rsid w:val="001A320C"/>
    <w:rsid w:val="001B157C"/>
    <w:rsid w:val="001B5C23"/>
    <w:rsid w:val="001B62D0"/>
    <w:rsid w:val="001D0879"/>
    <w:rsid w:val="001D0D5F"/>
    <w:rsid w:val="001D6B8C"/>
    <w:rsid w:val="001F1F83"/>
    <w:rsid w:val="001F40DF"/>
    <w:rsid w:val="002021A9"/>
    <w:rsid w:val="00210FC7"/>
    <w:rsid w:val="002139A7"/>
    <w:rsid w:val="00215F7C"/>
    <w:rsid w:val="0022323B"/>
    <w:rsid w:val="00236172"/>
    <w:rsid w:val="002410B8"/>
    <w:rsid w:val="00242AEE"/>
    <w:rsid w:val="00245129"/>
    <w:rsid w:val="00245879"/>
    <w:rsid w:val="00267FD5"/>
    <w:rsid w:val="00274D34"/>
    <w:rsid w:val="00283ED8"/>
    <w:rsid w:val="002868D0"/>
    <w:rsid w:val="002A008C"/>
    <w:rsid w:val="002A1D9C"/>
    <w:rsid w:val="002A27D1"/>
    <w:rsid w:val="002A4AFA"/>
    <w:rsid w:val="002B1930"/>
    <w:rsid w:val="002B516C"/>
    <w:rsid w:val="002C2A9E"/>
    <w:rsid w:val="002D72EB"/>
    <w:rsid w:val="002E0525"/>
    <w:rsid w:val="002E2327"/>
    <w:rsid w:val="002E3583"/>
    <w:rsid w:val="002E5576"/>
    <w:rsid w:val="00327885"/>
    <w:rsid w:val="00331B52"/>
    <w:rsid w:val="003359D3"/>
    <w:rsid w:val="00355967"/>
    <w:rsid w:val="00370E33"/>
    <w:rsid w:val="00382C47"/>
    <w:rsid w:val="00384384"/>
    <w:rsid w:val="003866AE"/>
    <w:rsid w:val="003A6401"/>
    <w:rsid w:val="003B3977"/>
    <w:rsid w:val="003E1D4C"/>
    <w:rsid w:val="003E4144"/>
    <w:rsid w:val="003F1797"/>
    <w:rsid w:val="003F5659"/>
    <w:rsid w:val="00432989"/>
    <w:rsid w:val="00440E24"/>
    <w:rsid w:val="00446900"/>
    <w:rsid w:val="0044776A"/>
    <w:rsid w:val="00460AFC"/>
    <w:rsid w:val="0047471F"/>
    <w:rsid w:val="004909C5"/>
    <w:rsid w:val="004B195E"/>
    <w:rsid w:val="004B66B4"/>
    <w:rsid w:val="004B7F60"/>
    <w:rsid w:val="004C1AAC"/>
    <w:rsid w:val="004E1E0A"/>
    <w:rsid w:val="004F090E"/>
    <w:rsid w:val="00501F3C"/>
    <w:rsid w:val="00527CC7"/>
    <w:rsid w:val="005363AD"/>
    <w:rsid w:val="00566CA2"/>
    <w:rsid w:val="00571CA4"/>
    <w:rsid w:val="00582136"/>
    <w:rsid w:val="005A40A4"/>
    <w:rsid w:val="005C6840"/>
    <w:rsid w:val="005F263E"/>
    <w:rsid w:val="005F360C"/>
    <w:rsid w:val="00600252"/>
    <w:rsid w:val="00612A40"/>
    <w:rsid w:val="0062714A"/>
    <w:rsid w:val="00651A14"/>
    <w:rsid w:val="006617F5"/>
    <w:rsid w:val="00662790"/>
    <w:rsid w:val="00675479"/>
    <w:rsid w:val="00680709"/>
    <w:rsid w:val="00696BF9"/>
    <w:rsid w:val="00697C62"/>
    <w:rsid w:val="006A329B"/>
    <w:rsid w:val="006A7EB8"/>
    <w:rsid w:val="006B6926"/>
    <w:rsid w:val="006B6A58"/>
    <w:rsid w:val="006C3F47"/>
    <w:rsid w:val="006C5F7A"/>
    <w:rsid w:val="006E0384"/>
    <w:rsid w:val="006E06AF"/>
    <w:rsid w:val="006F350F"/>
    <w:rsid w:val="00732DB7"/>
    <w:rsid w:val="0074238B"/>
    <w:rsid w:val="00745EF7"/>
    <w:rsid w:val="00755F22"/>
    <w:rsid w:val="00766E4A"/>
    <w:rsid w:val="007820CE"/>
    <w:rsid w:val="00782AE4"/>
    <w:rsid w:val="0079724F"/>
    <w:rsid w:val="007A3EAE"/>
    <w:rsid w:val="007C04FC"/>
    <w:rsid w:val="007D3E0F"/>
    <w:rsid w:val="007E4282"/>
    <w:rsid w:val="007F387B"/>
    <w:rsid w:val="00802863"/>
    <w:rsid w:val="00815B3C"/>
    <w:rsid w:val="0081610A"/>
    <w:rsid w:val="00822540"/>
    <w:rsid w:val="0082783A"/>
    <w:rsid w:val="00831CA9"/>
    <w:rsid w:val="008446C1"/>
    <w:rsid w:val="00850E1F"/>
    <w:rsid w:val="0085476B"/>
    <w:rsid w:val="00856098"/>
    <w:rsid w:val="00890C2B"/>
    <w:rsid w:val="00890FEB"/>
    <w:rsid w:val="008A5C1A"/>
    <w:rsid w:val="008C18BB"/>
    <w:rsid w:val="008C3509"/>
    <w:rsid w:val="008D292F"/>
    <w:rsid w:val="008D64DB"/>
    <w:rsid w:val="008E03DC"/>
    <w:rsid w:val="00902E51"/>
    <w:rsid w:val="00924065"/>
    <w:rsid w:val="00930D68"/>
    <w:rsid w:val="00932DB4"/>
    <w:rsid w:val="00941A4B"/>
    <w:rsid w:val="00946242"/>
    <w:rsid w:val="0095096B"/>
    <w:rsid w:val="00960B7B"/>
    <w:rsid w:val="00970CD3"/>
    <w:rsid w:val="009723FA"/>
    <w:rsid w:val="00984546"/>
    <w:rsid w:val="00996510"/>
    <w:rsid w:val="009D1F15"/>
    <w:rsid w:val="009D555E"/>
    <w:rsid w:val="009E29DD"/>
    <w:rsid w:val="009F3024"/>
    <w:rsid w:val="00A0355E"/>
    <w:rsid w:val="00A375D1"/>
    <w:rsid w:val="00A51D10"/>
    <w:rsid w:val="00A52A83"/>
    <w:rsid w:val="00A6552C"/>
    <w:rsid w:val="00A84883"/>
    <w:rsid w:val="00A86627"/>
    <w:rsid w:val="00A87207"/>
    <w:rsid w:val="00A935AA"/>
    <w:rsid w:val="00AA49BB"/>
    <w:rsid w:val="00AB2201"/>
    <w:rsid w:val="00AB2D7B"/>
    <w:rsid w:val="00AD3259"/>
    <w:rsid w:val="00AF1715"/>
    <w:rsid w:val="00AF3904"/>
    <w:rsid w:val="00B010C0"/>
    <w:rsid w:val="00B07B13"/>
    <w:rsid w:val="00B4740D"/>
    <w:rsid w:val="00B61629"/>
    <w:rsid w:val="00B63C36"/>
    <w:rsid w:val="00B7374B"/>
    <w:rsid w:val="00B766D9"/>
    <w:rsid w:val="00B90DC0"/>
    <w:rsid w:val="00BA116A"/>
    <w:rsid w:val="00BA5582"/>
    <w:rsid w:val="00BA6468"/>
    <w:rsid w:val="00BB1D44"/>
    <w:rsid w:val="00BC05EA"/>
    <w:rsid w:val="00BC7DCE"/>
    <w:rsid w:val="00BD06DA"/>
    <w:rsid w:val="00BD1E45"/>
    <w:rsid w:val="00BD4217"/>
    <w:rsid w:val="00BF25F3"/>
    <w:rsid w:val="00C1697B"/>
    <w:rsid w:val="00C21CB5"/>
    <w:rsid w:val="00C42C54"/>
    <w:rsid w:val="00C50A5C"/>
    <w:rsid w:val="00C50FDF"/>
    <w:rsid w:val="00C5574B"/>
    <w:rsid w:val="00C63381"/>
    <w:rsid w:val="00C73D06"/>
    <w:rsid w:val="00C73E1B"/>
    <w:rsid w:val="00C759B4"/>
    <w:rsid w:val="00C77713"/>
    <w:rsid w:val="00C85BB7"/>
    <w:rsid w:val="00CA2DEA"/>
    <w:rsid w:val="00CA6D8B"/>
    <w:rsid w:val="00CB43D5"/>
    <w:rsid w:val="00CC4D84"/>
    <w:rsid w:val="00CE198A"/>
    <w:rsid w:val="00CF08C8"/>
    <w:rsid w:val="00CF2840"/>
    <w:rsid w:val="00D004FC"/>
    <w:rsid w:val="00D27D15"/>
    <w:rsid w:val="00D64901"/>
    <w:rsid w:val="00D67C87"/>
    <w:rsid w:val="00D76BDF"/>
    <w:rsid w:val="00D77DC3"/>
    <w:rsid w:val="00D862C1"/>
    <w:rsid w:val="00D93B50"/>
    <w:rsid w:val="00D94028"/>
    <w:rsid w:val="00D94670"/>
    <w:rsid w:val="00DA46F6"/>
    <w:rsid w:val="00DD0B49"/>
    <w:rsid w:val="00DE0502"/>
    <w:rsid w:val="00DE349D"/>
    <w:rsid w:val="00E06DFA"/>
    <w:rsid w:val="00E20A0A"/>
    <w:rsid w:val="00E356C7"/>
    <w:rsid w:val="00E45FE4"/>
    <w:rsid w:val="00E64FA7"/>
    <w:rsid w:val="00E75BCB"/>
    <w:rsid w:val="00E770CB"/>
    <w:rsid w:val="00E903A1"/>
    <w:rsid w:val="00E940EB"/>
    <w:rsid w:val="00E9703F"/>
    <w:rsid w:val="00EA12CA"/>
    <w:rsid w:val="00EB2B90"/>
    <w:rsid w:val="00ED7E83"/>
    <w:rsid w:val="00EE091F"/>
    <w:rsid w:val="00EF4B63"/>
    <w:rsid w:val="00F0068D"/>
    <w:rsid w:val="00F03FDB"/>
    <w:rsid w:val="00F0576D"/>
    <w:rsid w:val="00F14E6D"/>
    <w:rsid w:val="00F15EA8"/>
    <w:rsid w:val="00F16C8D"/>
    <w:rsid w:val="00F230CC"/>
    <w:rsid w:val="00F26C61"/>
    <w:rsid w:val="00F33CCE"/>
    <w:rsid w:val="00F40249"/>
    <w:rsid w:val="00F43661"/>
    <w:rsid w:val="00F526C8"/>
    <w:rsid w:val="00F54ACD"/>
    <w:rsid w:val="00F761A3"/>
    <w:rsid w:val="00F762D0"/>
    <w:rsid w:val="00F9272D"/>
    <w:rsid w:val="00F9518C"/>
    <w:rsid w:val="00FA316E"/>
    <w:rsid w:val="00FA59EF"/>
    <w:rsid w:val="00FB19A2"/>
    <w:rsid w:val="00FF5D8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character" w:customStyle="1" w:styleId="SCCBanSummaryChar">
    <w:name w:val="SCC.BanSummary Char"/>
    <w:basedOn w:val="DefaultParagraphFont"/>
    <w:link w:val="SCCBanSummary"/>
    <w:locked/>
    <w:rsid w:val="008C18BB"/>
    <w:rPr>
      <w:smallCaps/>
    </w:rPr>
  </w:style>
  <w:style w:type="paragraph" w:customStyle="1" w:styleId="SCCBanSummary">
    <w:name w:val="SCC.BanSummary"/>
    <w:basedOn w:val="Normal"/>
    <w:link w:val="SCCBanSummaryChar"/>
    <w:rsid w:val="008C18BB"/>
    <w:pPr>
      <w:jc w:val="both"/>
    </w:pPr>
    <w:rPr>
      <w:smallCaps/>
      <w:lang w:val="en-US"/>
    </w:rPr>
  </w:style>
  <w:style w:type="paragraph" w:customStyle="1" w:styleId="SCCLsocParty">
    <w:name w:val="SCC.Lsoc.Party"/>
    <w:basedOn w:val="Normal"/>
    <w:next w:val="Normal"/>
    <w:link w:val="SCCLsocPartyChar"/>
    <w:rsid w:val="00370E33"/>
    <w:pPr>
      <w:jc w:val="center"/>
    </w:pPr>
    <w:rPr>
      <w:rFonts w:eastAsia="Calibri" w:cs="Times New Roman"/>
      <w:lang w:val="fr-CA"/>
    </w:rPr>
  </w:style>
  <w:style w:type="character" w:customStyle="1" w:styleId="SCCLsocPartyChar">
    <w:name w:val="SCC.Lsoc.Party Char"/>
    <w:basedOn w:val="DefaultParagraphFont"/>
    <w:link w:val="SCCLsocParty"/>
    <w:rsid w:val="00370E33"/>
    <w:rPr>
      <w:rFonts w:eastAsia="Calibri" w:cs="Times New Roman"/>
      <w:lang w:val="fr-CA"/>
    </w:rPr>
  </w:style>
  <w:style w:type="table" w:customStyle="1" w:styleId="TableGrid1">
    <w:name w:val="Table Grid1"/>
    <w:basedOn w:val="TableNormal"/>
    <w:next w:val="TableGrid"/>
    <w:uiPriority w:val="59"/>
    <w:rsid w:val="006E038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C42C54"/>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C42C54"/>
    <w:rPr>
      <w:rFonts w:eastAsia="Times New Roman" w:cs="Times New Roman"/>
      <w:i/>
      <w:iCs/>
      <w:color w:val="000000" w:themeColor="text1"/>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fwk8l" TargetMode="External"/><Relationship Id="rId21" Type="http://schemas.openxmlformats.org/officeDocument/2006/relationships/header" Target="header6.xml"/><Relationship Id="rId42" Type="http://schemas.openxmlformats.org/officeDocument/2006/relationships/hyperlink" Target="http://canlii.org/en/search/search.do?jId=ab&amp;id=2012%20ABQB%2076" TargetMode="External"/><Relationship Id="rId47" Type="http://schemas.openxmlformats.org/officeDocument/2006/relationships/hyperlink" Target="file:///\\FS-P01V\LegalData$\Communications\LEXUM\NewsRelease\2014\January%202014\2013%20ONCA%20448" TargetMode="External"/><Relationship Id="rId63" Type="http://schemas.openxmlformats.org/officeDocument/2006/relationships/hyperlink" Target="http://www.canlii.org/en/bc/bcsc/doc/2012/2012bcsc886/2012bcsc886.html?searchUrlHash=AAAAAQANMjAxMiBCQ1NDIDg4NgAAAAAB" TargetMode="External"/><Relationship Id="rId68" Type="http://schemas.openxmlformats.org/officeDocument/2006/relationships/footer" Target="footer9.xml"/><Relationship Id="rId84" Type="http://schemas.openxmlformats.org/officeDocument/2006/relationships/hyperlink" Target="http://www.scc-csc.ca/case-dossier/info/sum-som-eng.aspx?cas=35145" TargetMode="External"/><Relationship Id="rId89"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fr/qc/qccq/doc/2010/2010qccq3036/2010qccq3036.html?searchUrlHash=AAAAAQAPMjAxMCBRQ0NRIDMwMzYgAAAAAAE" TargetMode="External"/><Relationship Id="rId107" Type="http://schemas.openxmlformats.org/officeDocument/2006/relationships/header" Target="header26.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fr/qc/qcca/doc/2013/2013qcca947/2013qcca947.html?searchUrlHash=AAAAAQANMjAxMyBRQ0NBIDk0NwAAAAAB" TargetMode="External"/><Relationship Id="rId37" Type="http://schemas.openxmlformats.org/officeDocument/2006/relationships/hyperlink" Target="http://www.canlii.org/fr/qc/qctdp/doc/2011/2011qctdp1/2011qctdp1.html" TargetMode="External"/><Relationship Id="rId40" Type="http://schemas.openxmlformats.org/officeDocument/2006/relationships/hyperlink" Target="http://canlii.ca/t/fxlvb" TargetMode="External"/><Relationship Id="rId45" Type="http://schemas.openxmlformats.org/officeDocument/2006/relationships/hyperlink" Target="http://canlii.org/en/search/search.do?jId=ab&amp;id=2012%20ABQB%2076" TargetMode="External"/><Relationship Id="rId53" Type="http://schemas.openxmlformats.org/officeDocument/2006/relationships/hyperlink" Target="http://www.canlii.org/en/on/onsc/doc/2012/2012onsc3219/2012onsc3219.html?searchUrlHash=AAAAAQAOMjAxMiBPTlNDIDMyMTkAAAAAAQ" TargetMode="External"/><Relationship Id="rId58" Type="http://schemas.openxmlformats.org/officeDocument/2006/relationships/hyperlink" Target="http://www.canlii.org/en/on/onca/doc/2013/2013onca494/2013onca494.html?searchUrlHash=AAAAAQANMjAxMyBPTkNBIDQ5NAAAAAAB" TargetMode="External"/><Relationship Id="rId66" Type="http://schemas.openxmlformats.org/officeDocument/2006/relationships/header" Target="header9.xml"/><Relationship Id="rId74" Type="http://schemas.openxmlformats.org/officeDocument/2006/relationships/footer" Target="footer12.xml"/><Relationship Id="rId79" Type="http://schemas.openxmlformats.org/officeDocument/2006/relationships/footer" Target="footer14.xml"/><Relationship Id="rId87" Type="http://schemas.openxmlformats.org/officeDocument/2006/relationships/header" Target="header17.xml"/><Relationship Id="rId102" Type="http://schemas.openxmlformats.org/officeDocument/2006/relationships/header" Target="header24.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nlii.org/en/bc/bcsc/doc/2012/2012bcsc886/2012bcsc886.html?searchUrlHash=AAAAAQANMjAxMiBCQ1NDIDg4NgAAAAAB" TargetMode="External"/><Relationship Id="rId82" Type="http://schemas.openxmlformats.org/officeDocument/2006/relationships/footer" Target="footer16.xml"/><Relationship Id="rId90" Type="http://schemas.openxmlformats.org/officeDocument/2006/relationships/footer" Target="footer18.xml"/><Relationship Id="rId95" Type="http://schemas.openxmlformats.org/officeDocument/2006/relationships/footer" Target="footer2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frcx0" TargetMode="External"/><Relationship Id="rId30" Type="http://schemas.openxmlformats.org/officeDocument/2006/relationships/hyperlink" Target="http://canlii.ca/fr/qc/qcca/doc/2013/2013qcca947/2013qcca947.html?searchUrlHash=AAAAAQANMjAxMyBRQ0NBIDk0NwAAAAAB" TargetMode="External"/><Relationship Id="rId35" Type="http://schemas.openxmlformats.org/officeDocument/2006/relationships/hyperlink" Target="http://www.canlii.org/fr/qc/qccs/doc/2011/2011qccs2360/2011qccs2360.html?searchUrlHash=AAAAAQAOMjAxMSBRQ0NTIDIzNjAAAAAAAQ" TargetMode="External"/><Relationship Id="rId43" Type="http://schemas.openxmlformats.org/officeDocument/2006/relationships/hyperlink" Target="http://canlii.org/en/search/search.do?jId=ab&amp;id=2013%20ABCA%20221" TargetMode="External"/><Relationship Id="rId48" Type="http://schemas.openxmlformats.org/officeDocument/2006/relationships/hyperlink" Target="file:///C:\Users\boulangerj\AppData\Local\Microsoft\Windows\Temporary%20Internet%20Files\Content.Outlook\TMDV19EL\2013%20ONCA%20448" TargetMode="External"/><Relationship Id="rId56" Type="http://schemas.openxmlformats.org/officeDocument/2006/relationships/hyperlink" Target="http://www.canlii.org/en/on/onca/doc/2013/2013onca494/2013onca494.html?searchUrlHash=AAAAAQANMjAxMyBPTkNBIDQ5NAAAAAAB" TargetMode="External"/><Relationship Id="rId64" Type="http://schemas.openxmlformats.org/officeDocument/2006/relationships/hyperlink" Target="http://www.canlii.org/en/bc/bcca/doc/2013/2013bcca435/2013bcca435.html?searchUrlHash=AAAAAQANMjAxMyBiY2NhIDQzNQAAAAAB" TargetMode="External"/><Relationship Id="rId69" Type="http://schemas.openxmlformats.org/officeDocument/2006/relationships/header" Target="header10.xml"/><Relationship Id="rId77" Type="http://schemas.openxmlformats.org/officeDocument/2006/relationships/header" Target="header14.xml"/><Relationship Id="rId100" Type="http://schemas.openxmlformats.org/officeDocument/2006/relationships/hyperlink" Target="http://www.scc-csc.ca/case-dossier/info/sum-som-eng.aspx?cas=34914" TargetMode="External"/><Relationship Id="rId105" Type="http://schemas.openxmlformats.org/officeDocument/2006/relationships/header" Target="header25.xml"/><Relationship Id="rId8" Type="http://schemas.openxmlformats.org/officeDocument/2006/relationships/image" Target="media/image1.wmf"/><Relationship Id="rId51" Type="http://schemas.openxmlformats.org/officeDocument/2006/relationships/hyperlink" Target="http://www.canlii.org/en/on/onsc/doc/2012/2012onsc3219/2012onsc3219.html?searchUrlHash=AAAAAQAOMjAxMiBPTlNDIDMyMTkAAAAAAQ" TargetMode="External"/><Relationship Id="rId72" Type="http://schemas.openxmlformats.org/officeDocument/2006/relationships/header" Target="header12.xml"/><Relationship Id="rId80" Type="http://schemas.openxmlformats.org/officeDocument/2006/relationships/footer" Target="footer15.xml"/><Relationship Id="rId85" Type="http://schemas.openxmlformats.org/officeDocument/2006/relationships/hyperlink" Target="http://www.scc-csc.ca/case-dossier/info/sum-som-eng.aspx?cas=35586" TargetMode="External"/><Relationship Id="rId93" Type="http://schemas.openxmlformats.org/officeDocument/2006/relationships/header" Target="header20.xml"/><Relationship Id="rId98"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frcx0" TargetMode="External"/><Relationship Id="rId33" Type="http://schemas.openxmlformats.org/officeDocument/2006/relationships/hyperlink" Target="http://www.canlii.org/fr/qc/qccs/doc/2011/2011qccs2360/2011qccs2360.html?searchUrlHash=AAAAAQAOMjAxMSBRQ0NTIDIzNjAAAAAAAQ" TargetMode="External"/><Relationship Id="rId38" Type="http://schemas.openxmlformats.org/officeDocument/2006/relationships/hyperlink" Target="http://canlii.ca/t/fxlvb" TargetMode="External"/><Relationship Id="rId46" Type="http://schemas.openxmlformats.org/officeDocument/2006/relationships/hyperlink" Target="http://canlii.org/en/search/search.do?jId=ab&amp;id=2013%20ABCA%20221" TargetMode="External"/><Relationship Id="rId59" Type="http://schemas.openxmlformats.org/officeDocument/2006/relationships/hyperlink" Target="file:///\\FS-P01V\LegalData$\Communications\LEXUM\NewsRelease\2014\January%202014\2013%20ONCA%20398" TargetMode="External"/><Relationship Id="rId67" Type="http://schemas.openxmlformats.org/officeDocument/2006/relationships/footer" Target="footer8.xml"/><Relationship Id="rId103" Type="http://schemas.openxmlformats.org/officeDocument/2006/relationships/footer" Target="footer23.xml"/><Relationship Id="rId108" Type="http://schemas.openxmlformats.org/officeDocument/2006/relationships/footer" Target="footer26.xml"/><Relationship Id="rId20" Type="http://schemas.openxmlformats.org/officeDocument/2006/relationships/footer" Target="footer5.xml"/><Relationship Id="rId41" Type="http://schemas.openxmlformats.org/officeDocument/2006/relationships/hyperlink" Target="http://canlii.org/en/search/search.do?id=2011%20ABQB%20292&amp;jId=ab" TargetMode="External"/><Relationship Id="rId54" Type="http://schemas.openxmlformats.org/officeDocument/2006/relationships/hyperlink" Target="http://www.canlii.org/en/on/onca/doc/2013/2013onca416/2013onca416.html?searchUrlHash=AAAAAQANMjAxMyBPTkNBIDQxNgAAAAAB" TargetMode="External"/><Relationship Id="rId62" Type="http://schemas.openxmlformats.org/officeDocument/2006/relationships/hyperlink" Target="http://www.canlii.org/en/bc/bcca/doc/2013/2013bcca435/2013bcca435.html?searchUrlHash=AAAAAQANMjAxMyBiY2NhIDQzNQAAAAAB" TargetMode="External"/><Relationship Id="rId70" Type="http://schemas.openxmlformats.org/officeDocument/2006/relationships/footer" Target="footer10.xml"/><Relationship Id="rId75" Type="http://schemas.openxmlformats.org/officeDocument/2006/relationships/header" Target="header13.xml"/><Relationship Id="rId83" Type="http://schemas.openxmlformats.org/officeDocument/2006/relationships/hyperlink" Target="http://www.scc-csc.ca/case-dossier/info/sum-som-fra.aspx?cas=34854" TargetMode="External"/><Relationship Id="rId88" Type="http://schemas.openxmlformats.org/officeDocument/2006/relationships/header" Target="header18.xml"/><Relationship Id="rId91" Type="http://schemas.openxmlformats.org/officeDocument/2006/relationships/header" Target="header19.xml"/><Relationship Id="rId96"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fwk8l" TargetMode="External"/><Relationship Id="rId36" Type="http://schemas.openxmlformats.org/officeDocument/2006/relationships/hyperlink" Target="http://www.canlii.org/fr/qc/qcca/doc/2013/2013qcca981/2013qcca981.html?searchUrlHash=AAAAAQANMjAxMyBRQ0NBIDk4MQAAAAAB" TargetMode="External"/><Relationship Id="rId49" Type="http://schemas.openxmlformats.org/officeDocument/2006/relationships/hyperlink" Target="http://www.canlii.org/en/qc/qcca/doc/2013/2013qcca1206/2013qcca1206.html" TargetMode="External"/><Relationship Id="rId57" Type="http://schemas.openxmlformats.org/officeDocument/2006/relationships/hyperlink" Target="http://www.canlii.org/en/on/onsc/doc/2011/2011onsc5008/2011onsc5008.html?searchUrlHash=AAAAAQAOMjAxMSBPTlNDIDUwMDgAAAAAAQ" TargetMode="External"/><Relationship Id="rId106" Type="http://schemas.openxmlformats.org/officeDocument/2006/relationships/footer" Target="footer25.xml"/><Relationship Id="rId10" Type="http://schemas.openxmlformats.org/officeDocument/2006/relationships/hyperlink" Target="http://www.scc-csc.ca" TargetMode="External"/><Relationship Id="rId31" Type="http://schemas.openxmlformats.org/officeDocument/2006/relationships/hyperlink" Target="http://canlii.ca/fr/qc/qccq/doc/2010/2010qccq3036/2010qccq3036.html?searchUrlHash=AAAAAQAPMjAxMCBRQ0NRIDMwMzYgAAAAAAE" TargetMode="External"/><Relationship Id="rId44" Type="http://schemas.openxmlformats.org/officeDocument/2006/relationships/hyperlink" Target="http://canlii.org/en/search/search.do?id=2011%20ABQB%20292&amp;jId=ab" TargetMode="External"/><Relationship Id="rId52" Type="http://schemas.openxmlformats.org/officeDocument/2006/relationships/hyperlink" Target="http://www.canlii.org/en/on/onca/doc/2013/2013onca416/2013onca416.html?searchUrlHash=AAAAAQANMjAxMyBPTkNBIDQxNgAAAAAB" TargetMode="External"/><Relationship Id="rId60" Type="http://schemas.openxmlformats.org/officeDocument/2006/relationships/hyperlink" Target="file:///C:\Users\boulangerj\AppData\Local\Microsoft\Windows\Temporary%20Internet%20Files\Content.Outlook\TMDV19EL\2013%20ONCA%20398" TargetMode="External"/><Relationship Id="rId65" Type="http://schemas.openxmlformats.org/officeDocument/2006/relationships/header" Target="header8.xml"/><Relationship Id="rId73" Type="http://schemas.openxmlformats.org/officeDocument/2006/relationships/footer" Target="footer11.xml"/><Relationship Id="rId78" Type="http://schemas.openxmlformats.org/officeDocument/2006/relationships/header" Target="header15.xml"/><Relationship Id="rId81" Type="http://schemas.openxmlformats.org/officeDocument/2006/relationships/header" Target="header16.xml"/><Relationship Id="rId86" Type="http://schemas.openxmlformats.org/officeDocument/2006/relationships/hyperlink" Target="http://www.scc-csc.ca/case-dossier/info/sum-som-eng.aspx?cas=35089" TargetMode="External"/><Relationship Id="rId94" Type="http://schemas.openxmlformats.org/officeDocument/2006/relationships/header" Target="header21.xml"/><Relationship Id="rId99" Type="http://schemas.openxmlformats.org/officeDocument/2006/relationships/hyperlink" Target="http://www.scc-csc.ca/case-dossier/info/sum-som-fra.aspx?cas=34800" TargetMode="External"/><Relationship Id="rId10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fr/qc/qctdp/doc/2011/2011qctdp1/2011qctdp1.html" TargetMode="External"/><Relationship Id="rId109" Type="http://schemas.openxmlformats.org/officeDocument/2006/relationships/fontTable" Target="fontTable.xml"/><Relationship Id="rId34" Type="http://schemas.openxmlformats.org/officeDocument/2006/relationships/hyperlink" Target="http://www.canlii.org/fr/qc/qcca/doc/2013/2013qcca981/2013qcca981.html?searchUrlHash=AAAAAQANMjAxMyBRQ0NBIDk4MQAAAAAB" TargetMode="External"/><Relationship Id="rId50" Type="http://schemas.openxmlformats.org/officeDocument/2006/relationships/hyperlink" Target="http://www.canlii.org/en/qc/qcca/doc/2013/2013qcca1206/2013qcca1206.html" TargetMode="External"/><Relationship Id="rId55" Type="http://schemas.openxmlformats.org/officeDocument/2006/relationships/hyperlink" Target="http://www.canlii.org/en/on/onsc/doc/2011/2011onsc5008/2011onsc5008.html?searchUrlHash=AAAAAQAOMjAxMSBPTlNDIDUwMDgAAAAAAQ" TargetMode="External"/><Relationship Id="rId76" Type="http://schemas.openxmlformats.org/officeDocument/2006/relationships/footer" Target="footer13.xml"/><Relationship Id="rId97" Type="http://schemas.openxmlformats.org/officeDocument/2006/relationships/header" Target="header22.xml"/><Relationship Id="rId104" Type="http://schemas.openxmlformats.org/officeDocument/2006/relationships/footer" Target="footer24.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F3EB9-172A-4BA7-89B8-9BE2C49D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18999</Words>
  <Characters>108296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2014-01-13T16:26:00Z</dcterms:created>
  <dcterms:modified xsi:type="dcterms:W3CDTF">2015-12-15T20:53:00Z</dcterms:modified>
</cp:coreProperties>
</file>