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B68E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B68E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B68E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B68E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B68E4" w:rsidTr="002E5576">
        <w:tc>
          <w:tcPr>
            <w:tcW w:w="4518" w:type="dxa"/>
          </w:tcPr>
          <w:p w:rsidR="00BF25F3" w:rsidRPr="002E2327" w:rsidRDefault="00474C3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74C3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B68E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B68E4"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2B68E4">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2B68E4">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490666">
        <w:rPr>
          <w:lang w:val="fr-CA"/>
        </w:rPr>
        <w:t>l</w:t>
      </w:r>
      <w:r>
        <w:rPr>
          <w:lang w:val="fr-CA"/>
        </w:rPr>
        <w:t>y</w:t>
      </w:r>
      <w:r w:rsidR="00440E24" w:rsidRPr="00675479">
        <w:rPr>
          <w:lang w:val="fr-CA"/>
        </w:rPr>
        <w:t xml:space="preserve"> </w:t>
      </w:r>
      <w:r w:rsidR="00490666">
        <w:rPr>
          <w:lang w:val="fr-CA"/>
        </w:rPr>
        <w:t>25</w:t>
      </w:r>
      <w:r w:rsidR="00440E24" w:rsidRPr="00675479">
        <w:rPr>
          <w:lang w:val="fr-CA"/>
        </w:rPr>
        <w:t>, 201</w:t>
      </w:r>
      <w:r w:rsidR="00501F3C">
        <w:rPr>
          <w:lang w:val="fr-CA"/>
        </w:rPr>
        <w:t>4</w:t>
      </w:r>
      <w:r w:rsidR="00F0068D" w:rsidRPr="00675479">
        <w:rPr>
          <w:lang w:val="fr-CA"/>
        </w:rPr>
        <w:tab/>
        <w:t>1</w:t>
      </w:r>
      <w:r w:rsidR="001727AD">
        <w:rPr>
          <w:lang w:val="fr-CA"/>
        </w:rPr>
        <w:t>187</w:t>
      </w:r>
      <w:r w:rsidR="00F0068D" w:rsidRPr="00675479">
        <w:rPr>
          <w:lang w:val="fr-CA"/>
        </w:rPr>
        <w:t xml:space="preserve"> - </w:t>
      </w:r>
      <w:r w:rsidR="001B621F">
        <w:rPr>
          <w:lang w:val="fr-CA"/>
        </w:rPr>
        <w:t>122</w:t>
      </w:r>
      <w:r w:rsidR="001E2E5C">
        <w:rPr>
          <w:lang w:val="fr-CA"/>
        </w:rPr>
        <w:t>2</w:t>
      </w:r>
      <w:r w:rsidR="00440E24" w:rsidRPr="00675479">
        <w:rPr>
          <w:lang w:val="fr-CA"/>
        </w:rPr>
        <w:tab/>
      </w:r>
      <w:r w:rsidR="00440E24" w:rsidRPr="002E2327">
        <w:rPr>
          <w:lang w:val="fr-CA"/>
        </w:rPr>
        <w:t>Le</w:t>
      </w:r>
      <w:r>
        <w:rPr>
          <w:lang w:val="fr-CA"/>
        </w:rPr>
        <w:t xml:space="preserve"> </w:t>
      </w:r>
      <w:r w:rsidR="00490666">
        <w:rPr>
          <w:lang w:val="fr-CA"/>
        </w:rPr>
        <w:t>25</w:t>
      </w:r>
      <w:r>
        <w:rPr>
          <w:lang w:val="fr-CA"/>
        </w:rPr>
        <w:t xml:space="preserve"> j</w:t>
      </w:r>
      <w:r w:rsidR="00490666">
        <w:rPr>
          <w:lang w:val="fr-CA"/>
        </w:rPr>
        <w:t>uillet</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1727AD" w:rsidRDefault="00440E24" w:rsidP="00440E24">
      <w:pPr>
        <w:pBdr>
          <w:bottom w:val="single" w:sz="6" w:space="1" w:color="auto"/>
        </w:pBdr>
        <w:tabs>
          <w:tab w:val="right" w:pos="9360"/>
        </w:tabs>
        <w:rPr>
          <w:sz w:val="18"/>
          <w:szCs w:val="18"/>
          <w:lang w:val="fr-CA"/>
        </w:rPr>
      </w:pPr>
      <w:r w:rsidRPr="001727AD">
        <w:rPr>
          <w:sz w:val="18"/>
          <w:szCs w:val="18"/>
          <w:lang w:val="fr-CA"/>
        </w:rPr>
        <w:t>© Supreme Court of Canada (201</w:t>
      </w:r>
      <w:r w:rsidR="00501F3C" w:rsidRPr="001727AD">
        <w:rPr>
          <w:sz w:val="18"/>
          <w:szCs w:val="18"/>
          <w:lang w:val="fr-CA"/>
        </w:rPr>
        <w:t>4</w:t>
      </w:r>
      <w:r w:rsidRPr="001727AD">
        <w:rPr>
          <w:sz w:val="18"/>
          <w:szCs w:val="18"/>
          <w:lang w:val="fr-CA"/>
        </w:rPr>
        <w:t>)</w:t>
      </w:r>
      <w:r w:rsidRPr="001727AD">
        <w:rPr>
          <w:sz w:val="18"/>
          <w:szCs w:val="18"/>
          <w:lang w:val="fr-CA"/>
        </w:rPr>
        <w:tab/>
        <w:t>© Cour suprême du Canada (201</w:t>
      </w:r>
      <w:r w:rsidR="00501F3C" w:rsidRPr="001727AD">
        <w:rPr>
          <w:sz w:val="18"/>
          <w:szCs w:val="18"/>
          <w:lang w:val="fr-CA"/>
        </w:rPr>
        <w:t>4</w:t>
      </w:r>
      <w:r w:rsidRPr="001727AD">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B68E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EB6404">
            <w:pPr>
              <w:tabs>
                <w:tab w:val="right" w:pos="9360"/>
              </w:tabs>
              <w:rPr>
                <w:rFonts w:cs="Times New Roman"/>
                <w:sz w:val="20"/>
                <w:szCs w:val="20"/>
              </w:rPr>
            </w:pPr>
          </w:p>
        </w:tc>
        <w:tc>
          <w:tcPr>
            <w:tcW w:w="1980" w:type="dxa"/>
          </w:tcPr>
          <w:p w:rsidR="0095096B" w:rsidRPr="002E2327" w:rsidRDefault="00753200" w:rsidP="0095096B">
            <w:pPr>
              <w:jc w:val="center"/>
              <w:rPr>
                <w:rFonts w:cs="Times New Roman"/>
                <w:sz w:val="20"/>
                <w:szCs w:val="20"/>
              </w:rPr>
            </w:pPr>
            <w:r>
              <w:rPr>
                <w:rFonts w:cs="Times New Roman"/>
                <w:sz w:val="20"/>
                <w:szCs w:val="20"/>
              </w:rPr>
              <w:t>1187</w:t>
            </w:r>
            <w:r w:rsidR="00474C37" w:rsidRPr="002E2327">
              <w:rPr>
                <w:rFonts w:cs="Times New Roman"/>
                <w:sz w:val="20"/>
                <w:szCs w:val="20"/>
              </w:rPr>
              <w:fldChar w:fldCharType="begin"/>
            </w:r>
            <w:r w:rsidR="0095096B" w:rsidRPr="002E2327">
              <w:rPr>
                <w:rFonts w:cs="Times New Roman"/>
                <w:sz w:val="20"/>
                <w:szCs w:val="20"/>
              </w:rPr>
              <w:instrText xml:space="preserve"> SEQ CHAPTER \h \r 1</w:instrText>
            </w:r>
            <w:r w:rsidR="00474C37"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53200" w:rsidP="0095096B">
            <w:pPr>
              <w:jc w:val="center"/>
              <w:rPr>
                <w:rFonts w:cs="Times New Roman"/>
                <w:sz w:val="20"/>
                <w:szCs w:val="20"/>
              </w:rPr>
            </w:pPr>
            <w:r>
              <w:rPr>
                <w:rFonts w:cs="Times New Roman"/>
                <w:sz w:val="20"/>
                <w:szCs w:val="20"/>
              </w:rPr>
              <w:t>1188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919C0" w:rsidP="0095096B">
            <w:pPr>
              <w:jc w:val="center"/>
              <w:rPr>
                <w:rFonts w:cs="Times New Roman"/>
                <w:sz w:val="20"/>
                <w:szCs w:val="20"/>
              </w:rPr>
            </w:pPr>
            <w:r>
              <w:rPr>
                <w:rFonts w:cs="Times New Roman"/>
                <w:sz w:val="20"/>
                <w:szCs w:val="20"/>
              </w:rPr>
              <w:t xml:space="preserve">1189 </w:t>
            </w:r>
            <w:r w:rsidR="0095096B" w:rsidRPr="002E2327">
              <w:rPr>
                <w:rFonts w:cs="Times New Roman"/>
                <w:sz w:val="20"/>
                <w:szCs w:val="20"/>
              </w:rPr>
              <w:t>-</w:t>
            </w:r>
            <w:r w:rsidR="00917C40">
              <w:rPr>
                <w:rFonts w:cs="Times New Roman"/>
                <w:sz w:val="20"/>
                <w:szCs w:val="20"/>
              </w:rPr>
              <w:t xml:space="preserve"> 1213</w:t>
            </w:r>
          </w:p>
          <w:p w:rsidR="0095096B" w:rsidRDefault="0095096B" w:rsidP="0095096B">
            <w:pPr>
              <w:jc w:val="center"/>
              <w:rPr>
                <w:rFonts w:cs="Times New Roman"/>
                <w:sz w:val="20"/>
                <w:szCs w:val="20"/>
              </w:rPr>
            </w:pPr>
          </w:p>
          <w:p w:rsidR="00D919C0" w:rsidRPr="002E2327" w:rsidRDefault="00D919C0" w:rsidP="0095096B">
            <w:pPr>
              <w:jc w:val="center"/>
              <w:rPr>
                <w:rFonts w:cs="Times New Roman"/>
                <w:sz w:val="20"/>
                <w:szCs w:val="20"/>
              </w:rPr>
            </w:pPr>
          </w:p>
          <w:p w:rsidR="0095096B" w:rsidRPr="002E2327" w:rsidRDefault="00917C40" w:rsidP="0095096B">
            <w:pPr>
              <w:jc w:val="center"/>
              <w:rPr>
                <w:rFonts w:cs="Times New Roman"/>
                <w:sz w:val="20"/>
                <w:szCs w:val="20"/>
              </w:rPr>
            </w:pPr>
            <w:r>
              <w:rPr>
                <w:rFonts w:cs="Times New Roman"/>
                <w:sz w:val="20"/>
                <w:szCs w:val="20"/>
              </w:rPr>
              <w:t>1214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17C40" w:rsidP="0095096B">
            <w:pPr>
              <w:jc w:val="center"/>
              <w:rPr>
                <w:rFonts w:cs="Times New Roman"/>
                <w:sz w:val="20"/>
                <w:szCs w:val="20"/>
              </w:rPr>
            </w:pPr>
            <w:r>
              <w:rPr>
                <w:rFonts w:cs="Times New Roman"/>
                <w:sz w:val="20"/>
                <w:szCs w:val="20"/>
              </w:rPr>
              <w:t>1215</w:t>
            </w:r>
          </w:p>
          <w:p w:rsidR="0095096B" w:rsidRDefault="0095096B" w:rsidP="0095096B">
            <w:pPr>
              <w:jc w:val="center"/>
              <w:rPr>
                <w:rFonts w:cs="Times New Roman"/>
                <w:sz w:val="20"/>
                <w:szCs w:val="20"/>
              </w:rPr>
            </w:pPr>
          </w:p>
          <w:p w:rsidR="00D919C0" w:rsidRPr="002E2327" w:rsidRDefault="00D919C0" w:rsidP="0095096B">
            <w:pPr>
              <w:jc w:val="center"/>
              <w:rPr>
                <w:rFonts w:cs="Times New Roman"/>
                <w:sz w:val="20"/>
                <w:szCs w:val="20"/>
              </w:rPr>
            </w:pPr>
          </w:p>
          <w:p w:rsidR="0095096B" w:rsidRPr="002E2327" w:rsidRDefault="00917C40" w:rsidP="0095096B">
            <w:pPr>
              <w:jc w:val="center"/>
              <w:rPr>
                <w:rFonts w:cs="Times New Roman"/>
                <w:sz w:val="20"/>
                <w:szCs w:val="20"/>
              </w:rPr>
            </w:pPr>
            <w:r>
              <w:rPr>
                <w:rFonts w:cs="Times New Roman"/>
                <w:sz w:val="20"/>
                <w:szCs w:val="20"/>
              </w:rPr>
              <w:t xml:space="preserve">1216 </w:t>
            </w:r>
            <w:r w:rsidR="0095096B" w:rsidRPr="002E2327">
              <w:rPr>
                <w:rFonts w:cs="Times New Roman"/>
                <w:sz w:val="20"/>
                <w:szCs w:val="20"/>
              </w:rPr>
              <w:t>-</w:t>
            </w:r>
            <w:r w:rsidR="001B621F">
              <w:rPr>
                <w:rFonts w:cs="Times New Roman"/>
                <w:sz w:val="20"/>
                <w:szCs w:val="20"/>
              </w:rPr>
              <w:t xml:space="preserve"> 12</w:t>
            </w:r>
            <w:r w:rsidR="001E2E5C">
              <w:rPr>
                <w:rFonts w:cs="Times New Roman"/>
                <w:sz w:val="20"/>
                <w:szCs w:val="20"/>
              </w:rPr>
              <w:t>19</w:t>
            </w:r>
          </w:p>
          <w:p w:rsidR="0095096B" w:rsidRPr="002E2327" w:rsidRDefault="0095096B" w:rsidP="0095096B">
            <w:pPr>
              <w:jc w:val="center"/>
              <w:rPr>
                <w:rFonts w:cs="Times New Roman"/>
                <w:sz w:val="20"/>
                <w:szCs w:val="20"/>
              </w:rPr>
            </w:pPr>
          </w:p>
          <w:p w:rsidR="0095096B" w:rsidRPr="002E2327" w:rsidRDefault="009A122E" w:rsidP="0095096B">
            <w:pPr>
              <w:jc w:val="center"/>
              <w:rPr>
                <w:rFonts w:cs="Times New Roman"/>
                <w:sz w:val="20"/>
                <w:szCs w:val="20"/>
              </w:rPr>
            </w:pPr>
            <w:r>
              <w:rPr>
                <w:rFonts w:cs="Times New Roman"/>
                <w:sz w:val="20"/>
                <w:szCs w:val="20"/>
              </w:rPr>
              <w:t>122</w:t>
            </w:r>
            <w:r w:rsidR="001E2E5C">
              <w:rPr>
                <w:rFonts w:cs="Times New Roman"/>
                <w:sz w:val="20"/>
                <w:szCs w:val="20"/>
              </w:rPr>
              <w:t>0</w:t>
            </w:r>
          </w:p>
          <w:p w:rsidR="0095096B" w:rsidRPr="002E2327" w:rsidRDefault="0095096B" w:rsidP="0095096B">
            <w:pPr>
              <w:jc w:val="center"/>
              <w:rPr>
                <w:rFonts w:cs="Times New Roman"/>
                <w:sz w:val="20"/>
                <w:szCs w:val="20"/>
              </w:rPr>
            </w:pPr>
          </w:p>
          <w:p w:rsidR="0095096B" w:rsidRPr="002E2327" w:rsidRDefault="009A122E" w:rsidP="0095096B">
            <w:pPr>
              <w:jc w:val="center"/>
              <w:rPr>
                <w:rFonts w:cs="Times New Roman"/>
                <w:sz w:val="20"/>
                <w:szCs w:val="20"/>
              </w:rPr>
            </w:pPr>
            <w:r>
              <w:rPr>
                <w:rFonts w:cs="Times New Roman"/>
                <w:sz w:val="20"/>
                <w:szCs w:val="20"/>
              </w:rPr>
              <w:t>122</w:t>
            </w:r>
            <w:r w:rsidR="001E2E5C">
              <w:rPr>
                <w:rFonts w:cs="Times New Roman"/>
                <w:sz w:val="20"/>
                <w:szCs w:val="20"/>
              </w:rPr>
              <w:t>1</w:t>
            </w:r>
            <w:r>
              <w:rPr>
                <w:rFonts w:cs="Times New Roman"/>
                <w:sz w:val="20"/>
                <w:szCs w:val="20"/>
              </w:rPr>
              <w:t xml:space="preserve"> </w:t>
            </w:r>
            <w:r w:rsidR="0095096B" w:rsidRPr="002E2327">
              <w:rPr>
                <w:rFonts w:cs="Times New Roman"/>
                <w:sz w:val="20"/>
                <w:szCs w:val="20"/>
              </w:rPr>
              <w:t>-</w:t>
            </w:r>
            <w:r>
              <w:rPr>
                <w:rFonts w:cs="Times New Roman"/>
                <w:sz w:val="20"/>
                <w:szCs w:val="20"/>
              </w:rPr>
              <w:t>122</w:t>
            </w:r>
            <w:r w:rsidR="001E2E5C">
              <w:rPr>
                <w:rFonts w:cs="Times New Roman"/>
                <w:sz w:val="20"/>
                <w:szCs w:val="20"/>
              </w:rPr>
              <w:t>2</w:t>
            </w:r>
          </w:p>
          <w:p w:rsidR="00A87207" w:rsidRPr="002E2327" w:rsidRDefault="00A87207" w:rsidP="00AB0B41">
            <w:pPr>
              <w:jc w:val="center"/>
              <w:rPr>
                <w:rFonts w:cs="Times New Roman"/>
                <w:sz w:val="20"/>
                <w:szCs w:val="20"/>
              </w:rPr>
            </w:pPr>
          </w:p>
        </w:tc>
        <w:tc>
          <w:tcPr>
            <w:tcW w:w="3888" w:type="dxa"/>
          </w:tcPr>
          <w:p w:rsidR="0095096B" w:rsidRPr="002E2327" w:rsidRDefault="00474C3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760EDE">
              <w:rPr>
                <w:rFonts w:cs="Times New Roman"/>
                <w:sz w:val="20"/>
                <w:szCs w:val="20"/>
                <w:lang w:val="fr-CA"/>
              </w:rPr>
              <w:t>’</w:t>
            </w:r>
            <w:r w:rsidR="0095096B" w:rsidRPr="002E2327">
              <w:rPr>
                <w:rFonts w:cs="Times New Roman"/>
                <w:sz w:val="20"/>
                <w:szCs w:val="20"/>
                <w:lang w:val="fr-CA"/>
              </w:rPr>
              <w:t>autorisation d</w:t>
            </w:r>
            <w:r w:rsidR="00760EDE">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760EDE"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760EDE">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66160D">
            <w:pPr>
              <w:tabs>
                <w:tab w:val="right" w:pos="9360"/>
              </w:tabs>
              <w:rPr>
                <w:rFonts w:cs="Times New Roman"/>
                <w:sz w:val="20"/>
                <w:szCs w:val="20"/>
                <w:lang w:val="fr-CA"/>
              </w:rPr>
            </w:pPr>
          </w:p>
        </w:tc>
      </w:tr>
    </w:tbl>
    <w:p w:rsidR="0095096B" w:rsidRPr="00D606A1" w:rsidRDefault="0095096B" w:rsidP="0095096B">
      <w:pPr>
        <w:tabs>
          <w:tab w:val="right" w:pos="9360"/>
        </w:tabs>
        <w:rPr>
          <w:lang w:val="fr-CA"/>
        </w:rPr>
      </w:pPr>
    </w:p>
    <w:p w:rsidR="0066160D" w:rsidRPr="00D606A1" w:rsidRDefault="0066160D" w:rsidP="0095096B">
      <w:pPr>
        <w:tabs>
          <w:tab w:val="right" w:pos="9360"/>
        </w:tabs>
        <w:rPr>
          <w:lang w:val="fr-CA"/>
        </w:rPr>
      </w:pPr>
    </w:p>
    <w:p w:rsidR="00EB6404" w:rsidRPr="00D606A1" w:rsidRDefault="00EB6404" w:rsidP="0095096B">
      <w:pPr>
        <w:tabs>
          <w:tab w:val="right" w:pos="9360"/>
        </w:tabs>
        <w:rPr>
          <w:lang w:val="fr-CA"/>
        </w:rPr>
      </w:pPr>
    </w:p>
    <w:p w:rsidR="00EB6404" w:rsidRPr="00D606A1" w:rsidRDefault="00EB6404" w:rsidP="0095096B">
      <w:pPr>
        <w:tabs>
          <w:tab w:val="right" w:pos="9360"/>
        </w:tabs>
        <w:rPr>
          <w:lang w:val="fr-CA"/>
        </w:rPr>
      </w:pPr>
    </w:p>
    <w:p w:rsidR="0066160D" w:rsidRPr="00D606A1" w:rsidRDefault="0066160D"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2B68E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A10B49" w:rsidRPr="00C21644" w:rsidTr="003B3977">
        <w:tc>
          <w:tcPr>
            <w:tcW w:w="4320" w:type="dxa"/>
            <w:shd w:val="clear" w:color="auto" w:fill="auto"/>
          </w:tcPr>
          <w:p w:rsidR="00A10B49" w:rsidRPr="00A935AA" w:rsidRDefault="00A10B49" w:rsidP="005F1ED8">
            <w:pPr>
              <w:rPr>
                <w:b/>
                <w:sz w:val="20"/>
                <w:szCs w:val="20"/>
              </w:rPr>
            </w:pPr>
            <w:r>
              <w:rPr>
                <w:b/>
                <w:sz w:val="20"/>
                <w:szCs w:val="20"/>
              </w:rPr>
              <w:t>Diana Vacca</w:t>
            </w:r>
          </w:p>
          <w:p w:rsidR="00A10B49" w:rsidRPr="00A935AA" w:rsidRDefault="00A10B49" w:rsidP="005F1ED8">
            <w:pPr>
              <w:tabs>
                <w:tab w:val="left" w:pos="-1440"/>
                <w:tab w:val="left" w:pos="-720"/>
              </w:tabs>
              <w:rPr>
                <w:sz w:val="20"/>
                <w:szCs w:val="20"/>
              </w:rPr>
            </w:pPr>
            <w:r w:rsidRPr="00A935AA">
              <w:rPr>
                <w:sz w:val="20"/>
                <w:szCs w:val="20"/>
              </w:rPr>
              <w:tab/>
            </w:r>
            <w:r>
              <w:rPr>
                <w:sz w:val="20"/>
                <w:szCs w:val="20"/>
              </w:rPr>
              <w:t xml:space="preserve">Diana Vacca </w:t>
            </w:r>
          </w:p>
          <w:p w:rsidR="00A10B49" w:rsidRPr="00A10B49" w:rsidRDefault="00A10B49" w:rsidP="005F1ED8">
            <w:pPr>
              <w:tabs>
                <w:tab w:val="left" w:pos="-1440"/>
                <w:tab w:val="left" w:pos="-720"/>
              </w:tabs>
              <w:rPr>
                <w:sz w:val="20"/>
                <w:szCs w:val="20"/>
              </w:rPr>
            </w:pPr>
          </w:p>
          <w:p w:rsidR="00A10B49" w:rsidRPr="00A10B49" w:rsidRDefault="00A10B49" w:rsidP="005F1ED8">
            <w:pPr>
              <w:tabs>
                <w:tab w:val="left" w:pos="-1440"/>
                <w:tab w:val="left" w:pos="-720"/>
              </w:tabs>
              <w:rPr>
                <w:sz w:val="20"/>
                <w:szCs w:val="20"/>
              </w:rPr>
            </w:pPr>
            <w:r w:rsidRPr="00A10B49">
              <w:rPr>
                <w:sz w:val="20"/>
                <w:szCs w:val="20"/>
              </w:rPr>
              <w:tab/>
              <w:t>v. (35970)</w:t>
            </w:r>
          </w:p>
          <w:p w:rsidR="00A10B49" w:rsidRPr="00A10B49" w:rsidRDefault="00A10B49" w:rsidP="005F1ED8">
            <w:pPr>
              <w:tabs>
                <w:tab w:val="left" w:pos="-1440"/>
                <w:tab w:val="left" w:pos="-720"/>
              </w:tabs>
              <w:rPr>
                <w:sz w:val="20"/>
                <w:szCs w:val="20"/>
              </w:rPr>
            </w:pPr>
          </w:p>
          <w:p w:rsidR="00A10B49" w:rsidRPr="00A935AA" w:rsidRDefault="00A10B49" w:rsidP="005F1ED8">
            <w:pPr>
              <w:tabs>
                <w:tab w:val="left" w:pos="-1440"/>
                <w:tab w:val="left" w:pos="-720"/>
              </w:tabs>
              <w:rPr>
                <w:b/>
                <w:sz w:val="20"/>
                <w:szCs w:val="20"/>
              </w:rPr>
            </w:pPr>
            <w:r w:rsidRPr="00A10B49">
              <w:rPr>
                <w:b/>
                <w:sz w:val="20"/>
                <w:szCs w:val="20"/>
              </w:rPr>
              <w:t>Golf North Properties Inc.</w:t>
            </w:r>
            <w:r w:rsidRPr="00A10B49">
              <w:rPr>
                <w:sz w:val="20"/>
                <w:szCs w:val="20"/>
              </w:rPr>
              <w:t xml:space="preserve"> </w:t>
            </w:r>
            <w:r w:rsidRPr="00A935AA">
              <w:rPr>
                <w:b/>
                <w:sz w:val="20"/>
                <w:szCs w:val="20"/>
              </w:rPr>
              <w:t>(</w:t>
            </w:r>
            <w:r>
              <w:rPr>
                <w:b/>
                <w:sz w:val="20"/>
                <w:szCs w:val="20"/>
              </w:rPr>
              <w:t>Ont</w:t>
            </w:r>
            <w:r w:rsidRPr="00A935AA">
              <w:rPr>
                <w:b/>
                <w:sz w:val="20"/>
                <w:szCs w:val="20"/>
              </w:rPr>
              <w:t>.)</w:t>
            </w:r>
          </w:p>
          <w:p w:rsidR="00A10B49" w:rsidRPr="00A935AA" w:rsidRDefault="00A10B49" w:rsidP="00A10B49">
            <w:pPr>
              <w:tabs>
                <w:tab w:val="left" w:pos="-1440"/>
                <w:tab w:val="left" w:pos="-720"/>
              </w:tabs>
              <w:rPr>
                <w:sz w:val="20"/>
                <w:szCs w:val="20"/>
              </w:rPr>
            </w:pPr>
            <w:r w:rsidRPr="00A935AA">
              <w:rPr>
                <w:sz w:val="20"/>
                <w:szCs w:val="20"/>
              </w:rPr>
              <w:tab/>
            </w:r>
            <w:r>
              <w:rPr>
                <w:sz w:val="20"/>
                <w:szCs w:val="20"/>
              </w:rPr>
              <w:t xml:space="preserve">Simon J. Adler </w:t>
            </w:r>
          </w:p>
          <w:p w:rsidR="00A10B49" w:rsidRPr="00A935AA" w:rsidRDefault="00A10B49" w:rsidP="00A10B49">
            <w:pPr>
              <w:tabs>
                <w:tab w:val="left" w:pos="-1440"/>
                <w:tab w:val="left" w:pos="-720"/>
              </w:tabs>
              <w:rPr>
                <w:sz w:val="20"/>
                <w:szCs w:val="20"/>
              </w:rPr>
            </w:pPr>
            <w:r w:rsidRPr="00A935AA">
              <w:rPr>
                <w:sz w:val="20"/>
                <w:szCs w:val="20"/>
              </w:rPr>
              <w:tab/>
            </w:r>
            <w:r>
              <w:rPr>
                <w:sz w:val="20"/>
                <w:szCs w:val="20"/>
              </w:rPr>
              <w:t>Giff</w:t>
            </w:r>
            <w:r w:rsidRPr="00A10B49">
              <w:rPr>
                <w:sz w:val="20"/>
                <w:szCs w:val="20"/>
              </w:rPr>
              <w:t>en Lee LLP</w:t>
            </w:r>
          </w:p>
          <w:p w:rsidR="00A10B49" w:rsidRPr="00A935AA" w:rsidRDefault="00A10B49" w:rsidP="005F1ED8">
            <w:pPr>
              <w:tabs>
                <w:tab w:val="left" w:pos="-1440"/>
                <w:tab w:val="left" w:pos="-720"/>
              </w:tabs>
              <w:rPr>
                <w:sz w:val="20"/>
                <w:szCs w:val="20"/>
              </w:rPr>
            </w:pPr>
          </w:p>
          <w:p w:rsidR="00A10B49" w:rsidRPr="00A935AA" w:rsidRDefault="00A10B49" w:rsidP="005F1ED8">
            <w:pPr>
              <w:rPr>
                <w:sz w:val="20"/>
                <w:szCs w:val="20"/>
              </w:rPr>
            </w:pPr>
            <w:r w:rsidRPr="00A935AA">
              <w:rPr>
                <w:sz w:val="20"/>
                <w:szCs w:val="20"/>
              </w:rPr>
              <w:t xml:space="preserve">FILING DATE: </w:t>
            </w:r>
            <w:r>
              <w:rPr>
                <w:sz w:val="20"/>
                <w:szCs w:val="20"/>
              </w:rPr>
              <w:t>25</w:t>
            </w:r>
            <w:r w:rsidRPr="00A935AA">
              <w:rPr>
                <w:sz w:val="20"/>
                <w:szCs w:val="20"/>
              </w:rPr>
              <w:t>.</w:t>
            </w:r>
            <w:r>
              <w:rPr>
                <w:sz w:val="20"/>
                <w:szCs w:val="20"/>
              </w:rPr>
              <w:t>06</w:t>
            </w:r>
            <w:r w:rsidRPr="00A935AA">
              <w:rPr>
                <w:sz w:val="20"/>
                <w:szCs w:val="20"/>
              </w:rPr>
              <w:t>.201</w:t>
            </w:r>
            <w:r>
              <w:rPr>
                <w:sz w:val="20"/>
                <w:szCs w:val="20"/>
              </w:rPr>
              <w:t>4</w:t>
            </w:r>
          </w:p>
          <w:p w:rsidR="00A10B49" w:rsidRPr="00A935AA" w:rsidRDefault="002B68E4"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A10B49" w:rsidRPr="00A935AA" w:rsidRDefault="00A10B49" w:rsidP="00242AEE">
            <w:pPr>
              <w:jc w:val="center"/>
              <w:rPr>
                <w:sz w:val="20"/>
                <w:szCs w:val="20"/>
              </w:rPr>
            </w:pPr>
          </w:p>
          <w:p w:rsidR="00A10B49" w:rsidRPr="00A935AA" w:rsidRDefault="00A10B49" w:rsidP="00242AEE">
            <w:pPr>
              <w:jc w:val="center"/>
              <w:rPr>
                <w:sz w:val="20"/>
                <w:szCs w:val="20"/>
              </w:rPr>
            </w:pPr>
          </w:p>
          <w:p w:rsidR="00A10B49" w:rsidRPr="00A935AA" w:rsidRDefault="00A10B49" w:rsidP="00242AEE">
            <w:pPr>
              <w:jc w:val="center"/>
              <w:rPr>
                <w:sz w:val="20"/>
                <w:szCs w:val="20"/>
              </w:rPr>
            </w:pPr>
          </w:p>
          <w:p w:rsidR="00A10B49" w:rsidRPr="00A935AA" w:rsidRDefault="00A10B49" w:rsidP="00242AEE">
            <w:pPr>
              <w:jc w:val="center"/>
              <w:rPr>
                <w:sz w:val="20"/>
                <w:szCs w:val="20"/>
              </w:rPr>
            </w:pPr>
          </w:p>
          <w:p w:rsidR="00A10B49" w:rsidRPr="00A935AA" w:rsidRDefault="00A10B49" w:rsidP="00242AEE">
            <w:pPr>
              <w:jc w:val="center"/>
              <w:rPr>
                <w:sz w:val="20"/>
                <w:szCs w:val="20"/>
              </w:rPr>
            </w:pPr>
          </w:p>
          <w:p w:rsidR="00A10B49" w:rsidRPr="00A935AA" w:rsidRDefault="00A10B49" w:rsidP="00242AEE">
            <w:pPr>
              <w:jc w:val="center"/>
              <w:rPr>
                <w:sz w:val="20"/>
                <w:szCs w:val="20"/>
              </w:rPr>
            </w:pPr>
          </w:p>
          <w:p w:rsidR="00A10B49" w:rsidRPr="00A935AA" w:rsidRDefault="00A10B49" w:rsidP="00242AEE">
            <w:pPr>
              <w:jc w:val="center"/>
              <w:rPr>
                <w:sz w:val="20"/>
                <w:szCs w:val="20"/>
              </w:rPr>
            </w:pPr>
          </w:p>
          <w:p w:rsidR="00A10B49" w:rsidRPr="00A935AA" w:rsidRDefault="00A10B49" w:rsidP="00242AEE">
            <w:pPr>
              <w:jc w:val="center"/>
              <w:rPr>
                <w:sz w:val="20"/>
                <w:szCs w:val="20"/>
              </w:rPr>
            </w:pPr>
          </w:p>
          <w:p w:rsidR="00A10B49" w:rsidRPr="00A935AA" w:rsidRDefault="00A10B49" w:rsidP="00242AEE">
            <w:pPr>
              <w:jc w:val="center"/>
              <w:rPr>
                <w:sz w:val="20"/>
                <w:szCs w:val="20"/>
              </w:rPr>
            </w:pPr>
          </w:p>
          <w:p w:rsidR="00A10B49" w:rsidRPr="00A935AA" w:rsidRDefault="00A10B49" w:rsidP="00242AEE">
            <w:pPr>
              <w:jc w:val="center"/>
              <w:rPr>
                <w:sz w:val="20"/>
                <w:szCs w:val="20"/>
              </w:rPr>
            </w:pPr>
          </w:p>
          <w:p w:rsidR="00A10B49" w:rsidRPr="00A935AA" w:rsidRDefault="00A10B49" w:rsidP="00242AEE">
            <w:pPr>
              <w:jc w:val="center"/>
              <w:rPr>
                <w:sz w:val="20"/>
                <w:szCs w:val="20"/>
              </w:rPr>
            </w:pPr>
          </w:p>
          <w:p w:rsidR="00A10B49" w:rsidRPr="00A935AA" w:rsidRDefault="00A10B49" w:rsidP="00242AEE">
            <w:pPr>
              <w:jc w:val="center"/>
              <w:rPr>
                <w:sz w:val="20"/>
                <w:szCs w:val="20"/>
              </w:rPr>
            </w:pPr>
          </w:p>
        </w:tc>
        <w:tc>
          <w:tcPr>
            <w:tcW w:w="4320" w:type="dxa"/>
            <w:shd w:val="clear" w:color="auto" w:fill="auto"/>
          </w:tcPr>
          <w:p w:rsidR="00A10B49" w:rsidRDefault="00A10B49" w:rsidP="009D74E5">
            <w:pPr>
              <w:keepNext/>
              <w:keepLines/>
              <w:tabs>
                <w:tab w:val="left" w:pos="-1440"/>
                <w:tab w:val="left" w:pos="-720"/>
              </w:tabs>
              <w:rPr>
                <w:b/>
                <w:sz w:val="20"/>
                <w:szCs w:val="20"/>
                <w:lang w:val="fr-CA"/>
              </w:rPr>
            </w:pPr>
            <w:r>
              <w:rPr>
                <w:b/>
                <w:sz w:val="20"/>
                <w:szCs w:val="20"/>
                <w:lang w:val="fr-CA"/>
              </w:rPr>
              <w:t>Orville Lewis</w:t>
            </w:r>
          </w:p>
          <w:p w:rsidR="00A10B49" w:rsidRPr="00A935AA" w:rsidRDefault="00A10B49" w:rsidP="009D74E5">
            <w:pPr>
              <w:keepNext/>
              <w:keepLines/>
              <w:tabs>
                <w:tab w:val="left" w:pos="-1440"/>
                <w:tab w:val="left" w:pos="-720"/>
              </w:tabs>
              <w:rPr>
                <w:sz w:val="20"/>
                <w:szCs w:val="20"/>
                <w:lang w:val="fr-CA"/>
              </w:rPr>
            </w:pPr>
            <w:r w:rsidRPr="00A935AA">
              <w:rPr>
                <w:sz w:val="20"/>
                <w:szCs w:val="20"/>
                <w:lang w:val="fr-CA"/>
              </w:rPr>
              <w:tab/>
            </w:r>
            <w:r>
              <w:rPr>
                <w:sz w:val="20"/>
                <w:szCs w:val="20"/>
                <w:lang w:val="fr-CA"/>
              </w:rPr>
              <w:t>Orville Lewis</w:t>
            </w:r>
          </w:p>
          <w:p w:rsidR="00A10B49" w:rsidRPr="00AB0B41" w:rsidRDefault="00A10B49" w:rsidP="009D74E5">
            <w:pPr>
              <w:keepNext/>
              <w:keepLines/>
              <w:tabs>
                <w:tab w:val="left" w:pos="-1440"/>
                <w:tab w:val="left" w:pos="-720"/>
              </w:tabs>
              <w:rPr>
                <w:sz w:val="20"/>
                <w:szCs w:val="20"/>
                <w:lang w:val="fr-CA"/>
              </w:rPr>
            </w:pPr>
          </w:p>
          <w:p w:rsidR="00A10B49" w:rsidRPr="00AB0B41" w:rsidRDefault="00A10B49" w:rsidP="009D74E5">
            <w:pPr>
              <w:keepNext/>
              <w:keepLines/>
              <w:tabs>
                <w:tab w:val="left" w:pos="-1440"/>
                <w:tab w:val="left" w:pos="-720"/>
              </w:tabs>
              <w:rPr>
                <w:sz w:val="20"/>
                <w:szCs w:val="20"/>
                <w:lang w:val="fr-CA"/>
              </w:rPr>
            </w:pPr>
            <w:r w:rsidRPr="00AB0B41">
              <w:rPr>
                <w:sz w:val="20"/>
                <w:szCs w:val="20"/>
                <w:lang w:val="fr-CA"/>
              </w:rPr>
              <w:tab/>
              <w:t>v. (35969)</w:t>
            </w:r>
          </w:p>
          <w:p w:rsidR="00A10B49" w:rsidRPr="00AB0B41" w:rsidRDefault="00A10B49" w:rsidP="009D74E5">
            <w:pPr>
              <w:keepNext/>
              <w:keepLines/>
              <w:tabs>
                <w:tab w:val="left" w:pos="-1440"/>
                <w:tab w:val="left" w:pos="-720"/>
              </w:tabs>
              <w:rPr>
                <w:sz w:val="20"/>
                <w:szCs w:val="20"/>
                <w:lang w:val="fr-CA"/>
              </w:rPr>
            </w:pPr>
          </w:p>
          <w:p w:rsidR="00A10B49" w:rsidRPr="00A935AA" w:rsidRDefault="00A10B49" w:rsidP="009D74E5">
            <w:pPr>
              <w:keepNext/>
              <w:keepLines/>
              <w:tabs>
                <w:tab w:val="left" w:pos="-1440"/>
                <w:tab w:val="left" w:pos="-720"/>
              </w:tabs>
              <w:rPr>
                <w:b/>
                <w:sz w:val="20"/>
                <w:szCs w:val="20"/>
              </w:rPr>
            </w:pPr>
            <w:r>
              <w:rPr>
                <w:b/>
                <w:sz w:val="20"/>
                <w:szCs w:val="20"/>
              </w:rPr>
              <w:t xml:space="preserve">Central Credit Union Limited </w:t>
            </w:r>
            <w:r w:rsidRPr="00A935AA">
              <w:rPr>
                <w:b/>
                <w:sz w:val="20"/>
                <w:szCs w:val="20"/>
              </w:rPr>
              <w:t>(</w:t>
            </w:r>
            <w:r>
              <w:rPr>
                <w:b/>
                <w:sz w:val="20"/>
                <w:szCs w:val="20"/>
              </w:rPr>
              <w:t>P.E.I.</w:t>
            </w:r>
            <w:r w:rsidRPr="00A935AA">
              <w:rPr>
                <w:b/>
                <w:sz w:val="20"/>
                <w:szCs w:val="20"/>
              </w:rPr>
              <w:t>)</w:t>
            </w:r>
          </w:p>
          <w:p w:rsidR="00A10B49" w:rsidRPr="00A935AA" w:rsidRDefault="00A10B49" w:rsidP="009D74E5">
            <w:pPr>
              <w:keepNext/>
              <w:keepLines/>
              <w:tabs>
                <w:tab w:val="left" w:pos="-1440"/>
                <w:tab w:val="left" w:pos="-720"/>
              </w:tabs>
              <w:rPr>
                <w:sz w:val="20"/>
                <w:szCs w:val="20"/>
              </w:rPr>
            </w:pPr>
            <w:r w:rsidRPr="00A935AA">
              <w:rPr>
                <w:sz w:val="20"/>
                <w:szCs w:val="20"/>
              </w:rPr>
              <w:tab/>
            </w:r>
            <w:r>
              <w:rPr>
                <w:sz w:val="20"/>
                <w:szCs w:val="20"/>
              </w:rPr>
              <w:t>John W. Maynard</w:t>
            </w:r>
          </w:p>
          <w:p w:rsidR="00A10B49" w:rsidRPr="00A935AA" w:rsidRDefault="00A10B49" w:rsidP="009D74E5">
            <w:pPr>
              <w:keepNext/>
              <w:keepLines/>
              <w:tabs>
                <w:tab w:val="left" w:pos="-1440"/>
                <w:tab w:val="left" w:pos="-720"/>
              </w:tabs>
              <w:rPr>
                <w:sz w:val="20"/>
                <w:szCs w:val="20"/>
              </w:rPr>
            </w:pPr>
            <w:r w:rsidRPr="00A935AA">
              <w:rPr>
                <w:sz w:val="20"/>
                <w:szCs w:val="20"/>
              </w:rPr>
              <w:tab/>
            </w:r>
            <w:r>
              <w:rPr>
                <w:sz w:val="20"/>
                <w:szCs w:val="20"/>
              </w:rPr>
              <w:t>Key Murray Law</w:t>
            </w:r>
          </w:p>
          <w:p w:rsidR="00A10B49" w:rsidRPr="00A935AA" w:rsidRDefault="00A10B49" w:rsidP="009D74E5">
            <w:pPr>
              <w:keepNext/>
              <w:keepLines/>
              <w:tabs>
                <w:tab w:val="left" w:pos="-1440"/>
                <w:tab w:val="left" w:pos="-720"/>
              </w:tabs>
              <w:rPr>
                <w:sz w:val="20"/>
                <w:szCs w:val="20"/>
              </w:rPr>
            </w:pPr>
          </w:p>
          <w:p w:rsidR="00A10B49" w:rsidRPr="00A935AA" w:rsidRDefault="00A10B49" w:rsidP="00A10B49">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7</w:t>
            </w:r>
            <w:r w:rsidRPr="00A935AA">
              <w:rPr>
                <w:sz w:val="20"/>
                <w:szCs w:val="20"/>
              </w:rPr>
              <w:t>.201</w:t>
            </w:r>
            <w:r>
              <w:rPr>
                <w:sz w:val="20"/>
                <w:szCs w:val="20"/>
              </w:rPr>
              <w:t>4</w:t>
            </w:r>
            <w:r w:rsidR="002B68E4">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A10B49" w:rsidRDefault="00A10B49" w:rsidP="003B3977">
            <w:pPr>
              <w:rPr>
                <w:b/>
                <w:sz w:val="20"/>
                <w:szCs w:val="20"/>
              </w:rPr>
            </w:pPr>
            <w:r>
              <w:rPr>
                <w:b/>
                <w:sz w:val="20"/>
                <w:szCs w:val="20"/>
              </w:rPr>
              <w:t>Shant Esrabian</w:t>
            </w:r>
          </w:p>
          <w:p w:rsidR="00C21644" w:rsidRPr="00A10B49" w:rsidRDefault="00C21644" w:rsidP="003B3977">
            <w:pPr>
              <w:tabs>
                <w:tab w:val="left" w:pos="-1440"/>
                <w:tab w:val="left" w:pos="-720"/>
              </w:tabs>
              <w:rPr>
                <w:sz w:val="20"/>
                <w:szCs w:val="20"/>
              </w:rPr>
            </w:pPr>
            <w:r w:rsidRPr="00A10B49">
              <w:rPr>
                <w:sz w:val="20"/>
                <w:szCs w:val="20"/>
              </w:rPr>
              <w:tab/>
            </w:r>
            <w:r w:rsidR="00A10B49">
              <w:rPr>
                <w:sz w:val="20"/>
                <w:szCs w:val="20"/>
              </w:rPr>
              <w:t>Howard L. Krongold</w:t>
            </w:r>
          </w:p>
          <w:p w:rsidR="00C21644" w:rsidRPr="00A10B49" w:rsidRDefault="00C21644" w:rsidP="003B3977">
            <w:pPr>
              <w:tabs>
                <w:tab w:val="left" w:pos="-1440"/>
                <w:tab w:val="left" w:pos="-720"/>
              </w:tabs>
              <w:rPr>
                <w:sz w:val="20"/>
                <w:szCs w:val="20"/>
              </w:rPr>
            </w:pPr>
            <w:r w:rsidRPr="00A10B49">
              <w:rPr>
                <w:sz w:val="20"/>
                <w:szCs w:val="20"/>
              </w:rPr>
              <w:tab/>
            </w:r>
            <w:r w:rsidR="00A10B49">
              <w:rPr>
                <w:sz w:val="20"/>
                <w:szCs w:val="20"/>
              </w:rPr>
              <w:t>Webber Schroeder Goldstein Abergel</w:t>
            </w:r>
          </w:p>
          <w:p w:rsidR="00C21644" w:rsidRPr="00A10B49"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A10B49">
              <w:rPr>
                <w:sz w:val="20"/>
                <w:szCs w:val="20"/>
              </w:rPr>
              <w:tab/>
            </w:r>
            <w:r w:rsidRPr="00A935AA">
              <w:rPr>
                <w:sz w:val="20"/>
                <w:szCs w:val="20"/>
              </w:rPr>
              <w:t>v. (3</w:t>
            </w:r>
            <w:r>
              <w:rPr>
                <w:sz w:val="20"/>
                <w:szCs w:val="20"/>
              </w:rPr>
              <w:t>5</w:t>
            </w:r>
            <w:r w:rsidR="00A10B49">
              <w:rPr>
                <w:sz w:val="20"/>
                <w:szCs w:val="20"/>
              </w:rPr>
              <w:t>966</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A10B49" w:rsidP="003B3977">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A10B49">
              <w:rPr>
                <w:sz w:val="20"/>
                <w:szCs w:val="20"/>
              </w:rPr>
              <w:t>Susan G. Ficek</w:t>
            </w:r>
          </w:p>
          <w:p w:rsidR="00C21644" w:rsidRPr="00A935AA" w:rsidRDefault="00C21644" w:rsidP="003B3977">
            <w:pPr>
              <w:tabs>
                <w:tab w:val="left" w:pos="-1440"/>
                <w:tab w:val="left" w:pos="-720"/>
              </w:tabs>
              <w:rPr>
                <w:sz w:val="20"/>
                <w:szCs w:val="20"/>
              </w:rPr>
            </w:pPr>
            <w:r w:rsidRPr="00A935AA">
              <w:rPr>
                <w:sz w:val="20"/>
                <w:szCs w:val="20"/>
              </w:rPr>
              <w:tab/>
            </w:r>
            <w:r w:rsidR="00A10B49">
              <w:rPr>
                <w:sz w:val="20"/>
                <w:szCs w:val="20"/>
              </w:rPr>
              <w:t>A.G. of Ontario</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A10B49">
              <w:rPr>
                <w:sz w:val="20"/>
                <w:szCs w:val="20"/>
              </w:rPr>
              <w:t>0</w:t>
            </w:r>
            <w:r>
              <w:rPr>
                <w:sz w:val="20"/>
                <w:szCs w:val="20"/>
              </w:rPr>
              <w:t>8</w:t>
            </w:r>
            <w:r w:rsidRPr="00A935AA">
              <w:rPr>
                <w:sz w:val="20"/>
                <w:szCs w:val="20"/>
              </w:rPr>
              <w:t>.0</w:t>
            </w:r>
            <w:r w:rsidR="00A10B49">
              <w:rPr>
                <w:sz w:val="20"/>
                <w:szCs w:val="20"/>
              </w:rPr>
              <w:t>7</w:t>
            </w:r>
            <w:r w:rsidRPr="00A935AA">
              <w:rPr>
                <w:sz w:val="20"/>
                <w:szCs w:val="20"/>
              </w:rPr>
              <w:t>.201</w:t>
            </w:r>
            <w:r>
              <w:rPr>
                <w:sz w:val="20"/>
                <w:szCs w:val="20"/>
              </w:rPr>
              <w:t>4</w:t>
            </w:r>
          </w:p>
          <w:p w:rsidR="00C21644" w:rsidRPr="00A935AA" w:rsidRDefault="002B68E4"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21644" w:rsidP="00E41A5A">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1727AD">
          <w:headerReference w:type="default" r:id="rId17"/>
          <w:footerReference w:type="default" r:id="rId18"/>
          <w:headerReference w:type="first" r:id="rId19"/>
          <w:footerReference w:type="first" r:id="rId20"/>
          <w:pgSz w:w="12240" w:h="15840"/>
          <w:pgMar w:top="720" w:right="965" w:bottom="1080" w:left="1656" w:header="706" w:footer="706" w:gutter="0"/>
          <w:pgNumType w:start="118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B68E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787189" w:rsidRPr="00C50A5C" w:rsidRDefault="00787189" w:rsidP="00787189">
      <w:pPr>
        <w:widowControl w:val="0"/>
        <w:rPr>
          <w:b/>
          <w:sz w:val="20"/>
          <w:szCs w:val="20"/>
        </w:rPr>
      </w:pPr>
      <w:r>
        <w:rPr>
          <w:b/>
          <w:sz w:val="20"/>
          <w:szCs w:val="20"/>
        </w:rPr>
        <w:t>JULY 21</w:t>
      </w:r>
      <w:r w:rsidRPr="00C50A5C">
        <w:rPr>
          <w:b/>
          <w:sz w:val="20"/>
          <w:szCs w:val="20"/>
        </w:rPr>
        <w:t>, 201</w:t>
      </w:r>
      <w:r>
        <w:rPr>
          <w:b/>
          <w:sz w:val="20"/>
          <w:szCs w:val="20"/>
        </w:rPr>
        <w:t>4</w:t>
      </w:r>
      <w:r w:rsidRPr="00C50A5C">
        <w:rPr>
          <w:b/>
          <w:sz w:val="20"/>
          <w:szCs w:val="20"/>
        </w:rPr>
        <w:t xml:space="preserve"> / LE </w:t>
      </w:r>
      <w:r>
        <w:rPr>
          <w:b/>
          <w:sz w:val="20"/>
          <w:szCs w:val="20"/>
        </w:rPr>
        <w:t>21 JUILLET</w:t>
      </w:r>
      <w:r w:rsidRPr="00C50A5C">
        <w:rPr>
          <w:b/>
          <w:sz w:val="20"/>
          <w:szCs w:val="20"/>
        </w:rPr>
        <w:t xml:space="preserve"> 201</w:t>
      </w:r>
      <w:r>
        <w:rPr>
          <w:b/>
          <w:sz w:val="20"/>
          <w:szCs w:val="20"/>
        </w:rPr>
        <w:t>4</w:t>
      </w:r>
    </w:p>
    <w:p w:rsidR="00787189" w:rsidRPr="00C50A5C" w:rsidRDefault="00787189" w:rsidP="00787189">
      <w:pPr>
        <w:widowControl w:val="0"/>
        <w:rPr>
          <w:b/>
          <w:sz w:val="20"/>
          <w:szCs w:val="20"/>
        </w:rPr>
      </w:pPr>
    </w:p>
    <w:p w:rsidR="00787189" w:rsidRPr="00C50A5C" w:rsidRDefault="00787189" w:rsidP="00787189">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787189" w:rsidRPr="00C50A5C" w:rsidRDefault="00787189" w:rsidP="00787189">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787189" w:rsidRPr="00C50A5C" w:rsidRDefault="00787189" w:rsidP="00787189">
      <w:pPr>
        <w:widowControl w:val="0"/>
        <w:rPr>
          <w:sz w:val="20"/>
          <w:szCs w:val="20"/>
          <w:lang w:val="fr-CA"/>
        </w:rPr>
      </w:pPr>
    </w:p>
    <w:p w:rsidR="00787189" w:rsidRPr="00C50A5C" w:rsidRDefault="00D9770F" w:rsidP="00787189">
      <w:pPr>
        <w:pStyle w:val="ListParagraph"/>
        <w:widowControl w:val="0"/>
        <w:numPr>
          <w:ilvl w:val="0"/>
          <w:numId w:val="1"/>
        </w:numPr>
        <w:ind w:hanging="720"/>
        <w:jc w:val="both"/>
        <w:rPr>
          <w:sz w:val="20"/>
          <w:szCs w:val="20"/>
        </w:rPr>
      </w:pPr>
      <w:r w:rsidRPr="00D9770F">
        <w:rPr>
          <w:i/>
          <w:sz w:val="20"/>
          <w:szCs w:val="20"/>
        </w:rPr>
        <w:t>Glenn Loft v. Baljinder Singh Nat et al.</w:t>
      </w:r>
      <w:r w:rsidRPr="00D9770F">
        <w:rPr>
          <w:sz w:val="20"/>
          <w:szCs w:val="20"/>
        </w:rPr>
        <w:t xml:space="preserve"> (B.C.) (Civil) (By Leave)</w:t>
      </w:r>
      <w:r w:rsidRPr="00C50A5C">
        <w:rPr>
          <w:sz w:val="20"/>
          <w:szCs w:val="20"/>
        </w:rPr>
        <w:t xml:space="preserve"> </w:t>
      </w:r>
      <w:r w:rsidR="00787189" w:rsidRPr="00C50A5C">
        <w:rPr>
          <w:sz w:val="20"/>
          <w:szCs w:val="20"/>
        </w:rPr>
        <w:t>(3</w:t>
      </w:r>
      <w:r w:rsidR="00787189">
        <w:rPr>
          <w:sz w:val="20"/>
          <w:szCs w:val="20"/>
        </w:rPr>
        <w:t>5</w:t>
      </w:r>
      <w:r>
        <w:rPr>
          <w:sz w:val="20"/>
          <w:szCs w:val="20"/>
        </w:rPr>
        <w:t>893</w:t>
      </w:r>
      <w:r w:rsidR="00787189" w:rsidRPr="00C50A5C">
        <w:rPr>
          <w:sz w:val="20"/>
          <w:szCs w:val="20"/>
        </w:rPr>
        <w:t>)</w:t>
      </w:r>
    </w:p>
    <w:p w:rsidR="00787189" w:rsidRPr="00C50A5C" w:rsidRDefault="00787189" w:rsidP="00787189">
      <w:pPr>
        <w:widowControl w:val="0"/>
        <w:jc w:val="both"/>
        <w:rPr>
          <w:sz w:val="20"/>
          <w:szCs w:val="20"/>
        </w:rPr>
      </w:pPr>
    </w:p>
    <w:p w:rsidR="00787189" w:rsidRPr="00D9770F" w:rsidRDefault="00D9770F" w:rsidP="00787189">
      <w:pPr>
        <w:pStyle w:val="ListParagraph"/>
        <w:widowControl w:val="0"/>
        <w:numPr>
          <w:ilvl w:val="0"/>
          <w:numId w:val="1"/>
        </w:numPr>
        <w:ind w:hanging="720"/>
        <w:jc w:val="both"/>
        <w:rPr>
          <w:sz w:val="20"/>
          <w:szCs w:val="20"/>
          <w:lang w:val="fr-CA"/>
        </w:rPr>
      </w:pPr>
      <w:r w:rsidRPr="00D9770F">
        <w:rPr>
          <w:i/>
          <w:sz w:val="20"/>
          <w:szCs w:val="20"/>
          <w:lang w:val="fr-CA"/>
        </w:rPr>
        <w:t>6250424 Canada Inc. c. Ville de Gatineau</w:t>
      </w:r>
      <w:r w:rsidRPr="00D9770F">
        <w:rPr>
          <w:sz w:val="20"/>
          <w:szCs w:val="20"/>
          <w:lang w:val="fr-CA"/>
        </w:rPr>
        <w:t xml:space="preserve"> (Qc) (Civile) (Autorisation) </w:t>
      </w:r>
      <w:r w:rsidR="00787189" w:rsidRPr="00D9770F">
        <w:rPr>
          <w:sz w:val="20"/>
          <w:szCs w:val="20"/>
          <w:lang w:val="fr-CA"/>
        </w:rPr>
        <w:t>(358</w:t>
      </w:r>
      <w:r w:rsidRPr="00D9770F">
        <w:rPr>
          <w:sz w:val="20"/>
          <w:szCs w:val="20"/>
          <w:lang w:val="fr-CA"/>
        </w:rPr>
        <w:t>53</w:t>
      </w:r>
      <w:r w:rsidR="00787189" w:rsidRPr="00D9770F">
        <w:rPr>
          <w:sz w:val="20"/>
          <w:szCs w:val="20"/>
          <w:lang w:val="fr-CA"/>
        </w:rPr>
        <w:t>)</w:t>
      </w:r>
    </w:p>
    <w:p w:rsidR="00787189" w:rsidRPr="00D9770F" w:rsidRDefault="00787189" w:rsidP="00787189">
      <w:pPr>
        <w:widowControl w:val="0"/>
        <w:jc w:val="both"/>
        <w:rPr>
          <w:sz w:val="20"/>
          <w:szCs w:val="20"/>
          <w:lang w:val="fr-CA"/>
        </w:rPr>
      </w:pPr>
    </w:p>
    <w:p w:rsidR="00CD4533" w:rsidRPr="00D9770F" w:rsidRDefault="00CD4533" w:rsidP="00787189">
      <w:pPr>
        <w:widowControl w:val="0"/>
        <w:jc w:val="both"/>
        <w:rPr>
          <w:sz w:val="20"/>
          <w:szCs w:val="20"/>
          <w:lang w:val="fr-CA"/>
        </w:rPr>
      </w:pPr>
    </w:p>
    <w:p w:rsidR="00CD4533" w:rsidRPr="00C50A5C" w:rsidRDefault="00CD4533" w:rsidP="00CD4533">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CD4533" w:rsidRPr="00C50A5C" w:rsidRDefault="00CD4533" w:rsidP="00CD4533">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CD4533" w:rsidRPr="00C16CB3" w:rsidRDefault="00CD4533" w:rsidP="00CD4533">
      <w:pPr>
        <w:widowControl w:val="0"/>
        <w:jc w:val="both"/>
        <w:rPr>
          <w:sz w:val="20"/>
          <w:szCs w:val="20"/>
          <w:lang w:val="fr-CA"/>
        </w:rPr>
      </w:pPr>
    </w:p>
    <w:p w:rsidR="00787189" w:rsidRPr="00C50A5C" w:rsidRDefault="00D9770F" w:rsidP="00787189">
      <w:pPr>
        <w:pStyle w:val="ListParagraph"/>
        <w:widowControl w:val="0"/>
        <w:numPr>
          <w:ilvl w:val="0"/>
          <w:numId w:val="1"/>
        </w:numPr>
        <w:ind w:hanging="720"/>
        <w:jc w:val="both"/>
        <w:rPr>
          <w:sz w:val="20"/>
          <w:szCs w:val="20"/>
        </w:rPr>
      </w:pPr>
      <w:r w:rsidRPr="00D9770F">
        <w:rPr>
          <w:i/>
          <w:sz w:val="20"/>
          <w:szCs w:val="20"/>
        </w:rPr>
        <w:t>Lana Wakelam v. Wyeth Consumer Healthcare et al.</w:t>
      </w:r>
      <w:r w:rsidRPr="00D9770F">
        <w:rPr>
          <w:sz w:val="20"/>
          <w:szCs w:val="20"/>
        </w:rPr>
        <w:t xml:space="preserve"> (B.C.) (Civil) (By Leave)</w:t>
      </w:r>
      <w:r w:rsidRPr="00940CAD">
        <w:rPr>
          <w:sz w:val="20"/>
          <w:szCs w:val="20"/>
        </w:rPr>
        <w:t xml:space="preserve"> </w:t>
      </w:r>
      <w:r w:rsidR="00787189" w:rsidRPr="00940CAD">
        <w:rPr>
          <w:sz w:val="20"/>
          <w:szCs w:val="20"/>
        </w:rPr>
        <w:t>(3</w:t>
      </w:r>
      <w:r w:rsidR="00787189">
        <w:rPr>
          <w:sz w:val="20"/>
          <w:szCs w:val="20"/>
        </w:rPr>
        <w:t>5</w:t>
      </w:r>
      <w:r>
        <w:rPr>
          <w:sz w:val="20"/>
          <w:szCs w:val="20"/>
        </w:rPr>
        <w:t>80</w:t>
      </w:r>
      <w:r w:rsidR="00787189">
        <w:rPr>
          <w:sz w:val="20"/>
          <w:szCs w:val="20"/>
        </w:rPr>
        <w:t>0</w:t>
      </w:r>
      <w:r w:rsidR="00787189" w:rsidRPr="00940CAD">
        <w:rPr>
          <w:sz w:val="20"/>
          <w:szCs w:val="20"/>
        </w:rPr>
        <w:t>)</w:t>
      </w:r>
    </w:p>
    <w:p w:rsidR="00787189" w:rsidRPr="00C50A5C" w:rsidRDefault="00787189" w:rsidP="00787189">
      <w:pPr>
        <w:widowControl w:val="0"/>
        <w:rPr>
          <w:sz w:val="20"/>
          <w:szCs w:val="20"/>
        </w:rPr>
      </w:pPr>
    </w:p>
    <w:p w:rsidR="00787189" w:rsidRPr="00C50A5C" w:rsidRDefault="00D9770F" w:rsidP="00787189">
      <w:pPr>
        <w:pStyle w:val="ListParagraph"/>
        <w:widowControl w:val="0"/>
        <w:numPr>
          <w:ilvl w:val="0"/>
          <w:numId w:val="1"/>
        </w:numPr>
        <w:ind w:hanging="720"/>
        <w:jc w:val="both"/>
        <w:rPr>
          <w:sz w:val="20"/>
          <w:szCs w:val="20"/>
        </w:rPr>
      </w:pPr>
      <w:r w:rsidRPr="00D9770F">
        <w:rPr>
          <w:i/>
          <w:sz w:val="20"/>
          <w:szCs w:val="20"/>
        </w:rPr>
        <w:t>Donald Best v. Kingsland Estates Limited et al.</w:t>
      </w:r>
      <w:r w:rsidRPr="00D9770F">
        <w:rPr>
          <w:sz w:val="20"/>
          <w:szCs w:val="20"/>
        </w:rPr>
        <w:t xml:space="preserve"> (Ont.) (Civil) (By Leave)</w:t>
      </w:r>
      <w:r w:rsidRPr="00C50A5C">
        <w:rPr>
          <w:sz w:val="20"/>
          <w:szCs w:val="20"/>
        </w:rPr>
        <w:t xml:space="preserve"> </w:t>
      </w:r>
      <w:r w:rsidR="00787189" w:rsidRPr="00C50A5C">
        <w:rPr>
          <w:sz w:val="20"/>
          <w:szCs w:val="20"/>
        </w:rPr>
        <w:t>(3</w:t>
      </w:r>
      <w:r w:rsidR="00787189">
        <w:rPr>
          <w:sz w:val="20"/>
          <w:szCs w:val="20"/>
        </w:rPr>
        <w:t>5</w:t>
      </w:r>
      <w:r>
        <w:rPr>
          <w:sz w:val="20"/>
          <w:szCs w:val="20"/>
        </w:rPr>
        <w:t>785</w:t>
      </w:r>
      <w:r w:rsidR="00787189" w:rsidRPr="00C50A5C">
        <w:rPr>
          <w:sz w:val="20"/>
          <w:szCs w:val="20"/>
        </w:rPr>
        <w:t>)</w:t>
      </w:r>
    </w:p>
    <w:p w:rsidR="00787189" w:rsidRDefault="00787189" w:rsidP="00787189">
      <w:pPr>
        <w:widowControl w:val="0"/>
        <w:jc w:val="both"/>
        <w:rPr>
          <w:sz w:val="20"/>
          <w:szCs w:val="20"/>
        </w:rPr>
      </w:pPr>
    </w:p>
    <w:p w:rsidR="00CD4533" w:rsidRDefault="00CD4533" w:rsidP="00787189">
      <w:pPr>
        <w:widowControl w:val="0"/>
        <w:jc w:val="both"/>
        <w:rPr>
          <w:sz w:val="20"/>
          <w:szCs w:val="20"/>
        </w:rPr>
      </w:pPr>
    </w:p>
    <w:p w:rsidR="00CD4533" w:rsidRPr="00C50A5C" w:rsidRDefault="00CD4533" w:rsidP="00CD4533">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D4533" w:rsidRPr="00C50A5C" w:rsidRDefault="00CD4533" w:rsidP="00CD4533">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D4533" w:rsidRPr="00CD4533" w:rsidRDefault="00CD4533" w:rsidP="00787189">
      <w:pPr>
        <w:widowControl w:val="0"/>
        <w:jc w:val="both"/>
        <w:rPr>
          <w:sz w:val="20"/>
          <w:szCs w:val="20"/>
          <w:lang w:val="fr-CA"/>
        </w:rPr>
      </w:pPr>
    </w:p>
    <w:p w:rsidR="00787189" w:rsidRPr="009C5D38" w:rsidRDefault="00D9770F" w:rsidP="00787189">
      <w:pPr>
        <w:pStyle w:val="ListParagraph"/>
        <w:widowControl w:val="0"/>
        <w:numPr>
          <w:ilvl w:val="0"/>
          <w:numId w:val="1"/>
        </w:numPr>
        <w:ind w:hanging="720"/>
        <w:jc w:val="both"/>
        <w:rPr>
          <w:sz w:val="20"/>
          <w:szCs w:val="20"/>
        </w:rPr>
      </w:pPr>
      <w:r w:rsidRPr="00D9770F">
        <w:rPr>
          <w:i/>
          <w:sz w:val="20"/>
          <w:szCs w:val="20"/>
          <w:lang w:val="fr-CA"/>
        </w:rPr>
        <w:t>West Van Inc. v. Michel C. Daisley et al.</w:t>
      </w:r>
      <w:r w:rsidRPr="00D9770F">
        <w:rPr>
          <w:sz w:val="20"/>
          <w:szCs w:val="20"/>
          <w:lang w:val="fr-CA"/>
        </w:rPr>
        <w:t xml:space="preserve"> </w:t>
      </w:r>
      <w:r w:rsidRPr="00D9770F">
        <w:rPr>
          <w:sz w:val="20"/>
          <w:szCs w:val="20"/>
        </w:rPr>
        <w:t>(Ont.) (Civil) (By Leave)</w:t>
      </w:r>
      <w:r w:rsidRPr="009C5D38">
        <w:rPr>
          <w:sz w:val="20"/>
          <w:szCs w:val="20"/>
        </w:rPr>
        <w:t xml:space="preserve"> </w:t>
      </w:r>
      <w:r w:rsidR="00787189" w:rsidRPr="009C5D38">
        <w:rPr>
          <w:sz w:val="20"/>
          <w:szCs w:val="20"/>
        </w:rPr>
        <w:t>(35</w:t>
      </w:r>
      <w:r>
        <w:rPr>
          <w:sz w:val="20"/>
          <w:szCs w:val="20"/>
        </w:rPr>
        <w:t>90</w:t>
      </w:r>
      <w:r w:rsidR="00787189" w:rsidRPr="009C5D38">
        <w:rPr>
          <w:sz w:val="20"/>
          <w:szCs w:val="20"/>
        </w:rPr>
        <w:t>6)</w:t>
      </w:r>
    </w:p>
    <w:p w:rsidR="00787189" w:rsidRPr="009C5D38" w:rsidRDefault="00787189" w:rsidP="00787189">
      <w:pPr>
        <w:widowControl w:val="0"/>
        <w:rPr>
          <w:sz w:val="20"/>
          <w:szCs w:val="20"/>
        </w:rPr>
      </w:pPr>
    </w:p>
    <w:p w:rsidR="00787189" w:rsidRPr="00D9770F" w:rsidRDefault="00D9770F" w:rsidP="00787189">
      <w:pPr>
        <w:pStyle w:val="ListParagraph"/>
        <w:widowControl w:val="0"/>
        <w:numPr>
          <w:ilvl w:val="0"/>
          <w:numId w:val="1"/>
        </w:numPr>
        <w:ind w:hanging="720"/>
        <w:jc w:val="both"/>
        <w:rPr>
          <w:sz w:val="20"/>
          <w:szCs w:val="20"/>
        </w:rPr>
      </w:pPr>
      <w:r w:rsidRPr="00D9770F">
        <w:rPr>
          <w:i/>
          <w:sz w:val="20"/>
          <w:szCs w:val="20"/>
        </w:rPr>
        <w:t>Houman Mortazavi et al. v. University of Toronto et al.</w:t>
      </w:r>
      <w:r w:rsidRPr="00D9770F">
        <w:rPr>
          <w:sz w:val="20"/>
          <w:szCs w:val="20"/>
        </w:rPr>
        <w:t xml:space="preserve"> (Ont.) (Civil) (By Leave)</w:t>
      </w:r>
      <w:r w:rsidR="00CD4533" w:rsidRPr="00D9770F">
        <w:rPr>
          <w:sz w:val="20"/>
          <w:szCs w:val="20"/>
        </w:rPr>
        <w:t xml:space="preserve"> </w:t>
      </w:r>
      <w:r w:rsidR="00787189" w:rsidRPr="00D9770F">
        <w:rPr>
          <w:sz w:val="20"/>
          <w:szCs w:val="20"/>
        </w:rPr>
        <w:t>(35</w:t>
      </w:r>
      <w:r w:rsidRPr="00D9770F">
        <w:rPr>
          <w:sz w:val="20"/>
          <w:szCs w:val="20"/>
        </w:rPr>
        <w:t>87</w:t>
      </w:r>
      <w:r w:rsidR="00787189" w:rsidRPr="00D9770F">
        <w:rPr>
          <w:sz w:val="20"/>
          <w:szCs w:val="20"/>
        </w:rPr>
        <w:t>6)</w:t>
      </w:r>
    </w:p>
    <w:p w:rsidR="002E2327" w:rsidRPr="00CB3520" w:rsidRDefault="002E2327" w:rsidP="002E2327">
      <w:pPr>
        <w:widowControl w:val="0"/>
        <w:rPr>
          <w:sz w:val="20"/>
          <w:szCs w:val="20"/>
        </w:rPr>
      </w:pPr>
    </w:p>
    <w:p w:rsidR="002E2327" w:rsidRDefault="002B68E4" w:rsidP="002E2327">
      <w:pPr>
        <w:widowControl w:val="0"/>
        <w:rPr>
          <w:sz w:val="20"/>
          <w:szCs w:val="20"/>
        </w:rPr>
      </w:pPr>
      <w:r>
        <w:rPr>
          <w:sz w:val="20"/>
          <w:szCs w:val="20"/>
        </w:rPr>
        <w:pict>
          <v:rect id="_x0000_i1030" style="width:2in;height:1pt" o:hrpct="0" o:hralign="center" o:hrstd="t" o:hrnoshade="t" o:hr="t" fillcolor="black [3213]" stroked="f"/>
        </w:pict>
      </w:r>
    </w:p>
    <w:p w:rsidR="00D94028" w:rsidRDefault="00D94028" w:rsidP="002E2327">
      <w:pPr>
        <w:widowControl w:val="0"/>
        <w:rPr>
          <w:sz w:val="20"/>
          <w:szCs w:val="20"/>
        </w:rPr>
      </w:pPr>
    </w:p>
    <w:p w:rsidR="00D9770F" w:rsidRPr="00D9770F" w:rsidRDefault="00D9770F" w:rsidP="00D9770F">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B68E4"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7426C2" w:rsidP="000E2959">
      <w:pPr>
        <w:rPr>
          <w:b/>
          <w:sz w:val="20"/>
          <w:szCs w:val="20"/>
        </w:rPr>
      </w:pPr>
      <w:r>
        <w:rPr>
          <w:b/>
          <w:sz w:val="20"/>
          <w:szCs w:val="20"/>
        </w:rPr>
        <w:t>JUL</w:t>
      </w:r>
      <w:r w:rsidR="000E2959">
        <w:rPr>
          <w:b/>
          <w:sz w:val="20"/>
          <w:szCs w:val="20"/>
        </w:rPr>
        <w:t>Y</w:t>
      </w:r>
      <w:r w:rsidR="000E2959" w:rsidRPr="00C50A5C">
        <w:rPr>
          <w:b/>
          <w:sz w:val="20"/>
          <w:szCs w:val="20"/>
        </w:rPr>
        <w:t xml:space="preserve"> 2</w:t>
      </w:r>
      <w:r>
        <w:rPr>
          <w:b/>
          <w:sz w:val="20"/>
          <w:szCs w:val="20"/>
        </w:rPr>
        <w:t>4</w:t>
      </w:r>
      <w:r w:rsidR="000E2959" w:rsidRPr="00C50A5C">
        <w:rPr>
          <w:b/>
          <w:sz w:val="20"/>
          <w:szCs w:val="20"/>
        </w:rPr>
        <w:t xml:space="preserve">, </w:t>
      </w:r>
      <w:r w:rsidR="00745AE4">
        <w:rPr>
          <w:b/>
          <w:sz w:val="20"/>
          <w:szCs w:val="20"/>
        </w:rPr>
        <w:t>2014</w:t>
      </w:r>
      <w:r w:rsidR="000E2959" w:rsidRPr="00C50A5C">
        <w:rPr>
          <w:b/>
          <w:sz w:val="20"/>
          <w:szCs w:val="20"/>
        </w:rPr>
        <w:t xml:space="preserve"> / LE 2</w:t>
      </w:r>
      <w:r>
        <w:rPr>
          <w:b/>
          <w:sz w:val="20"/>
          <w:szCs w:val="20"/>
        </w:rPr>
        <w:t>4</w:t>
      </w:r>
      <w:r w:rsidR="000E2959" w:rsidRPr="00C50A5C">
        <w:rPr>
          <w:b/>
          <w:sz w:val="20"/>
          <w:szCs w:val="20"/>
        </w:rPr>
        <w:t xml:space="preserve"> </w:t>
      </w:r>
      <w:r>
        <w:rPr>
          <w:b/>
          <w:sz w:val="20"/>
          <w:szCs w:val="20"/>
        </w:rPr>
        <w:t>JU</w:t>
      </w:r>
      <w:r w:rsidR="000E2959" w:rsidRPr="00C50A5C">
        <w:rPr>
          <w:b/>
          <w:sz w:val="20"/>
          <w:szCs w:val="20"/>
        </w:rPr>
        <w:t>I</w:t>
      </w:r>
      <w:r>
        <w:rPr>
          <w:b/>
          <w:sz w:val="20"/>
          <w:szCs w:val="20"/>
        </w:rPr>
        <w:t>LLET</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B0C97" w:rsidRPr="00DB0C97" w:rsidTr="00247575">
        <w:trPr>
          <w:cantSplit/>
        </w:trPr>
        <w:tc>
          <w:tcPr>
            <w:tcW w:w="1458" w:type="dxa"/>
          </w:tcPr>
          <w:p w:rsidR="00DB0C97" w:rsidRPr="00DB0C97" w:rsidRDefault="00DB0C97" w:rsidP="00DB0C97">
            <w:pPr>
              <w:rPr>
                <w:sz w:val="20"/>
                <w:szCs w:val="20"/>
              </w:rPr>
            </w:pPr>
            <w:r w:rsidRPr="00DB0C97">
              <w:rPr>
                <w:b/>
                <w:sz w:val="20"/>
                <w:szCs w:val="20"/>
                <w:lang w:val="fr-CA"/>
              </w:rPr>
              <w:t>35755</w:t>
            </w:r>
          </w:p>
          <w:p w:rsidR="00DB0C97" w:rsidRPr="00DB0C97" w:rsidRDefault="00DB0C97" w:rsidP="00DB0C97">
            <w:pPr>
              <w:rPr>
                <w:b/>
                <w:sz w:val="20"/>
                <w:szCs w:val="20"/>
                <w:lang w:val="fr-CA"/>
              </w:rPr>
            </w:pPr>
          </w:p>
        </w:tc>
        <w:tc>
          <w:tcPr>
            <w:tcW w:w="8118" w:type="dxa"/>
          </w:tcPr>
          <w:p w:rsidR="00DB0C97" w:rsidRPr="00DB0C97" w:rsidRDefault="00DB0C97" w:rsidP="00DB0C97">
            <w:pPr>
              <w:jc w:val="both"/>
              <w:rPr>
                <w:sz w:val="20"/>
                <w:szCs w:val="20"/>
              </w:rPr>
            </w:pPr>
            <w:r w:rsidRPr="00DB0C97">
              <w:rPr>
                <w:b/>
                <w:sz w:val="20"/>
                <w:szCs w:val="20"/>
                <w:u w:val="single"/>
              </w:rPr>
              <w:t>Second Lieutenant Moriarity v. Her Majesty the Queen AND BETWEEN Private M.B.A. Hannah v. Her Majesty the Queen</w:t>
            </w:r>
            <w:r w:rsidRPr="00DB0C97">
              <w:rPr>
                <w:sz w:val="20"/>
                <w:szCs w:val="20"/>
              </w:rPr>
              <w:t xml:space="preserve"> (F</w:t>
            </w:r>
            <w:r>
              <w:rPr>
                <w:sz w:val="20"/>
                <w:szCs w:val="20"/>
              </w:rPr>
              <w:t>.</w:t>
            </w:r>
            <w:r w:rsidRPr="00DB0C97">
              <w:rPr>
                <w:sz w:val="20"/>
                <w:szCs w:val="20"/>
              </w:rPr>
              <w:t>C</w:t>
            </w:r>
            <w:r>
              <w:rPr>
                <w:sz w:val="20"/>
                <w:szCs w:val="20"/>
              </w:rPr>
              <w:t>.</w:t>
            </w:r>
            <w:r w:rsidRPr="00DB0C97">
              <w:rPr>
                <w:sz w:val="20"/>
                <w:szCs w:val="20"/>
              </w:rPr>
              <w:t>) (Criminal) (By Leave)</w:t>
            </w:r>
          </w:p>
          <w:p w:rsidR="00DB0C97" w:rsidRPr="00DB0C97" w:rsidRDefault="00DB0C97" w:rsidP="00DB0C97">
            <w:pPr>
              <w:jc w:val="both"/>
              <w:rPr>
                <w:sz w:val="20"/>
                <w:szCs w:val="20"/>
              </w:rPr>
            </w:pPr>
          </w:p>
        </w:tc>
      </w:tr>
      <w:tr w:rsidR="00DB0C97" w:rsidRPr="00DB0C97" w:rsidTr="00247575">
        <w:trPr>
          <w:cantSplit/>
        </w:trPr>
        <w:tc>
          <w:tcPr>
            <w:tcW w:w="1458" w:type="dxa"/>
          </w:tcPr>
          <w:p w:rsidR="00DB0C97" w:rsidRPr="00DB0C97" w:rsidRDefault="00DB0C97" w:rsidP="00DB0C97">
            <w:pPr>
              <w:rPr>
                <w:sz w:val="20"/>
                <w:szCs w:val="20"/>
              </w:rPr>
            </w:pPr>
            <w:r w:rsidRPr="00DB0C97">
              <w:rPr>
                <w:sz w:val="20"/>
                <w:szCs w:val="20"/>
              </w:rPr>
              <w:t>Coram :</w:t>
            </w:r>
          </w:p>
        </w:tc>
        <w:tc>
          <w:tcPr>
            <w:tcW w:w="8118" w:type="dxa"/>
          </w:tcPr>
          <w:p w:rsidR="00DB0C97" w:rsidRPr="00DB0C97" w:rsidRDefault="00DB0C97" w:rsidP="00DB0C97">
            <w:pPr>
              <w:rPr>
                <w:sz w:val="20"/>
                <w:szCs w:val="20"/>
              </w:rPr>
            </w:pPr>
            <w:r w:rsidRPr="00DB0C97">
              <w:rPr>
                <w:sz w:val="20"/>
                <w:szCs w:val="20"/>
                <w:u w:val="single"/>
              </w:rPr>
              <w:t>McLachlin C.J. and Cromwell and Wagner JJ.</w:t>
            </w:r>
          </w:p>
          <w:p w:rsidR="00DB0C97" w:rsidRPr="00DB0C97" w:rsidRDefault="00DB0C97" w:rsidP="00DB0C97">
            <w:pPr>
              <w:rPr>
                <w:sz w:val="20"/>
                <w:szCs w:val="20"/>
                <w:u w:val="single"/>
              </w:rPr>
            </w:pPr>
          </w:p>
        </w:tc>
      </w:tr>
      <w:tr w:rsidR="00DB0C97" w:rsidRPr="002B68E4" w:rsidTr="00247575">
        <w:trPr>
          <w:cantSplit/>
        </w:trPr>
        <w:tc>
          <w:tcPr>
            <w:tcW w:w="9576" w:type="dxa"/>
            <w:gridSpan w:val="2"/>
          </w:tcPr>
          <w:p w:rsidR="00DB0C97" w:rsidRPr="00DB0C97" w:rsidRDefault="00DB0C97" w:rsidP="00DB0C97">
            <w:pPr>
              <w:ind w:firstLine="720"/>
              <w:jc w:val="both"/>
              <w:rPr>
                <w:sz w:val="20"/>
                <w:szCs w:val="20"/>
              </w:rPr>
            </w:pPr>
            <w:r w:rsidRPr="00DB0C97">
              <w:rPr>
                <w:sz w:val="20"/>
                <w:szCs w:val="20"/>
              </w:rPr>
              <w:t>The application for leave to appeal from the judgment of the Court Martial Appeal Court of Canada, Numbers CMAC-560 and CMAC-563, 2014 CMAC 1, dated January 20, 2014, is granted without costs.</w:t>
            </w:r>
          </w:p>
          <w:p w:rsidR="00DB0C97" w:rsidRPr="00DB0C97" w:rsidRDefault="00DB0C97" w:rsidP="00DB0C97">
            <w:pPr>
              <w:jc w:val="both"/>
              <w:rPr>
                <w:sz w:val="20"/>
                <w:szCs w:val="20"/>
              </w:rPr>
            </w:pPr>
          </w:p>
          <w:p w:rsidR="00DB0C97" w:rsidRPr="00DB0C97" w:rsidRDefault="00DB0C97" w:rsidP="00DB0C97">
            <w:pPr>
              <w:ind w:firstLine="720"/>
              <w:jc w:val="both"/>
              <w:rPr>
                <w:sz w:val="20"/>
                <w:szCs w:val="20"/>
                <w:lang w:val="fr-CA"/>
              </w:rPr>
            </w:pPr>
            <w:r w:rsidRPr="00DB0C97">
              <w:rPr>
                <w:sz w:val="20"/>
                <w:szCs w:val="20"/>
                <w:lang w:val="fr-CA"/>
              </w:rPr>
              <w:t>La demande d’autorisation d’appel de l’arrêt de la Cour d’appel de la cour martiale du Canada, numéros CMAC-560 et CMAC-563, 2014 CMAC 1, daté du 20 janvier 2014, est accueillie sans dépens.</w:t>
            </w:r>
          </w:p>
        </w:tc>
      </w:tr>
    </w:tbl>
    <w:p w:rsidR="007426C2" w:rsidRPr="00DB0C97"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056F" w:rsidRPr="006D673B" w:rsidTr="002B056F">
        <w:tc>
          <w:tcPr>
            <w:tcW w:w="5000" w:type="pct"/>
            <w:gridSpan w:val="3"/>
          </w:tcPr>
          <w:p w:rsidR="002B056F" w:rsidRPr="006D673B" w:rsidRDefault="002B056F" w:rsidP="002B056F">
            <w:pPr>
              <w:jc w:val="both"/>
              <w:rPr>
                <w:rFonts w:eastAsia="Calibri"/>
                <w:sz w:val="20"/>
              </w:rPr>
            </w:pPr>
            <w:r w:rsidRPr="006D673B">
              <w:rPr>
                <w:rFonts w:eastAsia="Calibri"/>
                <w:i/>
                <w:sz w:val="20"/>
              </w:rPr>
              <w:t>Canadian Charter of Rights and Freedoms</w:t>
            </w:r>
            <w:r w:rsidRPr="006D673B">
              <w:rPr>
                <w:rFonts w:eastAsia="Calibri"/>
                <w:sz w:val="20"/>
              </w:rPr>
              <w:t xml:space="preserve"> – Whether s. 130(1)(a) of the </w:t>
            </w:r>
            <w:r w:rsidRPr="006D673B">
              <w:rPr>
                <w:rFonts w:eastAsia="Calibri"/>
                <w:i/>
                <w:sz w:val="20"/>
              </w:rPr>
              <w:t>National Defence Act</w:t>
            </w:r>
            <w:r w:rsidRPr="006D673B">
              <w:rPr>
                <w:rFonts w:eastAsia="Calibri"/>
                <w:sz w:val="20"/>
              </w:rPr>
              <w:t xml:space="preserve"> violates s. 7 and s. 11(f) of the </w:t>
            </w:r>
            <w:r w:rsidRPr="006D673B">
              <w:rPr>
                <w:rFonts w:eastAsia="Calibri"/>
                <w:i/>
                <w:sz w:val="20"/>
              </w:rPr>
              <w:t>Charter</w:t>
            </w:r>
            <w:r w:rsidRPr="006D673B">
              <w:rPr>
                <w:rFonts w:eastAsia="Calibri"/>
                <w:sz w:val="20"/>
              </w:rPr>
              <w:t xml:space="preserve"> – Whether the Court Martial Appeal Court erred in finding that the military nexus doctrine applies to s. 130(1)(a) of the </w:t>
            </w:r>
            <w:r w:rsidRPr="006D673B">
              <w:rPr>
                <w:rFonts w:eastAsia="Calibri"/>
                <w:i/>
                <w:sz w:val="20"/>
              </w:rPr>
              <w:t>National Defence Act</w:t>
            </w:r>
            <w:r w:rsidRPr="006D673B">
              <w:rPr>
                <w:rFonts w:eastAsia="Calibri"/>
                <w:sz w:val="20"/>
              </w:rPr>
              <w:t xml:space="preserve"> – Whether s. 130(1)(a) of the </w:t>
            </w:r>
            <w:r w:rsidRPr="006D673B">
              <w:rPr>
                <w:rFonts w:eastAsia="Calibri"/>
                <w:i/>
                <w:sz w:val="20"/>
              </w:rPr>
              <w:t>National Defence Act</w:t>
            </w:r>
            <w:r w:rsidRPr="006D673B">
              <w:rPr>
                <w:rFonts w:eastAsia="Calibri"/>
                <w:sz w:val="20"/>
              </w:rPr>
              <w:t xml:space="preserve"> is constitutional – </w:t>
            </w:r>
            <w:r w:rsidRPr="006D673B">
              <w:rPr>
                <w:rFonts w:eastAsia="Calibri"/>
                <w:i/>
                <w:sz w:val="20"/>
              </w:rPr>
              <w:t>Canadian Charter of Rights and Freedoms</w:t>
            </w:r>
            <w:r w:rsidRPr="006D673B">
              <w:rPr>
                <w:rFonts w:eastAsia="Calibri"/>
                <w:sz w:val="20"/>
              </w:rPr>
              <w:t xml:space="preserve">, ss. 7 and 11(f) – </w:t>
            </w:r>
            <w:r w:rsidRPr="006D673B">
              <w:rPr>
                <w:rFonts w:eastAsia="Calibri"/>
                <w:i/>
                <w:sz w:val="20"/>
              </w:rPr>
              <w:t>Constitution Act, 1982</w:t>
            </w:r>
            <w:r w:rsidRPr="006D673B">
              <w:rPr>
                <w:rFonts w:eastAsia="Calibri"/>
                <w:sz w:val="20"/>
              </w:rPr>
              <w:t xml:space="preserve">, s. 52 – </w:t>
            </w:r>
            <w:r w:rsidRPr="006D673B">
              <w:rPr>
                <w:rFonts w:eastAsia="Calibri"/>
                <w:i/>
                <w:sz w:val="20"/>
              </w:rPr>
              <w:t>Constitution Act, 1867</w:t>
            </w:r>
            <w:r w:rsidRPr="006D673B">
              <w:rPr>
                <w:rFonts w:eastAsia="Calibri"/>
                <w:sz w:val="20"/>
              </w:rPr>
              <w:t>, s. 91(7).</w:t>
            </w:r>
          </w:p>
        </w:tc>
      </w:tr>
      <w:tr w:rsidR="002B056F" w:rsidRPr="006D673B" w:rsidTr="002B056F">
        <w:tc>
          <w:tcPr>
            <w:tcW w:w="5000" w:type="pct"/>
            <w:gridSpan w:val="3"/>
          </w:tcPr>
          <w:p w:rsidR="002B056F" w:rsidRPr="006D673B" w:rsidRDefault="002B056F" w:rsidP="002B056F">
            <w:pPr>
              <w:jc w:val="both"/>
              <w:rPr>
                <w:rFonts w:eastAsia="Calibri"/>
                <w:sz w:val="20"/>
              </w:rPr>
            </w:pPr>
          </w:p>
        </w:tc>
      </w:tr>
      <w:tr w:rsidR="002B056F" w:rsidRPr="006D673B" w:rsidTr="002B056F">
        <w:tc>
          <w:tcPr>
            <w:tcW w:w="5000" w:type="pct"/>
            <w:gridSpan w:val="3"/>
          </w:tcPr>
          <w:p w:rsidR="002B056F" w:rsidRPr="006D673B" w:rsidRDefault="002B056F" w:rsidP="002B056F">
            <w:pPr>
              <w:jc w:val="both"/>
              <w:rPr>
                <w:rFonts w:eastAsia="Calibri"/>
                <w:sz w:val="20"/>
              </w:rPr>
            </w:pPr>
            <w:r w:rsidRPr="006D673B">
              <w:rPr>
                <w:rFonts w:eastAsia="Calibri"/>
                <w:sz w:val="20"/>
              </w:rPr>
              <w:t xml:space="preserve">The applicant Moriarity was a Cadet Instructor Cadre officer.  While in a position of trust and authority with respect to cadets he interacted with, he engaged in inappropriate sexual relationships with two cadets.  He was charged with four </w:t>
            </w:r>
            <w:r w:rsidRPr="006D673B">
              <w:rPr>
                <w:rFonts w:eastAsia="Calibri"/>
                <w:i/>
                <w:sz w:val="20"/>
              </w:rPr>
              <w:t>Criminal Code</w:t>
            </w:r>
            <w:r w:rsidRPr="006D673B">
              <w:rPr>
                <w:rFonts w:eastAsia="Calibri"/>
                <w:sz w:val="20"/>
              </w:rPr>
              <w:t xml:space="preserve"> offences:  two offences relating to sexual exploitation contrary to s. 153, one offence for sexual assault contrary to s. 271 and one offence for invitation to sexual touching contrary to s. 152. </w:t>
            </w:r>
          </w:p>
          <w:p w:rsidR="002B056F" w:rsidRPr="006D673B" w:rsidRDefault="002B056F" w:rsidP="002B056F">
            <w:pPr>
              <w:jc w:val="both"/>
              <w:rPr>
                <w:rFonts w:eastAsia="Calibri"/>
                <w:sz w:val="20"/>
              </w:rPr>
            </w:pPr>
          </w:p>
          <w:p w:rsidR="002B056F" w:rsidRPr="006D673B" w:rsidRDefault="002B056F" w:rsidP="002B056F">
            <w:pPr>
              <w:jc w:val="both"/>
              <w:rPr>
                <w:rFonts w:eastAsia="Calibri"/>
                <w:sz w:val="20"/>
              </w:rPr>
            </w:pPr>
            <w:r w:rsidRPr="006D673B">
              <w:rPr>
                <w:rFonts w:eastAsia="Calibri"/>
                <w:sz w:val="20"/>
              </w:rPr>
              <w:t xml:space="preserve">The applicant Hannah was a member of the Canadian Forces and a student at the Canadian Forces Base Gagetown.  He purchased and delivered a controlled substance to another engineering candidate and the drugs were found in that student’s quarters on the base.  He was charged with trafficking of a substance included in Schedule IV contrary to s. 5(1) of the </w:t>
            </w:r>
            <w:r w:rsidRPr="006D673B">
              <w:rPr>
                <w:rFonts w:eastAsia="Calibri"/>
                <w:i/>
                <w:sz w:val="20"/>
              </w:rPr>
              <w:t>Controlled Drugs and Substances Act</w:t>
            </w:r>
            <w:r w:rsidRPr="006D673B">
              <w:rPr>
                <w:rFonts w:eastAsia="Calibri"/>
                <w:sz w:val="20"/>
              </w:rPr>
              <w:t xml:space="preserve"> and unlawful selling of a substance containing a drug included in Schedule F contrary to the </w:t>
            </w:r>
            <w:r w:rsidRPr="006D673B">
              <w:rPr>
                <w:rFonts w:eastAsia="Calibri"/>
                <w:i/>
                <w:sz w:val="20"/>
              </w:rPr>
              <w:t>Food and Drug Regulations</w:t>
            </w:r>
            <w:r w:rsidRPr="006D673B">
              <w:rPr>
                <w:rFonts w:eastAsia="Calibri"/>
                <w:sz w:val="20"/>
              </w:rPr>
              <w:t xml:space="preserve"> and </w:t>
            </w:r>
            <w:r w:rsidRPr="006D673B">
              <w:rPr>
                <w:rFonts w:eastAsia="Calibri"/>
                <w:i/>
                <w:sz w:val="20"/>
              </w:rPr>
              <w:t>Food and Drugs Act</w:t>
            </w:r>
            <w:r w:rsidRPr="006D673B">
              <w:rPr>
                <w:rFonts w:eastAsia="Calibri"/>
                <w:sz w:val="20"/>
              </w:rPr>
              <w:t>.</w:t>
            </w:r>
          </w:p>
          <w:p w:rsidR="002B056F" w:rsidRPr="006D673B" w:rsidRDefault="002B056F" w:rsidP="002B056F">
            <w:pPr>
              <w:jc w:val="both"/>
              <w:rPr>
                <w:rFonts w:eastAsia="Calibri"/>
                <w:sz w:val="20"/>
              </w:rPr>
            </w:pPr>
          </w:p>
          <w:p w:rsidR="002B056F" w:rsidRPr="006D673B" w:rsidRDefault="002B056F" w:rsidP="002B056F">
            <w:pPr>
              <w:jc w:val="both"/>
              <w:rPr>
                <w:rFonts w:eastAsia="Calibri"/>
                <w:sz w:val="20"/>
              </w:rPr>
            </w:pPr>
            <w:r w:rsidRPr="006D673B">
              <w:rPr>
                <w:rFonts w:eastAsia="Calibri"/>
                <w:sz w:val="20"/>
              </w:rPr>
              <w:t xml:space="preserve">The applicants confessed and made admissions but challenged the constitutionality of s. 130(1)(a) of the </w:t>
            </w:r>
            <w:r w:rsidRPr="006D673B">
              <w:rPr>
                <w:rFonts w:eastAsia="Calibri"/>
                <w:i/>
                <w:sz w:val="20"/>
              </w:rPr>
              <w:t>National Defence Act</w:t>
            </w:r>
            <w:r w:rsidRPr="006D673B">
              <w:rPr>
                <w:rFonts w:eastAsia="Calibri"/>
                <w:sz w:val="20"/>
              </w:rPr>
              <w:t>.</w:t>
            </w:r>
          </w:p>
          <w:p w:rsidR="002B056F" w:rsidRPr="006D673B" w:rsidRDefault="002B056F" w:rsidP="002B056F">
            <w:pPr>
              <w:jc w:val="both"/>
              <w:rPr>
                <w:rFonts w:eastAsia="Calibri"/>
                <w:sz w:val="20"/>
              </w:rPr>
            </w:pPr>
          </w:p>
        </w:tc>
      </w:tr>
      <w:tr w:rsidR="002B056F" w:rsidRPr="006D673B" w:rsidTr="002B056F">
        <w:tc>
          <w:tcPr>
            <w:tcW w:w="2427" w:type="pct"/>
          </w:tcPr>
          <w:p w:rsidR="002B056F" w:rsidRPr="006D673B" w:rsidRDefault="002B056F" w:rsidP="002B056F">
            <w:pPr>
              <w:jc w:val="both"/>
              <w:rPr>
                <w:rFonts w:eastAsia="Calibri"/>
                <w:sz w:val="20"/>
              </w:rPr>
            </w:pPr>
            <w:r w:rsidRPr="006D673B">
              <w:rPr>
                <w:rFonts w:eastAsia="Calibri"/>
                <w:sz w:val="20"/>
              </w:rPr>
              <w:t>October 18, 2012</w:t>
            </w:r>
          </w:p>
          <w:p w:rsidR="002B056F" w:rsidRPr="006D673B" w:rsidRDefault="002B056F" w:rsidP="002B056F">
            <w:pPr>
              <w:jc w:val="both"/>
              <w:rPr>
                <w:rFonts w:eastAsia="Calibri"/>
                <w:i/>
                <w:sz w:val="20"/>
              </w:rPr>
            </w:pPr>
            <w:r w:rsidRPr="006D673B">
              <w:rPr>
                <w:rFonts w:eastAsia="Calibri"/>
                <w:i/>
                <w:sz w:val="20"/>
              </w:rPr>
              <w:t>R. v. Moriarity</w:t>
            </w:r>
          </w:p>
          <w:p w:rsidR="002B056F" w:rsidRPr="006D673B" w:rsidRDefault="002B056F" w:rsidP="002B056F">
            <w:pPr>
              <w:jc w:val="both"/>
              <w:rPr>
                <w:rFonts w:eastAsia="Calibri"/>
                <w:sz w:val="20"/>
              </w:rPr>
            </w:pPr>
            <w:r w:rsidRPr="006D673B">
              <w:rPr>
                <w:rFonts w:eastAsia="Calibri"/>
                <w:sz w:val="20"/>
              </w:rPr>
              <w:t>Standing Court Martial</w:t>
            </w:r>
          </w:p>
          <w:p w:rsidR="002B056F" w:rsidRPr="006D673B" w:rsidRDefault="002B056F" w:rsidP="002B056F">
            <w:pPr>
              <w:jc w:val="both"/>
              <w:rPr>
                <w:rFonts w:eastAsia="Calibri"/>
                <w:sz w:val="20"/>
              </w:rPr>
            </w:pPr>
            <w:r w:rsidRPr="006D673B">
              <w:rPr>
                <w:rFonts w:eastAsia="Calibri"/>
                <w:sz w:val="20"/>
              </w:rPr>
              <w:t>(d'Auteuil M.J.)</w:t>
            </w:r>
          </w:p>
          <w:p w:rsidR="002B056F" w:rsidRPr="006D673B" w:rsidRDefault="002B68E4" w:rsidP="002B056F">
            <w:pPr>
              <w:jc w:val="both"/>
              <w:rPr>
                <w:rFonts w:eastAsia="Calibri"/>
                <w:sz w:val="20"/>
              </w:rPr>
            </w:pPr>
            <w:hyperlink r:id="rId25" w:history="1">
              <w:r w:rsidR="002B056F" w:rsidRPr="006D673B">
                <w:rPr>
                  <w:rFonts w:eastAsia="Calibri"/>
                  <w:color w:val="0000FF"/>
                  <w:sz w:val="20"/>
                  <w:u w:val="single"/>
                </w:rPr>
                <w:t>2012 CM 3017</w:t>
              </w:r>
            </w:hyperlink>
          </w:p>
          <w:p w:rsidR="002B056F" w:rsidRPr="006D673B" w:rsidRDefault="002B056F" w:rsidP="002B056F">
            <w:pPr>
              <w:jc w:val="both"/>
              <w:rPr>
                <w:rFonts w:eastAsia="Calibri"/>
                <w:sz w:val="20"/>
              </w:rPr>
            </w:pPr>
          </w:p>
        </w:tc>
        <w:tc>
          <w:tcPr>
            <w:tcW w:w="243" w:type="pct"/>
          </w:tcPr>
          <w:p w:rsidR="002B056F" w:rsidRPr="006D673B" w:rsidRDefault="002B056F" w:rsidP="002B056F">
            <w:pPr>
              <w:jc w:val="both"/>
              <w:rPr>
                <w:rFonts w:eastAsia="Calibri"/>
                <w:sz w:val="20"/>
              </w:rPr>
            </w:pPr>
          </w:p>
        </w:tc>
        <w:tc>
          <w:tcPr>
            <w:tcW w:w="2330" w:type="pct"/>
          </w:tcPr>
          <w:p w:rsidR="002B056F" w:rsidRPr="006D673B" w:rsidRDefault="002B056F" w:rsidP="002B056F">
            <w:pPr>
              <w:jc w:val="both"/>
              <w:rPr>
                <w:rFonts w:eastAsia="Calibri"/>
                <w:sz w:val="20"/>
              </w:rPr>
            </w:pPr>
            <w:r w:rsidRPr="006D673B">
              <w:rPr>
                <w:rFonts w:eastAsia="Calibri"/>
                <w:sz w:val="20"/>
              </w:rPr>
              <w:t xml:space="preserve">Application for an order declaring s. 130(1)(a) of the </w:t>
            </w:r>
            <w:r w:rsidRPr="006D673B">
              <w:rPr>
                <w:rFonts w:eastAsia="Calibri"/>
                <w:i/>
                <w:sz w:val="20"/>
              </w:rPr>
              <w:t>National Defence Act</w:t>
            </w:r>
            <w:r w:rsidRPr="006D673B">
              <w:rPr>
                <w:rFonts w:eastAsia="Calibri"/>
                <w:sz w:val="20"/>
              </w:rPr>
              <w:t xml:space="preserve"> of no force or effect pursuant to s. 52 of the </w:t>
            </w:r>
            <w:r w:rsidRPr="006D673B">
              <w:rPr>
                <w:rFonts w:eastAsia="Calibri"/>
                <w:i/>
                <w:sz w:val="20"/>
              </w:rPr>
              <w:t>Constitution Act, 1982</w:t>
            </w:r>
            <w:r w:rsidRPr="006D673B">
              <w:rPr>
                <w:rFonts w:eastAsia="Calibri"/>
                <w:sz w:val="20"/>
              </w:rPr>
              <w:t xml:space="preserve"> dismissed.  Applicant convicted of four offences punishable under s. 130 of the </w:t>
            </w:r>
            <w:r w:rsidRPr="006D673B">
              <w:rPr>
                <w:rFonts w:eastAsia="Calibri"/>
                <w:i/>
                <w:sz w:val="20"/>
              </w:rPr>
              <w:t>National Defence Act</w:t>
            </w:r>
            <w:r w:rsidRPr="006D673B">
              <w:rPr>
                <w:rFonts w:eastAsia="Calibri"/>
                <w:sz w:val="20"/>
              </w:rPr>
              <w:t>.</w:t>
            </w:r>
          </w:p>
          <w:p w:rsidR="002B056F" w:rsidRPr="006D673B" w:rsidRDefault="002B056F" w:rsidP="002B056F">
            <w:pPr>
              <w:jc w:val="both"/>
              <w:rPr>
                <w:rFonts w:eastAsia="Calibri"/>
                <w:sz w:val="20"/>
              </w:rPr>
            </w:pPr>
          </w:p>
        </w:tc>
      </w:tr>
      <w:tr w:rsidR="002B056F" w:rsidRPr="006D673B" w:rsidTr="002B056F">
        <w:tc>
          <w:tcPr>
            <w:tcW w:w="2427" w:type="pct"/>
          </w:tcPr>
          <w:p w:rsidR="002B056F" w:rsidRPr="006D673B" w:rsidRDefault="002B056F" w:rsidP="002B056F">
            <w:pPr>
              <w:jc w:val="both"/>
              <w:rPr>
                <w:rFonts w:eastAsia="Calibri"/>
                <w:sz w:val="20"/>
              </w:rPr>
            </w:pPr>
            <w:r w:rsidRPr="006D673B">
              <w:rPr>
                <w:rFonts w:eastAsia="Calibri"/>
                <w:sz w:val="20"/>
              </w:rPr>
              <w:t>May 15, 2013</w:t>
            </w:r>
          </w:p>
          <w:p w:rsidR="002B056F" w:rsidRPr="006D673B" w:rsidRDefault="002B056F" w:rsidP="002B056F">
            <w:pPr>
              <w:jc w:val="both"/>
              <w:rPr>
                <w:rFonts w:eastAsia="Calibri"/>
                <w:i/>
                <w:sz w:val="20"/>
              </w:rPr>
            </w:pPr>
            <w:r w:rsidRPr="006D673B">
              <w:rPr>
                <w:rFonts w:eastAsia="Calibri"/>
                <w:i/>
                <w:sz w:val="20"/>
              </w:rPr>
              <w:t>R. v. Hannah</w:t>
            </w:r>
          </w:p>
          <w:p w:rsidR="002B056F" w:rsidRPr="006D673B" w:rsidRDefault="002B056F" w:rsidP="002B056F">
            <w:pPr>
              <w:jc w:val="both"/>
              <w:rPr>
                <w:rFonts w:eastAsia="Calibri"/>
                <w:sz w:val="20"/>
              </w:rPr>
            </w:pPr>
            <w:r w:rsidRPr="006D673B">
              <w:rPr>
                <w:rFonts w:eastAsia="Calibri"/>
                <w:sz w:val="20"/>
              </w:rPr>
              <w:t>Standing Court Martial</w:t>
            </w:r>
          </w:p>
          <w:p w:rsidR="002B056F" w:rsidRPr="006D673B" w:rsidRDefault="002B056F" w:rsidP="002B056F">
            <w:pPr>
              <w:jc w:val="both"/>
              <w:rPr>
                <w:rFonts w:eastAsia="Calibri"/>
                <w:sz w:val="20"/>
              </w:rPr>
            </w:pPr>
            <w:r w:rsidRPr="006D673B">
              <w:rPr>
                <w:rFonts w:eastAsia="Calibri"/>
                <w:sz w:val="20"/>
              </w:rPr>
              <w:t>(Lamont M.J.)</w:t>
            </w:r>
          </w:p>
          <w:p w:rsidR="002B056F" w:rsidRPr="006D673B" w:rsidRDefault="002B68E4" w:rsidP="002B056F">
            <w:pPr>
              <w:jc w:val="both"/>
              <w:rPr>
                <w:rFonts w:eastAsia="Calibri"/>
                <w:sz w:val="20"/>
              </w:rPr>
            </w:pPr>
            <w:hyperlink r:id="rId26" w:history="1">
              <w:r w:rsidR="002B056F" w:rsidRPr="006D673B">
                <w:rPr>
                  <w:rFonts w:eastAsia="Calibri"/>
                  <w:color w:val="0000FF"/>
                  <w:sz w:val="20"/>
                  <w:u w:val="single"/>
                </w:rPr>
                <w:t>2013 CM 2011</w:t>
              </w:r>
            </w:hyperlink>
          </w:p>
          <w:p w:rsidR="002B056F" w:rsidRPr="006D673B" w:rsidRDefault="002B056F" w:rsidP="002B056F">
            <w:pPr>
              <w:jc w:val="both"/>
              <w:rPr>
                <w:rFonts w:eastAsia="Calibri"/>
                <w:sz w:val="20"/>
              </w:rPr>
            </w:pPr>
          </w:p>
        </w:tc>
        <w:tc>
          <w:tcPr>
            <w:tcW w:w="243" w:type="pct"/>
          </w:tcPr>
          <w:p w:rsidR="002B056F" w:rsidRPr="006D673B" w:rsidRDefault="002B056F" w:rsidP="002B056F">
            <w:pPr>
              <w:jc w:val="both"/>
              <w:rPr>
                <w:rFonts w:eastAsia="Calibri"/>
                <w:sz w:val="20"/>
              </w:rPr>
            </w:pPr>
          </w:p>
        </w:tc>
        <w:tc>
          <w:tcPr>
            <w:tcW w:w="2330" w:type="pct"/>
          </w:tcPr>
          <w:p w:rsidR="002B056F" w:rsidRPr="006D673B" w:rsidRDefault="002B056F" w:rsidP="002B056F">
            <w:pPr>
              <w:jc w:val="both"/>
              <w:rPr>
                <w:rFonts w:eastAsia="Calibri"/>
                <w:sz w:val="20"/>
              </w:rPr>
            </w:pPr>
            <w:r w:rsidRPr="006D673B">
              <w:rPr>
                <w:rFonts w:eastAsia="Calibri"/>
                <w:sz w:val="20"/>
              </w:rPr>
              <w:t xml:space="preserve">Application for an order declaring s. 130(1)(a) of the </w:t>
            </w:r>
            <w:r w:rsidRPr="006D673B">
              <w:rPr>
                <w:rFonts w:eastAsia="Calibri"/>
                <w:i/>
                <w:sz w:val="20"/>
              </w:rPr>
              <w:t>National Defence Act</w:t>
            </w:r>
            <w:r w:rsidRPr="006D673B">
              <w:rPr>
                <w:rFonts w:eastAsia="Calibri"/>
                <w:sz w:val="20"/>
              </w:rPr>
              <w:t xml:space="preserve"> of no force or effect pursuant to s. 52 of the </w:t>
            </w:r>
            <w:r w:rsidRPr="006D673B">
              <w:rPr>
                <w:rFonts w:eastAsia="Calibri"/>
                <w:i/>
                <w:sz w:val="20"/>
              </w:rPr>
              <w:t>Constitution Act, 1982</w:t>
            </w:r>
            <w:r w:rsidRPr="006D673B">
              <w:rPr>
                <w:rFonts w:eastAsia="Calibri"/>
                <w:sz w:val="20"/>
              </w:rPr>
              <w:t xml:space="preserve"> dismissed.  Applicant convicted of two offences punishable under s. 130 of the </w:t>
            </w:r>
            <w:r w:rsidRPr="006D673B">
              <w:rPr>
                <w:rFonts w:eastAsia="Calibri"/>
                <w:i/>
                <w:sz w:val="20"/>
              </w:rPr>
              <w:t>National Defence Act</w:t>
            </w:r>
            <w:r w:rsidRPr="006D673B">
              <w:rPr>
                <w:rFonts w:eastAsia="Calibri"/>
                <w:sz w:val="20"/>
              </w:rPr>
              <w:t>.</w:t>
            </w:r>
          </w:p>
          <w:p w:rsidR="002B056F" w:rsidRPr="006D673B" w:rsidRDefault="002B056F" w:rsidP="002B056F">
            <w:pPr>
              <w:jc w:val="both"/>
              <w:rPr>
                <w:rFonts w:eastAsia="Calibri"/>
                <w:sz w:val="20"/>
              </w:rPr>
            </w:pPr>
          </w:p>
        </w:tc>
      </w:tr>
      <w:tr w:rsidR="002B056F" w:rsidRPr="006D673B" w:rsidTr="00DB0C97">
        <w:trPr>
          <w:cantSplit/>
        </w:trPr>
        <w:tc>
          <w:tcPr>
            <w:tcW w:w="2427" w:type="pct"/>
          </w:tcPr>
          <w:p w:rsidR="002B056F" w:rsidRPr="006D673B" w:rsidRDefault="002B056F" w:rsidP="002B056F">
            <w:pPr>
              <w:jc w:val="both"/>
              <w:rPr>
                <w:rFonts w:eastAsia="Calibri"/>
                <w:sz w:val="20"/>
              </w:rPr>
            </w:pPr>
            <w:r w:rsidRPr="006D673B">
              <w:rPr>
                <w:rFonts w:eastAsia="Calibri"/>
                <w:sz w:val="20"/>
              </w:rPr>
              <w:lastRenderedPageBreak/>
              <w:t>January 20, 2014</w:t>
            </w:r>
          </w:p>
          <w:p w:rsidR="002B056F" w:rsidRPr="006D673B" w:rsidRDefault="002B056F" w:rsidP="002B056F">
            <w:pPr>
              <w:jc w:val="both"/>
              <w:rPr>
                <w:rFonts w:eastAsia="Calibri"/>
                <w:sz w:val="20"/>
              </w:rPr>
            </w:pPr>
            <w:r w:rsidRPr="006D673B">
              <w:rPr>
                <w:rFonts w:eastAsia="Calibri"/>
                <w:sz w:val="20"/>
              </w:rPr>
              <w:t>Court Martial Appeal Court of Canada</w:t>
            </w:r>
          </w:p>
          <w:p w:rsidR="002B056F" w:rsidRPr="006D673B" w:rsidRDefault="002B056F" w:rsidP="002B056F">
            <w:pPr>
              <w:jc w:val="both"/>
              <w:rPr>
                <w:rFonts w:eastAsia="Calibri"/>
                <w:sz w:val="20"/>
              </w:rPr>
            </w:pPr>
            <w:r w:rsidRPr="006D673B">
              <w:rPr>
                <w:rFonts w:eastAsia="Calibri"/>
                <w:sz w:val="20"/>
              </w:rPr>
              <w:t>(Blanchard C.J. and Weiler and Dawson J.A.)</w:t>
            </w:r>
          </w:p>
          <w:p w:rsidR="002B056F" w:rsidRPr="006D673B" w:rsidRDefault="002B68E4" w:rsidP="002B056F">
            <w:pPr>
              <w:jc w:val="both"/>
              <w:rPr>
                <w:rFonts w:eastAsia="Calibri"/>
                <w:sz w:val="20"/>
              </w:rPr>
            </w:pPr>
            <w:hyperlink r:id="rId27" w:history="1">
              <w:r w:rsidR="002B056F" w:rsidRPr="006D673B">
                <w:rPr>
                  <w:rFonts w:eastAsia="Calibri"/>
                  <w:color w:val="0000FF"/>
                  <w:sz w:val="20"/>
                  <w:u w:val="single"/>
                </w:rPr>
                <w:t>2014 CMAC 1</w:t>
              </w:r>
            </w:hyperlink>
          </w:p>
          <w:p w:rsidR="002B056F" w:rsidRPr="006D673B" w:rsidRDefault="002B056F" w:rsidP="002B056F">
            <w:pPr>
              <w:jc w:val="both"/>
              <w:rPr>
                <w:rFonts w:eastAsia="Calibri"/>
                <w:sz w:val="20"/>
              </w:rPr>
            </w:pPr>
          </w:p>
        </w:tc>
        <w:tc>
          <w:tcPr>
            <w:tcW w:w="243" w:type="pct"/>
          </w:tcPr>
          <w:p w:rsidR="002B056F" w:rsidRPr="006D673B" w:rsidRDefault="002B056F" w:rsidP="002B056F">
            <w:pPr>
              <w:jc w:val="both"/>
              <w:rPr>
                <w:rFonts w:eastAsia="Calibri"/>
                <w:sz w:val="20"/>
              </w:rPr>
            </w:pPr>
          </w:p>
        </w:tc>
        <w:tc>
          <w:tcPr>
            <w:tcW w:w="2330" w:type="pct"/>
          </w:tcPr>
          <w:p w:rsidR="002B056F" w:rsidRPr="006D673B" w:rsidRDefault="002B056F" w:rsidP="002B056F">
            <w:pPr>
              <w:jc w:val="both"/>
              <w:rPr>
                <w:rFonts w:eastAsia="Calibri"/>
                <w:sz w:val="20"/>
              </w:rPr>
            </w:pPr>
            <w:r w:rsidRPr="006D673B">
              <w:rPr>
                <w:rFonts w:eastAsia="Calibri"/>
                <w:sz w:val="20"/>
              </w:rPr>
              <w:t>Appeal dismissed.</w:t>
            </w:r>
          </w:p>
          <w:p w:rsidR="002B056F" w:rsidRPr="006D673B" w:rsidRDefault="002B056F" w:rsidP="002B056F">
            <w:pPr>
              <w:jc w:val="both"/>
              <w:rPr>
                <w:rFonts w:eastAsia="Calibri"/>
                <w:sz w:val="20"/>
              </w:rPr>
            </w:pPr>
          </w:p>
        </w:tc>
      </w:tr>
      <w:tr w:rsidR="002B056F" w:rsidRPr="006D673B" w:rsidTr="00DB0C97">
        <w:trPr>
          <w:cantSplit/>
        </w:trPr>
        <w:tc>
          <w:tcPr>
            <w:tcW w:w="2427" w:type="pct"/>
          </w:tcPr>
          <w:p w:rsidR="002B056F" w:rsidRPr="006D673B" w:rsidRDefault="002B056F" w:rsidP="002B056F">
            <w:pPr>
              <w:jc w:val="both"/>
              <w:rPr>
                <w:rFonts w:eastAsia="Calibri"/>
                <w:sz w:val="20"/>
              </w:rPr>
            </w:pPr>
            <w:r w:rsidRPr="006D673B">
              <w:rPr>
                <w:rFonts w:eastAsia="Calibri"/>
                <w:sz w:val="20"/>
              </w:rPr>
              <w:t>March 6, 2014</w:t>
            </w:r>
          </w:p>
          <w:p w:rsidR="002B056F" w:rsidRPr="006D673B" w:rsidRDefault="002B056F" w:rsidP="002B056F">
            <w:pPr>
              <w:jc w:val="both"/>
              <w:rPr>
                <w:rFonts w:eastAsia="Calibri"/>
                <w:sz w:val="20"/>
              </w:rPr>
            </w:pPr>
            <w:r w:rsidRPr="006D673B">
              <w:rPr>
                <w:rFonts w:eastAsia="Calibri"/>
                <w:sz w:val="20"/>
              </w:rPr>
              <w:t>Supreme Court of Canada</w:t>
            </w:r>
          </w:p>
        </w:tc>
        <w:tc>
          <w:tcPr>
            <w:tcW w:w="243" w:type="pct"/>
          </w:tcPr>
          <w:p w:rsidR="002B056F" w:rsidRPr="006D673B" w:rsidRDefault="002B056F" w:rsidP="002B056F">
            <w:pPr>
              <w:jc w:val="both"/>
              <w:rPr>
                <w:rFonts w:eastAsia="Calibri"/>
                <w:sz w:val="20"/>
              </w:rPr>
            </w:pPr>
          </w:p>
        </w:tc>
        <w:tc>
          <w:tcPr>
            <w:tcW w:w="2330" w:type="pct"/>
          </w:tcPr>
          <w:p w:rsidR="002B056F" w:rsidRPr="006D673B" w:rsidRDefault="002B056F" w:rsidP="002B056F">
            <w:pPr>
              <w:jc w:val="both"/>
              <w:rPr>
                <w:rFonts w:eastAsia="Calibri"/>
                <w:sz w:val="20"/>
              </w:rPr>
            </w:pPr>
            <w:r w:rsidRPr="006D673B">
              <w:rPr>
                <w:rFonts w:eastAsia="Calibri"/>
                <w:sz w:val="20"/>
              </w:rPr>
              <w:t>Application for leave to appeal filed.</w:t>
            </w:r>
          </w:p>
        </w:tc>
      </w:tr>
    </w:tbl>
    <w:p w:rsidR="007426C2" w:rsidRDefault="007426C2" w:rsidP="000E2959">
      <w:pPr>
        <w:rPr>
          <w:sz w:val="20"/>
          <w:szCs w:val="20"/>
        </w:rPr>
      </w:pPr>
    </w:p>
    <w:p w:rsidR="007426C2" w:rsidRPr="00C50A5C" w:rsidRDefault="002B68E4" w:rsidP="007426C2">
      <w:pPr>
        <w:rPr>
          <w:sz w:val="20"/>
          <w:szCs w:val="20"/>
        </w:rPr>
      </w:pPr>
      <w:r>
        <w:rPr>
          <w:sz w:val="20"/>
          <w:szCs w:val="20"/>
          <w:lang w:val="fr-CA"/>
        </w:rPr>
        <w:pict>
          <v:rect id="_x0000_i1033"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056F" w:rsidRPr="002B68E4" w:rsidTr="002B056F">
        <w:tc>
          <w:tcPr>
            <w:tcW w:w="5000" w:type="pct"/>
            <w:gridSpan w:val="3"/>
          </w:tcPr>
          <w:p w:rsidR="002B056F" w:rsidRPr="006D673B" w:rsidRDefault="002B056F" w:rsidP="002B056F">
            <w:pPr>
              <w:jc w:val="both"/>
              <w:rPr>
                <w:rFonts w:eastAsia="Calibri"/>
                <w:sz w:val="20"/>
                <w:lang w:val="fr-CA"/>
              </w:rPr>
            </w:pPr>
            <w:r w:rsidRPr="006D673B">
              <w:rPr>
                <w:rFonts w:eastAsia="Calibri"/>
                <w:i/>
                <w:sz w:val="20"/>
                <w:lang w:val="fr-CA"/>
              </w:rPr>
              <w:t>Charte canadienne des droits et libertés</w:t>
            </w:r>
            <w:r w:rsidRPr="006D673B">
              <w:rPr>
                <w:rFonts w:eastAsia="Calibri"/>
                <w:sz w:val="20"/>
                <w:lang w:val="fr-CA"/>
              </w:rPr>
              <w:t xml:space="preserve"> – L’al. 130(1)</w:t>
            </w:r>
            <w:r w:rsidRPr="006D673B">
              <w:rPr>
                <w:rFonts w:eastAsia="Calibri"/>
                <w:i/>
                <w:sz w:val="20"/>
                <w:lang w:val="fr-CA"/>
              </w:rPr>
              <w:t>a</w:t>
            </w:r>
            <w:r w:rsidRPr="006D673B">
              <w:rPr>
                <w:rFonts w:eastAsia="Calibri"/>
                <w:sz w:val="20"/>
                <w:lang w:val="fr-CA"/>
              </w:rPr>
              <w:t xml:space="preserve">) de la </w:t>
            </w:r>
            <w:r w:rsidRPr="006D673B">
              <w:rPr>
                <w:rFonts w:eastAsia="Calibri"/>
                <w:i/>
                <w:sz w:val="20"/>
                <w:lang w:val="fr-CA"/>
              </w:rPr>
              <w:t>Loi sur la défense nationale</w:t>
            </w:r>
            <w:r w:rsidRPr="006D673B">
              <w:rPr>
                <w:rFonts w:eastAsia="Calibri"/>
                <w:sz w:val="20"/>
                <w:lang w:val="fr-CA"/>
              </w:rPr>
              <w:t xml:space="preserve"> viole-t-il l’art. 7 et l’al. 11</w:t>
            </w:r>
            <w:r w:rsidRPr="006D673B">
              <w:rPr>
                <w:rFonts w:eastAsia="Calibri"/>
                <w:i/>
                <w:sz w:val="20"/>
                <w:lang w:val="fr-CA"/>
              </w:rPr>
              <w:t>f</w:t>
            </w:r>
            <w:r w:rsidRPr="006D673B">
              <w:rPr>
                <w:rFonts w:eastAsia="Calibri"/>
                <w:sz w:val="20"/>
                <w:lang w:val="fr-CA"/>
              </w:rPr>
              <w:t xml:space="preserve">) de la </w:t>
            </w:r>
            <w:r w:rsidRPr="006D673B">
              <w:rPr>
                <w:rFonts w:eastAsia="Calibri"/>
                <w:i/>
                <w:sz w:val="20"/>
                <w:lang w:val="fr-CA"/>
              </w:rPr>
              <w:t>Charte</w:t>
            </w:r>
            <w:r w:rsidRPr="006D673B">
              <w:rPr>
                <w:rFonts w:eastAsia="Calibri"/>
                <w:sz w:val="20"/>
                <w:lang w:val="fr-CA"/>
              </w:rPr>
              <w:t>? – La Cour d’appel de la cour martiale a-t-elle eu tort de conclure que la doctrine du lien de connexité avec le service militaire s’applique à l’al. 130(1)</w:t>
            </w:r>
            <w:r w:rsidRPr="006D673B">
              <w:rPr>
                <w:rFonts w:eastAsia="Calibri"/>
                <w:i/>
                <w:sz w:val="20"/>
                <w:lang w:val="fr-CA"/>
              </w:rPr>
              <w:t>a</w:t>
            </w:r>
            <w:r w:rsidRPr="006D673B">
              <w:rPr>
                <w:rFonts w:eastAsia="Calibri"/>
                <w:sz w:val="20"/>
                <w:lang w:val="fr-CA"/>
              </w:rPr>
              <w:t xml:space="preserve">) de la </w:t>
            </w:r>
            <w:r w:rsidRPr="006D673B">
              <w:rPr>
                <w:rFonts w:eastAsia="Calibri"/>
                <w:i/>
                <w:sz w:val="20"/>
                <w:lang w:val="fr-CA"/>
              </w:rPr>
              <w:t>Loi sur la défense nationale</w:t>
            </w:r>
            <w:r w:rsidRPr="006D673B">
              <w:rPr>
                <w:rFonts w:eastAsia="Calibri"/>
                <w:sz w:val="20"/>
                <w:lang w:val="fr-CA"/>
              </w:rPr>
              <w:t>? – L’al. 130(1)</w:t>
            </w:r>
            <w:r w:rsidRPr="006D673B">
              <w:rPr>
                <w:rFonts w:eastAsia="Calibri"/>
                <w:i/>
                <w:sz w:val="20"/>
                <w:lang w:val="fr-CA"/>
              </w:rPr>
              <w:t>a</w:t>
            </w:r>
            <w:r w:rsidRPr="006D673B">
              <w:rPr>
                <w:rFonts w:eastAsia="Calibri"/>
                <w:sz w:val="20"/>
                <w:lang w:val="fr-CA"/>
              </w:rPr>
              <w:t xml:space="preserve">) de la </w:t>
            </w:r>
            <w:r w:rsidRPr="006D673B">
              <w:rPr>
                <w:rFonts w:eastAsia="Calibri"/>
                <w:i/>
                <w:sz w:val="20"/>
                <w:lang w:val="fr-CA"/>
              </w:rPr>
              <w:t>Loi sur la défense nationale</w:t>
            </w:r>
            <w:r w:rsidRPr="006D673B">
              <w:rPr>
                <w:rFonts w:eastAsia="Calibri"/>
                <w:sz w:val="20"/>
                <w:lang w:val="fr-CA"/>
              </w:rPr>
              <w:t xml:space="preserve"> est-il constitutionnel? – </w:t>
            </w:r>
            <w:r w:rsidRPr="006D673B">
              <w:rPr>
                <w:rFonts w:eastAsia="Calibri"/>
                <w:i/>
                <w:sz w:val="20"/>
                <w:lang w:val="fr-CA"/>
              </w:rPr>
              <w:t>Charte canadienne des droits et libertés</w:t>
            </w:r>
            <w:r w:rsidRPr="006D673B">
              <w:rPr>
                <w:rFonts w:eastAsia="Calibri"/>
                <w:sz w:val="20"/>
                <w:lang w:val="fr-CA"/>
              </w:rPr>
              <w:t>, art. 7 et al. 11</w:t>
            </w:r>
            <w:r w:rsidRPr="006D673B">
              <w:rPr>
                <w:rFonts w:eastAsia="Calibri"/>
                <w:i/>
                <w:sz w:val="20"/>
                <w:lang w:val="fr-CA"/>
              </w:rPr>
              <w:t>f</w:t>
            </w:r>
            <w:r w:rsidRPr="006D673B">
              <w:rPr>
                <w:rFonts w:eastAsia="Calibri"/>
                <w:sz w:val="20"/>
                <w:lang w:val="fr-CA"/>
              </w:rPr>
              <w:t xml:space="preserve">) – </w:t>
            </w:r>
            <w:r w:rsidRPr="006D673B">
              <w:rPr>
                <w:rFonts w:eastAsia="Calibri"/>
                <w:i/>
                <w:sz w:val="20"/>
                <w:lang w:val="fr-CA"/>
              </w:rPr>
              <w:t>Loi constitutionnelle de 1982</w:t>
            </w:r>
            <w:r w:rsidRPr="006D673B">
              <w:rPr>
                <w:rFonts w:eastAsia="Calibri"/>
                <w:sz w:val="20"/>
                <w:lang w:val="fr-CA"/>
              </w:rPr>
              <w:t xml:space="preserve">, art. 52 – </w:t>
            </w:r>
            <w:r w:rsidRPr="006D673B">
              <w:rPr>
                <w:rFonts w:eastAsia="Calibri"/>
                <w:i/>
                <w:sz w:val="20"/>
                <w:lang w:val="fr-CA"/>
              </w:rPr>
              <w:t>Loi constitutionnelle de 1867</w:t>
            </w:r>
            <w:r w:rsidRPr="006D673B">
              <w:rPr>
                <w:rFonts w:eastAsia="Calibri"/>
                <w:sz w:val="20"/>
                <w:lang w:val="fr-CA"/>
              </w:rPr>
              <w:t>, par. 91(7).</w:t>
            </w:r>
          </w:p>
        </w:tc>
      </w:tr>
      <w:tr w:rsidR="002B056F" w:rsidRPr="002B68E4" w:rsidTr="002B056F">
        <w:tc>
          <w:tcPr>
            <w:tcW w:w="5000" w:type="pct"/>
            <w:gridSpan w:val="3"/>
          </w:tcPr>
          <w:p w:rsidR="002B056F" w:rsidRPr="006D673B" w:rsidRDefault="002B056F" w:rsidP="002B056F">
            <w:pPr>
              <w:jc w:val="both"/>
              <w:rPr>
                <w:rFonts w:eastAsia="Calibri"/>
                <w:sz w:val="20"/>
                <w:lang w:val="fr-CA"/>
              </w:rPr>
            </w:pPr>
          </w:p>
        </w:tc>
      </w:tr>
      <w:tr w:rsidR="002B056F" w:rsidRPr="002B68E4" w:rsidTr="002B056F">
        <w:tc>
          <w:tcPr>
            <w:tcW w:w="5000" w:type="pct"/>
            <w:gridSpan w:val="3"/>
          </w:tcPr>
          <w:p w:rsidR="002B056F" w:rsidRPr="006D673B" w:rsidRDefault="002B056F" w:rsidP="002B056F">
            <w:pPr>
              <w:jc w:val="both"/>
              <w:rPr>
                <w:rFonts w:eastAsia="Calibri"/>
                <w:sz w:val="20"/>
                <w:lang w:val="fr-CA"/>
              </w:rPr>
            </w:pPr>
            <w:r w:rsidRPr="006D673B">
              <w:rPr>
                <w:rFonts w:eastAsia="Calibri"/>
                <w:sz w:val="20"/>
                <w:lang w:val="fr-CA"/>
              </w:rPr>
              <w:t xml:space="preserve">Le demandeur Moriarity était un officier du Cadre des instructeurs de cadets.  Alors qu’il était en situation de confiance et d’autorité à l’égard des cadets avec lesquels il interagissait, il a eu des relations sexuelles inappropriées avec deux cadets.  Il a été accusé de quatre infractions au </w:t>
            </w:r>
            <w:r w:rsidRPr="006D673B">
              <w:rPr>
                <w:rFonts w:eastAsia="Calibri"/>
                <w:i/>
                <w:sz w:val="20"/>
                <w:lang w:val="fr-CA"/>
              </w:rPr>
              <w:t>Code criminel</w:t>
            </w:r>
            <w:r w:rsidRPr="006D673B">
              <w:rPr>
                <w:rFonts w:eastAsia="Calibri"/>
                <w:sz w:val="20"/>
                <w:lang w:val="fr-CA"/>
              </w:rPr>
              <w:t> : deux infractions d’exploitation sexuelle en violation de l’article 153, une infraction d’agression sexuelle en violation de l’article 271 et une infraction d’incitation à des contacts sexuels en violation de l’article 152.</w:t>
            </w:r>
          </w:p>
          <w:p w:rsidR="002B056F" w:rsidRPr="006D673B" w:rsidRDefault="002B056F" w:rsidP="002B056F">
            <w:pPr>
              <w:jc w:val="both"/>
              <w:rPr>
                <w:rFonts w:eastAsia="Calibri"/>
                <w:sz w:val="20"/>
                <w:lang w:val="fr-CA"/>
              </w:rPr>
            </w:pPr>
          </w:p>
          <w:p w:rsidR="002B056F" w:rsidRPr="006D673B" w:rsidRDefault="002B056F" w:rsidP="002B056F">
            <w:pPr>
              <w:jc w:val="both"/>
              <w:rPr>
                <w:rFonts w:eastAsia="Calibri"/>
                <w:sz w:val="20"/>
                <w:lang w:val="fr-CA"/>
              </w:rPr>
            </w:pPr>
            <w:r w:rsidRPr="006D673B">
              <w:rPr>
                <w:rFonts w:eastAsia="Calibri"/>
                <w:sz w:val="20"/>
                <w:lang w:val="fr-CA"/>
              </w:rPr>
              <w:t xml:space="preserve">Le demandeur Hannah était membre des Forces canadiennes et étudiant à la Base des Forces canadiennes (BFC) Gagetown.  Il a acheté une substance contrôlée et l’a remise à un autre étudiant en ingénierie, et la drogue a été trouvée dans les quartiers à la base où ce dernier logeait.  Il a été accusé de trafic d’une substance mentionnée à l’annexe IV en violation du paragraphe 5(1) de la </w:t>
            </w:r>
            <w:r w:rsidRPr="006D673B">
              <w:rPr>
                <w:rFonts w:eastAsia="Calibri"/>
                <w:i/>
                <w:iCs/>
                <w:sz w:val="20"/>
                <w:lang w:val="fr-CA"/>
              </w:rPr>
              <w:t xml:space="preserve">Loi réglementant certaines drogues et autres substances </w:t>
            </w:r>
            <w:r w:rsidRPr="006D673B">
              <w:rPr>
                <w:rFonts w:eastAsia="Calibri"/>
                <w:sz w:val="20"/>
                <w:lang w:val="fr-CA"/>
              </w:rPr>
              <w:t xml:space="preserve">et de vente illégale d’une substance contenant une drogue mentionnée à l’annexe F, en violation du </w:t>
            </w:r>
            <w:r w:rsidRPr="006D673B">
              <w:rPr>
                <w:rFonts w:eastAsia="Calibri"/>
                <w:i/>
                <w:iCs/>
                <w:sz w:val="20"/>
                <w:lang w:val="fr-CA"/>
              </w:rPr>
              <w:t>Règlement sur les aliments et drogues</w:t>
            </w:r>
            <w:r w:rsidRPr="006D673B">
              <w:rPr>
                <w:rFonts w:eastAsia="Calibri"/>
                <w:sz w:val="20"/>
                <w:lang w:val="fr-CA"/>
              </w:rPr>
              <w:t xml:space="preserve"> et de la </w:t>
            </w:r>
            <w:r w:rsidRPr="006D673B">
              <w:rPr>
                <w:rFonts w:eastAsia="Calibri"/>
                <w:i/>
                <w:iCs/>
                <w:sz w:val="20"/>
                <w:lang w:val="fr-CA"/>
              </w:rPr>
              <w:t>Loi sur les aliments et drogues</w:t>
            </w:r>
            <w:r w:rsidRPr="006D673B">
              <w:rPr>
                <w:rFonts w:eastAsia="Calibri"/>
                <w:sz w:val="20"/>
                <w:lang w:val="fr-CA"/>
              </w:rPr>
              <w:t>.</w:t>
            </w:r>
          </w:p>
          <w:p w:rsidR="002B056F" w:rsidRPr="006D673B" w:rsidRDefault="002B056F" w:rsidP="002B056F">
            <w:pPr>
              <w:jc w:val="both"/>
              <w:rPr>
                <w:rFonts w:eastAsia="Calibri"/>
                <w:sz w:val="20"/>
                <w:lang w:val="fr-CA"/>
              </w:rPr>
            </w:pPr>
          </w:p>
          <w:p w:rsidR="002B056F" w:rsidRPr="006D673B" w:rsidRDefault="002B056F" w:rsidP="002B056F">
            <w:pPr>
              <w:jc w:val="both"/>
              <w:rPr>
                <w:rFonts w:eastAsia="Calibri"/>
                <w:sz w:val="20"/>
                <w:lang w:val="fr-CA"/>
              </w:rPr>
            </w:pPr>
            <w:r w:rsidRPr="006D673B">
              <w:rPr>
                <w:rFonts w:eastAsia="Calibri"/>
                <w:sz w:val="20"/>
                <w:lang w:val="fr-CA"/>
              </w:rPr>
              <w:t>Les demandeurs ont fait des confessions et des aveux, mais ils ont contesté la constitutionnalité de l’al. 130(1)</w:t>
            </w:r>
            <w:r w:rsidRPr="006D673B">
              <w:rPr>
                <w:rFonts w:eastAsia="Calibri"/>
                <w:i/>
                <w:sz w:val="20"/>
                <w:lang w:val="fr-CA"/>
              </w:rPr>
              <w:t>a</w:t>
            </w:r>
            <w:r w:rsidRPr="006D673B">
              <w:rPr>
                <w:rFonts w:eastAsia="Calibri"/>
                <w:sz w:val="20"/>
                <w:lang w:val="fr-CA"/>
              </w:rPr>
              <w:t xml:space="preserve">) de la </w:t>
            </w:r>
            <w:r w:rsidRPr="006D673B">
              <w:rPr>
                <w:rFonts w:eastAsia="Calibri"/>
                <w:i/>
                <w:sz w:val="20"/>
                <w:lang w:val="fr-CA"/>
              </w:rPr>
              <w:t>Loi sur la défense nationale</w:t>
            </w:r>
            <w:r w:rsidRPr="006D673B">
              <w:rPr>
                <w:rFonts w:eastAsia="Calibri"/>
                <w:sz w:val="20"/>
                <w:lang w:val="fr-CA"/>
              </w:rPr>
              <w:t>.</w:t>
            </w:r>
          </w:p>
          <w:p w:rsidR="002B056F" w:rsidRPr="006D673B" w:rsidRDefault="002B056F" w:rsidP="002B056F">
            <w:pPr>
              <w:jc w:val="both"/>
              <w:rPr>
                <w:rFonts w:eastAsia="Calibri"/>
                <w:sz w:val="20"/>
                <w:lang w:val="fr-CA"/>
              </w:rPr>
            </w:pPr>
          </w:p>
        </w:tc>
      </w:tr>
      <w:tr w:rsidR="002B056F" w:rsidRPr="002B68E4" w:rsidTr="002B056F">
        <w:tc>
          <w:tcPr>
            <w:tcW w:w="2427" w:type="pct"/>
          </w:tcPr>
          <w:p w:rsidR="002B056F" w:rsidRPr="006D673B" w:rsidRDefault="002B056F" w:rsidP="002B056F">
            <w:pPr>
              <w:jc w:val="both"/>
              <w:rPr>
                <w:rFonts w:eastAsia="Calibri"/>
                <w:sz w:val="20"/>
                <w:lang w:val="fr-CA"/>
              </w:rPr>
            </w:pPr>
            <w:r w:rsidRPr="006D673B">
              <w:rPr>
                <w:rFonts w:eastAsia="Calibri"/>
                <w:sz w:val="20"/>
                <w:lang w:val="fr-CA"/>
              </w:rPr>
              <w:t>18 octobre 2012</w:t>
            </w:r>
          </w:p>
          <w:p w:rsidR="002B056F" w:rsidRPr="006D673B" w:rsidRDefault="002B056F" w:rsidP="002B056F">
            <w:pPr>
              <w:jc w:val="both"/>
              <w:rPr>
                <w:rFonts w:eastAsia="Calibri"/>
                <w:i/>
                <w:sz w:val="20"/>
                <w:lang w:val="fr-CA"/>
              </w:rPr>
            </w:pPr>
            <w:r w:rsidRPr="006D673B">
              <w:rPr>
                <w:rFonts w:eastAsia="Calibri"/>
                <w:i/>
                <w:sz w:val="20"/>
                <w:lang w:val="fr-CA"/>
              </w:rPr>
              <w:t>R. c. Moriarity</w:t>
            </w:r>
          </w:p>
          <w:p w:rsidR="002B056F" w:rsidRPr="006D673B" w:rsidRDefault="002B056F" w:rsidP="002B056F">
            <w:pPr>
              <w:jc w:val="both"/>
              <w:rPr>
                <w:rFonts w:eastAsia="Calibri"/>
                <w:sz w:val="20"/>
                <w:lang w:val="fr-CA"/>
              </w:rPr>
            </w:pPr>
            <w:r w:rsidRPr="006D673B">
              <w:rPr>
                <w:rFonts w:eastAsia="Calibri"/>
                <w:sz w:val="20"/>
                <w:lang w:val="fr-CA"/>
              </w:rPr>
              <w:t>Cour martiale permanente</w:t>
            </w:r>
          </w:p>
          <w:p w:rsidR="002B056F" w:rsidRPr="006D673B" w:rsidRDefault="002B056F" w:rsidP="002B056F">
            <w:pPr>
              <w:jc w:val="both"/>
              <w:rPr>
                <w:rFonts w:eastAsia="Calibri"/>
                <w:sz w:val="20"/>
                <w:lang w:val="fr-CA"/>
              </w:rPr>
            </w:pPr>
            <w:r w:rsidRPr="006D673B">
              <w:rPr>
                <w:rFonts w:eastAsia="Calibri"/>
                <w:sz w:val="20"/>
                <w:lang w:val="fr-CA"/>
              </w:rPr>
              <w:t>(Juge militaire d'Auteuil)</w:t>
            </w:r>
          </w:p>
          <w:p w:rsidR="002B056F" w:rsidRPr="006D673B" w:rsidRDefault="002B68E4" w:rsidP="002B056F">
            <w:pPr>
              <w:jc w:val="both"/>
              <w:rPr>
                <w:rFonts w:eastAsia="Calibri"/>
                <w:sz w:val="20"/>
                <w:lang w:val="fr-CA"/>
              </w:rPr>
            </w:pPr>
            <w:hyperlink r:id="rId28" w:history="1">
              <w:r w:rsidR="002B056F" w:rsidRPr="006D673B">
                <w:rPr>
                  <w:rFonts w:eastAsia="Calibri"/>
                  <w:color w:val="0000FF"/>
                  <w:sz w:val="20"/>
                  <w:u w:val="single"/>
                  <w:lang w:val="fr-CA"/>
                </w:rPr>
                <w:t>2012 CM 3017</w:t>
              </w:r>
            </w:hyperlink>
          </w:p>
          <w:p w:rsidR="002B056F" w:rsidRPr="006D673B" w:rsidRDefault="002B056F" w:rsidP="002B056F">
            <w:pPr>
              <w:jc w:val="both"/>
              <w:rPr>
                <w:rFonts w:eastAsia="Calibri"/>
                <w:sz w:val="20"/>
                <w:lang w:val="fr-CA"/>
              </w:rPr>
            </w:pPr>
          </w:p>
        </w:tc>
        <w:tc>
          <w:tcPr>
            <w:tcW w:w="243" w:type="pct"/>
          </w:tcPr>
          <w:p w:rsidR="002B056F" w:rsidRPr="006D673B" w:rsidRDefault="002B056F" w:rsidP="002B056F">
            <w:pPr>
              <w:jc w:val="both"/>
              <w:rPr>
                <w:rFonts w:eastAsia="Calibri"/>
                <w:sz w:val="20"/>
                <w:lang w:val="fr-CA"/>
              </w:rPr>
            </w:pPr>
          </w:p>
        </w:tc>
        <w:tc>
          <w:tcPr>
            <w:tcW w:w="2330" w:type="pct"/>
          </w:tcPr>
          <w:p w:rsidR="002B056F" w:rsidRPr="006D673B" w:rsidRDefault="002B056F" w:rsidP="002B056F">
            <w:pPr>
              <w:jc w:val="both"/>
              <w:rPr>
                <w:rFonts w:eastAsia="Calibri"/>
                <w:sz w:val="20"/>
                <w:lang w:val="fr-CA"/>
              </w:rPr>
            </w:pPr>
            <w:r w:rsidRPr="006D673B">
              <w:rPr>
                <w:rFonts w:eastAsia="Calibri"/>
                <w:sz w:val="20"/>
                <w:lang w:val="fr-CA"/>
              </w:rPr>
              <w:t>Demande en vue d’obtenir une ordonnance déclarant l’al. 130(1)</w:t>
            </w:r>
            <w:r w:rsidRPr="006D673B">
              <w:rPr>
                <w:rFonts w:eastAsia="Calibri"/>
                <w:i/>
                <w:sz w:val="20"/>
                <w:lang w:val="fr-CA"/>
              </w:rPr>
              <w:t>a</w:t>
            </w:r>
            <w:r w:rsidRPr="006D673B">
              <w:rPr>
                <w:rFonts w:eastAsia="Calibri"/>
                <w:sz w:val="20"/>
                <w:lang w:val="fr-CA"/>
              </w:rPr>
              <w:t xml:space="preserve">) de la </w:t>
            </w:r>
            <w:r w:rsidRPr="006D673B">
              <w:rPr>
                <w:rFonts w:eastAsia="Calibri"/>
                <w:i/>
                <w:sz w:val="20"/>
                <w:lang w:val="fr-CA"/>
              </w:rPr>
              <w:t>Loi sur la défense nationale</w:t>
            </w:r>
            <w:r w:rsidRPr="006D673B">
              <w:rPr>
                <w:rFonts w:eastAsia="Calibri"/>
                <w:sz w:val="20"/>
                <w:lang w:val="fr-CA"/>
              </w:rPr>
              <w:t xml:space="preserve"> inopérant conformément à l’art. 52 de la </w:t>
            </w:r>
            <w:r w:rsidRPr="006D673B">
              <w:rPr>
                <w:rFonts w:eastAsia="Calibri"/>
                <w:i/>
                <w:sz w:val="20"/>
                <w:lang w:val="fr-CA"/>
              </w:rPr>
              <w:t>Loi constitutionnelle de 1982</w:t>
            </w:r>
            <w:r w:rsidRPr="006D673B">
              <w:rPr>
                <w:rFonts w:eastAsia="Calibri"/>
                <w:sz w:val="20"/>
                <w:lang w:val="fr-CA"/>
              </w:rPr>
              <w:t xml:space="preserve">, rejetée.  Demandeur déclaré coupable de quatre infractions punissables en vertu de l’art. 130 de la </w:t>
            </w:r>
            <w:r w:rsidRPr="006D673B">
              <w:rPr>
                <w:rFonts w:eastAsia="Calibri"/>
                <w:i/>
                <w:sz w:val="20"/>
                <w:lang w:val="fr-CA"/>
              </w:rPr>
              <w:t>Loi sur la défense nationale</w:t>
            </w:r>
            <w:r w:rsidRPr="006D673B">
              <w:rPr>
                <w:rFonts w:eastAsia="Calibri"/>
                <w:sz w:val="20"/>
                <w:lang w:val="fr-CA"/>
              </w:rPr>
              <w:t>.</w:t>
            </w:r>
          </w:p>
          <w:p w:rsidR="002B056F" w:rsidRPr="006D673B" w:rsidRDefault="002B056F" w:rsidP="002B056F">
            <w:pPr>
              <w:jc w:val="both"/>
              <w:rPr>
                <w:rFonts w:eastAsia="Calibri"/>
                <w:sz w:val="20"/>
                <w:lang w:val="fr-CA"/>
              </w:rPr>
            </w:pPr>
          </w:p>
        </w:tc>
      </w:tr>
      <w:tr w:rsidR="002B056F" w:rsidRPr="002B68E4" w:rsidTr="002B056F">
        <w:tc>
          <w:tcPr>
            <w:tcW w:w="2427" w:type="pct"/>
          </w:tcPr>
          <w:p w:rsidR="002B056F" w:rsidRPr="006D673B" w:rsidRDefault="002B056F" w:rsidP="002B056F">
            <w:pPr>
              <w:jc w:val="both"/>
              <w:rPr>
                <w:rFonts w:eastAsia="Calibri"/>
                <w:sz w:val="20"/>
                <w:lang w:val="fr-CA"/>
              </w:rPr>
            </w:pPr>
            <w:r w:rsidRPr="006D673B">
              <w:rPr>
                <w:rFonts w:eastAsia="Calibri"/>
                <w:sz w:val="20"/>
                <w:lang w:val="fr-CA"/>
              </w:rPr>
              <w:t>15 mai 2013</w:t>
            </w:r>
          </w:p>
          <w:p w:rsidR="002B056F" w:rsidRPr="006D673B" w:rsidRDefault="002B056F" w:rsidP="002B056F">
            <w:pPr>
              <w:jc w:val="both"/>
              <w:rPr>
                <w:rFonts w:eastAsia="Calibri"/>
                <w:i/>
                <w:sz w:val="20"/>
                <w:lang w:val="fr-CA"/>
              </w:rPr>
            </w:pPr>
            <w:r w:rsidRPr="006D673B">
              <w:rPr>
                <w:rFonts w:eastAsia="Calibri"/>
                <w:i/>
                <w:sz w:val="20"/>
                <w:lang w:val="fr-CA"/>
              </w:rPr>
              <w:t>R. c. Hannah</w:t>
            </w:r>
          </w:p>
          <w:p w:rsidR="002B056F" w:rsidRPr="006D673B" w:rsidRDefault="002B056F" w:rsidP="002B056F">
            <w:pPr>
              <w:jc w:val="both"/>
              <w:rPr>
                <w:rFonts w:eastAsia="Calibri"/>
                <w:sz w:val="20"/>
                <w:lang w:val="fr-CA"/>
              </w:rPr>
            </w:pPr>
            <w:r w:rsidRPr="006D673B">
              <w:rPr>
                <w:rFonts w:eastAsia="Calibri"/>
                <w:sz w:val="20"/>
                <w:lang w:val="fr-CA"/>
              </w:rPr>
              <w:t>Cour martiale permanente</w:t>
            </w:r>
          </w:p>
          <w:p w:rsidR="002B056F" w:rsidRPr="006D673B" w:rsidRDefault="002B056F" w:rsidP="002B056F">
            <w:pPr>
              <w:jc w:val="both"/>
              <w:rPr>
                <w:rFonts w:eastAsia="Calibri"/>
                <w:sz w:val="20"/>
                <w:lang w:val="fr-CA"/>
              </w:rPr>
            </w:pPr>
            <w:r w:rsidRPr="006D673B">
              <w:rPr>
                <w:rFonts w:eastAsia="Calibri"/>
                <w:sz w:val="20"/>
                <w:lang w:val="fr-CA"/>
              </w:rPr>
              <w:t>(Juge militaire Lamont)</w:t>
            </w:r>
          </w:p>
          <w:p w:rsidR="002B056F" w:rsidRPr="006D673B" w:rsidRDefault="002B68E4" w:rsidP="002B056F">
            <w:pPr>
              <w:jc w:val="both"/>
              <w:rPr>
                <w:rFonts w:eastAsia="Calibri"/>
                <w:sz w:val="20"/>
                <w:lang w:val="fr-CA"/>
              </w:rPr>
            </w:pPr>
            <w:hyperlink r:id="rId29" w:history="1">
              <w:r w:rsidR="002B056F" w:rsidRPr="006D673B">
                <w:rPr>
                  <w:rFonts w:eastAsia="Calibri"/>
                  <w:color w:val="0000FF"/>
                  <w:sz w:val="20"/>
                  <w:u w:val="single"/>
                  <w:lang w:val="fr-CA"/>
                </w:rPr>
                <w:t>2013 CM 2011</w:t>
              </w:r>
            </w:hyperlink>
          </w:p>
          <w:p w:rsidR="002B056F" w:rsidRPr="006D673B" w:rsidRDefault="002B056F" w:rsidP="002B056F">
            <w:pPr>
              <w:jc w:val="both"/>
              <w:rPr>
                <w:rFonts w:eastAsia="Calibri"/>
                <w:sz w:val="20"/>
                <w:lang w:val="fr-CA"/>
              </w:rPr>
            </w:pPr>
          </w:p>
        </w:tc>
        <w:tc>
          <w:tcPr>
            <w:tcW w:w="243" w:type="pct"/>
          </w:tcPr>
          <w:p w:rsidR="002B056F" w:rsidRPr="006D673B" w:rsidRDefault="002B056F" w:rsidP="002B056F">
            <w:pPr>
              <w:jc w:val="both"/>
              <w:rPr>
                <w:rFonts w:eastAsia="Calibri"/>
                <w:sz w:val="20"/>
                <w:lang w:val="fr-CA"/>
              </w:rPr>
            </w:pPr>
          </w:p>
        </w:tc>
        <w:tc>
          <w:tcPr>
            <w:tcW w:w="2330" w:type="pct"/>
          </w:tcPr>
          <w:p w:rsidR="002B056F" w:rsidRPr="006D673B" w:rsidRDefault="002B056F" w:rsidP="002B056F">
            <w:pPr>
              <w:jc w:val="both"/>
              <w:rPr>
                <w:rFonts w:eastAsia="Calibri"/>
                <w:sz w:val="20"/>
                <w:lang w:val="fr-CA"/>
              </w:rPr>
            </w:pPr>
            <w:r w:rsidRPr="006D673B">
              <w:rPr>
                <w:rFonts w:eastAsia="Calibri"/>
                <w:sz w:val="20"/>
                <w:lang w:val="fr-CA"/>
              </w:rPr>
              <w:t>Demande en vue d’obtenir une ordonnance déclarant l’al. 130(1)</w:t>
            </w:r>
            <w:r w:rsidRPr="006D673B">
              <w:rPr>
                <w:rFonts w:eastAsia="Calibri"/>
                <w:i/>
                <w:sz w:val="20"/>
                <w:lang w:val="fr-CA"/>
              </w:rPr>
              <w:t>a</w:t>
            </w:r>
            <w:r w:rsidRPr="006D673B">
              <w:rPr>
                <w:rFonts w:eastAsia="Calibri"/>
                <w:sz w:val="20"/>
                <w:lang w:val="fr-CA"/>
              </w:rPr>
              <w:t xml:space="preserve">) de la </w:t>
            </w:r>
            <w:r w:rsidRPr="006D673B">
              <w:rPr>
                <w:rFonts w:eastAsia="Calibri"/>
                <w:i/>
                <w:sz w:val="20"/>
                <w:lang w:val="fr-CA"/>
              </w:rPr>
              <w:t>Loi sur la défense nationale</w:t>
            </w:r>
            <w:r w:rsidRPr="006D673B">
              <w:rPr>
                <w:rFonts w:eastAsia="Calibri"/>
                <w:sz w:val="20"/>
                <w:lang w:val="fr-CA"/>
              </w:rPr>
              <w:t xml:space="preserve"> inopérant conformément à l’art. 52 de la </w:t>
            </w:r>
            <w:r w:rsidRPr="006D673B">
              <w:rPr>
                <w:rFonts w:eastAsia="Calibri"/>
                <w:i/>
                <w:sz w:val="20"/>
                <w:lang w:val="fr-CA"/>
              </w:rPr>
              <w:t>Loi constitutionnelle de 1982</w:t>
            </w:r>
            <w:r w:rsidRPr="006D673B">
              <w:rPr>
                <w:rFonts w:eastAsia="Calibri"/>
                <w:sz w:val="20"/>
                <w:lang w:val="fr-CA"/>
              </w:rPr>
              <w:t xml:space="preserve">, rejetée.  Demandeur déclaré coupable de deux infractions punissables en vertu de l’art. 130 de la </w:t>
            </w:r>
            <w:r w:rsidRPr="006D673B">
              <w:rPr>
                <w:rFonts w:eastAsia="Calibri"/>
                <w:i/>
                <w:sz w:val="20"/>
                <w:lang w:val="fr-CA"/>
              </w:rPr>
              <w:t>Loi sur la défense nationale</w:t>
            </w:r>
            <w:r w:rsidRPr="006D673B">
              <w:rPr>
                <w:rFonts w:eastAsia="Calibri"/>
                <w:sz w:val="20"/>
                <w:lang w:val="fr-CA"/>
              </w:rPr>
              <w:t>.</w:t>
            </w:r>
          </w:p>
          <w:p w:rsidR="002B056F" w:rsidRPr="006D673B" w:rsidRDefault="002B056F" w:rsidP="002B056F">
            <w:pPr>
              <w:jc w:val="both"/>
              <w:rPr>
                <w:rFonts w:eastAsia="Calibri"/>
                <w:sz w:val="20"/>
                <w:lang w:val="fr-CA"/>
              </w:rPr>
            </w:pPr>
          </w:p>
        </w:tc>
      </w:tr>
      <w:tr w:rsidR="002B056F" w:rsidRPr="006D673B" w:rsidTr="00DB0C97">
        <w:trPr>
          <w:cantSplit/>
        </w:trPr>
        <w:tc>
          <w:tcPr>
            <w:tcW w:w="2427" w:type="pct"/>
          </w:tcPr>
          <w:p w:rsidR="002B056F" w:rsidRPr="006D673B" w:rsidRDefault="002B056F" w:rsidP="002B056F">
            <w:pPr>
              <w:jc w:val="both"/>
              <w:rPr>
                <w:rFonts w:eastAsia="Calibri"/>
                <w:sz w:val="20"/>
                <w:lang w:val="fr-CA"/>
              </w:rPr>
            </w:pPr>
            <w:r w:rsidRPr="006D673B">
              <w:rPr>
                <w:rFonts w:eastAsia="Calibri"/>
                <w:sz w:val="20"/>
                <w:lang w:val="fr-CA"/>
              </w:rPr>
              <w:lastRenderedPageBreak/>
              <w:t>20 janvier 2014</w:t>
            </w:r>
          </w:p>
          <w:p w:rsidR="002B056F" w:rsidRPr="006D673B" w:rsidRDefault="002B056F" w:rsidP="002B056F">
            <w:pPr>
              <w:jc w:val="both"/>
              <w:rPr>
                <w:rFonts w:eastAsia="Calibri"/>
                <w:sz w:val="20"/>
                <w:lang w:val="fr-CA"/>
              </w:rPr>
            </w:pPr>
            <w:r w:rsidRPr="006D673B">
              <w:rPr>
                <w:rFonts w:eastAsia="Calibri"/>
                <w:sz w:val="20"/>
                <w:lang w:val="fr-CA"/>
              </w:rPr>
              <w:t>Cour d’appel de la cour martiale du Canada</w:t>
            </w:r>
          </w:p>
          <w:p w:rsidR="002B056F" w:rsidRPr="006D673B" w:rsidRDefault="002B056F" w:rsidP="002B056F">
            <w:pPr>
              <w:jc w:val="both"/>
              <w:rPr>
                <w:rFonts w:eastAsia="Calibri"/>
                <w:sz w:val="20"/>
                <w:lang w:val="fr-CA"/>
              </w:rPr>
            </w:pPr>
            <w:r w:rsidRPr="006D673B">
              <w:rPr>
                <w:rFonts w:eastAsia="Calibri"/>
                <w:sz w:val="20"/>
                <w:lang w:val="fr-CA"/>
              </w:rPr>
              <w:t>(Juge en chef Blanchard, juges Weiler et Dawson)</w:t>
            </w:r>
          </w:p>
          <w:p w:rsidR="002B056F" w:rsidRPr="006D673B" w:rsidRDefault="002B68E4" w:rsidP="002B056F">
            <w:pPr>
              <w:jc w:val="both"/>
              <w:rPr>
                <w:rFonts w:eastAsia="Calibri"/>
                <w:sz w:val="20"/>
                <w:lang w:val="fr-CA"/>
              </w:rPr>
            </w:pPr>
            <w:hyperlink r:id="rId30" w:history="1">
              <w:r w:rsidR="002B056F" w:rsidRPr="006D673B">
                <w:rPr>
                  <w:rFonts w:eastAsia="Calibri"/>
                  <w:color w:val="0000FF"/>
                  <w:sz w:val="20"/>
                  <w:u w:val="single"/>
                  <w:lang w:val="fr-CA"/>
                </w:rPr>
                <w:t>2014 CMAC 1</w:t>
              </w:r>
            </w:hyperlink>
          </w:p>
          <w:p w:rsidR="002B056F" w:rsidRPr="006D673B" w:rsidRDefault="002B056F" w:rsidP="002B056F">
            <w:pPr>
              <w:jc w:val="both"/>
              <w:rPr>
                <w:rFonts w:eastAsia="Calibri"/>
                <w:sz w:val="20"/>
                <w:lang w:val="fr-CA"/>
              </w:rPr>
            </w:pPr>
          </w:p>
        </w:tc>
        <w:tc>
          <w:tcPr>
            <w:tcW w:w="243" w:type="pct"/>
          </w:tcPr>
          <w:p w:rsidR="002B056F" w:rsidRPr="006D673B" w:rsidRDefault="002B056F" w:rsidP="002B056F">
            <w:pPr>
              <w:jc w:val="both"/>
              <w:rPr>
                <w:rFonts w:eastAsia="Calibri"/>
                <w:sz w:val="20"/>
                <w:lang w:val="fr-CA"/>
              </w:rPr>
            </w:pPr>
          </w:p>
        </w:tc>
        <w:tc>
          <w:tcPr>
            <w:tcW w:w="2330" w:type="pct"/>
          </w:tcPr>
          <w:p w:rsidR="002B056F" w:rsidRPr="006D673B" w:rsidRDefault="002B056F" w:rsidP="002B056F">
            <w:pPr>
              <w:jc w:val="both"/>
              <w:rPr>
                <w:rFonts w:eastAsia="Calibri"/>
                <w:sz w:val="20"/>
                <w:lang w:val="fr-CA"/>
              </w:rPr>
            </w:pPr>
            <w:r w:rsidRPr="006D673B">
              <w:rPr>
                <w:rFonts w:eastAsia="Calibri"/>
                <w:sz w:val="20"/>
                <w:lang w:val="fr-CA"/>
              </w:rPr>
              <w:t>Appel rejeté.</w:t>
            </w:r>
          </w:p>
          <w:p w:rsidR="002B056F" w:rsidRPr="006D673B" w:rsidRDefault="002B056F" w:rsidP="002B056F">
            <w:pPr>
              <w:jc w:val="both"/>
              <w:rPr>
                <w:rFonts w:eastAsia="Calibri"/>
                <w:sz w:val="20"/>
                <w:lang w:val="fr-CA"/>
              </w:rPr>
            </w:pPr>
          </w:p>
        </w:tc>
      </w:tr>
      <w:tr w:rsidR="002B056F" w:rsidRPr="006D673B" w:rsidTr="00DB0C97">
        <w:trPr>
          <w:cantSplit/>
        </w:trPr>
        <w:tc>
          <w:tcPr>
            <w:tcW w:w="2427" w:type="pct"/>
          </w:tcPr>
          <w:p w:rsidR="002B056F" w:rsidRPr="006D673B" w:rsidRDefault="002B056F" w:rsidP="002B056F">
            <w:pPr>
              <w:jc w:val="both"/>
              <w:rPr>
                <w:rFonts w:eastAsia="Calibri"/>
                <w:sz w:val="20"/>
                <w:lang w:val="fr-CA"/>
              </w:rPr>
            </w:pPr>
            <w:r w:rsidRPr="006D673B">
              <w:rPr>
                <w:rFonts w:eastAsia="Calibri"/>
                <w:sz w:val="20"/>
                <w:lang w:val="fr-CA"/>
              </w:rPr>
              <w:t>6 mars 2014</w:t>
            </w:r>
          </w:p>
          <w:p w:rsidR="002B056F" w:rsidRPr="006D673B" w:rsidRDefault="002B056F" w:rsidP="002B056F">
            <w:pPr>
              <w:jc w:val="both"/>
              <w:rPr>
                <w:rFonts w:eastAsia="Calibri"/>
                <w:sz w:val="20"/>
                <w:lang w:val="fr-CA"/>
              </w:rPr>
            </w:pPr>
            <w:r w:rsidRPr="006D673B">
              <w:rPr>
                <w:rFonts w:eastAsia="Calibri"/>
                <w:sz w:val="20"/>
                <w:lang w:val="fr-CA"/>
              </w:rPr>
              <w:t>Cour suprême du Canada</w:t>
            </w:r>
          </w:p>
        </w:tc>
        <w:tc>
          <w:tcPr>
            <w:tcW w:w="243" w:type="pct"/>
          </w:tcPr>
          <w:p w:rsidR="002B056F" w:rsidRPr="006D673B" w:rsidRDefault="002B056F" w:rsidP="002B056F">
            <w:pPr>
              <w:jc w:val="both"/>
              <w:rPr>
                <w:rFonts w:eastAsia="Calibri"/>
                <w:sz w:val="20"/>
                <w:lang w:val="fr-CA"/>
              </w:rPr>
            </w:pPr>
          </w:p>
        </w:tc>
        <w:tc>
          <w:tcPr>
            <w:tcW w:w="2330" w:type="pct"/>
          </w:tcPr>
          <w:p w:rsidR="002B056F" w:rsidRPr="006D673B" w:rsidRDefault="002B056F" w:rsidP="002B056F">
            <w:pPr>
              <w:jc w:val="both"/>
              <w:rPr>
                <w:rFonts w:eastAsia="Calibri"/>
                <w:sz w:val="20"/>
                <w:lang w:val="fr-CA"/>
              </w:rPr>
            </w:pPr>
            <w:r w:rsidRPr="006D673B">
              <w:rPr>
                <w:rFonts w:eastAsia="Calibri"/>
                <w:sz w:val="20"/>
                <w:lang w:val="fr-CA"/>
              </w:rPr>
              <w:t>Demande d’autorisation d’appel, déposée.</w:t>
            </w:r>
          </w:p>
        </w:tc>
      </w:tr>
    </w:tbl>
    <w:p w:rsidR="007426C2" w:rsidRDefault="007426C2" w:rsidP="000E2959">
      <w:pPr>
        <w:rPr>
          <w:sz w:val="20"/>
          <w:szCs w:val="20"/>
        </w:rPr>
      </w:pPr>
    </w:p>
    <w:p w:rsidR="007426C2" w:rsidRDefault="002B68E4" w:rsidP="007426C2">
      <w:pPr>
        <w:rPr>
          <w:sz w:val="20"/>
          <w:szCs w:val="20"/>
        </w:rPr>
      </w:pPr>
      <w:r>
        <w:rPr>
          <w:sz w:val="20"/>
          <w:szCs w:val="20"/>
          <w:lang w:val="fr-CA"/>
        </w:rPr>
        <w:pict>
          <v:rect id="_x0000_i1034" style="width:2in;height:1pt" o:hrpct="0" o:hralign="center" o:hrstd="t" o:hrnoshade="t" o:hr="t" fillcolor="black [3213]" stroked="f"/>
        </w:pict>
      </w:r>
    </w:p>
    <w:p w:rsidR="007426C2" w:rsidRDefault="007426C2" w:rsidP="007426C2">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B7C60" w:rsidRPr="00EB7C60" w:rsidTr="00247575">
        <w:trPr>
          <w:cantSplit/>
        </w:trPr>
        <w:tc>
          <w:tcPr>
            <w:tcW w:w="1458" w:type="dxa"/>
          </w:tcPr>
          <w:p w:rsidR="00EB7C60" w:rsidRPr="00EB7C60" w:rsidRDefault="00EB7C60" w:rsidP="00EB7C60">
            <w:pPr>
              <w:rPr>
                <w:sz w:val="20"/>
              </w:rPr>
            </w:pPr>
            <w:r w:rsidRPr="00EB7C60">
              <w:rPr>
                <w:b/>
                <w:sz w:val="20"/>
                <w:lang w:val="fr-CA"/>
              </w:rPr>
              <w:t>35799</w:t>
            </w:r>
          </w:p>
          <w:p w:rsidR="00EB7C60" w:rsidRPr="00EB7C60" w:rsidRDefault="00EB7C60" w:rsidP="00EB7C60">
            <w:pPr>
              <w:rPr>
                <w:b/>
                <w:sz w:val="20"/>
                <w:lang w:val="fr-CA"/>
              </w:rPr>
            </w:pPr>
          </w:p>
        </w:tc>
        <w:tc>
          <w:tcPr>
            <w:tcW w:w="8118" w:type="dxa"/>
          </w:tcPr>
          <w:p w:rsidR="00EB7C60" w:rsidRPr="00EB7C60" w:rsidRDefault="00EB7C60" w:rsidP="00EB7C60">
            <w:pPr>
              <w:rPr>
                <w:sz w:val="20"/>
              </w:rPr>
            </w:pPr>
            <w:r w:rsidRPr="00EB7C60">
              <w:rPr>
                <w:b/>
                <w:sz w:val="20"/>
                <w:u w:val="single"/>
              </w:rPr>
              <w:t>Toronto Real Estate Board v. Commissioner of Competition</w:t>
            </w:r>
            <w:r w:rsidRPr="00EB7C60">
              <w:rPr>
                <w:sz w:val="20"/>
              </w:rPr>
              <w:t xml:space="preserve"> (F.C.) (Civil) (By Leave)</w:t>
            </w:r>
          </w:p>
          <w:p w:rsidR="00EB7C60" w:rsidRPr="00EB7C60" w:rsidRDefault="00EB7C60" w:rsidP="00EB7C60">
            <w:pPr>
              <w:rPr>
                <w:sz w:val="20"/>
              </w:rPr>
            </w:pPr>
          </w:p>
        </w:tc>
      </w:tr>
      <w:tr w:rsidR="00EB7C60" w:rsidRPr="00EB7C60" w:rsidTr="00247575">
        <w:trPr>
          <w:cantSplit/>
        </w:trPr>
        <w:tc>
          <w:tcPr>
            <w:tcW w:w="1458" w:type="dxa"/>
          </w:tcPr>
          <w:p w:rsidR="00EB7C60" w:rsidRPr="00EB7C60" w:rsidRDefault="00EB7C60" w:rsidP="00EB7C60">
            <w:pPr>
              <w:rPr>
                <w:sz w:val="20"/>
              </w:rPr>
            </w:pPr>
            <w:r w:rsidRPr="00EB7C60">
              <w:rPr>
                <w:sz w:val="20"/>
              </w:rPr>
              <w:t>Coram :</w:t>
            </w:r>
          </w:p>
        </w:tc>
        <w:tc>
          <w:tcPr>
            <w:tcW w:w="8118" w:type="dxa"/>
          </w:tcPr>
          <w:p w:rsidR="00EB7C60" w:rsidRPr="00EB7C60" w:rsidRDefault="00EB7C60" w:rsidP="00EB7C60">
            <w:pPr>
              <w:rPr>
                <w:sz w:val="20"/>
              </w:rPr>
            </w:pPr>
            <w:r w:rsidRPr="00EB7C60">
              <w:rPr>
                <w:sz w:val="20"/>
                <w:u w:val="single"/>
              </w:rPr>
              <w:t>McLachlin C.J. and Cromwell and Wagner JJ.</w:t>
            </w:r>
          </w:p>
          <w:p w:rsidR="00EB7C60" w:rsidRPr="00EB7C60" w:rsidRDefault="00EB7C60" w:rsidP="00EB7C60">
            <w:pPr>
              <w:rPr>
                <w:sz w:val="20"/>
                <w:u w:val="single"/>
              </w:rPr>
            </w:pPr>
          </w:p>
        </w:tc>
      </w:tr>
      <w:tr w:rsidR="00EB7C60" w:rsidRPr="002B68E4" w:rsidTr="00247575">
        <w:trPr>
          <w:cantSplit/>
        </w:trPr>
        <w:tc>
          <w:tcPr>
            <w:tcW w:w="9576" w:type="dxa"/>
            <w:gridSpan w:val="2"/>
          </w:tcPr>
          <w:p w:rsidR="00EB7C60" w:rsidRPr="00EB7C60" w:rsidRDefault="00EB7C60" w:rsidP="00EB7C60">
            <w:pPr>
              <w:ind w:firstLine="720"/>
              <w:jc w:val="both"/>
              <w:rPr>
                <w:sz w:val="20"/>
              </w:rPr>
            </w:pPr>
            <w:r w:rsidRPr="00EB7C60">
              <w:rPr>
                <w:sz w:val="20"/>
              </w:rPr>
              <w:t>The application for leave to appeal from the judgment of the Federal Court of Appeal, Number A-174-13, 2014 FCA 29, dated February 3, 2014, is dismissed with costs.</w:t>
            </w:r>
          </w:p>
          <w:p w:rsidR="00EB7C60" w:rsidRPr="00EB7C60" w:rsidRDefault="00EB7C60" w:rsidP="00EB7C60">
            <w:pPr>
              <w:jc w:val="both"/>
              <w:rPr>
                <w:sz w:val="20"/>
              </w:rPr>
            </w:pPr>
          </w:p>
          <w:p w:rsidR="00EB7C60" w:rsidRPr="00EB7C60" w:rsidRDefault="00EB7C60" w:rsidP="00EB7C60">
            <w:pPr>
              <w:ind w:firstLine="720"/>
              <w:jc w:val="both"/>
              <w:rPr>
                <w:sz w:val="20"/>
                <w:lang w:val="fr-CA"/>
              </w:rPr>
            </w:pPr>
            <w:r w:rsidRPr="00EB7C60">
              <w:rPr>
                <w:sz w:val="20"/>
                <w:lang w:val="fr-CA"/>
              </w:rPr>
              <w:t>La demande d’autorisation d’appel de l’arrêt de la Cour d’appel fédérale, numéro A-174-13, 2014 CAF 29, daté du 3 février 2014, est rejetée avec dépens.</w:t>
            </w:r>
          </w:p>
        </w:tc>
      </w:tr>
    </w:tbl>
    <w:p w:rsidR="007426C2" w:rsidRPr="00EB7C60"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D3F" w:rsidRPr="006D673B" w:rsidTr="00F71199">
        <w:tc>
          <w:tcPr>
            <w:tcW w:w="5000" w:type="pct"/>
            <w:gridSpan w:val="3"/>
          </w:tcPr>
          <w:p w:rsidR="00AB2D3F" w:rsidRPr="006D673B" w:rsidRDefault="00AB2D3F" w:rsidP="00F71199">
            <w:pPr>
              <w:jc w:val="both"/>
              <w:rPr>
                <w:rFonts w:eastAsia="Calibri"/>
                <w:sz w:val="20"/>
              </w:rPr>
            </w:pPr>
            <w:r w:rsidRPr="006D673B">
              <w:rPr>
                <w:rFonts w:eastAsia="Calibri"/>
                <w:sz w:val="20"/>
              </w:rPr>
              <w:t xml:space="preserve">Administrative law – Boards and tribunals – Competition tribunal – Competition Commissioner bringing application pertaining to policies and practices of Toronto Real Estate Board – Tribunal determining that application could not be brought – Given inconsistent rulings in </w:t>
            </w:r>
            <w:r w:rsidRPr="006D673B">
              <w:rPr>
                <w:rFonts w:eastAsia="Calibri"/>
                <w:i/>
                <w:sz w:val="20"/>
              </w:rPr>
              <w:t>Commissioner of Competition v. Canada Pipe Company Ltd</w:t>
            </w:r>
            <w:r w:rsidRPr="006D673B">
              <w:rPr>
                <w:rFonts w:eastAsia="Calibri"/>
                <w:sz w:val="20"/>
              </w:rPr>
              <w:t xml:space="preserve">., 2006 FCA 233 and decision under appeal, what is appropriate test for identifying a “practice of anti-competitive acts” for the purposes of s. 79(1)(a) of </w:t>
            </w:r>
            <w:r w:rsidRPr="006D673B">
              <w:rPr>
                <w:rFonts w:eastAsia="Calibri"/>
                <w:i/>
                <w:sz w:val="20"/>
              </w:rPr>
              <w:t>Competition Act</w:t>
            </w:r>
            <w:r w:rsidRPr="006D673B">
              <w:rPr>
                <w:rFonts w:eastAsia="Calibri"/>
                <w:sz w:val="20"/>
              </w:rPr>
              <w:t>,</w:t>
            </w:r>
            <w:r w:rsidRPr="006D673B">
              <w:rPr>
                <w:rFonts w:eastAsia="Calibri"/>
                <w:i/>
                <w:sz w:val="20"/>
              </w:rPr>
              <w:t xml:space="preserve"> </w:t>
            </w:r>
            <w:r w:rsidRPr="006D673B">
              <w:rPr>
                <w:rFonts w:eastAsia="Calibri"/>
                <w:sz w:val="20"/>
              </w:rPr>
              <w:t>R.S.C. 1985, c. C-34? – Whether a firm must compete in the relevant market in order to control that market for the purposes of s. 79(1)?</w:t>
            </w:r>
          </w:p>
        </w:tc>
      </w:tr>
      <w:tr w:rsidR="00AB2D3F" w:rsidRPr="006D673B" w:rsidTr="00F71199">
        <w:tc>
          <w:tcPr>
            <w:tcW w:w="5000" w:type="pct"/>
            <w:gridSpan w:val="3"/>
          </w:tcPr>
          <w:p w:rsidR="00AB2D3F" w:rsidRPr="006D673B" w:rsidRDefault="00AB2D3F" w:rsidP="00F71199">
            <w:pPr>
              <w:jc w:val="both"/>
              <w:rPr>
                <w:rFonts w:eastAsia="Calibri"/>
                <w:sz w:val="20"/>
              </w:rPr>
            </w:pPr>
          </w:p>
        </w:tc>
      </w:tr>
      <w:tr w:rsidR="00AB2D3F" w:rsidRPr="006D673B" w:rsidTr="00F71199">
        <w:tc>
          <w:tcPr>
            <w:tcW w:w="5000" w:type="pct"/>
            <w:gridSpan w:val="3"/>
          </w:tcPr>
          <w:p w:rsidR="00AB2D3F" w:rsidRPr="006D673B" w:rsidRDefault="00AB2D3F" w:rsidP="00F71199">
            <w:pPr>
              <w:jc w:val="both"/>
              <w:rPr>
                <w:rFonts w:eastAsia="Calibri"/>
                <w:spacing w:val="-3"/>
                <w:sz w:val="20"/>
              </w:rPr>
            </w:pPr>
            <w:r w:rsidRPr="006D673B">
              <w:rPr>
                <w:rFonts w:eastAsia="Calibri"/>
                <w:spacing w:val="-3"/>
                <w:sz w:val="20"/>
              </w:rPr>
              <w:t>The Toronto Real Estate Board (the “Board”) is an incorporated trade association that operates a multiple listing service for the Greater Toronto Area.  Its membership consists of more than 35,000 competing realtors, who mostly operate in the same area.  The Board operates a database of active and past residential property listings, including information pertaining to the agreed sale prices of residential properties from past listings (“historical data”).  Access to the information on that database, and the ability to communicate that information to clients, is valuable to Board members because it enables them to attract and provide services to clients.  Some members interact with their clients in person but others have started conducting their business online through a virtual office website.  The resulting efficiencies enable those realtors to offer their services at a lower cost to clients.   All members have access to the Board’s multiple listing service database, including the historical data.  They are permitted to disclose the historical data to their clients in person, by fax, by mail or by email.  However, the Board has adopted a binding rule prohibiting members from posting historical data on a virtual office website.  The Commissioner of Competition alleged that this rule was anti-competitive because it substantially lessened competition among member realtors in the Greater Toronto Area.</w:t>
            </w:r>
          </w:p>
          <w:p w:rsidR="00AB2D3F" w:rsidRPr="006D673B" w:rsidRDefault="00AB2D3F" w:rsidP="00F71199">
            <w:pPr>
              <w:jc w:val="both"/>
              <w:rPr>
                <w:rFonts w:eastAsia="Calibri"/>
                <w:sz w:val="20"/>
              </w:rPr>
            </w:pPr>
          </w:p>
        </w:tc>
      </w:tr>
      <w:tr w:rsidR="00AB2D3F" w:rsidRPr="006D673B" w:rsidTr="00F71199">
        <w:tc>
          <w:tcPr>
            <w:tcW w:w="2427" w:type="pct"/>
          </w:tcPr>
          <w:p w:rsidR="00AB2D3F" w:rsidRPr="006D673B" w:rsidRDefault="00AB2D3F" w:rsidP="00F71199">
            <w:pPr>
              <w:jc w:val="both"/>
              <w:rPr>
                <w:rFonts w:eastAsia="Calibri"/>
                <w:sz w:val="20"/>
              </w:rPr>
            </w:pPr>
            <w:r w:rsidRPr="006D673B">
              <w:rPr>
                <w:rFonts w:eastAsia="Calibri"/>
                <w:sz w:val="20"/>
              </w:rPr>
              <w:t>April 15, 2013</w:t>
            </w:r>
          </w:p>
          <w:p w:rsidR="00AB2D3F" w:rsidRPr="006D673B" w:rsidRDefault="00AB2D3F" w:rsidP="00F71199">
            <w:pPr>
              <w:jc w:val="both"/>
              <w:rPr>
                <w:rFonts w:eastAsia="Calibri"/>
                <w:sz w:val="20"/>
              </w:rPr>
            </w:pPr>
            <w:r w:rsidRPr="006D673B">
              <w:rPr>
                <w:rFonts w:eastAsia="Calibri"/>
                <w:sz w:val="20"/>
              </w:rPr>
              <w:t>Competition Tribunal</w:t>
            </w:r>
          </w:p>
          <w:p w:rsidR="00AB2D3F" w:rsidRPr="006D673B" w:rsidRDefault="00AB2D3F" w:rsidP="00F71199">
            <w:pPr>
              <w:jc w:val="both"/>
              <w:rPr>
                <w:rFonts w:eastAsia="Calibri"/>
                <w:sz w:val="20"/>
              </w:rPr>
            </w:pPr>
            <w:r w:rsidRPr="006D673B">
              <w:rPr>
                <w:rFonts w:eastAsia="Calibri"/>
                <w:sz w:val="20"/>
              </w:rPr>
              <w:t>(Simpson, Scott JJ., Lanctôt, Member)</w:t>
            </w:r>
          </w:p>
          <w:p w:rsidR="00AB2D3F" w:rsidRPr="006D673B" w:rsidRDefault="002B68E4" w:rsidP="00F71199">
            <w:pPr>
              <w:jc w:val="both"/>
              <w:rPr>
                <w:rFonts w:eastAsia="Calibri"/>
                <w:sz w:val="20"/>
              </w:rPr>
            </w:pPr>
            <w:hyperlink r:id="rId31" w:history="1">
              <w:r w:rsidR="00AB2D3F" w:rsidRPr="006D673B">
                <w:rPr>
                  <w:rFonts w:eastAsia="Calibri"/>
                  <w:color w:val="0000FF"/>
                  <w:sz w:val="20"/>
                  <w:u w:val="single"/>
                </w:rPr>
                <w:t>2013 Comp. Trib. 9</w:t>
              </w:r>
            </w:hyperlink>
          </w:p>
          <w:p w:rsidR="00AB2D3F" w:rsidRPr="006D673B" w:rsidRDefault="00AB2D3F" w:rsidP="00F71199">
            <w:pPr>
              <w:jc w:val="both"/>
              <w:rPr>
                <w:rFonts w:eastAsia="Calibri"/>
                <w:sz w:val="20"/>
              </w:rPr>
            </w:pPr>
          </w:p>
        </w:tc>
        <w:tc>
          <w:tcPr>
            <w:tcW w:w="243" w:type="pct"/>
          </w:tcPr>
          <w:p w:rsidR="00AB2D3F" w:rsidRPr="006D673B" w:rsidRDefault="00AB2D3F" w:rsidP="00F71199">
            <w:pPr>
              <w:jc w:val="both"/>
              <w:rPr>
                <w:rFonts w:eastAsia="Calibri"/>
                <w:sz w:val="20"/>
              </w:rPr>
            </w:pPr>
          </w:p>
        </w:tc>
        <w:tc>
          <w:tcPr>
            <w:tcW w:w="2330" w:type="pct"/>
          </w:tcPr>
          <w:p w:rsidR="00AB2D3F" w:rsidRPr="006D673B" w:rsidRDefault="00AB2D3F" w:rsidP="00F71199">
            <w:pPr>
              <w:jc w:val="both"/>
              <w:rPr>
                <w:rFonts w:eastAsia="Calibri"/>
                <w:sz w:val="20"/>
              </w:rPr>
            </w:pPr>
            <w:r w:rsidRPr="006D673B">
              <w:rPr>
                <w:rFonts w:eastAsia="Calibri"/>
                <w:sz w:val="20"/>
              </w:rPr>
              <w:t xml:space="preserve">Commissioner’s application dismissed for failing to meet the requirements of s. 79(1)(b) of the </w:t>
            </w:r>
            <w:r w:rsidRPr="006D673B">
              <w:rPr>
                <w:rFonts w:eastAsia="Calibri"/>
                <w:i/>
                <w:sz w:val="20"/>
              </w:rPr>
              <w:t>Competition Act</w:t>
            </w:r>
          </w:p>
          <w:p w:rsidR="00AB2D3F" w:rsidRPr="006D673B" w:rsidRDefault="00AB2D3F" w:rsidP="00F71199">
            <w:pPr>
              <w:jc w:val="both"/>
              <w:rPr>
                <w:rFonts w:eastAsia="Calibri"/>
                <w:sz w:val="20"/>
              </w:rPr>
            </w:pPr>
          </w:p>
          <w:p w:rsidR="00AB2D3F" w:rsidRPr="006D673B" w:rsidRDefault="00AB2D3F" w:rsidP="00F71199">
            <w:pPr>
              <w:jc w:val="both"/>
              <w:rPr>
                <w:rFonts w:eastAsia="Calibri"/>
                <w:sz w:val="20"/>
              </w:rPr>
            </w:pPr>
          </w:p>
        </w:tc>
      </w:tr>
      <w:tr w:rsidR="00AB2D3F" w:rsidRPr="006D673B" w:rsidTr="00F71199">
        <w:tc>
          <w:tcPr>
            <w:tcW w:w="2427" w:type="pct"/>
          </w:tcPr>
          <w:p w:rsidR="00AB2D3F" w:rsidRPr="006D673B" w:rsidRDefault="00AB2D3F" w:rsidP="00F71199">
            <w:pPr>
              <w:jc w:val="both"/>
              <w:rPr>
                <w:rFonts w:eastAsia="Calibri"/>
                <w:sz w:val="20"/>
              </w:rPr>
            </w:pPr>
            <w:r w:rsidRPr="006D673B">
              <w:rPr>
                <w:rFonts w:eastAsia="Calibri"/>
                <w:sz w:val="20"/>
              </w:rPr>
              <w:t>February 3, 2014</w:t>
            </w:r>
          </w:p>
          <w:p w:rsidR="00AB2D3F" w:rsidRPr="006D673B" w:rsidRDefault="00AB2D3F" w:rsidP="00F71199">
            <w:pPr>
              <w:jc w:val="both"/>
              <w:rPr>
                <w:rFonts w:eastAsia="Calibri"/>
                <w:sz w:val="20"/>
              </w:rPr>
            </w:pPr>
            <w:r w:rsidRPr="006D673B">
              <w:rPr>
                <w:rFonts w:eastAsia="Calibri"/>
                <w:sz w:val="20"/>
              </w:rPr>
              <w:t>Federal Court of Appeal</w:t>
            </w:r>
          </w:p>
          <w:p w:rsidR="00AB2D3F" w:rsidRPr="006D673B" w:rsidRDefault="00AB2D3F" w:rsidP="00F71199">
            <w:pPr>
              <w:jc w:val="both"/>
              <w:rPr>
                <w:rFonts w:eastAsia="Calibri"/>
                <w:sz w:val="20"/>
              </w:rPr>
            </w:pPr>
            <w:r w:rsidRPr="006D673B">
              <w:rPr>
                <w:rFonts w:eastAsia="Calibri"/>
                <w:sz w:val="20"/>
              </w:rPr>
              <w:t>(Sharlow, Webb and Near JJ.A,)</w:t>
            </w:r>
          </w:p>
          <w:p w:rsidR="00AB2D3F" w:rsidRPr="006D673B" w:rsidRDefault="002B68E4" w:rsidP="00F71199">
            <w:pPr>
              <w:jc w:val="both"/>
              <w:rPr>
                <w:rFonts w:eastAsia="Calibri"/>
                <w:sz w:val="20"/>
              </w:rPr>
            </w:pPr>
            <w:hyperlink r:id="rId32" w:history="1">
              <w:r w:rsidR="00AB2D3F" w:rsidRPr="006D673B">
                <w:rPr>
                  <w:rFonts w:eastAsia="Calibri"/>
                  <w:color w:val="0000FF"/>
                  <w:sz w:val="20"/>
                  <w:u w:val="single"/>
                </w:rPr>
                <w:t>2014 FCA 29</w:t>
              </w:r>
            </w:hyperlink>
          </w:p>
          <w:p w:rsidR="00AB2D3F" w:rsidRPr="006D673B" w:rsidRDefault="00AB2D3F" w:rsidP="00F71199">
            <w:pPr>
              <w:jc w:val="both"/>
              <w:rPr>
                <w:rFonts w:eastAsia="Calibri"/>
                <w:sz w:val="20"/>
              </w:rPr>
            </w:pPr>
          </w:p>
        </w:tc>
        <w:tc>
          <w:tcPr>
            <w:tcW w:w="243" w:type="pct"/>
          </w:tcPr>
          <w:p w:rsidR="00AB2D3F" w:rsidRPr="006D673B" w:rsidRDefault="00AB2D3F" w:rsidP="00F71199">
            <w:pPr>
              <w:jc w:val="both"/>
              <w:rPr>
                <w:rFonts w:eastAsia="Calibri"/>
                <w:sz w:val="20"/>
              </w:rPr>
            </w:pPr>
          </w:p>
        </w:tc>
        <w:tc>
          <w:tcPr>
            <w:tcW w:w="2330" w:type="pct"/>
          </w:tcPr>
          <w:p w:rsidR="00AB2D3F" w:rsidRPr="006D673B" w:rsidRDefault="00AB2D3F" w:rsidP="00F71199">
            <w:pPr>
              <w:jc w:val="both"/>
              <w:rPr>
                <w:rFonts w:eastAsia="Calibri"/>
                <w:sz w:val="20"/>
              </w:rPr>
            </w:pPr>
            <w:r w:rsidRPr="006D673B">
              <w:rPr>
                <w:rFonts w:eastAsia="Calibri"/>
                <w:sz w:val="20"/>
              </w:rPr>
              <w:t>Appeal allowed, matter returned to Tribunal for reconsideration on the merits</w:t>
            </w:r>
          </w:p>
          <w:p w:rsidR="00AB2D3F" w:rsidRPr="006D673B" w:rsidRDefault="00AB2D3F" w:rsidP="00F71199">
            <w:pPr>
              <w:jc w:val="both"/>
              <w:rPr>
                <w:rFonts w:eastAsia="Calibri"/>
                <w:sz w:val="20"/>
              </w:rPr>
            </w:pPr>
          </w:p>
          <w:p w:rsidR="00AB2D3F" w:rsidRPr="006D673B" w:rsidRDefault="00AB2D3F" w:rsidP="00F71199">
            <w:pPr>
              <w:jc w:val="both"/>
              <w:rPr>
                <w:rFonts w:eastAsia="Calibri"/>
                <w:sz w:val="20"/>
              </w:rPr>
            </w:pPr>
          </w:p>
        </w:tc>
      </w:tr>
      <w:tr w:rsidR="00AB2D3F" w:rsidRPr="006D673B" w:rsidTr="00F71199">
        <w:tc>
          <w:tcPr>
            <w:tcW w:w="2427" w:type="pct"/>
          </w:tcPr>
          <w:p w:rsidR="00AB2D3F" w:rsidRPr="006D673B" w:rsidRDefault="00AB2D3F" w:rsidP="00F71199">
            <w:pPr>
              <w:jc w:val="both"/>
              <w:rPr>
                <w:rFonts w:eastAsia="Calibri"/>
                <w:sz w:val="20"/>
              </w:rPr>
            </w:pPr>
            <w:r w:rsidRPr="006D673B">
              <w:rPr>
                <w:rFonts w:eastAsia="Calibri"/>
                <w:sz w:val="20"/>
              </w:rPr>
              <w:lastRenderedPageBreak/>
              <w:t>March 31, 2014</w:t>
            </w:r>
          </w:p>
          <w:p w:rsidR="00AB2D3F" w:rsidRPr="006D673B" w:rsidRDefault="00AB2D3F" w:rsidP="00F71199">
            <w:pPr>
              <w:jc w:val="both"/>
              <w:rPr>
                <w:rFonts w:eastAsia="Calibri"/>
                <w:sz w:val="20"/>
              </w:rPr>
            </w:pPr>
            <w:r w:rsidRPr="006D673B">
              <w:rPr>
                <w:rFonts w:eastAsia="Calibri"/>
                <w:sz w:val="20"/>
              </w:rPr>
              <w:t>Supreme Court of Canada</w:t>
            </w:r>
          </w:p>
        </w:tc>
        <w:tc>
          <w:tcPr>
            <w:tcW w:w="243" w:type="pct"/>
          </w:tcPr>
          <w:p w:rsidR="00AB2D3F" w:rsidRPr="006D673B" w:rsidRDefault="00AB2D3F" w:rsidP="00F71199">
            <w:pPr>
              <w:jc w:val="both"/>
              <w:rPr>
                <w:rFonts w:eastAsia="Calibri"/>
                <w:sz w:val="20"/>
              </w:rPr>
            </w:pPr>
          </w:p>
        </w:tc>
        <w:tc>
          <w:tcPr>
            <w:tcW w:w="2330" w:type="pct"/>
          </w:tcPr>
          <w:p w:rsidR="00AB2D3F" w:rsidRPr="006D673B" w:rsidRDefault="00AB2D3F" w:rsidP="00F71199">
            <w:pPr>
              <w:jc w:val="both"/>
              <w:rPr>
                <w:rFonts w:eastAsia="Calibri"/>
                <w:sz w:val="20"/>
              </w:rPr>
            </w:pPr>
            <w:r w:rsidRPr="006D673B">
              <w:rPr>
                <w:rFonts w:eastAsia="Calibri"/>
                <w:sz w:val="20"/>
              </w:rPr>
              <w:t>Application for leave to appeal filed</w:t>
            </w:r>
          </w:p>
          <w:p w:rsidR="00AB2D3F" w:rsidRPr="006D673B" w:rsidRDefault="00AB2D3F" w:rsidP="00F71199">
            <w:pPr>
              <w:jc w:val="both"/>
              <w:rPr>
                <w:rFonts w:eastAsia="Calibri"/>
                <w:sz w:val="20"/>
              </w:rPr>
            </w:pP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35"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5"/>
        <w:gridCol w:w="476"/>
        <w:gridCol w:w="4426"/>
      </w:tblGrid>
      <w:tr w:rsidR="00AB2D3F" w:rsidRPr="002B68E4" w:rsidTr="00F71199">
        <w:tc>
          <w:tcPr>
            <w:tcW w:w="5000" w:type="pct"/>
            <w:gridSpan w:val="3"/>
          </w:tcPr>
          <w:p w:rsidR="00AB2D3F" w:rsidRPr="006D673B" w:rsidRDefault="00AB2D3F" w:rsidP="00F71199">
            <w:pPr>
              <w:jc w:val="both"/>
              <w:rPr>
                <w:rFonts w:eastAsia="Calibri"/>
                <w:sz w:val="20"/>
                <w:lang w:val="fr-CA"/>
              </w:rPr>
            </w:pPr>
            <w:r w:rsidRPr="006D673B">
              <w:rPr>
                <w:rFonts w:eastAsia="Calibri"/>
                <w:sz w:val="20"/>
                <w:lang w:val="fr-CA"/>
              </w:rPr>
              <w:t>Droit administratif – Organismes et tribunaux administratifs – Tribunal de la concurrence – Le Commissaire de la concurrence a déposé une demande relative aux politiques et aux pratiques du Toronto Real Estate Board – Le Tribunal a déterminé que cette demande était irrecevable – Compte tenu des jugements incompatibles dans</w:t>
            </w:r>
            <w:r w:rsidRPr="006D673B">
              <w:rPr>
                <w:rFonts w:eastAsia="Calibri"/>
                <w:i/>
                <w:sz w:val="20"/>
                <w:lang w:val="fr-CA"/>
              </w:rPr>
              <w:t xml:space="preserve"> Commissaire de la concurrence c. Canada Pipe Company Ltd</w:t>
            </w:r>
            <w:r w:rsidRPr="006D673B">
              <w:rPr>
                <w:rFonts w:eastAsia="Calibri"/>
                <w:sz w:val="20"/>
                <w:lang w:val="fr-CA"/>
              </w:rPr>
              <w:t>., 2006 CAF 233 et la décision qui fait l’objet de la présente demande d’autorisation d’appel, quel est le critère approprié pour identifier une « pratique d’agissements anti-concurrentiels » pour l’application du sous-al. 79(1)</w:t>
            </w:r>
            <w:r w:rsidRPr="006D673B">
              <w:rPr>
                <w:rFonts w:eastAsia="Calibri"/>
                <w:i/>
                <w:sz w:val="20"/>
                <w:lang w:val="fr-CA"/>
              </w:rPr>
              <w:t>a</w:t>
            </w:r>
            <w:r w:rsidRPr="006D673B">
              <w:rPr>
                <w:rFonts w:eastAsia="Calibri"/>
                <w:sz w:val="20"/>
                <w:lang w:val="fr-CA"/>
              </w:rPr>
              <w:t xml:space="preserve">) de la </w:t>
            </w:r>
            <w:r w:rsidRPr="006D673B">
              <w:rPr>
                <w:rFonts w:eastAsia="Calibri"/>
                <w:i/>
                <w:sz w:val="20"/>
                <w:lang w:val="fr-CA"/>
              </w:rPr>
              <w:t>Loi sur la concurrence</w:t>
            </w:r>
            <w:r w:rsidRPr="006D673B">
              <w:rPr>
                <w:rFonts w:eastAsia="Calibri"/>
                <w:sz w:val="20"/>
                <w:lang w:val="fr-CA"/>
              </w:rPr>
              <w:t>,</w:t>
            </w:r>
            <w:r w:rsidRPr="006D673B">
              <w:rPr>
                <w:rFonts w:eastAsia="Calibri"/>
                <w:i/>
                <w:sz w:val="20"/>
                <w:lang w:val="fr-CA"/>
              </w:rPr>
              <w:t xml:space="preserve"> </w:t>
            </w:r>
            <w:r w:rsidRPr="006D673B">
              <w:rPr>
                <w:rFonts w:eastAsia="Calibri"/>
                <w:sz w:val="20"/>
                <w:lang w:val="fr-CA"/>
              </w:rPr>
              <w:t>L.R.C. 1985, ch. C-34? – Pour l’application du par. 79(1), une entreprise doit-elle faire concurrence dans le marché visé afin de contrôler ce marché?</w:t>
            </w:r>
          </w:p>
        </w:tc>
      </w:tr>
      <w:tr w:rsidR="00AB2D3F" w:rsidRPr="002B68E4" w:rsidTr="00F71199">
        <w:tc>
          <w:tcPr>
            <w:tcW w:w="5000" w:type="pct"/>
            <w:gridSpan w:val="3"/>
          </w:tcPr>
          <w:p w:rsidR="00AB2D3F" w:rsidRPr="006D673B" w:rsidRDefault="00AB2D3F" w:rsidP="00F71199">
            <w:pPr>
              <w:jc w:val="both"/>
              <w:rPr>
                <w:rFonts w:eastAsia="Calibri"/>
                <w:sz w:val="20"/>
                <w:lang w:val="fr-CA"/>
              </w:rPr>
            </w:pPr>
          </w:p>
        </w:tc>
      </w:tr>
      <w:tr w:rsidR="00AB2D3F" w:rsidRPr="002B68E4" w:rsidTr="00F71199">
        <w:tc>
          <w:tcPr>
            <w:tcW w:w="5000" w:type="pct"/>
            <w:gridSpan w:val="3"/>
          </w:tcPr>
          <w:p w:rsidR="00AB2D3F" w:rsidRPr="006D673B" w:rsidRDefault="00AB2D3F" w:rsidP="00F71199">
            <w:pPr>
              <w:jc w:val="both"/>
              <w:rPr>
                <w:rFonts w:eastAsia="Calibri"/>
                <w:spacing w:val="-3"/>
                <w:sz w:val="20"/>
                <w:lang w:val="fr-CA"/>
              </w:rPr>
            </w:pPr>
            <w:r w:rsidRPr="006D673B">
              <w:rPr>
                <w:rFonts w:eastAsia="Calibri"/>
                <w:spacing w:val="-3"/>
                <w:sz w:val="20"/>
                <w:lang w:val="fr-CA"/>
              </w:rPr>
              <w:t>Le Toronto Real Estate Board (« TREB ») est une association commerciale constituée en société qui exploite un service interagences de la région du Grand Toronto.  Son effectif compte plus de 35 000 courtiers immobiliers qui se font concurrence, dont la plupart exercent dans la même région.  Le TREB exploite une base de données de répertoires actualisés et antérieurs d’immeubles résidentiels inscrits, comprenant notamment des renseignements relatifs aux prix de vente convenus des immeubles résidentiels selon les répertoires antérieurs (les « données historiques »).  L’accès aux renseignements contenus dans cette base de données et la capacité de communiquer ces renseignements aux clients constituent des outils précieux pour les membres du TREB, puisqu’ils leur permettent d’attirer des clients et de leur fournir des services.  Certains membres interagissent avec leurs clients en personne, mais d’autres ont commencé à transiger en ligne au moyen d’un bureau virtuel sur Internet.  Grâce aux économies qui découlent de ce modèle, ces courtiers peuvent offrir à leur clientèle des services à moindre coût.  Tous les membres ont accès aux multiples bases de données du service interagences de la chambre immobilière, notamment les données historiques.  Ils sont autorisés à divulguer les données historiques à leurs clients en personne, par télécopieur, par la poste ou par courriel.  Toutefois, le TREB a adopté une règle obligatoire interdisant aux membres d’afficher les données historiques dans leur bureau virtuel.  Le Commissaire de la concurrence a allégué que cette règle était anti</w:t>
            </w:r>
            <w:r w:rsidRPr="006D673B">
              <w:rPr>
                <w:rFonts w:eastAsia="Calibri"/>
                <w:spacing w:val="-3"/>
                <w:sz w:val="20"/>
                <w:lang w:val="fr-CA"/>
              </w:rPr>
              <w:noBreakHyphen/>
              <w:t>concurrentielle parce qu’elle diminuait sensiblement la concurrence entre les courtiers en immeubles membre de la région du Grand Toronto.</w:t>
            </w:r>
          </w:p>
          <w:p w:rsidR="00AB2D3F" w:rsidRPr="006D673B" w:rsidRDefault="00AB2D3F" w:rsidP="00F71199">
            <w:pPr>
              <w:jc w:val="both"/>
              <w:rPr>
                <w:rFonts w:eastAsia="Calibri"/>
                <w:sz w:val="20"/>
                <w:lang w:val="fr-CA"/>
              </w:rPr>
            </w:pPr>
          </w:p>
        </w:tc>
      </w:tr>
      <w:tr w:rsidR="00AB2D3F" w:rsidRPr="002B68E4" w:rsidTr="00F71199">
        <w:tc>
          <w:tcPr>
            <w:tcW w:w="2427" w:type="pct"/>
          </w:tcPr>
          <w:p w:rsidR="00AB2D3F" w:rsidRPr="006D673B" w:rsidRDefault="00AB2D3F" w:rsidP="00F71199">
            <w:pPr>
              <w:jc w:val="both"/>
              <w:rPr>
                <w:rFonts w:eastAsia="Calibri"/>
                <w:sz w:val="20"/>
                <w:lang w:val="fr-CA"/>
              </w:rPr>
            </w:pPr>
            <w:r w:rsidRPr="006D673B">
              <w:rPr>
                <w:rFonts w:eastAsia="Calibri"/>
                <w:sz w:val="20"/>
                <w:lang w:val="fr-CA"/>
              </w:rPr>
              <w:t>15 avril 2013</w:t>
            </w:r>
          </w:p>
          <w:p w:rsidR="00AB2D3F" w:rsidRPr="006D673B" w:rsidRDefault="00AB2D3F" w:rsidP="00F71199">
            <w:pPr>
              <w:jc w:val="both"/>
              <w:rPr>
                <w:rFonts w:eastAsia="Calibri"/>
                <w:sz w:val="20"/>
                <w:lang w:val="fr-CA"/>
              </w:rPr>
            </w:pPr>
            <w:r w:rsidRPr="006D673B">
              <w:rPr>
                <w:rFonts w:eastAsia="Calibri"/>
                <w:sz w:val="20"/>
                <w:lang w:val="fr-CA"/>
              </w:rPr>
              <w:t>Tribunal de la concurrence</w:t>
            </w:r>
          </w:p>
          <w:p w:rsidR="00AB2D3F" w:rsidRPr="006D673B" w:rsidRDefault="00AB2D3F" w:rsidP="00F71199">
            <w:pPr>
              <w:jc w:val="both"/>
              <w:rPr>
                <w:rFonts w:eastAsia="Calibri"/>
                <w:sz w:val="20"/>
                <w:lang w:val="fr-CA"/>
              </w:rPr>
            </w:pPr>
            <w:r w:rsidRPr="006D673B">
              <w:rPr>
                <w:rFonts w:eastAsia="Calibri"/>
                <w:sz w:val="20"/>
                <w:lang w:val="fr-CA"/>
              </w:rPr>
              <w:t>(Juges Simpson et Scott, M. Lanctôt)</w:t>
            </w:r>
          </w:p>
          <w:p w:rsidR="00AB2D3F" w:rsidRPr="006D673B" w:rsidRDefault="002B68E4" w:rsidP="00F71199">
            <w:pPr>
              <w:jc w:val="both"/>
              <w:rPr>
                <w:rFonts w:eastAsia="Calibri"/>
                <w:sz w:val="20"/>
                <w:lang w:val="fr-CA"/>
              </w:rPr>
            </w:pPr>
            <w:hyperlink r:id="rId33" w:history="1">
              <w:r w:rsidR="00AB2D3F" w:rsidRPr="006D673B">
                <w:rPr>
                  <w:rFonts w:eastAsia="Calibri"/>
                  <w:color w:val="0000FF"/>
                  <w:sz w:val="20"/>
                  <w:u w:val="single"/>
                  <w:lang w:val="fr-CA"/>
                </w:rPr>
                <w:t>2013 Comp. Trib. 9</w:t>
              </w:r>
            </w:hyperlink>
          </w:p>
          <w:p w:rsidR="00AB2D3F" w:rsidRPr="006D673B" w:rsidRDefault="00AB2D3F" w:rsidP="00F71199">
            <w:pPr>
              <w:jc w:val="both"/>
              <w:rPr>
                <w:rFonts w:eastAsia="Calibri"/>
                <w:sz w:val="20"/>
                <w:lang w:val="fr-CA"/>
              </w:rPr>
            </w:pPr>
          </w:p>
        </w:tc>
        <w:tc>
          <w:tcPr>
            <w:tcW w:w="250" w:type="pct"/>
          </w:tcPr>
          <w:p w:rsidR="00AB2D3F" w:rsidRPr="006D673B" w:rsidRDefault="00AB2D3F" w:rsidP="00F71199">
            <w:pPr>
              <w:jc w:val="both"/>
              <w:rPr>
                <w:rFonts w:eastAsia="Calibri"/>
                <w:sz w:val="20"/>
                <w:lang w:val="fr-CA"/>
              </w:rPr>
            </w:pPr>
          </w:p>
        </w:tc>
        <w:tc>
          <w:tcPr>
            <w:tcW w:w="2323" w:type="pct"/>
          </w:tcPr>
          <w:p w:rsidR="00AB2D3F" w:rsidRPr="006D673B" w:rsidRDefault="00AB2D3F" w:rsidP="00F71199">
            <w:pPr>
              <w:jc w:val="both"/>
              <w:rPr>
                <w:rFonts w:eastAsia="Calibri"/>
                <w:sz w:val="20"/>
                <w:lang w:val="fr-CA"/>
              </w:rPr>
            </w:pPr>
            <w:r w:rsidRPr="006D673B">
              <w:rPr>
                <w:rFonts w:eastAsia="Calibri"/>
                <w:sz w:val="20"/>
                <w:lang w:val="fr-CA"/>
              </w:rPr>
              <w:t>Demande du commissaire rejetée parce qu’elle ne remplit pas les exigences de l’al. 79(1)</w:t>
            </w:r>
            <w:r w:rsidRPr="006D673B">
              <w:rPr>
                <w:rFonts w:eastAsia="Calibri"/>
                <w:i/>
                <w:sz w:val="20"/>
                <w:lang w:val="fr-CA"/>
              </w:rPr>
              <w:t>b</w:t>
            </w:r>
            <w:r w:rsidRPr="006D673B">
              <w:rPr>
                <w:rFonts w:eastAsia="Calibri"/>
                <w:sz w:val="20"/>
                <w:lang w:val="fr-CA"/>
              </w:rPr>
              <w:t xml:space="preserve">) de la </w:t>
            </w:r>
            <w:r w:rsidRPr="006D673B">
              <w:rPr>
                <w:rFonts w:eastAsia="Calibri"/>
                <w:i/>
                <w:sz w:val="20"/>
                <w:lang w:val="fr-CA"/>
              </w:rPr>
              <w:t>Loi sur la concurrence</w:t>
            </w:r>
          </w:p>
          <w:p w:rsidR="00AB2D3F" w:rsidRPr="006D673B" w:rsidRDefault="00AB2D3F" w:rsidP="00F71199">
            <w:pPr>
              <w:jc w:val="both"/>
              <w:rPr>
                <w:rFonts w:eastAsia="Calibri"/>
                <w:sz w:val="20"/>
                <w:lang w:val="fr-CA"/>
              </w:rPr>
            </w:pPr>
          </w:p>
        </w:tc>
      </w:tr>
      <w:tr w:rsidR="00AB2D3F" w:rsidRPr="002B68E4" w:rsidTr="00F71199">
        <w:tc>
          <w:tcPr>
            <w:tcW w:w="2427" w:type="pct"/>
          </w:tcPr>
          <w:p w:rsidR="00AB2D3F" w:rsidRPr="006D673B" w:rsidRDefault="00AB2D3F" w:rsidP="00F71199">
            <w:pPr>
              <w:jc w:val="both"/>
              <w:rPr>
                <w:rFonts w:eastAsia="Calibri"/>
                <w:sz w:val="20"/>
                <w:lang w:val="fr-CA"/>
              </w:rPr>
            </w:pPr>
            <w:r w:rsidRPr="006D673B">
              <w:rPr>
                <w:rFonts w:eastAsia="Calibri"/>
                <w:sz w:val="20"/>
                <w:lang w:val="fr-CA"/>
              </w:rPr>
              <w:t>3 février 2014</w:t>
            </w:r>
          </w:p>
          <w:p w:rsidR="00AB2D3F" w:rsidRPr="006D673B" w:rsidRDefault="00AB2D3F" w:rsidP="00F71199">
            <w:pPr>
              <w:jc w:val="both"/>
              <w:rPr>
                <w:rFonts w:eastAsia="Calibri"/>
                <w:sz w:val="20"/>
                <w:lang w:val="fr-CA"/>
              </w:rPr>
            </w:pPr>
            <w:r w:rsidRPr="006D673B">
              <w:rPr>
                <w:rFonts w:eastAsia="Calibri"/>
                <w:sz w:val="20"/>
                <w:lang w:val="fr-CA"/>
              </w:rPr>
              <w:t>Cour d’appel fédérale</w:t>
            </w:r>
          </w:p>
          <w:p w:rsidR="00AB2D3F" w:rsidRPr="006D673B" w:rsidRDefault="00AB2D3F" w:rsidP="00F71199">
            <w:pPr>
              <w:jc w:val="both"/>
              <w:rPr>
                <w:rFonts w:eastAsia="Calibri"/>
                <w:sz w:val="20"/>
                <w:lang w:val="fr-CA"/>
              </w:rPr>
            </w:pPr>
            <w:r w:rsidRPr="006D673B">
              <w:rPr>
                <w:rFonts w:eastAsia="Calibri"/>
                <w:sz w:val="20"/>
                <w:lang w:val="fr-CA"/>
              </w:rPr>
              <w:t>(Juges Sharlow, Webb et Near)</w:t>
            </w:r>
          </w:p>
          <w:p w:rsidR="00AB2D3F" w:rsidRPr="006D673B" w:rsidRDefault="002B68E4" w:rsidP="00F71199">
            <w:pPr>
              <w:jc w:val="both"/>
              <w:rPr>
                <w:rFonts w:eastAsia="Calibri"/>
                <w:sz w:val="20"/>
                <w:lang w:val="fr-CA"/>
              </w:rPr>
            </w:pPr>
            <w:hyperlink r:id="rId34" w:history="1">
              <w:r w:rsidR="00AB2D3F" w:rsidRPr="006D673B">
                <w:rPr>
                  <w:rFonts w:eastAsia="Calibri"/>
                  <w:color w:val="0000FF"/>
                  <w:sz w:val="20"/>
                  <w:u w:val="single"/>
                  <w:lang w:val="fr-CA"/>
                </w:rPr>
                <w:t>2014 FCA 29</w:t>
              </w:r>
            </w:hyperlink>
          </w:p>
          <w:p w:rsidR="00AB2D3F" w:rsidRPr="006D673B" w:rsidRDefault="00AB2D3F" w:rsidP="00F71199">
            <w:pPr>
              <w:jc w:val="both"/>
              <w:rPr>
                <w:rFonts w:eastAsia="Calibri"/>
                <w:sz w:val="20"/>
                <w:lang w:val="fr-CA"/>
              </w:rPr>
            </w:pPr>
          </w:p>
        </w:tc>
        <w:tc>
          <w:tcPr>
            <w:tcW w:w="250" w:type="pct"/>
          </w:tcPr>
          <w:p w:rsidR="00AB2D3F" w:rsidRPr="006D673B" w:rsidRDefault="00AB2D3F" w:rsidP="00F71199">
            <w:pPr>
              <w:jc w:val="both"/>
              <w:rPr>
                <w:rFonts w:eastAsia="Calibri"/>
                <w:sz w:val="20"/>
                <w:lang w:val="fr-CA"/>
              </w:rPr>
            </w:pPr>
          </w:p>
        </w:tc>
        <w:tc>
          <w:tcPr>
            <w:tcW w:w="2323" w:type="pct"/>
          </w:tcPr>
          <w:p w:rsidR="00AB2D3F" w:rsidRPr="006D673B" w:rsidRDefault="00AB2D3F" w:rsidP="00F71199">
            <w:pPr>
              <w:jc w:val="both"/>
              <w:rPr>
                <w:rFonts w:eastAsia="Calibri"/>
                <w:sz w:val="20"/>
                <w:lang w:val="fr-CA"/>
              </w:rPr>
            </w:pPr>
            <w:r w:rsidRPr="006D673B">
              <w:rPr>
                <w:rFonts w:eastAsia="Calibri"/>
                <w:sz w:val="20"/>
                <w:lang w:val="fr-CA"/>
              </w:rPr>
              <w:t>Appel accueilli,  affaire renvoyée au Tribunal pour qu’il procède à un nouvel examen sur le fond</w:t>
            </w:r>
          </w:p>
          <w:p w:rsidR="00AB2D3F" w:rsidRPr="006D673B" w:rsidRDefault="00AB2D3F" w:rsidP="00F71199">
            <w:pPr>
              <w:jc w:val="both"/>
              <w:rPr>
                <w:rFonts w:eastAsia="Calibri"/>
                <w:sz w:val="20"/>
                <w:lang w:val="fr-CA"/>
              </w:rPr>
            </w:pPr>
          </w:p>
        </w:tc>
      </w:tr>
      <w:tr w:rsidR="00AB2D3F" w:rsidRPr="006D673B" w:rsidTr="00F71199">
        <w:tc>
          <w:tcPr>
            <w:tcW w:w="2427" w:type="pct"/>
          </w:tcPr>
          <w:p w:rsidR="00AB2D3F" w:rsidRPr="006D673B" w:rsidRDefault="00AB2D3F" w:rsidP="00F71199">
            <w:pPr>
              <w:jc w:val="both"/>
              <w:rPr>
                <w:rFonts w:eastAsia="Calibri"/>
                <w:sz w:val="20"/>
                <w:lang w:val="fr-CA"/>
              </w:rPr>
            </w:pPr>
            <w:r w:rsidRPr="006D673B">
              <w:rPr>
                <w:rFonts w:eastAsia="Calibri"/>
                <w:sz w:val="20"/>
                <w:lang w:val="fr-CA"/>
              </w:rPr>
              <w:t>31 mars 2014</w:t>
            </w:r>
          </w:p>
          <w:p w:rsidR="00AB2D3F" w:rsidRPr="006D673B" w:rsidRDefault="00AB2D3F" w:rsidP="00F71199">
            <w:pPr>
              <w:jc w:val="both"/>
              <w:rPr>
                <w:rFonts w:eastAsia="Calibri"/>
                <w:sz w:val="20"/>
                <w:lang w:val="fr-CA"/>
              </w:rPr>
            </w:pPr>
            <w:r w:rsidRPr="006D673B">
              <w:rPr>
                <w:rFonts w:eastAsia="Calibri"/>
                <w:sz w:val="20"/>
                <w:lang w:val="fr-CA"/>
              </w:rPr>
              <w:t>Cour suprême du Canada</w:t>
            </w:r>
          </w:p>
        </w:tc>
        <w:tc>
          <w:tcPr>
            <w:tcW w:w="250" w:type="pct"/>
          </w:tcPr>
          <w:p w:rsidR="00AB2D3F" w:rsidRPr="006D673B" w:rsidRDefault="00AB2D3F" w:rsidP="00F71199">
            <w:pPr>
              <w:jc w:val="both"/>
              <w:rPr>
                <w:rFonts w:eastAsia="Calibri"/>
                <w:sz w:val="20"/>
                <w:lang w:val="fr-CA"/>
              </w:rPr>
            </w:pPr>
          </w:p>
        </w:tc>
        <w:tc>
          <w:tcPr>
            <w:tcW w:w="2323" w:type="pct"/>
          </w:tcPr>
          <w:p w:rsidR="00AB2D3F" w:rsidRPr="006D673B" w:rsidRDefault="00AB2D3F" w:rsidP="00F71199">
            <w:pPr>
              <w:jc w:val="both"/>
              <w:rPr>
                <w:rFonts w:eastAsia="Calibri"/>
                <w:sz w:val="20"/>
                <w:lang w:val="fr-CA"/>
              </w:rPr>
            </w:pPr>
            <w:r w:rsidRPr="006D673B">
              <w:rPr>
                <w:rFonts w:eastAsia="Calibri"/>
                <w:sz w:val="20"/>
                <w:lang w:val="fr-CA"/>
              </w:rPr>
              <w:t>Demande d’autorisation d’appel, déposée</w:t>
            </w:r>
          </w:p>
          <w:p w:rsidR="00AB2D3F" w:rsidRPr="006D673B" w:rsidRDefault="00AB2D3F" w:rsidP="00F71199">
            <w:pPr>
              <w:jc w:val="both"/>
              <w:rPr>
                <w:rFonts w:eastAsia="Calibri"/>
                <w:sz w:val="20"/>
                <w:lang w:val="fr-CA"/>
              </w:rPr>
            </w:pPr>
          </w:p>
        </w:tc>
      </w:tr>
    </w:tbl>
    <w:p w:rsidR="007426C2" w:rsidRDefault="007426C2" w:rsidP="007426C2">
      <w:pPr>
        <w:rPr>
          <w:sz w:val="20"/>
          <w:szCs w:val="20"/>
        </w:rPr>
      </w:pPr>
    </w:p>
    <w:p w:rsidR="007426C2" w:rsidRDefault="002B68E4" w:rsidP="007426C2">
      <w:pPr>
        <w:rPr>
          <w:sz w:val="20"/>
          <w:szCs w:val="20"/>
        </w:rPr>
      </w:pPr>
      <w:r>
        <w:rPr>
          <w:sz w:val="20"/>
          <w:szCs w:val="20"/>
          <w:lang w:val="fr-CA"/>
        </w:rPr>
        <w:pict>
          <v:rect id="_x0000_i1036"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93821" w:rsidRPr="00D527D8" w:rsidTr="0008227B">
        <w:trPr>
          <w:cantSplit/>
        </w:trPr>
        <w:tc>
          <w:tcPr>
            <w:tcW w:w="1458" w:type="dxa"/>
          </w:tcPr>
          <w:p w:rsidR="00E93821" w:rsidRPr="00D527D8" w:rsidRDefault="00E93821" w:rsidP="0008227B">
            <w:pPr>
              <w:rPr>
                <w:sz w:val="20"/>
                <w:szCs w:val="20"/>
              </w:rPr>
            </w:pPr>
            <w:r w:rsidRPr="00D527D8">
              <w:rPr>
                <w:rStyle w:val="SCCFileNumberChar"/>
                <w:sz w:val="20"/>
                <w:szCs w:val="20"/>
              </w:rPr>
              <w:lastRenderedPageBreak/>
              <w:t>35819</w:t>
            </w:r>
          </w:p>
          <w:p w:rsidR="00E93821" w:rsidRPr="00D527D8" w:rsidRDefault="00E93821" w:rsidP="0008227B">
            <w:pPr>
              <w:rPr>
                <w:b/>
                <w:sz w:val="20"/>
                <w:szCs w:val="20"/>
                <w:lang w:val="fr-CA"/>
              </w:rPr>
            </w:pPr>
          </w:p>
        </w:tc>
        <w:tc>
          <w:tcPr>
            <w:tcW w:w="8118" w:type="dxa"/>
          </w:tcPr>
          <w:p w:rsidR="00E93821" w:rsidRPr="00D527D8" w:rsidRDefault="00E93821" w:rsidP="0008227B">
            <w:pPr>
              <w:rPr>
                <w:sz w:val="20"/>
                <w:szCs w:val="20"/>
              </w:rPr>
            </w:pPr>
            <w:r w:rsidRPr="00D527D8">
              <w:rPr>
                <w:rStyle w:val="SCCLsocChar"/>
                <w:sz w:val="20"/>
                <w:szCs w:val="20"/>
                <w:lang w:val="en-CA"/>
              </w:rPr>
              <w:t>Douglas Walsh v. Unum Provident, a body corporate</w:t>
            </w:r>
            <w:r w:rsidRPr="00D527D8">
              <w:rPr>
                <w:sz w:val="20"/>
                <w:szCs w:val="20"/>
              </w:rPr>
              <w:t xml:space="preserve"> (N.S.) (Civil) (By Leave)</w:t>
            </w:r>
          </w:p>
          <w:p w:rsidR="00E93821" w:rsidRPr="00D527D8" w:rsidRDefault="00E93821" w:rsidP="0008227B">
            <w:pPr>
              <w:rPr>
                <w:sz w:val="20"/>
                <w:szCs w:val="20"/>
              </w:rPr>
            </w:pPr>
          </w:p>
        </w:tc>
      </w:tr>
      <w:tr w:rsidR="00E93821" w:rsidRPr="00D527D8" w:rsidTr="0008227B">
        <w:trPr>
          <w:cantSplit/>
        </w:trPr>
        <w:tc>
          <w:tcPr>
            <w:tcW w:w="1458" w:type="dxa"/>
          </w:tcPr>
          <w:p w:rsidR="00E93821" w:rsidRPr="00D527D8" w:rsidRDefault="00E93821" w:rsidP="0008227B">
            <w:pPr>
              <w:rPr>
                <w:sz w:val="20"/>
                <w:szCs w:val="20"/>
              </w:rPr>
            </w:pPr>
            <w:r w:rsidRPr="00D527D8">
              <w:rPr>
                <w:sz w:val="20"/>
                <w:szCs w:val="20"/>
              </w:rPr>
              <w:t>Coram :</w:t>
            </w:r>
          </w:p>
        </w:tc>
        <w:tc>
          <w:tcPr>
            <w:tcW w:w="8118" w:type="dxa"/>
          </w:tcPr>
          <w:p w:rsidR="00E93821" w:rsidRPr="00D527D8" w:rsidRDefault="00E93821" w:rsidP="0008227B">
            <w:pPr>
              <w:rPr>
                <w:sz w:val="20"/>
                <w:szCs w:val="20"/>
              </w:rPr>
            </w:pPr>
            <w:r w:rsidRPr="00D527D8">
              <w:rPr>
                <w:rStyle w:val="SCCCoramChar"/>
                <w:sz w:val="20"/>
                <w:szCs w:val="20"/>
                <w:lang w:val="en-CA"/>
              </w:rPr>
              <w:t>Abella, Rothstein and Moldaver JJ.</w:t>
            </w:r>
          </w:p>
          <w:p w:rsidR="00E93821" w:rsidRPr="00D527D8" w:rsidRDefault="00E93821" w:rsidP="0008227B">
            <w:pPr>
              <w:rPr>
                <w:sz w:val="20"/>
                <w:szCs w:val="20"/>
                <w:u w:val="single"/>
              </w:rPr>
            </w:pPr>
          </w:p>
        </w:tc>
      </w:tr>
      <w:tr w:rsidR="00E93821" w:rsidRPr="002B68E4" w:rsidTr="0008227B">
        <w:trPr>
          <w:cantSplit/>
        </w:trPr>
        <w:tc>
          <w:tcPr>
            <w:tcW w:w="9576" w:type="dxa"/>
            <w:gridSpan w:val="2"/>
          </w:tcPr>
          <w:p w:rsidR="00E93821" w:rsidRPr="00D527D8" w:rsidRDefault="00E93821" w:rsidP="0008227B">
            <w:pPr>
              <w:pStyle w:val="SCCShortJudgment"/>
              <w:rPr>
                <w:szCs w:val="20"/>
              </w:rPr>
            </w:pPr>
            <w:r w:rsidRPr="00D527D8">
              <w:rPr>
                <w:szCs w:val="20"/>
              </w:rPr>
              <w:t>The motion for an extension of time to serve and file the application for leave to appeal is granted. The application for leave to appeal from the judgment of the Nova Scotia Court of Appeal, Number CA 405527, 2013 NSCA 124, dated November 8, 2013, is dismissed with costs.</w:t>
            </w:r>
          </w:p>
          <w:p w:rsidR="00E93821" w:rsidRPr="00D527D8" w:rsidRDefault="00E93821" w:rsidP="0008227B">
            <w:pPr>
              <w:pStyle w:val="SCCShortJudgment"/>
              <w:ind w:firstLine="0"/>
              <w:rPr>
                <w:szCs w:val="20"/>
              </w:rPr>
            </w:pPr>
          </w:p>
          <w:p w:rsidR="00E93821" w:rsidRPr="00D527D8" w:rsidRDefault="00E93821" w:rsidP="0008227B">
            <w:pPr>
              <w:pStyle w:val="SCCShortJudgment"/>
              <w:rPr>
                <w:szCs w:val="20"/>
                <w:lang w:val="fr-CA"/>
              </w:rPr>
            </w:pPr>
            <w:r w:rsidRPr="00D527D8">
              <w:rPr>
                <w:szCs w:val="20"/>
                <w:lang w:val="fr-CA"/>
              </w:rPr>
              <w:t>La requête en prorogation du délai de signification et de dépôt de la demande d’autorisation d’appel est accueillie. La demande d’autorisation d’appel de l’arrêt de la Cour d’appel de la Nouvelle-Écosse, numéro CA 405527, 2013 NSCA 124, daté du 8 novembre 2013, est rejetée avec dépens.</w:t>
            </w:r>
          </w:p>
        </w:tc>
      </w:tr>
    </w:tbl>
    <w:p w:rsidR="007426C2" w:rsidRPr="00E93821"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D3F" w:rsidRPr="006D673B" w:rsidTr="00F71199">
        <w:tc>
          <w:tcPr>
            <w:tcW w:w="5000" w:type="pct"/>
            <w:gridSpan w:val="3"/>
          </w:tcPr>
          <w:p w:rsidR="00AB2D3F" w:rsidRPr="006D673B" w:rsidRDefault="00AB2D3F" w:rsidP="00F71199">
            <w:pPr>
              <w:jc w:val="both"/>
              <w:rPr>
                <w:rFonts w:eastAsia="Calibri"/>
                <w:sz w:val="20"/>
              </w:rPr>
            </w:pPr>
            <w:r w:rsidRPr="006D673B">
              <w:rPr>
                <w:rFonts w:eastAsia="Calibri"/>
                <w:sz w:val="20"/>
              </w:rPr>
              <w:t xml:space="preserve">Administrative law — Appeals — Insurance law — Disability insurance — Application for insurance coverage — Insurance company stopping disability payments alleging insured was not totally disabled — Insured brought claim — Insurer counterclaiming for fraudulent material misrepresentation seeking declaration that policy is void </w:t>
            </w:r>
            <w:r w:rsidRPr="006D673B">
              <w:rPr>
                <w:rFonts w:eastAsia="Calibri"/>
                <w:i/>
                <w:iCs/>
                <w:color w:val="000000"/>
                <w:sz w:val="20"/>
              </w:rPr>
              <w:t xml:space="preserve">ab initio </w:t>
            </w:r>
            <w:r w:rsidRPr="006D673B">
              <w:rPr>
                <w:rFonts w:eastAsia="Calibri"/>
                <w:sz w:val="20"/>
              </w:rPr>
              <w:t xml:space="preserve">— What is proper application of </w:t>
            </w:r>
            <w:r w:rsidRPr="006D673B">
              <w:rPr>
                <w:rFonts w:eastAsia="Calibri"/>
                <w:i/>
                <w:sz w:val="20"/>
              </w:rPr>
              <w:t>contra proferentum</w:t>
            </w:r>
            <w:r w:rsidRPr="006D673B">
              <w:rPr>
                <w:rFonts w:eastAsia="Calibri"/>
                <w:sz w:val="20"/>
              </w:rPr>
              <w:t xml:space="preserve"> in considering whether an insured’s medical history was misrepresented in an insurance application — Whether an expert should be regarded as impartial, biased or lacking independence because expert strongly criticized another expert, met with a party to discuss a report or met with party’s counsel</w:t>
            </w:r>
          </w:p>
        </w:tc>
      </w:tr>
      <w:tr w:rsidR="00AB2D3F" w:rsidRPr="006D673B" w:rsidTr="00F71199">
        <w:tc>
          <w:tcPr>
            <w:tcW w:w="5000" w:type="pct"/>
            <w:gridSpan w:val="3"/>
          </w:tcPr>
          <w:p w:rsidR="00AB2D3F" w:rsidRPr="006D673B" w:rsidRDefault="00AB2D3F" w:rsidP="00F71199">
            <w:pPr>
              <w:jc w:val="both"/>
              <w:rPr>
                <w:rFonts w:eastAsia="Calibri"/>
                <w:sz w:val="20"/>
              </w:rPr>
            </w:pPr>
          </w:p>
        </w:tc>
      </w:tr>
      <w:tr w:rsidR="00AB2D3F" w:rsidRPr="006D673B" w:rsidTr="00F71199">
        <w:tc>
          <w:tcPr>
            <w:tcW w:w="5000" w:type="pct"/>
            <w:gridSpan w:val="3"/>
          </w:tcPr>
          <w:p w:rsidR="00AB2D3F" w:rsidRPr="006D673B" w:rsidRDefault="00AB2D3F" w:rsidP="00F71199">
            <w:pPr>
              <w:spacing w:before="175"/>
              <w:ind w:right="30"/>
              <w:jc w:val="both"/>
              <w:rPr>
                <w:color w:val="000000"/>
                <w:sz w:val="20"/>
              </w:rPr>
            </w:pPr>
            <w:r w:rsidRPr="006D673B">
              <w:rPr>
                <w:color w:val="000000"/>
                <w:sz w:val="20"/>
              </w:rPr>
              <w:t>The respondent, Unum Provident provided disability coverage to the applicant, Douglas Walsh.   A claim was filed and, for a time, honoured.  Then Unum questioned Mr. Walsh's ongoing disability and stopped paying.  This prompted the present action.</w:t>
            </w:r>
          </w:p>
          <w:p w:rsidR="00AB2D3F" w:rsidRPr="006D673B" w:rsidRDefault="00AB2D3F" w:rsidP="00F71199">
            <w:pPr>
              <w:spacing w:before="175"/>
              <w:ind w:right="30"/>
              <w:jc w:val="both"/>
              <w:rPr>
                <w:color w:val="000000"/>
                <w:sz w:val="20"/>
              </w:rPr>
            </w:pPr>
            <w:r w:rsidRPr="006D673B">
              <w:rPr>
                <w:color w:val="000000"/>
                <w:sz w:val="20"/>
              </w:rPr>
              <w:t>In preparing for trial, Unum secured and reviewed Mr. Walsh's medical records.  It noted  undisclosed health problems that pre-dated the application for coverage.  Unum concluded that these problems, had they been known, would have affected its decision to offer coverage. Unum viewed these as fraudulent material misrepresentations prompting it to then challenge the actual coverage. It therefore counterclaimed seeking (a) a declaration that the policy was void from the outset, (b) the return of its money with interest, and (c) legal costs.</w:t>
            </w:r>
          </w:p>
          <w:p w:rsidR="00AB2D3F" w:rsidRPr="006D673B" w:rsidRDefault="00AB2D3F" w:rsidP="00F71199">
            <w:pPr>
              <w:spacing w:before="175"/>
              <w:ind w:right="30"/>
              <w:jc w:val="both"/>
              <w:rPr>
                <w:sz w:val="20"/>
              </w:rPr>
            </w:pPr>
            <w:r w:rsidRPr="006D673B">
              <w:rPr>
                <w:bCs/>
                <w:color w:val="000000"/>
                <w:sz w:val="20"/>
              </w:rPr>
              <w:t>T</w:t>
            </w:r>
            <w:r w:rsidRPr="006D673B">
              <w:rPr>
                <w:color w:val="000000"/>
                <w:sz w:val="20"/>
              </w:rPr>
              <w:t>he Supreme Court of Nova Scotia heard the matter and accepted Unum's counterclaim in its entirety.  The Court of Appeal dismissed the appeal.</w:t>
            </w:r>
          </w:p>
          <w:p w:rsidR="00AB2D3F" w:rsidRPr="006D673B" w:rsidRDefault="00AB2D3F" w:rsidP="00F71199">
            <w:pPr>
              <w:jc w:val="both"/>
              <w:rPr>
                <w:rFonts w:eastAsia="Calibri"/>
                <w:sz w:val="20"/>
              </w:rPr>
            </w:pPr>
          </w:p>
        </w:tc>
      </w:tr>
      <w:tr w:rsidR="00AB2D3F" w:rsidRPr="006D673B" w:rsidTr="00F71199">
        <w:tc>
          <w:tcPr>
            <w:tcW w:w="2427" w:type="pct"/>
          </w:tcPr>
          <w:p w:rsidR="00AB2D3F" w:rsidRPr="006D673B" w:rsidRDefault="00AB2D3F" w:rsidP="00F71199">
            <w:pPr>
              <w:jc w:val="both"/>
              <w:rPr>
                <w:rFonts w:eastAsia="Calibri"/>
                <w:sz w:val="20"/>
              </w:rPr>
            </w:pPr>
            <w:r w:rsidRPr="006D673B">
              <w:rPr>
                <w:rFonts w:eastAsia="Calibri"/>
                <w:sz w:val="20"/>
              </w:rPr>
              <w:t>February 29, 2012</w:t>
            </w:r>
          </w:p>
          <w:p w:rsidR="00AB2D3F" w:rsidRPr="006D673B" w:rsidRDefault="00AB2D3F" w:rsidP="00F71199">
            <w:pPr>
              <w:jc w:val="both"/>
              <w:rPr>
                <w:rFonts w:eastAsia="Calibri"/>
                <w:sz w:val="20"/>
              </w:rPr>
            </w:pPr>
            <w:r w:rsidRPr="006D673B">
              <w:rPr>
                <w:rFonts w:eastAsia="Calibri"/>
                <w:sz w:val="20"/>
              </w:rPr>
              <w:t>Supreme Court of Nova Scotia, Trial Division</w:t>
            </w:r>
          </w:p>
          <w:p w:rsidR="00AB2D3F" w:rsidRPr="006D673B" w:rsidRDefault="00AB2D3F" w:rsidP="00F71199">
            <w:pPr>
              <w:jc w:val="both"/>
              <w:rPr>
                <w:rFonts w:eastAsia="Calibri"/>
                <w:sz w:val="20"/>
              </w:rPr>
            </w:pPr>
            <w:r w:rsidRPr="006D673B">
              <w:rPr>
                <w:rFonts w:eastAsia="Calibri"/>
                <w:sz w:val="20"/>
              </w:rPr>
              <w:t>(Pickup J.)</w:t>
            </w:r>
          </w:p>
          <w:p w:rsidR="00AB2D3F" w:rsidRPr="006D673B" w:rsidRDefault="002B68E4" w:rsidP="00F71199">
            <w:pPr>
              <w:jc w:val="both"/>
              <w:rPr>
                <w:rFonts w:eastAsia="Calibri"/>
                <w:sz w:val="20"/>
              </w:rPr>
            </w:pPr>
            <w:hyperlink r:id="rId35" w:history="1">
              <w:r w:rsidR="00AB2D3F" w:rsidRPr="006D673B">
                <w:rPr>
                  <w:rFonts w:eastAsia="Calibri"/>
                  <w:color w:val="004B91"/>
                  <w:sz w:val="20"/>
                </w:rPr>
                <w:t>2012 NSSC 86</w:t>
              </w:r>
            </w:hyperlink>
            <w:r w:rsidR="00AB2D3F" w:rsidRPr="006D673B">
              <w:rPr>
                <w:rFonts w:eastAsia="Calibri"/>
                <w:sz w:val="20"/>
              </w:rPr>
              <w:t xml:space="preserve"> </w:t>
            </w:r>
          </w:p>
          <w:p w:rsidR="00AB2D3F" w:rsidRPr="006D673B" w:rsidRDefault="00AB2D3F" w:rsidP="00F71199">
            <w:pPr>
              <w:jc w:val="both"/>
              <w:rPr>
                <w:rFonts w:eastAsia="Calibri"/>
                <w:sz w:val="20"/>
              </w:rPr>
            </w:pPr>
          </w:p>
        </w:tc>
        <w:tc>
          <w:tcPr>
            <w:tcW w:w="243" w:type="pct"/>
          </w:tcPr>
          <w:p w:rsidR="00AB2D3F" w:rsidRPr="006D673B" w:rsidRDefault="00AB2D3F" w:rsidP="00F71199">
            <w:pPr>
              <w:jc w:val="both"/>
              <w:rPr>
                <w:rFonts w:eastAsia="Calibri"/>
                <w:sz w:val="20"/>
              </w:rPr>
            </w:pPr>
          </w:p>
        </w:tc>
        <w:tc>
          <w:tcPr>
            <w:tcW w:w="2330" w:type="pct"/>
          </w:tcPr>
          <w:p w:rsidR="00AB2D3F" w:rsidRPr="006D673B" w:rsidRDefault="00AB2D3F" w:rsidP="00F71199">
            <w:pPr>
              <w:jc w:val="both"/>
              <w:rPr>
                <w:rFonts w:eastAsia="Calibri"/>
                <w:sz w:val="20"/>
              </w:rPr>
            </w:pPr>
            <w:r w:rsidRPr="006D673B">
              <w:rPr>
                <w:rFonts w:eastAsia="Calibri"/>
                <w:sz w:val="20"/>
              </w:rPr>
              <w:t>Mr. Walsh’s claim dismissed; Unum Provident counterclaim allowed.</w:t>
            </w:r>
          </w:p>
          <w:p w:rsidR="00AB2D3F" w:rsidRPr="006D673B" w:rsidRDefault="00AB2D3F" w:rsidP="00F71199">
            <w:pPr>
              <w:jc w:val="both"/>
              <w:rPr>
                <w:rFonts w:eastAsia="Calibri"/>
                <w:sz w:val="20"/>
              </w:rPr>
            </w:pPr>
          </w:p>
        </w:tc>
      </w:tr>
      <w:tr w:rsidR="00AB2D3F" w:rsidRPr="006D673B" w:rsidTr="00F71199">
        <w:tc>
          <w:tcPr>
            <w:tcW w:w="2427" w:type="pct"/>
          </w:tcPr>
          <w:p w:rsidR="00AB2D3F" w:rsidRPr="006D673B" w:rsidRDefault="00AB2D3F" w:rsidP="00F71199">
            <w:pPr>
              <w:jc w:val="both"/>
              <w:rPr>
                <w:rFonts w:eastAsia="Calibri"/>
                <w:sz w:val="20"/>
              </w:rPr>
            </w:pPr>
            <w:r w:rsidRPr="006D673B">
              <w:rPr>
                <w:rFonts w:eastAsia="Calibri"/>
                <w:sz w:val="20"/>
              </w:rPr>
              <w:t>November 8, 2013</w:t>
            </w:r>
          </w:p>
          <w:p w:rsidR="00AB2D3F" w:rsidRPr="006D673B" w:rsidRDefault="00AB2D3F" w:rsidP="00F71199">
            <w:pPr>
              <w:jc w:val="both"/>
              <w:rPr>
                <w:rFonts w:eastAsia="Calibri"/>
                <w:sz w:val="20"/>
              </w:rPr>
            </w:pPr>
            <w:r w:rsidRPr="006D673B">
              <w:rPr>
                <w:rFonts w:eastAsia="Calibri"/>
                <w:sz w:val="20"/>
              </w:rPr>
              <w:t>Nova Scotia Court of Appeal</w:t>
            </w:r>
          </w:p>
          <w:p w:rsidR="00AB2D3F" w:rsidRPr="006D673B" w:rsidRDefault="00AB2D3F" w:rsidP="00F71199">
            <w:pPr>
              <w:jc w:val="both"/>
              <w:rPr>
                <w:rFonts w:eastAsia="Calibri"/>
                <w:sz w:val="20"/>
              </w:rPr>
            </w:pPr>
            <w:r w:rsidRPr="006D673B">
              <w:rPr>
                <w:rFonts w:eastAsia="Calibri"/>
                <w:sz w:val="20"/>
              </w:rPr>
              <w:t>(MacDonald C.J.N.S. and Saunders and Fichaud JJ.A.)</w:t>
            </w:r>
          </w:p>
          <w:p w:rsidR="00AB2D3F" w:rsidRPr="006D673B" w:rsidRDefault="002B68E4" w:rsidP="00F71199">
            <w:pPr>
              <w:jc w:val="both"/>
              <w:rPr>
                <w:rFonts w:eastAsia="Calibri"/>
                <w:sz w:val="20"/>
              </w:rPr>
            </w:pPr>
            <w:hyperlink r:id="rId36" w:history="1">
              <w:r w:rsidR="00AB2D3F" w:rsidRPr="006D673B">
                <w:rPr>
                  <w:rFonts w:eastAsia="Calibri"/>
                  <w:color w:val="004B91"/>
                  <w:sz w:val="20"/>
                </w:rPr>
                <w:t>2013 NSCA 124</w:t>
              </w:r>
            </w:hyperlink>
          </w:p>
          <w:p w:rsidR="00AB2D3F" w:rsidRPr="006D673B" w:rsidRDefault="00AB2D3F" w:rsidP="00F71199">
            <w:pPr>
              <w:jc w:val="both"/>
              <w:rPr>
                <w:rFonts w:eastAsia="Calibri"/>
                <w:sz w:val="20"/>
              </w:rPr>
            </w:pPr>
          </w:p>
        </w:tc>
        <w:tc>
          <w:tcPr>
            <w:tcW w:w="243" w:type="pct"/>
          </w:tcPr>
          <w:p w:rsidR="00AB2D3F" w:rsidRPr="006D673B" w:rsidRDefault="00AB2D3F" w:rsidP="00F71199">
            <w:pPr>
              <w:jc w:val="both"/>
              <w:rPr>
                <w:rFonts w:eastAsia="Calibri"/>
                <w:sz w:val="20"/>
              </w:rPr>
            </w:pPr>
          </w:p>
        </w:tc>
        <w:tc>
          <w:tcPr>
            <w:tcW w:w="2330" w:type="pct"/>
          </w:tcPr>
          <w:p w:rsidR="00AB2D3F" w:rsidRPr="006D673B" w:rsidRDefault="00AB2D3F" w:rsidP="00F71199">
            <w:pPr>
              <w:jc w:val="both"/>
              <w:rPr>
                <w:rFonts w:eastAsia="Calibri"/>
                <w:sz w:val="20"/>
              </w:rPr>
            </w:pPr>
            <w:r w:rsidRPr="006D673B">
              <w:rPr>
                <w:rFonts w:eastAsia="Calibri"/>
                <w:sz w:val="20"/>
              </w:rPr>
              <w:t>Appeal dismissed.</w:t>
            </w:r>
          </w:p>
          <w:p w:rsidR="00AB2D3F" w:rsidRPr="006D673B" w:rsidRDefault="00AB2D3F" w:rsidP="00F71199">
            <w:pPr>
              <w:jc w:val="both"/>
              <w:rPr>
                <w:rFonts w:eastAsia="Calibri"/>
                <w:sz w:val="20"/>
              </w:rPr>
            </w:pPr>
          </w:p>
        </w:tc>
      </w:tr>
      <w:tr w:rsidR="00AB2D3F" w:rsidRPr="006D673B" w:rsidTr="00F71199">
        <w:tc>
          <w:tcPr>
            <w:tcW w:w="2427" w:type="pct"/>
          </w:tcPr>
          <w:p w:rsidR="00AB2D3F" w:rsidRPr="006D673B" w:rsidRDefault="00AB2D3F" w:rsidP="00F71199">
            <w:pPr>
              <w:jc w:val="both"/>
              <w:rPr>
                <w:rFonts w:eastAsia="Calibri"/>
                <w:sz w:val="20"/>
              </w:rPr>
            </w:pPr>
            <w:r w:rsidRPr="006D673B">
              <w:rPr>
                <w:rFonts w:eastAsia="Calibri"/>
                <w:sz w:val="20"/>
              </w:rPr>
              <w:t>April 9, 2014</w:t>
            </w:r>
          </w:p>
          <w:p w:rsidR="00AB2D3F" w:rsidRPr="006D673B" w:rsidRDefault="00AB2D3F" w:rsidP="00F71199">
            <w:pPr>
              <w:jc w:val="both"/>
              <w:rPr>
                <w:rFonts w:eastAsia="Calibri"/>
                <w:sz w:val="20"/>
              </w:rPr>
            </w:pPr>
            <w:r w:rsidRPr="006D673B">
              <w:rPr>
                <w:rFonts w:eastAsia="Calibri"/>
                <w:sz w:val="20"/>
              </w:rPr>
              <w:t>Supreme Court of Canada</w:t>
            </w:r>
          </w:p>
          <w:p w:rsidR="00AB2D3F" w:rsidRPr="006D673B" w:rsidRDefault="00AB2D3F" w:rsidP="00F71199">
            <w:pPr>
              <w:jc w:val="both"/>
              <w:rPr>
                <w:rFonts w:eastAsia="Calibri"/>
                <w:sz w:val="20"/>
              </w:rPr>
            </w:pPr>
          </w:p>
        </w:tc>
        <w:tc>
          <w:tcPr>
            <w:tcW w:w="243" w:type="pct"/>
          </w:tcPr>
          <w:p w:rsidR="00AB2D3F" w:rsidRPr="006D673B" w:rsidRDefault="00AB2D3F" w:rsidP="00F71199">
            <w:pPr>
              <w:jc w:val="both"/>
              <w:rPr>
                <w:rFonts w:eastAsia="Calibri"/>
                <w:sz w:val="20"/>
              </w:rPr>
            </w:pPr>
          </w:p>
        </w:tc>
        <w:tc>
          <w:tcPr>
            <w:tcW w:w="2330" w:type="pct"/>
          </w:tcPr>
          <w:p w:rsidR="00AB2D3F" w:rsidRPr="006D673B" w:rsidRDefault="00AB2D3F" w:rsidP="00F71199">
            <w:pPr>
              <w:jc w:val="both"/>
              <w:rPr>
                <w:rFonts w:eastAsia="Calibri"/>
                <w:sz w:val="20"/>
              </w:rPr>
            </w:pPr>
            <w:r w:rsidRPr="006D673B">
              <w:rPr>
                <w:rFonts w:eastAsia="Calibri"/>
                <w:sz w:val="20"/>
              </w:rPr>
              <w:t>Application for leave to appeal filed</w:t>
            </w:r>
          </w:p>
          <w:p w:rsidR="00AB2D3F" w:rsidRPr="006D673B" w:rsidRDefault="00AB2D3F" w:rsidP="00F71199">
            <w:pPr>
              <w:jc w:val="both"/>
              <w:rPr>
                <w:rFonts w:eastAsia="Calibri"/>
                <w:sz w:val="20"/>
              </w:rPr>
            </w:pPr>
          </w:p>
        </w:tc>
      </w:tr>
    </w:tbl>
    <w:p w:rsidR="00E93821" w:rsidRDefault="00E9382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D3F" w:rsidRPr="006D673B" w:rsidTr="00E93821">
        <w:trPr>
          <w:cantSplit/>
        </w:trPr>
        <w:tc>
          <w:tcPr>
            <w:tcW w:w="2427" w:type="pct"/>
          </w:tcPr>
          <w:p w:rsidR="00AB2D3F" w:rsidRPr="006D673B" w:rsidRDefault="00AB2D3F" w:rsidP="00F71199">
            <w:pPr>
              <w:jc w:val="both"/>
              <w:rPr>
                <w:rFonts w:eastAsia="Calibri"/>
                <w:sz w:val="20"/>
              </w:rPr>
            </w:pPr>
            <w:r w:rsidRPr="006D673B">
              <w:rPr>
                <w:rFonts w:eastAsia="Calibri"/>
                <w:sz w:val="20"/>
              </w:rPr>
              <w:lastRenderedPageBreak/>
              <w:t>April 9, 2014</w:t>
            </w:r>
          </w:p>
          <w:p w:rsidR="00AB2D3F" w:rsidRPr="006D673B" w:rsidRDefault="00AB2D3F" w:rsidP="00F71199">
            <w:pPr>
              <w:jc w:val="both"/>
              <w:rPr>
                <w:rFonts w:eastAsia="Calibri"/>
                <w:sz w:val="20"/>
              </w:rPr>
            </w:pPr>
            <w:r w:rsidRPr="006D673B">
              <w:rPr>
                <w:rFonts w:eastAsia="Calibri"/>
                <w:sz w:val="20"/>
              </w:rPr>
              <w:t>Supreme Court of Canada</w:t>
            </w:r>
          </w:p>
        </w:tc>
        <w:tc>
          <w:tcPr>
            <w:tcW w:w="243" w:type="pct"/>
          </w:tcPr>
          <w:p w:rsidR="00AB2D3F" w:rsidRPr="006D673B" w:rsidRDefault="00AB2D3F" w:rsidP="00F71199">
            <w:pPr>
              <w:jc w:val="both"/>
              <w:rPr>
                <w:rFonts w:eastAsia="Calibri"/>
                <w:sz w:val="20"/>
              </w:rPr>
            </w:pPr>
          </w:p>
        </w:tc>
        <w:tc>
          <w:tcPr>
            <w:tcW w:w="2330" w:type="pct"/>
          </w:tcPr>
          <w:p w:rsidR="00AB2D3F" w:rsidRPr="006D673B" w:rsidRDefault="00AB2D3F" w:rsidP="00F71199">
            <w:pPr>
              <w:jc w:val="both"/>
              <w:rPr>
                <w:rFonts w:eastAsia="Calibri"/>
                <w:sz w:val="20"/>
              </w:rPr>
            </w:pPr>
            <w:r w:rsidRPr="006D673B">
              <w:rPr>
                <w:rFonts w:eastAsia="Calibri"/>
                <w:sz w:val="20"/>
              </w:rPr>
              <w:t>Motion for extension of time to file and/or serve leave application</w:t>
            </w: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37"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D3F" w:rsidRPr="002B68E4" w:rsidTr="00F71199">
        <w:tc>
          <w:tcPr>
            <w:tcW w:w="5000" w:type="pct"/>
            <w:gridSpan w:val="3"/>
          </w:tcPr>
          <w:p w:rsidR="00AB2D3F" w:rsidRPr="006D673B" w:rsidRDefault="00AB2D3F" w:rsidP="00F71199">
            <w:pPr>
              <w:jc w:val="both"/>
              <w:rPr>
                <w:rFonts w:eastAsia="Calibri"/>
                <w:sz w:val="20"/>
                <w:lang w:val="fr-CA"/>
              </w:rPr>
            </w:pPr>
            <w:r w:rsidRPr="006D673B">
              <w:rPr>
                <w:rFonts w:eastAsia="Calibri"/>
                <w:sz w:val="20"/>
                <w:lang w:val="fr-CA"/>
              </w:rPr>
              <w:t xml:space="preserve">Droit administratif — Appels — Droit des assurances — Assurance-invalidité — Demande d’assurance — Cessation par la compagnie d’assurance des prestations d’invalidité pour le motif que l’assuré ne souffrait pas d’une incapacité totale — Poursuite intentée par l’assuré — Assureur présentant une demande reconventionnelle pour fausses déclarations frauduleuses sur des faits importants et demandant un jugement déclaratoire selon lequel la police d’assurance est nulle </w:t>
            </w:r>
            <w:r w:rsidRPr="006D673B">
              <w:rPr>
                <w:rFonts w:eastAsia="Calibri"/>
                <w:i/>
                <w:iCs/>
                <w:color w:val="000000"/>
                <w:sz w:val="20"/>
                <w:lang w:val="fr-CA"/>
              </w:rPr>
              <w:t xml:space="preserve">ab initio </w:t>
            </w:r>
            <w:r w:rsidRPr="006D673B">
              <w:rPr>
                <w:rFonts w:eastAsia="Calibri"/>
                <w:sz w:val="20"/>
                <w:lang w:val="fr-CA"/>
              </w:rPr>
              <w:t xml:space="preserve">— De quelle façon doit-on appliquer la règle </w:t>
            </w:r>
            <w:r w:rsidRPr="006D673B">
              <w:rPr>
                <w:rFonts w:eastAsia="Calibri"/>
                <w:i/>
                <w:sz w:val="20"/>
                <w:lang w:val="fr-CA"/>
              </w:rPr>
              <w:t>contra proferentem</w:t>
            </w:r>
            <w:r w:rsidRPr="006D673B">
              <w:rPr>
                <w:rFonts w:eastAsia="Calibri"/>
                <w:sz w:val="20"/>
                <w:lang w:val="fr-CA"/>
              </w:rPr>
              <w:t xml:space="preserve"> lorsqu’il s’agit de déterminer si les antécédents médicaux d’un assuré ont été cachés lors du dépôt d’une demande d’assurance? — Doit-on juger qu’un expert est impartial, partial ou n’est pas indépendant parce qu’il a vertement critiqué un autre expert, rencontré une partie pour discuter d’un rapport ou rencontré l’avocat de cette dernière? </w:t>
            </w:r>
          </w:p>
        </w:tc>
      </w:tr>
      <w:tr w:rsidR="00AB2D3F" w:rsidRPr="006D673B" w:rsidTr="00F71199">
        <w:tc>
          <w:tcPr>
            <w:tcW w:w="5000" w:type="pct"/>
            <w:gridSpan w:val="3"/>
          </w:tcPr>
          <w:p w:rsidR="00AB2D3F" w:rsidRPr="006D673B" w:rsidRDefault="00AB2D3F" w:rsidP="00F71199">
            <w:pPr>
              <w:spacing w:before="175"/>
              <w:ind w:right="30"/>
              <w:jc w:val="both"/>
              <w:rPr>
                <w:color w:val="000000"/>
                <w:sz w:val="20"/>
                <w:lang w:val="fr-CA"/>
              </w:rPr>
            </w:pPr>
            <w:r w:rsidRPr="006D673B">
              <w:rPr>
                <w:color w:val="000000"/>
                <w:sz w:val="20"/>
                <w:lang w:val="fr-CA"/>
              </w:rPr>
              <w:t xml:space="preserve">L’intimée, Unum Provident, a offert une assurance-invalidité au demandeur, Douglas Walsh. Une réclamation a été faite et, pendant un certain temps, Unum Provident a versé des prestations.  Puis, Unum a mis en doute l’invalidité permanente de M. Walsh et cessé les prestations, d’où la présente action. </w:t>
            </w:r>
          </w:p>
          <w:p w:rsidR="00AB2D3F" w:rsidRPr="006D673B" w:rsidRDefault="00AB2D3F" w:rsidP="00F71199">
            <w:pPr>
              <w:spacing w:before="175"/>
              <w:ind w:right="30"/>
              <w:jc w:val="both"/>
              <w:rPr>
                <w:color w:val="000000"/>
                <w:sz w:val="20"/>
                <w:lang w:val="fr-CA"/>
              </w:rPr>
            </w:pPr>
            <w:r w:rsidRPr="006D673B">
              <w:rPr>
                <w:color w:val="000000"/>
                <w:sz w:val="20"/>
                <w:lang w:val="fr-CA"/>
              </w:rPr>
              <w:t>Alors qu’elle se préparait au procès, Unum a obtenu et examiné le dossier médical de M. Walsh.  Elle a constaté que M. Walsh avait des problèmes de santé dont l’existence n’avait pas été révélée et qui précédaient la demande d’assurance.  Unum a conclu que, si elle avait eu connaissance de ces problèmes, cela aurait influé sur sa décision d’offrir une assurance.  Il s’agissait, selon Unum, de fausses déclarations frauduleuses sur des faits importants, qui l’ont amenée ensuite à contester la police d’assurance actuelle.  Elle a donc présenté une demande reconventionnelle pour obtenir (a) un jugement déclarant que la police était nulle depuis le début, (b) le remboursement de son argent avec intérêts et (c) les dépens.</w:t>
            </w:r>
          </w:p>
          <w:p w:rsidR="00AB2D3F" w:rsidRPr="006D673B" w:rsidRDefault="00AB2D3F" w:rsidP="00F71199">
            <w:pPr>
              <w:spacing w:before="175"/>
              <w:ind w:right="30"/>
              <w:jc w:val="both"/>
              <w:rPr>
                <w:sz w:val="20"/>
              </w:rPr>
            </w:pPr>
            <w:r w:rsidRPr="006D673B">
              <w:rPr>
                <w:bCs/>
                <w:color w:val="000000"/>
                <w:sz w:val="20"/>
                <w:lang w:val="fr-CA"/>
              </w:rPr>
              <w:t>La Cour suprême de la Nouvelle-Écosse a instruit l’affaire et fait droit à la demande reconventionnelle d’</w:t>
            </w:r>
            <w:r w:rsidRPr="006D673B">
              <w:rPr>
                <w:color w:val="000000"/>
                <w:sz w:val="20"/>
                <w:lang w:val="fr-CA"/>
              </w:rPr>
              <w:t xml:space="preserve">Unum dans son intégralité.  </w:t>
            </w:r>
            <w:r w:rsidRPr="006D673B">
              <w:rPr>
                <w:color w:val="000000"/>
                <w:sz w:val="20"/>
              </w:rPr>
              <w:t>La Cour d’appel a rejeté l’appel.</w:t>
            </w:r>
          </w:p>
          <w:p w:rsidR="00AB2D3F" w:rsidRPr="006D673B" w:rsidRDefault="00AB2D3F" w:rsidP="00F71199">
            <w:pPr>
              <w:jc w:val="both"/>
              <w:rPr>
                <w:rFonts w:eastAsia="Calibri"/>
                <w:sz w:val="20"/>
              </w:rPr>
            </w:pPr>
          </w:p>
        </w:tc>
      </w:tr>
      <w:tr w:rsidR="00AB2D3F" w:rsidRPr="002B68E4" w:rsidTr="00F71199">
        <w:tc>
          <w:tcPr>
            <w:tcW w:w="2427" w:type="pct"/>
          </w:tcPr>
          <w:p w:rsidR="00AB2D3F" w:rsidRPr="006D673B" w:rsidRDefault="00AB2D3F" w:rsidP="00F71199">
            <w:pPr>
              <w:jc w:val="both"/>
              <w:rPr>
                <w:rFonts w:eastAsia="Calibri"/>
                <w:sz w:val="20"/>
                <w:lang w:val="fr-CA"/>
              </w:rPr>
            </w:pPr>
            <w:r w:rsidRPr="006D673B">
              <w:rPr>
                <w:rFonts w:eastAsia="Calibri"/>
                <w:sz w:val="20"/>
                <w:lang w:val="fr-CA"/>
              </w:rPr>
              <w:t>29 février 2012</w:t>
            </w:r>
          </w:p>
          <w:p w:rsidR="00AB2D3F" w:rsidRPr="006D673B" w:rsidRDefault="00AB2D3F" w:rsidP="00F71199">
            <w:pPr>
              <w:jc w:val="both"/>
              <w:rPr>
                <w:rFonts w:eastAsia="Calibri"/>
                <w:sz w:val="20"/>
                <w:lang w:val="fr-CA"/>
              </w:rPr>
            </w:pPr>
            <w:r w:rsidRPr="006D673B">
              <w:rPr>
                <w:rFonts w:eastAsia="Calibri"/>
                <w:sz w:val="20"/>
                <w:lang w:val="fr-CA"/>
              </w:rPr>
              <w:t>Cour suprême de la Nouvelle-Écosse, Section de première instance</w:t>
            </w:r>
          </w:p>
          <w:p w:rsidR="00AB2D3F" w:rsidRPr="006D673B" w:rsidRDefault="00AB2D3F" w:rsidP="00F71199">
            <w:pPr>
              <w:jc w:val="both"/>
              <w:rPr>
                <w:rFonts w:eastAsia="Calibri"/>
                <w:sz w:val="20"/>
              </w:rPr>
            </w:pPr>
            <w:r w:rsidRPr="006D673B">
              <w:rPr>
                <w:rFonts w:eastAsia="Calibri"/>
                <w:sz w:val="20"/>
              </w:rPr>
              <w:t>(Juge Pickup)</w:t>
            </w:r>
          </w:p>
          <w:p w:rsidR="00AB2D3F" w:rsidRPr="006D673B" w:rsidRDefault="002B68E4" w:rsidP="00F71199">
            <w:pPr>
              <w:jc w:val="both"/>
              <w:rPr>
                <w:rFonts w:eastAsia="Calibri"/>
                <w:sz w:val="20"/>
              </w:rPr>
            </w:pPr>
            <w:hyperlink r:id="rId37" w:history="1">
              <w:r w:rsidR="00AB2D3F" w:rsidRPr="006D673B">
                <w:rPr>
                  <w:rFonts w:eastAsia="Calibri"/>
                  <w:color w:val="004B91"/>
                  <w:sz w:val="20"/>
                </w:rPr>
                <w:t>2012 NSSC 86</w:t>
              </w:r>
            </w:hyperlink>
            <w:r w:rsidR="00AB2D3F" w:rsidRPr="006D673B">
              <w:rPr>
                <w:rFonts w:eastAsia="Calibri"/>
                <w:sz w:val="20"/>
              </w:rPr>
              <w:t xml:space="preserve"> </w:t>
            </w:r>
          </w:p>
          <w:p w:rsidR="00AB2D3F" w:rsidRPr="006D673B" w:rsidRDefault="00AB2D3F" w:rsidP="00F71199">
            <w:pPr>
              <w:jc w:val="both"/>
              <w:rPr>
                <w:rFonts w:eastAsia="Calibri"/>
                <w:sz w:val="20"/>
              </w:rPr>
            </w:pPr>
          </w:p>
        </w:tc>
        <w:tc>
          <w:tcPr>
            <w:tcW w:w="243" w:type="pct"/>
          </w:tcPr>
          <w:p w:rsidR="00AB2D3F" w:rsidRPr="006D673B" w:rsidRDefault="00AB2D3F" w:rsidP="00F71199">
            <w:pPr>
              <w:jc w:val="both"/>
              <w:rPr>
                <w:rFonts w:eastAsia="Calibri"/>
                <w:sz w:val="20"/>
              </w:rPr>
            </w:pPr>
          </w:p>
        </w:tc>
        <w:tc>
          <w:tcPr>
            <w:tcW w:w="2330" w:type="pct"/>
          </w:tcPr>
          <w:p w:rsidR="00AB2D3F" w:rsidRPr="006D673B" w:rsidRDefault="00AB2D3F" w:rsidP="00F71199">
            <w:pPr>
              <w:jc w:val="both"/>
              <w:rPr>
                <w:rFonts w:eastAsia="Calibri"/>
                <w:sz w:val="20"/>
                <w:lang w:val="fr-CA"/>
              </w:rPr>
            </w:pPr>
            <w:r w:rsidRPr="006D673B">
              <w:rPr>
                <w:rFonts w:eastAsia="Calibri"/>
                <w:sz w:val="20"/>
                <w:lang w:val="fr-CA"/>
              </w:rPr>
              <w:t>Poursuite de M. Walsh rejetée; demande reconventionnelle d’Unum accueillie</w:t>
            </w:r>
          </w:p>
          <w:p w:rsidR="00AB2D3F" w:rsidRPr="006D673B" w:rsidRDefault="00AB2D3F" w:rsidP="00F71199">
            <w:pPr>
              <w:jc w:val="both"/>
              <w:rPr>
                <w:rFonts w:eastAsia="Calibri"/>
                <w:sz w:val="20"/>
                <w:lang w:val="fr-CA"/>
              </w:rPr>
            </w:pPr>
          </w:p>
        </w:tc>
      </w:tr>
      <w:tr w:rsidR="00AB2D3F" w:rsidRPr="006D673B" w:rsidTr="00F71199">
        <w:tc>
          <w:tcPr>
            <w:tcW w:w="2427" w:type="pct"/>
          </w:tcPr>
          <w:p w:rsidR="00AB2D3F" w:rsidRPr="006D673B" w:rsidRDefault="00AB2D3F" w:rsidP="00F71199">
            <w:pPr>
              <w:jc w:val="both"/>
              <w:rPr>
                <w:rFonts w:eastAsia="Calibri"/>
                <w:sz w:val="20"/>
                <w:lang w:val="fr-CA"/>
              </w:rPr>
            </w:pPr>
            <w:r w:rsidRPr="006D673B">
              <w:rPr>
                <w:rFonts w:eastAsia="Calibri"/>
                <w:sz w:val="20"/>
                <w:lang w:val="fr-CA"/>
              </w:rPr>
              <w:t>8 novembre 2013</w:t>
            </w:r>
          </w:p>
          <w:p w:rsidR="00AB2D3F" w:rsidRPr="006D673B" w:rsidRDefault="00AB2D3F" w:rsidP="00F71199">
            <w:pPr>
              <w:jc w:val="both"/>
              <w:rPr>
                <w:rFonts w:eastAsia="Calibri"/>
                <w:sz w:val="20"/>
                <w:lang w:val="fr-CA"/>
              </w:rPr>
            </w:pPr>
            <w:r w:rsidRPr="006D673B">
              <w:rPr>
                <w:rFonts w:eastAsia="Calibri"/>
                <w:sz w:val="20"/>
                <w:lang w:val="fr-CA"/>
              </w:rPr>
              <w:t xml:space="preserve">Cour d’appel de la Nouvelle-Écosse </w:t>
            </w:r>
          </w:p>
          <w:p w:rsidR="00AB2D3F" w:rsidRPr="006D673B" w:rsidRDefault="00AB2D3F" w:rsidP="00F71199">
            <w:pPr>
              <w:jc w:val="both"/>
              <w:rPr>
                <w:rFonts w:eastAsia="Calibri"/>
                <w:sz w:val="20"/>
                <w:lang w:val="fr-CA"/>
              </w:rPr>
            </w:pPr>
            <w:r w:rsidRPr="006D673B">
              <w:rPr>
                <w:rFonts w:eastAsia="Calibri"/>
                <w:sz w:val="20"/>
                <w:lang w:val="fr-CA"/>
              </w:rPr>
              <w:t>(Juge en chef MacDonald et juges Saunders et Fichaud)</w:t>
            </w:r>
          </w:p>
          <w:p w:rsidR="00AB2D3F" w:rsidRPr="006D673B" w:rsidRDefault="002B68E4" w:rsidP="00F71199">
            <w:pPr>
              <w:jc w:val="both"/>
              <w:rPr>
                <w:rFonts w:eastAsia="Calibri"/>
                <w:sz w:val="20"/>
                <w:lang w:val="fr-CA"/>
              </w:rPr>
            </w:pPr>
            <w:hyperlink r:id="rId38" w:history="1">
              <w:r w:rsidR="00AB2D3F" w:rsidRPr="006D673B">
                <w:rPr>
                  <w:rFonts w:eastAsia="Calibri"/>
                  <w:color w:val="004B91"/>
                  <w:sz w:val="20"/>
                  <w:lang w:val="fr-CA"/>
                </w:rPr>
                <w:t>2013 NSCA 124</w:t>
              </w:r>
            </w:hyperlink>
          </w:p>
          <w:p w:rsidR="00AB2D3F" w:rsidRPr="006D673B" w:rsidRDefault="00AB2D3F" w:rsidP="00F71199">
            <w:pPr>
              <w:jc w:val="both"/>
              <w:rPr>
                <w:rFonts w:eastAsia="Calibri"/>
                <w:sz w:val="20"/>
                <w:lang w:val="fr-CA"/>
              </w:rPr>
            </w:pPr>
          </w:p>
        </w:tc>
        <w:tc>
          <w:tcPr>
            <w:tcW w:w="243" w:type="pct"/>
          </w:tcPr>
          <w:p w:rsidR="00AB2D3F" w:rsidRPr="006D673B" w:rsidRDefault="00AB2D3F" w:rsidP="00F71199">
            <w:pPr>
              <w:jc w:val="both"/>
              <w:rPr>
                <w:rFonts w:eastAsia="Calibri"/>
                <w:sz w:val="20"/>
                <w:lang w:val="fr-CA"/>
              </w:rPr>
            </w:pPr>
          </w:p>
        </w:tc>
        <w:tc>
          <w:tcPr>
            <w:tcW w:w="2330" w:type="pct"/>
          </w:tcPr>
          <w:p w:rsidR="00AB2D3F" w:rsidRPr="006D673B" w:rsidRDefault="00AB2D3F" w:rsidP="00F71199">
            <w:pPr>
              <w:jc w:val="both"/>
              <w:rPr>
                <w:rFonts w:eastAsia="Calibri"/>
                <w:sz w:val="20"/>
              </w:rPr>
            </w:pPr>
            <w:r w:rsidRPr="006D673B">
              <w:rPr>
                <w:rFonts w:eastAsia="Calibri"/>
                <w:sz w:val="20"/>
              </w:rPr>
              <w:t>Appel rejeté</w:t>
            </w:r>
          </w:p>
          <w:p w:rsidR="00AB2D3F" w:rsidRPr="006D673B" w:rsidRDefault="00AB2D3F" w:rsidP="00F71199">
            <w:pPr>
              <w:jc w:val="both"/>
              <w:rPr>
                <w:rFonts w:eastAsia="Calibri"/>
                <w:sz w:val="20"/>
              </w:rPr>
            </w:pPr>
          </w:p>
        </w:tc>
      </w:tr>
      <w:tr w:rsidR="00AB2D3F" w:rsidRPr="006D673B" w:rsidTr="00F71199">
        <w:tc>
          <w:tcPr>
            <w:tcW w:w="2427" w:type="pct"/>
          </w:tcPr>
          <w:p w:rsidR="00AB2D3F" w:rsidRPr="006D673B" w:rsidRDefault="00AB2D3F" w:rsidP="00F71199">
            <w:pPr>
              <w:jc w:val="both"/>
              <w:rPr>
                <w:rFonts w:eastAsia="Calibri"/>
                <w:sz w:val="20"/>
                <w:lang w:val="fr-CA"/>
              </w:rPr>
            </w:pPr>
            <w:r w:rsidRPr="006D673B">
              <w:rPr>
                <w:rFonts w:eastAsia="Calibri"/>
                <w:sz w:val="20"/>
                <w:lang w:val="fr-CA"/>
              </w:rPr>
              <w:t>9 avril 2014</w:t>
            </w:r>
          </w:p>
          <w:p w:rsidR="00AB2D3F" w:rsidRPr="006D673B" w:rsidRDefault="00AB2D3F" w:rsidP="00F71199">
            <w:pPr>
              <w:jc w:val="both"/>
              <w:rPr>
                <w:rFonts w:eastAsia="Calibri"/>
                <w:sz w:val="20"/>
                <w:lang w:val="fr-CA"/>
              </w:rPr>
            </w:pPr>
            <w:r w:rsidRPr="006D673B">
              <w:rPr>
                <w:rFonts w:eastAsia="Calibri"/>
                <w:sz w:val="20"/>
                <w:lang w:val="fr-CA"/>
              </w:rPr>
              <w:t>Cour suprême du Canada</w:t>
            </w:r>
          </w:p>
          <w:p w:rsidR="00AB2D3F" w:rsidRPr="006D673B" w:rsidRDefault="00AB2D3F" w:rsidP="00F71199">
            <w:pPr>
              <w:jc w:val="both"/>
              <w:rPr>
                <w:rFonts w:eastAsia="Calibri"/>
                <w:sz w:val="20"/>
                <w:lang w:val="fr-CA"/>
              </w:rPr>
            </w:pPr>
          </w:p>
        </w:tc>
        <w:tc>
          <w:tcPr>
            <w:tcW w:w="243" w:type="pct"/>
          </w:tcPr>
          <w:p w:rsidR="00AB2D3F" w:rsidRPr="006D673B" w:rsidRDefault="00AB2D3F" w:rsidP="00F71199">
            <w:pPr>
              <w:jc w:val="both"/>
              <w:rPr>
                <w:rFonts w:eastAsia="Calibri"/>
                <w:sz w:val="20"/>
                <w:lang w:val="fr-CA"/>
              </w:rPr>
            </w:pPr>
          </w:p>
        </w:tc>
        <w:tc>
          <w:tcPr>
            <w:tcW w:w="2330" w:type="pct"/>
          </w:tcPr>
          <w:p w:rsidR="00AB2D3F" w:rsidRPr="006D673B" w:rsidRDefault="00AB2D3F" w:rsidP="00F71199">
            <w:pPr>
              <w:jc w:val="both"/>
              <w:rPr>
                <w:rFonts w:eastAsia="Calibri"/>
                <w:sz w:val="20"/>
              </w:rPr>
            </w:pPr>
            <w:r w:rsidRPr="006D673B">
              <w:rPr>
                <w:rFonts w:eastAsia="Calibri"/>
                <w:sz w:val="20"/>
              </w:rPr>
              <w:t xml:space="preserve">Demande d’autorisation d’appel déposée </w:t>
            </w:r>
          </w:p>
          <w:p w:rsidR="00AB2D3F" w:rsidRPr="006D673B" w:rsidRDefault="00AB2D3F" w:rsidP="00F71199">
            <w:pPr>
              <w:jc w:val="both"/>
              <w:rPr>
                <w:rFonts w:eastAsia="Calibri"/>
                <w:sz w:val="20"/>
              </w:rPr>
            </w:pPr>
          </w:p>
        </w:tc>
      </w:tr>
      <w:tr w:rsidR="00AB2D3F" w:rsidRPr="002B68E4" w:rsidTr="00F71199">
        <w:tc>
          <w:tcPr>
            <w:tcW w:w="2427" w:type="pct"/>
          </w:tcPr>
          <w:p w:rsidR="00AB2D3F" w:rsidRPr="006D673B" w:rsidRDefault="00AB2D3F" w:rsidP="00F71199">
            <w:pPr>
              <w:jc w:val="both"/>
              <w:rPr>
                <w:rFonts w:eastAsia="Calibri"/>
                <w:sz w:val="20"/>
                <w:lang w:val="fr-CA"/>
              </w:rPr>
            </w:pPr>
            <w:r w:rsidRPr="006D673B">
              <w:rPr>
                <w:rFonts w:eastAsia="Calibri"/>
                <w:sz w:val="20"/>
                <w:lang w:val="fr-CA"/>
              </w:rPr>
              <w:t>9 avril 2014</w:t>
            </w:r>
          </w:p>
          <w:p w:rsidR="00AB2D3F" w:rsidRPr="006D673B" w:rsidRDefault="00AB2D3F" w:rsidP="00F71199">
            <w:pPr>
              <w:jc w:val="both"/>
              <w:rPr>
                <w:rFonts w:eastAsia="Calibri"/>
                <w:sz w:val="20"/>
                <w:lang w:val="fr-CA"/>
              </w:rPr>
            </w:pPr>
            <w:r w:rsidRPr="006D673B">
              <w:rPr>
                <w:rFonts w:eastAsia="Calibri"/>
                <w:sz w:val="20"/>
                <w:lang w:val="fr-CA"/>
              </w:rPr>
              <w:t xml:space="preserve">Cour suprême du Canada </w:t>
            </w:r>
          </w:p>
        </w:tc>
        <w:tc>
          <w:tcPr>
            <w:tcW w:w="243" w:type="pct"/>
          </w:tcPr>
          <w:p w:rsidR="00AB2D3F" w:rsidRPr="006D673B" w:rsidRDefault="00AB2D3F" w:rsidP="00F71199">
            <w:pPr>
              <w:jc w:val="both"/>
              <w:rPr>
                <w:rFonts w:eastAsia="Calibri"/>
                <w:sz w:val="20"/>
                <w:lang w:val="fr-CA"/>
              </w:rPr>
            </w:pPr>
          </w:p>
        </w:tc>
        <w:tc>
          <w:tcPr>
            <w:tcW w:w="2330" w:type="pct"/>
          </w:tcPr>
          <w:p w:rsidR="00AB2D3F" w:rsidRPr="006D673B" w:rsidRDefault="00AB2D3F" w:rsidP="00F71199">
            <w:pPr>
              <w:jc w:val="both"/>
              <w:rPr>
                <w:rFonts w:eastAsia="Calibri"/>
                <w:sz w:val="20"/>
                <w:lang w:val="fr-CA"/>
              </w:rPr>
            </w:pPr>
            <w:r w:rsidRPr="006D673B">
              <w:rPr>
                <w:rFonts w:eastAsia="Calibri"/>
                <w:sz w:val="20"/>
                <w:lang w:val="fr-CA"/>
              </w:rPr>
              <w:t xml:space="preserve">Requête en prorogation du délai pour déposer et signifier la demande d’autorisation d’appel </w:t>
            </w:r>
          </w:p>
        </w:tc>
      </w:tr>
    </w:tbl>
    <w:p w:rsidR="007426C2" w:rsidRPr="00AB2D3F" w:rsidRDefault="007426C2" w:rsidP="007426C2">
      <w:pPr>
        <w:rPr>
          <w:sz w:val="20"/>
          <w:szCs w:val="20"/>
          <w:lang w:val="fr-CA"/>
        </w:rPr>
      </w:pPr>
    </w:p>
    <w:p w:rsidR="007426C2" w:rsidRDefault="002B68E4" w:rsidP="007426C2">
      <w:pPr>
        <w:rPr>
          <w:sz w:val="20"/>
          <w:szCs w:val="20"/>
        </w:rPr>
      </w:pPr>
      <w:r>
        <w:rPr>
          <w:sz w:val="20"/>
          <w:szCs w:val="20"/>
          <w:lang w:val="fr-CA"/>
        </w:rPr>
        <w:pict>
          <v:rect id="_x0000_i1038"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47575" w:rsidRPr="00905D3F" w:rsidTr="00247575">
        <w:trPr>
          <w:cantSplit/>
        </w:trPr>
        <w:tc>
          <w:tcPr>
            <w:tcW w:w="1458" w:type="dxa"/>
          </w:tcPr>
          <w:p w:rsidR="00247575" w:rsidRPr="00905D3F" w:rsidRDefault="00247575" w:rsidP="00247575">
            <w:pPr>
              <w:rPr>
                <w:sz w:val="20"/>
                <w:szCs w:val="20"/>
              </w:rPr>
            </w:pPr>
            <w:r w:rsidRPr="00905D3F">
              <w:rPr>
                <w:rStyle w:val="SCCFileNumberChar"/>
                <w:sz w:val="20"/>
                <w:szCs w:val="20"/>
              </w:rPr>
              <w:lastRenderedPageBreak/>
              <w:t>35845</w:t>
            </w:r>
          </w:p>
          <w:p w:rsidR="00247575" w:rsidRPr="00905D3F" w:rsidRDefault="00247575" w:rsidP="00247575">
            <w:pPr>
              <w:rPr>
                <w:b/>
                <w:sz w:val="20"/>
                <w:szCs w:val="20"/>
                <w:lang w:val="fr-CA"/>
              </w:rPr>
            </w:pPr>
          </w:p>
        </w:tc>
        <w:tc>
          <w:tcPr>
            <w:tcW w:w="8118" w:type="dxa"/>
          </w:tcPr>
          <w:p w:rsidR="00247575" w:rsidRPr="00905D3F" w:rsidRDefault="00247575" w:rsidP="00247575">
            <w:pPr>
              <w:jc w:val="both"/>
              <w:rPr>
                <w:sz w:val="20"/>
                <w:szCs w:val="20"/>
              </w:rPr>
            </w:pPr>
            <w:r w:rsidRPr="00905D3F">
              <w:rPr>
                <w:rStyle w:val="SCCLsocChar"/>
                <w:sz w:val="20"/>
                <w:szCs w:val="20"/>
                <w:lang w:val="en-CA"/>
              </w:rPr>
              <w:t>Henry Jung</w:t>
            </w:r>
            <w:r>
              <w:rPr>
                <w:rStyle w:val="SCCLsocChar"/>
                <w:sz w:val="20"/>
                <w:szCs w:val="20"/>
                <w:lang w:val="en-CA"/>
              </w:rPr>
              <w:t xml:space="preserve"> and </w:t>
            </w:r>
            <w:r w:rsidRPr="00905D3F">
              <w:rPr>
                <w:rStyle w:val="SCCLsocChar"/>
                <w:sz w:val="20"/>
                <w:szCs w:val="20"/>
                <w:lang w:val="en-CA"/>
              </w:rPr>
              <w:t>Long Ocean Holding Ltd. v. Talon International Inc.</w:t>
            </w:r>
            <w:r w:rsidRPr="00905D3F">
              <w:rPr>
                <w:sz w:val="20"/>
                <w:szCs w:val="20"/>
              </w:rPr>
              <w:t xml:space="preserve"> (Ont.) (Civil) (By</w:t>
            </w:r>
            <w:r>
              <w:rPr>
                <w:sz w:val="20"/>
                <w:szCs w:val="20"/>
              </w:rPr>
              <w:t> </w:t>
            </w:r>
            <w:r w:rsidRPr="00905D3F">
              <w:rPr>
                <w:sz w:val="20"/>
                <w:szCs w:val="20"/>
              </w:rPr>
              <w:t>Leave)</w:t>
            </w:r>
          </w:p>
          <w:p w:rsidR="00247575" w:rsidRPr="00905D3F" w:rsidRDefault="00247575" w:rsidP="00247575">
            <w:pPr>
              <w:jc w:val="both"/>
              <w:rPr>
                <w:sz w:val="20"/>
                <w:szCs w:val="20"/>
              </w:rPr>
            </w:pPr>
          </w:p>
        </w:tc>
      </w:tr>
      <w:tr w:rsidR="00247575" w:rsidRPr="00905D3F" w:rsidTr="00247575">
        <w:trPr>
          <w:cantSplit/>
        </w:trPr>
        <w:tc>
          <w:tcPr>
            <w:tcW w:w="1458" w:type="dxa"/>
          </w:tcPr>
          <w:p w:rsidR="00247575" w:rsidRPr="00905D3F" w:rsidRDefault="00247575" w:rsidP="00247575">
            <w:pPr>
              <w:rPr>
                <w:sz w:val="20"/>
                <w:szCs w:val="20"/>
              </w:rPr>
            </w:pPr>
            <w:r w:rsidRPr="00905D3F">
              <w:rPr>
                <w:sz w:val="20"/>
                <w:szCs w:val="20"/>
              </w:rPr>
              <w:t>Coram :</w:t>
            </w:r>
          </w:p>
        </w:tc>
        <w:tc>
          <w:tcPr>
            <w:tcW w:w="8118" w:type="dxa"/>
          </w:tcPr>
          <w:p w:rsidR="00247575" w:rsidRPr="00905D3F" w:rsidRDefault="00247575" w:rsidP="00247575">
            <w:pPr>
              <w:rPr>
                <w:sz w:val="20"/>
                <w:szCs w:val="20"/>
              </w:rPr>
            </w:pPr>
            <w:r w:rsidRPr="00905D3F">
              <w:rPr>
                <w:rStyle w:val="SCCCoramChar"/>
                <w:sz w:val="20"/>
                <w:szCs w:val="20"/>
                <w:lang w:val="en-CA"/>
              </w:rPr>
              <w:t>Abella, Rothstein and Moldaver JJ.</w:t>
            </w:r>
          </w:p>
          <w:p w:rsidR="00247575" w:rsidRPr="00905D3F" w:rsidRDefault="00247575" w:rsidP="00247575">
            <w:pPr>
              <w:rPr>
                <w:sz w:val="20"/>
                <w:szCs w:val="20"/>
                <w:u w:val="single"/>
              </w:rPr>
            </w:pPr>
          </w:p>
        </w:tc>
      </w:tr>
      <w:tr w:rsidR="00247575" w:rsidRPr="002B68E4" w:rsidTr="00247575">
        <w:trPr>
          <w:cantSplit/>
        </w:trPr>
        <w:tc>
          <w:tcPr>
            <w:tcW w:w="9576" w:type="dxa"/>
            <w:gridSpan w:val="2"/>
          </w:tcPr>
          <w:p w:rsidR="00247575" w:rsidRPr="00905D3F" w:rsidRDefault="00247575" w:rsidP="00247575">
            <w:pPr>
              <w:pStyle w:val="SCCShortJudgment"/>
              <w:rPr>
                <w:szCs w:val="20"/>
              </w:rPr>
            </w:pPr>
            <w:r w:rsidRPr="00905D3F">
              <w:rPr>
                <w:szCs w:val="20"/>
              </w:rPr>
              <w:t>The application for leave to appeal from the judgment of the Court of Appeal for Ontario, Number C57084, 2014 ONCA 137, dated February 24, 2014, is dismissed with costs.</w:t>
            </w:r>
          </w:p>
          <w:p w:rsidR="00247575" w:rsidRPr="00905D3F" w:rsidRDefault="00247575" w:rsidP="00247575">
            <w:pPr>
              <w:pStyle w:val="SCCShortJudgment"/>
              <w:ind w:firstLine="0"/>
              <w:rPr>
                <w:szCs w:val="20"/>
              </w:rPr>
            </w:pPr>
          </w:p>
          <w:p w:rsidR="00247575" w:rsidRPr="00905D3F" w:rsidRDefault="00247575" w:rsidP="00247575">
            <w:pPr>
              <w:pStyle w:val="SCCShortJudgment"/>
              <w:rPr>
                <w:szCs w:val="20"/>
                <w:lang w:val="fr-CA"/>
              </w:rPr>
            </w:pPr>
            <w:r w:rsidRPr="00905D3F">
              <w:rPr>
                <w:szCs w:val="20"/>
                <w:lang w:val="fr-CA"/>
              </w:rPr>
              <w:t>La demande d’autorisation d’appel de l’arrêt de la Cour d’appel de l’Ontario, numéro C57084, 2014 ONCA 137, daté du 24 février 2014, est rejetée avec dépens.</w:t>
            </w:r>
          </w:p>
        </w:tc>
      </w:tr>
    </w:tbl>
    <w:p w:rsidR="007426C2" w:rsidRPr="00247575"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D3F" w:rsidRPr="006D673B" w:rsidTr="00F71199">
        <w:tc>
          <w:tcPr>
            <w:tcW w:w="5000" w:type="pct"/>
            <w:gridSpan w:val="3"/>
          </w:tcPr>
          <w:p w:rsidR="00AB2D3F" w:rsidRPr="006D673B" w:rsidRDefault="00AB2D3F" w:rsidP="00F71199">
            <w:pPr>
              <w:jc w:val="both"/>
              <w:rPr>
                <w:sz w:val="20"/>
              </w:rPr>
            </w:pPr>
            <w:r w:rsidRPr="006D673B">
              <w:rPr>
                <w:sz w:val="20"/>
              </w:rPr>
              <w:t xml:space="preserve">Property — Condominiums — Agreements — Material changes — Where the declarant delivers a new disclosure statement, what is required for the new documentation to qualify as a “revised disclosure statement or notice” for the purposes of the </w:t>
            </w:r>
            <w:r w:rsidRPr="006D673B">
              <w:rPr>
                <w:i/>
                <w:sz w:val="20"/>
              </w:rPr>
              <w:t>Condominium Act</w:t>
            </w:r>
            <w:r w:rsidRPr="006D673B">
              <w:rPr>
                <w:sz w:val="20"/>
              </w:rPr>
              <w:t>, S.O. 1998, c. 19, s. 74(3) — Whether purchasers’ subjective expectations of the project should be considered in determining whether or not a “material change” has occurred — Whether the intended use of the condominium unit should be considered when determining whether a “material change” has occurred — If so, whether the economic impact test proffered by Talon is valid for the purposes of the Act — Whether a declarant seeking a judicial determination that no “material change” has occurred bears the legal onus of proof as to whether or not a “material change” has occurred — Whether the declarant forfeits its right to object to a notice of rescission for untimeliness when it fails to raise this issue in its notice of application or in any of its affidavit material — Whether s. 74(6) revives the limitation period applicable to an otherwise untimely notice for another 10-day period following a judicial determination of a “material change” having occurred.</w:t>
            </w:r>
          </w:p>
        </w:tc>
      </w:tr>
      <w:tr w:rsidR="00AB2D3F" w:rsidRPr="006D673B" w:rsidTr="00F71199">
        <w:tc>
          <w:tcPr>
            <w:tcW w:w="5000" w:type="pct"/>
            <w:gridSpan w:val="3"/>
          </w:tcPr>
          <w:p w:rsidR="00AB2D3F" w:rsidRPr="006D673B" w:rsidRDefault="00AB2D3F" w:rsidP="00F71199">
            <w:pPr>
              <w:jc w:val="both"/>
              <w:rPr>
                <w:sz w:val="20"/>
              </w:rPr>
            </w:pPr>
          </w:p>
        </w:tc>
      </w:tr>
      <w:tr w:rsidR="00AB2D3F" w:rsidRPr="006D673B" w:rsidTr="00F71199">
        <w:tc>
          <w:tcPr>
            <w:tcW w:w="5000" w:type="pct"/>
            <w:gridSpan w:val="3"/>
          </w:tcPr>
          <w:p w:rsidR="00AB2D3F" w:rsidRPr="006D673B" w:rsidRDefault="00AB2D3F" w:rsidP="00F71199">
            <w:pPr>
              <w:jc w:val="both"/>
              <w:rPr>
                <w:sz w:val="20"/>
              </w:rPr>
            </w:pPr>
            <w:r w:rsidRPr="006D673B">
              <w:rPr>
                <w:sz w:val="20"/>
              </w:rPr>
              <w:t xml:space="preserve">In 2005, Mr. Jung and Long Ocean Holdings Inc. purchased two commercial hotel condominium investment units developed by Talon International Inc.  A disclosure statement in accordance with the </w:t>
            </w:r>
            <w:r w:rsidRPr="006D673B">
              <w:rPr>
                <w:i/>
                <w:sz w:val="20"/>
              </w:rPr>
              <w:t>Condominium Act</w:t>
            </w:r>
            <w:r w:rsidRPr="006D673B">
              <w:rPr>
                <w:sz w:val="20"/>
              </w:rPr>
              <w:t>, S.O. 1998, c. 19, was provided to them.  The commercial hotel structure was completed and registered under the Act, and, in February 2012, the units were delivered to Mr. Jung and Long Ocean.  On May 1, 2012, a further disclosure statement and summary were delivered to Mr. Jung and Long Ocean.  Based on changes to the development they considered material, Mr. Jung and Long Ocean gave notice that they were rescinding their agreements to purchase the units.</w:t>
            </w:r>
          </w:p>
          <w:p w:rsidR="00AB2D3F" w:rsidRPr="006D673B" w:rsidRDefault="00AB2D3F" w:rsidP="00F71199">
            <w:pPr>
              <w:jc w:val="both"/>
              <w:rPr>
                <w:sz w:val="20"/>
              </w:rPr>
            </w:pPr>
            <w:r w:rsidRPr="006D673B">
              <w:rPr>
                <w:sz w:val="20"/>
              </w:rPr>
              <w:t xml:space="preserve"> </w:t>
            </w:r>
          </w:p>
          <w:p w:rsidR="00AB2D3F" w:rsidRPr="006D673B" w:rsidRDefault="00AB2D3F" w:rsidP="00F71199">
            <w:pPr>
              <w:jc w:val="both"/>
              <w:rPr>
                <w:sz w:val="20"/>
              </w:rPr>
            </w:pPr>
            <w:r w:rsidRPr="006D673B">
              <w:rPr>
                <w:sz w:val="20"/>
              </w:rPr>
              <w:t>Talon applied for declarations that the agreements of purchase and sale were binding, that the notices of rescission are void, and that the project changes do not, individually or cumulatively, constitute material change.  Arguing that there were material changes to the development, Mr. Jung and Long Ocean applied for orders dismissing the application and refunding all of the deposits they have paid; they also claimed the return of the paid net common expenses for interim occupancy changes and accrued statutory interest.  They claimed the 2012 disclosure statement did not identify any changes from the 2005 disclosure statement, and that the summary that accompanied the 2012 disclosure only identified some of the changes.</w:t>
            </w:r>
          </w:p>
          <w:p w:rsidR="00AB2D3F" w:rsidRPr="006D673B" w:rsidRDefault="00AB2D3F" w:rsidP="00F71199">
            <w:pPr>
              <w:jc w:val="both"/>
              <w:rPr>
                <w:sz w:val="20"/>
              </w:rPr>
            </w:pPr>
          </w:p>
          <w:p w:rsidR="00AB2D3F" w:rsidRPr="006D673B" w:rsidRDefault="00AB2D3F" w:rsidP="00F71199">
            <w:pPr>
              <w:jc w:val="both"/>
              <w:rPr>
                <w:sz w:val="20"/>
              </w:rPr>
            </w:pPr>
            <w:r w:rsidRPr="006D673B">
              <w:rPr>
                <w:sz w:val="20"/>
              </w:rPr>
              <w:t>Talon’s application was granted and the requested declarations were made; the application by Mr. Jung and Long Ocean was dismissed.  The appeal was dismissed.</w:t>
            </w:r>
          </w:p>
          <w:p w:rsidR="00AB2D3F" w:rsidRPr="006D673B" w:rsidRDefault="00AB2D3F" w:rsidP="00F71199">
            <w:pPr>
              <w:jc w:val="both"/>
              <w:rPr>
                <w:sz w:val="20"/>
              </w:rPr>
            </w:pPr>
          </w:p>
        </w:tc>
      </w:tr>
      <w:tr w:rsidR="00AB2D3F" w:rsidRPr="006D673B" w:rsidTr="00F71199">
        <w:tc>
          <w:tcPr>
            <w:tcW w:w="2427" w:type="pct"/>
          </w:tcPr>
          <w:p w:rsidR="00AB2D3F" w:rsidRPr="006D673B" w:rsidRDefault="00AB2D3F" w:rsidP="00F71199">
            <w:pPr>
              <w:jc w:val="both"/>
              <w:rPr>
                <w:sz w:val="20"/>
              </w:rPr>
            </w:pPr>
            <w:r w:rsidRPr="006D673B">
              <w:rPr>
                <w:sz w:val="20"/>
              </w:rPr>
              <w:t>April 25, 2013</w:t>
            </w:r>
          </w:p>
          <w:p w:rsidR="00AB2D3F" w:rsidRPr="006D673B" w:rsidRDefault="00AB2D3F" w:rsidP="00F71199">
            <w:pPr>
              <w:jc w:val="both"/>
              <w:rPr>
                <w:sz w:val="20"/>
              </w:rPr>
            </w:pPr>
            <w:r w:rsidRPr="006D673B">
              <w:rPr>
                <w:sz w:val="20"/>
              </w:rPr>
              <w:t>Ontario Superior Court of Justice</w:t>
            </w:r>
          </w:p>
          <w:p w:rsidR="00AB2D3F" w:rsidRPr="006D673B" w:rsidRDefault="00AB2D3F" w:rsidP="00F71199">
            <w:pPr>
              <w:jc w:val="both"/>
              <w:rPr>
                <w:sz w:val="20"/>
              </w:rPr>
            </w:pPr>
            <w:r w:rsidRPr="006D673B">
              <w:rPr>
                <w:sz w:val="20"/>
              </w:rPr>
              <w:t>(MacKinnon J.)</w:t>
            </w:r>
          </w:p>
          <w:p w:rsidR="00AB2D3F" w:rsidRPr="006D673B" w:rsidRDefault="002B68E4" w:rsidP="00F71199">
            <w:pPr>
              <w:jc w:val="both"/>
              <w:rPr>
                <w:sz w:val="20"/>
              </w:rPr>
            </w:pPr>
            <w:hyperlink r:id="rId39" w:history="1">
              <w:r w:rsidR="00AB2D3F" w:rsidRPr="006D673B">
                <w:rPr>
                  <w:rStyle w:val="Hyperlink"/>
                  <w:sz w:val="20"/>
                </w:rPr>
                <w:t xml:space="preserve">2013 ONSC 2466 </w:t>
              </w:r>
            </w:hyperlink>
          </w:p>
          <w:p w:rsidR="00AB2D3F" w:rsidRPr="006D673B" w:rsidRDefault="00AB2D3F" w:rsidP="00F71199">
            <w:pPr>
              <w:jc w:val="both"/>
              <w:rPr>
                <w:sz w:val="20"/>
              </w:rPr>
            </w:pPr>
          </w:p>
        </w:tc>
        <w:tc>
          <w:tcPr>
            <w:tcW w:w="243" w:type="pct"/>
          </w:tcPr>
          <w:p w:rsidR="00AB2D3F" w:rsidRPr="006D673B" w:rsidRDefault="00AB2D3F" w:rsidP="00F71199">
            <w:pPr>
              <w:jc w:val="both"/>
              <w:rPr>
                <w:sz w:val="20"/>
              </w:rPr>
            </w:pPr>
          </w:p>
        </w:tc>
        <w:tc>
          <w:tcPr>
            <w:tcW w:w="2330" w:type="pct"/>
          </w:tcPr>
          <w:p w:rsidR="00AB2D3F" w:rsidRPr="006D673B" w:rsidRDefault="00AB2D3F" w:rsidP="00F71199">
            <w:pPr>
              <w:jc w:val="both"/>
              <w:rPr>
                <w:sz w:val="20"/>
              </w:rPr>
            </w:pPr>
            <w:r w:rsidRPr="006D673B">
              <w:rPr>
                <w:sz w:val="20"/>
              </w:rPr>
              <w:t>Talon’s application allowed and requested declarations made; application by Mr. Jung and Long Ocean dismissed</w:t>
            </w:r>
          </w:p>
          <w:p w:rsidR="00AB2D3F" w:rsidRPr="006D673B" w:rsidRDefault="00AB2D3F" w:rsidP="00F71199">
            <w:pPr>
              <w:jc w:val="both"/>
              <w:rPr>
                <w:sz w:val="20"/>
              </w:rPr>
            </w:pPr>
          </w:p>
        </w:tc>
      </w:tr>
      <w:tr w:rsidR="00AB2D3F" w:rsidRPr="006D673B" w:rsidTr="00E93821">
        <w:trPr>
          <w:cantSplit/>
        </w:trPr>
        <w:tc>
          <w:tcPr>
            <w:tcW w:w="2427" w:type="pct"/>
          </w:tcPr>
          <w:p w:rsidR="00AB2D3F" w:rsidRPr="006D673B" w:rsidRDefault="00AB2D3F" w:rsidP="00F71199">
            <w:pPr>
              <w:jc w:val="both"/>
              <w:rPr>
                <w:sz w:val="20"/>
              </w:rPr>
            </w:pPr>
            <w:r w:rsidRPr="006D673B">
              <w:rPr>
                <w:sz w:val="20"/>
              </w:rPr>
              <w:lastRenderedPageBreak/>
              <w:t>February 24, 2014</w:t>
            </w:r>
          </w:p>
          <w:p w:rsidR="00AB2D3F" w:rsidRPr="006D673B" w:rsidRDefault="00AB2D3F" w:rsidP="00F71199">
            <w:pPr>
              <w:jc w:val="both"/>
              <w:rPr>
                <w:sz w:val="20"/>
              </w:rPr>
            </w:pPr>
            <w:r w:rsidRPr="006D673B">
              <w:rPr>
                <w:sz w:val="20"/>
              </w:rPr>
              <w:t>Court of Appeal for Ontario</w:t>
            </w:r>
          </w:p>
          <w:p w:rsidR="00AB2D3F" w:rsidRPr="006D673B" w:rsidRDefault="00AB2D3F" w:rsidP="00F71199">
            <w:pPr>
              <w:jc w:val="both"/>
              <w:rPr>
                <w:sz w:val="20"/>
              </w:rPr>
            </w:pPr>
            <w:r w:rsidRPr="006D673B">
              <w:rPr>
                <w:sz w:val="20"/>
              </w:rPr>
              <w:t>(Rosenberg, Hourigan, Benotto JJ.A.)</w:t>
            </w:r>
          </w:p>
          <w:p w:rsidR="00AB2D3F" w:rsidRPr="006D673B" w:rsidRDefault="002B68E4" w:rsidP="00F71199">
            <w:pPr>
              <w:jc w:val="both"/>
              <w:rPr>
                <w:sz w:val="20"/>
              </w:rPr>
            </w:pPr>
            <w:hyperlink r:id="rId40" w:history="1">
              <w:r w:rsidR="00AB2D3F" w:rsidRPr="006D673B">
                <w:rPr>
                  <w:rStyle w:val="Hyperlink"/>
                  <w:sz w:val="20"/>
                </w:rPr>
                <w:t>2014 ONCA 137</w:t>
              </w:r>
            </w:hyperlink>
          </w:p>
          <w:p w:rsidR="00AB2D3F" w:rsidRPr="006D673B" w:rsidRDefault="00AB2D3F" w:rsidP="00F71199">
            <w:pPr>
              <w:jc w:val="both"/>
              <w:rPr>
                <w:sz w:val="20"/>
              </w:rPr>
            </w:pPr>
          </w:p>
        </w:tc>
        <w:tc>
          <w:tcPr>
            <w:tcW w:w="243" w:type="pct"/>
          </w:tcPr>
          <w:p w:rsidR="00AB2D3F" w:rsidRPr="006D673B" w:rsidRDefault="00AB2D3F" w:rsidP="00F71199">
            <w:pPr>
              <w:jc w:val="both"/>
              <w:rPr>
                <w:sz w:val="20"/>
              </w:rPr>
            </w:pPr>
          </w:p>
        </w:tc>
        <w:tc>
          <w:tcPr>
            <w:tcW w:w="2330" w:type="pct"/>
          </w:tcPr>
          <w:p w:rsidR="00AB2D3F" w:rsidRPr="006D673B" w:rsidRDefault="00AB2D3F" w:rsidP="00F71199">
            <w:pPr>
              <w:jc w:val="both"/>
              <w:rPr>
                <w:sz w:val="20"/>
              </w:rPr>
            </w:pPr>
            <w:r w:rsidRPr="006D673B">
              <w:rPr>
                <w:sz w:val="20"/>
              </w:rPr>
              <w:t>Appeal dismissed with fixed costs</w:t>
            </w:r>
          </w:p>
          <w:p w:rsidR="00AB2D3F" w:rsidRPr="006D673B" w:rsidRDefault="00AB2D3F" w:rsidP="00F71199">
            <w:pPr>
              <w:jc w:val="both"/>
              <w:rPr>
                <w:sz w:val="20"/>
              </w:rPr>
            </w:pPr>
          </w:p>
        </w:tc>
      </w:tr>
      <w:tr w:rsidR="00AB2D3F" w:rsidRPr="006D673B" w:rsidTr="00E93821">
        <w:trPr>
          <w:cantSplit/>
        </w:trPr>
        <w:tc>
          <w:tcPr>
            <w:tcW w:w="2427" w:type="pct"/>
          </w:tcPr>
          <w:p w:rsidR="00AB2D3F" w:rsidRPr="006D673B" w:rsidRDefault="00AB2D3F" w:rsidP="00F71199">
            <w:pPr>
              <w:jc w:val="both"/>
              <w:rPr>
                <w:sz w:val="20"/>
              </w:rPr>
            </w:pPr>
            <w:r w:rsidRPr="006D673B">
              <w:rPr>
                <w:sz w:val="20"/>
              </w:rPr>
              <w:t>April 23, 2014</w:t>
            </w:r>
          </w:p>
          <w:p w:rsidR="00AB2D3F" w:rsidRPr="006D673B" w:rsidRDefault="00AB2D3F" w:rsidP="00F71199">
            <w:pPr>
              <w:jc w:val="both"/>
              <w:rPr>
                <w:sz w:val="20"/>
              </w:rPr>
            </w:pPr>
            <w:r w:rsidRPr="006D673B">
              <w:rPr>
                <w:sz w:val="20"/>
              </w:rPr>
              <w:t>Supreme Court of Canada</w:t>
            </w:r>
          </w:p>
        </w:tc>
        <w:tc>
          <w:tcPr>
            <w:tcW w:w="243" w:type="pct"/>
          </w:tcPr>
          <w:p w:rsidR="00AB2D3F" w:rsidRPr="006D673B" w:rsidRDefault="00AB2D3F" w:rsidP="00F71199">
            <w:pPr>
              <w:jc w:val="both"/>
              <w:rPr>
                <w:sz w:val="20"/>
              </w:rPr>
            </w:pPr>
          </w:p>
        </w:tc>
        <w:tc>
          <w:tcPr>
            <w:tcW w:w="2330" w:type="pct"/>
          </w:tcPr>
          <w:p w:rsidR="00AB2D3F" w:rsidRPr="006D673B" w:rsidRDefault="00AB2D3F" w:rsidP="00F71199">
            <w:pPr>
              <w:jc w:val="both"/>
              <w:rPr>
                <w:sz w:val="20"/>
              </w:rPr>
            </w:pPr>
            <w:r w:rsidRPr="006D673B">
              <w:rPr>
                <w:sz w:val="20"/>
              </w:rPr>
              <w:t>Application for leave to appeal filed</w:t>
            </w: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39"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2D3F" w:rsidRPr="002B68E4" w:rsidTr="00F71199">
        <w:tc>
          <w:tcPr>
            <w:tcW w:w="5000" w:type="pct"/>
            <w:gridSpan w:val="3"/>
          </w:tcPr>
          <w:p w:rsidR="00AB2D3F" w:rsidRPr="006D673B" w:rsidRDefault="00AB2D3F" w:rsidP="00F71199">
            <w:pPr>
              <w:jc w:val="both"/>
              <w:rPr>
                <w:rFonts w:eastAsia="Calibri"/>
                <w:sz w:val="20"/>
                <w:lang w:val="fr-CA"/>
              </w:rPr>
            </w:pPr>
            <w:r w:rsidRPr="006D673B">
              <w:rPr>
                <w:rFonts w:eastAsia="Calibri"/>
                <w:sz w:val="20"/>
                <w:lang w:val="fr-CA"/>
              </w:rPr>
              <w:t xml:space="preserve">Biens — Condominiums — Conventions — Changements importants — Lorsque le déclarant remet un nouvel état de divulgation, quelles conditions doivent être remplies pour que les nouveaux documents puissent être considérés comme « un état de divulgation mis à jour ou un avis » pour l’application de la </w:t>
            </w:r>
            <w:r w:rsidRPr="006D673B">
              <w:rPr>
                <w:rFonts w:eastAsia="Calibri"/>
                <w:i/>
                <w:sz w:val="20"/>
                <w:lang w:val="fr-CA"/>
              </w:rPr>
              <w:t>Loi de 1998 sur les condominiums</w:t>
            </w:r>
            <w:r w:rsidRPr="006D673B">
              <w:rPr>
                <w:rFonts w:eastAsia="Calibri"/>
                <w:sz w:val="20"/>
                <w:lang w:val="fr-CA"/>
              </w:rPr>
              <w:t>, L.O. 1998, ch. 19, par. 74(3)? — Les attentes subjectives des acheteurs à l’égard du projet doivent-elles être prises en considération lorsqu’il s’agit de déterminer si un changement important est survenu ou non? — Doit-on prendre en considération l’usage auquel la partie privative du condominium était destinée pour déterminer si un changement important est survenu? — Dans l’affirmative, le critère de l’impact économique avancé par Talon est-il valide pour l’application de la loi? — Le déclarant qui sollicite une décision judiciaire portant qu’aucun « changement important » n’est survenu a-t-il, sur le plan juridique, le fardeau de prouver qu’un tel changement est survenu ou non? — Le déclarant renonce-t-il à son droit de s’opposer à un avis de résolution pour cause de non-respect des délais impartis s’il omet de soulever cette question dans son avis de demande ou dans tout affidavit qu’il produit? — Le paragraphe 74(6) a-t-il pour effet de prolonger le délai de prescription applicable à un avis qui serait par ailleurs hors-délai pour une période supplémentaire de dix jours suivant la décision judiciaire portant qu’un « changement important » est survenu?</w:t>
            </w:r>
          </w:p>
        </w:tc>
      </w:tr>
      <w:tr w:rsidR="00AB2D3F" w:rsidRPr="002B68E4" w:rsidTr="00F71199">
        <w:tc>
          <w:tcPr>
            <w:tcW w:w="5000" w:type="pct"/>
            <w:gridSpan w:val="3"/>
          </w:tcPr>
          <w:p w:rsidR="00AB2D3F" w:rsidRPr="006D673B" w:rsidRDefault="00AB2D3F" w:rsidP="00F71199">
            <w:pPr>
              <w:jc w:val="both"/>
              <w:rPr>
                <w:rFonts w:eastAsia="Calibri"/>
                <w:sz w:val="20"/>
                <w:lang w:val="fr-CA"/>
              </w:rPr>
            </w:pPr>
          </w:p>
        </w:tc>
      </w:tr>
      <w:tr w:rsidR="00AB2D3F" w:rsidRPr="006D673B" w:rsidTr="00F71199">
        <w:tc>
          <w:tcPr>
            <w:tcW w:w="5000" w:type="pct"/>
            <w:gridSpan w:val="3"/>
          </w:tcPr>
          <w:p w:rsidR="00AB2D3F" w:rsidRPr="006D673B" w:rsidRDefault="00AB2D3F" w:rsidP="00F71199">
            <w:pPr>
              <w:jc w:val="both"/>
              <w:rPr>
                <w:rFonts w:eastAsia="Calibri"/>
                <w:sz w:val="20"/>
                <w:lang w:val="fr-CA"/>
              </w:rPr>
            </w:pPr>
            <w:r w:rsidRPr="006D673B">
              <w:rPr>
                <w:rFonts w:eastAsia="Calibri"/>
                <w:sz w:val="20"/>
                <w:lang w:val="fr-CA"/>
              </w:rPr>
              <w:t xml:space="preserve">En 2005, M. Jung et Long Ocean Holdings Inc. ont acheté, à des fins d’investissement, deux parties privatives d’un condominium hôtelier commercial aménagé par Talon International Inc.  Un état de divulgation leur a été fourni conformément à la </w:t>
            </w:r>
            <w:r w:rsidRPr="006D673B">
              <w:rPr>
                <w:rFonts w:eastAsia="Calibri"/>
                <w:i/>
                <w:sz w:val="20"/>
                <w:lang w:val="fr-CA"/>
              </w:rPr>
              <w:t>Loi de 1998 sur les condominiums</w:t>
            </w:r>
            <w:r w:rsidRPr="006D673B">
              <w:rPr>
                <w:rFonts w:eastAsia="Calibri"/>
                <w:sz w:val="20"/>
                <w:lang w:val="fr-CA"/>
              </w:rPr>
              <w:t>, L.O. 1998, ch. 19.  La structure de l’hôtel commercial a été terminée et enregistrée en application de la loi et, en février 2012, les parties privatives ont été livrées à M. Jung et Long Ocean.  Le 1</w:t>
            </w:r>
            <w:r w:rsidRPr="006D673B">
              <w:rPr>
                <w:rFonts w:eastAsia="Calibri"/>
                <w:sz w:val="20"/>
                <w:vertAlign w:val="superscript"/>
                <w:lang w:val="fr-CA"/>
              </w:rPr>
              <w:t>er</w:t>
            </w:r>
            <w:r w:rsidRPr="006D673B">
              <w:rPr>
                <w:rFonts w:eastAsia="Calibri"/>
                <w:sz w:val="20"/>
                <w:lang w:val="fr-CA"/>
              </w:rPr>
              <w:t xml:space="preserve"> mai 2012, un autre état de divulgation et un résumé ont été remis à M. Jung et Long Ocean.  Invoquant des changements apportés à l’aménagement qu’ils considéraient importants, M. Jung et Long Ocean ont donné un avis de résolution des conventions d’achat des parties privatives.</w:t>
            </w:r>
          </w:p>
          <w:p w:rsidR="00AB2D3F" w:rsidRPr="006D673B" w:rsidRDefault="00AB2D3F" w:rsidP="00F71199">
            <w:pPr>
              <w:jc w:val="both"/>
              <w:rPr>
                <w:rFonts w:eastAsia="Calibri"/>
                <w:sz w:val="20"/>
                <w:lang w:val="fr-CA"/>
              </w:rPr>
            </w:pPr>
            <w:r w:rsidRPr="006D673B">
              <w:rPr>
                <w:rFonts w:eastAsia="Calibri"/>
                <w:sz w:val="20"/>
                <w:lang w:val="fr-CA"/>
              </w:rPr>
              <w:t xml:space="preserve"> </w:t>
            </w:r>
          </w:p>
          <w:p w:rsidR="00AB2D3F" w:rsidRPr="006D673B" w:rsidRDefault="00AB2D3F" w:rsidP="00F71199">
            <w:pPr>
              <w:jc w:val="both"/>
              <w:rPr>
                <w:rFonts w:eastAsia="Calibri"/>
                <w:sz w:val="20"/>
                <w:lang w:val="fr-CA"/>
              </w:rPr>
            </w:pPr>
            <w:r w:rsidRPr="006D673B">
              <w:rPr>
                <w:rFonts w:eastAsia="Calibri"/>
                <w:sz w:val="20"/>
                <w:lang w:val="fr-CA"/>
              </w:rPr>
              <w:t>Talon a demandé un jugement déclaratoire portant que les conventions de vente liaient les parties, que les avis de résolution étaient nuls et que les changements apportés au projet ne constituaient pas, individuellement ou cumulativement, un changement important.  Plaidant que des changements importants avaient été apportés à l’aménagement, M. Jung et Long Ocean ont demandé le rejet de la demande et le remboursement de tous les acomptes qu’ils avaient versés; ils ont également demandé le remboursement des dépenses communes nettes versées pour les changements d’occupation provisoire et les intérêts légaux accumulés.  Ils alléguaient que l’état de divulgation de 2012 n’identifiait pas les changements apportés par rapport à ce qui figurait dans l’état de divulgation de 2005 et que le résumé qui accompagnait l’état de divulgation de 2012 n’identifiait que certains changements.</w:t>
            </w:r>
          </w:p>
          <w:p w:rsidR="00AB2D3F" w:rsidRPr="006D673B" w:rsidRDefault="00AB2D3F" w:rsidP="00F71199">
            <w:pPr>
              <w:jc w:val="both"/>
              <w:rPr>
                <w:rFonts w:eastAsia="Calibri"/>
                <w:sz w:val="20"/>
                <w:lang w:val="fr-CA"/>
              </w:rPr>
            </w:pPr>
          </w:p>
          <w:p w:rsidR="00AB2D3F" w:rsidRPr="006D673B" w:rsidRDefault="00AB2D3F" w:rsidP="00F71199">
            <w:pPr>
              <w:jc w:val="both"/>
              <w:rPr>
                <w:rFonts w:eastAsia="Calibri"/>
                <w:sz w:val="20"/>
                <w:lang w:val="fr-CA"/>
              </w:rPr>
            </w:pPr>
            <w:r w:rsidRPr="006D673B">
              <w:rPr>
                <w:rFonts w:eastAsia="Calibri"/>
                <w:sz w:val="20"/>
                <w:lang w:val="fr-CA"/>
              </w:rPr>
              <w:t>La demande de Talon a été accueillie et le jugement déclaratoire demandé a été prononcé; la demande de M. Jung et de Long Ocean a été rejetée.  L’appel a été rejeté.</w:t>
            </w:r>
          </w:p>
          <w:p w:rsidR="00AB2D3F" w:rsidRPr="006D673B" w:rsidRDefault="00AB2D3F" w:rsidP="00F71199">
            <w:pPr>
              <w:jc w:val="both"/>
              <w:rPr>
                <w:rFonts w:eastAsia="Calibri"/>
                <w:sz w:val="20"/>
                <w:lang w:val="fr-CA"/>
              </w:rPr>
            </w:pPr>
          </w:p>
        </w:tc>
      </w:tr>
      <w:tr w:rsidR="00AB2D3F" w:rsidRPr="002B68E4" w:rsidTr="00F71199">
        <w:tc>
          <w:tcPr>
            <w:tcW w:w="2427" w:type="pct"/>
          </w:tcPr>
          <w:p w:rsidR="00AB2D3F" w:rsidRPr="006D673B" w:rsidRDefault="00AB2D3F" w:rsidP="00F71199">
            <w:pPr>
              <w:jc w:val="both"/>
              <w:rPr>
                <w:rFonts w:eastAsia="Calibri"/>
                <w:sz w:val="20"/>
                <w:lang w:val="fr-CA"/>
              </w:rPr>
            </w:pPr>
            <w:r w:rsidRPr="006D673B">
              <w:rPr>
                <w:rFonts w:eastAsia="Calibri"/>
                <w:sz w:val="20"/>
                <w:lang w:val="fr-CA"/>
              </w:rPr>
              <w:t>25 avril 2013</w:t>
            </w:r>
          </w:p>
          <w:p w:rsidR="00AB2D3F" w:rsidRPr="006D673B" w:rsidRDefault="00AB2D3F" w:rsidP="00F71199">
            <w:pPr>
              <w:jc w:val="both"/>
              <w:rPr>
                <w:rFonts w:eastAsia="Calibri"/>
                <w:sz w:val="20"/>
                <w:lang w:val="fr-CA"/>
              </w:rPr>
            </w:pPr>
            <w:r w:rsidRPr="006D673B">
              <w:rPr>
                <w:rFonts w:eastAsia="Calibri"/>
                <w:sz w:val="20"/>
                <w:lang w:val="fr-CA"/>
              </w:rPr>
              <w:t xml:space="preserve">Cour supérieure de justice de l’Ontario </w:t>
            </w:r>
          </w:p>
          <w:p w:rsidR="00AB2D3F" w:rsidRPr="006D673B" w:rsidRDefault="00AB2D3F" w:rsidP="00F71199">
            <w:pPr>
              <w:jc w:val="both"/>
              <w:rPr>
                <w:rFonts w:eastAsia="Calibri"/>
                <w:sz w:val="20"/>
                <w:lang w:val="fr-CA"/>
              </w:rPr>
            </w:pPr>
            <w:r w:rsidRPr="006D673B">
              <w:rPr>
                <w:rFonts w:eastAsia="Calibri"/>
                <w:sz w:val="20"/>
                <w:lang w:val="fr-CA"/>
              </w:rPr>
              <w:t>(Juge MacKinnon)</w:t>
            </w:r>
          </w:p>
          <w:p w:rsidR="00AB2D3F" w:rsidRPr="006D673B" w:rsidRDefault="002B68E4" w:rsidP="00F71199">
            <w:pPr>
              <w:jc w:val="both"/>
              <w:rPr>
                <w:rFonts w:eastAsia="Calibri"/>
                <w:sz w:val="20"/>
                <w:lang w:val="fr-CA"/>
              </w:rPr>
            </w:pPr>
            <w:hyperlink r:id="rId41" w:history="1">
              <w:r w:rsidR="00AB2D3F" w:rsidRPr="006D673B">
                <w:rPr>
                  <w:rFonts w:eastAsia="Calibri"/>
                  <w:color w:val="0000FF"/>
                  <w:sz w:val="20"/>
                  <w:u w:val="single"/>
                  <w:lang w:val="fr-CA"/>
                </w:rPr>
                <w:t>2013 ONSC 2466</w:t>
              </w:r>
            </w:hyperlink>
          </w:p>
          <w:p w:rsidR="00AB2D3F" w:rsidRPr="006D673B" w:rsidRDefault="00AB2D3F" w:rsidP="00F71199">
            <w:pPr>
              <w:jc w:val="both"/>
              <w:rPr>
                <w:rFonts w:eastAsia="Calibri"/>
                <w:sz w:val="20"/>
                <w:lang w:val="fr-CA"/>
              </w:rPr>
            </w:pPr>
          </w:p>
        </w:tc>
        <w:tc>
          <w:tcPr>
            <w:tcW w:w="243" w:type="pct"/>
          </w:tcPr>
          <w:p w:rsidR="00AB2D3F" w:rsidRPr="006D673B" w:rsidRDefault="00AB2D3F" w:rsidP="00F71199">
            <w:pPr>
              <w:jc w:val="both"/>
              <w:rPr>
                <w:rFonts w:eastAsia="Calibri"/>
                <w:sz w:val="20"/>
                <w:lang w:val="fr-CA"/>
              </w:rPr>
            </w:pPr>
          </w:p>
        </w:tc>
        <w:tc>
          <w:tcPr>
            <w:tcW w:w="2330" w:type="pct"/>
          </w:tcPr>
          <w:p w:rsidR="00AB2D3F" w:rsidRPr="006D673B" w:rsidRDefault="00AB2D3F" w:rsidP="00F71199">
            <w:pPr>
              <w:jc w:val="both"/>
              <w:rPr>
                <w:rFonts w:eastAsia="Calibri"/>
                <w:sz w:val="20"/>
                <w:lang w:val="fr-CA"/>
              </w:rPr>
            </w:pPr>
            <w:r w:rsidRPr="006D673B">
              <w:rPr>
                <w:rFonts w:eastAsia="Calibri"/>
                <w:sz w:val="20"/>
                <w:lang w:val="fr-CA"/>
              </w:rPr>
              <w:t>Demande de Talon accueillie et jugement déclaratoire demandé prononcé; demande de M. Jung et Long Ocean rejetée</w:t>
            </w:r>
          </w:p>
          <w:p w:rsidR="00AB2D3F" w:rsidRPr="006D673B" w:rsidRDefault="00AB2D3F" w:rsidP="00F71199">
            <w:pPr>
              <w:jc w:val="both"/>
              <w:rPr>
                <w:rFonts w:eastAsia="Calibri"/>
                <w:sz w:val="20"/>
                <w:lang w:val="fr-CA"/>
              </w:rPr>
            </w:pPr>
          </w:p>
        </w:tc>
      </w:tr>
      <w:tr w:rsidR="00AB2D3F" w:rsidRPr="006D673B" w:rsidTr="00F71199">
        <w:tc>
          <w:tcPr>
            <w:tcW w:w="2427" w:type="pct"/>
          </w:tcPr>
          <w:p w:rsidR="00AB2D3F" w:rsidRPr="006D673B" w:rsidRDefault="00AB2D3F" w:rsidP="00F71199">
            <w:pPr>
              <w:jc w:val="both"/>
              <w:rPr>
                <w:rFonts w:eastAsia="Calibri"/>
                <w:sz w:val="20"/>
                <w:lang w:val="fr-CA"/>
              </w:rPr>
            </w:pPr>
            <w:r w:rsidRPr="006D673B">
              <w:rPr>
                <w:rFonts w:eastAsia="Calibri"/>
                <w:sz w:val="20"/>
                <w:lang w:val="fr-CA"/>
              </w:rPr>
              <w:lastRenderedPageBreak/>
              <w:t>24 février 2014</w:t>
            </w:r>
          </w:p>
          <w:p w:rsidR="00AB2D3F" w:rsidRPr="006D673B" w:rsidRDefault="00AB2D3F" w:rsidP="00F71199">
            <w:pPr>
              <w:jc w:val="both"/>
              <w:rPr>
                <w:rFonts w:eastAsia="Calibri"/>
                <w:sz w:val="20"/>
                <w:lang w:val="fr-CA"/>
              </w:rPr>
            </w:pPr>
            <w:r w:rsidRPr="006D673B">
              <w:rPr>
                <w:rFonts w:eastAsia="Calibri"/>
                <w:sz w:val="20"/>
                <w:lang w:val="fr-CA"/>
              </w:rPr>
              <w:t>Cour d’appel de l’Ontario</w:t>
            </w:r>
          </w:p>
          <w:p w:rsidR="00AB2D3F" w:rsidRPr="006D673B" w:rsidRDefault="00AB2D3F" w:rsidP="00F71199">
            <w:pPr>
              <w:jc w:val="both"/>
              <w:rPr>
                <w:rFonts w:eastAsia="Calibri"/>
                <w:sz w:val="20"/>
                <w:lang w:val="fr-CA"/>
              </w:rPr>
            </w:pPr>
            <w:r w:rsidRPr="006D673B">
              <w:rPr>
                <w:rFonts w:eastAsia="Calibri"/>
                <w:sz w:val="20"/>
                <w:lang w:val="fr-CA"/>
              </w:rPr>
              <w:t>(Juges Rosenberg, Hourigan et Benotto)</w:t>
            </w:r>
          </w:p>
          <w:p w:rsidR="00AB2D3F" w:rsidRPr="006D673B" w:rsidRDefault="002B68E4" w:rsidP="00F71199">
            <w:pPr>
              <w:jc w:val="both"/>
              <w:rPr>
                <w:rFonts w:eastAsia="Calibri"/>
                <w:sz w:val="20"/>
                <w:lang w:val="fr-CA"/>
              </w:rPr>
            </w:pPr>
            <w:hyperlink r:id="rId42" w:history="1">
              <w:r w:rsidR="00AB2D3F" w:rsidRPr="006D673B">
                <w:rPr>
                  <w:rFonts w:eastAsia="Calibri"/>
                  <w:color w:val="0000FF"/>
                  <w:sz w:val="20"/>
                  <w:u w:val="single"/>
                  <w:lang w:val="fr-CA"/>
                </w:rPr>
                <w:t>2014 ONCA 137</w:t>
              </w:r>
            </w:hyperlink>
          </w:p>
          <w:p w:rsidR="00AB2D3F" w:rsidRPr="006D673B" w:rsidRDefault="00AB2D3F" w:rsidP="00F71199">
            <w:pPr>
              <w:jc w:val="both"/>
              <w:rPr>
                <w:rFonts w:eastAsia="Calibri"/>
                <w:sz w:val="20"/>
                <w:lang w:val="fr-CA"/>
              </w:rPr>
            </w:pPr>
          </w:p>
        </w:tc>
        <w:tc>
          <w:tcPr>
            <w:tcW w:w="243" w:type="pct"/>
          </w:tcPr>
          <w:p w:rsidR="00AB2D3F" w:rsidRPr="006D673B" w:rsidRDefault="00AB2D3F" w:rsidP="00F71199">
            <w:pPr>
              <w:jc w:val="both"/>
              <w:rPr>
                <w:rFonts w:eastAsia="Calibri"/>
                <w:sz w:val="20"/>
                <w:lang w:val="fr-CA"/>
              </w:rPr>
            </w:pPr>
          </w:p>
        </w:tc>
        <w:tc>
          <w:tcPr>
            <w:tcW w:w="2330" w:type="pct"/>
          </w:tcPr>
          <w:p w:rsidR="00AB2D3F" w:rsidRPr="006D673B" w:rsidRDefault="00AB2D3F" w:rsidP="00F71199">
            <w:pPr>
              <w:jc w:val="both"/>
              <w:rPr>
                <w:rFonts w:eastAsia="Calibri"/>
                <w:sz w:val="20"/>
                <w:lang w:val="fr-CA"/>
              </w:rPr>
            </w:pPr>
            <w:r w:rsidRPr="006D673B">
              <w:rPr>
                <w:rFonts w:eastAsia="Calibri"/>
                <w:sz w:val="20"/>
                <w:lang w:val="fr-CA"/>
              </w:rPr>
              <w:t>Appel rejeté avec dépens fixes</w:t>
            </w:r>
          </w:p>
          <w:p w:rsidR="00AB2D3F" w:rsidRPr="006D673B" w:rsidRDefault="00AB2D3F" w:rsidP="00F71199">
            <w:pPr>
              <w:jc w:val="both"/>
              <w:rPr>
                <w:rFonts w:eastAsia="Calibri"/>
                <w:sz w:val="20"/>
                <w:lang w:val="fr-CA"/>
              </w:rPr>
            </w:pPr>
          </w:p>
        </w:tc>
      </w:tr>
      <w:tr w:rsidR="00AB2D3F" w:rsidRPr="006D673B" w:rsidTr="00F71199">
        <w:tc>
          <w:tcPr>
            <w:tcW w:w="2427" w:type="pct"/>
          </w:tcPr>
          <w:p w:rsidR="00AB2D3F" w:rsidRPr="006D673B" w:rsidRDefault="00AB2D3F" w:rsidP="00F71199">
            <w:pPr>
              <w:jc w:val="both"/>
              <w:rPr>
                <w:rFonts w:eastAsia="Calibri"/>
                <w:sz w:val="20"/>
                <w:lang w:val="fr-CA"/>
              </w:rPr>
            </w:pPr>
            <w:r w:rsidRPr="006D673B">
              <w:rPr>
                <w:rFonts w:eastAsia="Calibri"/>
                <w:sz w:val="20"/>
                <w:lang w:val="fr-CA"/>
              </w:rPr>
              <w:t>23 avril 2014</w:t>
            </w:r>
          </w:p>
          <w:p w:rsidR="00AB2D3F" w:rsidRPr="006D673B" w:rsidRDefault="00AB2D3F" w:rsidP="00F71199">
            <w:pPr>
              <w:jc w:val="both"/>
              <w:rPr>
                <w:rFonts w:eastAsia="Calibri"/>
                <w:sz w:val="20"/>
                <w:lang w:val="fr-CA"/>
              </w:rPr>
            </w:pPr>
            <w:r w:rsidRPr="006D673B">
              <w:rPr>
                <w:rFonts w:eastAsia="Calibri"/>
                <w:sz w:val="20"/>
                <w:lang w:val="fr-CA"/>
              </w:rPr>
              <w:t>Cour suprême du Canada</w:t>
            </w:r>
          </w:p>
        </w:tc>
        <w:tc>
          <w:tcPr>
            <w:tcW w:w="243" w:type="pct"/>
          </w:tcPr>
          <w:p w:rsidR="00AB2D3F" w:rsidRPr="006D673B" w:rsidRDefault="00AB2D3F" w:rsidP="00F71199">
            <w:pPr>
              <w:jc w:val="both"/>
              <w:rPr>
                <w:rFonts w:eastAsia="Calibri"/>
                <w:sz w:val="20"/>
                <w:lang w:val="fr-CA"/>
              </w:rPr>
            </w:pPr>
          </w:p>
        </w:tc>
        <w:tc>
          <w:tcPr>
            <w:tcW w:w="2330" w:type="pct"/>
          </w:tcPr>
          <w:p w:rsidR="00AB2D3F" w:rsidRPr="006D673B" w:rsidRDefault="00AB2D3F" w:rsidP="00F71199">
            <w:pPr>
              <w:jc w:val="both"/>
              <w:rPr>
                <w:rFonts w:eastAsia="Calibri"/>
                <w:sz w:val="20"/>
                <w:lang w:val="fr-CA"/>
              </w:rPr>
            </w:pPr>
            <w:r w:rsidRPr="006D673B">
              <w:rPr>
                <w:rFonts w:eastAsia="Calibri"/>
                <w:sz w:val="20"/>
                <w:lang w:val="fr-CA"/>
              </w:rPr>
              <w:t>Demande d’autorisation d’appel, déposée</w:t>
            </w:r>
          </w:p>
        </w:tc>
      </w:tr>
    </w:tbl>
    <w:p w:rsidR="007426C2" w:rsidRDefault="007426C2" w:rsidP="007426C2">
      <w:pPr>
        <w:rPr>
          <w:sz w:val="20"/>
          <w:szCs w:val="20"/>
        </w:rPr>
      </w:pPr>
    </w:p>
    <w:p w:rsidR="007426C2" w:rsidRDefault="002B68E4" w:rsidP="007426C2">
      <w:pPr>
        <w:rPr>
          <w:sz w:val="20"/>
          <w:szCs w:val="20"/>
        </w:rPr>
      </w:pPr>
      <w:r>
        <w:rPr>
          <w:sz w:val="20"/>
          <w:szCs w:val="20"/>
          <w:lang w:val="fr-CA"/>
        </w:rPr>
        <w:pict>
          <v:rect id="_x0000_i1040"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47575" w:rsidRPr="00905D3F" w:rsidTr="00247575">
        <w:trPr>
          <w:cantSplit/>
        </w:trPr>
        <w:tc>
          <w:tcPr>
            <w:tcW w:w="1458" w:type="dxa"/>
          </w:tcPr>
          <w:p w:rsidR="00247575" w:rsidRPr="00905D3F" w:rsidRDefault="00247575" w:rsidP="00247575">
            <w:pPr>
              <w:rPr>
                <w:sz w:val="20"/>
                <w:szCs w:val="20"/>
              </w:rPr>
            </w:pPr>
            <w:r w:rsidRPr="00905D3F">
              <w:rPr>
                <w:rStyle w:val="SCCFileNumberChar"/>
                <w:sz w:val="20"/>
                <w:szCs w:val="20"/>
              </w:rPr>
              <w:t>35848</w:t>
            </w:r>
          </w:p>
          <w:p w:rsidR="00247575" w:rsidRPr="00905D3F" w:rsidRDefault="00247575" w:rsidP="00247575">
            <w:pPr>
              <w:rPr>
                <w:b/>
                <w:sz w:val="20"/>
                <w:szCs w:val="20"/>
                <w:lang w:val="fr-CA"/>
              </w:rPr>
            </w:pPr>
          </w:p>
        </w:tc>
        <w:tc>
          <w:tcPr>
            <w:tcW w:w="8118" w:type="dxa"/>
          </w:tcPr>
          <w:p w:rsidR="00247575" w:rsidRPr="00905D3F" w:rsidRDefault="00247575" w:rsidP="00247575">
            <w:pPr>
              <w:jc w:val="both"/>
              <w:rPr>
                <w:sz w:val="20"/>
                <w:szCs w:val="20"/>
              </w:rPr>
            </w:pPr>
            <w:r w:rsidRPr="00905D3F">
              <w:rPr>
                <w:rStyle w:val="SCCLsocChar"/>
                <w:sz w:val="20"/>
                <w:szCs w:val="20"/>
                <w:lang w:val="en-CA"/>
              </w:rPr>
              <w:t>N.R. v. St. Michael’s Hospital, Renata Leong, Rajiv Shah</w:t>
            </w:r>
            <w:r>
              <w:rPr>
                <w:rStyle w:val="SCCLsocChar"/>
                <w:sz w:val="20"/>
                <w:szCs w:val="20"/>
                <w:lang w:val="en-CA"/>
              </w:rPr>
              <w:t xml:space="preserve"> and</w:t>
            </w:r>
            <w:r w:rsidRPr="00905D3F">
              <w:rPr>
                <w:rStyle w:val="SCCLsocChar"/>
                <w:sz w:val="20"/>
                <w:szCs w:val="20"/>
                <w:lang w:val="en-CA"/>
              </w:rPr>
              <w:t xml:space="preserve"> Ruth Sawatsky</w:t>
            </w:r>
            <w:r w:rsidRPr="00905D3F">
              <w:rPr>
                <w:sz w:val="20"/>
                <w:szCs w:val="20"/>
              </w:rPr>
              <w:t xml:space="preserve"> (Ont.) (Civil) (By</w:t>
            </w:r>
            <w:r>
              <w:rPr>
                <w:sz w:val="20"/>
                <w:szCs w:val="20"/>
              </w:rPr>
              <w:t> </w:t>
            </w:r>
            <w:r w:rsidRPr="00905D3F">
              <w:rPr>
                <w:sz w:val="20"/>
                <w:szCs w:val="20"/>
              </w:rPr>
              <w:t>Leave)</w:t>
            </w:r>
          </w:p>
          <w:p w:rsidR="00247575" w:rsidRPr="00905D3F" w:rsidRDefault="00247575" w:rsidP="00247575">
            <w:pPr>
              <w:jc w:val="both"/>
              <w:rPr>
                <w:sz w:val="20"/>
                <w:szCs w:val="20"/>
              </w:rPr>
            </w:pPr>
          </w:p>
        </w:tc>
      </w:tr>
      <w:tr w:rsidR="00247575" w:rsidRPr="00905D3F" w:rsidTr="00247575">
        <w:trPr>
          <w:cantSplit/>
        </w:trPr>
        <w:tc>
          <w:tcPr>
            <w:tcW w:w="1458" w:type="dxa"/>
          </w:tcPr>
          <w:p w:rsidR="00247575" w:rsidRPr="00905D3F" w:rsidRDefault="00247575" w:rsidP="00247575">
            <w:pPr>
              <w:rPr>
                <w:sz w:val="20"/>
                <w:szCs w:val="20"/>
              </w:rPr>
            </w:pPr>
            <w:r w:rsidRPr="00905D3F">
              <w:rPr>
                <w:sz w:val="20"/>
                <w:szCs w:val="20"/>
              </w:rPr>
              <w:t>Coram :</w:t>
            </w:r>
          </w:p>
        </w:tc>
        <w:tc>
          <w:tcPr>
            <w:tcW w:w="8118" w:type="dxa"/>
          </w:tcPr>
          <w:p w:rsidR="00247575" w:rsidRPr="00905D3F" w:rsidRDefault="00247575" w:rsidP="00247575">
            <w:pPr>
              <w:rPr>
                <w:sz w:val="20"/>
                <w:szCs w:val="20"/>
              </w:rPr>
            </w:pPr>
            <w:r w:rsidRPr="00905D3F">
              <w:rPr>
                <w:rStyle w:val="SCCCoramChar"/>
                <w:sz w:val="20"/>
                <w:szCs w:val="20"/>
                <w:lang w:val="en-CA"/>
              </w:rPr>
              <w:t>Abella, Rothstein and Moldaver JJ.</w:t>
            </w:r>
          </w:p>
          <w:p w:rsidR="00247575" w:rsidRPr="00905D3F" w:rsidRDefault="00247575" w:rsidP="00247575">
            <w:pPr>
              <w:rPr>
                <w:sz w:val="20"/>
                <w:szCs w:val="20"/>
                <w:u w:val="single"/>
              </w:rPr>
            </w:pPr>
          </w:p>
        </w:tc>
      </w:tr>
      <w:tr w:rsidR="00247575" w:rsidRPr="002B68E4" w:rsidTr="00247575">
        <w:trPr>
          <w:cantSplit/>
        </w:trPr>
        <w:tc>
          <w:tcPr>
            <w:tcW w:w="9576" w:type="dxa"/>
            <w:gridSpan w:val="2"/>
          </w:tcPr>
          <w:p w:rsidR="00247575" w:rsidRPr="00905D3F" w:rsidRDefault="00247575" w:rsidP="00247575">
            <w:pPr>
              <w:pStyle w:val="SCCShortJudgment"/>
              <w:rPr>
                <w:szCs w:val="20"/>
              </w:rPr>
            </w:pPr>
            <w:r w:rsidRPr="00905D3F">
              <w:rPr>
                <w:szCs w:val="20"/>
              </w:rPr>
              <w:t>The motion for an extension of time to serve and file the application for leave to appeal from the judgment of the Court of Appeal for Ontario, Number M40697, 2012 ONCA 278, dated April 26, 2012, is dismissed.  In any event, had such a motion been granted, the application for leave to appeal would have been dismissed without costs.</w:t>
            </w:r>
          </w:p>
          <w:p w:rsidR="00247575" w:rsidRPr="00905D3F" w:rsidRDefault="00247575" w:rsidP="00247575">
            <w:pPr>
              <w:pStyle w:val="SCCShortJudgment"/>
              <w:ind w:firstLine="0"/>
              <w:rPr>
                <w:szCs w:val="20"/>
              </w:rPr>
            </w:pPr>
          </w:p>
          <w:p w:rsidR="00247575" w:rsidRPr="00905D3F" w:rsidRDefault="00247575" w:rsidP="00247575">
            <w:pPr>
              <w:pStyle w:val="SCCShortJudgment"/>
              <w:rPr>
                <w:szCs w:val="20"/>
                <w:lang w:val="fr-CA"/>
              </w:rPr>
            </w:pPr>
            <w:r w:rsidRPr="00905D3F">
              <w:rPr>
                <w:szCs w:val="20"/>
                <w:lang w:val="fr-CA"/>
              </w:rPr>
              <w:t>La requête en prorogation du délai de signification et de dépôt de la demande d’autorisation d’appel de l’arrêt de la Cour d’appel de l’Ontario, numéro M40697, 2012 ONCA 278, daté du 26 avril 2012, est rejetée.  Quoi qu’il en soit, même si la requête avait été accueillie, la demande d’autorisation d’appel aurait été rejetée sans dépens.</w:t>
            </w:r>
          </w:p>
        </w:tc>
      </w:tr>
    </w:tbl>
    <w:p w:rsidR="007426C2" w:rsidRPr="00247575"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30EA" w:rsidRPr="006D673B" w:rsidTr="00F71199">
        <w:tc>
          <w:tcPr>
            <w:tcW w:w="5000" w:type="pct"/>
            <w:gridSpan w:val="3"/>
          </w:tcPr>
          <w:p w:rsidR="004030EA" w:rsidRPr="006D673B" w:rsidRDefault="004030EA" w:rsidP="00F71199">
            <w:pPr>
              <w:jc w:val="both"/>
              <w:rPr>
                <w:rFonts w:eastAsia="Calibri"/>
                <w:smallCaps/>
                <w:sz w:val="20"/>
              </w:rPr>
            </w:pPr>
            <w:r w:rsidRPr="006D673B">
              <w:rPr>
                <w:rFonts w:eastAsia="Calibri"/>
                <w:smallCaps/>
                <w:sz w:val="20"/>
              </w:rPr>
              <w:t xml:space="preserve">(Publication </w:t>
            </w:r>
            <w:r>
              <w:rPr>
                <w:rFonts w:eastAsia="Calibri"/>
                <w:smallCaps/>
                <w:sz w:val="20"/>
              </w:rPr>
              <w:t>B</w:t>
            </w:r>
            <w:r w:rsidRPr="006D673B">
              <w:rPr>
                <w:rFonts w:eastAsia="Calibri"/>
                <w:smallCaps/>
                <w:sz w:val="20"/>
              </w:rPr>
              <w:t xml:space="preserve">an on </w:t>
            </w:r>
            <w:r>
              <w:rPr>
                <w:rFonts w:eastAsia="Calibri"/>
                <w:smallCaps/>
                <w:sz w:val="20"/>
              </w:rPr>
              <w:t>P</w:t>
            </w:r>
            <w:r w:rsidRPr="006D673B">
              <w:rPr>
                <w:rFonts w:eastAsia="Calibri"/>
                <w:smallCaps/>
                <w:sz w:val="20"/>
              </w:rPr>
              <w:t xml:space="preserve">arty) (Court </w:t>
            </w:r>
            <w:r>
              <w:rPr>
                <w:rFonts w:eastAsia="Calibri"/>
                <w:smallCaps/>
                <w:sz w:val="20"/>
              </w:rPr>
              <w:t>F</w:t>
            </w:r>
            <w:r w:rsidRPr="006D673B">
              <w:rPr>
                <w:rFonts w:eastAsia="Calibri"/>
                <w:smallCaps/>
                <w:sz w:val="20"/>
              </w:rPr>
              <w:t xml:space="preserve">ile </w:t>
            </w:r>
            <w:r>
              <w:rPr>
                <w:rFonts w:eastAsia="Calibri"/>
                <w:smallCaps/>
                <w:sz w:val="20"/>
              </w:rPr>
              <w:t>C</w:t>
            </w:r>
            <w:r w:rsidRPr="006D673B">
              <w:rPr>
                <w:rFonts w:eastAsia="Calibri"/>
                <w:smallCaps/>
                <w:sz w:val="20"/>
              </w:rPr>
              <w:t xml:space="preserve">ontains </w:t>
            </w:r>
            <w:r>
              <w:rPr>
                <w:rFonts w:eastAsia="Calibri"/>
                <w:smallCaps/>
                <w:sz w:val="20"/>
              </w:rPr>
              <w:t>I</w:t>
            </w:r>
            <w:r w:rsidRPr="006D673B">
              <w:rPr>
                <w:rFonts w:eastAsia="Calibri"/>
                <w:smallCaps/>
                <w:sz w:val="20"/>
              </w:rPr>
              <w:t xml:space="preserve">nformation </w:t>
            </w:r>
            <w:r>
              <w:rPr>
                <w:rFonts w:eastAsia="Calibri"/>
                <w:smallCaps/>
                <w:sz w:val="20"/>
              </w:rPr>
              <w:t>T</w:t>
            </w:r>
            <w:r w:rsidRPr="006D673B">
              <w:rPr>
                <w:rFonts w:eastAsia="Calibri"/>
                <w:smallCaps/>
                <w:sz w:val="20"/>
              </w:rPr>
              <w:t xml:space="preserve">hat is not </w:t>
            </w:r>
            <w:r>
              <w:rPr>
                <w:rFonts w:eastAsia="Calibri"/>
                <w:smallCaps/>
                <w:sz w:val="20"/>
              </w:rPr>
              <w:t>A</w:t>
            </w:r>
            <w:r w:rsidRPr="006D673B">
              <w:rPr>
                <w:rFonts w:eastAsia="Calibri"/>
                <w:smallCaps/>
                <w:sz w:val="20"/>
              </w:rPr>
              <w:t xml:space="preserve">vailable for </w:t>
            </w:r>
            <w:r>
              <w:rPr>
                <w:rFonts w:eastAsia="Calibri"/>
                <w:smallCaps/>
                <w:sz w:val="20"/>
              </w:rPr>
              <w:t>I</w:t>
            </w:r>
            <w:r w:rsidRPr="006D673B">
              <w:rPr>
                <w:rFonts w:eastAsia="Calibri"/>
                <w:smallCaps/>
                <w:sz w:val="20"/>
              </w:rPr>
              <w:t xml:space="preserve">nspection by the </w:t>
            </w:r>
            <w:r>
              <w:rPr>
                <w:rFonts w:eastAsia="Calibri"/>
                <w:smallCaps/>
                <w:sz w:val="20"/>
              </w:rPr>
              <w:t>P</w:t>
            </w:r>
            <w:r w:rsidRPr="006D673B">
              <w:rPr>
                <w:rFonts w:eastAsia="Calibri"/>
                <w:smallCaps/>
                <w:sz w:val="20"/>
              </w:rPr>
              <w:t>ublic)</w:t>
            </w:r>
          </w:p>
          <w:p w:rsidR="004030EA" w:rsidRPr="006D673B" w:rsidRDefault="004030EA" w:rsidP="00F71199">
            <w:pPr>
              <w:jc w:val="both"/>
              <w:rPr>
                <w:rFonts w:eastAsia="Calibri"/>
                <w:i/>
                <w:sz w:val="20"/>
              </w:rPr>
            </w:pPr>
          </w:p>
          <w:p w:rsidR="004030EA" w:rsidRPr="006D673B" w:rsidRDefault="004030EA" w:rsidP="00F71199">
            <w:pPr>
              <w:jc w:val="both"/>
              <w:rPr>
                <w:rFonts w:eastAsia="Calibri"/>
                <w:sz w:val="20"/>
              </w:rPr>
            </w:pPr>
            <w:r w:rsidRPr="006D673B">
              <w:rPr>
                <w:rFonts w:eastAsia="Calibri"/>
                <w:i/>
                <w:sz w:val="20"/>
              </w:rPr>
              <w:t>Charter of rights and freedoms</w:t>
            </w:r>
            <w:r w:rsidRPr="006D673B">
              <w:rPr>
                <w:rFonts w:eastAsia="Calibri"/>
                <w:sz w:val="20"/>
              </w:rPr>
              <w:t xml:space="preserve"> — Civil procedure — Motion for summary judgment — Motions judge granting motion for summary judgment and dismissing action — Judge of Court of Appeal issuing order requiring applicant to post security for costs of her appeal — Whether Court of Appeal erred in dismissing applicant’s motion to have that order set aside?</w:t>
            </w:r>
          </w:p>
        </w:tc>
      </w:tr>
      <w:tr w:rsidR="004030EA" w:rsidRPr="006D673B" w:rsidTr="00F71199">
        <w:tc>
          <w:tcPr>
            <w:tcW w:w="5000" w:type="pct"/>
            <w:gridSpan w:val="3"/>
          </w:tcPr>
          <w:p w:rsidR="004030EA" w:rsidRPr="006D673B" w:rsidRDefault="004030EA" w:rsidP="00F71199">
            <w:pPr>
              <w:jc w:val="both"/>
              <w:rPr>
                <w:rFonts w:eastAsia="Calibri"/>
                <w:sz w:val="20"/>
              </w:rPr>
            </w:pPr>
          </w:p>
        </w:tc>
      </w:tr>
      <w:tr w:rsidR="004030EA" w:rsidRPr="006D673B" w:rsidTr="00F71199">
        <w:tc>
          <w:tcPr>
            <w:tcW w:w="5000" w:type="pct"/>
            <w:gridSpan w:val="3"/>
          </w:tcPr>
          <w:p w:rsidR="004030EA" w:rsidRPr="006D673B" w:rsidRDefault="004030EA" w:rsidP="00F71199">
            <w:pPr>
              <w:jc w:val="both"/>
              <w:rPr>
                <w:rFonts w:eastAsia="Calibri"/>
                <w:sz w:val="20"/>
              </w:rPr>
            </w:pPr>
            <w:r w:rsidRPr="006D673B">
              <w:rPr>
                <w:rFonts w:eastAsia="Calibri"/>
                <w:sz w:val="20"/>
              </w:rPr>
              <w:t>The applicant brought an action against St. Michael’s hospital, two doctors (Dr. Leong and Dr. Shah) and a registered nurse.  That action alleged libel and slander as well as conspiracy to apprehend the applicant’s newborn grandchild through the involvement of the Children’s Aid Society (C.A.S.).</w:t>
            </w:r>
          </w:p>
          <w:p w:rsidR="004030EA" w:rsidRPr="006D673B" w:rsidRDefault="004030EA" w:rsidP="00F71199">
            <w:pPr>
              <w:jc w:val="both"/>
              <w:rPr>
                <w:rFonts w:eastAsia="Calibri"/>
                <w:sz w:val="20"/>
              </w:rPr>
            </w:pPr>
          </w:p>
          <w:p w:rsidR="004030EA" w:rsidRPr="006D673B" w:rsidRDefault="004030EA" w:rsidP="00F71199">
            <w:pPr>
              <w:jc w:val="both"/>
              <w:rPr>
                <w:rFonts w:eastAsia="Calibri"/>
                <w:sz w:val="20"/>
              </w:rPr>
            </w:pPr>
            <w:r w:rsidRPr="006D673B">
              <w:rPr>
                <w:rFonts w:eastAsia="Calibri"/>
                <w:sz w:val="20"/>
              </w:rPr>
              <w:t xml:space="preserve">The allegations relate to incidents following the birth of the child at St. Michael’s Hospital and hospital staff’s subsequent communications with the C.A.S. in relation to their concerns about the newborn.  The applicant alleged that the doctors and a nurse uttered words of a defamatory nature to a hospital social worker and a CAS employee.  The C.A.S. conducted a brief investigation and, having no concerns about the child, closed the file. </w:t>
            </w:r>
          </w:p>
          <w:p w:rsidR="004030EA" w:rsidRPr="006D673B" w:rsidRDefault="004030EA" w:rsidP="00F71199">
            <w:pPr>
              <w:jc w:val="both"/>
              <w:rPr>
                <w:rFonts w:eastAsia="Calibri"/>
                <w:sz w:val="20"/>
              </w:rPr>
            </w:pPr>
          </w:p>
          <w:p w:rsidR="004030EA" w:rsidRPr="006D673B" w:rsidRDefault="004030EA" w:rsidP="00F71199">
            <w:pPr>
              <w:jc w:val="both"/>
              <w:rPr>
                <w:rFonts w:eastAsia="Calibri"/>
                <w:sz w:val="20"/>
              </w:rPr>
            </w:pPr>
            <w:r w:rsidRPr="006D673B">
              <w:rPr>
                <w:rFonts w:eastAsia="Calibri"/>
                <w:sz w:val="20"/>
              </w:rPr>
              <w:t>This action was one of five libel and slander actions filed by the applicant against various respondents and relating to incidents which followed the birth of her grandchild.</w:t>
            </w:r>
          </w:p>
          <w:p w:rsidR="004030EA" w:rsidRPr="006D673B" w:rsidRDefault="004030EA" w:rsidP="00F71199">
            <w:pPr>
              <w:jc w:val="both"/>
              <w:rPr>
                <w:rFonts w:eastAsia="Calibri"/>
                <w:sz w:val="20"/>
              </w:rPr>
            </w:pPr>
          </w:p>
          <w:p w:rsidR="004030EA" w:rsidRPr="006D673B" w:rsidRDefault="004030EA" w:rsidP="00F71199">
            <w:pPr>
              <w:jc w:val="both"/>
              <w:rPr>
                <w:rFonts w:eastAsia="Calibri"/>
                <w:sz w:val="20"/>
              </w:rPr>
            </w:pPr>
            <w:r w:rsidRPr="006D673B">
              <w:rPr>
                <w:rFonts w:eastAsia="Calibri"/>
                <w:sz w:val="20"/>
              </w:rPr>
              <w:t>The respondents filed a motion for summary judgment.</w:t>
            </w:r>
          </w:p>
          <w:p w:rsidR="004030EA" w:rsidRPr="006D673B" w:rsidRDefault="004030EA" w:rsidP="00F71199">
            <w:pPr>
              <w:jc w:val="both"/>
              <w:rPr>
                <w:rFonts w:eastAsia="Calibri"/>
                <w:sz w:val="20"/>
              </w:rPr>
            </w:pPr>
          </w:p>
        </w:tc>
      </w:tr>
      <w:tr w:rsidR="004030EA" w:rsidRPr="006D673B" w:rsidTr="00E93821">
        <w:trPr>
          <w:cantSplit/>
        </w:trPr>
        <w:tc>
          <w:tcPr>
            <w:tcW w:w="2427" w:type="pct"/>
          </w:tcPr>
          <w:p w:rsidR="004030EA" w:rsidRPr="006D673B" w:rsidRDefault="004030EA" w:rsidP="00F71199">
            <w:pPr>
              <w:jc w:val="both"/>
              <w:rPr>
                <w:rFonts w:eastAsia="Calibri"/>
                <w:sz w:val="20"/>
              </w:rPr>
            </w:pPr>
            <w:r w:rsidRPr="006D673B">
              <w:rPr>
                <w:rFonts w:eastAsia="Calibri"/>
                <w:sz w:val="20"/>
              </w:rPr>
              <w:lastRenderedPageBreak/>
              <w:t>April 19, 2011</w:t>
            </w:r>
          </w:p>
          <w:p w:rsidR="004030EA" w:rsidRPr="006D673B" w:rsidRDefault="004030EA" w:rsidP="00F71199">
            <w:pPr>
              <w:jc w:val="both"/>
              <w:rPr>
                <w:rFonts w:eastAsia="Calibri"/>
                <w:sz w:val="20"/>
              </w:rPr>
            </w:pPr>
            <w:r w:rsidRPr="006D673B">
              <w:rPr>
                <w:rFonts w:eastAsia="Calibri"/>
                <w:sz w:val="20"/>
              </w:rPr>
              <w:t>Ontario Superior Court of Justice</w:t>
            </w:r>
          </w:p>
          <w:p w:rsidR="004030EA" w:rsidRPr="006D673B" w:rsidRDefault="004030EA" w:rsidP="00F71199">
            <w:pPr>
              <w:jc w:val="both"/>
              <w:rPr>
                <w:rFonts w:eastAsia="Calibri"/>
                <w:sz w:val="20"/>
              </w:rPr>
            </w:pPr>
            <w:r w:rsidRPr="006D673B">
              <w:rPr>
                <w:rFonts w:eastAsia="Calibri"/>
                <w:sz w:val="20"/>
              </w:rPr>
              <w:t>(Belobaba J.)</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Motion for summary judgment granted; Action against respondents Leong and Shah, dismissed</w:t>
            </w:r>
          </w:p>
          <w:p w:rsidR="004030EA" w:rsidRPr="006D673B" w:rsidRDefault="004030EA" w:rsidP="00F71199">
            <w:pPr>
              <w:jc w:val="both"/>
              <w:rPr>
                <w:rFonts w:eastAsia="Calibri"/>
                <w:sz w:val="20"/>
              </w:rPr>
            </w:pPr>
          </w:p>
        </w:tc>
      </w:tr>
      <w:tr w:rsidR="004030EA" w:rsidRPr="006D673B" w:rsidTr="00E93821">
        <w:trPr>
          <w:cantSplit/>
        </w:trPr>
        <w:tc>
          <w:tcPr>
            <w:tcW w:w="2427" w:type="pct"/>
          </w:tcPr>
          <w:p w:rsidR="004030EA" w:rsidRPr="006D673B" w:rsidRDefault="004030EA" w:rsidP="00F71199">
            <w:pPr>
              <w:jc w:val="both"/>
              <w:rPr>
                <w:rFonts w:eastAsia="Calibri"/>
                <w:sz w:val="20"/>
              </w:rPr>
            </w:pPr>
            <w:r w:rsidRPr="006D673B">
              <w:rPr>
                <w:rFonts w:eastAsia="Calibri"/>
                <w:sz w:val="20"/>
              </w:rPr>
              <w:t>April 19, 2011</w:t>
            </w:r>
          </w:p>
          <w:p w:rsidR="004030EA" w:rsidRPr="006D673B" w:rsidRDefault="004030EA" w:rsidP="00F71199">
            <w:pPr>
              <w:jc w:val="both"/>
              <w:rPr>
                <w:rFonts w:eastAsia="Calibri"/>
                <w:sz w:val="20"/>
              </w:rPr>
            </w:pPr>
            <w:r w:rsidRPr="006D673B">
              <w:rPr>
                <w:rFonts w:eastAsia="Calibri"/>
                <w:sz w:val="20"/>
              </w:rPr>
              <w:t>Ontario Superior Court of Justice</w:t>
            </w:r>
          </w:p>
          <w:p w:rsidR="004030EA" w:rsidRPr="006D673B" w:rsidRDefault="004030EA" w:rsidP="00F71199">
            <w:pPr>
              <w:jc w:val="both"/>
              <w:rPr>
                <w:rFonts w:eastAsia="Calibri"/>
                <w:sz w:val="20"/>
              </w:rPr>
            </w:pPr>
            <w:r w:rsidRPr="006D673B">
              <w:rPr>
                <w:rFonts w:eastAsia="Calibri"/>
                <w:sz w:val="20"/>
              </w:rPr>
              <w:t>(Belobaba J.)</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Motion for summary judgment granted; Action against respondents St. Michael’s Hospital and Sawatsky, dismissed</w:t>
            </w:r>
          </w:p>
        </w:tc>
      </w:tr>
      <w:tr w:rsidR="004030EA" w:rsidRPr="006D673B" w:rsidTr="00E93821">
        <w:trPr>
          <w:cantSplit/>
        </w:trPr>
        <w:tc>
          <w:tcPr>
            <w:tcW w:w="2427" w:type="pct"/>
          </w:tcPr>
          <w:p w:rsidR="004030EA" w:rsidRPr="006D673B" w:rsidRDefault="004030EA" w:rsidP="00F71199">
            <w:pPr>
              <w:jc w:val="both"/>
              <w:rPr>
                <w:rFonts w:eastAsia="Calibri"/>
                <w:sz w:val="20"/>
              </w:rPr>
            </w:pPr>
            <w:r w:rsidRPr="006D673B">
              <w:rPr>
                <w:rFonts w:eastAsia="Calibri"/>
                <w:sz w:val="20"/>
              </w:rPr>
              <w:t>November 4, 2011</w:t>
            </w:r>
          </w:p>
          <w:p w:rsidR="004030EA" w:rsidRPr="006D673B" w:rsidRDefault="004030EA" w:rsidP="00F71199">
            <w:pPr>
              <w:jc w:val="both"/>
              <w:rPr>
                <w:rFonts w:eastAsia="Calibri"/>
                <w:sz w:val="20"/>
              </w:rPr>
            </w:pPr>
            <w:r w:rsidRPr="006D673B">
              <w:rPr>
                <w:rFonts w:eastAsia="Calibri"/>
                <w:sz w:val="20"/>
              </w:rPr>
              <w:t>Court of Appeal for Ontario</w:t>
            </w:r>
          </w:p>
          <w:p w:rsidR="004030EA" w:rsidRPr="006D673B" w:rsidRDefault="004030EA" w:rsidP="00F71199">
            <w:pPr>
              <w:jc w:val="both"/>
              <w:rPr>
                <w:rFonts w:eastAsia="Calibri"/>
                <w:sz w:val="20"/>
              </w:rPr>
            </w:pPr>
            <w:r w:rsidRPr="006D673B">
              <w:rPr>
                <w:rFonts w:eastAsia="Calibri"/>
                <w:sz w:val="20"/>
              </w:rPr>
              <w:t>(MacPherson J.A.)</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 xml:space="preserve">Order requiring applicant to post security for costs of an appeal from Belobaba J.’s order, granted </w:t>
            </w:r>
          </w:p>
        </w:tc>
      </w:tr>
      <w:tr w:rsidR="004030EA" w:rsidRPr="006D673B" w:rsidTr="00E93821">
        <w:trPr>
          <w:cantSplit/>
        </w:trPr>
        <w:tc>
          <w:tcPr>
            <w:tcW w:w="2427" w:type="pct"/>
          </w:tcPr>
          <w:p w:rsidR="004030EA" w:rsidRPr="006D673B" w:rsidRDefault="004030EA" w:rsidP="00F71199">
            <w:pPr>
              <w:jc w:val="both"/>
              <w:rPr>
                <w:rFonts w:eastAsia="Calibri"/>
                <w:sz w:val="20"/>
              </w:rPr>
            </w:pPr>
            <w:r w:rsidRPr="006D673B">
              <w:rPr>
                <w:rFonts w:eastAsia="Calibri"/>
                <w:sz w:val="20"/>
              </w:rPr>
              <w:t>April 26, 2012</w:t>
            </w:r>
          </w:p>
          <w:p w:rsidR="004030EA" w:rsidRPr="006D673B" w:rsidRDefault="004030EA" w:rsidP="00F71199">
            <w:pPr>
              <w:jc w:val="both"/>
              <w:rPr>
                <w:rFonts w:eastAsia="Calibri"/>
                <w:sz w:val="20"/>
              </w:rPr>
            </w:pPr>
            <w:r w:rsidRPr="006D673B">
              <w:rPr>
                <w:rFonts w:eastAsia="Calibri"/>
                <w:sz w:val="20"/>
              </w:rPr>
              <w:t>Court of Appeal for Ontario</w:t>
            </w:r>
          </w:p>
          <w:p w:rsidR="004030EA" w:rsidRPr="006D673B" w:rsidRDefault="004030EA" w:rsidP="00F71199">
            <w:pPr>
              <w:jc w:val="both"/>
              <w:rPr>
                <w:rFonts w:eastAsia="Calibri"/>
                <w:sz w:val="20"/>
              </w:rPr>
            </w:pPr>
            <w:r w:rsidRPr="006D673B">
              <w:rPr>
                <w:rFonts w:eastAsia="Calibri"/>
                <w:sz w:val="20"/>
              </w:rPr>
              <w:t>(Armstrong, Blair and Hoy JJ.A.)</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 xml:space="preserve">Motion to set aside order of MacPherson J.A., dismissed </w:t>
            </w:r>
          </w:p>
          <w:p w:rsidR="004030EA" w:rsidRPr="006D673B" w:rsidRDefault="004030EA" w:rsidP="00F71199">
            <w:pPr>
              <w:jc w:val="both"/>
              <w:rPr>
                <w:rFonts w:eastAsia="Calibri"/>
                <w:sz w:val="20"/>
              </w:rPr>
            </w:pPr>
          </w:p>
        </w:tc>
      </w:tr>
      <w:tr w:rsidR="004030EA" w:rsidRPr="006D673B" w:rsidTr="00E93821">
        <w:trPr>
          <w:cantSplit/>
        </w:trPr>
        <w:tc>
          <w:tcPr>
            <w:tcW w:w="2427" w:type="pct"/>
          </w:tcPr>
          <w:p w:rsidR="004030EA" w:rsidRPr="006D673B" w:rsidRDefault="004030EA" w:rsidP="00F71199">
            <w:pPr>
              <w:jc w:val="both"/>
              <w:rPr>
                <w:rFonts w:eastAsia="Calibri"/>
                <w:sz w:val="20"/>
              </w:rPr>
            </w:pPr>
            <w:r w:rsidRPr="006D673B">
              <w:rPr>
                <w:rFonts w:eastAsia="Calibri"/>
                <w:sz w:val="20"/>
              </w:rPr>
              <w:t>April 15, 2014</w:t>
            </w:r>
          </w:p>
          <w:p w:rsidR="004030EA" w:rsidRPr="006D673B" w:rsidRDefault="004030EA" w:rsidP="00F71199">
            <w:pPr>
              <w:jc w:val="both"/>
              <w:rPr>
                <w:rFonts w:eastAsia="Calibri"/>
                <w:sz w:val="20"/>
              </w:rPr>
            </w:pPr>
            <w:r w:rsidRPr="006D673B">
              <w:rPr>
                <w:rFonts w:eastAsia="Calibri"/>
                <w:sz w:val="20"/>
              </w:rPr>
              <w:t>Supreme Court of Canada</w:t>
            </w: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Motion for an extension of time to serve and file an application for leave to appeal and application for leave to appeal, filed</w:t>
            </w: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41"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6"/>
        <w:gridCol w:w="463"/>
        <w:gridCol w:w="4438"/>
      </w:tblGrid>
      <w:tr w:rsidR="004030EA" w:rsidRPr="002B68E4" w:rsidTr="00F71199">
        <w:tc>
          <w:tcPr>
            <w:tcW w:w="5000" w:type="pct"/>
            <w:gridSpan w:val="3"/>
          </w:tcPr>
          <w:p w:rsidR="004030EA" w:rsidRPr="006D673B" w:rsidRDefault="004030EA" w:rsidP="00F71199">
            <w:pPr>
              <w:jc w:val="both"/>
              <w:rPr>
                <w:rFonts w:eastAsia="Calibri"/>
                <w:smallCaps/>
                <w:sz w:val="20"/>
                <w:lang w:val="fr-CA"/>
              </w:rPr>
            </w:pPr>
            <w:r w:rsidRPr="006D673B">
              <w:rPr>
                <w:rFonts w:eastAsia="Calibri"/>
                <w:smallCaps/>
                <w:sz w:val="20"/>
                <w:lang w:val="fr-CA"/>
              </w:rPr>
              <w:t>(Ordonnance non-publication visant une partie) (</w:t>
            </w:r>
            <w:r>
              <w:rPr>
                <w:rFonts w:eastAsia="Calibri"/>
                <w:smallCaps/>
                <w:sz w:val="20"/>
                <w:lang w:val="fr-CA"/>
              </w:rPr>
              <w:t>L</w:t>
            </w:r>
            <w:r w:rsidRPr="006D673B">
              <w:rPr>
                <w:rFonts w:eastAsia="Calibri"/>
                <w:smallCaps/>
                <w:sz w:val="20"/>
                <w:lang w:val="fr-CA"/>
              </w:rPr>
              <w:t>e dossier de la cour renferme des données que le public n’est pas autorisé à consulter)</w:t>
            </w:r>
          </w:p>
          <w:p w:rsidR="004030EA" w:rsidRPr="006D673B" w:rsidRDefault="004030EA" w:rsidP="00F71199">
            <w:pPr>
              <w:jc w:val="both"/>
              <w:rPr>
                <w:rFonts w:eastAsia="Calibri"/>
                <w:i/>
                <w:sz w:val="20"/>
                <w:lang w:val="fr-CA"/>
              </w:rPr>
            </w:pPr>
          </w:p>
          <w:p w:rsidR="004030EA" w:rsidRPr="006D673B" w:rsidRDefault="004030EA" w:rsidP="00F71199">
            <w:pPr>
              <w:jc w:val="both"/>
              <w:rPr>
                <w:rFonts w:eastAsia="Calibri"/>
                <w:sz w:val="20"/>
                <w:lang w:val="fr-CA"/>
              </w:rPr>
            </w:pPr>
            <w:r w:rsidRPr="006D673B">
              <w:rPr>
                <w:rFonts w:eastAsia="Calibri"/>
                <w:i/>
                <w:sz w:val="20"/>
                <w:lang w:val="fr-CA"/>
              </w:rPr>
              <w:t>Charte canadienne des droits et libertés</w:t>
            </w:r>
            <w:r w:rsidRPr="006D673B">
              <w:rPr>
                <w:rFonts w:eastAsia="Calibri"/>
                <w:sz w:val="20"/>
                <w:lang w:val="fr-CA"/>
              </w:rPr>
              <w:t xml:space="preserve"> — Procédure civile — Requête en jugement sommaire — Requête en jugement sommaire accueillie et action rejetée par le juge des requêtes —Juge de la Cour d’appel ordonnant à la demanderesse de déposer un cautionnement pour dépens de son appel — La Cour d’appel a-t-elle rejeté à tort la requête de la demanderesse en annulation de cette ordonnance?</w:t>
            </w:r>
          </w:p>
        </w:tc>
      </w:tr>
      <w:tr w:rsidR="004030EA" w:rsidRPr="002B68E4" w:rsidTr="00F71199">
        <w:tc>
          <w:tcPr>
            <w:tcW w:w="5000" w:type="pct"/>
            <w:gridSpan w:val="3"/>
          </w:tcPr>
          <w:p w:rsidR="004030EA" w:rsidRPr="006D673B" w:rsidRDefault="004030EA" w:rsidP="00F71199">
            <w:pPr>
              <w:jc w:val="both"/>
              <w:rPr>
                <w:rFonts w:eastAsia="Calibri"/>
                <w:sz w:val="20"/>
                <w:lang w:val="fr-CA"/>
              </w:rPr>
            </w:pPr>
          </w:p>
        </w:tc>
      </w:tr>
      <w:tr w:rsidR="004030EA" w:rsidRPr="002B68E4" w:rsidTr="00F71199">
        <w:tc>
          <w:tcPr>
            <w:tcW w:w="5000" w:type="pct"/>
            <w:gridSpan w:val="3"/>
          </w:tcPr>
          <w:p w:rsidR="004030EA" w:rsidRPr="006D673B" w:rsidRDefault="004030EA" w:rsidP="00F71199">
            <w:pPr>
              <w:jc w:val="both"/>
              <w:rPr>
                <w:rFonts w:eastAsia="Calibri"/>
                <w:sz w:val="20"/>
                <w:lang w:val="fr-CA"/>
              </w:rPr>
            </w:pPr>
            <w:r w:rsidRPr="006D673B">
              <w:rPr>
                <w:rFonts w:eastAsia="Calibri"/>
                <w:sz w:val="20"/>
                <w:lang w:val="fr-CA"/>
              </w:rPr>
              <w:t>La demanderesse a intenté une action contre St. Michael’s Hospital, deux médecins (les Drs Leong et Shah) et une infirmière autorisée.  Dans son action, la demanderesse a allégué la diffamation ainsi qu’un complot en faisant intervenir la Société d’aide à l’enfance (SAE) en vue d’appréhender son petit-enfant nouveau-né.</w:t>
            </w:r>
          </w:p>
          <w:p w:rsidR="004030EA" w:rsidRPr="006D673B" w:rsidRDefault="004030EA" w:rsidP="00F71199">
            <w:pPr>
              <w:jc w:val="both"/>
              <w:rPr>
                <w:rFonts w:eastAsia="Calibri"/>
                <w:sz w:val="20"/>
                <w:lang w:val="fr-CA"/>
              </w:rPr>
            </w:pPr>
          </w:p>
          <w:p w:rsidR="004030EA" w:rsidRPr="006D673B" w:rsidRDefault="004030EA" w:rsidP="00F71199">
            <w:pPr>
              <w:jc w:val="both"/>
              <w:rPr>
                <w:rFonts w:eastAsia="Calibri"/>
                <w:sz w:val="20"/>
                <w:lang w:val="fr-CA"/>
              </w:rPr>
            </w:pPr>
            <w:r w:rsidRPr="006D673B">
              <w:rPr>
                <w:rFonts w:eastAsia="Calibri"/>
                <w:sz w:val="20"/>
                <w:lang w:val="fr-CA"/>
              </w:rPr>
              <w:t>Les allégations ont trait à des incidents qui ont suivi la naissance de l’enfant à l’hôpital St. Michael’s et aux communications subséquentes du personnel de l’hôpital avec la SAE relatives à leurs inquiétudes au sujet de l’enfant.  La demanderesse a allégué que les médecins et une infirmière ont adressé des propos diffamatoires à un travailleur social de l’hôpital ainsi qu’à un employé de la SAE.  La SAE a mené une brève enquête et, n’ayant pas d’inquiétudes au sujet de l’enfant, elle a clos le dossier.</w:t>
            </w:r>
          </w:p>
          <w:p w:rsidR="004030EA" w:rsidRPr="006D673B" w:rsidRDefault="004030EA" w:rsidP="00F71199">
            <w:pPr>
              <w:jc w:val="both"/>
              <w:rPr>
                <w:rFonts w:eastAsia="Calibri"/>
                <w:sz w:val="20"/>
                <w:lang w:val="fr-CA"/>
              </w:rPr>
            </w:pPr>
          </w:p>
          <w:p w:rsidR="004030EA" w:rsidRPr="006D673B" w:rsidRDefault="004030EA" w:rsidP="00F71199">
            <w:pPr>
              <w:jc w:val="both"/>
              <w:rPr>
                <w:rFonts w:eastAsia="Calibri"/>
                <w:sz w:val="20"/>
                <w:lang w:val="fr-CA"/>
              </w:rPr>
            </w:pPr>
            <w:r w:rsidRPr="006D673B">
              <w:rPr>
                <w:rFonts w:eastAsia="Calibri"/>
                <w:sz w:val="20"/>
                <w:lang w:val="fr-CA"/>
              </w:rPr>
              <w:t>Il s’agit de l’une des cinq actions pour diffamation intentées par la demanderesse contre divers défendeurs et relatives à des incidents consécutifs à la naissance de son petit-enfant.</w:t>
            </w:r>
          </w:p>
          <w:p w:rsidR="004030EA" w:rsidRPr="006D673B" w:rsidRDefault="004030EA" w:rsidP="00F71199">
            <w:pPr>
              <w:jc w:val="both"/>
              <w:rPr>
                <w:rFonts w:eastAsia="Calibri"/>
                <w:sz w:val="20"/>
                <w:lang w:val="fr-CA"/>
              </w:rPr>
            </w:pPr>
          </w:p>
          <w:p w:rsidR="004030EA" w:rsidRPr="006D673B" w:rsidRDefault="004030EA" w:rsidP="00F71199">
            <w:pPr>
              <w:jc w:val="both"/>
              <w:rPr>
                <w:rFonts w:eastAsia="Calibri"/>
                <w:sz w:val="20"/>
                <w:lang w:val="fr-CA"/>
              </w:rPr>
            </w:pPr>
            <w:r w:rsidRPr="006D673B">
              <w:rPr>
                <w:rFonts w:eastAsia="Calibri"/>
                <w:sz w:val="20"/>
                <w:lang w:val="fr-CA"/>
              </w:rPr>
              <w:t>Les défendeurs ont déposé une requête en jugement sommaire.</w:t>
            </w:r>
          </w:p>
          <w:p w:rsidR="004030EA" w:rsidRPr="006D673B" w:rsidRDefault="004030EA" w:rsidP="00F71199">
            <w:pPr>
              <w:jc w:val="both"/>
              <w:rPr>
                <w:rFonts w:eastAsia="Calibri"/>
                <w:sz w:val="20"/>
                <w:lang w:val="fr-CA"/>
              </w:rPr>
            </w:pPr>
          </w:p>
        </w:tc>
      </w:tr>
      <w:tr w:rsidR="004030EA" w:rsidRPr="002B68E4" w:rsidTr="00E93821">
        <w:trPr>
          <w:cantSplit/>
        </w:trPr>
        <w:tc>
          <w:tcPr>
            <w:tcW w:w="2428" w:type="pct"/>
          </w:tcPr>
          <w:p w:rsidR="004030EA" w:rsidRPr="006D673B" w:rsidRDefault="004030EA" w:rsidP="00F71199">
            <w:pPr>
              <w:jc w:val="both"/>
              <w:rPr>
                <w:rFonts w:eastAsia="Calibri"/>
                <w:sz w:val="20"/>
                <w:lang w:val="fr-CA"/>
              </w:rPr>
            </w:pPr>
            <w:r w:rsidRPr="006D673B">
              <w:rPr>
                <w:rFonts w:eastAsia="Calibri"/>
                <w:sz w:val="20"/>
                <w:lang w:val="fr-CA"/>
              </w:rPr>
              <w:lastRenderedPageBreak/>
              <w:t>19 april 2011</w:t>
            </w:r>
          </w:p>
          <w:p w:rsidR="004030EA" w:rsidRPr="006D673B" w:rsidRDefault="004030EA" w:rsidP="00F71199">
            <w:pPr>
              <w:jc w:val="both"/>
              <w:rPr>
                <w:rFonts w:eastAsia="Calibri"/>
                <w:sz w:val="20"/>
                <w:lang w:val="fr-CA"/>
              </w:rPr>
            </w:pPr>
            <w:r w:rsidRPr="006D673B">
              <w:rPr>
                <w:rFonts w:eastAsia="Calibri"/>
                <w:sz w:val="20"/>
                <w:lang w:val="fr-CA"/>
              </w:rPr>
              <w:t>Cour supérieure de justice de l’Ontario</w:t>
            </w:r>
          </w:p>
          <w:p w:rsidR="004030EA" w:rsidRPr="006D673B" w:rsidRDefault="004030EA" w:rsidP="00F71199">
            <w:pPr>
              <w:jc w:val="both"/>
              <w:rPr>
                <w:rFonts w:eastAsia="Calibri"/>
                <w:sz w:val="20"/>
                <w:lang w:val="fr-CA"/>
              </w:rPr>
            </w:pPr>
            <w:r w:rsidRPr="006D673B">
              <w:rPr>
                <w:rFonts w:eastAsia="Calibri"/>
                <w:sz w:val="20"/>
                <w:lang w:val="fr-CA"/>
              </w:rPr>
              <w:t>(Juge Belobaba)</w:t>
            </w:r>
          </w:p>
          <w:p w:rsidR="004030EA" w:rsidRPr="006D673B" w:rsidRDefault="004030EA" w:rsidP="00F71199">
            <w:pPr>
              <w:jc w:val="both"/>
              <w:rPr>
                <w:rFonts w:eastAsia="Calibri"/>
                <w:sz w:val="20"/>
                <w:lang w:val="fr-CA"/>
              </w:rPr>
            </w:pPr>
          </w:p>
        </w:tc>
        <w:tc>
          <w:tcPr>
            <w:tcW w:w="243" w:type="pct"/>
          </w:tcPr>
          <w:p w:rsidR="004030EA" w:rsidRPr="006D673B" w:rsidRDefault="004030EA" w:rsidP="00F71199">
            <w:pPr>
              <w:jc w:val="both"/>
              <w:rPr>
                <w:rFonts w:eastAsia="Calibri"/>
                <w:sz w:val="20"/>
                <w:lang w:val="fr-CA"/>
              </w:rPr>
            </w:pPr>
          </w:p>
        </w:tc>
        <w:tc>
          <w:tcPr>
            <w:tcW w:w="2329" w:type="pct"/>
          </w:tcPr>
          <w:p w:rsidR="004030EA" w:rsidRPr="006D673B" w:rsidRDefault="004030EA" w:rsidP="00F71199">
            <w:pPr>
              <w:jc w:val="both"/>
              <w:rPr>
                <w:rFonts w:eastAsia="Calibri"/>
                <w:sz w:val="20"/>
                <w:lang w:val="fr-CA"/>
              </w:rPr>
            </w:pPr>
            <w:r w:rsidRPr="006D673B">
              <w:rPr>
                <w:rFonts w:eastAsia="Calibri"/>
                <w:sz w:val="20"/>
                <w:lang w:val="fr-CA"/>
              </w:rPr>
              <w:t>Requête en jugement sommaire accueillie; action contre les défendeurs Leong and Shah rejetée</w:t>
            </w:r>
          </w:p>
          <w:p w:rsidR="004030EA" w:rsidRPr="006D673B" w:rsidRDefault="004030EA" w:rsidP="00F71199">
            <w:pPr>
              <w:jc w:val="both"/>
              <w:rPr>
                <w:rFonts w:eastAsia="Calibri"/>
                <w:sz w:val="20"/>
                <w:lang w:val="fr-CA"/>
              </w:rPr>
            </w:pPr>
          </w:p>
        </w:tc>
      </w:tr>
      <w:tr w:rsidR="004030EA" w:rsidRPr="002B68E4" w:rsidTr="00E93821">
        <w:trPr>
          <w:cantSplit/>
        </w:trPr>
        <w:tc>
          <w:tcPr>
            <w:tcW w:w="2428" w:type="pct"/>
          </w:tcPr>
          <w:p w:rsidR="004030EA" w:rsidRPr="006D673B" w:rsidRDefault="004030EA" w:rsidP="00F71199">
            <w:pPr>
              <w:jc w:val="both"/>
              <w:rPr>
                <w:rFonts w:eastAsia="Calibri"/>
                <w:sz w:val="20"/>
                <w:lang w:val="fr-CA"/>
              </w:rPr>
            </w:pPr>
            <w:r w:rsidRPr="006D673B">
              <w:rPr>
                <w:rFonts w:eastAsia="Calibri"/>
                <w:sz w:val="20"/>
                <w:lang w:val="fr-CA"/>
              </w:rPr>
              <w:t>19 avril 2011</w:t>
            </w:r>
          </w:p>
          <w:p w:rsidR="004030EA" w:rsidRPr="006D673B" w:rsidRDefault="004030EA" w:rsidP="00F71199">
            <w:pPr>
              <w:jc w:val="both"/>
              <w:rPr>
                <w:rFonts w:eastAsia="Calibri"/>
                <w:sz w:val="20"/>
                <w:lang w:val="fr-CA"/>
              </w:rPr>
            </w:pPr>
            <w:r w:rsidRPr="006D673B">
              <w:rPr>
                <w:rFonts w:eastAsia="Calibri"/>
                <w:sz w:val="20"/>
                <w:lang w:val="fr-CA"/>
              </w:rPr>
              <w:t>Cour supérieure de justice de l’Ontario</w:t>
            </w:r>
          </w:p>
          <w:p w:rsidR="004030EA" w:rsidRPr="006D673B" w:rsidRDefault="004030EA" w:rsidP="00F71199">
            <w:pPr>
              <w:jc w:val="both"/>
              <w:rPr>
                <w:rFonts w:eastAsia="Calibri"/>
                <w:sz w:val="20"/>
              </w:rPr>
            </w:pPr>
            <w:r w:rsidRPr="006D673B">
              <w:rPr>
                <w:rFonts w:eastAsia="Calibri"/>
                <w:sz w:val="20"/>
              </w:rPr>
              <w:t>(Juge Belobaba)</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29" w:type="pct"/>
          </w:tcPr>
          <w:p w:rsidR="004030EA" w:rsidRPr="006D673B" w:rsidRDefault="004030EA" w:rsidP="00F71199">
            <w:pPr>
              <w:jc w:val="both"/>
              <w:rPr>
                <w:rFonts w:eastAsia="Calibri"/>
                <w:sz w:val="20"/>
                <w:lang w:val="fr-CA"/>
              </w:rPr>
            </w:pPr>
            <w:r w:rsidRPr="006D673B">
              <w:rPr>
                <w:rFonts w:eastAsia="Calibri"/>
                <w:sz w:val="20"/>
                <w:lang w:val="fr-CA"/>
              </w:rPr>
              <w:t>Requête en jugement sommaire accueillie; action contre les défendeurs St. Michael’s Hospital et Sawatsky rejetée</w:t>
            </w:r>
          </w:p>
        </w:tc>
      </w:tr>
      <w:tr w:rsidR="004030EA" w:rsidRPr="002B68E4" w:rsidTr="00E93821">
        <w:trPr>
          <w:cantSplit/>
        </w:trPr>
        <w:tc>
          <w:tcPr>
            <w:tcW w:w="2428" w:type="pct"/>
          </w:tcPr>
          <w:p w:rsidR="004030EA" w:rsidRPr="006D673B" w:rsidRDefault="004030EA" w:rsidP="00F71199">
            <w:pPr>
              <w:jc w:val="both"/>
              <w:rPr>
                <w:rFonts w:eastAsia="Calibri"/>
                <w:sz w:val="20"/>
                <w:lang w:val="fr-CA"/>
              </w:rPr>
            </w:pPr>
            <w:r w:rsidRPr="006D673B">
              <w:rPr>
                <w:rFonts w:eastAsia="Calibri"/>
                <w:sz w:val="20"/>
                <w:lang w:val="fr-CA"/>
              </w:rPr>
              <w:t>4 novembre 2011</w:t>
            </w:r>
          </w:p>
          <w:p w:rsidR="004030EA" w:rsidRPr="006D673B" w:rsidRDefault="004030EA" w:rsidP="00F71199">
            <w:pPr>
              <w:jc w:val="both"/>
              <w:rPr>
                <w:rFonts w:eastAsia="Calibri"/>
                <w:sz w:val="20"/>
                <w:lang w:val="fr-CA"/>
              </w:rPr>
            </w:pPr>
            <w:r w:rsidRPr="006D673B">
              <w:rPr>
                <w:rFonts w:eastAsia="Calibri"/>
                <w:sz w:val="20"/>
                <w:lang w:val="fr-CA"/>
              </w:rPr>
              <w:t>Cour d’appel de l’Ontario</w:t>
            </w:r>
          </w:p>
          <w:p w:rsidR="004030EA" w:rsidRPr="006D673B" w:rsidRDefault="004030EA" w:rsidP="00F71199">
            <w:pPr>
              <w:jc w:val="both"/>
              <w:rPr>
                <w:rFonts w:eastAsia="Calibri"/>
                <w:sz w:val="20"/>
                <w:lang w:val="fr-CA"/>
              </w:rPr>
            </w:pPr>
            <w:r w:rsidRPr="006D673B">
              <w:rPr>
                <w:rFonts w:eastAsia="Calibri"/>
                <w:sz w:val="20"/>
                <w:lang w:val="fr-CA"/>
              </w:rPr>
              <w:t>(Juge MacPherson)</w:t>
            </w:r>
          </w:p>
          <w:p w:rsidR="004030EA" w:rsidRPr="006D673B" w:rsidRDefault="004030EA" w:rsidP="00F71199">
            <w:pPr>
              <w:jc w:val="both"/>
              <w:rPr>
                <w:rFonts w:eastAsia="Calibri"/>
                <w:sz w:val="20"/>
                <w:lang w:val="fr-CA"/>
              </w:rPr>
            </w:pPr>
          </w:p>
        </w:tc>
        <w:tc>
          <w:tcPr>
            <w:tcW w:w="243" w:type="pct"/>
          </w:tcPr>
          <w:p w:rsidR="004030EA" w:rsidRPr="006D673B" w:rsidRDefault="004030EA" w:rsidP="00F71199">
            <w:pPr>
              <w:jc w:val="both"/>
              <w:rPr>
                <w:rFonts w:eastAsia="Calibri"/>
                <w:sz w:val="20"/>
                <w:lang w:val="fr-CA"/>
              </w:rPr>
            </w:pPr>
          </w:p>
        </w:tc>
        <w:tc>
          <w:tcPr>
            <w:tcW w:w="2329" w:type="pct"/>
          </w:tcPr>
          <w:p w:rsidR="004030EA" w:rsidRPr="006D673B" w:rsidRDefault="004030EA" w:rsidP="00F71199">
            <w:pPr>
              <w:jc w:val="both"/>
              <w:rPr>
                <w:rFonts w:eastAsia="Calibri"/>
                <w:sz w:val="20"/>
                <w:lang w:val="fr-CA"/>
              </w:rPr>
            </w:pPr>
            <w:r w:rsidRPr="006D673B">
              <w:rPr>
                <w:rFonts w:eastAsia="Calibri"/>
                <w:sz w:val="20"/>
                <w:lang w:val="fr-CA"/>
              </w:rPr>
              <w:t>Ordonnance exigeant que la demanderesse dépose un cautionnement pour dépens de son appel à l’encontre de l’ordonnance du juge Belobaba accordée</w:t>
            </w:r>
          </w:p>
        </w:tc>
      </w:tr>
      <w:tr w:rsidR="004030EA" w:rsidRPr="002B68E4" w:rsidTr="00E93821">
        <w:trPr>
          <w:cantSplit/>
        </w:trPr>
        <w:tc>
          <w:tcPr>
            <w:tcW w:w="2428" w:type="pct"/>
          </w:tcPr>
          <w:p w:rsidR="004030EA" w:rsidRPr="006D673B" w:rsidRDefault="004030EA" w:rsidP="00F71199">
            <w:pPr>
              <w:jc w:val="both"/>
              <w:rPr>
                <w:rFonts w:eastAsia="Calibri"/>
                <w:sz w:val="20"/>
                <w:lang w:val="fr-CA"/>
              </w:rPr>
            </w:pPr>
            <w:r w:rsidRPr="006D673B">
              <w:rPr>
                <w:rFonts w:eastAsia="Calibri"/>
                <w:sz w:val="20"/>
                <w:lang w:val="fr-CA"/>
              </w:rPr>
              <w:t>26 avril 2012</w:t>
            </w:r>
          </w:p>
          <w:p w:rsidR="004030EA" w:rsidRPr="006D673B" w:rsidRDefault="004030EA" w:rsidP="00F71199">
            <w:pPr>
              <w:jc w:val="both"/>
              <w:rPr>
                <w:rFonts w:eastAsia="Calibri"/>
                <w:sz w:val="20"/>
                <w:lang w:val="fr-CA"/>
              </w:rPr>
            </w:pPr>
            <w:r w:rsidRPr="006D673B">
              <w:rPr>
                <w:rFonts w:eastAsia="Calibri"/>
                <w:sz w:val="20"/>
                <w:lang w:val="fr-CA"/>
              </w:rPr>
              <w:t>Cour d’appel de l’Ontario</w:t>
            </w:r>
          </w:p>
          <w:p w:rsidR="004030EA" w:rsidRPr="006D673B" w:rsidRDefault="004030EA" w:rsidP="00F71199">
            <w:pPr>
              <w:jc w:val="both"/>
              <w:rPr>
                <w:rFonts w:eastAsia="Calibri"/>
                <w:sz w:val="20"/>
                <w:lang w:val="fr-CA"/>
              </w:rPr>
            </w:pPr>
            <w:r w:rsidRPr="006D673B">
              <w:rPr>
                <w:rFonts w:eastAsia="Calibri"/>
                <w:sz w:val="20"/>
                <w:lang w:val="fr-CA"/>
              </w:rPr>
              <w:t>(Juges Armstrong, Bair et Hoy)</w:t>
            </w:r>
          </w:p>
          <w:p w:rsidR="004030EA" w:rsidRPr="006D673B" w:rsidRDefault="004030EA" w:rsidP="00F71199">
            <w:pPr>
              <w:jc w:val="both"/>
              <w:rPr>
                <w:rFonts w:eastAsia="Calibri"/>
                <w:sz w:val="20"/>
                <w:lang w:val="fr-CA"/>
              </w:rPr>
            </w:pPr>
          </w:p>
        </w:tc>
        <w:tc>
          <w:tcPr>
            <w:tcW w:w="243" w:type="pct"/>
          </w:tcPr>
          <w:p w:rsidR="004030EA" w:rsidRPr="006D673B" w:rsidRDefault="004030EA" w:rsidP="00F71199">
            <w:pPr>
              <w:jc w:val="both"/>
              <w:rPr>
                <w:rFonts w:eastAsia="Calibri"/>
                <w:sz w:val="20"/>
                <w:lang w:val="fr-CA"/>
              </w:rPr>
            </w:pPr>
          </w:p>
        </w:tc>
        <w:tc>
          <w:tcPr>
            <w:tcW w:w="2329" w:type="pct"/>
          </w:tcPr>
          <w:p w:rsidR="004030EA" w:rsidRPr="006D673B" w:rsidRDefault="004030EA" w:rsidP="00F71199">
            <w:pPr>
              <w:jc w:val="both"/>
              <w:rPr>
                <w:rFonts w:eastAsia="Calibri"/>
                <w:sz w:val="20"/>
                <w:lang w:val="fr-CA"/>
              </w:rPr>
            </w:pPr>
            <w:r w:rsidRPr="006D673B">
              <w:rPr>
                <w:rFonts w:eastAsia="Calibri"/>
                <w:sz w:val="20"/>
                <w:lang w:val="fr-CA"/>
              </w:rPr>
              <w:t>Requête en annulation de l’ordonnance du juge  MacPherson rejetée</w:t>
            </w:r>
          </w:p>
          <w:p w:rsidR="004030EA" w:rsidRPr="006D673B" w:rsidRDefault="004030EA" w:rsidP="00F71199">
            <w:pPr>
              <w:jc w:val="both"/>
              <w:rPr>
                <w:rFonts w:eastAsia="Calibri"/>
                <w:sz w:val="20"/>
                <w:lang w:val="fr-CA"/>
              </w:rPr>
            </w:pPr>
          </w:p>
        </w:tc>
      </w:tr>
      <w:tr w:rsidR="004030EA" w:rsidRPr="002B68E4" w:rsidTr="00E93821">
        <w:trPr>
          <w:cantSplit/>
        </w:trPr>
        <w:tc>
          <w:tcPr>
            <w:tcW w:w="2428" w:type="pct"/>
          </w:tcPr>
          <w:p w:rsidR="004030EA" w:rsidRPr="006D673B" w:rsidRDefault="004030EA" w:rsidP="00F71199">
            <w:pPr>
              <w:jc w:val="both"/>
              <w:rPr>
                <w:rFonts w:eastAsia="Calibri"/>
                <w:sz w:val="20"/>
                <w:lang w:val="fr-CA"/>
              </w:rPr>
            </w:pPr>
            <w:r w:rsidRPr="006D673B">
              <w:rPr>
                <w:rFonts w:eastAsia="Calibri"/>
                <w:sz w:val="20"/>
                <w:lang w:val="fr-CA"/>
              </w:rPr>
              <w:t>15 avril 2014</w:t>
            </w:r>
          </w:p>
          <w:p w:rsidR="004030EA" w:rsidRPr="006D673B" w:rsidRDefault="004030EA" w:rsidP="00F71199">
            <w:pPr>
              <w:jc w:val="both"/>
              <w:rPr>
                <w:rFonts w:eastAsia="Calibri"/>
                <w:sz w:val="20"/>
                <w:lang w:val="fr-CA"/>
              </w:rPr>
            </w:pPr>
            <w:r w:rsidRPr="006D673B">
              <w:rPr>
                <w:rFonts w:eastAsia="Calibri"/>
                <w:sz w:val="20"/>
                <w:lang w:val="fr-CA"/>
              </w:rPr>
              <w:t>Cour suprême du Canada</w:t>
            </w:r>
          </w:p>
        </w:tc>
        <w:tc>
          <w:tcPr>
            <w:tcW w:w="243" w:type="pct"/>
          </w:tcPr>
          <w:p w:rsidR="004030EA" w:rsidRPr="006D673B" w:rsidRDefault="004030EA" w:rsidP="00F71199">
            <w:pPr>
              <w:jc w:val="both"/>
              <w:rPr>
                <w:rFonts w:eastAsia="Calibri"/>
                <w:sz w:val="20"/>
                <w:lang w:val="fr-CA"/>
              </w:rPr>
            </w:pPr>
          </w:p>
        </w:tc>
        <w:tc>
          <w:tcPr>
            <w:tcW w:w="2329" w:type="pct"/>
          </w:tcPr>
          <w:p w:rsidR="004030EA" w:rsidRPr="006D673B" w:rsidRDefault="004030EA" w:rsidP="00F71199">
            <w:pPr>
              <w:jc w:val="both"/>
              <w:rPr>
                <w:rFonts w:eastAsia="Calibri"/>
                <w:sz w:val="20"/>
                <w:lang w:val="fr-CA"/>
              </w:rPr>
            </w:pPr>
            <w:r w:rsidRPr="006D673B">
              <w:rPr>
                <w:rFonts w:eastAsia="Calibri"/>
                <w:sz w:val="20"/>
                <w:lang w:val="fr-CA"/>
              </w:rPr>
              <w:t>Requête en prorogation du délai de signification et de dépôt d’une demande d’autorisation d’appel, et demande d’autorisation d’appel, déposées</w:t>
            </w:r>
          </w:p>
        </w:tc>
      </w:tr>
    </w:tbl>
    <w:p w:rsidR="007426C2" w:rsidRPr="004030EA" w:rsidRDefault="007426C2" w:rsidP="007426C2">
      <w:pPr>
        <w:rPr>
          <w:sz w:val="20"/>
          <w:szCs w:val="20"/>
          <w:lang w:val="fr-CA"/>
        </w:rPr>
      </w:pPr>
    </w:p>
    <w:p w:rsidR="007426C2" w:rsidRDefault="002B68E4" w:rsidP="007426C2">
      <w:pPr>
        <w:rPr>
          <w:sz w:val="20"/>
          <w:szCs w:val="20"/>
        </w:rPr>
      </w:pPr>
      <w:r>
        <w:rPr>
          <w:sz w:val="20"/>
          <w:szCs w:val="20"/>
          <w:lang w:val="fr-CA"/>
        </w:rPr>
        <w:pict>
          <v:rect id="_x0000_i1042"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B58A6" w:rsidRPr="00905D3F" w:rsidTr="0008227B">
        <w:trPr>
          <w:cantSplit/>
        </w:trPr>
        <w:tc>
          <w:tcPr>
            <w:tcW w:w="1458" w:type="dxa"/>
          </w:tcPr>
          <w:p w:rsidR="002B58A6" w:rsidRPr="00905D3F" w:rsidRDefault="002B58A6" w:rsidP="0008227B">
            <w:pPr>
              <w:rPr>
                <w:sz w:val="20"/>
                <w:szCs w:val="20"/>
              </w:rPr>
            </w:pPr>
            <w:r w:rsidRPr="00905D3F">
              <w:rPr>
                <w:rStyle w:val="SCCFileNumberChar"/>
                <w:sz w:val="20"/>
                <w:szCs w:val="20"/>
              </w:rPr>
              <w:t>35849</w:t>
            </w:r>
          </w:p>
          <w:p w:rsidR="002B58A6" w:rsidRPr="00905D3F" w:rsidRDefault="002B58A6" w:rsidP="0008227B">
            <w:pPr>
              <w:rPr>
                <w:b/>
                <w:sz w:val="20"/>
                <w:szCs w:val="20"/>
                <w:lang w:val="fr-CA"/>
              </w:rPr>
            </w:pPr>
          </w:p>
        </w:tc>
        <w:tc>
          <w:tcPr>
            <w:tcW w:w="8118" w:type="dxa"/>
          </w:tcPr>
          <w:p w:rsidR="002B58A6" w:rsidRPr="00905D3F" w:rsidRDefault="002B58A6" w:rsidP="0008227B">
            <w:pPr>
              <w:jc w:val="both"/>
              <w:rPr>
                <w:sz w:val="20"/>
                <w:szCs w:val="20"/>
              </w:rPr>
            </w:pPr>
            <w:r w:rsidRPr="00905D3F">
              <w:rPr>
                <w:rStyle w:val="SCCLsocChar"/>
                <w:sz w:val="20"/>
                <w:szCs w:val="20"/>
                <w:lang w:val="en-CA"/>
              </w:rPr>
              <w:t>N.R. v. Children</w:t>
            </w:r>
            <w:r>
              <w:rPr>
                <w:rStyle w:val="SCCLsocChar"/>
                <w:sz w:val="20"/>
                <w:szCs w:val="20"/>
                <w:lang w:val="en-CA"/>
              </w:rPr>
              <w:t>’</w:t>
            </w:r>
            <w:r w:rsidRPr="00905D3F">
              <w:rPr>
                <w:rStyle w:val="SCCLsocChar"/>
                <w:sz w:val="20"/>
                <w:szCs w:val="20"/>
                <w:lang w:val="en-CA"/>
              </w:rPr>
              <w:t>s Aid Society of Toronto, Hanna Gavendo</w:t>
            </w:r>
            <w:r>
              <w:rPr>
                <w:rStyle w:val="SCCLsocChar"/>
                <w:sz w:val="20"/>
                <w:szCs w:val="20"/>
                <w:lang w:val="en-CA"/>
              </w:rPr>
              <w:t xml:space="preserve"> and</w:t>
            </w:r>
            <w:r w:rsidRPr="00905D3F">
              <w:rPr>
                <w:rStyle w:val="SCCLsocChar"/>
                <w:sz w:val="20"/>
                <w:szCs w:val="20"/>
                <w:lang w:val="en-CA"/>
              </w:rPr>
              <w:t xml:space="preserve"> David Rivard</w:t>
            </w:r>
            <w:r w:rsidRPr="00905D3F">
              <w:rPr>
                <w:sz w:val="20"/>
                <w:szCs w:val="20"/>
              </w:rPr>
              <w:t xml:space="preserve"> (Ont.) (Civil) (By</w:t>
            </w:r>
            <w:r>
              <w:rPr>
                <w:sz w:val="20"/>
                <w:szCs w:val="20"/>
              </w:rPr>
              <w:t> </w:t>
            </w:r>
            <w:r w:rsidRPr="00905D3F">
              <w:rPr>
                <w:sz w:val="20"/>
                <w:szCs w:val="20"/>
              </w:rPr>
              <w:t>Leave)</w:t>
            </w:r>
          </w:p>
          <w:p w:rsidR="002B58A6" w:rsidRPr="00905D3F" w:rsidRDefault="002B58A6" w:rsidP="0008227B">
            <w:pPr>
              <w:jc w:val="both"/>
              <w:rPr>
                <w:sz w:val="20"/>
                <w:szCs w:val="20"/>
              </w:rPr>
            </w:pPr>
          </w:p>
        </w:tc>
      </w:tr>
      <w:tr w:rsidR="002B58A6" w:rsidRPr="00905D3F" w:rsidTr="0008227B">
        <w:trPr>
          <w:cantSplit/>
        </w:trPr>
        <w:tc>
          <w:tcPr>
            <w:tcW w:w="1458" w:type="dxa"/>
          </w:tcPr>
          <w:p w:rsidR="002B58A6" w:rsidRPr="00905D3F" w:rsidRDefault="002B58A6" w:rsidP="0008227B">
            <w:pPr>
              <w:rPr>
                <w:sz w:val="20"/>
                <w:szCs w:val="20"/>
              </w:rPr>
            </w:pPr>
            <w:r w:rsidRPr="00905D3F">
              <w:rPr>
                <w:sz w:val="20"/>
                <w:szCs w:val="20"/>
              </w:rPr>
              <w:t>Coram :</w:t>
            </w:r>
          </w:p>
        </w:tc>
        <w:tc>
          <w:tcPr>
            <w:tcW w:w="8118" w:type="dxa"/>
          </w:tcPr>
          <w:p w:rsidR="002B58A6" w:rsidRPr="00905D3F" w:rsidRDefault="002B58A6" w:rsidP="0008227B">
            <w:pPr>
              <w:rPr>
                <w:sz w:val="20"/>
                <w:szCs w:val="20"/>
              </w:rPr>
            </w:pPr>
            <w:r w:rsidRPr="00905D3F">
              <w:rPr>
                <w:rStyle w:val="SCCCoramChar"/>
                <w:sz w:val="20"/>
                <w:szCs w:val="20"/>
                <w:lang w:val="en-CA"/>
              </w:rPr>
              <w:t>Abella, Rothstein and Moldaver JJ.</w:t>
            </w:r>
          </w:p>
          <w:p w:rsidR="002B58A6" w:rsidRPr="00905D3F" w:rsidRDefault="002B58A6" w:rsidP="0008227B">
            <w:pPr>
              <w:rPr>
                <w:sz w:val="20"/>
                <w:szCs w:val="20"/>
                <w:u w:val="single"/>
              </w:rPr>
            </w:pPr>
          </w:p>
        </w:tc>
      </w:tr>
      <w:tr w:rsidR="002B58A6" w:rsidRPr="002B68E4" w:rsidTr="0008227B">
        <w:trPr>
          <w:cantSplit/>
        </w:trPr>
        <w:tc>
          <w:tcPr>
            <w:tcW w:w="9576" w:type="dxa"/>
            <w:gridSpan w:val="2"/>
          </w:tcPr>
          <w:p w:rsidR="002B58A6" w:rsidRPr="00905D3F" w:rsidRDefault="002B58A6" w:rsidP="0008227B">
            <w:pPr>
              <w:pStyle w:val="SCCShortJudgment"/>
              <w:rPr>
                <w:szCs w:val="20"/>
              </w:rPr>
            </w:pPr>
            <w:r w:rsidRPr="00905D3F">
              <w:rPr>
                <w:szCs w:val="20"/>
              </w:rPr>
              <w:t>The motion for an extension of time to serve and file the application for leave to appeal from the judgment of the Court of Appeal for Ontario, Number C54126, 2012 ONCA 315, dated April 30, 2012, is dismissed.  In any event, had such a motion been granted, the application for leave to appeal would have been dismissed without costs.</w:t>
            </w:r>
          </w:p>
          <w:p w:rsidR="002B58A6" w:rsidRPr="00905D3F" w:rsidRDefault="002B58A6" w:rsidP="0008227B">
            <w:pPr>
              <w:pStyle w:val="SCCShortJudgment"/>
              <w:ind w:firstLine="0"/>
              <w:rPr>
                <w:szCs w:val="20"/>
              </w:rPr>
            </w:pPr>
          </w:p>
          <w:p w:rsidR="002B58A6" w:rsidRPr="00905D3F" w:rsidRDefault="002B58A6" w:rsidP="0008227B">
            <w:pPr>
              <w:pStyle w:val="SCCShortJudgment"/>
              <w:rPr>
                <w:szCs w:val="20"/>
                <w:lang w:val="fr-CA"/>
              </w:rPr>
            </w:pPr>
            <w:r w:rsidRPr="00905D3F">
              <w:rPr>
                <w:szCs w:val="20"/>
                <w:lang w:val="fr-CA"/>
              </w:rPr>
              <w:t>La requête en prorogation du délai de signification et de dépôt de la demande d’autorisation d’appel de l’arrêt de la Cour d’appel de l’Ontario, numéro C54126, 2012 ONCA 315, daté du 30 avril 2012, est rejetée.  Quoi qu’il en soit, même si la requête avait été accueillie, la demande d’autorisation d’appel aurait été rejetée sans dépens.</w:t>
            </w:r>
          </w:p>
        </w:tc>
      </w:tr>
    </w:tbl>
    <w:p w:rsidR="007426C2" w:rsidRPr="002B58A6"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30EA" w:rsidRPr="006D673B" w:rsidTr="00F71199">
        <w:tc>
          <w:tcPr>
            <w:tcW w:w="5000" w:type="pct"/>
            <w:gridSpan w:val="3"/>
          </w:tcPr>
          <w:p w:rsidR="004030EA" w:rsidRPr="006D673B" w:rsidRDefault="004030EA" w:rsidP="00F71199">
            <w:pPr>
              <w:jc w:val="both"/>
              <w:rPr>
                <w:rFonts w:eastAsia="Calibri"/>
                <w:smallCaps/>
                <w:sz w:val="20"/>
              </w:rPr>
            </w:pPr>
            <w:r w:rsidRPr="006D673B">
              <w:rPr>
                <w:rFonts w:eastAsia="Calibri"/>
                <w:smallCaps/>
                <w:sz w:val="20"/>
              </w:rPr>
              <w:t xml:space="preserve">(Publication </w:t>
            </w:r>
            <w:r>
              <w:rPr>
                <w:rFonts w:eastAsia="Calibri"/>
                <w:smallCaps/>
                <w:sz w:val="20"/>
              </w:rPr>
              <w:t>B</w:t>
            </w:r>
            <w:r w:rsidRPr="006D673B">
              <w:rPr>
                <w:rFonts w:eastAsia="Calibri"/>
                <w:smallCaps/>
                <w:sz w:val="20"/>
              </w:rPr>
              <w:t xml:space="preserve">an in </w:t>
            </w:r>
            <w:r>
              <w:rPr>
                <w:rFonts w:eastAsia="Calibri"/>
                <w:smallCaps/>
                <w:sz w:val="20"/>
              </w:rPr>
              <w:t>C</w:t>
            </w:r>
            <w:r w:rsidRPr="006D673B">
              <w:rPr>
                <w:rFonts w:eastAsia="Calibri"/>
                <w:smallCaps/>
                <w:sz w:val="20"/>
              </w:rPr>
              <w:t xml:space="preserve">ase) (Publication </w:t>
            </w:r>
            <w:r>
              <w:rPr>
                <w:rFonts w:eastAsia="Calibri"/>
                <w:smallCaps/>
                <w:sz w:val="20"/>
              </w:rPr>
              <w:t>B</w:t>
            </w:r>
            <w:r w:rsidRPr="006D673B">
              <w:rPr>
                <w:rFonts w:eastAsia="Calibri"/>
                <w:smallCaps/>
                <w:sz w:val="20"/>
              </w:rPr>
              <w:t xml:space="preserve">an on </w:t>
            </w:r>
            <w:r>
              <w:rPr>
                <w:rFonts w:eastAsia="Calibri"/>
                <w:smallCaps/>
                <w:sz w:val="20"/>
              </w:rPr>
              <w:t>P</w:t>
            </w:r>
            <w:r w:rsidRPr="006D673B">
              <w:rPr>
                <w:rFonts w:eastAsia="Calibri"/>
                <w:smallCaps/>
                <w:sz w:val="20"/>
              </w:rPr>
              <w:t xml:space="preserve">arty) (Court </w:t>
            </w:r>
            <w:r>
              <w:rPr>
                <w:rFonts w:eastAsia="Calibri"/>
                <w:smallCaps/>
                <w:sz w:val="20"/>
              </w:rPr>
              <w:t>F</w:t>
            </w:r>
            <w:r w:rsidRPr="006D673B">
              <w:rPr>
                <w:rFonts w:eastAsia="Calibri"/>
                <w:smallCaps/>
                <w:sz w:val="20"/>
              </w:rPr>
              <w:t xml:space="preserve">ile </w:t>
            </w:r>
            <w:r>
              <w:rPr>
                <w:rFonts w:eastAsia="Calibri"/>
                <w:smallCaps/>
                <w:sz w:val="20"/>
              </w:rPr>
              <w:t>C</w:t>
            </w:r>
            <w:r w:rsidRPr="006D673B">
              <w:rPr>
                <w:rFonts w:eastAsia="Calibri"/>
                <w:smallCaps/>
                <w:sz w:val="20"/>
              </w:rPr>
              <w:t xml:space="preserve">ontains </w:t>
            </w:r>
            <w:r>
              <w:rPr>
                <w:rFonts w:eastAsia="Calibri"/>
                <w:smallCaps/>
                <w:sz w:val="20"/>
              </w:rPr>
              <w:t>I</w:t>
            </w:r>
            <w:r w:rsidRPr="006D673B">
              <w:rPr>
                <w:rFonts w:eastAsia="Calibri"/>
                <w:smallCaps/>
                <w:sz w:val="20"/>
              </w:rPr>
              <w:t xml:space="preserve">nformation </w:t>
            </w:r>
            <w:r>
              <w:rPr>
                <w:rFonts w:eastAsia="Calibri"/>
                <w:smallCaps/>
                <w:sz w:val="20"/>
              </w:rPr>
              <w:t>T</w:t>
            </w:r>
            <w:r w:rsidRPr="006D673B">
              <w:rPr>
                <w:rFonts w:eastAsia="Calibri"/>
                <w:smallCaps/>
                <w:sz w:val="20"/>
              </w:rPr>
              <w:t xml:space="preserve">hat is not </w:t>
            </w:r>
            <w:r>
              <w:rPr>
                <w:rFonts w:eastAsia="Calibri"/>
                <w:smallCaps/>
                <w:sz w:val="20"/>
              </w:rPr>
              <w:t>A</w:t>
            </w:r>
            <w:r w:rsidRPr="006D673B">
              <w:rPr>
                <w:rFonts w:eastAsia="Calibri"/>
                <w:smallCaps/>
                <w:sz w:val="20"/>
              </w:rPr>
              <w:t xml:space="preserve">vailable for </w:t>
            </w:r>
            <w:r>
              <w:rPr>
                <w:rFonts w:eastAsia="Calibri"/>
                <w:smallCaps/>
                <w:sz w:val="20"/>
              </w:rPr>
              <w:t>I</w:t>
            </w:r>
            <w:r w:rsidRPr="006D673B">
              <w:rPr>
                <w:rFonts w:eastAsia="Calibri"/>
                <w:smallCaps/>
                <w:sz w:val="20"/>
              </w:rPr>
              <w:t xml:space="preserve">nspection by the </w:t>
            </w:r>
            <w:r>
              <w:rPr>
                <w:rFonts w:eastAsia="Calibri"/>
                <w:smallCaps/>
                <w:sz w:val="20"/>
              </w:rPr>
              <w:t>P</w:t>
            </w:r>
            <w:r w:rsidRPr="006D673B">
              <w:rPr>
                <w:rFonts w:eastAsia="Calibri"/>
                <w:smallCaps/>
                <w:sz w:val="20"/>
              </w:rPr>
              <w:t>ublic)</w:t>
            </w:r>
          </w:p>
          <w:p w:rsidR="004030EA" w:rsidRPr="006D673B" w:rsidRDefault="004030EA" w:rsidP="00F71199">
            <w:pPr>
              <w:jc w:val="both"/>
              <w:rPr>
                <w:rFonts w:eastAsia="Calibri"/>
                <w:i/>
                <w:sz w:val="20"/>
              </w:rPr>
            </w:pPr>
          </w:p>
          <w:p w:rsidR="004030EA" w:rsidRPr="006D673B" w:rsidRDefault="004030EA" w:rsidP="00F71199">
            <w:pPr>
              <w:jc w:val="both"/>
              <w:rPr>
                <w:rFonts w:eastAsia="Calibri"/>
                <w:sz w:val="20"/>
              </w:rPr>
            </w:pPr>
            <w:r w:rsidRPr="006D673B">
              <w:rPr>
                <w:rFonts w:eastAsia="Calibri"/>
                <w:i/>
                <w:sz w:val="20"/>
              </w:rPr>
              <w:t>Charter of rights and freedoms</w:t>
            </w:r>
            <w:r w:rsidRPr="006D673B">
              <w:rPr>
                <w:rFonts w:eastAsia="Calibri"/>
                <w:sz w:val="20"/>
              </w:rPr>
              <w:t xml:space="preserve"> — Civil procedure — Motion for summary judgment — Motions judge granting motion for summary judgment and dismissing action against respondents — Whether Court of Appeal erred in dismissing applicant’s appeal?</w:t>
            </w:r>
          </w:p>
        </w:tc>
      </w:tr>
      <w:tr w:rsidR="004030EA" w:rsidRPr="006D673B" w:rsidTr="00F71199">
        <w:tc>
          <w:tcPr>
            <w:tcW w:w="5000" w:type="pct"/>
            <w:gridSpan w:val="3"/>
          </w:tcPr>
          <w:p w:rsidR="004030EA" w:rsidRPr="006D673B" w:rsidRDefault="004030EA" w:rsidP="00F71199">
            <w:pPr>
              <w:jc w:val="both"/>
              <w:rPr>
                <w:rFonts w:eastAsia="Calibri"/>
                <w:sz w:val="20"/>
              </w:rPr>
            </w:pPr>
          </w:p>
        </w:tc>
      </w:tr>
      <w:tr w:rsidR="004030EA" w:rsidRPr="006D673B" w:rsidTr="00F71199">
        <w:tc>
          <w:tcPr>
            <w:tcW w:w="5000" w:type="pct"/>
            <w:gridSpan w:val="3"/>
          </w:tcPr>
          <w:p w:rsidR="004030EA" w:rsidRPr="006D673B" w:rsidRDefault="004030EA" w:rsidP="00F71199">
            <w:pPr>
              <w:jc w:val="both"/>
              <w:rPr>
                <w:rFonts w:eastAsia="Calibri"/>
                <w:sz w:val="20"/>
              </w:rPr>
            </w:pPr>
            <w:r w:rsidRPr="006D673B">
              <w:rPr>
                <w:rFonts w:eastAsia="Calibri"/>
                <w:sz w:val="20"/>
              </w:rPr>
              <w:t xml:space="preserve">The applicant brought an action against the Children’s Aid Society of Toronto (C.A.S.) and two of its employees.  That action alleged libel and slander, conspiracy to apprehend the applicant’s newborn grandchild, fraud and discrimination as well as a violation of the applicant’s </w:t>
            </w:r>
            <w:r w:rsidRPr="006D673B">
              <w:rPr>
                <w:rFonts w:eastAsia="Calibri"/>
                <w:i/>
                <w:sz w:val="20"/>
              </w:rPr>
              <w:t xml:space="preserve">Charter </w:t>
            </w:r>
            <w:r w:rsidRPr="006D673B">
              <w:rPr>
                <w:rFonts w:eastAsia="Calibri"/>
                <w:sz w:val="20"/>
              </w:rPr>
              <w:t>right to life, liberty and security of the person.</w:t>
            </w:r>
          </w:p>
          <w:p w:rsidR="004030EA" w:rsidRPr="006D673B" w:rsidRDefault="004030EA" w:rsidP="00F71199">
            <w:pPr>
              <w:jc w:val="both"/>
              <w:rPr>
                <w:rFonts w:eastAsia="Calibri"/>
                <w:sz w:val="20"/>
              </w:rPr>
            </w:pPr>
          </w:p>
          <w:p w:rsidR="004030EA" w:rsidRPr="006D673B" w:rsidRDefault="004030EA" w:rsidP="00F71199">
            <w:pPr>
              <w:jc w:val="both"/>
              <w:rPr>
                <w:rFonts w:eastAsia="Calibri"/>
                <w:sz w:val="20"/>
              </w:rPr>
            </w:pPr>
            <w:r w:rsidRPr="006D673B">
              <w:rPr>
                <w:rFonts w:eastAsia="Calibri"/>
                <w:sz w:val="20"/>
              </w:rPr>
              <w:t xml:space="preserve">The allegations relate to the involvement of the C.A.S. after staff from the hospital where the applicant’s grandchild </w:t>
            </w:r>
            <w:r w:rsidRPr="006D673B">
              <w:rPr>
                <w:rFonts w:eastAsia="Calibri"/>
                <w:sz w:val="20"/>
              </w:rPr>
              <w:lastRenderedPageBreak/>
              <w:t>was born contacted the C.A.S. to report concerns about the child.  C.A.S. investigated briefly, ultimately had no concerns with respect to the child and closed the file.</w:t>
            </w:r>
          </w:p>
          <w:p w:rsidR="004030EA" w:rsidRPr="006D673B" w:rsidRDefault="004030EA" w:rsidP="00F71199">
            <w:pPr>
              <w:jc w:val="both"/>
              <w:rPr>
                <w:rFonts w:eastAsia="Calibri"/>
                <w:sz w:val="20"/>
              </w:rPr>
            </w:pPr>
          </w:p>
          <w:p w:rsidR="004030EA" w:rsidRPr="006D673B" w:rsidRDefault="004030EA" w:rsidP="00F71199">
            <w:pPr>
              <w:jc w:val="both"/>
              <w:rPr>
                <w:rFonts w:eastAsia="Calibri"/>
                <w:sz w:val="20"/>
              </w:rPr>
            </w:pPr>
            <w:r w:rsidRPr="006D673B">
              <w:rPr>
                <w:rFonts w:eastAsia="Calibri"/>
                <w:sz w:val="20"/>
              </w:rPr>
              <w:t>This action was one of five libel and slander actions filed by the applicant against various respondents and relating to incidents which followed the birth of her grandchild.</w:t>
            </w:r>
          </w:p>
          <w:p w:rsidR="004030EA" w:rsidRPr="006D673B" w:rsidRDefault="004030EA" w:rsidP="00F71199">
            <w:pPr>
              <w:jc w:val="both"/>
              <w:rPr>
                <w:rFonts w:eastAsia="Calibri"/>
                <w:sz w:val="20"/>
              </w:rPr>
            </w:pPr>
          </w:p>
          <w:p w:rsidR="004030EA" w:rsidRPr="006D673B" w:rsidRDefault="004030EA" w:rsidP="00F71199">
            <w:pPr>
              <w:jc w:val="both"/>
              <w:rPr>
                <w:rFonts w:eastAsia="Calibri"/>
                <w:sz w:val="20"/>
              </w:rPr>
            </w:pPr>
            <w:r w:rsidRPr="006D673B">
              <w:rPr>
                <w:rFonts w:eastAsia="Calibri"/>
                <w:sz w:val="20"/>
              </w:rPr>
              <w:t>The respondents filed a motion for summary judgment.</w:t>
            </w:r>
          </w:p>
          <w:p w:rsidR="004030EA" w:rsidRPr="006D673B" w:rsidRDefault="004030EA" w:rsidP="00F71199">
            <w:pPr>
              <w:jc w:val="both"/>
              <w:rPr>
                <w:rFonts w:eastAsia="Calibri"/>
                <w:sz w:val="20"/>
              </w:rPr>
            </w:pPr>
          </w:p>
        </w:tc>
      </w:tr>
      <w:tr w:rsidR="004030EA" w:rsidRPr="006D673B" w:rsidTr="00F71199">
        <w:tc>
          <w:tcPr>
            <w:tcW w:w="2427" w:type="pct"/>
          </w:tcPr>
          <w:p w:rsidR="004030EA" w:rsidRPr="006D673B" w:rsidRDefault="004030EA" w:rsidP="00F71199">
            <w:pPr>
              <w:jc w:val="both"/>
              <w:rPr>
                <w:rFonts w:eastAsia="Calibri"/>
                <w:sz w:val="20"/>
              </w:rPr>
            </w:pPr>
            <w:r w:rsidRPr="006D673B">
              <w:rPr>
                <w:rFonts w:eastAsia="Calibri"/>
                <w:sz w:val="20"/>
              </w:rPr>
              <w:lastRenderedPageBreak/>
              <w:t>July 8, 2011</w:t>
            </w:r>
          </w:p>
          <w:p w:rsidR="004030EA" w:rsidRPr="006D673B" w:rsidRDefault="004030EA" w:rsidP="00F71199">
            <w:pPr>
              <w:jc w:val="both"/>
              <w:rPr>
                <w:rFonts w:eastAsia="Calibri"/>
                <w:sz w:val="20"/>
              </w:rPr>
            </w:pPr>
            <w:r w:rsidRPr="006D673B">
              <w:rPr>
                <w:rFonts w:eastAsia="Calibri"/>
                <w:sz w:val="20"/>
              </w:rPr>
              <w:t>Ontario Superior Court of Justice</w:t>
            </w:r>
          </w:p>
          <w:p w:rsidR="004030EA" w:rsidRPr="006D673B" w:rsidRDefault="004030EA" w:rsidP="00F71199">
            <w:pPr>
              <w:jc w:val="both"/>
              <w:rPr>
                <w:rFonts w:eastAsia="Calibri"/>
                <w:sz w:val="20"/>
              </w:rPr>
            </w:pPr>
            <w:r w:rsidRPr="006D673B">
              <w:rPr>
                <w:rFonts w:eastAsia="Calibri"/>
                <w:sz w:val="20"/>
              </w:rPr>
              <w:t>(Belobaba J.)</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Motion for summary judgment granted; Action against the C.A.S. and its employees, dismissed</w:t>
            </w:r>
          </w:p>
          <w:p w:rsidR="004030EA" w:rsidRPr="006D673B" w:rsidRDefault="004030EA" w:rsidP="00F71199">
            <w:pPr>
              <w:jc w:val="both"/>
              <w:rPr>
                <w:rFonts w:eastAsia="Calibri"/>
                <w:sz w:val="20"/>
              </w:rPr>
            </w:pPr>
          </w:p>
        </w:tc>
      </w:tr>
      <w:tr w:rsidR="004030EA" w:rsidRPr="006D673B" w:rsidTr="00F71199">
        <w:tc>
          <w:tcPr>
            <w:tcW w:w="2427" w:type="pct"/>
          </w:tcPr>
          <w:p w:rsidR="004030EA" w:rsidRPr="006D673B" w:rsidRDefault="004030EA" w:rsidP="00F71199">
            <w:pPr>
              <w:jc w:val="both"/>
              <w:rPr>
                <w:rFonts w:eastAsia="Calibri"/>
                <w:sz w:val="20"/>
              </w:rPr>
            </w:pPr>
            <w:r w:rsidRPr="006D673B">
              <w:rPr>
                <w:rFonts w:eastAsia="Calibri"/>
                <w:sz w:val="20"/>
              </w:rPr>
              <w:t>May 14, 2012</w:t>
            </w:r>
          </w:p>
          <w:p w:rsidR="004030EA" w:rsidRPr="006D673B" w:rsidRDefault="004030EA" w:rsidP="00F71199">
            <w:pPr>
              <w:jc w:val="both"/>
              <w:rPr>
                <w:rFonts w:eastAsia="Calibri"/>
                <w:sz w:val="20"/>
              </w:rPr>
            </w:pPr>
            <w:r w:rsidRPr="006D673B">
              <w:rPr>
                <w:rFonts w:eastAsia="Calibri"/>
                <w:sz w:val="20"/>
              </w:rPr>
              <w:t>Court of Appeal for Ontario</w:t>
            </w:r>
          </w:p>
          <w:p w:rsidR="004030EA" w:rsidRPr="006D673B" w:rsidRDefault="004030EA" w:rsidP="00F71199">
            <w:pPr>
              <w:jc w:val="both"/>
              <w:rPr>
                <w:rFonts w:eastAsia="Calibri"/>
                <w:sz w:val="20"/>
              </w:rPr>
            </w:pPr>
            <w:r w:rsidRPr="006D673B">
              <w:rPr>
                <w:rFonts w:eastAsia="Calibri"/>
                <w:sz w:val="20"/>
              </w:rPr>
              <w:t>(Simmons, Pepall and Ducharme JJ.A.)</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 xml:space="preserve">Appeal dismissed </w:t>
            </w:r>
          </w:p>
        </w:tc>
      </w:tr>
      <w:tr w:rsidR="004030EA" w:rsidRPr="006D673B" w:rsidTr="00F71199">
        <w:tc>
          <w:tcPr>
            <w:tcW w:w="2427" w:type="pct"/>
          </w:tcPr>
          <w:p w:rsidR="004030EA" w:rsidRPr="006D673B" w:rsidRDefault="004030EA" w:rsidP="00F71199">
            <w:pPr>
              <w:jc w:val="both"/>
              <w:rPr>
                <w:rFonts w:eastAsia="Calibri"/>
                <w:sz w:val="20"/>
              </w:rPr>
            </w:pPr>
            <w:r w:rsidRPr="006D673B">
              <w:rPr>
                <w:rFonts w:eastAsia="Calibri"/>
                <w:sz w:val="20"/>
              </w:rPr>
              <w:t>April 15, 2014</w:t>
            </w:r>
          </w:p>
          <w:p w:rsidR="004030EA" w:rsidRPr="006D673B" w:rsidRDefault="004030EA" w:rsidP="00F71199">
            <w:pPr>
              <w:jc w:val="both"/>
              <w:rPr>
                <w:rFonts w:eastAsia="Calibri"/>
                <w:sz w:val="20"/>
              </w:rPr>
            </w:pPr>
            <w:r w:rsidRPr="006D673B">
              <w:rPr>
                <w:rFonts w:eastAsia="Calibri"/>
                <w:sz w:val="20"/>
              </w:rPr>
              <w:t>Supreme Court of Canada</w:t>
            </w: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Motion for an extension of time to serve and file an application for leave to appeal and application for leave to appeal, filed</w:t>
            </w: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43"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30EA" w:rsidRPr="002B68E4" w:rsidTr="00F71199">
        <w:tc>
          <w:tcPr>
            <w:tcW w:w="5000" w:type="pct"/>
            <w:gridSpan w:val="3"/>
          </w:tcPr>
          <w:p w:rsidR="004030EA" w:rsidRPr="006D673B" w:rsidRDefault="004030EA" w:rsidP="00F71199">
            <w:pPr>
              <w:jc w:val="both"/>
              <w:rPr>
                <w:rFonts w:eastAsia="Calibri"/>
                <w:smallCaps/>
                <w:sz w:val="20"/>
                <w:lang w:val="fr-CA"/>
              </w:rPr>
            </w:pPr>
            <w:r w:rsidRPr="006D673B">
              <w:rPr>
                <w:rFonts w:eastAsia="Calibri"/>
                <w:smallCaps/>
                <w:sz w:val="20"/>
                <w:lang w:val="fr-CA"/>
              </w:rPr>
              <w:t>(Ordonnance de non-publication dans le dossier) (Ordonnance non-publication visant une partie) (</w:t>
            </w:r>
            <w:r>
              <w:rPr>
                <w:rFonts w:eastAsia="Calibri"/>
                <w:smallCaps/>
                <w:sz w:val="20"/>
                <w:lang w:val="fr-CA"/>
              </w:rPr>
              <w:t>L</w:t>
            </w:r>
            <w:r w:rsidRPr="006D673B">
              <w:rPr>
                <w:rFonts w:eastAsia="Calibri"/>
                <w:smallCaps/>
                <w:sz w:val="20"/>
                <w:lang w:val="fr-CA"/>
              </w:rPr>
              <w:t>e dossier de la cour renferme des données que le public n’est pas autorisé à consulter)</w:t>
            </w:r>
          </w:p>
          <w:p w:rsidR="004030EA" w:rsidRPr="006D673B" w:rsidRDefault="004030EA" w:rsidP="00F71199">
            <w:pPr>
              <w:jc w:val="both"/>
              <w:rPr>
                <w:rFonts w:eastAsia="Calibri"/>
                <w:i/>
                <w:sz w:val="20"/>
                <w:lang w:val="fr-CA"/>
              </w:rPr>
            </w:pPr>
          </w:p>
          <w:p w:rsidR="004030EA" w:rsidRPr="006D673B" w:rsidRDefault="004030EA" w:rsidP="00F71199">
            <w:pPr>
              <w:jc w:val="both"/>
              <w:rPr>
                <w:rFonts w:eastAsia="Calibri"/>
                <w:sz w:val="20"/>
                <w:lang w:val="fr-CA"/>
              </w:rPr>
            </w:pPr>
            <w:r w:rsidRPr="006D673B">
              <w:rPr>
                <w:rFonts w:eastAsia="Calibri"/>
                <w:i/>
                <w:sz w:val="20"/>
                <w:lang w:val="fr-CA"/>
              </w:rPr>
              <w:t>Charte canadienne des droits et libertés</w:t>
            </w:r>
            <w:r w:rsidRPr="006D673B">
              <w:rPr>
                <w:rFonts w:eastAsia="Calibri"/>
                <w:sz w:val="20"/>
                <w:lang w:val="fr-CA"/>
              </w:rPr>
              <w:t xml:space="preserve"> — Procédure civile — Requête en jugement sommaire — Requête en jugement sommaire accueillie et action contre les défendeurs rejetée par le juge des requêtes — La cour d’appel a-t-elle eu tort de rejeter l’appel de la demanderesse?</w:t>
            </w:r>
          </w:p>
        </w:tc>
      </w:tr>
      <w:tr w:rsidR="004030EA" w:rsidRPr="002B68E4" w:rsidTr="00F71199">
        <w:tc>
          <w:tcPr>
            <w:tcW w:w="5000" w:type="pct"/>
            <w:gridSpan w:val="3"/>
          </w:tcPr>
          <w:p w:rsidR="004030EA" w:rsidRPr="006D673B" w:rsidRDefault="004030EA" w:rsidP="00F71199">
            <w:pPr>
              <w:jc w:val="both"/>
              <w:rPr>
                <w:rFonts w:eastAsia="Calibri"/>
                <w:sz w:val="20"/>
                <w:lang w:val="fr-CA"/>
              </w:rPr>
            </w:pPr>
          </w:p>
        </w:tc>
      </w:tr>
      <w:tr w:rsidR="004030EA" w:rsidRPr="002B68E4" w:rsidTr="00F71199">
        <w:tc>
          <w:tcPr>
            <w:tcW w:w="5000" w:type="pct"/>
            <w:gridSpan w:val="3"/>
          </w:tcPr>
          <w:p w:rsidR="004030EA" w:rsidRPr="006D673B" w:rsidRDefault="004030EA" w:rsidP="00F71199">
            <w:pPr>
              <w:jc w:val="both"/>
              <w:rPr>
                <w:rFonts w:eastAsia="Calibri"/>
                <w:sz w:val="20"/>
                <w:lang w:val="fr-CA"/>
              </w:rPr>
            </w:pPr>
            <w:r w:rsidRPr="006D673B">
              <w:rPr>
                <w:rFonts w:eastAsia="Calibri"/>
                <w:sz w:val="20"/>
                <w:lang w:val="fr-CA"/>
              </w:rPr>
              <w:t xml:space="preserve">La demanderesse a intenté une action contre la Société d’aide à l’enfance de Toronto (SAE) et deux de ses employés.  Elle a allégué la diffamation, un complot en vue d’appréhender son petit-enfant nouveau-né, la fraude, la discrimination ainsi que la violation de son droit à la vie, à la liberté et à la sécurité de sa personne garanti par la </w:t>
            </w:r>
            <w:r w:rsidRPr="006D673B">
              <w:rPr>
                <w:rFonts w:eastAsia="Calibri"/>
                <w:i/>
                <w:sz w:val="20"/>
                <w:lang w:val="fr-CA"/>
              </w:rPr>
              <w:t>Charte</w:t>
            </w:r>
            <w:r w:rsidRPr="006D673B">
              <w:rPr>
                <w:rFonts w:eastAsia="Calibri"/>
                <w:sz w:val="20"/>
                <w:lang w:val="fr-CA"/>
              </w:rPr>
              <w:t xml:space="preserve">. </w:t>
            </w:r>
          </w:p>
          <w:p w:rsidR="004030EA" w:rsidRPr="006D673B" w:rsidRDefault="004030EA" w:rsidP="00F71199">
            <w:pPr>
              <w:jc w:val="both"/>
              <w:rPr>
                <w:rFonts w:eastAsia="Calibri"/>
                <w:sz w:val="20"/>
                <w:lang w:val="fr-CA"/>
              </w:rPr>
            </w:pPr>
          </w:p>
          <w:p w:rsidR="004030EA" w:rsidRPr="006D673B" w:rsidRDefault="004030EA" w:rsidP="00F71199">
            <w:pPr>
              <w:jc w:val="both"/>
              <w:rPr>
                <w:rFonts w:eastAsia="Calibri"/>
                <w:sz w:val="20"/>
                <w:lang w:val="fr-CA"/>
              </w:rPr>
            </w:pPr>
            <w:r w:rsidRPr="006D673B">
              <w:rPr>
                <w:rFonts w:eastAsia="Calibri"/>
                <w:sz w:val="20"/>
                <w:lang w:val="fr-CA"/>
              </w:rPr>
              <w:t>Les allégations ont trait à une intervention de la SAE après que le personnel de l’hôpital où est né le petit-enfant de la demanderesse eût signalé à la SAE des inquiétudes au sujet de l’enfant.  À l’issue d’une brève enquête, la SAE n’ayant en fin de compte pas d’inquiétudes au sujet de l’enfant, elle a clos le dossier.</w:t>
            </w:r>
          </w:p>
          <w:p w:rsidR="004030EA" w:rsidRPr="006D673B" w:rsidRDefault="004030EA" w:rsidP="00F71199">
            <w:pPr>
              <w:jc w:val="both"/>
              <w:rPr>
                <w:rFonts w:eastAsia="Calibri"/>
                <w:sz w:val="20"/>
                <w:lang w:val="fr-CA"/>
              </w:rPr>
            </w:pPr>
          </w:p>
          <w:p w:rsidR="004030EA" w:rsidRPr="006D673B" w:rsidRDefault="004030EA" w:rsidP="00F71199">
            <w:pPr>
              <w:jc w:val="both"/>
              <w:rPr>
                <w:rFonts w:eastAsia="Calibri"/>
                <w:sz w:val="20"/>
                <w:lang w:val="fr-CA"/>
              </w:rPr>
            </w:pPr>
            <w:r w:rsidRPr="006D673B">
              <w:rPr>
                <w:rFonts w:eastAsia="Calibri"/>
                <w:sz w:val="20"/>
                <w:lang w:val="fr-CA"/>
              </w:rPr>
              <w:t>Il s’agit de l’une des cinq actions pour diffamation intentées par la demanderesse contre divers défendeurs et relatives à des incidents consécutifs à la naissance de son petit-enfant.</w:t>
            </w:r>
          </w:p>
          <w:p w:rsidR="004030EA" w:rsidRPr="006D673B" w:rsidRDefault="004030EA" w:rsidP="00F71199">
            <w:pPr>
              <w:jc w:val="both"/>
              <w:rPr>
                <w:rFonts w:eastAsia="Calibri"/>
                <w:sz w:val="20"/>
                <w:lang w:val="fr-CA"/>
              </w:rPr>
            </w:pPr>
          </w:p>
          <w:p w:rsidR="004030EA" w:rsidRPr="006D673B" w:rsidRDefault="004030EA" w:rsidP="00F71199">
            <w:pPr>
              <w:jc w:val="both"/>
              <w:rPr>
                <w:rFonts w:eastAsia="Calibri"/>
                <w:sz w:val="20"/>
                <w:lang w:val="fr-CA"/>
              </w:rPr>
            </w:pPr>
            <w:r w:rsidRPr="006D673B">
              <w:rPr>
                <w:rFonts w:eastAsia="Calibri"/>
                <w:sz w:val="20"/>
                <w:lang w:val="fr-CA"/>
              </w:rPr>
              <w:t>Les défendeurs ont déposé une requête en jugement sommaire.</w:t>
            </w:r>
          </w:p>
          <w:p w:rsidR="004030EA" w:rsidRPr="006D673B" w:rsidRDefault="004030EA" w:rsidP="00F71199">
            <w:pPr>
              <w:jc w:val="both"/>
              <w:rPr>
                <w:rFonts w:eastAsia="Calibri"/>
                <w:sz w:val="20"/>
                <w:lang w:val="fr-CA"/>
              </w:rPr>
            </w:pPr>
          </w:p>
        </w:tc>
      </w:tr>
      <w:tr w:rsidR="004030EA" w:rsidRPr="002B68E4" w:rsidTr="00F71199">
        <w:tc>
          <w:tcPr>
            <w:tcW w:w="2427" w:type="pct"/>
          </w:tcPr>
          <w:p w:rsidR="004030EA" w:rsidRPr="006D673B" w:rsidRDefault="004030EA" w:rsidP="00F71199">
            <w:pPr>
              <w:jc w:val="both"/>
              <w:rPr>
                <w:rFonts w:eastAsia="Calibri"/>
                <w:sz w:val="20"/>
                <w:lang w:val="fr-CA"/>
              </w:rPr>
            </w:pPr>
            <w:r w:rsidRPr="006D673B">
              <w:rPr>
                <w:rFonts w:eastAsia="Calibri"/>
                <w:sz w:val="20"/>
                <w:lang w:val="fr-CA"/>
              </w:rPr>
              <w:t>8 juillet 2011</w:t>
            </w:r>
          </w:p>
          <w:p w:rsidR="004030EA" w:rsidRPr="006D673B" w:rsidRDefault="004030EA" w:rsidP="00F71199">
            <w:pPr>
              <w:jc w:val="both"/>
              <w:rPr>
                <w:rFonts w:eastAsia="Calibri"/>
                <w:sz w:val="20"/>
                <w:lang w:val="fr-CA"/>
              </w:rPr>
            </w:pPr>
            <w:r w:rsidRPr="006D673B">
              <w:rPr>
                <w:rFonts w:eastAsia="Calibri"/>
                <w:sz w:val="20"/>
                <w:lang w:val="fr-CA"/>
              </w:rPr>
              <w:t>Cour supérieure de justice de l’Ontario</w:t>
            </w:r>
          </w:p>
          <w:p w:rsidR="004030EA" w:rsidRPr="006D673B" w:rsidRDefault="004030EA" w:rsidP="00F71199">
            <w:pPr>
              <w:jc w:val="both"/>
              <w:rPr>
                <w:rFonts w:eastAsia="Calibri"/>
                <w:sz w:val="20"/>
              </w:rPr>
            </w:pPr>
            <w:r w:rsidRPr="006D673B">
              <w:rPr>
                <w:rFonts w:eastAsia="Calibri"/>
                <w:sz w:val="20"/>
              </w:rPr>
              <w:t>(Juge Belobaba)</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lang w:val="fr-CA"/>
              </w:rPr>
            </w:pPr>
            <w:r w:rsidRPr="006D673B">
              <w:rPr>
                <w:rFonts w:eastAsia="Calibri"/>
                <w:sz w:val="20"/>
                <w:lang w:val="fr-CA"/>
              </w:rPr>
              <w:t xml:space="preserve">Requête en jugement sommaire accueillie; action contre la SAE et ses employés rejetée </w:t>
            </w:r>
          </w:p>
          <w:p w:rsidR="004030EA" w:rsidRPr="006D673B" w:rsidRDefault="004030EA" w:rsidP="00F71199">
            <w:pPr>
              <w:jc w:val="both"/>
              <w:rPr>
                <w:rFonts w:eastAsia="Calibri"/>
                <w:sz w:val="20"/>
                <w:lang w:val="fr-CA"/>
              </w:rPr>
            </w:pPr>
          </w:p>
        </w:tc>
      </w:tr>
      <w:tr w:rsidR="004030EA" w:rsidRPr="006D673B" w:rsidTr="00E93821">
        <w:trPr>
          <w:cantSplit/>
        </w:trPr>
        <w:tc>
          <w:tcPr>
            <w:tcW w:w="2427" w:type="pct"/>
          </w:tcPr>
          <w:p w:rsidR="004030EA" w:rsidRPr="006D673B" w:rsidRDefault="004030EA" w:rsidP="00F71199">
            <w:pPr>
              <w:jc w:val="both"/>
              <w:rPr>
                <w:rFonts w:eastAsia="Calibri"/>
                <w:sz w:val="20"/>
                <w:lang w:val="fr-CA"/>
              </w:rPr>
            </w:pPr>
            <w:r w:rsidRPr="006D673B">
              <w:rPr>
                <w:rFonts w:eastAsia="Calibri"/>
                <w:sz w:val="20"/>
                <w:lang w:val="fr-CA"/>
              </w:rPr>
              <w:lastRenderedPageBreak/>
              <w:t>14 mai 2012</w:t>
            </w:r>
          </w:p>
          <w:p w:rsidR="004030EA" w:rsidRPr="006D673B" w:rsidRDefault="004030EA" w:rsidP="00F71199">
            <w:pPr>
              <w:jc w:val="both"/>
              <w:rPr>
                <w:rFonts w:eastAsia="Calibri"/>
                <w:sz w:val="20"/>
                <w:lang w:val="fr-CA"/>
              </w:rPr>
            </w:pPr>
            <w:r w:rsidRPr="006D673B">
              <w:rPr>
                <w:rFonts w:eastAsia="Calibri"/>
                <w:sz w:val="20"/>
                <w:lang w:val="fr-CA"/>
              </w:rPr>
              <w:t>Cour d’appel de l’Ontario</w:t>
            </w:r>
          </w:p>
          <w:p w:rsidR="004030EA" w:rsidRPr="006D673B" w:rsidRDefault="004030EA" w:rsidP="00F71199">
            <w:pPr>
              <w:jc w:val="both"/>
              <w:rPr>
                <w:rFonts w:eastAsia="Calibri"/>
                <w:sz w:val="20"/>
                <w:lang w:val="fr-CA"/>
              </w:rPr>
            </w:pPr>
            <w:r w:rsidRPr="006D673B">
              <w:rPr>
                <w:rFonts w:eastAsia="Calibri"/>
                <w:sz w:val="20"/>
                <w:lang w:val="fr-CA"/>
              </w:rPr>
              <w:t>(Juges Simmons, Pepall et Ducharme)</w:t>
            </w:r>
          </w:p>
          <w:p w:rsidR="004030EA" w:rsidRPr="006D673B" w:rsidRDefault="004030EA" w:rsidP="00F71199">
            <w:pPr>
              <w:jc w:val="both"/>
              <w:rPr>
                <w:rFonts w:eastAsia="Calibri"/>
                <w:sz w:val="20"/>
                <w:lang w:val="fr-CA"/>
              </w:rPr>
            </w:pPr>
          </w:p>
        </w:tc>
        <w:tc>
          <w:tcPr>
            <w:tcW w:w="243" w:type="pct"/>
          </w:tcPr>
          <w:p w:rsidR="004030EA" w:rsidRPr="006D673B" w:rsidRDefault="004030EA" w:rsidP="00F71199">
            <w:pPr>
              <w:jc w:val="both"/>
              <w:rPr>
                <w:rFonts w:eastAsia="Calibri"/>
                <w:sz w:val="20"/>
                <w:lang w:val="fr-CA"/>
              </w:rPr>
            </w:pPr>
          </w:p>
        </w:tc>
        <w:tc>
          <w:tcPr>
            <w:tcW w:w="2330" w:type="pct"/>
          </w:tcPr>
          <w:p w:rsidR="004030EA" w:rsidRPr="006D673B" w:rsidRDefault="004030EA" w:rsidP="00F71199">
            <w:pPr>
              <w:jc w:val="both"/>
              <w:rPr>
                <w:rFonts w:eastAsia="Calibri"/>
                <w:sz w:val="20"/>
              </w:rPr>
            </w:pPr>
            <w:r w:rsidRPr="006D673B">
              <w:rPr>
                <w:rFonts w:eastAsia="Calibri"/>
                <w:sz w:val="20"/>
              </w:rPr>
              <w:t xml:space="preserve">Appel rejeté </w:t>
            </w:r>
          </w:p>
        </w:tc>
      </w:tr>
      <w:tr w:rsidR="004030EA" w:rsidRPr="002B68E4" w:rsidTr="00E93821">
        <w:trPr>
          <w:cantSplit/>
        </w:trPr>
        <w:tc>
          <w:tcPr>
            <w:tcW w:w="2427" w:type="pct"/>
          </w:tcPr>
          <w:p w:rsidR="004030EA" w:rsidRPr="006D673B" w:rsidRDefault="004030EA" w:rsidP="00F71199">
            <w:pPr>
              <w:jc w:val="both"/>
              <w:rPr>
                <w:rFonts w:eastAsia="Calibri"/>
                <w:sz w:val="20"/>
                <w:lang w:val="fr-CA"/>
              </w:rPr>
            </w:pPr>
            <w:r w:rsidRPr="006D673B">
              <w:rPr>
                <w:rFonts w:eastAsia="Calibri"/>
                <w:sz w:val="20"/>
                <w:lang w:val="fr-CA"/>
              </w:rPr>
              <w:t>15 avril 2014</w:t>
            </w:r>
          </w:p>
          <w:p w:rsidR="004030EA" w:rsidRPr="006D673B" w:rsidRDefault="004030EA" w:rsidP="00F71199">
            <w:pPr>
              <w:jc w:val="both"/>
              <w:rPr>
                <w:rFonts w:eastAsia="Calibri"/>
                <w:sz w:val="20"/>
                <w:lang w:val="fr-CA"/>
              </w:rPr>
            </w:pPr>
            <w:r w:rsidRPr="006D673B">
              <w:rPr>
                <w:rFonts w:eastAsia="Calibri"/>
                <w:sz w:val="20"/>
                <w:lang w:val="fr-CA"/>
              </w:rPr>
              <w:t>Cour suprême du Canada</w:t>
            </w:r>
          </w:p>
        </w:tc>
        <w:tc>
          <w:tcPr>
            <w:tcW w:w="243" w:type="pct"/>
          </w:tcPr>
          <w:p w:rsidR="004030EA" w:rsidRPr="006D673B" w:rsidRDefault="004030EA" w:rsidP="00F71199">
            <w:pPr>
              <w:jc w:val="both"/>
              <w:rPr>
                <w:rFonts w:eastAsia="Calibri"/>
                <w:sz w:val="20"/>
                <w:lang w:val="fr-CA"/>
              </w:rPr>
            </w:pPr>
          </w:p>
        </w:tc>
        <w:tc>
          <w:tcPr>
            <w:tcW w:w="2330" w:type="pct"/>
          </w:tcPr>
          <w:p w:rsidR="004030EA" w:rsidRPr="006D673B" w:rsidRDefault="004030EA" w:rsidP="00F71199">
            <w:pPr>
              <w:jc w:val="both"/>
              <w:rPr>
                <w:rFonts w:eastAsia="Calibri"/>
                <w:sz w:val="20"/>
                <w:lang w:val="fr-CA"/>
              </w:rPr>
            </w:pPr>
            <w:r w:rsidRPr="006D673B">
              <w:rPr>
                <w:rFonts w:eastAsia="Calibri"/>
                <w:sz w:val="20"/>
                <w:lang w:val="fr-CA"/>
              </w:rPr>
              <w:t>Requête en prorogation du délai de signification et de dépôt d’une demande d’autorisation d’appel, et demande d’autorisation d’appel, déposées</w:t>
            </w:r>
          </w:p>
        </w:tc>
      </w:tr>
    </w:tbl>
    <w:p w:rsidR="007426C2" w:rsidRPr="004030EA" w:rsidRDefault="007426C2" w:rsidP="007426C2">
      <w:pPr>
        <w:rPr>
          <w:sz w:val="20"/>
          <w:szCs w:val="20"/>
          <w:lang w:val="fr-CA"/>
        </w:rPr>
      </w:pPr>
    </w:p>
    <w:p w:rsidR="007426C2" w:rsidRDefault="002B68E4" w:rsidP="007426C2">
      <w:pPr>
        <w:rPr>
          <w:sz w:val="20"/>
          <w:szCs w:val="20"/>
        </w:rPr>
      </w:pPr>
      <w:r>
        <w:rPr>
          <w:sz w:val="20"/>
          <w:szCs w:val="20"/>
          <w:lang w:val="fr-CA"/>
        </w:rPr>
        <w:pict>
          <v:rect id="_x0000_i1044"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B58A6" w:rsidRPr="00905D3F" w:rsidTr="0008227B">
        <w:trPr>
          <w:cantSplit/>
        </w:trPr>
        <w:tc>
          <w:tcPr>
            <w:tcW w:w="1458" w:type="dxa"/>
          </w:tcPr>
          <w:p w:rsidR="002B58A6" w:rsidRPr="00905D3F" w:rsidRDefault="002B58A6" w:rsidP="0008227B">
            <w:pPr>
              <w:rPr>
                <w:sz w:val="20"/>
                <w:szCs w:val="20"/>
              </w:rPr>
            </w:pPr>
            <w:r w:rsidRPr="00905D3F">
              <w:rPr>
                <w:rStyle w:val="SCCFileNumberChar"/>
                <w:sz w:val="20"/>
                <w:szCs w:val="20"/>
              </w:rPr>
              <w:t>35850</w:t>
            </w:r>
          </w:p>
          <w:p w:rsidR="002B58A6" w:rsidRPr="00905D3F" w:rsidRDefault="002B58A6" w:rsidP="0008227B">
            <w:pPr>
              <w:rPr>
                <w:b/>
                <w:sz w:val="20"/>
                <w:szCs w:val="20"/>
                <w:lang w:val="fr-CA"/>
              </w:rPr>
            </w:pPr>
          </w:p>
        </w:tc>
        <w:tc>
          <w:tcPr>
            <w:tcW w:w="8118" w:type="dxa"/>
          </w:tcPr>
          <w:p w:rsidR="002B58A6" w:rsidRPr="00905D3F" w:rsidRDefault="002B58A6" w:rsidP="0008227B">
            <w:pPr>
              <w:rPr>
                <w:sz w:val="20"/>
                <w:szCs w:val="20"/>
              </w:rPr>
            </w:pPr>
            <w:r w:rsidRPr="00905D3F">
              <w:rPr>
                <w:rStyle w:val="SCCLsocChar"/>
                <w:sz w:val="20"/>
                <w:szCs w:val="20"/>
              </w:rPr>
              <w:t>N.R. v. Renata Leong</w:t>
            </w:r>
            <w:r w:rsidRPr="00905D3F">
              <w:rPr>
                <w:sz w:val="20"/>
                <w:szCs w:val="20"/>
                <w:lang w:val="fr-CA"/>
              </w:rPr>
              <w:t xml:space="preserve"> (Ont.) </w:t>
            </w:r>
            <w:r w:rsidRPr="00905D3F">
              <w:rPr>
                <w:sz w:val="20"/>
                <w:szCs w:val="20"/>
              </w:rPr>
              <w:t>(Civil) (By Leave)</w:t>
            </w:r>
          </w:p>
          <w:p w:rsidR="002B58A6" w:rsidRPr="00905D3F" w:rsidRDefault="002B58A6" w:rsidP="0008227B">
            <w:pPr>
              <w:rPr>
                <w:sz w:val="20"/>
                <w:szCs w:val="20"/>
              </w:rPr>
            </w:pPr>
          </w:p>
        </w:tc>
      </w:tr>
      <w:tr w:rsidR="002B58A6" w:rsidRPr="00905D3F" w:rsidTr="0008227B">
        <w:trPr>
          <w:cantSplit/>
        </w:trPr>
        <w:tc>
          <w:tcPr>
            <w:tcW w:w="1458" w:type="dxa"/>
          </w:tcPr>
          <w:p w:rsidR="002B58A6" w:rsidRPr="00905D3F" w:rsidRDefault="002B58A6" w:rsidP="0008227B">
            <w:pPr>
              <w:rPr>
                <w:sz w:val="20"/>
                <w:szCs w:val="20"/>
              </w:rPr>
            </w:pPr>
            <w:r w:rsidRPr="00905D3F">
              <w:rPr>
                <w:sz w:val="20"/>
                <w:szCs w:val="20"/>
              </w:rPr>
              <w:t>Coram :</w:t>
            </w:r>
          </w:p>
        </w:tc>
        <w:tc>
          <w:tcPr>
            <w:tcW w:w="8118" w:type="dxa"/>
          </w:tcPr>
          <w:p w:rsidR="002B58A6" w:rsidRPr="00905D3F" w:rsidRDefault="002B58A6" w:rsidP="0008227B">
            <w:pPr>
              <w:rPr>
                <w:sz w:val="20"/>
                <w:szCs w:val="20"/>
              </w:rPr>
            </w:pPr>
            <w:r w:rsidRPr="00905D3F">
              <w:rPr>
                <w:rStyle w:val="SCCCoramChar"/>
                <w:sz w:val="20"/>
                <w:szCs w:val="20"/>
                <w:lang w:val="en-CA"/>
              </w:rPr>
              <w:t>Abella, Rothstein and Moldaver JJ.</w:t>
            </w:r>
          </w:p>
          <w:p w:rsidR="002B58A6" w:rsidRPr="00905D3F" w:rsidRDefault="002B58A6" w:rsidP="0008227B">
            <w:pPr>
              <w:rPr>
                <w:sz w:val="20"/>
                <w:szCs w:val="20"/>
                <w:u w:val="single"/>
              </w:rPr>
            </w:pPr>
          </w:p>
        </w:tc>
      </w:tr>
      <w:tr w:rsidR="002B58A6" w:rsidRPr="002B68E4" w:rsidTr="0008227B">
        <w:trPr>
          <w:cantSplit/>
        </w:trPr>
        <w:tc>
          <w:tcPr>
            <w:tcW w:w="9576" w:type="dxa"/>
            <w:gridSpan w:val="2"/>
          </w:tcPr>
          <w:p w:rsidR="002B58A6" w:rsidRPr="00905D3F" w:rsidRDefault="002B58A6" w:rsidP="0008227B">
            <w:pPr>
              <w:pStyle w:val="SCCShortJudgment"/>
              <w:rPr>
                <w:szCs w:val="20"/>
              </w:rPr>
            </w:pPr>
            <w:r w:rsidRPr="00905D3F">
              <w:rPr>
                <w:szCs w:val="20"/>
              </w:rPr>
              <w:t>The motion for an extension of time to serve and file the application for leave to appeal from the judgment of the Court of Appeal for Ontario, Number C52793, 2011 ONCA 221, dated March 21, 2011, is dismissed. In any event, had such a motion been granted, the application for leave to appeal would have been dismissed without costs.</w:t>
            </w:r>
          </w:p>
          <w:p w:rsidR="002B58A6" w:rsidRPr="00905D3F" w:rsidRDefault="002B58A6" w:rsidP="0008227B">
            <w:pPr>
              <w:pStyle w:val="SCCShortJudgment"/>
              <w:ind w:firstLine="0"/>
              <w:rPr>
                <w:szCs w:val="20"/>
              </w:rPr>
            </w:pPr>
          </w:p>
          <w:p w:rsidR="002B58A6" w:rsidRPr="00905D3F" w:rsidRDefault="002B58A6" w:rsidP="0008227B">
            <w:pPr>
              <w:pStyle w:val="SCCShortJudgment"/>
              <w:rPr>
                <w:szCs w:val="20"/>
                <w:lang w:val="fr-CA"/>
              </w:rPr>
            </w:pPr>
            <w:r w:rsidRPr="00905D3F">
              <w:rPr>
                <w:szCs w:val="20"/>
                <w:lang w:val="fr-CA"/>
              </w:rPr>
              <w:t>La requête en prorogation du délai de signification et de dépôt de la demande d’autorisation d’appel de l’arrêt de la Cour d’appel de l’Ontario, numéro C52793, 2011 ONCA 221, daté du 21 mars 2011, est rejetée.  Quoi qu’il en soit, même si la requête avait été accueillie, la demande d’autorisation d’appel aurait été rejetée sans dépens.</w:t>
            </w:r>
          </w:p>
        </w:tc>
      </w:tr>
    </w:tbl>
    <w:p w:rsidR="007426C2" w:rsidRPr="002B58A6"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30EA" w:rsidRPr="006D673B" w:rsidTr="00F71199">
        <w:tc>
          <w:tcPr>
            <w:tcW w:w="5000" w:type="pct"/>
            <w:gridSpan w:val="3"/>
          </w:tcPr>
          <w:p w:rsidR="004030EA" w:rsidRPr="006D673B" w:rsidRDefault="004030EA" w:rsidP="00F71199">
            <w:pPr>
              <w:jc w:val="both"/>
              <w:rPr>
                <w:rFonts w:eastAsia="Calibri"/>
                <w:smallCaps/>
                <w:sz w:val="20"/>
              </w:rPr>
            </w:pPr>
            <w:r w:rsidRPr="006D673B">
              <w:rPr>
                <w:rFonts w:eastAsia="Calibri"/>
                <w:smallCaps/>
                <w:sz w:val="20"/>
              </w:rPr>
              <w:t xml:space="preserve">(Publication </w:t>
            </w:r>
            <w:r>
              <w:rPr>
                <w:rFonts w:eastAsia="Calibri"/>
                <w:smallCaps/>
                <w:sz w:val="20"/>
              </w:rPr>
              <w:t>B</w:t>
            </w:r>
            <w:r w:rsidRPr="006D673B">
              <w:rPr>
                <w:rFonts w:eastAsia="Calibri"/>
                <w:smallCaps/>
                <w:sz w:val="20"/>
              </w:rPr>
              <w:t xml:space="preserve">an on </w:t>
            </w:r>
            <w:r>
              <w:rPr>
                <w:rFonts w:eastAsia="Calibri"/>
                <w:smallCaps/>
                <w:sz w:val="20"/>
              </w:rPr>
              <w:t>P</w:t>
            </w:r>
            <w:r w:rsidRPr="006D673B">
              <w:rPr>
                <w:rFonts w:eastAsia="Calibri"/>
                <w:smallCaps/>
                <w:sz w:val="20"/>
              </w:rPr>
              <w:t xml:space="preserve">arty) (Court </w:t>
            </w:r>
            <w:r>
              <w:rPr>
                <w:rFonts w:eastAsia="Calibri"/>
                <w:smallCaps/>
                <w:sz w:val="20"/>
              </w:rPr>
              <w:t>F</w:t>
            </w:r>
            <w:r w:rsidRPr="006D673B">
              <w:rPr>
                <w:rFonts w:eastAsia="Calibri"/>
                <w:smallCaps/>
                <w:sz w:val="20"/>
              </w:rPr>
              <w:t xml:space="preserve">ile </w:t>
            </w:r>
            <w:r>
              <w:rPr>
                <w:rFonts w:eastAsia="Calibri"/>
                <w:smallCaps/>
                <w:sz w:val="20"/>
              </w:rPr>
              <w:t>C</w:t>
            </w:r>
            <w:r w:rsidRPr="006D673B">
              <w:rPr>
                <w:rFonts w:eastAsia="Calibri"/>
                <w:smallCaps/>
                <w:sz w:val="20"/>
              </w:rPr>
              <w:t xml:space="preserve">ontains </w:t>
            </w:r>
            <w:r>
              <w:rPr>
                <w:rFonts w:eastAsia="Calibri"/>
                <w:smallCaps/>
                <w:sz w:val="20"/>
              </w:rPr>
              <w:t>I</w:t>
            </w:r>
            <w:r w:rsidRPr="006D673B">
              <w:rPr>
                <w:rFonts w:eastAsia="Calibri"/>
                <w:smallCaps/>
                <w:sz w:val="20"/>
              </w:rPr>
              <w:t xml:space="preserve">nformation </w:t>
            </w:r>
            <w:r>
              <w:rPr>
                <w:rFonts w:eastAsia="Calibri"/>
                <w:smallCaps/>
                <w:sz w:val="20"/>
              </w:rPr>
              <w:t>T</w:t>
            </w:r>
            <w:r w:rsidRPr="006D673B">
              <w:rPr>
                <w:rFonts w:eastAsia="Calibri"/>
                <w:smallCaps/>
                <w:sz w:val="20"/>
              </w:rPr>
              <w:t xml:space="preserve">hat is </w:t>
            </w:r>
            <w:r>
              <w:rPr>
                <w:rFonts w:eastAsia="Calibri"/>
                <w:smallCaps/>
                <w:sz w:val="20"/>
              </w:rPr>
              <w:t>n</w:t>
            </w:r>
            <w:r w:rsidRPr="006D673B">
              <w:rPr>
                <w:rFonts w:eastAsia="Calibri"/>
                <w:smallCaps/>
                <w:sz w:val="20"/>
              </w:rPr>
              <w:t xml:space="preserve">ot </w:t>
            </w:r>
            <w:r>
              <w:rPr>
                <w:rFonts w:eastAsia="Calibri"/>
                <w:smallCaps/>
                <w:sz w:val="20"/>
              </w:rPr>
              <w:t>A</w:t>
            </w:r>
            <w:r w:rsidRPr="006D673B">
              <w:rPr>
                <w:rFonts w:eastAsia="Calibri"/>
                <w:smallCaps/>
                <w:sz w:val="20"/>
              </w:rPr>
              <w:t xml:space="preserve">vailable for </w:t>
            </w:r>
            <w:r>
              <w:rPr>
                <w:rFonts w:eastAsia="Calibri"/>
                <w:smallCaps/>
                <w:sz w:val="20"/>
              </w:rPr>
              <w:t>I</w:t>
            </w:r>
            <w:r w:rsidRPr="006D673B">
              <w:rPr>
                <w:rFonts w:eastAsia="Calibri"/>
                <w:smallCaps/>
                <w:sz w:val="20"/>
              </w:rPr>
              <w:t xml:space="preserve">nspection by the </w:t>
            </w:r>
            <w:r>
              <w:rPr>
                <w:rFonts w:eastAsia="Calibri"/>
                <w:smallCaps/>
                <w:sz w:val="20"/>
              </w:rPr>
              <w:t>P</w:t>
            </w:r>
            <w:r w:rsidRPr="006D673B">
              <w:rPr>
                <w:rFonts w:eastAsia="Calibri"/>
                <w:smallCaps/>
                <w:sz w:val="20"/>
              </w:rPr>
              <w:t>ublic)</w:t>
            </w:r>
          </w:p>
          <w:p w:rsidR="004030EA" w:rsidRPr="006D673B" w:rsidRDefault="004030EA" w:rsidP="00F71199">
            <w:pPr>
              <w:jc w:val="both"/>
              <w:rPr>
                <w:rFonts w:eastAsia="Calibri"/>
                <w:i/>
                <w:sz w:val="20"/>
              </w:rPr>
            </w:pPr>
          </w:p>
          <w:p w:rsidR="004030EA" w:rsidRPr="006D673B" w:rsidRDefault="004030EA" w:rsidP="00F71199">
            <w:pPr>
              <w:jc w:val="both"/>
              <w:rPr>
                <w:rFonts w:eastAsia="Calibri"/>
                <w:smallCaps/>
                <w:sz w:val="20"/>
              </w:rPr>
            </w:pPr>
            <w:r w:rsidRPr="006D673B">
              <w:rPr>
                <w:rFonts w:eastAsia="Calibri"/>
                <w:i/>
                <w:sz w:val="20"/>
              </w:rPr>
              <w:t>Charter of rights and freedoms</w:t>
            </w:r>
            <w:r w:rsidRPr="006D673B">
              <w:rPr>
                <w:rFonts w:eastAsia="Calibri"/>
                <w:sz w:val="20"/>
              </w:rPr>
              <w:t xml:space="preserve"> — Civil procedure — Motion for summary judgment — Motions judge granting motion for summary judgment and dismissing action against respondent — Whether Court of Appeal erred in dismissing applicant’s appeal? </w:t>
            </w:r>
          </w:p>
        </w:tc>
      </w:tr>
      <w:tr w:rsidR="004030EA" w:rsidRPr="006D673B" w:rsidTr="00F71199">
        <w:tc>
          <w:tcPr>
            <w:tcW w:w="5000" w:type="pct"/>
            <w:gridSpan w:val="3"/>
          </w:tcPr>
          <w:p w:rsidR="004030EA" w:rsidRPr="006D673B" w:rsidRDefault="004030EA" w:rsidP="00F71199">
            <w:pPr>
              <w:jc w:val="both"/>
              <w:rPr>
                <w:rFonts w:eastAsia="Calibri"/>
                <w:sz w:val="20"/>
              </w:rPr>
            </w:pPr>
          </w:p>
        </w:tc>
      </w:tr>
      <w:tr w:rsidR="004030EA" w:rsidRPr="006D673B" w:rsidTr="00F71199">
        <w:tc>
          <w:tcPr>
            <w:tcW w:w="5000" w:type="pct"/>
            <w:gridSpan w:val="3"/>
          </w:tcPr>
          <w:p w:rsidR="004030EA" w:rsidRPr="006D673B" w:rsidRDefault="004030EA" w:rsidP="00F71199">
            <w:pPr>
              <w:jc w:val="both"/>
              <w:rPr>
                <w:rFonts w:eastAsia="Calibri"/>
                <w:sz w:val="20"/>
              </w:rPr>
            </w:pPr>
            <w:r w:rsidRPr="006D673B">
              <w:rPr>
                <w:rFonts w:eastAsia="Calibri"/>
                <w:sz w:val="20"/>
              </w:rPr>
              <w:t>The applicant brought a libel action against the respondent Dr. Leong, the family doctor of the applicant’s adult daughter.  The applicant alleged that the respondent had made defamatory statements about her to the Children’s Aid Society in the course of an investigation into the wellbeing of the applicant’s newborn grandchild.</w:t>
            </w:r>
          </w:p>
          <w:p w:rsidR="004030EA" w:rsidRPr="006D673B" w:rsidRDefault="004030EA" w:rsidP="00F71199">
            <w:pPr>
              <w:jc w:val="both"/>
              <w:rPr>
                <w:rFonts w:eastAsia="Calibri"/>
                <w:sz w:val="20"/>
              </w:rPr>
            </w:pPr>
          </w:p>
          <w:p w:rsidR="004030EA" w:rsidRPr="006D673B" w:rsidRDefault="004030EA" w:rsidP="00F71199">
            <w:pPr>
              <w:jc w:val="both"/>
              <w:rPr>
                <w:rFonts w:eastAsia="Calibri"/>
                <w:sz w:val="20"/>
              </w:rPr>
            </w:pPr>
            <w:r w:rsidRPr="006D673B">
              <w:rPr>
                <w:rFonts w:eastAsia="Calibri"/>
                <w:sz w:val="20"/>
              </w:rPr>
              <w:t>This action was one of five libel and slander actions filed by the applicant against various respondents and relating to incidents which followed the birth of her grandchild.</w:t>
            </w:r>
          </w:p>
          <w:p w:rsidR="004030EA" w:rsidRPr="006D673B" w:rsidRDefault="004030EA" w:rsidP="00F71199">
            <w:pPr>
              <w:jc w:val="both"/>
              <w:rPr>
                <w:rFonts w:eastAsia="Calibri"/>
                <w:sz w:val="20"/>
              </w:rPr>
            </w:pPr>
          </w:p>
          <w:p w:rsidR="004030EA" w:rsidRPr="006D673B" w:rsidRDefault="004030EA" w:rsidP="00F71199">
            <w:pPr>
              <w:jc w:val="both"/>
              <w:rPr>
                <w:rFonts w:eastAsia="Calibri"/>
                <w:sz w:val="20"/>
              </w:rPr>
            </w:pPr>
            <w:r w:rsidRPr="006D673B">
              <w:rPr>
                <w:rFonts w:eastAsia="Calibri"/>
                <w:sz w:val="20"/>
              </w:rPr>
              <w:t>The respondent filed a motion for summary judgment.</w:t>
            </w:r>
          </w:p>
          <w:p w:rsidR="004030EA" w:rsidRPr="006D673B" w:rsidRDefault="004030EA" w:rsidP="00F71199">
            <w:pPr>
              <w:jc w:val="both"/>
              <w:rPr>
                <w:rFonts w:eastAsia="Calibri"/>
                <w:sz w:val="20"/>
              </w:rPr>
            </w:pPr>
          </w:p>
        </w:tc>
      </w:tr>
      <w:tr w:rsidR="004030EA" w:rsidRPr="006D673B" w:rsidTr="00F71199">
        <w:tc>
          <w:tcPr>
            <w:tcW w:w="2427" w:type="pct"/>
          </w:tcPr>
          <w:p w:rsidR="004030EA" w:rsidRPr="006D673B" w:rsidRDefault="004030EA" w:rsidP="00F71199">
            <w:pPr>
              <w:jc w:val="both"/>
              <w:rPr>
                <w:rFonts w:eastAsia="Calibri"/>
                <w:sz w:val="20"/>
              </w:rPr>
            </w:pPr>
            <w:r w:rsidRPr="006D673B">
              <w:rPr>
                <w:rFonts w:eastAsia="Calibri"/>
                <w:sz w:val="20"/>
              </w:rPr>
              <w:t>October 5, 2010</w:t>
            </w:r>
          </w:p>
          <w:p w:rsidR="004030EA" w:rsidRPr="006D673B" w:rsidRDefault="004030EA" w:rsidP="00F71199">
            <w:pPr>
              <w:jc w:val="both"/>
              <w:rPr>
                <w:rFonts w:eastAsia="Calibri"/>
                <w:sz w:val="20"/>
              </w:rPr>
            </w:pPr>
            <w:r w:rsidRPr="006D673B">
              <w:rPr>
                <w:rFonts w:eastAsia="Calibri"/>
                <w:sz w:val="20"/>
              </w:rPr>
              <w:t>Ontario Superior Court of Justice</w:t>
            </w:r>
          </w:p>
          <w:p w:rsidR="004030EA" w:rsidRPr="006D673B" w:rsidRDefault="004030EA" w:rsidP="00F71199">
            <w:pPr>
              <w:jc w:val="both"/>
              <w:rPr>
                <w:rFonts w:eastAsia="Calibri"/>
                <w:sz w:val="20"/>
              </w:rPr>
            </w:pPr>
            <w:r w:rsidRPr="006D673B">
              <w:rPr>
                <w:rFonts w:eastAsia="Calibri"/>
                <w:sz w:val="20"/>
              </w:rPr>
              <w:t>(Belobaba J.)</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 xml:space="preserve">Motion for summary judgment granted; Action against respondent, dismissed </w:t>
            </w:r>
          </w:p>
        </w:tc>
      </w:tr>
      <w:tr w:rsidR="004030EA" w:rsidRPr="006D673B" w:rsidTr="00F71199">
        <w:tc>
          <w:tcPr>
            <w:tcW w:w="2427" w:type="pct"/>
          </w:tcPr>
          <w:p w:rsidR="004030EA" w:rsidRPr="006D673B" w:rsidRDefault="004030EA" w:rsidP="00F71199">
            <w:pPr>
              <w:jc w:val="both"/>
              <w:rPr>
                <w:rFonts w:eastAsia="Calibri"/>
                <w:sz w:val="20"/>
              </w:rPr>
            </w:pPr>
            <w:r w:rsidRPr="006D673B">
              <w:rPr>
                <w:rFonts w:eastAsia="Calibri"/>
                <w:sz w:val="20"/>
              </w:rPr>
              <w:t>March 21, 2011</w:t>
            </w:r>
          </w:p>
          <w:p w:rsidR="004030EA" w:rsidRPr="006D673B" w:rsidRDefault="004030EA" w:rsidP="00F71199">
            <w:pPr>
              <w:jc w:val="both"/>
              <w:rPr>
                <w:rFonts w:eastAsia="Calibri"/>
                <w:sz w:val="20"/>
              </w:rPr>
            </w:pPr>
            <w:r w:rsidRPr="006D673B">
              <w:rPr>
                <w:rFonts w:eastAsia="Calibri"/>
                <w:sz w:val="20"/>
              </w:rPr>
              <w:t>Court of Appeal for Ontario</w:t>
            </w:r>
          </w:p>
          <w:p w:rsidR="004030EA" w:rsidRPr="006D673B" w:rsidRDefault="004030EA" w:rsidP="00F71199">
            <w:pPr>
              <w:jc w:val="both"/>
              <w:rPr>
                <w:rFonts w:eastAsia="Calibri"/>
                <w:sz w:val="20"/>
              </w:rPr>
            </w:pPr>
            <w:r w:rsidRPr="006D673B">
              <w:rPr>
                <w:rFonts w:eastAsia="Calibri"/>
                <w:sz w:val="20"/>
              </w:rPr>
              <w:t xml:space="preserve">(Sharpe, Gillese and Karakatsanis JJ.A.) </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 xml:space="preserve">Appeal dismissed </w:t>
            </w:r>
          </w:p>
        </w:tc>
      </w:tr>
      <w:tr w:rsidR="004030EA" w:rsidRPr="006D673B" w:rsidTr="00917C40">
        <w:trPr>
          <w:cantSplit/>
        </w:trPr>
        <w:tc>
          <w:tcPr>
            <w:tcW w:w="2427" w:type="pct"/>
          </w:tcPr>
          <w:p w:rsidR="004030EA" w:rsidRPr="006D673B" w:rsidRDefault="004030EA" w:rsidP="00F71199">
            <w:pPr>
              <w:jc w:val="both"/>
              <w:rPr>
                <w:rFonts w:eastAsia="Calibri"/>
                <w:sz w:val="20"/>
              </w:rPr>
            </w:pPr>
            <w:r w:rsidRPr="006D673B">
              <w:rPr>
                <w:rFonts w:eastAsia="Calibri"/>
                <w:sz w:val="20"/>
              </w:rPr>
              <w:lastRenderedPageBreak/>
              <w:t>April 15, 2014</w:t>
            </w:r>
          </w:p>
          <w:p w:rsidR="004030EA" w:rsidRPr="006D673B" w:rsidRDefault="004030EA" w:rsidP="00F71199">
            <w:pPr>
              <w:jc w:val="both"/>
              <w:rPr>
                <w:rFonts w:eastAsia="Calibri"/>
                <w:sz w:val="20"/>
              </w:rPr>
            </w:pPr>
            <w:r w:rsidRPr="006D673B">
              <w:rPr>
                <w:rFonts w:eastAsia="Calibri"/>
                <w:sz w:val="20"/>
              </w:rPr>
              <w:t>Supreme Court of Canada</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rPr>
            </w:pPr>
            <w:r w:rsidRPr="006D673B">
              <w:rPr>
                <w:rFonts w:eastAsia="Calibri"/>
                <w:sz w:val="20"/>
              </w:rPr>
              <w:t>Motion for an extension of time to serve and file an application for leave to appeal and application for leave to appeal, filed</w:t>
            </w: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45"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30EA" w:rsidRPr="002B68E4" w:rsidTr="00F71199">
        <w:tc>
          <w:tcPr>
            <w:tcW w:w="5000" w:type="pct"/>
            <w:gridSpan w:val="3"/>
          </w:tcPr>
          <w:p w:rsidR="004030EA" w:rsidRPr="006D673B" w:rsidRDefault="004030EA" w:rsidP="00F71199">
            <w:pPr>
              <w:jc w:val="both"/>
              <w:rPr>
                <w:rFonts w:eastAsia="Calibri"/>
                <w:smallCaps/>
                <w:sz w:val="20"/>
                <w:lang w:val="fr-CA"/>
              </w:rPr>
            </w:pPr>
            <w:r w:rsidRPr="006D673B">
              <w:rPr>
                <w:rFonts w:eastAsia="Calibri"/>
                <w:smallCaps/>
                <w:sz w:val="20"/>
                <w:lang w:val="fr-CA"/>
              </w:rPr>
              <w:t>(Ordonnance non-publication visant une partie) (</w:t>
            </w:r>
            <w:r>
              <w:rPr>
                <w:rFonts w:eastAsia="Calibri"/>
                <w:smallCaps/>
                <w:sz w:val="20"/>
                <w:lang w:val="fr-CA"/>
              </w:rPr>
              <w:t>L</w:t>
            </w:r>
            <w:r w:rsidRPr="006D673B">
              <w:rPr>
                <w:rFonts w:eastAsia="Calibri"/>
                <w:smallCaps/>
                <w:sz w:val="20"/>
                <w:lang w:val="fr-CA"/>
              </w:rPr>
              <w:t>e dossier de la cour renferme des données que le public n’est pas autorisé à consulter)</w:t>
            </w:r>
          </w:p>
          <w:p w:rsidR="004030EA" w:rsidRPr="006D673B" w:rsidRDefault="004030EA" w:rsidP="00F71199">
            <w:pPr>
              <w:jc w:val="both"/>
              <w:rPr>
                <w:rFonts w:eastAsia="Calibri"/>
                <w:i/>
                <w:sz w:val="20"/>
                <w:lang w:val="fr-CA"/>
              </w:rPr>
            </w:pPr>
          </w:p>
          <w:p w:rsidR="004030EA" w:rsidRPr="006D673B" w:rsidRDefault="004030EA" w:rsidP="00F71199">
            <w:pPr>
              <w:jc w:val="both"/>
              <w:rPr>
                <w:rFonts w:eastAsia="Calibri"/>
                <w:sz w:val="20"/>
                <w:lang w:val="fr-CA"/>
              </w:rPr>
            </w:pPr>
            <w:r w:rsidRPr="006D673B">
              <w:rPr>
                <w:rFonts w:eastAsia="Calibri"/>
                <w:i/>
                <w:sz w:val="20"/>
                <w:lang w:val="fr-CA"/>
              </w:rPr>
              <w:t>Charte canadienne des droits et libertés</w:t>
            </w:r>
            <w:r w:rsidRPr="006D673B">
              <w:rPr>
                <w:rFonts w:eastAsia="Calibri"/>
                <w:sz w:val="20"/>
                <w:lang w:val="fr-CA"/>
              </w:rPr>
              <w:t xml:space="preserve"> — Procédure civile — Requête en jugement sommaire — Requête en jugement sommaire accueillie et action contre les défendeurs rejetée par le juge des requêtes </w:t>
            </w:r>
            <w:r w:rsidRPr="006D673B">
              <w:rPr>
                <w:rFonts w:eastAsia="Calibri"/>
                <w:sz w:val="20"/>
                <w:lang w:val="fr-CA"/>
              </w:rPr>
              <w:noBreakHyphen/>
              <w:t xml:space="preserve"> La cour d’appel a-t-elle eu tort de rejeter l’appel de la demanderesse? </w:t>
            </w:r>
          </w:p>
        </w:tc>
      </w:tr>
      <w:tr w:rsidR="004030EA" w:rsidRPr="002B68E4" w:rsidTr="00F71199">
        <w:tc>
          <w:tcPr>
            <w:tcW w:w="5000" w:type="pct"/>
            <w:gridSpan w:val="3"/>
          </w:tcPr>
          <w:p w:rsidR="004030EA" w:rsidRPr="006D673B" w:rsidRDefault="004030EA" w:rsidP="00F71199">
            <w:pPr>
              <w:jc w:val="both"/>
              <w:rPr>
                <w:rFonts w:eastAsia="Calibri"/>
                <w:sz w:val="20"/>
                <w:lang w:val="fr-CA"/>
              </w:rPr>
            </w:pPr>
          </w:p>
        </w:tc>
      </w:tr>
      <w:tr w:rsidR="004030EA" w:rsidRPr="002B68E4" w:rsidTr="00F71199">
        <w:tc>
          <w:tcPr>
            <w:tcW w:w="5000" w:type="pct"/>
            <w:gridSpan w:val="3"/>
          </w:tcPr>
          <w:p w:rsidR="004030EA" w:rsidRPr="006D673B" w:rsidRDefault="004030EA" w:rsidP="00F71199">
            <w:pPr>
              <w:jc w:val="both"/>
              <w:rPr>
                <w:rFonts w:eastAsia="Calibri"/>
                <w:sz w:val="20"/>
                <w:lang w:val="fr-CA"/>
              </w:rPr>
            </w:pPr>
            <w:r w:rsidRPr="006D673B">
              <w:rPr>
                <w:rFonts w:eastAsia="Calibri"/>
                <w:sz w:val="20"/>
                <w:lang w:val="fr-CA"/>
              </w:rPr>
              <w:t xml:space="preserve">La demanderesse a intenté une action en diffamation contre contre l’intimée, la Dre Leong, le médecin de famille de la fille adulte de la demanderesse.  Cette dernière a allégué que la défenderesse avait adressé à la Société d’aide à l’enfance des propos diffamatoires à son sujet au cours d’une enquête concernant le bien-être du petit-enfant nouveau-né de la demanderesse. </w:t>
            </w:r>
          </w:p>
          <w:p w:rsidR="004030EA" w:rsidRPr="006D673B" w:rsidRDefault="004030EA" w:rsidP="00F71199">
            <w:pPr>
              <w:jc w:val="both"/>
              <w:rPr>
                <w:rFonts w:eastAsia="Calibri"/>
                <w:sz w:val="20"/>
                <w:lang w:val="fr-CA"/>
              </w:rPr>
            </w:pPr>
          </w:p>
          <w:p w:rsidR="004030EA" w:rsidRPr="006D673B" w:rsidRDefault="004030EA" w:rsidP="00F71199">
            <w:pPr>
              <w:jc w:val="both"/>
              <w:rPr>
                <w:rFonts w:eastAsia="Calibri"/>
                <w:sz w:val="20"/>
                <w:lang w:val="fr-CA"/>
              </w:rPr>
            </w:pPr>
            <w:r w:rsidRPr="006D673B">
              <w:rPr>
                <w:rFonts w:eastAsia="Calibri"/>
                <w:sz w:val="20"/>
                <w:lang w:val="fr-CA"/>
              </w:rPr>
              <w:t>Il s’agit de l’une des cinq actions pour diffamation intentées par la demanderesse contre divers défendeurs et relatives à des incidents consécutifs à la naissance de son petit-enfant.</w:t>
            </w:r>
          </w:p>
          <w:p w:rsidR="004030EA" w:rsidRPr="006D673B" w:rsidRDefault="004030EA" w:rsidP="00F71199">
            <w:pPr>
              <w:jc w:val="both"/>
              <w:rPr>
                <w:rFonts w:eastAsia="Calibri"/>
                <w:sz w:val="20"/>
                <w:lang w:val="fr-CA"/>
              </w:rPr>
            </w:pPr>
          </w:p>
          <w:p w:rsidR="004030EA" w:rsidRPr="006D673B" w:rsidRDefault="004030EA" w:rsidP="00F71199">
            <w:pPr>
              <w:jc w:val="both"/>
              <w:rPr>
                <w:rFonts w:eastAsia="Calibri"/>
                <w:sz w:val="20"/>
                <w:lang w:val="fr-CA"/>
              </w:rPr>
            </w:pPr>
            <w:r w:rsidRPr="006D673B">
              <w:rPr>
                <w:rFonts w:eastAsia="Calibri"/>
                <w:sz w:val="20"/>
                <w:lang w:val="fr-CA"/>
              </w:rPr>
              <w:t>La défenderesse a déposé une requête en jugement sommaire.</w:t>
            </w:r>
          </w:p>
          <w:p w:rsidR="004030EA" w:rsidRPr="006D673B" w:rsidRDefault="004030EA" w:rsidP="00F71199">
            <w:pPr>
              <w:jc w:val="both"/>
              <w:rPr>
                <w:rFonts w:eastAsia="Calibri"/>
                <w:sz w:val="20"/>
                <w:lang w:val="fr-CA"/>
              </w:rPr>
            </w:pPr>
          </w:p>
        </w:tc>
      </w:tr>
      <w:tr w:rsidR="004030EA" w:rsidRPr="002B68E4" w:rsidTr="00F71199">
        <w:tc>
          <w:tcPr>
            <w:tcW w:w="2427" w:type="pct"/>
          </w:tcPr>
          <w:p w:rsidR="004030EA" w:rsidRPr="006D673B" w:rsidRDefault="004030EA" w:rsidP="00F71199">
            <w:pPr>
              <w:jc w:val="both"/>
              <w:rPr>
                <w:rFonts w:eastAsia="Calibri"/>
                <w:sz w:val="20"/>
                <w:lang w:val="fr-CA"/>
              </w:rPr>
            </w:pPr>
            <w:r w:rsidRPr="006D673B">
              <w:rPr>
                <w:rFonts w:eastAsia="Calibri"/>
                <w:sz w:val="20"/>
                <w:lang w:val="fr-CA"/>
              </w:rPr>
              <w:t>5 octobre 2010</w:t>
            </w:r>
          </w:p>
          <w:p w:rsidR="004030EA" w:rsidRPr="006D673B" w:rsidRDefault="004030EA" w:rsidP="00F71199">
            <w:pPr>
              <w:jc w:val="both"/>
              <w:rPr>
                <w:rFonts w:eastAsia="Calibri"/>
                <w:sz w:val="20"/>
                <w:lang w:val="fr-CA"/>
              </w:rPr>
            </w:pPr>
            <w:r w:rsidRPr="006D673B">
              <w:rPr>
                <w:rFonts w:eastAsia="Calibri"/>
                <w:sz w:val="20"/>
                <w:lang w:val="fr-CA"/>
              </w:rPr>
              <w:t>Cour supérieure de justice de l’Ontario</w:t>
            </w:r>
          </w:p>
          <w:p w:rsidR="004030EA" w:rsidRPr="006D673B" w:rsidRDefault="004030EA" w:rsidP="00F71199">
            <w:pPr>
              <w:jc w:val="both"/>
              <w:rPr>
                <w:rFonts w:eastAsia="Calibri"/>
                <w:sz w:val="20"/>
              </w:rPr>
            </w:pPr>
            <w:r w:rsidRPr="006D673B">
              <w:rPr>
                <w:rFonts w:eastAsia="Calibri"/>
                <w:sz w:val="20"/>
              </w:rPr>
              <w:t>(Juge Belobaba)</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lang w:val="fr-CA"/>
              </w:rPr>
            </w:pPr>
            <w:r w:rsidRPr="006D673B">
              <w:rPr>
                <w:rFonts w:eastAsia="Calibri"/>
                <w:sz w:val="20"/>
                <w:lang w:val="fr-CA"/>
              </w:rPr>
              <w:t xml:space="preserve">Requête en jugement sommaire accueillie; action contre la défenderesse rejetée </w:t>
            </w:r>
          </w:p>
        </w:tc>
      </w:tr>
      <w:tr w:rsidR="004030EA" w:rsidRPr="006D673B" w:rsidTr="00F71199">
        <w:tc>
          <w:tcPr>
            <w:tcW w:w="2427" w:type="pct"/>
          </w:tcPr>
          <w:p w:rsidR="004030EA" w:rsidRPr="006D673B" w:rsidRDefault="004030EA" w:rsidP="00F71199">
            <w:pPr>
              <w:jc w:val="both"/>
              <w:rPr>
                <w:rFonts w:eastAsia="Calibri"/>
                <w:sz w:val="20"/>
                <w:lang w:val="fr-CA"/>
              </w:rPr>
            </w:pPr>
            <w:r w:rsidRPr="006D673B">
              <w:rPr>
                <w:rFonts w:eastAsia="Calibri"/>
                <w:sz w:val="20"/>
                <w:lang w:val="fr-CA"/>
              </w:rPr>
              <w:t>21 mars 2011</w:t>
            </w:r>
          </w:p>
          <w:p w:rsidR="004030EA" w:rsidRPr="006D673B" w:rsidRDefault="004030EA" w:rsidP="00F71199">
            <w:pPr>
              <w:jc w:val="both"/>
              <w:rPr>
                <w:rFonts w:eastAsia="Calibri"/>
                <w:sz w:val="20"/>
                <w:lang w:val="fr-CA"/>
              </w:rPr>
            </w:pPr>
            <w:r w:rsidRPr="006D673B">
              <w:rPr>
                <w:rFonts w:eastAsia="Calibri"/>
                <w:sz w:val="20"/>
                <w:lang w:val="fr-CA"/>
              </w:rPr>
              <w:t>Cour d’appel de l’Ontario</w:t>
            </w:r>
          </w:p>
          <w:p w:rsidR="004030EA" w:rsidRPr="006D673B" w:rsidRDefault="004030EA" w:rsidP="00F71199">
            <w:pPr>
              <w:jc w:val="both"/>
              <w:rPr>
                <w:rFonts w:eastAsia="Calibri"/>
                <w:sz w:val="20"/>
                <w:lang w:val="fr-CA"/>
              </w:rPr>
            </w:pPr>
            <w:r w:rsidRPr="006D673B">
              <w:rPr>
                <w:rFonts w:eastAsia="Calibri"/>
                <w:sz w:val="20"/>
                <w:lang w:val="fr-CA"/>
              </w:rPr>
              <w:t xml:space="preserve">(Juges Sharpe, Gillese et Karakatsanis) </w:t>
            </w:r>
          </w:p>
          <w:p w:rsidR="004030EA" w:rsidRPr="006D673B" w:rsidRDefault="004030EA" w:rsidP="00F71199">
            <w:pPr>
              <w:jc w:val="both"/>
              <w:rPr>
                <w:rFonts w:eastAsia="Calibri"/>
                <w:sz w:val="20"/>
                <w:lang w:val="fr-CA"/>
              </w:rPr>
            </w:pPr>
          </w:p>
        </w:tc>
        <w:tc>
          <w:tcPr>
            <w:tcW w:w="243" w:type="pct"/>
          </w:tcPr>
          <w:p w:rsidR="004030EA" w:rsidRPr="006D673B" w:rsidRDefault="004030EA" w:rsidP="00F71199">
            <w:pPr>
              <w:jc w:val="both"/>
              <w:rPr>
                <w:rFonts w:eastAsia="Calibri"/>
                <w:sz w:val="20"/>
                <w:lang w:val="fr-CA"/>
              </w:rPr>
            </w:pPr>
          </w:p>
        </w:tc>
        <w:tc>
          <w:tcPr>
            <w:tcW w:w="2330" w:type="pct"/>
          </w:tcPr>
          <w:p w:rsidR="004030EA" w:rsidRPr="006D673B" w:rsidRDefault="004030EA" w:rsidP="00F71199">
            <w:pPr>
              <w:jc w:val="both"/>
              <w:rPr>
                <w:rFonts w:eastAsia="Calibri"/>
                <w:sz w:val="20"/>
              </w:rPr>
            </w:pPr>
            <w:r w:rsidRPr="006D673B">
              <w:rPr>
                <w:rFonts w:eastAsia="Calibri"/>
                <w:sz w:val="20"/>
              </w:rPr>
              <w:t xml:space="preserve">Appel rejeté </w:t>
            </w:r>
          </w:p>
        </w:tc>
      </w:tr>
      <w:tr w:rsidR="004030EA" w:rsidRPr="002B68E4" w:rsidTr="00F71199">
        <w:tc>
          <w:tcPr>
            <w:tcW w:w="2427" w:type="pct"/>
          </w:tcPr>
          <w:p w:rsidR="004030EA" w:rsidRPr="006D673B" w:rsidRDefault="004030EA" w:rsidP="00F71199">
            <w:pPr>
              <w:jc w:val="both"/>
              <w:rPr>
                <w:rFonts w:eastAsia="Calibri"/>
                <w:sz w:val="20"/>
              </w:rPr>
            </w:pPr>
            <w:r w:rsidRPr="006D673B">
              <w:rPr>
                <w:rFonts w:eastAsia="Calibri"/>
                <w:sz w:val="20"/>
              </w:rPr>
              <w:t>15 avril 2014</w:t>
            </w:r>
          </w:p>
          <w:p w:rsidR="004030EA" w:rsidRPr="006D673B" w:rsidRDefault="004030EA" w:rsidP="00F71199">
            <w:pPr>
              <w:jc w:val="both"/>
              <w:rPr>
                <w:rFonts w:eastAsia="Calibri"/>
                <w:sz w:val="20"/>
              </w:rPr>
            </w:pPr>
            <w:r w:rsidRPr="006D673B">
              <w:rPr>
                <w:rFonts w:eastAsia="Calibri"/>
                <w:sz w:val="20"/>
                <w:lang w:val="fr-CA"/>
              </w:rPr>
              <w:t>Cour suprême du Canada</w:t>
            </w:r>
          </w:p>
          <w:p w:rsidR="004030EA" w:rsidRPr="006D673B" w:rsidRDefault="004030EA" w:rsidP="00F71199">
            <w:pPr>
              <w:jc w:val="both"/>
              <w:rPr>
                <w:rFonts w:eastAsia="Calibri"/>
                <w:sz w:val="20"/>
              </w:rPr>
            </w:pPr>
          </w:p>
        </w:tc>
        <w:tc>
          <w:tcPr>
            <w:tcW w:w="243" w:type="pct"/>
          </w:tcPr>
          <w:p w:rsidR="004030EA" w:rsidRPr="006D673B" w:rsidRDefault="004030EA" w:rsidP="00F71199">
            <w:pPr>
              <w:jc w:val="both"/>
              <w:rPr>
                <w:rFonts w:eastAsia="Calibri"/>
                <w:sz w:val="20"/>
              </w:rPr>
            </w:pPr>
          </w:p>
        </w:tc>
        <w:tc>
          <w:tcPr>
            <w:tcW w:w="2330" w:type="pct"/>
          </w:tcPr>
          <w:p w:rsidR="004030EA" w:rsidRPr="006D673B" w:rsidRDefault="004030EA" w:rsidP="00F71199">
            <w:pPr>
              <w:jc w:val="both"/>
              <w:rPr>
                <w:rFonts w:eastAsia="Calibri"/>
                <w:sz w:val="20"/>
                <w:lang w:val="fr-CA"/>
              </w:rPr>
            </w:pPr>
            <w:r w:rsidRPr="006D673B">
              <w:rPr>
                <w:rFonts w:eastAsia="Calibri"/>
                <w:sz w:val="20"/>
                <w:lang w:val="fr-CA"/>
              </w:rPr>
              <w:t>Requête en prorogation du délai de signification et de dépôt d’une demande d’autorisation d’appel, et demande d’autorisation d’appel, déposées</w:t>
            </w:r>
          </w:p>
        </w:tc>
      </w:tr>
    </w:tbl>
    <w:p w:rsidR="007426C2" w:rsidRPr="004030EA" w:rsidRDefault="007426C2" w:rsidP="007426C2">
      <w:pPr>
        <w:rPr>
          <w:sz w:val="20"/>
          <w:szCs w:val="20"/>
          <w:lang w:val="fr-CA"/>
        </w:rPr>
      </w:pPr>
    </w:p>
    <w:p w:rsidR="007426C2" w:rsidRDefault="002B68E4" w:rsidP="007426C2">
      <w:pPr>
        <w:rPr>
          <w:sz w:val="20"/>
          <w:szCs w:val="20"/>
        </w:rPr>
      </w:pPr>
      <w:r>
        <w:rPr>
          <w:sz w:val="20"/>
          <w:szCs w:val="20"/>
          <w:lang w:val="fr-CA"/>
        </w:rPr>
        <w:pict>
          <v:rect id="_x0000_i1046"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4704D" w:rsidRPr="00BA3CD9" w:rsidTr="00917C40">
        <w:tc>
          <w:tcPr>
            <w:tcW w:w="1458" w:type="dxa"/>
          </w:tcPr>
          <w:p w:rsidR="0004704D" w:rsidRPr="00BA3CD9" w:rsidRDefault="0004704D" w:rsidP="00247575">
            <w:pPr>
              <w:rPr>
                <w:sz w:val="20"/>
                <w:szCs w:val="20"/>
              </w:rPr>
            </w:pPr>
            <w:r w:rsidRPr="00BA3CD9">
              <w:rPr>
                <w:rStyle w:val="SCCFileNumberChar"/>
                <w:sz w:val="20"/>
                <w:szCs w:val="20"/>
              </w:rPr>
              <w:t>35851</w:t>
            </w:r>
          </w:p>
          <w:p w:rsidR="0004704D" w:rsidRPr="00BA3CD9" w:rsidRDefault="0004704D" w:rsidP="00247575">
            <w:pPr>
              <w:rPr>
                <w:b/>
                <w:sz w:val="20"/>
                <w:szCs w:val="20"/>
                <w:lang w:val="fr-CA"/>
              </w:rPr>
            </w:pPr>
          </w:p>
        </w:tc>
        <w:tc>
          <w:tcPr>
            <w:tcW w:w="8118" w:type="dxa"/>
          </w:tcPr>
          <w:p w:rsidR="0004704D" w:rsidRPr="00BA3CD9" w:rsidRDefault="0004704D" w:rsidP="00247575">
            <w:pPr>
              <w:jc w:val="both"/>
              <w:rPr>
                <w:sz w:val="20"/>
                <w:szCs w:val="20"/>
              </w:rPr>
            </w:pPr>
            <w:r w:rsidRPr="00BA3CD9">
              <w:rPr>
                <w:rStyle w:val="SCCLsocChar"/>
                <w:sz w:val="20"/>
                <w:szCs w:val="20"/>
                <w:lang w:val="en-CA"/>
              </w:rPr>
              <w:t>John Williams v. Minister of Human Resources and Skill Development</w:t>
            </w:r>
            <w:r w:rsidRPr="00BA3CD9">
              <w:rPr>
                <w:sz w:val="20"/>
                <w:szCs w:val="20"/>
              </w:rPr>
              <w:t xml:space="preserve"> (F.C.) (Civil) (By Leave)</w:t>
            </w:r>
          </w:p>
          <w:p w:rsidR="0004704D" w:rsidRPr="00BA3CD9" w:rsidRDefault="0004704D" w:rsidP="00247575">
            <w:pPr>
              <w:jc w:val="both"/>
              <w:rPr>
                <w:sz w:val="20"/>
                <w:szCs w:val="20"/>
              </w:rPr>
            </w:pPr>
          </w:p>
        </w:tc>
      </w:tr>
      <w:tr w:rsidR="0004704D" w:rsidRPr="00BA3CD9" w:rsidTr="00917C40">
        <w:tc>
          <w:tcPr>
            <w:tcW w:w="1458" w:type="dxa"/>
          </w:tcPr>
          <w:p w:rsidR="0004704D" w:rsidRPr="00BA3CD9" w:rsidRDefault="0004704D" w:rsidP="00247575">
            <w:pPr>
              <w:rPr>
                <w:sz w:val="20"/>
                <w:szCs w:val="20"/>
              </w:rPr>
            </w:pPr>
            <w:r w:rsidRPr="00BA3CD9">
              <w:rPr>
                <w:sz w:val="20"/>
                <w:szCs w:val="20"/>
              </w:rPr>
              <w:t>Coram :</w:t>
            </w:r>
          </w:p>
        </w:tc>
        <w:tc>
          <w:tcPr>
            <w:tcW w:w="8118" w:type="dxa"/>
          </w:tcPr>
          <w:p w:rsidR="0004704D" w:rsidRPr="00BA3CD9" w:rsidRDefault="0004704D" w:rsidP="00247575">
            <w:pPr>
              <w:rPr>
                <w:sz w:val="20"/>
                <w:szCs w:val="20"/>
              </w:rPr>
            </w:pPr>
            <w:r w:rsidRPr="00BA3CD9">
              <w:rPr>
                <w:rStyle w:val="SCCCoramChar"/>
                <w:sz w:val="20"/>
                <w:szCs w:val="20"/>
                <w:lang w:val="en-CA"/>
              </w:rPr>
              <w:t>Abella, Rothstein and Moldaver JJ.</w:t>
            </w:r>
          </w:p>
          <w:p w:rsidR="0004704D" w:rsidRPr="00BA3CD9" w:rsidRDefault="0004704D" w:rsidP="00247575">
            <w:pPr>
              <w:rPr>
                <w:sz w:val="20"/>
                <w:szCs w:val="20"/>
                <w:u w:val="single"/>
              </w:rPr>
            </w:pPr>
          </w:p>
        </w:tc>
      </w:tr>
      <w:tr w:rsidR="0004704D" w:rsidRPr="002B68E4" w:rsidTr="00917C40">
        <w:tc>
          <w:tcPr>
            <w:tcW w:w="9576" w:type="dxa"/>
            <w:gridSpan w:val="2"/>
          </w:tcPr>
          <w:p w:rsidR="0004704D" w:rsidRPr="00BA3CD9" w:rsidRDefault="0004704D" w:rsidP="00247575">
            <w:pPr>
              <w:pStyle w:val="SCCShortJudgment"/>
              <w:rPr>
                <w:szCs w:val="20"/>
              </w:rPr>
            </w:pPr>
            <w:r w:rsidRPr="00BA3CD9">
              <w:rPr>
                <w:szCs w:val="20"/>
              </w:rPr>
              <w:t>The motion for an extension of time to serve and file the application for leave to appeal is granted. The application for leave to appeal from the judgment of the Federal Court of Appeal, Number A-537-12, dated August 16, 2013, is dismissed without costs.</w:t>
            </w:r>
          </w:p>
          <w:p w:rsidR="0004704D" w:rsidRPr="00BA3CD9" w:rsidRDefault="0004704D" w:rsidP="00247575">
            <w:pPr>
              <w:pStyle w:val="SCCShortJudgment"/>
              <w:ind w:firstLine="0"/>
              <w:rPr>
                <w:szCs w:val="20"/>
              </w:rPr>
            </w:pPr>
          </w:p>
          <w:p w:rsidR="0004704D" w:rsidRPr="00BA3CD9" w:rsidRDefault="0004704D" w:rsidP="00247575">
            <w:pPr>
              <w:pStyle w:val="SCCShortJudgment"/>
              <w:rPr>
                <w:szCs w:val="20"/>
                <w:lang w:val="fr-CA"/>
              </w:rPr>
            </w:pPr>
            <w:r w:rsidRPr="00BA3CD9">
              <w:rPr>
                <w:szCs w:val="20"/>
                <w:lang w:val="fr-CA"/>
              </w:rPr>
              <w:t xml:space="preserve">La requête en prorogation du délai de signification et de dépôt de la demande d’autorisation d’appel est accueillie. La demande d’autorisation d’appel de l’arrêt de la Cour d’appel fédérale, numéro A-537-12, daté du 16 </w:t>
            </w:r>
            <w:r w:rsidRPr="00BA3CD9">
              <w:rPr>
                <w:szCs w:val="20"/>
                <w:lang w:val="fr-CA"/>
              </w:rPr>
              <w:lastRenderedPageBreak/>
              <w:t>août 2013, est rejetée sans dépens.</w:t>
            </w:r>
          </w:p>
        </w:tc>
      </w:tr>
    </w:tbl>
    <w:p w:rsidR="007426C2" w:rsidRPr="0004704D"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1199" w:rsidRPr="006D673B" w:rsidTr="00F71199">
        <w:tc>
          <w:tcPr>
            <w:tcW w:w="5000" w:type="pct"/>
            <w:gridSpan w:val="3"/>
          </w:tcPr>
          <w:p w:rsidR="00F71199" w:rsidRPr="006D673B" w:rsidRDefault="00F71199" w:rsidP="00F71199">
            <w:pPr>
              <w:jc w:val="both"/>
              <w:rPr>
                <w:rFonts w:eastAsia="Calibri"/>
                <w:sz w:val="20"/>
              </w:rPr>
            </w:pPr>
            <w:r w:rsidRPr="006D673B">
              <w:rPr>
                <w:rFonts w:eastAsia="Calibri"/>
                <w:sz w:val="20"/>
              </w:rPr>
              <w:t>Courts — Procedure — Dismissal for delay — Pensions — Eligibility — The adjudicator for the Minister refused any information from the Applicant’s doctors sent as valid — The safe work environment the adjudicator said the Applicant was in, had abuse and finally embezzlement — Fast track or automatic reinstatement is promised in the rules regarding failed return to work.</w:t>
            </w:r>
          </w:p>
        </w:tc>
      </w:tr>
      <w:tr w:rsidR="00F71199" w:rsidRPr="006D673B" w:rsidTr="00F71199">
        <w:tc>
          <w:tcPr>
            <w:tcW w:w="5000" w:type="pct"/>
            <w:gridSpan w:val="3"/>
          </w:tcPr>
          <w:p w:rsidR="00F71199" w:rsidRPr="006D673B" w:rsidRDefault="00F71199" w:rsidP="00F71199">
            <w:pPr>
              <w:jc w:val="both"/>
              <w:rPr>
                <w:rFonts w:eastAsia="Calibri"/>
                <w:sz w:val="20"/>
              </w:rPr>
            </w:pPr>
          </w:p>
        </w:tc>
      </w:tr>
      <w:tr w:rsidR="00F71199" w:rsidRPr="006D673B" w:rsidTr="00F71199">
        <w:tc>
          <w:tcPr>
            <w:tcW w:w="5000" w:type="pct"/>
            <w:gridSpan w:val="3"/>
          </w:tcPr>
          <w:p w:rsidR="00F71199" w:rsidRPr="006D673B" w:rsidRDefault="00F71199" w:rsidP="00F71199">
            <w:pPr>
              <w:tabs>
                <w:tab w:val="left" w:pos="3720"/>
              </w:tabs>
              <w:jc w:val="both"/>
              <w:rPr>
                <w:rFonts w:eastAsia="Calibri"/>
                <w:sz w:val="20"/>
              </w:rPr>
            </w:pPr>
            <w:r w:rsidRPr="006D673B">
              <w:rPr>
                <w:rFonts w:eastAsia="Calibri"/>
                <w:sz w:val="20"/>
              </w:rPr>
              <w:t>Mr. Williams was granted a CPP disability pension in May 1995.  He has multiple physical and emotional conditions.  In December 2003, partly because he required dental work, he started working in a call centre which granted dental coverage after a three-month waiting period.  He worked at the call centre full-time until August 2004, when he moved to part-time because he was not able to manage full-time hours.  His schedule varied, but he worked 20-30 hours per week.  He explained that “comes home and collapses after work, unable to do anything else”.</w:t>
            </w:r>
          </w:p>
          <w:p w:rsidR="00F71199" w:rsidRPr="006D673B" w:rsidRDefault="00F71199" w:rsidP="00F71199">
            <w:pPr>
              <w:tabs>
                <w:tab w:val="left" w:pos="3720"/>
              </w:tabs>
              <w:jc w:val="both"/>
              <w:rPr>
                <w:rFonts w:eastAsia="Calibri"/>
                <w:sz w:val="20"/>
              </w:rPr>
            </w:pPr>
          </w:p>
          <w:p w:rsidR="00F71199" w:rsidRPr="006D673B" w:rsidRDefault="00F71199" w:rsidP="00F71199">
            <w:pPr>
              <w:jc w:val="both"/>
              <w:rPr>
                <w:rFonts w:eastAsia="Calibri"/>
                <w:sz w:val="20"/>
              </w:rPr>
            </w:pPr>
            <w:r w:rsidRPr="006D673B">
              <w:rPr>
                <w:rFonts w:eastAsia="Calibri"/>
                <w:sz w:val="20"/>
              </w:rPr>
              <w:t>In June 2004, he was informed by letter that, as he had successfully returned to work and had reached the Allowable Earnings benchmark of $3,900 for 2003, his disability benefits would cease at the end of May 2004.  The Reassessment Unit and the Review Tribunal upheld the eligibility decision.  Mr. Williams was granted leave to appeal the Review Tribunal decision to the Pension Appeals Board, which held that, despite his physical limitations and his personality disorder, Mr. Williams “had retained work capacity and was capable of pursuing with consistent frequency a remunerative occupation”.  The Board found that Mr. Williams reported earnings from 2002-2007 were substantial and attested to his work capacity.  Furthermore, the medical evidence did not show that Mr. Williams was disabled as of June 1, 2004, and, from 2005-2007, his employment insurance declarations would have indicated that he was capable of and available for work.  The appeal was dismissed.  Mr. Williams applied for judicial review of the Pension Appeals Board on December 7, 2012.  On July 4, 2013, The Federal Court of Appeal issued a Notice of Status Review because Mr. Williams had not requested a hearing date and was in default of serving and filing his application record.  The Federal Court of Appeal dismissed the application for delay.</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t>August 16, 2013</w:t>
            </w:r>
          </w:p>
          <w:p w:rsidR="00F71199" w:rsidRPr="006D673B" w:rsidRDefault="00F71199" w:rsidP="00F71199">
            <w:pPr>
              <w:jc w:val="both"/>
              <w:rPr>
                <w:rFonts w:eastAsia="Calibri"/>
                <w:sz w:val="20"/>
              </w:rPr>
            </w:pPr>
            <w:r w:rsidRPr="006D673B">
              <w:rPr>
                <w:rFonts w:eastAsia="Calibri"/>
                <w:sz w:val="20"/>
              </w:rPr>
              <w:t>Federal Court of Appeal</w:t>
            </w:r>
          </w:p>
          <w:p w:rsidR="00F71199" w:rsidRPr="006D673B" w:rsidRDefault="00F71199" w:rsidP="00F71199">
            <w:pPr>
              <w:jc w:val="both"/>
              <w:rPr>
                <w:rFonts w:eastAsia="Calibri"/>
                <w:sz w:val="20"/>
              </w:rPr>
            </w:pPr>
            <w:r w:rsidRPr="006D673B">
              <w:rPr>
                <w:rFonts w:eastAsia="Calibri"/>
                <w:sz w:val="20"/>
              </w:rPr>
              <w:t>(Trudel, Mainville, Near JJ.A.)</w:t>
            </w:r>
          </w:p>
          <w:p w:rsidR="00F71199" w:rsidRPr="006D673B" w:rsidRDefault="00F71199" w:rsidP="00F71199">
            <w:pPr>
              <w:jc w:val="both"/>
              <w:rPr>
                <w:rFonts w:eastAsia="Calibri"/>
                <w:sz w:val="20"/>
              </w:rPr>
            </w:pP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Application for judicial review dismissed for delay</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t>November 19, 2013</w:t>
            </w:r>
          </w:p>
          <w:p w:rsidR="00F71199" w:rsidRPr="006D673B" w:rsidRDefault="00F71199" w:rsidP="00F71199">
            <w:pPr>
              <w:jc w:val="both"/>
              <w:rPr>
                <w:rFonts w:eastAsia="Calibri"/>
                <w:sz w:val="20"/>
              </w:rPr>
            </w:pPr>
            <w:r w:rsidRPr="006D673B">
              <w:rPr>
                <w:rFonts w:eastAsia="Calibri"/>
                <w:sz w:val="20"/>
              </w:rPr>
              <w:t>Supreme Court of Canada</w:t>
            </w: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Application for leave to appeal filed</w:t>
            </w: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47"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1199" w:rsidRPr="002B68E4" w:rsidTr="00F71199">
        <w:tc>
          <w:tcPr>
            <w:tcW w:w="5000" w:type="pct"/>
            <w:gridSpan w:val="3"/>
          </w:tcPr>
          <w:p w:rsidR="00F71199" w:rsidRPr="006D673B" w:rsidRDefault="00F71199" w:rsidP="00F71199">
            <w:pPr>
              <w:jc w:val="both"/>
              <w:rPr>
                <w:rFonts w:eastAsia="Calibri"/>
                <w:sz w:val="20"/>
                <w:lang w:val="fr-CA"/>
              </w:rPr>
            </w:pPr>
            <w:r w:rsidRPr="006D673B">
              <w:rPr>
                <w:rFonts w:eastAsia="Calibri"/>
                <w:sz w:val="20"/>
                <w:lang w:val="fr-CA"/>
              </w:rPr>
              <w:t>Tribunaux — Procédure — Rejet pour cause de retard — Pensions — Admissibilité — Refus par l’arbitre agissant au nom du ministre de tous les renseignements envoyés par les médecins du demandeur parce qu’il les considérait non valables — Le milieu de travail jugé sécuritaire par l’arbitre était un lieu de maltraitance et de détournement de fonds au bout du compte — Les règles garantissent une procédure accélérée ou le rétablissement automatique de la pension en cas de retour avorté au travail.</w:t>
            </w:r>
          </w:p>
        </w:tc>
      </w:tr>
      <w:tr w:rsidR="00F71199" w:rsidRPr="002B68E4" w:rsidTr="00F71199">
        <w:tc>
          <w:tcPr>
            <w:tcW w:w="5000" w:type="pct"/>
            <w:gridSpan w:val="3"/>
          </w:tcPr>
          <w:p w:rsidR="00F71199" w:rsidRPr="006D673B" w:rsidRDefault="00F71199" w:rsidP="00F71199">
            <w:pPr>
              <w:jc w:val="both"/>
              <w:rPr>
                <w:rFonts w:eastAsia="Calibri"/>
                <w:sz w:val="20"/>
                <w:lang w:val="fr-CA"/>
              </w:rPr>
            </w:pPr>
          </w:p>
        </w:tc>
      </w:tr>
      <w:tr w:rsidR="00F71199" w:rsidRPr="002B68E4" w:rsidTr="00F71199">
        <w:tc>
          <w:tcPr>
            <w:tcW w:w="5000" w:type="pct"/>
            <w:gridSpan w:val="3"/>
          </w:tcPr>
          <w:p w:rsidR="00F71199" w:rsidRPr="006D673B" w:rsidRDefault="00F71199" w:rsidP="00F71199">
            <w:pPr>
              <w:tabs>
                <w:tab w:val="left" w:pos="3720"/>
              </w:tabs>
              <w:jc w:val="both"/>
              <w:rPr>
                <w:rFonts w:eastAsia="Calibri"/>
                <w:sz w:val="20"/>
                <w:lang w:val="fr-CA"/>
              </w:rPr>
            </w:pPr>
            <w:r w:rsidRPr="006D673B">
              <w:rPr>
                <w:rFonts w:eastAsia="Calibri"/>
                <w:sz w:val="20"/>
                <w:lang w:val="fr-CA"/>
              </w:rPr>
              <w:t xml:space="preserve">M. Williams s’est vu accorder une pension d’invalidité du RPC en mai 1995.  Il souffrait de nombreux problèmes physiques et psychologiques.  En décembre 2003, entre autres parce qu’il avait besoin de soins dentaires, il a commencé à travailler dans un centre d’appels qui offrait une assurance dentaire après une période d’attente de trois mois. Il a travaillé au centre d’appels à temps plein jusqu’en août 2004.  Il s’est alors mis à travailler à temps partiel parce que le travail à temps plein l’épuisait trop.  Son horaire variait, mais il travaillait entre 20 et 30 heures par </w:t>
            </w:r>
            <w:r w:rsidRPr="006D673B">
              <w:rPr>
                <w:rFonts w:eastAsia="Calibri"/>
                <w:sz w:val="20"/>
                <w:lang w:val="fr-CA"/>
              </w:rPr>
              <w:lastRenderedPageBreak/>
              <w:t xml:space="preserve">semaine.  M. Williams a expliqué qu’il « rentre chez lui du travail et s’effondre, incapable de faire quoi que ce soit d’autre ». </w:t>
            </w:r>
          </w:p>
          <w:p w:rsidR="00F71199" w:rsidRPr="006D673B" w:rsidRDefault="00F71199" w:rsidP="00F71199">
            <w:pPr>
              <w:tabs>
                <w:tab w:val="left" w:pos="3720"/>
              </w:tabs>
              <w:jc w:val="both"/>
              <w:rPr>
                <w:rFonts w:eastAsia="Calibri"/>
                <w:sz w:val="20"/>
                <w:lang w:val="fr-CA"/>
              </w:rPr>
            </w:pPr>
          </w:p>
          <w:p w:rsidR="00F71199" w:rsidRPr="006D673B" w:rsidRDefault="00F71199" w:rsidP="00F71199">
            <w:pPr>
              <w:jc w:val="both"/>
              <w:rPr>
                <w:rFonts w:eastAsia="Calibri"/>
                <w:sz w:val="20"/>
                <w:lang w:val="fr-CA"/>
              </w:rPr>
            </w:pPr>
            <w:r w:rsidRPr="006D673B">
              <w:rPr>
                <w:rFonts w:eastAsia="Calibri"/>
                <w:sz w:val="20"/>
                <w:lang w:val="fr-CA"/>
              </w:rPr>
              <w:t>En juin 2004, M. Williams a reçu une lettre l’avisant que, puisqu’il était parvenu à retourner au travail et avait touché la rémunération admissible maximale de 3 900 $ pour 2003, il cesserait de recevoir ses prestations d’invalidité à la fin mai 2004.  Le service de réexamen et le tribunal d’appel ont confirmé la décision relative à l’admissibilité.  M. Williams a reçu l’autorisation de faire appel à la Commission d’appel des pensions, qui a conclu qu’en dépit de ses difficultés physiques et de son trouble de personnalité, M. Williams « était demeuré apte au travail et pouvait occuper constamment un emploi rémunéré ».  D’après la Commission, la rémunération déclarée par M. Williams de 2002 à 2007 était substantielle et attestait son aptitude au travail. De plus, la preuve médicale ne révélait pas que M. Williams était invalide le 1</w:t>
            </w:r>
            <w:r w:rsidRPr="006D673B">
              <w:rPr>
                <w:rFonts w:eastAsia="Calibri"/>
                <w:sz w:val="20"/>
                <w:vertAlign w:val="superscript"/>
                <w:lang w:val="fr-CA"/>
              </w:rPr>
              <w:t>er</w:t>
            </w:r>
            <w:r w:rsidRPr="006D673B">
              <w:rPr>
                <w:rFonts w:eastAsia="Calibri"/>
                <w:sz w:val="20"/>
                <w:lang w:val="fr-CA"/>
              </w:rPr>
              <w:t> juin 2004, et ses déclarations d’assurance-emploi de 2005 à 2007 indiqueraient qu’il était apte à travailler et disponible pour le faire. L’appel a été rejeté.  M. Williams a demandé le contrôle judiciaire de la décision de la Commission d’appel des pensions le 7 décembre 2012.  Le 4 juillet 2013, la Cour d’appel fédérale a délivré un avis d’examen de l’état de l’instance parce que M. Williams n’avait pas demandé une date d’audience et n’avait pas signifié ni déposé son dossier de demande dans le délai imparti.  La Cour d’appel fédérale a rejeté la demande pour cause de retard.</w:t>
            </w:r>
          </w:p>
          <w:p w:rsidR="00F71199" w:rsidRPr="006D673B" w:rsidRDefault="00F71199" w:rsidP="00F71199">
            <w:pPr>
              <w:jc w:val="both"/>
              <w:rPr>
                <w:rFonts w:eastAsia="Calibri"/>
                <w:sz w:val="20"/>
                <w:lang w:val="fr-CA"/>
              </w:rPr>
            </w:pPr>
          </w:p>
        </w:tc>
      </w:tr>
      <w:tr w:rsidR="00F71199" w:rsidRPr="002B68E4" w:rsidTr="00F71199">
        <w:tc>
          <w:tcPr>
            <w:tcW w:w="2427" w:type="pct"/>
          </w:tcPr>
          <w:p w:rsidR="00F71199" w:rsidRPr="006D673B" w:rsidRDefault="00F71199" w:rsidP="00F71199">
            <w:pPr>
              <w:jc w:val="both"/>
              <w:rPr>
                <w:rFonts w:eastAsia="Calibri"/>
                <w:sz w:val="20"/>
                <w:lang w:val="fr-CA"/>
              </w:rPr>
            </w:pPr>
            <w:r w:rsidRPr="006D673B">
              <w:rPr>
                <w:rFonts w:eastAsia="Calibri"/>
                <w:sz w:val="20"/>
                <w:lang w:val="fr-CA"/>
              </w:rPr>
              <w:lastRenderedPageBreak/>
              <w:t>16 août 2013</w:t>
            </w:r>
          </w:p>
          <w:p w:rsidR="00F71199" w:rsidRPr="006D673B" w:rsidRDefault="00F71199" w:rsidP="00F71199">
            <w:pPr>
              <w:jc w:val="both"/>
              <w:rPr>
                <w:rFonts w:eastAsia="Calibri"/>
                <w:sz w:val="20"/>
                <w:lang w:val="fr-CA"/>
              </w:rPr>
            </w:pPr>
            <w:r w:rsidRPr="006D673B">
              <w:rPr>
                <w:rFonts w:eastAsia="Calibri"/>
                <w:sz w:val="20"/>
                <w:lang w:val="fr-CA"/>
              </w:rPr>
              <w:t>Cour d’appel fédérale</w:t>
            </w:r>
          </w:p>
          <w:p w:rsidR="00F71199" w:rsidRPr="006D673B" w:rsidRDefault="00F71199" w:rsidP="00F71199">
            <w:pPr>
              <w:jc w:val="both"/>
              <w:rPr>
                <w:rFonts w:eastAsia="Calibri"/>
                <w:sz w:val="20"/>
                <w:lang w:val="fr-CA"/>
              </w:rPr>
            </w:pPr>
            <w:r w:rsidRPr="006D673B">
              <w:rPr>
                <w:rFonts w:eastAsia="Calibri"/>
                <w:sz w:val="20"/>
                <w:lang w:val="fr-CA"/>
              </w:rPr>
              <w:t>(Juges Trudel, Mainville et Near)</w:t>
            </w:r>
          </w:p>
          <w:p w:rsidR="00F71199" w:rsidRPr="006D673B" w:rsidRDefault="00F71199" w:rsidP="00F71199">
            <w:pPr>
              <w:jc w:val="both"/>
              <w:rPr>
                <w:rFonts w:eastAsia="Calibri"/>
                <w:sz w:val="20"/>
                <w:lang w:val="fr-CA"/>
              </w:rPr>
            </w:pPr>
          </w:p>
        </w:tc>
        <w:tc>
          <w:tcPr>
            <w:tcW w:w="243" w:type="pct"/>
          </w:tcPr>
          <w:p w:rsidR="00F71199" w:rsidRPr="006D673B" w:rsidRDefault="00F71199" w:rsidP="00F71199">
            <w:pPr>
              <w:jc w:val="both"/>
              <w:rPr>
                <w:rFonts w:eastAsia="Calibri"/>
                <w:sz w:val="20"/>
                <w:lang w:val="fr-CA"/>
              </w:rPr>
            </w:pPr>
          </w:p>
        </w:tc>
        <w:tc>
          <w:tcPr>
            <w:tcW w:w="2330" w:type="pct"/>
          </w:tcPr>
          <w:p w:rsidR="00F71199" w:rsidRPr="006D673B" w:rsidRDefault="00F71199" w:rsidP="00F71199">
            <w:pPr>
              <w:jc w:val="both"/>
              <w:rPr>
                <w:rFonts w:eastAsia="Calibri"/>
                <w:sz w:val="20"/>
                <w:lang w:val="fr-CA"/>
              </w:rPr>
            </w:pPr>
            <w:r w:rsidRPr="006D673B">
              <w:rPr>
                <w:rFonts w:eastAsia="Calibri"/>
                <w:sz w:val="20"/>
                <w:lang w:val="fr-CA"/>
              </w:rPr>
              <w:t>Demande de contrôle judiciaire rejetée pour cause de retard</w:t>
            </w:r>
          </w:p>
          <w:p w:rsidR="00F71199" w:rsidRPr="006D673B" w:rsidRDefault="00F71199" w:rsidP="00F71199">
            <w:pPr>
              <w:jc w:val="both"/>
              <w:rPr>
                <w:rFonts w:eastAsia="Calibri"/>
                <w:sz w:val="20"/>
                <w:lang w:val="fr-CA"/>
              </w:rPr>
            </w:pPr>
          </w:p>
        </w:tc>
      </w:tr>
      <w:tr w:rsidR="00F71199" w:rsidRPr="006D673B" w:rsidTr="00F71199">
        <w:tc>
          <w:tcPr>
            <w:tcW w:w="2427" w:type="pct"/>
          </w:tcPr>
          <w:p w:rsidR="00F71199" w:rsidRPr="006D673B" w:rsidRDefault="00F71199" w:rsidP="00F71199">
            <w:pPr>
              <w:jc w:val="both"/>
              <w:rPr>
                <w:rFonts w:eastAsia="Calibri"/>
                <w:sz w:val="20"/>
                <w:lang w:val="fr-CA"/>
              </w:rPr>
            </w:pPr>
            <w:r w:rsidRPr="006D673B">
              <w:rPr>
                <w:rFonts w:eastAsia="Calibri"/>
                <w:sz w:val="20"/>
                <w:lang w:val="fr-CA"/>
              </w:rPr>
              <w:t>19 novembre 2013</w:t>
            </w:r>
          </w:p>
          <w:p w:rsidR="00F71199" w:rsidRPr="006D673B" w:rsidRDefault="00F71199" w:rsidP="00F71199">
            <w:pPr>
              <w:jc w:val="both"/>
              <w:rPr>
                <w:rFonts w:eastAsia="Calibri"/>
                <w:sz w:val="20"/>
                <w:lang w:val="fr-CA"/>
              </w:rPr>
            </w:pPr>
            <w:r w:rsidRPr="006D673B">
              <w:rPr>
                <w:rFonts w:eastAsia="Calibri"/>
                <w:sz w:val="20"/>
                <w:lang w:val="fr-CA"/>
              </w:rPr>
              <w:t>Cour suprême du Canada</w:t>
            </w:r>
          </w:p>
        </w:tc>
        <w:tc>
          <w:tcPr>
            <w:tcW w:w="243" w:type="pct"/>
          </w:tcPr>
          <w:p w:rsidR="00F71199" w:rsidRPr="006D673B" w:rsidRDefault="00F71199" w:rsidP="00F71199">
            <w:pPr>
              <w:jc w:val="both"/>
              <w:rPr>
                <w:rFonts w:eastAsia="Calibri"/>
                <w:sz w:val="20"/>
                <w:lang w:val="fr-CA"/>
              </w:rPr>
            </w:pPr>
          </w:p>
        </w:tc>
        <w:tc>
          <w:tcPr>
            <w:tcW w:w="2330" w:type="pct"/>
          </w:tcPr>
          <w:p w:rsidR="00F71199" w:rsidRPr="006D673B" w:rsidRDefault="00F71199" w:rsidP="00F71199">
            <w:pPr>
              <w:jc w:val="both"/>
              <w:rPr>
                <w:rFonts w:eastAsia="Calibri"/>
                <w:sz w:val="20"/>
              </w:rPr>
            </w:pPr>
            <w:r w:rsidRPr="006D673B">
              <w:rPr>
                <w:rFonts w:eastAsia="Calibri"/>
                <w:sz w:val="20"/>
                <w:lang w:val="fr-CA"/>
              </w:rPr>
              <w:t>Demande d’autorisation d’appel déposée</w:t>
            </w:r>
          </w:p>
        </w:tc>
      </w:tr>
    </w:tbl>
    <w:p w:rsidR="007426C2" w:rsidRDefault="007426C2" w:rsidP="007426C2">
      <w:pPr>
        <w:rPr>
          <w:sz w:val="20"/>
          <w:szCs w:val="20"/>
        </w:rPr>
      </w:pPr>
    </w:p>
    <w:p w:rsidR="007426C2" w:rsidRDefault="002B68E4" w:rsidP="007426C2">
      <w:pPr>
        <w:rPr>
          <w:sz w:val="20"/>
          <w:szCs w:val="20"/>
        </w:rPr>
      </w:pPr>
      <w:r>
        <w:rPr>
          <w:sz w:val="20"/>
          <w:szCs w:val="20"/>
          <w:lang w:val="fr-CA"/>
        </w:rPr>
        <w:pict>
          <v:rect id="_x0000_i1048"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B0C97" w:rsidRPr="00CC3BA9" w:rsidTr="00247575">
        <w:trPr>
          <w:cantSplit/>
        </w:trPr>
        <w:tc>
          <w:tcPr>
            <w:tcW w:w="1458" w:type="dxa"/>
          </w:tcPr>
          <w:p w:rsidR="00DB0C97" w:rsidRPr="00CC3BA9" w:rsidRDefault="00DB0C97" w:rsidP="00247575">
            <w:pPr>
              <w:rPr>
                <w:sz w:val="20"/>
                <w:szCs w:val="20"/>
              </w:rPr>
            </w:pPr>
            <w:r w:rsidRPr="00CC3BA9">
              <w:rPr>
                <w:rStyle w:val="SCCFileNumberChar"/>
                <w:sz w:val="20"/>
                <w:szCs w:val="20"/>
              </w:rPr>
              <w:t>35862</w:t>
            </w:r>
          </w:p>
          <w:p w:rsidR="00DB0C97" w:rsidRPr="00CC3BA9" w:rsidRDefault="00DB0C97" w:rsidP="00247575">
            <w:pPr>
              <w:rPr>
                <w:b/>
                <w:sz w:val="20"/>
                <w:szCs w:val="20"/>
                <w:lang w:val="fr-CA"/>
              </w:rPr>
            </w:pPr>
          </w:p>
        </w:tc>
        <w:tc>
          <w:tcPr>
            <w:tcW w:w="8118" w:type="dxa"/>
          </w:tcPr>
          <w:p w:rsidR="00DB0C97" w:rsidRPr="00CC3BA9" w:rsidRDefault="00DB0C97" w:rsidP="00247575">
            <w:pPr>
              <w:rPr>
                <w:sz w:val="20"/>
                <w:szCs w:val="20"/>
              </w:rPr>
            </w:pPr>
            <w:r w:rsidRPr="00CC3BA9">
              <w:rPr>
                <w:rStyle w:val="SCCLsocChar"/>
                <w:sz w:val="20"/>
                <w:szCs w:val="20"/>
                <w:lang w:val="en-CA"/>
              </w:rPr>
              <w:t>Grant Anthony Goleski v. Her Majesty the Queen</w:t>
            </w:r>
            <w:r w:rsidRPr="00CC3BA9">
              <w:rPr>
                <w:sz w:val="20"/>
                <w:szCs w:val="20"/>
              </w:rPr>
              <w:t xml:space="preserve"> (B.C.) (Criminal) (By Leave)</w:t>
            </w:r>
          </w:p>
          <w:p w:rsidR="00DB0C97" w:rsidRPr="00CC3BA9" w:rsidRDefault="00DB0C97" w:rsidP="00247575">
            <w:pPr>
              <w:rPr>
                <w:sz w:val="20"/>
                <w:szCs w:val="20"/>
              </w:rPr>
            </w:pPr>
          </w:p>
        </w:tc>
      </w:tr>
      <w:tr w:rsidR="00DB0C97" w:rsidRPr="00CC3BA9" w:rsidTr="00247575">
        <w:trPr>
          <w:cantSplit/>
        </w:trPr>
        <w:tc>
          <w:tcPr>
            <w:tcW w:w="1458" w:type="dxa"/>
          </w:tcPr>
          <w:p w:rsidR="00DB0C97" w:rsidRPr="00CC3BA9" w:rsidRDefault="00DB0C97" w:rsidP="00247575">
            <w:pPr>
              <w:rPr>
                <w:sz w:val="20"/>
                <w:szCs w:val="20"/>
              </w:rPr>
            </w:pPr>
            <w:r w:rsidRPr="00CC3BA9">
              <w:rPr>
                <w:sz w:val="20"/>
                <w:szCs w:val="20"/>
              </w:rPr>
              <w:t>Coram :</w:t>
            </w:r>
          </w:p>
        </w:tc>
        <w:tc>
          <w:tcPr>
            <w:tcW w:w="8118" w:type="dxa"/>
          </w:tcPr>
          <w:p w:rsidR="00DB0C97" w:rsidRPr="00CC3BA9" w:rsidRDefault="00DB0C97" w:rsidP="00247575">
            <w:pPr>
              <w:rPr>
                <w:sz w:val="20"/>
                <w:szCs w:val="20"/>
              </w:rPr>
            </w:pPr>
            <w:r w:rsidRPr="00CC3BA9">
              <w:rPr>
                <w:rStyle w:val="SCCCoramChar"/>
                <w:sz w:val="20"/>
                <w:szCs w:val="20"/>
                <w:lang w:val="en-CA"/>
              </w:rPr>
              <w:t>McLachlin C.J. and Cromwell and Wagner JJ.</w:t>
            </w:r>
          </w:p>
          <w:p w:rsidR="00DB0C97" w:rsidRPr="00CC3BA9" w:rsidRDefault="00DB0C97" w:rsidP="00247575">
            <w:pPr>
              <w:rPr>
                <w:sz w:val="20"/>
                <w:szCs w:val="20"/>
                <w:u w:val="single"/>
              </w:rPr>
            </w:pPr>
          </w:p>
        </w:tc>
      </w:tr>
      <w:tr w:rsidR="00DB0C97" w:rsidRPr="002B68E4" w:rsidTr="00247575">
        <w:trPr>
          <w:cantSplit/>
        </w:trPr>
        <w:tc>
          <w:tcPr>
            <w:tcW w:w="9576" w:type="dxa"/>
            <w:gridSpan w:val="2"/>
          </w:tcPr>
          <w:p w:rsidR="00DB0C97" w:rsidRPr="00CC3BA9" w:rsidRDefault="00DB0C97" w:rsidP="00247575">
            <w:pPr>
              <w:pStyle w:val="SCCShortJudgment"/>
              <w:rPr>
                <w:szCs w:val="20"/>
              </w:rPr>
            </w:pPr>
            <w:r w:rsidRPr="00CC3BA9">
              <w:rPr>
                <w:szCs w:val="20"/>
              </w:rPr>
              <w:t>The application for leave to appeal from the judgment of the Court of Appeal for British Columbia (Vancouver), Number  CA039155, 2014 BCCA 80, dated March 3, 2014, is granted without costs.</w:t>
            </w:r>
          </w:p>
          <w:p w:rsidR="00DB0C97" w:rsidRPr="00CC3BA9" w:rsidRDefault="00DB0C97" w:rsidP="00247575">
            <w:pPr>
              <w:pStyle w:val="SCCShortJudgment"/>
              <w:ind w:firstLine="0"/>
              <w:rPr>
                <w:szCs w:val="20"/>
              </w:rPr>
            </w:pPr>
          </w:p>
          <w:p w:rsidR="00DB0C97" w:rsidRPr="00CC3BA9" w:rsidRDefault="00DB0C97" w:rsidP="00247575">
            <w:pPr>
              <w:pStyle w:val="SCCShortJudgment"/>
              <w:rPr>
                <w:szCs w:val="20"/>
                <w:lang w:val="fr-CA"/>
              </w:rPr>
            </w:pPr>
            <w:r w:rsidRPr="00CC3BA9">
              <w:rPr>
                <w:szCs w:val="20"/>
                <w:lang w:val="fr-CA"/>
              </w:rPr>
              <w:t>La demande d’autorisation d’appel de l’arrêt de la Cour d’appel de la Colombie-Britannique (Vancouver), numéro  CA039155, 2014 BCCA 80, daté du 3 mars 2014, est accueillie sans dépens.</w:t>
            </w:r>
          </w:p>
        </w:tc>
      </w:tr>
    </w:tbl>
    <w:p w:rsidR="007426C2" w:rsidRPr="00DB0C97"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1199" w:rsidRPr="006D673B" w:rsidTr="00F71199">
        <w:tc>
          <w:tcPr>
            <w:tcW w:w="5000" w:type="pct"/>
            <w:gridSpan w:val="3"/>
          </w:tcPr>
          <w:p w:rsidR="00F71199" w:rsidRPr="006D673B" w:rsidRDefault="00F71199" w:rsidP="00F71199">
            <w:pPr>
              <w:jc w:val="both"/>
              <w:rPr>
                <w:rFonts w:eastAsia="Calibri"/>
                <w:smallCaps/>
                <w:sz w:val="20"/>
              </w:rPr>
            </w:pPr>
            <w:r w:rsidRPr="006D673B">
              <w:rPr>
                <w:rFonts w:eastAsia="Calibri"/>
                <w:sz w:val="20"/>
              </w:rPr>
              <w:t xml:space="preserve">Criminal law — Offences — Motor vehicles — Failing or refusing to provide breath sample — What is burden of proof applicable to demonstration of “reasonable excuse” to refuse to provide breath sample? — Whether Court of Appeal erred in holding that accused bears persuasive burden of proving “reasonable excuse” for failing to provide breath sample? — </w:t>
            </w:r>
            <w:r w:rsidRPr="006D673B">
              <w:rPr>
                <w:rFonts w:eastAsia="Calibri"/>
                <w:i/>
                <w:sz w:val="20"/>
              </w:rPr>
              <w:t>Criminal Code</w:t>
            </w:r>
            <w:r w:rsidRPr="006D673B">
              <w:rPr>
                <w:rFonts w:eastAsia="Calibri"/>
                <w:sz w:val="20"/>
              </w:rPr>
              <w:t>, R.C.S. 1985, c. C-46, ss. 254(4) and 794(2).</w:t>
            </w:r>
          </w:p>
        </w:tc>
      </w:tr>
      <w:tr w:rsidR="00F71199" w:rsidRPr="006D673B" w:rsidTr="00F71199">
        <w:tc>
          <w:tcPr>
            <w:tcW w:w="5000" w:type="pct"/>
            <w:gridSpan w:val="3"/>
          </w:tcPr>
          <w:p w:rsidR="00F71199" w:rsidRPr="006D673B" w:rsidRDefault="00F71199" w:rsidP="00F71199">
            <w:pPr>
              <w:jc w:val="both"/>
              <w:rPr>
                <w:rFonts w:eastAsia="Calibri"/>
                <w:sz w:val="20"/>
              </w:rPr>
            </w:pPr>
          </w:p>
        </w:tc>
      </w:tr>
      <w:tr w:rsidR="00F71199" w:rsidRPr="006D673B" w:rsidTr="00F71199">
        <w:tc>
          <w:tcPr>
            <w:tcW w:w="5000" w:type="pct"/>
            <w:gridSpan w:val="3"/>
          </w:tcPr>
          <w:p w:rsidR="00F71199" w:rsidRPr="006D673B" w:rsidRDefault="00F71199" w:rsidP="00F71199">
            <w:pPr>
              <w:jc w:val="both"/>
              <w:rPr>
                <w:rFonts w:eastAsia="Calibri"/>
                <w:sz w:val="20"/>
              </w:rPr>
            </w:pPr>
            <w:r w:rsidRPr="006D673B">
              <w:rPr>
                <w:rFonts w:eastAsia="Calibri"/>
                <w:sz w:val="20"/>
              </w:rPr>
              <w:t>In 2006, the applicant was pulled over by police.  When he was pulled over, the applicant was informed that he was being stopped for failing to obey two stop signs.  Having detected the odour of alcohol on the applicant’s breath, the police officer demanded that the applicant give a roadside breath sample into an approved screening device.  Based on the result of that roadside sample, the police officer made a demand that the applicant accompany him to the local detachment in order to provide breath samples into an approved instrument.  When the applicant was transported to the detachment and asked to provide samples, he stated that he would not comply.</w:t>
            </w:r>
          </w:p>
          <w:p w:rsidR="00F71199" w:rsidRPr="006D673B" w:rsidRDefault="00F71199" w:rsidP="00F71199">
            <w:pPr>
              <w:jc w:val="both"/>
              <w:rPr>
                <w:rFonts w:eastAsia="Calibri"/>
                <w:sz w:val="20"/>
              </w:rPr>
            </w:pPr>
          </w:p>
          <w:p w:rsidR="00F71199" w:rsidRPr="006D673B" w:rsidRDefault="00F71199" w:rsidP="00F71199">
            <w:pPr>
              <w:jc w:val="both"/>
              <w:rPr>
                <w:rFonts w:eastAsia="Calibri"/>
                <w:sz w:val="20"/>
              </w:rPr>
            </w:pPr>
            <w:r w:rsidRPr="006D673B">
              <w:rPr>
                <w:rFonts w:eastAsia="Calibri"/>
                <w:sz w:val="20"/>
              </w:rPr>
              <w:lastRenderedPageBreak/>
              <w:t>At trial, the applicant testified that he had come to a complete stop at each of the two stop signs.  His testimony on this issue was supported by the evidence of a passenger who had been in his vehicle at the time.  According to the applicant’s testimony, he believed that the police officer was lying when he testified that the applicant had failed to obey the stop signs and felt that he was being treated unfairly.  The applicant testified that he did not believe that the police officer would prepare his report of the breath sample honestly and that it was this suspicion that led him to refuse to provide the breath sample at the detachment.</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lastRenderedPageBreak/>
              <w:t>January 23, 2008</w:t>
            </w:r>
          </w:p>
          <w:p w:rsidR="00F71199" w:rsidRPr="006D673B" w:rsidRDefault="00F71199" w:rsidP="00F71199">
            <w:pPr>
              <w:jc w:val="both"/>
              <w:rPr>
                <w:rFonts w:eastAsia="Calibri"/>
                <w:sz w:val="20"/>
              </w:rPr>
            </w:pPr>
            <w:r w:rsidRPr="006D673B">
              <w:rPr>
                <w:rFonts w:eastAsia="Calibri"/>
                <w:sz w:val="20"/>
              </w:rPr>
              <w:t>Provincial Court of British Columbia</w:t>
            </w:r>
          </w:p>
          <w:p w:rsidR="00F71199" w:rsidRPr="006D673B" w:rsidRDefault="00F71199" w:rsidP="00F71199">
            <w:pPr>
              <w:jc w:val="both"/>
              <w:rPr>
                <w:rFonts w:eastAsia="Calibri"/>
                <w:sz w:val="20"/>
              </w:rPr>
            </w:pPr>
            <w:r w:rsidRPr="006D673B">
              <w:rPr>
                <w:rFonts w:eastAsia="Calibri"/>
                <w:sz w:val="20"/>
              </w:rPr>
              <w:t>(Bayliff J.)</w:t>
            </w:r>
          </w:p>
          <w:p w:rsidR="00F71199" w:rsidRPr="006D673B" w:rsidRDefault="00F71199" w:rsidP="00F71199">
            <w:pPr>
              <w:jc w:val="both"/>
              <w:rPr>
                <w:rFonts w:eastAsia="Calibri"/>
                <w:sz w:val="20"/>
              </w:rPr>
            </w:pPr>
            <w:r w:rsidRPr="006D673B">
              <w:rPr>
                <w:rFonts w:eastAsia="Calibri"/>
                <w:sz w:val="20"/>
              </w:rPr>
              <w:t>Court File No. 27224</w:t>
            </w:r>
          </w:p>
          <w:p w:rsidR="00F71199" w:rsidRPr="006D673B" w:rsidRDefault="00F71199" w:rsidP="00F71199">
            <w:pPr>
              <w:jc w:val="both"/>
              <w:rPr>
                <w:rFonts w:eastAsia="Calibri"/>
                <w:sz w:val="20"/>
              </w:rPr>
            </w:pP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 xml:space="preserve">Applicant convicted of failing to comply with a demand to provide breath samples pursuant to s. 254(5) of the </w:t>
            </w:r>
            <w:r w:rsidRPr="006D673B">
              <w:rPr>
                <w:rFonts w:eastAsia="Calibri"/>
                <w:i/>
                <w:sz w:val="20"/>
              </w:rPr>
              <w:t>Criminal Code</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t>July 7, 2011</w:t>
            </w:r>
          </w:p>
          <w:p w:rsidR="00F71199" w:rsidRPr="006D673B" w:rsidRDefault="00F71199" w:rsidP="00F71199">
            <w:pPr>
              <w:jc w:val="both"/>
              <w:rPr>
                <w:rFonts w:eastAsia="Calibri"/>
                <w:sz w:val="20"/>
              </w:rPr>
            </w:pPr>
            <w:r w:rsidRPr="006D673B">
              <w:rPr>
                <w:rFonts w:eastAsia="Calibri"/>
                <w:sz w:val="20"/>
              </w:rPr>
              <w:t>Supreme Court of British Columbia</w:t>
            </w:r>
          </w:p>
          <w:p w:rsidR="00F71199" w:rsidRPr="006D673B" w:rsidRDefault="00F71199" w:rsidP="00F71199">
            <w:pPr>
              <w:jc w:val="both"/>
              <w:rPr>
                <w:rFonts w:eastAsia="Calibri"/>
                <w:sz w:val="20"/>
              </w:rPr>
            </w:pPr>
            <w:r w:rsidRPr="006D673B">
              <w:rPr>
                <w:rFonts w:eastAsia="Calibri"/>
                <w:sz w:val="20"/>
              </w:rPr>
              <w:t>(Leask J.)</w:t>
            </w:r>
          </w:p>
          <w:p w:rsidR="00F71199" w:rsidRPr="006D673B" w:rsidRDefault="002B68E4" w:rsidP="00F71199">
            <w:pPr>
              <w:jc w:val="both"/>
              <w:rPr>
                <w:rFonts w:eastAsia="Calibri"/>
                <w:sz w:val="20"/>
              </w:rPr>
            </w:pPr>
            <w:hyperlink r:id="rId43" w:history="1">
              <w:r w:rsidR="00F71199" w:rsidRPr="006D673B">
                <w:rPr>
                  <w:rFonts w:eastAsia="Calibri"/>
                  <w:color w:val="0000FF"/>
                  <w:sz w:val="20"/>
                  <w:u w:val="single"/>
                </w:rPr>
                <w:t>2011 BCSC 911</w:t>
              </w:r>
            </w:hyperlink>
          </w:p>
          <w:p w:rsidR="00F71199" w:rsidRPr="006D673B" w:rsidRDefault="00F71199" w:rsidP="00F71199">
            <w:pPr>
              <w:jc w:val="both"/>
              <w:rPr>
                <w:rFonts w:eastAsia="Calibri"/>
                <w:sz w:val="20"/>
              </w:rPr>
            </w:pP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Summary conviction appeal allowed; verdict of acquittal entered</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t>March 3, 2014</w:t>
            </w:r>
          </w:p>
          <w:p w:rsidR="00F71199" w:rsidRPr="006D673B" w:rsidRDefault="00F71199" w:rsidP="00F71199">
            <w:pPr>
              <w:jc w:val="both"/>
              <w:rPr>
                <w:rFonts w:eastAsia="Calibri"/>
                <w:sz w:val="20"/>
              </w:rPr>
            </w:pPr>
            <w:r w:rsidRPr="006D673B">
              <w:rPr>
                <w:rFonts w:eastAsia="Calibri"/>
                <w:sz w:val="20"/>
              </w:rPr>
              <w:t xml:space="preserve">Court of Appeal for British Columbia </w:t>
            </w:r>
          </w:p>
          <w:p w:rsidR="00F71199" w:rsidRPr="006D673B" w:rsidRDefault="00F71199" w:rsidP="00F71199">
            <w:pPr>
              <w:jc w:val="both"/>
              <w:rPr>
                <w:rFonts w:eastAsia="Calibri"/>
                <w:sz w:val="20"/>
              </w:rPr>
            </w:pPr>
            <w:r w:rsidRPr="006D673B">
              <w:rPr>
                <w:rFonts w:eastAsia="Calibri"/>
                <w:sz w:val="20"/>
              </w:rPr>
              <w:t>(Vancouver)</w:t>
            </w:r>
          </w:p>
          <w:p w:rsidR="00F71199" w:rsidRPr="006D673B" w:rsidRDefault="00F71199" w:rsidP="00F71199">
            <w:pPr>
              <w:jc w:val="both"/>
              <w:rPr>
                <w:rFonts w:eastAsia="Calibri"/>
                <w:sz w:val="20"/>
              </w:rPr>
            </w:pPr>
            <w:r w:rsidRPr="006D673B">
              <w:rPr>
                <w:rFonts w:eastAsia="Calibri"/>
                <w:sz w:val="20"/>
              </w:rPr>
              <w:t>(Newbury, Frankel and Garson JJ.A.)</w:t>
            </w:r>
          </w:p>
          <w:p w:rsidR="00F71199" w:rsidRPr="006D673B" w:rsidRDefault="002B68E4" w:rsidP="00F71199">
            <w:pPr>
              <w:jc w:val="both"/>
              <w:rPr>
                <w:rFonts w:eastAsia="Calibri"/>
                <w:sz w:val="20"/>
              </w:rPr>
            </w:pPr>
            <w:hyperlink r:id="rId44" w:history="1">
              <w:r w:rsidR="00F71199" w:rsidRPr="006D673B">
                <w:rPr>
                  <w:rFonts w:eastAsia="Calibri"/>
                  <w:color w:val="0000FF"/>
                  <w:sz w:val="20"/>
                  <w:u w:val="single"/>
                </w:rPr>
                <w:t>2014 BCCA 80</w:t>
              </w:r>
            </w:hyperlink>
            <w:r w:rsidR="00F71199" w:rsidRPr="006D673B">
              <w:rPr>
                <w:rFonts w:eastAsia="Calibri"/>
                <w:sz w:val="20"/>
              </w:rPr>
              <w:t>;  CA039155</w:t>
            </w:r>
          </w:p>
          <w:p w:rsidR="00F71199" w:rsidRPr="006D673B" w:rsidRDefault="00F71199" w:rsidP="00F71199">
            <w:pPr>
              <w:jc w:val="both"/>
              <w:rPr>
                <w:rFonts w:eastAsia="Calibri"/>
                <w:sz w:val="20"/>
              </w:rPr>
            </w:pP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Appeal allowed and conviction reinstated</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t>May 1, 2014</w:t>
            </w:r>
          </w:p>
          <w:p w:rsidR="00F71199" w:rsidRPr="006D673B" w:rsidRDefault="00F71199" w:rsidP="00F71199">
            <w:pPr>
              <w:jc w:val="both"/>
              <w:rPr>
                <w:rFonts w:eastAsia="Calibri"/>
                <w:sz w:val="20"/>
              </w:rPr>
            </w:pPr>
            <w:r w:rsidRPr="006D673B">
              <w:rPr>
                <w:rFonts w:eastAsia="Calibri"/>
                <w:sz w:val="20"/>
              </w:rPr>
              <w:t>Supreme Court of Canada</w:t>
            </w: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Application for leave to appeal filed</w:t>
            </w:r>
          </w:p>
          <w:p w:rsidR="00F71199" w:rsidRPr="006D673B" w:rsidRDefault="00F71199" w:rsidP="00F71199">
            <w:pPr>
              <w:jc w:val="both"/>
              <w:rPr>
                <w:rFonts w:eastAsia="Calibri"/>
                <w:sz w:val="20"/>
              </w:rPr>
            </w:pP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49"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1199" w:rsidRPr="002B68E4" w:rsidTr="00F71199">
        <w:tc>
          <w:tcPr>
            <w:tcW w:w="5000" w:type="pct"/>
            <w:gridSpan w:val="3"/>
          </w:tcPr>
          <w:p w:rsidR="00F71199" w:rsidRPr="006D673B" w:rsidRDefault="00F71199" w:rsidP="00F71199">
            <w:pPr>
              <w:jc w:val="both"/>
              <w:rPr>
                <w:rFonts w:eastAsia="Calibri"/>
                <w:smallCaps/>
                <w:sz w:val="20"/>
                <w:lang w:val="fr-CA"/>
              </w:rPr>
            </w:pPr>
            <w:r w:rsidRPr="006D673B">
              <w:rPr>
                <w:rFonts w:eastAsia="Calibri"/>
                <w:sz w:val="20"/>
                <w:lang w:val="fr-CA"/>
              </w:rPr>
              <w:t xml:space="preserve">Droit criminel — Infractions — Véhicules à moteur — Omission ou refus de fournir un échantillon d’haleine — Quel est le fardeau de preuve applicable à la démonstration de l’existence d’une « excuse raisonnable » de refuser de fournir un échantillon d’haleine? — La Cour d’appel a-t-elle conclu à tort qu’il incombe à l’accusé de prouver qu’il a une « excuse raisonnable » d’omettre de fournir un échantillon d’haleine? — </w:t>
            </w:r>
            <w:r w:rsidRPr="006D673B">
              <w:rPr>
                <w:rFonts w:eastAsia="Calibri"/>
                <w:i/>
                <w:sz w:val="20"/>
                <w:lang w:val="fr-CA"/>
              </w:rPr>
              <w:t>Code criminel</w:t>
            </w:r>
            <w:r w:rsidRPr="006D673B">
              <w:rPr>
                <w:rFonts w:eastAsia="Calibri"/>
                <w:sz w:val="20"/>
                <w:lang w:val="fr-CA"/>
              </w:rPr>
              <w:t>, L.R.C. 1985, c. C-46, art. 254(4) et 794(2).</w:t>
            </w:r>
          </w:p>
        </w:tc>
      </w:tr>
      <w:tr w:rsidR="00F71199" w:rsidRPr="002B68E4" w:rsidTr="00F71199">
        <w:tc>
          <w:tcPr>
            <w:tcW w:w="5000" w:type="pct"/>
            <w:gridSpan w:val="3"/>
          </w:tcPr>
          <w:p w:rsidR="00F71199" w:rsidRPr="006D673B" w:rsidRDefault="00F71199" w:rsidP="00F71199">
            <w:pPr>
              <w:jc w:val="both"/>
              <w:rPr>
                <w:rFonts w:eastAsia="Calibri"/>
                <w:sz w:val="20"/>
                <w:lang w:val="fr-CA"/>
              </w:rPr>
            </w:pPr>
          </w:p>
        </w:tc>
      </w:tr>
      <w:tr w:rsidR="00F71199" w:rsidRPr="002B68E4" w:rsidTr="00F71199">
        <w:tc>
          <w:tcPr>
            <w:tcW w:w="5000" w:type="pct"/>
            <w:gridSpan w:val="3"/>
          </w:tcPr>
          <w:p w:rsidR="00F71199" w:rsidRPr="006D673B" w:rsidRDefault="00F71199" w:rsidP="00F71199">
            <w:pPr>
              <w:jc w:val="both"/>
              <w:rPr>
                <w:rFonts w:eastAsia="Calibri"/>
                <w:sz w:val="20"/>
                <w:lang w:val="fr-CA"/>
              </w:rPr>
            </w:pPr>
            <w:r w:rsidRPr="006D673B">
              <w:rPr>
                <w:rFonts w:eastAsia="Calibri"/>
                <w:sz w:val="20"/>
                <w:lang w:val="fr-CA"/>
              </w:rPr>
              <w:t>En 2006, le demandeur a été intercepté par la police pour n’avoir pas respecté deux arrêts.  Ayant décelé une odeur d’alcool se dégageant de l’haleine du demandeur, l’agent a ordonné à ce dernier de se soumettre à un test de détection routier à l’aide d’un appareil de détection approuvé.  Le résultat obtenu a amené l’agent à ordonner au demandeur de le suivre au poste pour se soumettre à un test à l’aide d’un alcootest approuvé.  Une fois au poste, le demandeur a refusé d’obtempérer.</w:t>
            </w:r>
          </w:p>
          <w:p w:rsidR="00F71199" w:rsidRPr="006D673B" w:rsidRDefault="00F71199" w:rsidP="00F71199">
            <w:pPr>
              <w:jc w:val="both"/>
              <w:rPr>
                <w:rFonts w:eastAsia="Calibri"/>
                <w:sz w:val="20"/>
                <w:lang w:val="fr-CA"/>
              </w:rPr>
            </w:pPr>
          </w:p>
          <w:p w:rsidR="00F71199" w:rsidRPr="006D673B" w:rsidRDefault="00F71199" w:rsidP="00F71199">
            <w:pPr>
              <w:jc w:val="both"/>
              <w:rPr>
                <w:rFonts w:eastAsia="Calibri"/>
                <w:sz w:val="20"/>
                <w:lang w:val="fr-CA"/>
              </w:rPr>
            </w:pPr>
            <w:r w:rsidRPr="006D673B">
              <w:rPr>
                <w:rFonts w:eastAsia="Calibri"/>
                <w:sz w:val="20"/>
                <w:lang w:val="fr-CA"/>
              </w:rPr>
              <w:t>À son procès, le demandeur a déclaré qu’il avait immobilisé son véhicule à chacun des arrêts. Son témoignage sur ce point était appuyé par la déclaration d’une personne qui prenait place à ce moment dans son véhicule.  Suivant la déposition du demandeur, l’agent mentait lorsqu’il a déclaré au procès que le demandeur n’avait pas respecté les deux arrêts et le demandeur estimait ne pas avoir été traité de manière juste.  Il ne croyait pas que l’agent rédigerait un rapport honnête au sujet du test effectué à partir de l’échantillon d’haleine et c’est la raison pour laquelle il avait refusé de fournir l’échantillon d’haleine au poste.</w:t>
            </w:r>
          </w:p>
          <w:p w:rsidR="00F71199" w:rsidRPr="006D673B" w:rsidRDefault="00F71199" w:rsidP="00F71199">
            <w:pPr>
              <w:jc w:val="both"/>
              <w:rPr>
                <w:rFonts w:eastAsia="Calibri"/>
                <w:sz w:val="20"/>
                <w:lang w:val="fr-CA"/>
              </w:rPr>
            </w:pPr>
          </w:p>
        </w:tc>
      </w:tr>
      <w:tr w:rsidR="00F71199" w:rsidRPr="002B68E4" w:rsidTr="00917C40">
        <w:trPr>
          <w:cantSplit/>
        </w:trPr>
        <w:tc>
          <w:tcPr>
            <w:tcW w:w="2427" w:type="pct"/>
          </w:tcPr>
          <w:p w:rsidR="00F71199" w:rsidRPr="006D673B" w:rsidRDefault="00F71199" w:rsidP="00F71199">
            <w:pPr>
              <w:jc w:val="both"/>
              <w:rPr>
                <w:rFonts w:eastAsia="Calibri"/>
                <w:sz w:val="20"/>
                <w:lang w:val="fr-CA"/>
              </w:rPr>
            </w:pPr>
            <w:r w:rsidRPr="006D673B">
              <w:rPr>
                <w:rFonts w:eastAsia="Calibri"/>
                <w:sz w:val="20"/>
                <w:lang w:val="fr-CA"/>
              </w:rPr>
              <w:lastRenderedPageBreak/>
              <w:t>23 janvier 2008</w:t>
            </w:r>
          </w:p>
          <w:p w:rsidR="00F71199" w:rsidRPr="006D673B" w:rsidRDefault="00F71199" w:rsidP="00F71199">
            <w:pPr>
              <w:jc w:val="both"/>
              <w:rPr>
                <w:rFonts w:eastAsia="Calibri"/>
                <w:sz w:val="20"/>
                <w:lang w:val="fr-CA"/>
              </w:rPr>
            </w:pPr>
            <w:r w:rsidRPr="006D673B">
              <w:rPr>
                <w:rFonts w:eastAsia="Calibri"/>
                <w:sz w:val="20"/>
                <w:lang w:val="fr-CA"/>
              </w:rPr>
              <w:t>Cour provinciale de la Colombie-Britannique</w:t>
            </w:r>
          </w:p>
          <w:p w:rsidR="00F71199" w:rsidRPr="006D673B" w:rsidRDefault="00F71199" w:rsidP="00F71199">
            <w:pPr>
              <w:jc w:val="both"/>
              <w:rPr>
                <w:rFonts w:eastAsia="Calibri"/>
                <w:sz w:val="20"/>
              </w:rPr>
            </w:pPr>
            <w:r w:rsidRPr="006D673B">
              <w:rPr>
                <w:rFonts w:eastAsia="Calibri"/>
                <w:sz w:val="20"/>
              </w:rPr>
              <w:t>(Juge Bayliff)</w:t>
            </w:r>
          </w:p>
          <w:p w:rsidR="00F71199" w:rsidRPr="006D673B" w:rsidRDefault="00F71199" w:rsidP="00F71199">
            <w:pPr>
              <w:jc w:val="both"/>
              <w:rPr>
                <w:rFonts w:eastAsia="Calibri"/>
                <w:sz w:val="20"/>
              </w:rPr>
            </w:pPr>
            <w:r w:rsidRPr="006D673B">
              <w:rPr>
                <w:rFonts w:eastAsia="Calibri"/>
                <w:sz w:val="20"/>
              </w:rPr>
              <w:t>N</w:t>
            </w:r>
            <w:r w:rsidRPr="006D673B">
              <w:rPr>
                <w:rFonts w:eastAsia="Calibri"/>
                <w:sz w:val="20"/>
                <w:vertAlign w:val="superscript"/>
              </w:rPr>
              <w:t>o</w:t>
            </w:r>
            <w:r w:rsidRPr="006D673B">
              <w:rPr>
                <w:rFonts w:eastAsia="Calibri"/>
                <w:sz w:val="20"/>
              </w:rPr>
              <w:t xml:space="preserve"> de greffe 27224</w:t>
            </w:r>
          </w:p>
          <w:p w:rsidR="00F71199" w:rsidRPr="006D673B" w:rsidRDefault="00F71199" w:rsidP="00F71199">
            <w:pPr>
              <w:jc w:val="both"/>
              <w:rPr>
                <w:rFonts w:eastAsia="Calibri"/>
                <w:sz w:val="20"/>
              </w:rPr>
            </w:pP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lang w:val="fr-CA"/>
              </w:rPr>
            </w:pPr>
            <w:r w:rsidRPr="006D673B">
              <w:rPr>
                <w:rFonts w:eastAsia="Calibri"/>
                <w:sz w:val="20"/>
                <w:lang w:val="fr-CA"/>
              </w:rPr>
              <w:t xml:space="preserve">Demandeur déclaré coupable d’avoir omis d’obtempérer à l’ordre de fournir un échantillon d’haleine donné en vertu du par. 254(5) du </w:t>
            </w:r>
            <w:r w:rsidRPr="006D673B">
              <w:rPr>
                <w:rFonts w:eastAsia="Calibri"/>
                <w:i/>
                <w:sz w:val="20"/>
                <w:lang w:val="fr-CA"/>
              </w:rPr>
              <w:t>Code criminel</w:t>
            </w:r>
            <w:r w:rsidRPr="006D673B">
              <w:rPr>
                <w:rFonts w:eastAsia="Calibri"/>
                <w:sz w:val="20"/>
                <w:lang w:val="fr-CA"/>
              </w:rPr>
              <w:t>.</w:t>
            </w:r>
          </w:p>
          <w:p w:rsidR="00F71199" w:rsidRPr="006D673B" w:rsidRDefault="00F71199" w:rsidP="00F71199">
            <w:pPr>
              <w:jc w:val="both"/>
              <w:rPr>
                <w:rFonts w:eastAsia="Calibri"/>
                <w:sz w:val="20"/>
                <w:lang w:val="fr-CA"/>
              </w:rPr>
            </w:pPr>
          </w:p>
        </w:tc>
      </w:tr>
      <w:tr w:rsidR="00F71199" w:rsidRPr="002B68E4" w:rsidTr="00917C40">
        <w:trPr>
          <w:cantSplit/>
        </w:trPr>
        <w:tc>
          <w:tcPr>
            <w:tcW w:w="2427" w:type="pct"/>
          </w:tcPr>
          <w:p w:rsidR="00F71199" w:rsidRPr="006D673B" w:rsidRDefault="00F71199" w:rsidP="00F71199">
            <w:pPr>
              <w:jc w:val="both"/>
              <w:rPr>
                <w:rFonts w:eastAsia="Calibri"/>
                <w:sz w:val="20"/>
                <w:lang w:val="fr-CA"/>
              </w:rPr>
            </w:pPr>
            <w:r w:rsidRPr="006D673B">
              <w:rPr>
                <w:rFonts w:eastAsia="Calibri"/>
                <w:sz w:val="20"/>
                <w:lang w:val="fr-CA"/>
              </w:rPr>
              <w:t>7 juillet 2011</w:t>
            </w:r>
          </w:p>
          <w:p w:rsidR="00F71199" w:rsidRPr="006D673B" w:rsidRDefault="00F71199" w:rsidP="00F71199">
            <w:pPr>
              <w:jc w:val="both"/>
              <w:rPr>
                <w:rFonts w:eastAsia="Calibri"/>
                <w:sz w:val="20"/>
                <w:lang w:val="fr-CA"/>
              </w:rPr>
            </w:pPr>
            <w:r w:rsidRPr="006D673B">
              <w:rPr>
                <w:rFonts w:eastAsia="Calibri"/>
                <w:sz w:val="20"/>
                <w:lang w:val="fr-CA"/>
              </w:rPr>
              <w:t>Cour suprême de la Colombie-Britannique</w:t>
            </w:r>
          </w:p>
          <w:p w:rsidR="00F71199" w:rsidRPr="006D673B" w:rsidRDefault="00F71199" w:rsidP="00F71199">
            <w:pPr>
              <w:jc w:val="both"/>
              <w:rPr>
                <w:rFonts w:eastAsia="Calibri"/>
                <w:sz w:val="20"/>
                <w:lang w:val="fr-CA"/>
              </w:rPr>
            </w:pPr>
            <w:r w:rsidRPr="006D673B">
              <w:rPr>
                <w:rFonts w:eastAsia="Calibri"/>
                <w:sz w:val="20"/>
                <w:lang w:val="fr-CA"/>
              </w:rPr>
              <w:t>(Juge Leask)</w:t>
            </w:r>
          </w:p>
          <w:p w:rsidR="00F71199" w:rsidRPr="006D673B" w:rsidRDefault="002B68E4" w:rsidP="00F71199">
            <w:pPr>
              <w:jc w:val="both"/>
              <w:rPr>
                <w:rFonts w:eastAsia="Calibri"/>
                <w:sz w:val="20"/>
                <w:lang w:val="fr-CA"/>
              </w:rPr>
            </w:pPr>
            <w:hyperlink r:id="rId45" w:history="1">
              <w:r w:rsidR="00F71199" w:rsidRPr="006D673B">
                <w:rPr>
                  <w:rFonts w:eastAsia="Calibri"/>
                  <w:color w:val="0000FF"/>
                  <w:sz w:val="20"/>
                  <w:u w:val="single"/>
                  <w:lang w:val="fr-CA"/>
                </w:rPr>
                <w:t>2011 BCSC 911</w:t>
              </w:r>
            </w:hyperlink>
          </w:p>
          <w:p w:rsidR="00F71199" w:rsidRPr="006D673B" w:rsidRDefault="00F71199" w:rsidP="00F71199">
            <w:pPr>
              <w:jc w:val="both"/>
              <w:rPr>
                <w:rFonts w:eastAsia="Calibri"/>
                <w:sz w:val="20"/>
                <w:lang w:val="fr-CA"/>
              </w:rPr>
            </w:pPr>
          </w:p>
        </w:tc>
        <w:tc>
          <w:tcPr>
            <w:tcW w:w="243" w:type="pct"/>
          </w:tcPr>
          <w:p w:rsidR="00F71199" w:rsidRPr="006D673B" w:rsidRDefault="00F71199" w:rsidP="00F71199">
            <w:pPr>
              <w:jc w:val="both"/>
              <w:rPr>
                <w:rFonts w:eastAsia="Calibri"/>
                <w:sz w:val="20"/>
                <w:lang w:val="fr-CA"/>
              </w:rPr>
            </w:pPr>
          </w:p>
        </w:tc>
        <w:tc>
          <w:tcPr>
            <w:tcW w:w="2330" w:type="pct"/>
          </w:tcPr>
          <w:p w:rsidR="00F71199" w:rsidRPr="006D673B" w:rsidRDefault="00F71199" w:rsidP="00F71199">
            <w:pPr>
              <w:jc w:val="both"/>
              <w:rPr>
                <w:rFonts w:eastAsia="Calibri"/>
                <w:sz w:val="20"/>
                <w:lang w:val="fr-CA"/>
              </w:rPr>
            </w:pPr>
            <w:r w:rsidRPr="006D673B">
              <w:rPr>
                <w:rFonts w:eastAsia="Calibri"/>
                <w:sz w:val="20"/>
                <w:lang w:val="fr-CA"/>
              </w:rPr>
              <w:t>Appel interjeté de la déclaration de culpabilité par procédure sommaire accueilli; verdict d’acquittement inscrit</w:t>
            </w:r>
          </w:p>
          <w:p w:rsidR="00F71199" w:rsidRPr="006D673B" w:rsidRDefault="00F71199" w:rsidP="00F71199">
            <w:pPr>
              <w:jc w:val="both"/>
              <w:rPr>
                <w:rFonts w:eastAsia="Calibri"/>
                <w:sz w:val="20"/>
                <w:lang w:val="fr-CA"/>
              </w:rPr>
            </w:pPr>
          </w:p>
        </w:tc>
      </w:tr>
      <w:tr w:rsidR="00F71199" w:rsidRPr="002B68E4" w:rsidTr="00917C40">
        <w:trPr>
          <w:cantSplit/>
        </w:trPr>
        <w:tc>
          <w:tcPr>
            <w:tcW w:w="2427" w:type="pct"/>
          </w:tcPr>
          <w:p w:rsidR="00F71199" w:rsidRPr="006D673B" w:rsidRDefault="00F71199" w:rsidP="00F71199">
            <w:pPr>
              <w:jc w:val="both"/>
              <w:rPr>
                <w:rFonts w:eastAsia="Calibri"/>
                <w:sz w:val="20"/>
                <w:lang w:val="fr-CA"/>
              </w:rPr>
            </w:pPr>
            <w:r w:rsidRPr="006D673B">
              <w:rPr>
                <w:rFonts w:eastAsia="Calibri"/>
                <w:sz w:val="20"/>
                <w:lang w:val="fr-CA"/>
              </w:rPr>
              <w:t>3 mars 2014</w:t>
            </w:r>
          </w:p>
          <w:p w:rsidR="00F71199" w:rsidRPr="006D673B" w:rsidRDefault="00F71199" w:rsidP="00F71199">
            <w:pPr>
              <w:jc w:val="both"/>
              <w:rPr>
                <w:rFonts w:eastAsia="Calibri"/>
                <w:sz w:val="20"/>
                <w:lang w:val="fr-CA"/>
              </w:rPr>
            </w:pPr>
            <w:r w:rsidRPr="006D673B">
              <w:rPr>
                <w:rFonts w:eastAsia="Calibri"/>
                <w:sz w:val="20"/>
                <w:lang w:val="fr-CA"/>
              </w:rPr>
              <w:t xml:space="preserve">Cour d’appel de la Colombie-Britannique </w:t>
            </w:r>
          </w:p>
          <w:p w:rsidR="00F71199" w:rsidRPr="006D673B" w:rsidRDefault="00F71199" w:rsidP="00F71199">
            <w:pPr>
              <w:jc w:val="both"/>
              <w:rPr>
                <w:rFonts w:eastAsia="Calibri"/>
                <w:sz w:val="20"/>
                <w:lang w:val="fr-CA"/>
              </w:rPr>
            </w:pPr>
            <w:r w:rsidRPr="006D673B">
              <w:rPr>
                <w:rFonts w:eastAsia="Calibri"/>
                <w:sz w:val="20"/>
                <w:lang w:val="fr-CA"/>
              </w:rPr>
              <w:t>(Vancouver)</w:t>
            </w:r>
          </w:p>
          <w:p w:rsidR="00F71199" w:rsidRPr="006D673B" w:rsidRDefault="00F71199" w:rsidP="00F71199">
            <w:pPr>
              <w:jc w:val="both"/>
              <w:rPr>
                <w:rFonts w:eastAsia="Calibri"/>
                <w:sz w:val="20"/>
                <w:lang w:val="fr-CA"/>
              </w:rPr>
            </w:pPr>
            <w:r w:rsidRPr="006D673B">
              <w:rPr>
                <w:rFonts w:eastAsia="Calibri"/>
                <w:sz w:val="20"/>
                <w:lang w:val="fr-CA"/>
              </w:rPr>
              <w:t>(Juges Newbury, Frankel et Garson)</w:t>
            </w:r>
          </w:p>
          <w:p w:rsidR="00F71199" w:rsidRPr="006D673B" w:rsidRDefault="002B68E4" w:rsidP="00F71199">
            <w:pPr>
              <w:jc w:val="both"/>
              <w:rPr>
                <w:rFonts w:eastAsia="Calibri"/>
                <w:sz w:val="20"/>
                <w:lang w:val="fr-CA"/>
              </w:rPr>
            </w:pPr>
            <w:hyperlink r:id="rId46" w:history="1">
              <w:r w:rsidR="00F71199" w:rsidRPr="006D673B">
                <w:rPr>
                  <w:rFonts w:eastAsia="Calibri"/>
                  <w:color w:val="0000FF"/>
                  <w:sz w:val="20"/>
                  <w:u w:val="single"/>
                  <w:lang w:val="fr-CA"/>
                </w:rPr>
                <w:t>2014 BCCA 80</w:t>
              </w:r>
            </w:hyperlink>
            <w:r w:rsidR="00F71199" w:rsidRPr="006D673B">
              <w:rPr>
                <w:rFonts w:eastAsia="Calibri"/>
                <w:sz w:val="20"/>
                <w:lang w:val="fr-CA"/>
              </w:rPr>
              <w:t>;  CA039155</w:t>
            </w:r>
          </w:p>
          <w:p w:rsidR="00F71199" w:rsidRPr="006D673B" w:rsidRDefault="00F71199" w:rsidP="00F71199">
            <w:pPr>
              <w:jc w:val="both"/>
              <w:rPr>
                <w:rFonts w:eastAsia="Calibri"/>
                <w:sz w:val="20"/>
                <w:lang w:val="fr-CA"/>
              </w:rPr>
            </w:pPr>
          </w:p>
        </w:tc>
        <w:tc>
          <w:tcPr>
            <w:tcW w:w="243" w:type="pct"/>
          </w:tcPr>
          <w:p w:rsidR="00F71199" w:rsidRPr="006D673B" w:rsidRDefault="00F71199" w:rsidP="00F71199">
            <w:pPr>
              <w:jc w:val="both"/>
              <w:rPr>
                <w:rFonts w:eastAsia="Calibri"/>
                <w:sz w:val="20"/>
                <w:lang w:val="fr-CA"/>
              </w:rPr>
            </w:pPr>
          </w:p>
        </w:tc>
        <w:tc>
          <w:tcPr>
            <w:tcW w:w="2330" w:type="pct"/>
          </w:tcPr>
          <w:p w:rsidR="00F71199" w:rsidRPr="006D673B" w:rsidRDefault="00F71199" w:rsidP="00F71199">
            <w:pPr>
              <w:jc w:val="both"/>
              <w:rPr>
                <w:rFonts w:eastAsia="Calibri"/>
                <w:sz w:val="20"/>
                <w:lang w:val="fr-CA"/>
              </w:rPr>
            </w:pPr>
            <w:r w:rsidRPr="006D673B">
              <w:rPr>
                <w:rFonts w:eastAsia="Calibri"/>
                <w:sz w:val="20"/>
                <w:lang w:val="fr-CA"/>
              </w:rPr>
              <w:t>Appel accueilli et déclaration de culpabilité rétablie</w:t>
            </w:r>
          </w:p>
          <w:p w:rsidR="00F71199" w:rsidRPr="006D673B" w:rsidRDefault="00F71199" w:rsidP="00F71199">
            <w:pPr>
              <w:jc w:val="both"/>
              <w:rPr>
                <w:rFonts w:eastAsia="Calibri"/>
                <w:sz w:val="20"/>
                <w:lang w:val="fr-CA"/>
              </w:rPr>
            </w:pPr>
          </w:p>
        </w:tc>
      </w:tr>
      <w:tr w:rsidR="00F71199" w:rsidRPr="006D673B" w:rsidTr="00917C40">
        <w:trPr>
          <w:cantSplit/>
        </w:trPr>
        <w:tc>
          <w:tcPr>
            <w:tcW w:w="2427" w:type="pct"/>
          </w:tcPr>
          <w:p w:rsidR="00F71199" w:rsidRPr="006D673B" w:rsidRDefault="00F71199" w:rsidP="00F71199">
            <w:pPr>
              <w:jc w:val="both"/>
              <w:rPr>
                <w:rFonts w:eastAsia="Calibri"/>
                <w:sz w:val="20"/>
                <w:lang w:val="fr-CA"/>
              </w:rPr>
            </w:pPr>
            <w:r w:rsidRPr="006D673B">
              <w:rPr>
                <w:rFonts w:eastAsia="Calibri"/>
                <w:sz w:val="20"/>
                <w:lang w:val="fr-CA"/>
              </w:rPr>
              <w:t>1</w:t>
            </w:r>
            <w:r w:rsidRPr="006D673B">
              <w:rPr>
                <w:rFonts w:eastAsia="Calibri"/>
                <w:sz w:val="20"/>
                <w:vertAlign w:val="superscript"/>
                <w:lang w:val="fr-CA"/>
              </w:rPr>
              <w:t>er</w:t>
            </w:r>
            <w:r w:rsidRPr="006D673B">
              <w:rPr>
                <w:rFonts w:eastAsia="Calibri"/>
                <w:sz w:val="20"/>
                <w:lang w:val="fr-CA"/>
              </w:rPr>
              <w:t xml:space="preserve"> mai 2014</w:t>
            </w:r>
          </w:p>
          <w:p w:rsidR="00F71199" w:rsidRPr="006D673B" w:rsidRDefault="00F71199" w:rsidP="00F71199">
            <w:pPr>
              <w:jc w:val="both"/>
              <w:rPr>
                <w:rFonts w:eastAsia="Calibri"/>
                <w:sz w:val="20"/>
                <w:lang w:val="fr-CA"/>
              </w:rPr>
            </w:pPr>
            <w:r w:rsidRPr="006D673B">
              <w:rPr>
                <w:rFonts w:eastAsia="Calibri"/>
                <w:sz w:val="20"/>
                <w:lang w:val="fr-CA"/>
              </w:rPr>
              <w:t>Cour suprême du Canada</w:t>
            </w:r>
          </w:p>
        </w:tc>
        <w:tc>
          <w:tcPr>
            <w:tcW w:w="243" w:type="pct"/>
          </w:tcPr>
          <w:p w:rsidR="00F71199" w:rsidRPr="006D673B" w:rsidRDefault="00F71199" w:rsidP="00F71199">
            <w:pPr>
              <w:jc w:val="both"/>
              <w:rPr>
                <w:rFonts w:eastAsia="Calibri"/>
                <w:sz w:val="20"/>
                <w:lang w:val="fr-CA"/>
              </w:rPr>
            </w:pPr>
          </w:p>
        </w:tc>
        <w:tc>
          <w:tcPr>
            <w:tcW w:w="2330" w:type="pct"/>
          </w:tcPr>
          <w:p w:rsidR="00F71199" w:rsidRPr="006D673B" w:rsidRDefault="00F71199" w:rsidP="00F71199">
            <w:pPr>
              <w:jc w:val="both"/>
              <w:rPr>
                <w:rFonts w:eastAsia="Calibri"/>
                <w:sz w:val="20"/>
                <w:lang w:val="fr-CA"/>
              </w:rPr>
            </w:pPr>
            <w:r w:rsidRPr="006D673B">
              <w:rPr>
                <w:rFonts w:eastAsia="Calibri"/>
                <w:sz w:val="20"/>
                <w:lang w:val="fr-CA"/>
              </w:rPr>
              <w:t>Demande d’autorisation d’appel déposée</w:t>
            </w:r>
          </w:p>
          <w:p w:rsidR="00F71199" w:rsidRPr="006D673B" w:rsidRDefault="00F71199" w:rsidP="00F71199">
            <w:pPr>
              <w:jc w:val="both"/>
              <w:rPr>
                <w:rFonts w:eastAsia="Calibri"/>
                <w:sz w:val="20"/>
                <w:lang w:val="fr-CA"/>
              </w:rPr>
            </w:pPr>
          </w:p>
        </w:tc>
      </w:tr>
    </w:tbl>
    <w:p w:rsidR="007426C2" w:rsidRDefault="007426C2" w:rsidP="007426C2">
      <w:pPr>
        <w:rPr>
          <w:sz w:val="20"/>
          <w:szCs w:val="20"/>
        </w:rPr>
      </w:pPr>
    </w:p>
    <w:p w:rsidR="007426C2" w:rsidRDefault="002B68E4" w:rsidP="007426C2">
      <w:pPr>
        <w:rPr>
          <w:sz w:val="20"/>
          <w:szCs w:val="20"/>
        </w:rPr>
      </w:pPr>
      <w:r>
        <w:rPr>
          <w:sz w:val="20"/>
          <w:szCs w:val="20"/>
          <w:lang w:val="fr-CA"/>
        </w:rPr>
        <w:pict>
          <v:rect id="_x0000_i1050"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40F28" w:rsidRPr="00BA3CD9" w:rsidTr="00247575">
        <w:trPr>
          <w:cantSplit/>
        </w:trPr>
        <w:tc>
          <w:tcPr>
            <w:tcW w:w="1458" w:type="dxa"/>
          </w:tcPr>
          <w:p w:rsidR="00440F28" w:rsidRPr="00BA3CD9" w:rsidRDefault="00440F28" w:rsidP="00247575">
            <w:pPr>
              <w:rPr>
                <w:sz w:val="20"/>
                <w:szCs w:val="20"/>
              </w:rPr>
            </w:pPr>
            <w:r w:rsidRPr="00BA3CD9">
              <w:rPr>
                <w:rStyle w:val="SCCFileNumberChar"/>
                <w:sz w:val="20"/>
                <w:szCs w:val="20"/>
              </w:rPr>
              <w:t>35873</w:t>
            </w:r>
          </w:p>
          <w:p w:rsidR="00440F28" w:rsidRPr="00BA3CD9" w:rsidRDefault="00440F28" w:rsidP="00247575">
            <w:pPr>
              <w:rPr>
                <w:b/>
                <w:sz w:val="20"/>
                <w:szCs w:val="20"/>
                <w:lang w:val="fr-CA"/>
              </w:rPr>
            </w:pPr>
          </w:p>
        </w:tc>
        <w:tc>
          <w:tcPr>
            <w:tcW w:w="8118" w:type="dxa"/>
          </w:tcPr>
          <w:p w:rsidR="00440F28" w:rsidRPr="00BA3CD9" w:rsidRDefault="00440F28" w:rsidP="00247575">
            <w:pPr>
              <w:rPr>
                <w:sz w:val="20"/>
                <w:szCs w:val="20"/>
              </w:rPr>
            </w:pPr>
            <w:r w:rsidRPr="00BA3CD9">
              <w:rPr>
                <w:rStyle w:val="SCCLsocChar"/>
                <w:sz w:val="20"/>
                <w:szCs w:val="20"/>
                <w:lang w:val="en-CA"/>
              </w:rPr>
              <w:t>Private Alexandra Vezina v. Her Majesty the Queen</w:t>
            </w:r>
            <w:r w:rsidRPr="00BA3CD9">
              <w:rPr>
                <w:sz w:val="20"/>
                <w:szCs w:val="20"/>
              </w:rPr>
              <w:t xml:space="preserve"> (F.C.) (Criminal) (By Leave)</w:t>
            </w:r>
          </w:p>
          <w:p w:rsidR="00440F28" w:rsidRPr="00BA3CD9" w:rsidRDefault="00440F28" w:rsidP="00247575">
            <w:pPr>
              <w:rPr>
                <w:sz w:val="20"/>
                <w:szCs w:val="20"/>
              </w:rPr>
            </w:pPr>
          </w:p>
        </w:tc>
      </w:tr>
      <w:tr w:rsidR="00440F28" w:rsidRPr="00BA3CD9" w:rsidTr="00247575">
        <w:trPr>
          <w:cantSplit/>
        </w:trPr>
        <w:tc>
          <w:tcPr>
            <w:tcW w:w="1458" w:type="dxa"/>
          </w:tcPr>
          <w:p w:rsidR="00440F28" w:rsidRPr="00BA3CD9" w:rsidRDefault="00440F28" w:rsidP="00247575">
            <w:pPr>
              <w:rPr>
                <w:sz w:val="20"/>
                <w:szCs w:val="20"/>
              </w:rPr>
            </w:pPr>
            <w:r w:rsidRPr="00BA3CD9">
              <w:rPr>
                <w:sz w:val="20"/>
                <w:szCs w:val="20"/>
              </w:rPr>
              <w:t>Coram :</w:t>
            </w:r>
          </w:p>
        </w:tc>
        <w:tc>
          <w:tcPr>
            <w:tcW w:w="8118" w:type="dxa"/>
          </w:tcPr>
          <w:p w:rsidR="00440F28" w:rsidRPr="00BA3CD9" w:rsidRDefault="00440F28" w:rsidP="00247575">
            <w:pPr>
              <w:rPr>
                <w:sz w:val="20"/>
                <w:szCs w:val="20"/>
              </w:rPr>
            </w:pPr>
            <w:r w:rsidRPr="00BA3CD9">
              <w:rPr>
                <w:rStyle w:val="SCCCoramChar"/>
                <w:sz w:val="20"/>
                <w:szCs w:val="20"/>
                <w:lang w:val="en-CA"/>
              </w:rPr>
              <w:t>McLachlin C.J. and Cromwell and Wagner JJ.</w:t>
            </w:r>
          </w:p>
          <w:p w:rsidR="00440F28" w:rsidRPr="00BA3CD9" w:rsidRDefault="00440F28" w:rsidP="00247575">
            <w:pPr>
              <w:rPr>
                <w:sz w:val="20"/>
                <w:szCs w:val="20"/>
                <w:u w:val="single"/>
              </w:rPr>
            </w:pPr>
          </w:p>
        </w:tc>
      </w:tr>
      <w:tr w:rsidR="00440F28" w:rsidRPr="002B68E4" w:rsidTr="00247575">
        <w:trPr>
          <w:cantSplit/>
        </w:trPr>
        <w:tc>
          <w:tcPr>
            <w:tcW w:w="9576" w:type="dxa"/>
            <w:gridSpan w:val="2"/>
          </w:tcPr>
          <w:p w:rsidR="00440F28" w:rsidRPr="00BA3CD9" w:rsidRDefault="00440F28" w:rsidP="00247575">
            <w:pPr>
              <w:pStyle w:val="SCCShortJudgment"/>
              <w:rPr>
                <w:szCs w:val="20"/>
              </w:rPr>
            </w:pPr>
            <w:r w:rsidRPr="00BA3CD9">
              <w:rPr>
                <w:szCs w:val="20"/>
              </w:rPr>
              <w:t xml:space="preserve">The application for leave to appeal from the judgment of the Court Martial Appeal Court of Canada, Number CMAC-564, 2014 CMAC 3, dated March 7, 2014, is granted on the issue related to s. 130(1) of the </w:t>
            </w:r>
            <w:r w:rsidRPr="00440F28">
              <w:rPr>
                <w:i/>
                <w:szCs w:val="20"/>
              </w:rPr>
              <w:t>National Defence Act</w:t>
            </w:r>
            <w:r w:rsidRPr="00BA3CD9">
              <w:rPr>
                <w:szCs w:val="20"/>
              </w:rPr>
              <w:t>, without costs; however, it is dismissed on the issue related to the law of entrapment, without costs.</w:t>
            </w:r>
          </w:p>
          <w:p w:rsidR="00440F28" w:rsidRPr="00BA3CD9" w:rsidRDefault="00440F28" w:rsidP="00247575">
            <w:pPr>
              <w:pStyle w:val="SCCShortJudgment"/>
              <w:ind w:firstLine="0"/>
              <w:rPr>
                <w:szCs w:val="20"/>
              </w:rPr>
            </w:pPr>
          </w:p>
          <w:p w:rsidR="00440F28" w:rsidRPr="00BA3CD9" w:rsidRDefault="00440F28" w:rsidP="00247575">
            <w:pPr>
              <w:pStyle w:val="SCCShortJudgment"/>
              <w:rPr>
                <w:szCs w:val="20"/>
                <w:lang w:val="fr-CA"/>
              </w:rPr>
            </w:pPr>
            <w:r w:rsidRPr="00BA3CD9">
              <w:rPr>
                <w:szCs w:val="20"/>
                <w:lang w:val="fr-CA"/>
              </w:rPr>
              <w:t xml:space="preserve">La demande d’autorisation d’appel de l’arrêt de la Cour d’appel de la cour martiale du Canada, numéro CMAC-564, 2014 CMAC 3, daté du 7 mars 2014, est accueillie, sans dépens, à l’égard de la question touchant le par. 130(1) de la </w:t>
            </w:r>
            <w:r w:rsidRPr="00440F28">
              <w:rPr>
                <w:i/>
                <w:szCs w:val="20"/>
                <w:lang w:val="fr-CA"/>
              </w:rPr>
              <w:t>Loi sur la Défense nationale</w:t>
            </w:r>
            <w:r w:rsidRPr="00BA3CD9">
              <w:rPr>
                <w:szCs w:val="20"/>
                <w:lang w:val="fr-CA"/>
              </w:rPr>
              <w:t>, mais elle est rejetée, sans dépens, à l’égard de la question liée au droit relatif à la provocation policière.</w:t>
            </w:r>
          </w:p>
        </w:tc>
      </w:tr>
    </w:tbl>
    <w:p w:rsidR="007426C2" w:rsidRPr="00440F28"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1199" w:rsidRPr="006D673B" w:rsidTr="00F71199">
        <w:tc>
          <w:tcPr>
            <w:tcW w:w="5000" w:type="pct"/>
            <w:gridSpan w:val="3"/>
          </w:tcPr>
          <w:p w:rsidR="00F71199" w:rsidRPr="006D673B" w:rsidRDefault="00F71199" w:rsidP="00F71199">
            <w:pPr>
              <w:jc w:val="both"/>
              <w:rPr>
                <w:rFonts w:eastAsia="Calibri"/>
                <w:sz w:val="20"/>
              </w:rPr>
            </w:pPr>
            <w:r w:rsidRPr="006D673B">
              <w:rPr>
                <w:rFonts w:eastAsia="Calibri"/>
                <w:i/>
                <w:sz w:val="20"/>
              </w:rPr>
              <w:t>Canadian Charter of Rights and Freedoms</w:t>
            </w:r>
            <w:r w:rsidRPr="006D673B">
              <w:rPr>
                <w:rFonts w:eastAsia="Calibri"/>
                <w:sz w:val="20"/>
              </w:rPr>
              <w:t xml:space="preserve"> – Criminal law – Whether s. 130(1)(a) of the </w:t>
            </w:r>
            <w:r w:rsidRPr="006D673B">
              <w:rPr>
                <w:rFonts w:eastAsia="Calibri"/>
                <w:i/>
                <w:sz w:val="20"/>
              </w:rPr>
              <w:t>National Defence Act</w:t>
            </w:r>
            <w:r w:rsidRPr="006D673B">
              <w:rPr>
                <w:rFonts w:eastAsia="Calibri"/>
                <w:sz w:val="20"/>
              </w:rPr>
              <w:t xml:space="preserve"> violates s. 7 and s. 11(f) of the </w:t>
            </w:r>
            <w:r w:rsidRPr="006D673B">
              <w:rPr>
                <w:rFonts w:eastAsia="Calibri"/>
                <w:i/>
                <w:sz w:val="20"/>
              </w:rPr>
              <w:t>Charter</w:t>
            </w:r>
            <w:r w:rsidRPr="006D673B">
              <w:rPr>
                <w:rFonts w:eastAsia="Calibri"/>
                <w:sz w:val="20"/>
              </w:rPr>
              <w:t xml:space="preserve"> – Whether the military nexus doctrine applies to s. 130(1)(a) of the </w:t>
            </w:r>
            <w:r w:rsidRPr="006D673B">
              <w:rPr>
                <w:rFonts w:eastAsia="Calibri"/>
                <w:i/>
                <w:sz w:val="20"/>
              </w:rPr>
              <w:t>National Defence Act</w:t>
            </w:r>
            <w:r w:rsidRPr="006D673B">
              <w:rPr>
                <w:rFonts w:eastAsia="Calibri"/>
                <w:sz w:val="20"/>
              </w:rPr>
              <w:t xml:space="preserve"> – Whether s. 130(1)(a) of the </w:t>
            </w:r>
            <w:r w:rsidRPr="006D673B">
              <w:rPr>
                <w:rFonts w:eastAsia="Calibri"/>
                <w:i/>
                <w:sz w:val="20"/>
              </w:rPr>
              <w:t>National Defence Act</w:t>
            </w:r>
            <w:r w:rsidRPr="006D673B">
              <w:rPr>
                <w:rFonts w:eastAsia="Calibri"/>
                <w:sz w:val="20"/>
              </w:rPr>
              <w:t xml:space="preserve"> is constitutional - Entrapment – Did the Court Martial Appeal Court err by altering two foundational concepts in the law of entrapment by expanding the bona fide inquiry exception and by incorrectly defining an “opportunity to commit an offence”? – </w:t>
            </w:r>
            <w:r w:rsidRPr="006D673B">
              <w:rPr>
                <w:rFonts w:eastAsia="Calibri"/>
                <w:i/>
                <w:sz w:val="20"/>
              </w:rPr>
              <w:t>Canadian Charter of Rights and Freedoms</w:t>
            </w:r>
            <w:r w:rsidRPr="006D673B">
              <w:rPr>
                <w:rFonts w:eastAsia="Calibri"/>
                <w:sz w:val="20"/>
              </w:rPr>
              <w:t>, ss. 7 and 11(f).</w:t>
            </w:r>
          </w:p>
          <w:p w:rsidR="00F71199" w:rsidRPr="006D673B" w:rsidRDefault="00F71199" w:rsidP="00F71199">
            <w:pPr>
              <w:jc w:val="both"/>
              <w:rPr>
                <w:rFonts w:eastAsia="Calibri"/>
                <w:sz w:val="20"/>
              </w:rPr>
            </w:pPr>
          </w:p>
        </w:tc>
      </w:tr>
      <w:tr w:rsidR="00F71199" w:rsidRPr="006D673B" w:rsidTr="00F71199">
        <w:tc>
          <w:tcPr>
            <w:tcW w:w="5000" w:type="pct"/>
            <w:gridSpan w:val="3"/>
          </w:tcPr>
          <w:p w:rsidR="00F71199" w:rsidRPr="006D673B" w:rsidRDefault="00F71199" w:rsidP="00F71199">
            <w:pPr>
              <w:jc w:val="both"/>
              <w:rPr>
                <w:rFonts w:eastAsia="Calibri"/>
                <w:sz w:val="20"/>
              </w:rPr>
            </w:pPr>
            <w:r w:rsidRPr="006D673B">
              <w:rPr>
                <w:rFonts w:eastAsia="Calibri"/>
                <w:sz w:val="20"/>
              </w:rPr>
              <w:t>The applicant was a member of a platoon at Canadian Forces Base Borden.  She was living off base and had a room located at building A-79 on CFB Borden where all female members of the platoon were temporarily accommodated.  Information was provided by confidential informants, Ontario Provincial Police and Barrie Police Services and an undercover operation was undertaken to confirm that the applicant was involved in trafficking in drugs.</w:t>
            </w:r>
          </w:p>
          <w:p w:rsidR="00F71199" w:rsidRPr="006D673B" w:rsidRDefault="00F71199" w:rsidP="00F71199">
            <w:pPr>
              <w:jc w:val="both"/>
              <w:rPr>
                <w:rFonts w:eastAsia="Calibri"/>
                <w:sz w:val="20"/>
              </w:rPr>
            </w:pPr>
          </w:p>
          <w:p w:rsidR="00F71199" w:rsidRPr="006D673B" w:rsidRDefault="00F71199" w:rsidP="00F71199">
            <w:pPr>
              <w:jc w:val="both"/>
              <w:rPr>
                <w:rFonts w:eastAsia="Calibri"/>
                <w:sz w:val="20"/>
              </w:rPr>
            </w:pPr>
            <w:r w:rsidRPr="006D673B">
              <w:rPr>
                <w:rFonts w:eastAsia="Calibri"/>
                <w:sz w:val="20"/>
              </w:rPr>
              <w:t xml:space="preserve">The undercover operator and applicant became acquainted with each other and during a conversation, the undercover operator asked the applicant “Can you get me some coke?”  Two exchanges were arranged and the applicant twice </w:t>
            </w:r>
            <w:r w:rsidRPr="006D673B">
              <w:rPr>
                <w:rFonts w:eastAsia="Calibri"/>
                <w:sz w:val="20"/>
              </w:rPr>
              <w:lastRenderedPageBreak/>
              <w:t>delivered drugs to the undercover operator.</w:t>
            </w:r>
          </w:p>
          <w:p w:rsidR="00F71199" w:rsidRPr="006D673B" w:rsidRDefault="00F71199" w:rsidP="00F71199">
            <w:pPr>
              <w:jc w:val="both"/>
              <w:rPr>
                <w:rFonts w:eastAsia="Calibri"/>
                <w:sz w:val="20"/>
              </w:rPr>
            </w:pPr>
          </w:p>
          <w:p w:rsidR="00F71199" w:rsidRPr="006D673B" w:rsidRDefault="00F71199" w:rsidP="00F71199">
            <w:pPr>
              <w:jc w:val="both"/>
              <w:rPr>
                <w:rFonts w:eastAsia="Calibri"/>
                <w:sz w:val="20"/>
              </w:rPr>
            </w:pPr>
            <w:r w:rsidRPr="006D673B">
              <w:rPr>
                <w:rFonts w:eastAsia="Calibri"/>
                <w:sz w:val="20"/>
              </w:rPr>
              <w:t xml:space="preserve">The applicant was found guilty of trafficking contrary to s. 5(1) of the </w:t>
            </w:r>
            <w:r w:rsidRPr="006D673B">
              <w:rPr>
                <w:rFonts w:eastAsia="Calibri"/>
                <w:i/>
                <w:sz w:val="20"/>
              </w:rPr>
              <w:t>Controlled Drugs and Substances Act</w:t>
            </w:r>
            <w:r w:rsidRPr="006D673B">
              <w:rPr>
                <w:rFonts w:eastAsia="Calibri"/>
                <w:sz w:val="20"/>
              </w:rPr>
              <w:t>.  After the finding of guilt, defence counsel brought an application for a stay of the proceedings on the basis that the applicant was entrapped into committing the offences by the military police.</w:t>
            </w:r>
          </w:p>
        </w:tc>
      </w:tr>
      <w:tr w:rsidR="00F71199" w:rsidRPr="006D673B" w:rsidTr="00F71199">
        <w:tc>
          <w:tcPr>
            <w:tcW w:w="5000" w:type="pct"/>
            <w:gridSpan w:val="3"/>
          </w:tcPr>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t>June 10, 2013</w:t>
            </w:r>
          </w:p>
          <w:p w:rsidR="00F71199" w:rsidRPr="006D673B" w:rsidRDefault="00F71199" w:rsidP="00F71199">
            <w:pPr>
              <w:jc w:val="both"/>
              <w:rPr>
                <w:rFonts w:eastAsia="Calibri"/>
                <w:sz w:val="20"/>
              </w:rPr>
            </w:pPr>
            <w:r w:rsidRPr="006D673B">
              <w:rPr>
                <w:rFonts w:eastAsia="Calibri"/>
                <w:sz w:val="20"/>
              </w:rPr>
              <w:t>Standing Court Martial</w:t>
            </w:r>
          </w:p>
          <w:p w:rsidR="00F71199" w:rsidRPr="006D673B" w:rsidRDefault="00F71199" w:rsidP="00F71199">
            <w:pPr>
              <w:jc w:val="both"/>
              <w:rPr>
                <w:rFonts w:eastAsia="Calibri"/>
                <w:sz w:val="20"/>
              </w:rPr>
            </w:pPr>
            <w:r w:rsidRPr="006D673B">
              <w:rPr>
                <w:rFonts w:eastAsia="Calibri"/>
                <w:sz w:val="20"/>
              </w:rPr>
              <w:t>(d'Auteuil M.J.)</w:t>
            </w:r>
          </w:p>
          <w:p w:rsidR="00F71199" w:rsidRPr="006D673B" w:rsidRDefault="00F71199" w:rsidP="00F71199">
            <w:pPr>
              <w:jc w:val="both"/>
              <w:rPr>
                <w:rFonts w:eastAsia="Calibri"/>
                <w:sz w:val="20"/>
              </w:rPr>
            </w:pPr>
            <w:r w:rsidRPr="006D673B">
              <w:rPr>
                <w:rFonts w:eastAsia="Calibri"/>
                <w:sz w:val="20"/>
              </w:rPr>
              <w:t xml:space="preserve">Neutral citation:  </w:t>
            </w:r>
            <w:hyperlink r:id="rId47" w:history="1">
              <w:r w:rsidRPr="006D673B">
                <w:rPr>
                  <w:rFonts w:eastAsia="Calibri"/>
                  <w:color w:val="0000FF"/>
                  <w:sz w:val="20"/>
                  <w:u w:val="single"/>
                </w:rPr>
                <w:t>2013 CM 3013</w:t>
              </w:r>
            </w:hyperlink>
          </w:p>
          <w:p w:rsidR="00F71199" w:rsidRPr="006D673B" w:rsidRDefault="00F71199" w:rsidP="00F71199">
            <w:pPr>
              <w:jc w:val="both"/>
              <w:rPr>
                <w:rFonts w:eastAsia="Calibri"/>
                <w:sz w:val="20"/>
              </w:rPr>
            </w:pPr>
          </w:p>
          <w:p w:rsidR="00F71199" w:rsidRPr="006D673B" w:rsidRDefault="00F71199" w:rsidP="00F71199">
            <w:pPr>
              <w:jc w:val="both"/>
              <w:rPr>
                <w:rFonts w:eastAsia="Calibri"/>
                <w:sz w:val="20"/>
              </w:rPr>
            </w:pPr>
            <w:r w:rsidRPr="006D673B">
              <w:rPr>
                <w:rFonts w:eastAsia="Calibri"/>
                <w:sz w:val="20"/>
              </w:rPr>
              <w:t>June 12, 2013</w:t>
            </w:r>
          </w:p>
          <w:p w:rsidR="00F71199" w:rsidRPr="006D673B" w:rsidRDefault="00F71199" w:rsidP="00F71199">
            <w:pPr>
              <w:jc w:val="both"/>
              <w:rPr>
                <w:rFonts w:eastAsia="Calibri"/>
                <w:sz w:val="20"/>
              </w:rPr>
            </w:pPr>
            <w:r w:rsidRPr="006D673B">
              <w:rPr>
                <w:rFonts w:eastAsia="Calibri"/>
                <w:sz w:val="20"/>
              </w:rPr>
              <w:t>Standing Court Martial</w:t>
            </w:r>
          </w:p>
          <w:p w:rsidR="00F71199" w:rsidRPr="006D673B" w:rsidRDefault="00F71199" w:rsidP="00F71199">
            <w:pPr>
              <w:jc w:val="both"/>
              <w:rPr>
                <w:rFonts w:eastAsia="Calibri"/>
                <w:sz w:val="20"/>
                <w:lang w:val="fr-CA"/>
              </w:rPr>
            </w:pPr>
            <w:r w:rsidRPr="006D673B">
              <w:rPr>
                <w:rFonts w:eastAsia="Calibri"/>
                <w:sz w:val="20"/>
                <w:lang w:val="fr-CA"/>
              </w:rPr>
              <w:t>(d’Auteuil M.J.)</w:t>
            </w:r>
          </w:p>
          <w:p w:rsidR="00F71199" w:rsidRPr="006D673B" w:rsidRDefault="00F71199" w:rsidP="00F71199">
            <w:pPr>
              <w:jc w:val="both"/>
              <w:rPr>
                <w:rFonts w:eastAsia="Calibri"/>
                <w:sz w:val="20"/>
                <w:lang w:val="fr-CA"/>
              </w:rPr>
            </w:pPr>
            <w:r w:rsidRPr="006D673B">
              <w:rPr>
                <w:rFonts w:eastAsia="Calibri"/>
                <w:sz w:val="20"/>
                <w:lang w:val="fr-CA"/>
              </w:rPr>
              <w:t xml:space="preserve">Neutral citation:  </w:t>
            </w:r>
            <w:hyperlink r:id="rId48" w:history="1">
              <w:r w:rsidRPr="006D673B">
                <w:rPr>
                  <w:rFonts w:eastAsia="Calibri"/>
                  <w:color w:val="0000FF"/>
                  <w:sz w:val="20"/>
                  <w:u w:val="single"/>
                  <w:lang w:val="fr-CA"/>
                </w:rPr>
                <w:t>2013 CM 3014</w:t>
              </w:r>
            </w:hyperlink>
          </w:p>
          <w:p w:rsidR="00F71199" w:rsidRPr="006D673B" w:rsidRDefault="00F71199" w:rsidP="00F71199">
            <w:pPr>
              <w:jc w:val="both"/>
              <w:rPr>
                <w:rFonts w:eastAsia="Calibri"/>
                <w:sz w:val="20"/>
                <w:lang w:val="fr-CA"/>
              </w:rPr>
            </w:pPr>
          </w:p>
        </w:tc>
        <w:tc>
          <w:tcPr>
            <w:tcW w:w="243" w:type="pct"/>
          </w:tcPr>
          <w:p w:rsidR="00F71199" w:rsidRPr="006D673B" w:rsidRDefault="00F71199" w:rsidP="00F71199">
            <w:pPr>
              <w:jc w:val="both"/>
              <w:rPr>
                <w:rFonts w:eastAsia="Calibri"/>
                <w:sz w:val="20"/>
                <w:lang w:val="fr-CA"/>
              </w:rPr>
            </w:pPr>
          </w:p>
        </w:tc>
        <w:tc>
          <w:tcPr>
            <w:tcW w:w="2330" w:type="pct"/>
          </w:tcPr>
          <w:p w:rsidR="00F71199" w:rsidRPr="006D673B" w:rsidRDefault="00F71199" w:rsidP="00F71199">
            <w:pPr>
              <w:jc w:val="both"/>
              <w:rPr>
                <w:rFonts w:eastAsia="Calibri"/>
                <w:sz w:val="20"/>
              </w:rPr>
            </w:pPr>
            <w:r w:rsidRPr="006D673B">
              <w:rPr>
                <w:rFonts w:eastAsia="Calibri"/>
                <w:sz w:val="20"/>
              </w:rPr>
              <w:t xml:space="preserve">Applicant found guilty of service offences punishable under s. 130 of the </w:t>
            </w:r>
            <w:r w:rsidRPr="006D673B">
              <w:rPr>
                <w:rFonts w:eastAsia="Calibri"/>
                <w:i/>
                <w:sz w:val="20"/>
              </w:rPr>
              <w:t>National Defence Act</w:t>
            </w:r>
            <w:r w:rsidRPr="006D673B">
              <w:rPr>
                <w:rFonts w:eastAsia="Calibri"/>
                <w:sz w:val="20"/>
              </w:rPr>
              <w:t xml:space="preserve"> for trafficking contrary to s. 5(1) of the </w:t>
            </w:r>
            <w:r w:rsidRPr="006D673B">
              <w:rPr>
                <w:rFonts w:eastAsia="Calibri"/>
                <w:i/>
                <w:sz w:val="20"/>
              </w:rPr>
              <w:t>Controlled Drugs and Substances Act</w:t>
            </w:r>
          </w:p>
          <w:p w:rsidR="00F71199" w:rsidRPr="006D673B" w:rsidRDefault="00F71199" w:rsidP="00F71199">
            <w:pPr>
              <w:jc w:val="both"/>
              <w:rPr>
                <w:rFonts w:eastAsia="Calibri"/>
                <w:sz w:val="20"/>
              </w:rPr>
            </w:pPr>
          </w:p>
          <w:p w:rsidR="00F71199" w:rsidRPr="006D673B" w:rsidRDefault="00F71199" w:rsidP="00F71199">
            <w:pPr>
              <w:jc w:val="both"/>
              <w:rPr>
                <w:rFonts w:eastAsia="Calibri"/>
                <w:sz w:val="20"/>
              </w:rPr>
            </w:pPr>
            <w:r w:rsidRPr="006D673B">
              <w:rPr>
                <w:rFonts w:eastAsia="Calibri"/>
                <w:sz w:val="20"/>
              </w:rPr>
              <w:t>Application for a stay of proceedings on the basis of entrapment dismissed</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t>March 7, 2014</w:t>
            </w:r>
          </w:p>
          <w:p w:rsidR="00F71199" w:rsidRPr="006D673B" w:rsidRDefault="00F71199" w:rsidP="00F71199">
            <w:pPr>
              <w:jc w:val="both"/>
              <w:rPr>
                <w:rFonts w:eastAsia="Calibri"/>
                <w:sz w:val="20"/>
              </w:rPr>
            </w:pPr>
            <w:r w:rsidRPr="006D673B">
              <w:rPr>
                <w:rFonts w:eastAsia="Calibri"/>
                <w:sz w:val="20"/>
              </w:rPr>
              <w:t>Court Martial Appeal Court of Canada</w:t>
            </w:r>
          </w:p>
          <w:p w:rsidR="00F71199" w:rsidRPr="006D673B" w:rsidRDefault="00F71199" w:rsidP="00F71199">
            <w:pPr>
              <w:jc w:val="both"/>
              <w:rPr>
                <w:rFonts w:eastAsia="Calibri"/>
                <w:sz w:val="20"/>
              </w:rPr>
            </w:pPr>
            <w:r w:rsidRPr="006D673B">
              <w:rPr>
                <w:rFonts w:eastAsia="Calibri"/>
                <w:sz w:val="20"/>
              </w:rPr>
              <w:t>(Ewaschuk, Stratas and Rennie JJ.A.)</w:t>
            </w:r>
          </w:p>
          <w:p w:rsidR="00F71199" w:rsidRPr="006D673B" w:rsidRDefault="00F71199" w:rsidP="00F71199">
            <w:pPr>
              <w:jc w:val="both"/>
              <w:rPr>
                <w:rFonts w:eastAsia="Calibri"/>
                <w:sz w:val="20"/>
              </w:rPr>
            </w:pPr>
            <w:r w:rsidRPr="006D673B">
              <w:rPr>
                <w:rFonts w:eastAsia="Calibri"/>
                <w:sz w:val="20"/>
              </w:rPr>
              <w:t xml:space="preserve">Neutral citation:  </w:t>
            </w:r>
            <w:hyperlink r:id="rId49" w:history="1">
              <w:r w:rsidRPr="006D673B">
                <w:rPr>
                  <w:rFonts w:eastAsia="Calibri"/>
                  <w:color w:val="0000FF"/>
                  <w:sz w:val="20"/>
                  <w:u w:val="single"/>
                </w:rPr>
                <w:t>2014 CMAC 3</w:t>
              </w:r>
            </w:hyperlink>
          </w:p>
          <w:p w:rsidR="00F71199" w:rsidRPr="006D673B" w:rsidRDefault="00F71199" w:rsidP="00F71199">
            <w:pPr>
              <w:jc w:val="both"/>
              <w:rPr>
                <w:rFonts w:eastAsia="Calibri"/>
                <w:sz w:val="20"/>
              </w:rPr>
            </w:pP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Appeal dismissed</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t>May 5, 2014</w:t>
            </w:r>
          </w:p>
          <w:p w:rsidR="00F71199" w:rsidRPr="006D673B" w:rsidRDefault="00F71199" w:rsidP="00F71199">
            <w:pPr>
              <w:jc w:val="both"/>
              <w:rPr>
                <w:rFonts w:eastAsia="Calibri"/>
                <w:sz w:val="20"/>
              </w:rPr>
            </w:pPr>
            <w:r w:rsidRPr="006D673B">
              <w:rPr>
                <w:rFonts w:eastAsia="Calibri"/>
                <w:sz w:val="20"/>
              </w:rPr>
              <w:t>Supreme Court of Canada</w:t>
            </w: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Application for leave to appeal filed</w:t>
            </w: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51"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1199" w:rsidRPr="00FA49F9" w:rsidTr="00F71199">
        <w:tc>
          <w:tcPr>
            <w:tcW w:w="5000" w:type="pct"/>
            <w:gridSpan w:val="3"/>
          </w:tcPr>
          <w:p w:rsidR="00F71199" w:rsidRPr="006D673B" w:rsidRDefault="00F71199" w:rsidP="00F71199">
            <w:pPr>
              <w:jc w:val="both"/>
              <w:rPr>
                <w:rFonts w:eastAsia="Calibri"/>
                <w:sz w:val="20"/>
                <w:lang w:val="fr-CA"/>
              </w:rPr>
            </w:pPr>
            <w:r w:rsidRPr="006D673B">
              <w:rPr>
                <w:rFonts w:eastAsia="Calibri"/>
                <w:i/>
                <w:sz w:val="20"/>
                <w:lang w:val="fr-CA"/>
              </w:rPr>
              <w:t xml:space="preserve">Charte canadienne des droits et libertés </w:t>
            </w:r>
            <w:r w:rsidRPr="006D673B">
              <w:rPr>
                <w:rFonts w:eastAsia="Calibri"/>
                <w:sz w:val="20"/>
                <w:lang w:val="fr-CA"/>
              </w:rPr>
              <w:t>– Droit criminel – L’al. 130(1)</w:t>
            </w:r>
            <w:r w:rsidRPr="006D673B">
              <w:rPr>
                <w:rFonts w:eastAsia="Calibri"/>
                <w:i/>
                <w:sz w:val="20"/>
                <w:lang w:val="fr-CA"/>
              </w:rPr>
              <w:t>a</w:t>
            </w:r>
            <w:r w:rsidRPr="006D673B">
              <w:rPr>
                <w:rFonts w:eastAsia="Calibri"/>
                <w:sz w:val="20"/>
                <w:lang w:val="fr-CA"/>
              </w:rPr>
              <w:t xml:space="preserve">) de la </w:t>
            </w:r>
            <w:r w:rsidRPr="006D673B">
              <w:rPr>
                <w:rFonts w:eastAsia="Calibri"/>
                <w:i/>
                <w:sz w:val="20"/>
                <w:lang w:val="fr-CA"/>
              </w:rPr>
              <w:t>Loi sur la défense nationale</w:t>
            </w:r>
            <w:r w:rsidRPr="006D673B">
              <w:rPr>
                <w:rFonts w:eastAsia="Calibri"/>
                <w:sz w:val="20"/>
                <w:lang w:val="fr-CA"/>
              </w:rPr>
              <w:t xml:space="preserve"> enfreint-il l’art. 7 et l’al. 11</w:t>
            </w:r>
            <w:r w:rsidRPr="006D673B">
              <w:rPr>
                <w:rFonts w:eastAsia="Calibri"/>
                <w:i/>
                <w:sz w:val="20"/>
                <w:lang w:val="fr-CA"/>
              </w:rPr>
              <w:t>f</w:t>
            </w:r>
            <w:r w:rsidRPr="006D673B">
              <w:rPr>
                <w:rFonts w:eastAsia="Calibri"/>
                <w:sz w:val="20"/>
                <w:lang w:val="fr-CA"/>
              </w:rPr>
              <w:t xml:space="preserve">) de la </w:t>
            </w:r>
            <w:r w:rsidRPr="006D673B">
              <w:rPr>
                <w:rFonts w:eastAsia="Calibri"/>
                <w:i/>
                <w:sz w:val="20"/>
                <w:lang w:val="fr-CA"/>
              </w:rPr>
              <w:t>Charte</w:t>
            </w:r>
            <w:r w:rsidRPr="006D673B">
              <w:rPr>
                <w:rFonts w:eastAsia="Calibri"/>
                <w:sz w:val="20"/>
                <w:lang w:val="fr-CA"/>
              </w:rPr>
              <w:t>? – La doctrine du lien avec le service militaire s’applique-t-elle à l’al. 130(1)</w:t>
            </w:r>
            <w:r w:rsidRPr="006D673B">
              <w:rPr>
                <w:rFonts w:eastAsia="Calibri"/>
                <w:i/>
                <w:sz w:val="20"/>
                <w:lang w:val="fr-CA"/>
              </w:rPr>
              <w:t>a</w:t>
            </w:r>
            <w:r w:rsidRPr="006D673B">
              <w:rPr>
                <w:rFonts w:eastAsia="Calibri"/>
                <w:sz w:val="20"/>
                <w:lang w:val="fr-CA"/>
              </w:rPr>
              <w:t xml:space="preserve">) de la </w:t>
            </w:r>
            <w:r w:rsidRPr="006D673B">
              <w:rPr>
                <w:rFonts w:eastAsia="Calibri"/>
                <w:i/>
                <w:sz w:val="20"/>
                <w:lang w:val="fr-CA"/>
              </w:rPr>
              <w:t>Loi sur la défense nationale</w:t>
            </w:r>
            <w:r w:rsidRPr="006D673B">
              <w:rPr>
                <w:rFonts w:eastAsia="Calibri"/>
                <w:sz w:val="20"/>
                <w:lang w:val="fr-CA"/>
              </w:rPr>
              <w:t>? – L’al. 130(1)</w:t>
            </w:r>
            <w:r w:rsidRPr="006D673B">
              <w:rPr>
                <w:rFonts w:eastAsia="Calibri"/>
                <w:i/>
                <w:sz w:val="20"/>
                <w:lang w:val="fr-CA"/>
              </w:rPr>
              <w:t>a</w:t>
            </w:r>
            <w:r w:rsidRPr="006D673B">
              <w:rPr>
                <w:rFonts w:eastAsia="Calibri"/>
                <w:sz w:val="20"/>
                <w:lang w:val="fr-CA"/>
              </w:rPr>
              <w:t xml:space="preserve">) de la </w:t>
            </w:r>
            <w:r w:rsidRPr="006D673B">
              <w:rPr>
                <w:rFonts w:eastAsia="Calibri"/>
                <w:i/>
                <w:sz w:val="20"/>
                <w:lang w:val="fr-CA"/>
              </w:rPr>
              <w:t>Loi sur la défense nationale</w:t>
            </w:r>
            <w:r w:rsidRPr="006D673B">
              <w:rPr>
                <w:rFonts w:eastAsia="Calibri"/>
                <w:sz w:val="20"/>
                <w:lang w:val="fr-CA"/>
              </w:rPr>
              <w:t xml:space="preserve"> est-il constitutionnel? – Provocation policière – La Cour d’appel de la cour martiale a-t-elle commis une erreur en modifiant deux concepts fondamentaux du droit en matière de provocation policière, à savoir en élargissant la portée de l’exception relative à la tenue d’une véritable enquête et en donnant une définition erronée de ce qui constitue une « occasion de commettre une infraction »? – </w:t>
            </w:r>
            <w:r w:rsidRPr="006D673B">
              <w:rPr>
                <w:rFonts w:eastAsia="Calibri"/>
                <w:i/>
                <w:sz w:val="20"/>
                <w:lang w:val="fr-CA"/>
              </w:rPr>
              <w:t>Charte canadienne des droits et libertés</w:t>
            </w:r>
            <w:r w:rsidRPr="006D673B">
              <w:rPr>
                <w:rFonts w:eastAsia="Calibri"/>
                <w:sz w:val="20"/>
                <w:lang w:val="fr-CA"/>
              </w:rPr>
              <w:t>, art. 7 et 11</w:t>
            </w:r>
            <w:r w:rsidRPr="006D673B">
              <w:rPr>
                <w:rFonts w:eastAsia="Calibri"/>
                <w:i/>
                <w:sz w:val="20"/>
                <w:lang w:val="fr-CA"/>
              </w:rPr>
              <w:t>f</w:t>
            </w:r>
            <w:r w:rsidRPr="006D673B">
              <w:rPr>
                <w:rFonts w:eastAsia="Calibri"/>
                <w:sz w:val="20"/>
                <w:lang w:val="fr-CA"/>
              </w:rPr>
              <w:t>).</w:t>
            </w:r>
          </w:p>
          <w:p w:rsidR="00F71199" w:rsidRPr="006D673B" w:rsidRDefault="00F71199" w:rsidP="00F71199">
            <w:pPr>
              <w:jc w:val="both"/>
              <w:rPr>
                <w:rFonts w:eastAsia="Calibri"/>
                <w:sz w:val="20"/>
                <w:lang w:val="fr-CA"/>
              </w:rPr>
            </w:pPr>
          </w:p>
        </w:tc>
      </w:tr>
      <w:tr w:rsidR="00F71199" w:rsidRPr="00FA49F9" w:rsidTr="00F71199">
        <w:tc>
          <w:tcPr>
            <w:tcW w:w="5000" w:type="pct"/>
            <w:gridSpan w:val="3"/>
          </w:tcPr>
          <w:p w:rsidR="00F71199" w:rsidRPr="006D673B" w:rsidRDefault="00F71199" w:rsidP="00F71199">
            <w:pPr>
              <w:jc w:val="both"/>
              <w:rPr>
                <w:rFonts w:eastAsia="Calibri"/>
                <w:sz w:val="20"/>
                <w:lang w:val="fr-CA"/>
              </w:rPr>
            </w:pPr>
            <w:r w:rsidRPr="006D673B">
              <w:rPr>
                <w:rFonts w:eastAsia="Calibri"/>
                <w:sz w:val="20"/>
                <w:lang w:val="fr-CA"/>
              </w:rPr>
              <w:t>La demanderesse faisait partie d’un peloton rattaché à la Base des Forces canadiennes Borden.  Elle n’habitait pas la base, mais y disposait d’une chambre dans le bâtiment A-79, où étaient logées temporairement toutes les femmes du peloton.  D’après des renseignements provenant de sources anonymes, de la Police provinciale de l’Ontario et des services de police de Barrie, une opération d’infiltration a été mise sur pied pour confirmer que la demanderesse trempait dans le trafic de drogue.</w:t>
            </w:r>
          </w:p>
          <w:p w:rsidR="00F71199" w:rsidRPr="006D673B" w:rsidRDefault="00F71199" w:rsidP="00F71199">
            <w:pPr>
              <w:jc w:val="both"/>
              <w:rPr>
                <w:rFonts w:eastAsia="Calibri"/>
                <w:sz w:val="20"/>
                <w:lang w:val="fr-CA"/>
              </w:rPr>
            </w:pPr>
          </w:p>
          <w:p w:rsidR="00F71199" w:rsidRPr="006D673B" w:rsidRDefault="00F71199" w:rsidP="00F71199">
            <w:pPr>
              <w:jc w:val="both"/>
              <w:rPr>
                <w:rFonts w:eastAsia="Calibri"/>
                <w:sz w:val="20"/>
                <w:lang w:val="fr-CA"/>
              </w:rPr>
            </w:pPr>
            <w:r w:rsidRPr="006D673B">
              <w:rPr>
                <w:rFonts w:eastAsia="Calibri"/>
                <w:sz w:val="20"/>
                <w:lang w:val="fr-CA"/>
              </w:rPr>
              <w:t>L’agent d’infiltration et la demanderesse ayant fait connaissance, le premier a demandé à la seconde au cours d’une conversation si elle pouvait lui fournir de la cocaïne.  Deux échanges ont été convenus, et la demanderesse a livré la drogue à l’agent d’infiltration à deux reprises.</w:t>
            </w:r>
          </w:p>
          <w:p w:rsidR="00F71199" w:rsidRPr="006D673B" w:rsidRDefault="00F71199" w:rsidP="00F71199">
            <w:pPr>
              <w:jc w:val="both"/>
              <w:rPr>
                <w:rFonts w:eastAsia="Calibri"/>
                <w:sz w:val="20"/>
                <w:lang w:val="fr-CA"/>
              </w:rPr>
            </w:pPr>
          </w:p>
          <w:p w:rsidR="00F71199" w:rsidRPr="006D673B" w:rsidRDefault="00F71199" w:rsidP="00F71199">
            <w:pPr>
              <w:jc w:val="both"/>
              <w:rPr>
                <w:rFonts w:eastAsia="Calibri"/>
                <w:sz w:val="20"/>
                <w:lang w:val="fr-CA"/>
              </w:rPr>
            </w:pPr>
            <w:r w:rsidRPr="006D673B">
              <w:rPr>
                <w:rFonts w:eastAsia="Calibri"/>
                <w:sz w:val="20"/>
                <w:lang w:val="fr-CA"/>
              </w:rPr>
              <w:t xml:space="preserve">La demanderesse a été déclarée coupable de trafic, une infraction interdite par l’al. 5(1) de la </w:t>
            </w:r>
            <w:r w:rsidRPr="006D673B">
              <w:rPr>
                <w:rFonts w:eastAsia="Calibri"/>
                <w:i/>
                <w:sz w:val="20"/>
                <w:lang w:val="fr-CA"/>
              </w:rPr>
              <w:t>Loi réglementant certaines drogues et autres substances</w:t>
            </w:r>
            <w:r w:rsidRPr="006D673B">
              <w:rPr>
                <w:rFonts w:eastAsia="Calibri"/>
                <w:sz w:val="20"/>
                <w:lang w:val="fr-CA"/>
              </w:rPr>
              <w:t xml:space="preserve">.  Après le prononcé de la déclaration de culpabilité, l’avocat de la défense a demandé l’arrêt de l’instance au motif que la police militaire avait incité la demanderesse à commettre l’infraction. </w:t>
            </w:r>
          </w:p>
        </w:tc>
      </w:tr>
      <w:tr w:rsidR="00F71199" w:rsidRPr="00FA49F9" w:rsidTr="00F71199">
        <w:tc>
          <w:tcPr>
            <w:tcW w:w="5000" w:type="pct"/>
            <w:gridSpan w:val="3"/>
          </w:tcPr>
          <w:p w:rsidR="00F71199" w:rsidRPr="006D673B" w:rsidRDefault="00F71199" w:rsidP="00F71199">
            <w:pPr>
              <w:jc w:val="both"/>
              <w:rPr>
                <w:rFonts w:eastAsia="Calibri"/>
                <w:sz w:val="20"/>
                <w:lang w:val="fr-CA"/>
              </w:rPr>
            </w:pPr>
          </w:p>
        </w:tc>
      </w:tr>
      <w:tr w:rsidR="00F71199" w:rsidRPr="00FA49F9" w:rsidTr="00F71199">
        <w:tc>
          <w:tcPr>
            <w:tcW w:w="2427" w:type="pct"/>
          </w:tcPr>
          <w:p w:rsidR="00F71199" w:rsidRPr="006D673B" w:rsidRDefault="00F71199" w:rsidP="00F71199">
            <w:pPr>
              <w:jc w:val="both"/>
              <w:rPr>
                <w:rFonts w:eastAsia="Calibri"/>
                <w:sz w:val="20"/>
                <w:lang w:val="fr-CA"/>
              </w:rPr>
            </w:pPr>
            <w:r w:rsidRPr="006D673B">
              <w:rPr>
                <w:rFonts w:eastAsia="Calibri"/>
                <w:sz w:val="20"/>
                <w:lang w:val="fr-CA"/>
              </w:rPr>
              <w:lastRenderedPageBreak/>
              <w:t>10 juin 2013</w:t>
            </w:r>
          </w:p>
          <w:p w:rsidR="00F71199" w:rsidRPr="006D673B" w:rsidRDefault="00F71199" w:rsidP="00F71199">
            <w:pPr>
              <w:jc w:val="both"/>
              <w:rPr>
                <w:rFonts w:eastAsia="Calibri"/>
                <w:sz w:val="20"/>
                <w:lang w:val="fr-CA"/>
              </w:rPr>
            </w:pPr>
            <w:r w:rsidRPr="006D673B">
              <w:rPr>
                <w:rFonts w:eastAsia="Calibri"/>
                <w:sz w:val="20"/>
                <w:lang w:val="fr-CA"/>
              </w:rPr>
              <w:t>Cour martiale permanente</w:t>
            </w:r>
          </w:p>
          <w:p w:rsidR="00F71199" w:rsidRPr="006D673B" w:rsidRDefault="00F71199" w:rsidP="00F71199">
            <w:pPr>
              <w:jc w:val="both"/>
              <w:rPr>
                <w:rFonts w:eastAsia="Calibri"/>
                <w:sz w:val="20"/>
                <w:lang w:val="fr-CA"/>
              </w:rPr>
            </w:pPr>
            <w:r w:rsidRPr="006D673B">
              <w:rPr>
                <w:rFonts w:eastAsia="Calibri"/>
                <w:sz w:val="20"/>
                <w:lang w:val="fr-CA"/>
              </w:rPr>
              <w:t>(Juge d'Auteuil)</w:t>
            </w:r>
          </w:p>
          <w:p w:rsidR="00F71199" w:rsidRPr="006D673B" w:rsidRDefault="00F71199" w:rsidP="00F71199">
            <w:pPr>
              <w:jc w:val="both"/>
              <w:rPr>
                <w:rFonts w:eastAsia="Calibri"/>
                <w:sz w:val="20"/>
                <w:lang w:val="fr-CA"/>
              </w:rPr>
            </w:pPr>
            <w:r w:rsidRPr="006D673B">
              <w:rPr>
                <w:rFonts w:eastAsia="Calibri"/>
                <w:sz w:val="20"/>
                <w:lang w:val="fr-CA"/>
              </w:rPr>
              <w:t xml:space="preserve">Référence neutre :  </w:t>
            </w:r>
            <w:hyperlink r:id="rId50" w:history="1">
              <w:r w:rsidRPr="006D673B">
                <w:rPr>
                  <w:rFonts w:eastAsia="Calibri"/>
                  <w:color w:val="0000FF"/>
                  <w:sz w:val="20"/>
                  <w:u w:val="single"/>
                  <w:lang w:val="fr-CA"/>
                </w:rPr>
                <w:t>2013 CM 3013</w:t>
              </w:r>
            </w:hyperlink>
          </w:p>
          <w:p w:rsidR="00F71199" w:rsidRPr="006D673B" w:rsidRDefault="00F71199" w:rsidP="00F71199">
            <w:pPr>
              <w:jc w:val="both"/>
              <w:rPr>
                <w:rFonts w:eastAsia="Calibri"/>
                <w:sz w:val="20"/>
                <w:lang w:val="fr-CA"/>
              </w:rPr>
            </w:pPr>
          </w:p>
          <w:p w:rsidR="00F71199" w:rsidRPr="006D673B" w:rsidRDefault="00F71199" w:rsidP="00F71199">
            <w:pPr>
              <w:jc w:val="both"/>
              <w:rPr>
                <w:rFonts w:eastAsia="Calibri"/>
                <w:sz w:val="20"/>
                <w:lang w:val="fr-CA"/>
              </w:rPr>
            </w:pPr>
          </w:p>
          <w:p w:rsidR="00F71199" w:rsidRPr="006D673B" w:rsidRDefault="00F71199" w:rsidP="00F71199">
            <w:pPr>
              <w:jc w:val="both"/>
              <w:rPr>
                <w:rFonts w:eastAsia="Calibri"/>
                <w:sz w:val="20"/>
                <w:lang w:val="fr-CA"/>
              </w:rPr>
            </w:pPr>
            <w:r w:rsidRPr="006D673B">
              <w:rPr>
                <w:rFonts w:eastAsia="Calibri"/>
                <w:sz w:val="20"/>
                <w:lang w:val="fr-CA"/>
              </w:rPr>
              <w:t>12 juin 2013</w:t>
            </w:r>
          </w:p>
          <w:p w:rsidR="00F71199" w:rsidRPr="006D673B" w:rsidRDefault="00F71199" w:rsidP="00F71199">
            <w:pPr>
              <w:jc w:val="both"/>
              <w:rPr>
                <w:rFonts w:eastAsia="Calibri"/>
                <w:sz w:val="20"/>
                <w:lang w:val="fr-CA"/>
              </w:rPr>
            </w:pPr>
            <w:r w:rsidRPr="006D673B">
              <w:rPr>
                <w:rFonts w:eastAsia="Calibri"/>
                <w:sz w:val="20"/>
                <w:lang w:val="fr-CA"/>
              </w:rPr>
              <w:t>Cour martiale permanente</w:t>
            </w:r>
          </w:p>
          <w:p w:rsidR="00F71199" w:rsidRPr="006D673B" w:rsidRDefault="00F71199" w:rsidP="00F71199">
            <w:pPr>
              <w:jc w:val="both"/>
              <w:rPr>
                <w:rFonts w:eastAsia="Calibri"/>
                <w:sz w:val="20"/>
                <w:lang w:val="fr-CA"/>
              </w:rPr>
            </w:pPr>
            <w:r w:rsidRPr="006D673B">
              <w:rPr>
                <w:rFonts w:eastAsia="Calibri"/>
                <w:sz w:val="20"/>
                <w:lang w:val="fr-CA"/>
              </w:rPr>
              <w:t>(Juge d’Auteuil)</w:t>
            </w:r>
          </w:p>
          <w:p w:rsidR="00F71199" w:rsidRPr="006D673B" w:rsidRDefault="00F71199" w:rsidP="00F71199">
            <w:pPr>
              <w:jc w:val="both"/>
              <w:rPr>
                <w:rFonts w:eastAsia="Calibri"/>
                <w:sz w:val="20"/>
                <w:lang w:val="fr-CA"/>
              </w:rPr>
            </w:pPr>
            <w:r w:rsidRPr="006D673B">
              <w:rPr>
                <w:rFonts w:eastAsia="Calibri"/>
                <w:sz w:val="20"/>
                <w:lang w:val="fr-CA"/>
              </w:rPr>
              <w:t xml:space="preserve">Référence neutre :  </w:t>
            </w:r>
            <w:hyperlink r:id="rId51" w:history="1">
              <w:r w:rsidRPr="006D673B">
                <w:rPr>
                  <w:rFonts w:eastAsia="Calibri"/>
                  <w:color w:val="0000FF"/>
                  <w:sz w:val="20"/>
                  <w:u w:val="single"/>
                  <w:lang w:val="fr-CA"/>
                </w:rPr>
                <w:t>2013 CM 3014</w:t>
              </w:r>
            </w:hyperlink>
          </w:p>
          <w:p w:rsidR="00F71199" w:rsidRPr="006D673B" w:rsidRDefault="00F71199" w:rsidP="00F71199">
            <w:pPr>
              <w:jc w:val="both"/>
              <w:rPr>
                <w:rFonts w:eastAsia="Calibri"/>
                <w:sz w:val="20"/>
                <w:lang w:val="fr-CA"/>
              </w:rPr>
            </w:pPr>
          </w:p>
        </w:tc>
        <w:tc>
          <w:tcPr>
            <w:tcW w:w="243" w:type="pct"/>
          </w:tcPr>
          <w:p w:rsidR="00F71199" w:rsidRPr="006D673B" w:rsidRDefault="00F71199" w:rsidP="00F71199">
            <w:pPr>
              <w:jc w:val="both"/>
              <w:rPr>
                <w:rFonts w:eastAsia="Calibri"/>
                <w:sz w:val="20"/>
                <w:lang w:val="fr-CA"/>
              </w:rPr>
            </w:pPr>
          </w:p>
        </w:tc>
        <w:tc>
          <w:tcPr>
            <w:tcW w:w="2330" w:type="pct"/>
          </w:tcPr>
          <w:p w:rsidR="00F71199" w:rsidRPr="006D673B" w:rsidRDefault="00F71199" w:rsidP="00F71199">
            <w:pPr>
              <w:jc w:val="both"/>
              <w:rPr>
                <w:rFonts w:eastAsia="Calibri"/>
                <w:sz w:val="20"/>
                <w:lang w:val="fr-CA"/>
              </w:rPr>
            </w:pPr>
            <w:r w:rsidRPr="006D673B">
              <w:rPr>
                <w:rFonts w:eastAsia="Calibri"/>
                <w:sz w:val="20"/>
                <w:lang w:val="fr-CA"/>
              </w:rPr>
              <w:t xml:space="preserve">Demanderesse déclarée coupable d’infractions d’ordre militaire passibles d’une peine au titre de l’art. 130 de la </w:t>
            </w:r>
            <w:r w:rsidRPr="006D673B">
              <w:rPr>
                <w:rFonts w:eastAsia="Calibri"/>
                <w:i/>
                <w:sz w:val="20"/>
                <w:lang w:val="fr-CA"/>
              </w:rPr>
              <w:t>Loi sur la défense nationale</w:t>
            </w:r>
            <w:r w:rsidRPr="006D673B">
              <w:rPr>
                <w:rFonts w:eastAsia="Calibri"/>
                <w:sz w:val="20"/>
                <w:lang w:val="fr-CA"/>
              </w:rPr>
              <w:t xml:space="preserve"> pour trafic, une infraction prévue au par. 5(1) de la </w:t>
            </w:r>
            <w:r w:rsidRPr="006D673B">
              <w:rPr>
                <w:rFonts w:eastAsia="Calibri"/>
                <w:i/>
                <w:sz w:val="20"/>
                <w:lang w:val="fr-CA"/>
              </w:rPr>
              <w:t>Loi réglementant certaines drogues et autres substances</w:t>
            </w:r>
            <w:r w:rsidRPr="006D673B">
              <w:rPr>
                <w:rFonts w:eastAsia="Calibri"/>
                <w:sz w:val="20"/>
                <w:lang w:val="fr-CA"/>
              </w:rPr>
              <w:t xml:space="preserve"> </w:t>
            </w:r>
          </w:p>
          <w:p w:rsidR="00F71199" w:rsidRPr="006D673B" w:rsidRDefault="00F71199" w:rsidP="00F71199">
            <w:pPr>
              <w:jc w:val="both"/>
              <w:rPr>
                <w:rFonts w:eastAsia="Calibri"/>
                <w:sz w:val="20"/>
                <w:lang w:val="fr-CA"/>
              </w:rPr>
            </w:pPr>
          </w:p>
          <w:p w:rsidR="00F71199" w:rsidRPr="006D673B" w:rsidRDefault="00F71199" w:rsidP="00F71199">
            <w:pPr>
              <w:jc w:val="both"/>
              <w:rPr>
                <w:rFonts w:eastAsia="Calibri"/>
                <w:sz w:val="20"/>
                <w:lang w:val="fr-CA"/>
              </w:rPr>
            </w:pPr>
            <w:r w:rsidRPr="006D673B">
              <w:rPr>
                <w:rFonts w:eastAsia="Calibri"/>
                <w:sz w:val="20"/>
                <w:lang w:val="fr-CA"/>
              </w:rPr>
              <w:t>Demande visant l’arrêt de l’instance pour provocation policière rejetée</w:t>
            </w:r>
          </w:p>
          <w:p w:rsidR="00F71199" w:rsidRPr="006D673B" w:rsidRDefault="00F71199" w:rsidP="00F71199">
            <w:pPr>
              <w:jc w:val="both"/>
              <w:rPr>
                <w:rFonts w:eastAsia="Calibri"/>
                <w:sz w:val="20"/>
                <w:lang w:val="fr-CA"/>
              </w:rPr>
            </w:pPr>
          </w:p>
        </w:tc>
      </w:tr>
      <w:tr w:rsidR="00F71199" w:rsidRPr="006D673B" w:rsidTr="00F71199">
        <w:tc>
          <w:tcPr>
            <w:tcW w:w="2427" w:type="pct"/>
          </w:tcPr>
          <w:p w:rsidR="00F71199" w:rsidRPr="006D673B" w:rsidRDefault="00F71199" w:rsidP="00F71199">
            <w:pPr>
              <w:jc w:val="both"/>
              <w:rPr>
                <w:rFonts w:eastAsia="Calibri"/>
                <w:sz w:val="20"/>
                <w:lang w:val="fr-CA"/>
              </w:rPr>
            </w:pPr>
            <w:r w:rsidRPr="006D673B">
              <w:rPr>
                <w:rFonts w:eastAsia="Calibri"/>
                <w:sz w:val="20"/>
                <w:lang w:val="fr-CA"/>
              </w:rPr>
              <w:t>7 mars 2014</w:t>
            </w:r>
          </w:p>
          <w:p w:rsidR="00F71199" w:rsidRPr="006D673B" w:rsidRDefault="00F71199" w:rsidP="00F71199">
            <w:pPr>
              <w:jc w:val="both"/>
              <w:rPr>
                <w:rFonts w:eastAsia="Calibri"/>
                <w:sz w:val="20"/>
                <w:lang w:val="fr-CA"/>
              </w:rPr>
            </w:pPr>
            <w:r w:rsidRPr="006D673B">
              <w:rPr>
                <w:rFonts w:eastAsia="Calibri"/>
                <w:sz w:val="20"/>
                <w:lang w:val="fr-CA"/>
              </w:rPr>
              <w:t>Cour d’appel de la cour martiale du Canada</w:t>
            </w:r>
          </w:p>
          <w:p w:rsidR="00F71199" w:rsidRPr="006D673B" w:rsidRDefault="00F71199" w:rsidP="00F71199">
            <w:pPr>
              <w:jc w:val="both"/>
              <w:rPr>
                <w:rFonts w:eastAsia="Calibri"/>
                <w:sz w:val="20"/>
                <w:lang w:val="fr-CA"/>
              </w:rPr>
            </w:pPr>
            <w:r w:rsidRPr="006D673B">
              <w:rPr>
                <w:rFonts w:eastAsia="Calibri"/>
                <w:sz w:val="20"/>
                <w:lang w:val="fr-CA"/>
              </w:rPr>
              <w:t>(Juges Ewaschuk, Stratas et Rennie)</w:t>
            </w:r>
          </w:p>
          <w:p w:rsidR="00F71199" w:rsidRPr="006D673B" w:rsidRDefault="00F71199" w:rsidP="00F71199">
            <w:pPr>
              <w:jc w:val="both"/>
              <w:rPr>
                <w:rFonts w:eastAsia="Calibri"/>
                <w:sz w:val="20"/>
                <w:lang w:val="fr-CA"/>
              </w:rPr>
            </w:pPr>
            <w:r w:rsidRPr="006D673B">
              <w:rPr>
                <w:rFonts w:eastAsia="Calibri"/>
                <w:sz w:val="20"/>
                <w:lang w:val="fr-CA"/>
              </w:rPr>
              <w:t xml:space="preserve">Référence neutre :  </w:t>
            </w:r>
            <w:hyperlink r:id="rId52" w:history="1">
              <w:r w:rsidRPr="006D673B">
                <w:rPr>
                  <w:rFonts w:eastAsia="Calibri"/>
                  <w:color w:val="0000FF"/>
                  <w:sz w:val="20"/>
                  <w:u w:val="single"/>
                  <w:lang w:val="fr-CA"/>
                </w:rPr>
                <w:t>2014 CMAC 3</w:t>
              </w:r>
            </w:hyperlink>
          </w:p>
          <w:p w:rsidR="00F71199" w:rsidRPr="006D673B" w:rsidRDefault="00F71199" w:rsidP="00F71199">
            <w:pPr>
              <w:jc w:val="both"/>
              <w:rPr>
                <w:rFonts w:eastAsia="Calibri"/>
                <w:sz w:val="20"/>
                <w:lang w:val="fr-CA"/>
              </w:rPr>
            </w:pPr>
          </w:p>
        </w:tc>
        <w:tc>
          <w:tcPr>
            <w:tcW w:w="243" w:type="pct"/>
          </w:tcPr>
          <w:p w:rsidR="00F71199" w:rsidRPr="006D673B" w:rsidRDefault="00F71199" w:rsidP="00F71199">
            <w:pPr>
              <w:jc w:val="both"/>
              <w:rPr>
                <w:rFonts w:eastAsia="Calibri"/>
                <w:sz w:val="20"/>
                <w:lang w:val="fr-CA"/>
              </w:rPr>
            </w:pPr>
          </w:p>
        </w:tc>
        <w:tc>
          <w:tcPr>
            <w:tcW w:w="2330" w:type="pct"/>
          </w:tcPr>
          <w:p w:rsidR="00F71199" w:rsidRPr="006D673B" w:rsidRDefault="00F71199" w:rsidP="00F71199">
            <w:pPr>
              <w:jc w:val="both"/>
              <w:rPr>
                <w:rFonts w:eastAsia="Calibri"/>
                <w:sz w:val="20"/>
                <w:lang w:val="fr-CA"/>
              </w:rPr>
            </w:pPr>
            <w:r w:rsidRPr="006D673B">
              <w:rPr>
                <w:rFonts w:eastAsia="Calibri"/>
                <w:sz w:val="20"/>
                <w:lang w:val="fr-CA"/>
              </w:rPr>
              <w:t>Appel rejeté</w:t>
            </w:r>
          </w:p>
          <w:p w:rsidR="00F71199" w:rsidRPr="006D673B" w:rsidRDefault="00F71199" w:rsidP="00F71199">
            <w:pPr>
              <w:jc w:val="both"/>
              <w:rPr>
                <w:rFonts w:eastAsia="Calibri"/>
                <w:sz w:val="20"/>
                <w:lang w:val="fr-CA"/>
              </w:rPr>
            </w:pPr>
          </w:p>
        </w:tc>
      </w:tr>
      <w:tr w:rsidR="00F71199" w:rsidRPr="006D673B" w:rsidTr="00F71199">
        <w:tc>
          <w:tcPr>
            <w:tcW w:w="2427" w:type="pct"/>
          </w:tcPr>
          <w:p w:rsidR="00F71199" w:rsidRPr="006D673B" w:rsidRDefault="00F71199" w:rsidP="00F71199">
            <w:pPr>
              <w:jc w:val="both"/>
              <w:rPr>
                <w:rFonts w:eastAsia="Calibri"/>
                <w:sz w:val="20"/>
                <w:lang w:val="fr-CA"/>
              </w:rPr>
            </w:pPr>
            <w:r w:rsidRPr="006D673B">
              <w:rPr>
                <w:rFonts w:eastAsia="Calibri"/>
                <w:sz w:val="20"/>
                <w:lang w:val="fr-CA"/>
              </w:rPr>
              <w:t>5 mai 2014</w:t>
            </w:r>
          </w:p>
          <w:p w:rsidR="00F71199" w:rsidRPr="006D673B" w:rsidRDefault="00F71199" w:rsidP="00F71199">
            <w:pPr>
              <w:jc w:val="both"/>
              <w:rPr>
                <w:rFonts w:eastAsia="Calibri"/>
                <w:sz w:val="20"/>
                <w:lang w:val="fr-CA"/>
              </w:rPr>
            </w:pPr>
            <w:r w:rsidRPr="006D673B">
              <w:rPr>
                <w:rFonts w:eastAsia="Calibri"/>
                <w:sz w:val="20"/>
                <w:lang w:val="fr-CA"/>
              </w:rPr>
              <w:t>Cour suprême du Canada</w:t>
            </w:r>
          </w:p>
        </w:tc>
        <w:tc>
          <w:tcPr>
            <w:tcW w:w="243" w:type="pct"/>
          </w:tcPr>
          <w:p w:rsidR="00F71199" w:rsidRPr="006D673B" w:rsidRDefault="00F71199" w:rsidP="00F71199">
            <w:pPr>
              <w:jc w:val="both"/>
              <w:rPr>
                <w:rFonts w:eastAsia="Calibri"/>
                <w:sz w:val="20"/>
                <w:lang w:val="fr-CA"/>
              </w:rPr>
            </w:pPr>
          </w:p>
        </w:tc>
        <w:tc>
          <w:tcPr>
            <w:tcW w:w="2330" w:type="pct"/>
          </w:tcPr>
          <w:p w:rsidR="00F71199" w:rsidRPr="006D673B" w:rsidRDefault="00F71199" w:rsidP="00F71199">
            <w:pPr>
              <w:jc w:val="both"/>
              <w:rPr>
                <w:rFonts w:eastAsia="Calibri"/>
                <w:sz w:val="20"/>
                <w:lang w:val="fr-CA"/>
              </w:rPr>
            </w:pPr>
            <w:r w:rsidRPr="006D673B">
              <w:rPr>
                <w:rFonts w:eastAsia="Calibri"/>
                <w:sz w:val="20"/>
                <w:lang w:val="fr-CA"/>
              </w:rPr>
              <w:t>Demande d’autorisation d’appel déposée</w:t>
            </w:r>
          </w:p>
        </w:tc>
      </w:tr>
    </w:tbl>
    <w:p w:rsidR="007426C2" w:rsidRDefault="007426C2" w:rsidP="007426C2">
      <w:pPr>
        <w:rPr>
          <w:sz w:val="20"/>
          <w:szCs w:val="20"/>
        </w:rPr>
      </w:pPr>
    </w:p>
    <w:p w:rsidR="007426C2" w:rsidRDefault="002B68E4" w:rsidP="007426C2">
      <w:pPr>
        <w:rPr>
          <w:sz w:val="20"/>
          <w:szCs w:val="20"/>
        </w:rPr>
      </w:pPr>
      <w:r>
        <w:rPr>
          <w:sz w:val="20"/>
          <w:szCs w:val="20"/>
          <w:lang w:val="fr-CA"/>
        </w:rPr>
        <w:pict>
          <v:rect id="_x0000_i1052"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47575" w:rsidRPr="00BA3CD9" w:rsidTr="00247575">
        <w:trPr>
          <w:cantSplit/>
        </w:trPr>
        <w:tc>
          <w:tcPr>
            <w:tcW w:w="1458" w:type="dxa"/>
          </w:tcPr>
          <w:p w:rsidR="00247575" w:rsidRPr="00BA3CD9" w:rsidRDefault="00247575" w:rsidP="00247575">
            <w:pPr>
              <w:rPr>
                <w:sz w:val="20"/>
                <w:szCs w:val="20"/>
              </w:rPr>
            </w:pPr>
            <w:r w:rsidRPr="00BA3CD9">
              <w:rPr>
                <w:rStyle w:val="SCCFileNumberChar"/>
                <w:sz w:val="20"/>
                <w:szCs w:val="20"/>
              </w:rPr>
              <w:t>35875</w:t>
            </w:r>
          </w:p>
          <w:p w:rsidR="00247575" w:rsidRPr="00BA3CD9" w:rsidRDefault="00247575" w:rsidP="00247575">
            <w:pPr>
              <w:rPr>
                <w:b/>
                <w:sz w:val="20"/>
                <w:szCs w:val="20"/>
                <w:lang w:val="fr-CA"/>
              </w:rPr>
            </w:pPr>
          </w:p>
        </w:tc>
        <w:tc>
          <w:tcPr>
            <w:tcW w:w="8118" w:type="dxa"/>
          </w:tcPr>
          <w:p w:rsidR="00247575" w:rsidRPr="00BA3CD9" w:rsidRDefault="00247575" w:rsidP="00247575">
            <w:pPr>
              <w:rPr>
                <w:sz w:val="20"/>
                <w:szCs w:val="20"/>
              </w:rPr>
            </w:pPr>
            <w:r w:rsidRPr="00BA3CD9">
              <w:rPr>
                <w:rStyle w:val="SCCLsocChar"/>
                <w:sz w:val="20"/>
                <w:szCs w:val="20"/>
                <w:lang w:val="en-CA"/>
              </w:rPr>
              <w:t>Shawn David Olfman v. RBC Life Insurance Company</w:t>
            </w:r>
            <w:r w:rsidRPr="00BA3CD9">
              <w:rPr>
                <w:sz w:val="20"/>
                <w:szCs w:val="20"/>
              </w:rPr>
              <w:t xml:space="preserve"> (Man.) (Civil) (By Leave)</w:t>
            </w:r>
          </w:p>
          <w:p w:rsidR="00247575" w:rsidRPr="00BA3CD9" w:rsidRDefault="00247575" w:rsidP="00247575">
            <w:pPr>
              <w:rPr>
                <w:sz w:val="20"/>
                <w:szCs w:val="20"/>
              </w:rPr>
            </w:pPr>
          </w:p>
        </w:tc>
      </w:tr>
      <w:tr w:rsidR="00247575" w:rsidRPr="00BA3CD9" w:rsidTr="00247575">
        <w:trPr>
          <w:cantSplit/>
        </w:trPr>
        <w:tc>
          <w:tcPr>
            <w:tcW w:w="1458" w:type="dxa"/>
          </w:tcPr>
          <w:p w:rsidR="00247575" w:rsidRPr="00BA3CD9" w:rsidRDefault="00247575" w:rsidP="00247575">
            <w:pPr>
              <w:rPr>
                <w:sz w:val="20"/>
                <w:szCs w:val="20"/>
              </w:rPr>
            </w:pPr>
            <w:r w:rsidRPr="00BA3CD9">
              <w:rPr>
                <w:sz w:val="20"/>
                <w:szCs w:val="20"/>
              </w:rPr>
              <w:t>Coram :</w:t>
            </w:r>
          </w:p>
        </w:tc>
        <w:tc>
          <w:tcPr>
            <w:tcW w:w="8118" w:type="dxa"/>
          </w:tcPr>
          <w:p w:rsidR="00247575" w:rsidRPr="00BA3CD9" w:rsidRDefault="00247575" w:rsidP="00247575">
            <w:pPr>
              <w:rPr>
                <w:sz w:val="20"/>
                <w:szCs w:val="20"/>
              </w:rPr>
            </w:pPr>
            <w:r w:rsidRPr="00BA3CD9">
              <w:rPr>
                <w:rStyle w:val="SCCCoramChar"/>
                <w:sz w:val="20"/>
                <w:szCs w:val="20"/>
                <w:lang w:val="en-CA"/>
              </w:rPr>
              <w:t>McLachlin C.J. and Cromwell and Wagner JJ.</w:t>
            </w:r>
          </w:p>
          <w:p w:rsidR="00247575" w:rsidRPr="00BA3CD9" w:rsidRDefault="00247575" w:rsidP="00247575">
            <w:pPr>
              <w:rPr>
                <w:sz w:val="20"/>
                <w:szCs w:val="20"/>
                <w:u w:val="single"/>
              </w:rPr>
            </w:pPr>
          </w:p>
        </w:tc>
      </w:tr>
      <w:tr w:rsidR="00247575" w:rsidRPr="00FA49F9" w:rsidTr="00247575">
        <w:trPr>
          <w:cantSplit/>
        </w:trPr>
        <w:tc>
          <w:tcPr>
            <w:tcW w:w="9576" w:type="dxa"/>
            <w:gridSpan w:val="2"/>
          </w:tcPr>
          <w:p w:rsidR="00247575" w:rsidRPr="00BA3CD9" w:rsidRDefault="00247575" w:rsidP="00247575">
            <w:pPr>
              <w:pStyle w:val="SCCShortJudgment"/>
              <w:rPr>
                <w:szCs w:val="20"/>
              </w:rPr>
            </w:pPr>
            <w:r w:rsidRPr="00BA3CD9">
              <w:rPr>
                <w:szCs w:val="20"/>
              </w:rPr>
              <w:t>The application for leave to appeal from the judgment of the Court of Appeal of Manitoba, Number AI 13-30-07999, 2014 MBCA 26, dated March 3, 2014, is dismissed with costs.</w:t>
            </w:r>
          </w:p>
          <w:p w:rsidR="00247575" w:rsidRPr="00BA3CD9" w:rsidRDefault="00247575" w:rsidP="00247575">
            <w:pPr>
              <w:pStyle w:val="SCCShortJudgment"/>
              <w:ind w:firstLine="0"/>
              <w:rPr>
                <w:szCs w:val="20"/>
              </w:rPr>
            </w:pPr>
          </w:p>
          <w:p w:rsidR="00247575" w:rsidRPr="00BA3CD9" w:rsidRDefault="00247575" w:rsidP="00247575">
            <w:pPr>
              <w:pStyle w:val="SCCShortJudgment"/>
              <w:rPr>
                <w:szCs w:val="20"/>
                <w:lang w:val="fr-CA"/>
              </w:rPr>
            </w:pPr>
            <w:r w:rsidRPr="00BA3CD9">
              <w:rPr>
                <w:szCs w:val="20"/>
                <w:lang w:val="fr-CA"/>
              </w:rPr>
              <w:t>La demande d’autorisation d’appel de l’arrêt de la Cour d’appel du Manitoba, numéro AI 13-30-07999, 2014 MBCA 26, daté du 3 mars 2014, est rejetée avec dépens.</w:t>
            </w:r>
          </w:p>
        </w:tc>
      </w:tr>
    </w:tbl>
    <w:p w:rsidR="007426C2" w:rsidRPr="00247575"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1199" w:rsidRPr="006D673B" w:rsidTr="00F71199">
        <w:tc>
          <w:tcPr>
            <w:tcW w:w="5000" w:type="pct"/>
            <w:gridSpan w:val="3"/>
          </w:tcPr>
          <w:p w:rsidR="00F71199" w:rsidRPr="006D673B" w:rsidRDefault="00F71199" w:rsidP="00F71199">
            <w:pPr>
              <w:jc w:val="both"/>
              <w:rPr>
                <w:rFonts w:eastAsia="Calibri"/>
                <w:sz w:val="20"/>
              </w:rPr>
            </w:pPr>
            <w:r w:rsidRPr="006D673B">
              <w:rPr>
                <w:rFonts w:eastAsia="Calibri"/>
                <w:sz w:val="20"/>
              </w:rPr>
              <w:t>Insurance – Personal Insurance – Disability insurance – Whether the Court of Appeal erred in dismissing the applicant’s appeal.</w:t>
            </w:r>
          </w:p>
        </w:tc>
      </w:tr>
      <w:tr w:rsidR="00F71199" w:rsidRPr="006D673B" w:rsidTr="00F71199">
        <w:tc>
          <w:tcPr>
            <w:tcW w:w="5000" w:type="pct"/>
            <w:gridSpan w:val="3"/>
          </w:tcPr>
          <w:p w:rsidR="00F71199" w:rsidRPr="006D673B" w:rsidRDefault="00F71199" w:rsidP="00F71199">
            <w:pPr>
              <w:jc w:val="both"/>
              <w:rPr>
                <w:rFonts w:eastAsia="Calibri"/>
                <w:sz w:val="20"/>
              </w:rPr>
            </w:pPr>
          </w:p>
        </w:tc>
      </w:tr>
      <w:tr w:rsidR="00F71199" w:rsidRPr="006D673B" w:rsidTr="00F71199">
        <w:tc>
          <w:tcPr>
            <w:tcW w:w="5000" w:type="pct"/>
            <w:gridSpan w:val="3"/>
          </w:tcPr>
          <w:p w:rsidR="00F71199" w:rsidRPr="006D673B" w:rsidRDefault="00F71199" w:rsidP="00F71199">
            <w:pPr>
              <w:jc w:val="both"/>
              <w:rPr>
                <w:rFonts w:eastAsia="Calibri"/>
                <w:sz w:val="20"/>
              </w:rPr>
            </w:pPr>
            <w:r w:rsidRPr="006D673B">
              <w:rPr>
                <w:rFonts w:eastAsia="Calibri"/>
                <w:sz w:val="20"/>
              </w:rPr>
              <w:t>The applicant, Mr. Olfman, is a lawyer.  In 1989, he purchased a disability insurance policy from the respondent insurer’s predecessor.  In July 2009, he suffered a heart attack and only returned to work in September of that same year.  Mr. Olfman applied for benefits which the insurer acknowledged were payable for the period from the date of the heart attack until Mr. Olfman’s return to work.  However, Mr. Olfman asserted that he continued to be entitled to benefits after his return to work because the definition of “total disability” in his policy was amended by a letter he received from the insurer which, he claimed, eliminated the requirement that he be unable to perform the important duties of his occupation.  Mr. Olfman thus sued the insurer for payment of those benefits.  The Court of Queen’s Bench dismissed the action.  The Court of Appeal dismissed the appeal.</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t>June 17, 2013</w:t>
            </w:r>
          </w:p>
          <w:p w:rsidR="00F71199" w:rsidRPr="006D673B" w:rsidRDefault="00F71199" w:rsidP="00F71199">
            <w:pPr>
              <w:jc w:val="both"/>
              <w:rPr>
                <w:rFonts w:eastAsia="Calibri"/>
                <w:sz w:val="20"/>
              </w:rPr>
            </w:pPr>
            <w:r w:rsidRPr="006D673B">
              <w:rPr>
                <w:rFonts w:eastAsia="Calibri"/>
                <w:sz w:val="20"/>
              </w:rPr>
              <w:t>Court of Queen’s Bench of Manitoba</w:t>
            </w:r>
          </w:p>
          <w:p w:rsidR="00F71199" w:rsidRPr="006D673B" w:rsidRDefault="00F71199" w:rsidP="00F71199">
            <w:pPr>
              <w:jc w:val="both"/>
              <w:rPr>
                <w:rFonts w:eastAsia="Calibri"/>
                <w:sz w:val="20"/>
              </w:rPr>
            </w:pPr>
            <w:r w:rsidRPr="006D673B">
              <w:rPr>
                <w:rFonts w:eastAsia="Calibri"/>
                <w:sz w:val="20"/>
              </w:rPr>
              <w:t>(Suche J.)</w:t>
            </w:r>
          </w:p>
          <w:p w:rsidR="00F71199" w:rsidRPr="006D673B" w:rsidRDefault="002B68E4" w:rsidP="00F71199">
            <w:pPr>
              <w:jc w:val="both"/>
              <w:rPr>
                <w:rFonts w:eastAsia="Calibri"/>
                <w:sz w:val="20"/>
              </w:rPr>
            </w:pPr>
            <w:hyperlink r:id="rId53" w:history="1">
              <w:r w:rsidR="00F71199" w:rsidRPr="006D673B">
                <w:rPr>
                  <w:rFonts w:eastAsia="Calibri"/>
                  <w:color w:val="0000FF"/>
                  <w:sz w:val="20"/>
                  <w:u w:val="single"/>
                </w:rPr>
                <w:t>2013 MBQB 142</w:t>
              </w:r>
            </w:hyperlink>
          </w:p>
          <w:p w:rsidR="00F71199" w:rsidRPr="006D673B" w:rsidRDefault="00F71199" w:rsidP="00F71199">
            <w:pPr>
              <w:jc w:val="both"/>
              <w:rPr>
                <w:rFonts w:eastAsia="Calibri"/>
                <w:sz w:val="20"/>
              </w:rPr>
            </w:pP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Action for payment of benefits under insurance policy dismissed</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lastRenderedPageBreak/>
              <w:t>March 3, 2014</w:t>
            </w:r>
          </w:p>
          <w:p w:rsidR="00F71199" w:rsidRPr="006D673B" w:rsidRDefault="00F71199" w:rsidP="00F71199">
            <w:pPr>
              <w:jc w:val="both"/>
              <w:rPr>
                <w:rFonts w:eastAsia="Calibri"/>
                <w:sz w:val="20"/>
              </w:rPr>
            </w:pPr>
            <w:r w:rsidRPr="006D673B">
              <w:rPr>
                <w:rFonts w:eastAsia="Calibri"/>
                <w:sz w:val="20"/>
              </w:rPr>
              <w:t>Court of Appeal of Manitoba</w:t>
            </w:r>
          </w:p>
          <w:p w:rsidR="00F71199" w:rsidRPr="006D673B" w:rsidRDefault="00F71199" w:rsidP="00F71199">
            <w:pPr>
              <w:jc w:val="both"/>
              <w:rPr>
                <w:rFonts w:eastAsia="Calibri"/>
                <w:sz w:val="20"/>
              </w:rPr>
            </w:pPr>
            <w:r w:rsidRPr="006D673B">
              <w:rPr>
                <w:rFonts w:eastAsia="Calibri"/>
                <w:sz w:val="20"/>
              </w:rPr>
              <w:t>(Steel, Hamilton and Mainella JJ.A.)</w:t>
            </w:r>
          </w:p>
          <w:p w:rsidR="00F71199" w:rsidRPr="006D673B" w:rsidRDefault="002B68E4" w:rsidP="00F71199">
            <w:pPr>
              <w:jc w:val="both"/>
              <w:rPr>
                <w:rFonts w:eastAsia="Calibri"/>
                <w:sz w:val="20"/>
              </w:rPr>
            </w:pPr>
            <w:hyperlink r:id="rId54" w:history="1">
              <w:r w:rsidR="00F71199" w:rsidRPr="006D673B">
                <w:rPr>
                  <w:rFonts w:eastAsia="Calibri"/>
                  <w:color w:val="0000FF"/>
                  <w:sz w:val="20"/>
                  <w:u w:val="single"/>
                </w:rPr>
                <w:t>2014 MBCA 26</w:t>
              </w:r>
            </w:hyperlink>
          </w:p>
          <w:p w:rsidR="00F71199" w:rsidRPr="006D673B" w:rsidRDefault="00F71199" w:rsidP="00F71199">
            <w:pPr>
              <w:jc w:val="both"/>
              <w:rPr>
                <w:rFonts w:eastAsia="Calibri"/>
                <w:sz w:val="20"/>
              </w:rPr>
            </w:pP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Motion to adduce fresh evidence dismissed; appeal dismissed</w:t>
            </w:r>
          </w:p>
          <w:p w:rsidR="00F71199" w:rsidRPr="006D673B" w:rsidRDefault="00F71199" w:rsidP="00F71199">
            <w:pPr>
              <w:jc w:val="both"/>
              <w:rPr>
                <w:rFonts w:eastAsia="Calibri"/>
                <w:sz w:val="20"/>
              </w:rPr>
            </w:pPr>
          </w:p>
        </w:tc>
      </w:tr>
      <w:tr w:rsidR="00F71199" w:rsidRPr="006D673B" w:rsidTr="00F71199">
        <w:tc>
          <w:tcPr>
            <w:tcW w:w="2427" w:type="pct"/>
          </w:tcPr>
          <w:p w:rsidR="00F71199" w:rsidRPr="006D673B" w:rsidRDefault="00F71199" w:rsidP="00F71199">
            <w:pPr>
              <w:jc w:val="both"/>
              <w:rPr>
                <w:rFonts w:eastAsia="Calibri"/>
                <w:sz w:val="20"/>
              </w:rPr>
            </w:pPr>
            <w:r w:rsidRPr="006D673B">
              <w:rPr>
                <w:rFonts w:eastAsia="Calibri"/>
                <w:sz w:val="20"/>
              </w:rPr>
              <w:t>May 2, 2014</w:t>
            </w:r>
          </w:p>
          <w:p w:rsidR="00F71199" w:rsidRPr="006D673B" w:rsidRDefault="00F71199" w:rsidP="00F71199">
            <w:pPr>
              <w:jc w:val="both"/>
              <w:rPr>
                <w:rFonts w:eastAsia="Calibri"/>
                <w:sz w:val="20"/>
              </w:rPr>
            </w:pPr>
            <w:r w:rsidRPr="006D673B">
              <w:rPr>
                <w:rFonts w:eastAsia="Calibri"/>
                <w:sz w:val="20"/>
              </w:rPr>
              <w:t>Supreme Court of Canada</w:t>
            </w: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rPr>
            </w:pPr>
            <w:r w:rsidRPr="006D673B">
              <w:rPr>
                <w:rFonts w:eastAsia="Calibri"/>
                <w:sz w:val="20"/>
              </w:rPr>
              <w:t>Application for leave to appeal filed</w:t>
            </w:r>
          </w:p>
          <w:p w:rsidR="00F71199" w:rsidRPr="006D673B" w:rsidRDefault="00F71199" w:rsidP="00F71199">
            <w:pPr>
              <w:jc w:val="both"/>
              <w:rPr>
                <w:rFonts w:eastAsia="Calibri"/>
                <w:sz w:val="20"/>
              </w:rPr>
            </w:pP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53"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1199" w:rsidRPr="00FA49F9" w:rsidTr="00F71199">
        <w:tc>
          <w:tcPr>
            <w:tcW w:w="5000" w:type="pct"/>
            <w:gridSpan w:val="3"/>
          </w:tcPr>
          <w:p w:rsidR="00F71199" w:rsidRPr="006D673B" w:rsidRDefault="00F71199" w:rsidP="00F71199">
            <w:pPr>
              <w:jc w:val="both"/>
              <w:rPr>
                <w:rFonts w:eastAsia="Calibri"/>
                <w:sz w:val="20"/>
                <w:lang w:val="fr-CA"/>
              </w:rPr>
            </w:pPr>
            <w:r w:rsidRPr="006D673B">
              <w:rPr>
                <w:rFonts w:eastAsia="Calibri"/>
                <w:sz w:val="20"/>
                <w:lang w:val="fr-CA"/>
              </w:rPr>
              <w:t>Assurances – Assurance de personnes – Assurance invalidité – La cour d’appel a-t-elle commis une erreur en rejetant l’appel du demandeur?</w:t>
            </w:r>
          </w:p>
        </w:tc>
      </w:tr>
      <w:tr w:rsidR="00F71199" w:rsidRPr="00FA49F9" w:rsidTr="00F71199">
        <w:tc>
          <w:tcPr>
            <w:tcW w:w="5000" w:type="pct"/>
            <w:gridSpan w:val="3"/>
          </w:tcPr>
          <w:p w:rsidR="00F71199" w:rsidRPr="006D673B" w:rsidRDefault="00F71199" w:rsidP="00F71199">
            <w:pPr>
              <w:jc w:val="both"/>
              <w:rPr>
                <w:rFonts w:eastAsia="Calibri"/>
                <w:sz w:val="20"/>
                <w:lang w:val="fr-CA"/>
              </w:rPr>
            </w:pPr>
          </w:p>
        </w:tc>
      </w:tr>
      <w:tr w:rsidR="00F71199" w:rsidRPr="006D673B" w:rsidTr="00F71199">
        <w:tc>
          <w:tcPr>
            <w:tcW w:w="5000" w:type="pct"/>
            <w:gridSpan w:val="3"/>
          </w:tcPr>
          <w:p w:rsidR="00F71199" w:rsidRPr="006D673B" w:rsidRDefault="00F71199" w:rsidP="00F71199">
            <w:pPr>
              <w:jc w:val="both"/>
              <w:rPr>
                <w:rFonts w:eastAsia="Calibri"/>
                <w:sz w:val="20"/>
              </w:rPr>
            </w:pPr>
            <w:r w:rsidRPr="006D673B">
              <w:rPr>
                <w:rFonts w:eastAsia="Calibri"/>
                <w:sz w:val="20"/>
                <w:lang w:val="fr-CA"/>
              </w:rPr>
              <w:t xml:space="preserve">Le demandeur, M. Olfman, est avocat.  En 1989, il a acheté une police d’assurance invalidité d’un assureur que la compagnie d’assurance défenderesse a remplacé.  Au mois de juillet 2009, il a subi une crise cardiaque et n’est retourné au travail qu’en septembre de la même année.  Monsieur Olfman a demandé de toucher des prestations que l’assureur a reconnu devoir payer de la date de la crise cardiaque jusqu’à la date de son retour au travail.  M. Olfman a cependant affirmé qu’il avait encore droit à des prestations après son retour au travail parce que la définition de l’expression “invalidité totale” figurant dans sa police avait été modifiée par son assureur dans une lettre qui, selon lui, supprimait l’exigence selon laquelle il devait être dans l’incapacité d’exécuter les tâches importantes intrinsèques à sa profession.  M. Olfman a poursuivi l’assureur et lui a réclamé ces prestations.  La Cour du Banc de la Reine a rejeté son action.  </w:t>
            </w:r>
            <w:r w:rsidRPr="006D673B">
              <w:rPr>
                <w:rFonts w:eastAsia="Calibri"/>
                <w:sz w:val="20"/>
              </w:rPr>
              <w:t>La cour d’appel a rejeté l’appel.</w:t>
            </w:r>
          </w:p>
          <w:p w:rsidR="00F71199" w:rsidRPr="006D673B" w:rsidRDefault="00F71199" w:rsidP="00F71199">
            <w:pPr>
              <w:jc w:val="both"/>
              <w:rPr>
                <w:rFonts w:eastAsia="Calibri"/>
                <w:sz w:val="20"/>
              </w:rPr>
            </w:pPr>
          </w:p>
        </w:tc>
      </w:tr>
      <w:tr w:rsidR="00F71199" w:rsidRPr="00FA49F9" w:rsidTr="00F71199">
        <w:tc>
          <w:tcPr>
            <w:tcW w:w="2427" w:type="pct"/>
          </w:tcPr>
          <w:p w:rsidR="00F71199" w:rsidRPr="006D673B" w:rsidRDefault="00F71199" w:rsidP="00F71199">
            <w:pPr>
              <w:jc w:val="both"/>
              <w:rPr>
                <w:rFonts w:eastAsia="Calibri"/>
                <w:sz w:val="20"/>
                <w:lang w:val="fr-CA"/>
              </w:rPr>
            </w:pPr>
            <w:r w:rsidRPr="006D673B">
              <w:rPr>
                <w:rFonts w:eastAsia="Calibri"/>
                <w:sz w:val="20"/>
                <w:lang w:val="fr-CA"/>
              </w:rPr>
              <w:t>17 juin 2013</w:t>
            </w:r>
          </w:p>
          <w:p w:rsidR="00F71199" w:rsidRPr="006D673B" w:rsidRDefault="00F71199" w:rsidP="00F71199">
            <w:pPr>
              <w:jc w:val="both"/>
              <w:rPr>
                <w:rFonts w:eastAsia="Calibri"/>
                <w:sz w:val="20"/>
                <w:lang w:val="fr-CA"/>
              </w:rPr>
            </w:pPr>
            <w:r w:rsidRPr="006D673B">
              <w:rPr>
                <w:rFonts w:eastAsia="Calibri"/>
                <w:sz w:val="20"/>
                <w:lang w:val="fr-CA"/>
              </w:rPr>
              <w:t>Cour du Banc de la Reeine du Manitoba</w:t>
            </w:r>
          </w:p>
          <w:p w:rsidR="00F71199" w:rsidRPr="006D673B" w:rsidRDefault="00F71199" w:rsidP="00F71199">
            <w:pPr>
              <w:jc w:val="both"/>
              <w:rPr>
                <w:rFonts w:eastAsia="Calibri"/>
                <w:sz w:val="20"/>
              </w:rPr>
            </w:pPr>
            <w:r w:rsidRPr="006D673B">
              <w:rPr>
                <w:rFonts w:eastAsia="Calibri"/>
                <w:sz w:val="20"/>
              </w:rPr>
              <w:t>(Juge Suche)</w:t>
            </w:r>
          </w:p>
          <w:p w:rsidR="00F71199" w:rsidRPr="006D673B" w:rsidRDefault="002B68E4" w:rsidP="00F71199">
            <w:pPr>
              <w:jc w:val="both"/>
              <w:rPr>
                <w:rFonts w:eastAsia="Calibri"/>
                <w:sz w:val="20"/>
              </w:rPr>
            </w:pPr>
            <w:hyperlink r:id="rId55" w:history="1">
              <w:r w:rsidR="00F71199" w:rsidRPr="006D673B">
                <w:rPr>
                  <w:rFonts w:eastAsia="Calibri"/>
                  <w:color w:val="0000FF"/>
                  <w:sz w:val="20"/>
                  <w:u w:val="single"/>
                </w:rPr>
                <w:t>2013 MBQB 142</w:t>
              </w:r>
            </w:hyperlink>
          </w:p>
          <w:p w:rsidR="00F71199" w:rsidRPr="006D673B" w:rsidRDefault="00F71199" w:rsidP="00F71199">
            <w:pPr>
              <w:jc w:val="both"/>
              <w:rPr>
                <w:rFonts w:eastAsia="Calibri"/>
                <w:sz w:val="20"/>
              </w:rPr>
            </w:pP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lang w:val="fr-CA"/>
              </w:rPr>
            </w:pPr>
            <w:r w:rsidRPr="006D673B">
              <w:rPr>
                <w:rFonts w:eastAsia="Calibri"/>
                <w:sz w:val="20"/>
                <w:lang w:val="fr-CA"/>
              </w:rPr>
              <w:t xml:space="preserve">Action en réclamation de prestations d’assurance rejetée </w:t>
            </w:r>
          </w:p>
          <w:p w:rsidR="00F71199" w:rsidRPr="006D673B" w:rsidRDefault="00F71199" w:rsidP="00F71199">
            <w:pPr>
              <w:jc w:val="both"/>
              <w:rPr>
                <w:rFonts w:eastAsia="Calibri"/>
                <w:sz w:val="20"/>
                <w:lang w:val="fr-CA"/>
              </w:rPr>
            </w:pPr>
          </w:p>
        </w:tc>
      </w:tr>
      <w:tr w:rsidR="00F71199" w:rsidRPr="00FA49F9" w:rsidTr="00F71199">
        <w:tc>
          <w:tcPr>
            <w:tcW w:w="2427" w:type="pct"/>
          </w:tcPr>
          <w:p w:rsidR="00F71199" w:rsidRPr="006D673B" w:rsidRDefault="00F71199" w:rsidP="00F71199">
            <w:pPr>
              <w:jc w:val="both"/>
              <w:rPr>
                <w:rFonts w:eastAsia="Calibri"/>
                <w:sz w:val="20"/>
                <w:lang w:val="fr-CA"/>
              </w:rPr>
            </w:pPr>
            <w:r w:rsidRPr="006D673B">
              <w:rPr>
                <w:rFonts w:eastAsia="Calibri"/>
                <w:sz w:val="20"/>
                <w:lang w:val="fr-CA"/>
              </w:rPr>
              <w:t>3 mars 2014</w:t>
            </w:r>
          </w:p>
          <w:p w:rsidR="00F71199" w:rsidRPr="006D673B" w:rsidRDefault="00F71199" w:rsidP="00F71199">
            <w:pPr>
              <w:jc w:val="both"/>
              <w:rPr>
                <w:rFonts w:eastAsia="Calibri"/>
                <w:sz w:val="20"/>
                <w:lang w:val="fr-CA"/>
              </w:rPr>
            </w:pPr>
            <w:r w:rsidRPr="006D673B">
              <w:rPr>
                <w:rFonts w:eastAsia="Calibri"/>
                <w:sz w:val="20"/>
                <w:lang w:val="fr-CA"/>
              </w:rPr>
              <w:t>Cour d’appel du Manitoba</w:t>
            </w:r>
          </w:p>
          <w:p w:rsidR="00F71199" w:rsidRPr="006D673B" w:rsidRDefault="00F71199" w:rsidP="00F71199">
            <w:pPr>
              <w:jc w:val="both"/>
              <w:rPr>
                <w:rFonts w:eastAsia="Calibri"/>
                <w:sz w:val="20"/>
                <w:lang w:val="fr-CA"/>
              </w:rPr>
            </w:pPr>
            <w:r w:rsidRPr="006D673B">
              <w:rPr>
                <w:rFonts w:eastAsia="Calibri"/>
                <w:sz w:val="20"/>
                <w:lang w:val="fr-CA"/>
              </w:rPr>
              <w:t>(Juges Steel, Hamilton et Mainella)</w:t>
            </w:r>
          </w:p>
          <w:p w:rsidR="00F71199" w:rsidRPr="006D673B" w:rsidRDefault="002B68E4" w:rsidP="00F71199">
            <w:pPr>
              <w:jc w:val="both"/>
              <w:rPr>
                <w:rFonts w:eastAsia="Calibri"/>
                <w:sz w:val="20"/>
              </w:rPr>
            </w:pPr>
            <w:hyperlink r:id="rId56" w:history="1">
              <w:r w:rsidR="00F71199" w:rsidRPr="006D673B">
                <w:rPr>
                  <w:rFonts w:eastAsia="Calibri"/>
                  <w:color w:val="0000FF"/>
                  <w:sz w:val="20"/>
                  <w:u w:val="single"/>
                </w:rPr>
                <w:t>2014 MBCA 26</w:t>
              </w:r>
            </w:hyperlink>
          </w:p>
          <w:p w:rsidR="00F71199" w:rsidRPr="006D673B" w:rsidRDefault="00F71199" w:rsidP="00F71199">
            <w:pPr>
              <w:jc w:val="both"/>
              <w:rPr>
                <w:rFonts w:eastAsia="Calibri"/>
                <w:sz w:val="20"/>
              </w:rPr>
            </w:pPr>
          </w:p>
        </w:tc>
        <w:tc>
          <w:tcPr>
            <w:tcW w:w="243" w:type="pct"/>
          </w:tcPr>
          <w:p w:rsidR="00F71199" w:rsidRPr="006D673B" w:rsidRDefault="00F71199" w:rsidP="00F71199">
            <w:pPr>
              <w:jc w:val="both"/>
              <w:rPr>
                <w:rFonts w:eastAsia="Calibri"/>
                <w:sz w:val="20"/>
              </w:rPr>
            </w:pPr>
          </w:p>
        </w:tc>
        <w:tc>
          <w:tcPr>
            <w:tcW w:w="2330" w:type="pct"/>
          </w:tcPr>
          <w:p w:rsidR="00F71199" w:rsidRPr="006D673B" w:rsidRDefault="00F71199" w:rsidP="00F71199">
            <w:pPr>
              <w:jc w:val="both"/>
              <w:rPr>
                <w:rFonts w:eastAsia="Calibri"/>
                <w:sz w:val="20"/>
                <w:lang w:val="fr-CA"/>
              </w:rPr>
            </w:pPr>
            <w:r w:rsidRPr="006D673B">
              <w:rPr>
                <w:rFonts w:eastAsia="Calibri"/>
                <w:sz w:val="20"/>
                <w:lang w:val="fr-CA"/>
              </w:rPr>
              <w:t>Requête pour permission de produire de nouveaux éléments de preuve rejetée; appel rejeté</w:t>
            </w:r>
          </w:p>
          <w:p w:rsidR="00F71199" w:rsidRPr="006D673B" w:rsidRDefault="00F71199" w:rsidP="00F71199">
            <w:pPr>
              <w:jc w:val="both"/>
              <w:rPr>
                <w:rFonts w:eastAsia="Calibri"/>
                <w:sz w:val="20"/>
                <w:lang w:val="fr-CA"/>
              </w:rPr>
            </w:pPr>
          </w:p>
        </w:tc>
      </w:tr>
      <w:tr w:rsidR="00F71199" w:rsidRPr="006D673B" w:rsidTr="00F71199">
        <w:tc>
          <w:tcPr>
            <w:tcW w:w="2427" w:type="pct"/>
          </w:tcPr>
          <w:p w:rsidR="00F71199" w:rsidRPr="006D673B" w:rsidRDefault="00F71199" w:rsidP="00F71199">
            <w:pPr>
              <w:jc w:val="both"/>
              <w:rPr>
                <w:rFonts w:eastAsia="Calibri"/>
                <w:sz w:val="20"/>
                <w:lang w:val="fr-CA"/>
              </w:rPr>
            </w:pPr>
            <w:r w:rsidRPr="006D673B">
              <w:rPr>
                <w:rFonts w:eastAsia="Calibri"/>
                <w:sz w:val="20"/>
                <w:lang w:val="fr-CA"/>
              </w:rPr>
              <w:t>2 mai 2014</w:t>
            </w:r>
          </w:p>
          <w:p w:rsidR="00F71199" w:rsidRPr="006D673B" w:rsidRDefault="00F71199" w:rsidP="00F71199">
            <w:pPr>
              <w:jc w:val="both"/>
              <w:rPr>
                <w:rFonts w:eastAsia="Calibri"/>
                <w:sz w:val="20"/>
                <w:lang w:val="fr-CA"/>
              </w:rPr>
            </w:pPr>
            <w:r w:rsidRPr="006D673B">
              <w:rPr>
                <w:rFonts w:eastAsia="Calibri"/>
                <w:sz w:val="20"/>
                <w:lang w:val="fr-CA"/>
              </w:rPr>
              <w:t>Cour suprême du Canada</w:t>
            </w:r>
          </w:p>
        </w:tc>
        <w:tc>
          <w:tcPr>
            <w:tcW w:w="243" w:type="pct"/>
          </w:tcPr>
          <w:p w:rsidR="00F71199" w:rsidRPr="006D673B" w:rsidRDefault="00F71199" w:rsidP="00F71199">
            <w:pPr>
              <w:jc w:val="both"/>
              <w:rPr>
                <w:rFonts w:eastAsia="Calibri"/>
                <w:sz w:val="20"/>
                <w:lang w:val="fr-CA"/>
              </w:rPr>
            </w:pPr>
          </w:p>
        </w:tc>
        <w:tc>
          <w:tcPr>
            <w:tcW w:w="2330" w:type="pct"/>
          </w:tcPr>
          <w:p w:rsidR="00F71199" w:rsidRPr="00917C40" w:rsidRDefault="00F71199" w:rsidP="00F71199">
            <w:pPr>
              <w:jc w:val="both"/>
              <w:rPr>
                <w:rFonts w:eastAsia="Calibri"/>
                <w:sz w:val="20"/>
                <w:lang w:val="fr-CA"/>
              </w:rPr>
            </w:pPr>
            <w:r w:rsidRPr="00917C40">
              <w:rPr>
                <w:rFonts w:eastAsia="Calibri"/>
                <w:sz w:val="20"/>
                <w:lang w:val="fr-CA"/>
              </w:rPr>
              <w:t>Demande d’autorisation d’appel deposée</w:t>
            </w:r>
          </w:p>
          <w:p w:rsidR="00F71199" w:rsidRPr="006D673B" w:rsidRDefault="00F71199" w:rsidP="00F71199">
            <w:pPr>
              <w:jc w:val="both"/>
              <w:rPr>
                <w:rFonts w:eastAsia="Calibri"/>
                <w:sz w:val="20"/>
              </w:rPr>
            </w:pPr>
          </w:p>
        </w:tc>
      </w:tr>
    </w:tbl>
    <w:p w:rsidR="007426C2" w:rsidRDefault="007426C2" w:rsidP="007426C2">
      <w:pPr>
        <w:rPr>
          <w:sz w:val="20"/>
          <w:szCs w:val="20"/>
        </w:rPr>
      </w:pPr>
    </w:p>
    <w:p w:rsidR="007426C2" w:rsidRDefault="002B68E4" w:rsidP="007426C2">
      <w:pPr>
        <w:rPr>
          <w:sz w:val="20"/>
          <w:szCs w:val="20"/>
        </w:rPr>
      </w:pPr>
      <w:r>
        <w:rPr>
          <w:sz w:val="20"/>
          <w:szCs w:val="20"/>
          <w:lang w:val="fr-CA"/>
        </w:rPr>
        <w:pict>
          <v:rect id="_x0000_i1054"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47575" w:rsidRPr="00BA3CD9" w:rsidTr="00247575">
        <w:trPr>
          <w:cantSplit/>
        </w:trPr>
        <w:tc>
          <w:tcPr>
            <w:tcW w:w="1458" w:type="dxa"/>
          </w:tcPr>
          <w:p w:rsidR="00247575" w:rsidRPr="00BA3CD9" w:rsidRDefault="00247575" w:rsidP="00247575">
            <w:pPr>
              <w:rPr>
                <w:sz w:val="20"/>
                <w:szCs w:val="20"/>
              </w:rPr>
            </w:pPr>
            <w:r w:rsidRPr="00BA3CD9">
              <w:rPr>
                <w:rStyle w:val="SCCFileNumberChar"/>
                <w:sz w:val="20"/>
                <w:szCs w:val="20"/>
              </w:rPr>
              <w:t>35880</w:t>
            </w:r>
          </w:p>
          <w:p w:rsidR="00247575" w:rsidRPr="00BA3CD9" w:rsidRDefault="00247575" w:rsidP="00247575">
            <w:pPr>
              <w:rPr>
                <w:b/>
                <w:sz w:val="20"/>
                <w:szCs w:val="20"/>
                <w:lang w:val="fr-CA"/>
              </w:rPr>
            </w:pPr>
          </w:p>
        </w:tc>
        <w:tc>
          <w:tcPr>
            <w:tcW w:w="8118" w:type="dxa"/>
          </w:tcPr>
          <w:p w:rsidR="00247575" w:rsidRPr="00BA3CD9" w:rsidRDefault="00247575" w:rsidP="00247575">
            <w:pPr>
              <w:rPr>
                <w:sz w:val="20"/>
                <w:szCs w:val="20"/>
              </w:rPr>
            </w:pPr>
            <w:r w:rsidRPr="00BA3CD9">
              <w:rPr>
                <w:rStyle w:val="SCCLsocChar"/>
                <w:sz w:val="20"/>
                <w:szCs w:val="20"/>
                <w:lang w:val="en-CA"/>
              </w:rPr>
              <w:t>Rahim Lakhoo v. Shamim Lakhoo</w:t>
            </w:r>
            <w:r w:rsidRPr="00BA3CD9">
              <w:rPr>
                <w:sz w:val="20"/>
                <w:szCs w:val="20"/>
              </w:rPr>
              <w:t xml:space="preserve"> (Alta.) (Civil) (By Leave)</w:t>
            </w:r>
          </w:p>
          <w:p w:rsidR="00247575" w:rsidRPr="00BA3CD9" w:rsidRDefault="00247575" w:rsidP="00247575">
            <w:pPr>
              <w:rPr>
                <w:sz w:val="20"/>
                <w:szCs w:val="20"/>
              </w:rPr>
            </w:pPr>
          </w:p>
        </w:tc>
      </w:tr>
      <w:tr w:rsidR="00247575" w:rsidRPr="00BA3CD9" w:rsidTr="00247575">
        <w:trPr>
          <w:cantSplit/>
        </w:trPr>
        <w:tc>
          <w:tcPr>
            <w:tcW w:w="1458" w:type="dxa"/>
          </w:tcPr>
          <w:p w:rsidR="00247575" w:rsidRPr="00BA3CD9" w:rsidRDefault="00247575" w:rsidP="00247575">
            <w:pPr>
              <w:rPr>
                <w:sz w:val="20"/>
                <w:szCs w:val="20"/>
              </w:rPr>
            </w:pPr>
            <w:r w:rsidRPr="00BA3CD9">
              <w:rPr>
                <w:sz w:val="20"/>
                <w:szCs w:val="20"/>
              </w:rPr>
              <w:t>Coram :</w:t>
            </w:r>
          </w:p>
        </w:tc>
        <w:tc>
          <w:tcPr>
            <w:tcW w:w="8118" w:type="dxa"/>
          </w:tcPr>
          <w:p w:rsidR="00247575" w:rsidRPr="00BA3CD9" w:rsidRDefault="00247575" w:rsidP="00247575">
            <w:pPr>
              <w:rPr>
                <w:sz w:val="20"/>
                <w:szCs w:val="20"/>
              </w:rPr>
            </w:pPr>
            <w:r w:rsidRPr="00BA3CD9">
              <w:rPr>
                <w:rStyle w:val="SCCCoramChar"/>
                <w:sz w:val="20"/>
                <w:szCs w:val="20"/>
                <w:lang w:val="en-CA"/>
              </w:rPr>
              <w:t>McLachlin C.J. and Cromwell and Wagner JJ.</w:t>
            </w:r>
          </w:p>
          <w:p w:rsidR="00247575" w:rsidRPr="00BA3CD9" w:rsidRDefault="00247575" w:rsidP="00247575">
            <w:pPr>
              <w:rPr>
                <w:sz w:val="20"/>
                <w:szCs w:val="20"/>
                <w:u w:val="single"/>
              </w:rPr>
            </w:pPr>
          </w:p>
        </w:tc>
      </w:tr>
      <w:tr w:rsidR="00247575" w:rsidRPr="00FA49F9" w:rsidTr="00247575">
        <w:trPr>
          <w:cantSplit/>
        </w:trPr>
        <w:tc>
          <w:tcPr>
            <w:tcW w:w="9576" w:type="dxa"/>
            <w:gridSpan w:val="2"/>
          </w:tcPr>
          <w:p w:rsidR="00247575" w:rsidRPr="00BA3CD9" w:rsidRDefault="00247575" w:rsidP="00247575">
            <w:pPr>
              <w:pStyle w:val="SCCShortJudgment"/>
              <w:rPr>
                <w:szCs w:val="20"/>
              </w:rPr>
            </w:pPr>
            <w:r w:rsidRPr="00BA3CD9">
              <w:rPr>
                <w:szCs w:val="20"/>
              </w:rPr>
              <w:t>The application for leave to appeal from the judgment of the Court of Appeal of Alberta (Calgary), Number 1301-0151-AC, 2014 ABCA 98, dated March 10, 2014, is dismissed with costs.</w:t>
            </w:r>
          </w:p>
          <w:p w:rsidR="00247575" w:rsidRPr="00BA3CD9" w:rsidRDefault="00247575" w:rsidP="00247575">
            <w:pPr>
              <w:pStyle w:val="SCCShortJudgment"/>
              <w:ind w:firstLine="0"/>
              <w:rPr>
                <w:szCs w:val="20"/>
              </w:rPr>
            </w:pPr>
          </w:p>
          <w:p w:rsidR="00247575" w:rsidRPr="00BA3CD9" w:rsidRDefault="00247575" w:rsidP="00247575">
            <w:pPr>
              <w:pStyle w:val="SCCShortJudgment"/>
              <w:rPr>
                <w:szCs w:val="20"/>
                <w:lang w:val="fr-CA"/>
              </w:rPr>
            </w:pPr>
            <w:r w:rsidRPr="00BA3CD9">
              <w:rPr>
                <w:szCs w:val="20"/>
                <w:lang w:val="fr-CA"/>
              </w:rPr>
              <w:t>La demande d’autorisation d’appel de l’arrêt de la Cour d'appel de l’Alberta (Calgary), numéro 1301-0151-AC, 2014 ABCA 98, daté du 10 mars 2014, est rejetée avec dépens.</w:t>
            </w:r>
          </w:p>
        </w:tc>
      </w:tr>
    </w:tbl>
    <w:p w:rsidR="007426C2" w:rsidRPr="00247575"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4016" w:rsidRPr="006D673B" w:rsidTr="006B41BD">
        <w:tc>
          <w:tcPr>
            <w:tcW w:w="5000" w:type="pct"/>
            <w:gridSpan w:val="3"/>
          </w:tcPr>
          <w:p w:rsidR="007E4016" w:rsidRPr="006D673B" w:rsidRDefault="007E4016" w:rsidP="006B41BD">
            <w:pPr>
              <w:jc w:val="both"/>
              <w:rPr>
                <w:sz w:val="20"/>
                <w:lang w:eastAsia="en-CA"/>
              </w:rPr>
            </w:pPr>
            <w:r w:rsidRPr="006D673B">
              <w:rPr>
                <w:sz w:val="20"/>
                <w:lang w:eastAsia="en-CA"/>
              </w:rPr>
              <w:t xml:space="preserve">Judgments and orders – Interlocutory orders – Order for bifurcated trial of issue of validity of marriage contract overturned – What is the appropriate test to be applied before a court will grant a bifurcation order in a complex matrimonial proceeding? – Can bifurcation of issues be used to promote settlement in complex matrimonial matters? – What are the appropriate steps to take for courts in complex matrimonial matters to create a more efficient, user friendly and cost effective vehicle for resolution? – How might our trial courts, in complex matrimonial matters, structure and avoid extensive, wasteful, expensive and unnecessary disclosure when a marriage contract </w:t>
            </w:r>
            <w:r w:rsidRPr="006D673B">
              <w:rPr>
                <w:i/>
                <w:sz w:val="20"/>
                <w:lang w:eastAsia="en-CA"/>
              </w:rPr>
              <w:t>prima face</w:t>
            </w:r>
            <w:r w:rsidRPr="006D673B">
              <w:rPr>
                <w:sz w:val="20"/>
                <w:lang w:eastAsia="en-CA"/>
              </w:rPr>
              <w:t xml:space="preserve"> obviates the need for same? – How might trial courts in complex matrimonial matters avoid prejudice to either party in such situations? – How might the values of finality and certainty of domestic contracts be promoted given this Court’s decision in </w:t>
            </w:r>
            <w:r w:rsidRPr="006D673B">
              <w:rPr>
                <w:i/>
                <w:sz w:val="20"/>
                <w:lang w:eastAsia="en-CA"/>
              </w:rPr>
              <w:t>Hartshorne v. Hartshorne</w:t>
            </w:r>
            <w:r w:rsidRPr="006D673B">
              <w:rPr>
                <w:sz w:val="20"/>
                <w:lang w:eastAsia="en-CA"/>
              </w:rPr>
              <w:t xml:space="preserve">, [2004] 1 S.C.R. 550 be reconciled with arguments for setting aside the contract? – Is severance not to be encouraged given this Court's ruling in </w:t>
            </w:r>
            <w:r w:rsidRPr="006D673B">
              <w:rPr>
                <w:i/>
                <w:sz w:val="20"/>
                <w:lang w:eastAsia="en-CA"/>
              </w:rPr>
              <w:t>Combined Air Mechanical Services Inc. v. Flesch</w:t>
            </w:r>
            <w:r w:rsidRPr="006D673B">
              <w:rPr>
                <w:sz w:val="20"/>
                <w:lang w:eastAsia="en-CA"/>
              </w:rPr>
              <w:t>, 2014 SCC 7, on summary judgment motions?</w:t>
            </w:r>
          </w:p>
        </w:tc>
      </w:tr>
      <w:tr w:rsidR="007E4016" w:rsidRPr="006D673B" w:rsidTr="006B41BD">
        <w:tc>
          <w:tcPr>
            <w:tcW w:w="5000" w:type="pct"/>
            <w:gridSpan w:val="3"/>
          </w:tcPr>
          <w:p w:rsidR="007E4016" w:rsidRPr="006D673B" w:rsidRDefault="007E4016" w:rsidP="006B41BD">
            <w:pPr>
              <w:jc w:val="both"/>
              <w:rPr>
                <w:rFonts w:eastAsia="Calibri"/>
                <w:sz w:val="20"/>
              </w:rPr>
            </w:pPr>
          </w:p>
        </w:tc>
      </w:tr>
      <w:tr w:rsidR="007E4016" w:rsidRPr="006D673B" w:rsidTr="006B41BD">
        <w:tc>
          <w:tcPr>
            <w:tcW w:w="5000" w:type="pct"/>
            <w:gridSpan w:val="3"/>
          </w:tcPr>
          <w:p w:rsidR="007E4016" w:rsidRPr="006D673B" w:rsidRDefault="007E4016" w:rsidP="006B41BD">
            <w:pPr>
              <w:jc w:val="both"/>
              <w:rPr>
                <w:rFonts w:eastAsia="Calibri"/>
                <w:sz w:val="20"/>
              </w:rPr>
            </w:pPr>
            <w:r w:rsidRPr="006D673B">
              <w:rPr>
                <w:rFonts w:eastAsia="Calibri"/>
                <w:sz w:val="20"/>
              </w:rPr>
              <w:t>The parties were married in 1995.  Prior to the marriage, they both executed a pre-nuptial agreement with independent legal advice.  At the time, Mr. Lakhoo had assets of approximately $12 million and Ms. Lakhoo had assets of approximately $1 million.  The pre-nuptial agreement provided that each party released the other from all property claims but was silent on the issue of spousal support.  When the parties separated in 2010, Mr. Lakhoo’s net worth was approximately $70 million.  Ms. Lakhoo brought a motion for an advance payment of costs, for a declaration that Mr. Lakhoo had waived solitcitor-client privilege and for financial disclosure.  Mr. Lakhoo moved to have a bifurcated</w:t>
            </w:r>
            <w:r w:rsidRPr="006D673B">
              <w:rPr>
                <w:rFonts w:eastAsia="Calibri"/>
                <w:i/>
                <w:sz w:val="20"/>
              </w:rPr>
              <w:t xml:space="preserve"> </w:t>
            </w:r>
            <w:r w:rsidRPr="006D673B">
              <w:rPr>
                <w:rFonts w:eastAsia="Calibri"/>
                <w:sz w:val="20"/>
              </w:rPr>
              <w:t>trial on the issue of the validity and enforceability of the marriage contract.</w:t>
            </w:r>
          </w:p>
          <w:p w:rsidR="007E4016" w:rsidRPr="006D673B" w:rsidRDefault="007E4016" w:rsidP="006B41BD">
            <w:pPr>
              <w:jc w:val="both"/>
              <w:rPr>
                <w:rFonts w:eastAsia="Calibri"/>
                <w:sz w:val="20"/>
              </w:rPr>
            </w:pPr>
          </w:p>
        </w:tc>
      </w:tr>
      <w:tr w:rsidR="007E4016" w:rsidRPr="006D673B" w:rsidTr="006B41BD">
        <w:tc>
          <w:tcPr>
            <w:tcW w:w="2427" w:type="pct"/>
          </w:tcPr>
          <w:p w:rsidR="007E4016" w:rsidRPr="006D673B" w:rsidRDefault="007E4016" w:rsidP="006B41BD">
            <w:pPr>
              <w:jc w:val="both"/>
              <w:rPr>
                <w:rFonts w:eastAsia="Calibri"/>
                <w:sz w:val="20"/>
              </w:rPr>
            </w:pPr>
            <w:r w:rsidRPr="006D673B">
              <w:rPr>
                <w:rFonts w:eastAsia="Calibri"/>
                <w:sz w:val="20"/>
              </w:rPr>
              <w:t>May 10, 2013</w:t>
            </w:r>
          </w:p>
          <w:p w:rsidR="007E4016" w:rsidRPr="006D673B" w:rsidRDefault="007E4016" w:rsidP="006B41BD">
            <w:pPr>
              <w:jc w:val="both"/>
              <w:rPr>
                <w:rFonts w:eastAsia="Calibri"/>
                <w:sz w:val="20"/>
              </w:rPr>
            </w:pPr>
            <w:r w:rsidRPr="006D673B">
              <w:rPr>
                <w:rFonts w:eastAsia="Calibri"/>
                <w:sz w:val="20"/>
              </w:rPr>
              <w:t>Court of Queen’s Bench of Alberta</w:t>
            </w:r>
          </w:p>
          <w:p w:rsidR="007E4016" w:rsidRPr="006D673B" w:rsidRDefault="007E4016" w:rsidP="006B41BD">
            <w:pPr>
              <w:jc w:val="both"/>
              <w:rPr>
                <w:rFonts w:eastAsia="Calibri"/>
                <w:sz w:val="20"/>
              </w:rPr>
            </w:pPr>
            <w:r w:rsidRPr="006D673B">
              <w:rPr>
                <w:rFonts w:eastAsia="Calibri"/>
                <w:sz w:val="20"/>
              </w:rPr>
              <w:t>(Horner J.)</w:t>
            </w:r>
          </w:p>
          <w:p w:rsidR="007E4016" w:rsidRPr="006D673B" w:rsidRDefault="007E4016" w:rsidP="006B41BD">
            <w:pPr>
              <w:jc w:val="both"/>
              <w:rPr>
                <w:rFonts w:eastAsia="Calibri"/>
                <w:sz w:val="20"/>
              </w:rPr>
            </w:pPr>
            <w:r w:rsidRPr="006D673B">
              <w:rPr>
                <w:rFonts w:eastAsia="Calibri"/>
                <w:sz w:val="20"/>
              </w:rPr>
              <w:t>Unreported</w:t>
            </w:r>
          </w:p>
          <w:p w:rsidR="007E4016" w:rsidRPr="006D673B" w:rsidRDefault="007E4016" w:rsidP="006B41BD">
            <w:pPr>
              <w:jc w:val="both"/>
              <w:rPr>
                <w:rFonts w:eastAsia="Calibri"/>
                <w:sz w:val="20"/>
              </w:rPr>
            </w:pPr>
          </w:p>
        </w:tc>
        <w:tc>
          <w:tcPr>
            <w:tcW w:w="243" w:type="pct"/>
          </w:tcPr>
          <w:p w:rsidR="007E4016" w:rsidRPr="006D673B" w:rsidRDefault="007E4016" w:rsidP="006B41BD">
            <w:pPr>
              <w:jc w:val="both"/>
              <w:rPr>
                <w:rFonts w:eastAsia="Calibri"/>
                <w:sz w:val="20"/>
              </w:rPr>
            </w:pPr>
          </w:p>
        </w:tc>
        <w:tc>
          <w:tcPr>
            <w:tcW w:w="2330" w:type="pct"/>
          </w:tcPr>
          <w:p w:rsidR="007E4016" w:rsidRPr="006D673B" w:rsidRDefault="007E4016" w:rsidP="006B41BD">
            <w:pPr>
              <w:jc w:val="both"/>
              <w:rPr>
                <w:rFonts w:eastAsia="Calibri"/>
                <w:sz w:val="20"/>
              </w:rPr>
            </w:pPr>
            <w:r w:rsidRPr="006D673B">
              <w:rPr>
                <w:rFonts w:eastAsia="Calibri"/>
                <w:sz w:val="20"/>
              </w:rPr>
              <w:t>Applicant’s motion to have trial bifurcated granted</w:t>
            </w:r>
          </w:p>
          <w:p w:rsidR="007E4016" w:rsidRPr="006D673B" w:rsidRDefault="007E4016" w:rsidP="006B41BD">
            <w:pPr>
              <w:jc w:val="both"/>
              <w:rPr>
                <w:rFonts w:eastAsia="Calibri"/>
                <w:sz w:val="20"/>
              </w:rPr>
            </w:pPr>
          </w:p>
        </w:tc>
      </w:tr>
      <w:tr w:rsidR="007E4016" w:rsidRPr="006D673B" w:rsidTr="006B41BD">
        <w:tc>
          <w:tcPr>
            <w:tcW w:w="2427" w:type="pct"/>
          </w:tcPr>
          <w:p w:rsidR="007E4016" w:rsidRPr="006D673B" w:rsidRDefault="007E4016" w:rsidP="006B41BD">
            <w:pPr>
              <w:jc w:val="both"/>
              <w:rPr>
                <w:rFonts w:eastAsia="Calibri"/>
                <w:sz w:val="20"/>
              </w:rPr>
            </w:pPr>
            <w:r w:rsidRPr="006D673B">
              <w:rPr>
                <w:rFonts w:eastAsia="Calibri"/>
                <w:sz w:val="20"/>
              </w:rPr>
              <w:t>March 10, 2014</w:t>
            </w:r>
          </w:p>
          <w:p w:rsidR="007E4016" w:rsidRPr="006D673B" w:rsidRDefault="007E4016" w:rsidP="006B41BD">
            <w:pPr>
              <w:jc w:val="both"/>
              <w:rPr>
                <w:rFonts w:eastAsia="Calibri"/>
                <w:sz w:val="20"/>
              </w:rPr>
            </w:pPr>
            <w:r w:rsidRPr="006D673B">
              <w:rPr>
                <w:rFonts w:eastAsia="Calibri"/>
                <w:sz w:val="20"/>
              </w:rPr>
              <w:t>Court of Appeal of Alberta (Calgary)</w:t>
            </w:r>
          </w:p>
          <w:p w:rsidR="007E4016" w:rsidRPr="006D673B" w:rsidRDefault="007E4016" w:rsidP="006B41BD">
            <w:pPr>
              <w:jc w:val="both"/>
              <w:rPr>
                <w:rFonts w:eastAsia="Calibri"/>
                <w:sz w:val="20"/>
              </w:rPr>
            </w:pPr>
            <w:r w:rsidRPr="006D673B">
              <w:rPr>
                <w:rFonts w:eastAsia="Calibri"/>
                <w:sz w:val="20"/>
              </w:rPr>
              <w:t>(Paperny, Martin and O'Ferrall JJ.A.)</w:t>
            </w:r>
          </w:p>
          <w:p w:rsidR="007E4016" w:rsidRPr="006D673B" w:rsidRDefault="002B68E4" w:rsidP="006B41BD">
            <w:pPr>
              <w:jc w:val="both"/>
              <w:rPr>
                <w:rFonts w:eastAsia="Calibri"/>
                <w:sz w:val="20"/>
              </w:rPr>
            </w:pPr>
            <w:hyperlink r:id="rId57" w:history="1">
              <w:r w:rsidR="007E4016" w:rsidRPr="006D673B">
                <w:rPr>
                  <w:rFonts w:eastAsia="Calibri"/>
                  <w:color w:val="0000FF"/>
                  <w:sz w:val="20"/>
                  <w:u w:val="single"/>
                </w:rPr>
                <w:t>2014 ABCA 98</w:t>
              </w:r>
            </w:hyperlink>
          </w:p>
          <w:p w:rsidR="007E4016" w:rsidRPr="006D673B" w:rsidRDefault="007E4016" w:rsidP="006B41BD">
            <w:pPr>
              <w:jc w:val="both"/>
              <w:rPr>
                <w:rFonts w:eastAsia="Calibri"/>
                <w:sz w:val="20"/>
              </w:rPr>
            </w:pPr>
          </w:p>
        </w:tc>
        <w:tc>
          <w:tcPr>
            <w:tcW w:w="243" w:type="pct"/>
          </w:tcPr>
          <w:p w:rsidR="007E4016" w:rsidRPr="006D673B" w:rsidRDefault="007E4016" w:rsidP="006B41BD">
            <w:pPr>
              <w:jc w:val="both"/>
              <w:rPr>
                <w:rFonts w:eastAsia="Calibri"/>
                <w:sz w:val="20"/>
              </w:rPr>
            </w:pPr>
          </w:p>
        </w:tc>
        <w:tc>
          <w:tcPr>
            <w:tcW w:w="2330" w:type="pct"/>
          </w:tcPr>
          <w:p w:rsidR="007E4016" w:rsidRPr="006D673B" w:rsidRDefault="007E4016" w:rsidP="006B41BD">
            <w:pPr>
              <w:jc w:val="both"/>
              <w:rPr>
                <w:rFonts w:eastAsia="Calibri"/>
                <w:sz w:val="20"/>
              </w:rPr>
            </w:pPr>
            <w:r w:rsidRPr="006D673B">
              <w:rPr>
                <w:rFonts w:eastAsia="Calibri"/>
                <w:sz w:val="20"/>
              </w:rPr>
              <w:t>Respondent’s appeal allowed</w:t>
            </w:r>
          </w:p>
          <w:p w:rsidR="007E4016" w:rsidRPr="006D673B" w:rsidRDefault="007E4016" w:rsidP="006B41BD">
            <w:pPr>
              <w:jc w:val="both"/>
              <w:rPr>
                <w:rFonts w:eastAsia="Calibri"/>
                <w:sz w:val="20"/>
              </w:rPr>
            </w:pPr>
          </w:p>
        </w:tc>
      </w:tr>
      <w:tr w:rsidR="007E4016" w:rsidRPr="006D673B" w:rsidTr="006B41BD">
        <w:tc>
          <w:tcPr>
            <w:tcW w:w="2427" w:type="pct"/>
          </w:tcPr>
          <w:p w:rsidR="007E4016" w:rsidRPr="006D673B" w:rsidRDefault="007E4016" w:rsidP="006B41BD">
            <w:pPr>
              <w:jc w:val="both"/>
              <w:rPr>
                <w:rFonts w:eastAsia="Calibri"/>
                <w:sz w:val="20"/>
              </w:rPr>
            </w:pPr>
            <w:r w:rsidRPr="006D673B">
              <w:rPr>
                <w:rFonts w:eastAsia="Calibri"/>
                <w:sz w:val="20"/>
              </w:rPr>
              <w:t>May 8, 2014</w:t>
            </w:r>
          </w:p>
          <w:p w:rsidR="007E4016" w:rsidRPr="006D673B" w:rsidRDefault="007E4016" w:rsidP="006B41BD">
            <w:pPr>
              <w:jc w:val="both"/>
              <w:rPr>
                <w:rFonts w:eastAsia="Calibri"/>
                <w:sz w:val="20"/>
              </w:rPr>
            </w:pPr>
            <w:r w:rsidRPr="006D673B">
              <w:rPr>
                <w:rFonts w:eastAsia="Calibri"/>
                <w:sz w:val="20"/>
              </w:rPr>
              <w:t>Supreme Court of Canada</w:t>
            </w:r>
          </w:p>
        </w:tc>
        <w:tc>
          <w:tcPr>
            <w:tcW w:w="243" w:type="pct"/>
          </w:tcPr>
          <w:p w:rsidR="007E4016" w:rsidRPr="006D673B" w:rsidRDefault="007E4016" w:rsidP="006B41BD">
            <w:pPr>
              <w:jc w:val="both"/>
              <w:rPr>
                <w:rFonts w:eastAsia="Calibri"/>
                <w:sz w:val="20"/>
              </w:rPr>
            </w:pPr>
          </w:p>
        </w:tc>
        <w:tc>
          <w:tcPr>
            <w:tcW w:w="2330" w:type="pct"/>
          </w:tcPr>
          <w:p w:rsidR="007E4016" w:rsidRPr="006D673B" w:rsidRDefault="007E4016" w:rsidP="006B41BD">
            <w:pPr>
              <w:jc w:val="both"/>
              <w:rPr>
                <w:rFonts w:eastAsia="Calibri"/>
                <w:sz w:val="20"/>
              </w:rPr>
            </w:pPr>
            <w:r w:rsidRPr="006D673B">
              <w:rPr>
                <w:rFonts w:eastAsia="Calibri"/>
                <w:sz w:val="20"/>
              </w:rPr>
              <w:t>Application for leave to appeal filed</w:t>
            </w:r>
          </w:p>
          <w:p w:rsidR="007E4016" w:rsidRPr="006D673B" w:rsidRDefault="007E4016" w:rsidP="006B41BD">
            <w:pPr>
              <w:jc w:val="both"/>
              <w:rPr>
                <w:rFonts w:eastAsia="Calibri"/>
                <w:sz w:val="20"/>
              </w:rPr>
            </w:pP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55"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4016" w:rsidRPr="00FA49F9" w:rsidTr="006B41BD">
        <w:tc>
          <w:tcPr>
            <w:tcW w:w="5000" w:type="pct"/>
            <w:gridSpan w:val="3"/>
          </w:tcPr>
          <w:p w:rsidR="007E4016" w:rsidRPr="006D673B" w:rsidRDefault="007E4016" w:rsidP="006B41BD">
            <w:pPr>
              <w:jc w:val="both"/>
              <w:rPr>
                <w:sz w:val="20"/>
                <w:lang w:val="fr-CA"/>
              </w:rPr>
            </w:pPr>
            <w:r w:rsidRPr="006D673B">
              <w:rPr>
                <w:sz w:val="20"/>
                <w:lang w:val="fr-CA"/>
              </w:rPr>
              <w:t xml:space="preserve">Jugements et ordonnances – Ordonnances interlocutoires – Annulation de l’ordonnance portant instruction distincte de la question de la validité du contrat de mariage – Quel critère faut-il appliquer avant que le tribunal rende une ordonnance de fractionnement dans une instance matrimoniale complexe? – Peut-on avoir recours au fractionnement des questions pour favoriser le règlement d’affaires matrimoniales complexes? – Quelles mesures doivent prendre les tribunaux dans des affaires matrimoniales complexes pour instaurer un mode de règlement plus efficace, convivial et efficient? – Comment nos tribunaux de première instance pourraient-ils, dans des affaires matrimoniales complexes, encadrer et éviter une communication étendue, superflue, dispendieuse et inutile lorsqu’un contrat de mariage la rend inutile à première vue? – Comment les tribunaux de première instance pourraient-ils éviter un préjudice à l’une ou l’autre partie dans de telles situations? – Comment pourrait-on promouvoir le caractère définitif et certain des contrats familiaux vu l’arrêt </w:t>
            </w:r>
            <w:r w:rsidRPr="006D673B">
              <w:rPr>
                <w:i/>
                <w:sz w:val="20"/>
                <w:lang w:val="fr-CA"/>
              </w:rPr>
              <w:t>Hartshorne c. Hartshorne</w:t>
            </w:r>
            <w:r w:rsidRPr="006D673B">
              <w:rPr>
                <w:sz w:val="20"/>
                <w:lang w:val="fr-CA"/>
              </w:rPr>
              <w:t xml:space="preserve">, [2004] 1 R.C.S. 550, et le concilier avec les arguments en faveur de l’annulation du contrat? – Faut-il décourager le fractionnement des questions compte tenu de l’arrêt </w:t>
            </w:r>
            <w:r w:rsidRPr="006D673B">
              <w:rPr>
                <w:i/>
                <w:sz w:val="20"/>
                <w:lang w:val="fr-CA"/>
              </w:rPr>
              <w:t xml:space="preserve">Combined Air </w:t>
            </w:r>
            <w:r w:rsidRPr="006D673B">
              <w:rPr>
                <w:i/>
                <w:sz w:val="20"/>
                <w:lang w:val="fr-CA"/>
              </w:rPr>
              <w:lastRenderedPageBreak/>
              <w:t>Mechanical Services Inc. c. Flesch</w:t>
            </w:r>
            <w:r w:rsidRPr="006D673B">
              <w:rPr>
                <w:sz w:val="20"/>
                <w:lang w:val="fr-CA"/>
              </w:rPr>
              <w:t>, 2014 CSC 7, sur les requêtes en jugement sommaire?</w:t>
            </w:r>
          </w:p>
        </w:tc>
      </w:tr>
      <w:tr w:rsidR="007E4016" w:rsidRPr="00FA49F9" w:rsidTr="006B41BD">
        <w:tc>
          <w:tcPr>
            <w:tcW w:w="5000" w:type="pct"/>
            <w:gridSpan w:val="3"/>
          </w:tcPr>
          <w:p w:rsidR="007E4016" w:rsidRPr="006D673B" w:rsidRDefault="007E4016" w:rsidP="006B41BD">
            <w:pPr>
              <w:jc w:val="both"/>
              <w:rPr>
                <w:sz w:val="20"/>
                <w:lang w:val="fr-CA"/>
              </w:rPr>
            </w:pPr>
          </w:p>
        </w:tc>
      </w:tr>
      <w:tr w:rsidR="007E4016" w:rsidRPr="00FA49F9" w:rsidTr="006B41BD">
        <w:tc>
          <w:tcPr>
            <w:tcW w:w="5000" w:type="pct"/>
            <w:gridSpan w:val="3"/>
          </w:tcPr>
          <w:p w:rsidR="007E4016" w:rsidRPr="006D673B" w:rsidRDefault="007E4016" w:rsidP="006B41BD">
            <w:pPr>
              <w:jc w:val="both"/>
              <w:rPr>
                <w:sz w:val="20"/>
                <w:lang w:val="fr-CA"/>
              </w:rPr>
            </w:pPr>
            <w:r w:rsidRPr="006D673B">
              <w:rPr>
                <w:sz w:val="20"/>
                <w:lang w:val="fr-CA"/>
              </w:rPr>
              <w:t>Les parties se sont mariées en 1995.  Elles avaient toutes les deux signé un accord prénuptial   avec l’assistance de leur avocat respectif.  À l’époque, M. Lakhoo avait des biens d’environ 12 millions de dollars tandis que M</w:t>
            </w:r>
            <w:r w:rsidRPr="006D673B">
              <w:rPr>
                <w:sz w:val="20"/>
                <w:vertAlign w:val="superscript"/>
                <w:lang w:val="fr-CA"/>
              </w:rPr>
              <w:t>me</w:t>
            </w:r>
            <w:r w:rsidRPr="006D673B">
              <w:rPr>
                <w:sz w:val="20"/>
                <w:lang w:val="fr-CA"/>
              </w:rPr>
              <w:t> Lakhoo possédait des biens d’environ 1 million de dollars.  L’accord prénuptial prévoyait que chaque partie renonçait à réclamer quelque bien que ce soit à l’autre, mais il était muet sur la question de la pension alimentaire au conjoint.  Au moment de la séparation des parties en 2010, la valeur nette de M. Lakhoo était d’environ 70 millions de dollars.  M</w:t>
            </w:r>
            <w:r w:rsidRPr="006D673B">
              <w:rPr>
                <w:sz w:val="20"/>
                <w:vertAlign w:val="superscript"/>
                <w:lang w:val="fr-CA"/>
              </w:rPr>
              <w:t>me </w:t>
            </w:r>
            <w:r w:rsidRPr="006D673B">
              <w:rPr>
                <w:sz w:val="20"/>
                <w:lang w:val="fr-CA"/>
              </w:rPr>
              <w:t>Lakhoo a demandé par requête le paiement anticipé des dépens, un jugement déclaratoire selon lequel M. Lakhoo avait renoncé au secret professionnel le liant à son avocat et la communication des renseignements financiers.  M. Lakhoo a demandé par requête que la validité et le caractère exécutoire du contrat de mariage fassent l’objet d’un procès distinct.</w:t>
            </w:r>
          </w:p>
          <w:p w:rsidR="007E4016" w:rsidRPr="006D673B" w:rsidRDefault="007E4016" w:rsidP="006B41BD">
            <w:pPr>
              <w:jc w:val="both"/>
              <w:rPr>
                <w:sz w:val="20"/>
                <w:lang w:val="fr-CA"/>
              </w:rPr>
            </w:pPr>
          </w:p>
        </w:tc>
      </w:tr>
      <w:tr w:rsidR="007E4016" w:rsidRPr="00FA49F9" w:rsidTr="006B41BD">
        <w:tc>
          <w:tcPr>
            <w:tcW w:w="2427" w:type="pct"/>
          </w:tcPr>
          <w:p w:rsidR="007E4016" w:rsidRPr="006D673B" w:rsidRDefault="007E4016" w:rsidP="006B41BD">
            <w:pPr>
              <w:jc w:val="both"/>
              <w:rPr>
                <w:sz w:val="20"/>
                <w:lang w:val="fr-CA"/>
              </w:rPr>
            </w:pPr>
            <w:r w:rsidRPr="006D673B">
              <w:rPr>
                <w:sz w:val="20"/>
                <w:lang w:val="fr-CA"/>
              </w:rPr>
              <w:t>10 mai 2013</w:t>
            </w:r>
          </w:p>
          <w:p w:rsidR="007E4016" w:rsidRPr="006D673B" w:rsidRDefault="007E4016" w:rsidP="006B41BD">
            <w:pPr>
              <w:jc w:val="both"/>
              <w:rPr>
                <w:sz w:val="20"/>
                <w:lang w:val="fr-CA"/>
              </w:rPr>
            </w:pPr>
            <w:r w:rsidRPr="006D673B">
              <w:rPr>
                <w:sz w:val="20"/>
                <w:lang w:val="fr-CA"/>
              </w:rPr>
              <w:t>Cour du Banc de la Reine de l’Alberta</w:t>
            </w:r>
          </w:p>
          <w:p w:rsidR="007E4016" w:rsidRPr="006D673B" w:rsidRDefault="007E4016" w:rsidP="006B41BD">
            <w:pPr>
              <w:jc w:val="both"/>
              <w:rPr>
                <w:sz w:val="20"/>
              </w:rPr>
            </w:pPr>
            <w:r w:rsidRPr="006D673B">
              <w:rPr>
                <w:sz w:val="20"/>
              </w:rPr>
              <w:t>(Juge Horner)</w:t>
            </w:r>
          </w:p>
          <w:p w:rsidR="007E4016" w:rsidRPr="006D673B" w:rsidRDefault="007E4016" w:rsidP="006B41BD">
            <w:pPr>
              <w:jc w:val="both"/>
              <w:rPr>
                <w:sz w:val="20"/>
              </w:rPr>
            </w:pPr>
            <w:r w:rsidRPr="006D673B">
              <w:rPr>
                <w:sz w:val="20"/>
              </w:rPr>
              <w:t>Inédite</w:t>
            </w:r>
          </w:p>
          <w:p w:rsidR="007E4016" w:rsidRPr="006D673B" w:rsidRDefault="007E4016" w:rsidP="006B41BD">
            <w:pPr>
              <w:jc w:val="both"/>
              <w:rPr>
                <w:sz w:val="20"/>
              </w:rPr>
            </w:pPr>
          </w:p>
        </w:tc>
        <w:tc>
          <w:tcPr>
            <w:tcW w:w="243" w:type="pct"/>
          </w:tcPr>
          <w:p w:rsidR="007E4016" w:rsidRPr="006D673B" w:rsidRDefault="007E4016" w:rsidP="006B41BD">
            <w:pPr>
              <w:jc w:val="both"/>
              <w:rPr>
                <w:sz w:val="20"/>
              </w:rPr>
            </w:pPr>
          </w:p>
        </w:tc>
        <w:tc>
          <w:tcPr>
            <w:tcW w:w="2330" w:type="pct"/>
          </w:tcPr>
          <w:p w:rsidR="007E4016" w:rsidRPr="006D673B" w:rsidRDefault="007E4016" w:rsidP="006B41BD">
            <w:pPr>
              <w:jc w:val="both"/>
              <w:rPr>
                <w:sz w:val="20"/>
                <w:lang w:val="fr-CA"/>
              </w:rPr>
            </w:pPr>
            <w:r w:rsidRPr="006D673B">
              <w:rPr>
                <w:sz w:val="20"/>
                <w:lang w:val="fr-CA"/>
              </w:rPr>
              <w:t>Requête du demandeur en fractionnement de l’instruction accueillie</w:t>
            </w:r>
          </w:p>
          <w:p w:rsidR="007E4016" w:rsidRPr="006D673B" w:rsidRDefault="007E4016" w:rsidP="006B41BD">
            <w:pPr>
              <w:jc w:val="both"/>
              <w:rPr>
                <w:sz w:val="20"/>
                <w:lang w:val="fr-CA"/>
              </w:rPr>
            </w:pPr>
          </w:p>
        </w:tc>
      </w:tr>
      <w:tr w:rsidR="007E4016" w:rsidRPr="006D673B" w:rsidTr="006B41BD">
        <w:tc>
          <w:tcPr>
            <w:tcW w:w="2427" w:type="pct"/>
          </w:tcPr>
          <w:p w:rsidR="007E4016" w:rsidRPr="006D673B" w:rsidRDefault="007E4016" w:rsidP="006B41BD">
            <w:pPr>
              <w:jc w:val="both"/>
              <w:rPr>
                <w:sz w:val="20"/>
                <w:lang w:val="fr-CA"/>
              </w:rPr>
            </w:pPr>
            <w:r w:rsidRPr="006D673B">
              <w:rPr>
                <w:sz w:val="20"/>
                <w:lang w:val="fr-CA"/>
              </w:rPr>
              <w:t>10 mars 2014</w:t>
            </w:r>
          </w:p>
          <w:p w:rsidR="007E4016" w:rsidRPr="006D673B" w:rsidRDefault="007E4016" w:rsidP="006B41BD">
            <w:pPr>
              <w:jc w:val="both"/>
              <w:rPr>
                <w:sz w:val="20"/>
                <w:lang w:val="fr-CA"/>
              </w:rPr>
            </w:pPr>
            <w:r w:rsidRPr="006D673B">
              <w:rPr>
                <w:sz w:val="20"/>
                <w:lang w:val="fr-CA"/>
              </w:rPr>
              <w:t>Cour d’appel de l’Alberta (Calgary)</w:t>
            </w:r>
          </w:p>
          <w:p w:rsidR="007E4016" w:rsidRPr="006D673B" w:rsidRDefault="007E4016" w:rsidP="006B41BD">
            <w:pPr>
              <w:jc w:val="both"/>
              <w:rPr>
                <w:sz w:val="20"/>
                <w:lang w:val="fr-CA"/>
              </w:rPr>
            </w:pPr>
            <w:r w:rsidRPr="006D673B">
              <w:rPr>
                <w:sz w:val="20"/>
                <w:lang w:val="fr-CA"/>
              </w:rPr>
              <w:t>(Juges Paperny, Martin et O'Ferrall)</w:t>
            </w:r>
          </w:p>
          <w:p w:rsidR="007E4016" w:rsidRPr="006D673B" w:rsidRDefault="002B68E4" w:rsidP="006B41BD">
            <w:pPr>
              <w:jc w:val="both"/>
              <w:rPr>
                <w:sz w:val="20"/>
              </w:rPr>
            </w:pPr>
            <w:hyperlink r:id="rId58" w:history="1">
              <w:r w:rsidR="007E4016" w:rsidRPr="006D673B">
                <w:rPr>
                  <w:rStyle w:val="Hyperlink"/>
                  <w:sz w:val="20"/>
                </w:rPr>
                <w:t>2014 ABCA 98</w:t>
              </w:r>
            </w:hyperlink>
          </w:p>
          <w:p w:rsidR="007E4016" w:rsidRPr="006D673B" w:rsidRDefault="007E4016" w:rsidP="006B41BD">
            <w:pPr>
              <w:jc w:val="both"/>
              <w:rPr>
                <w:sz w:val="20"/>
              </w:rPr>
            </w:pPr>
          </w:p>
        </w:tc>
        <w:tc>
          <w:tcPr>
            <w:tcW w:w="243" w:type="pct"/>
          </w:tcPr>
          <w:p w:rsidR="007E4016" w:rsidRPr="006D673B" w:rsidRDefault="007E4016" w:rsidP="006B41BD">
            <w:pPr>
              <w:jc w:val="both"/>
              <w:rPr>
                <w:sz w:val="20"/>
              </w:rPr>
            </w:pPr>
          </w:p>
        </w:tc>
        <w:tc>
          <w:tcPr>
            <w:tcW w:w="2330" w:type="pct"/>
          </w:tcPr>
          <w:p w:rsidR="007E4016" w:rsidRPr="006D673B" w:rsidRDefault="007E4016" w:rsidP="006B41BD">
            <w:pPr>
              <w:jc w:val="both"/>
              <w:rPr>
                <w:sz w:val="20"/>
                <w:lang w:val="fr-CA"/>
              </w:rPr>
            </w:pPr>
            <w:r w:rsidRPr="006D673B">
              <w:rPr>
                <w:sz w:val="20"/>
                <w:lang w:val="fr-CA"/>
              </w:rPr>
              <w:t>Appel de l’intimée accueilli</w:t>
            </w:r>
          </w:p>
          <w:p w:rsidR="007E4016" w:rsidRPr="006D673B" w:rsidRDefault="007E4016" w:rsidP="006B41BD">
            <w:pPr>
              <w:jc w:val="both"/>
              <w:rPr>
                <w:sz w:val="20"/>
                <w:lang w:val="fr-CA"/>
              </w:rPr>
            </w:pPr>
          </w:p>
        </w:tc>
      </w:tr>
      <w:tr w:rsidR="007E4016" w:rsidRPr="006D673B" w:rsidTr="006B41BD">
        <w:tc>
          <w:tcPr>
            <w:tcW w:w="2427" w:type="pct"/>
          </w:tcPr>
          <w:p w:rsidR="007E4016" w:rsidRPr="006D673B" w:rsidRDefault="007E4016" w:rsidP="006B41BD">
            <w:pPr>
              <w:jc w:val="both"/>
              <w:rPr>
                <w:sz w:val="20"/>
                <w:lang w:val="fr-CA"/>
              </w:rPr>
            </w:pPr>
            <w:r w:rsidRPr="006D673B">
              <w:rPr>
                <w:sz w:val="20"/>
                <w:lang w:val="fr-CA"/>
              </w:rPr>
              <w:t>8 mai 2014</w:t>
            </w:r>
          </w:p>
          <w:p w:rsidR="007E4016" w:rsidRPr="006D673B" w:rsidRDefault="007E4016" w:rsidP="006B41BD">
            <w:pPr>
              <w:jc w:val="both"/>
              <w:rPr>
                <w:sz w:val="20"/>
                <w:lang w:val="fr-CA"/>
              </w:rPr>
            </w:pPr>
            <w:r w:rsidRPr="006D673B">
              <w:rPr>
                <w:sz w:val="20"/>
                <w:lang w:val="fr-CA"/>
              </w:rPr>
              <w:t>Cour suprême du Canada</w:t>
            </w:r>
          </w:p>
        </w:tc>
        <w:tc>
          <w:tcPr>
            <w:tcW w:w="243" w:type="pct"/>
          </w:tcPr>
          <w:p w:rsidR="007E4016" w:rsidRPr="006D673B" w:rsidRDefault="007E4016" w:rsidP="006B41BD">
            <w:pPr>
              <w:jc w:val="both"/>
              <w:rPr>
                <w:sz w:val="20"/>
                <w:lang w:val="fr-CA"/>
              </w:rPr>
            </w:pPr>
          </w:p>
        </w:tc>
        <w:tc>
          <w:tcPr>
            <w:tcW w:w="2330" w:type="pct"/>
          </w:tcPr>
          <w:p w:rsidR="007E4016" w:rsidRPr="00247575" w:rsidRDefault="007E4016" w:rsidP="006B41BD">
            <w:pPr>
              <w:jc w:val="both"/>
              <w:rPr>
                <w:sz w:val="20"/>
                <w:lang w:val="fr-CA"/>
              </w:rPr>
            </w:pPr>
            <w:r w:rsidRPr="00247575">
              <w:rPr>
                <w:sz w:val="20"/>
                <w:lang w:val="fr-CA"/>
              </w:rPr>
              <w:t>Demande d’autorisation d’appel déposée</w:t>
            </w:r>
          </w:p>
        </w:tc>
      </w:tr>
    </w:tbl>
    <w:p w:rsidR="007426C2" w:rsidRDefault="007426C2" w:rsidP="007426C2">
      <w:pPr>
        <w:rPr>
          <w:sz w:val="20"/>
          <w:szCs w:val="20"/>
        </w:rPr>
      </w:pPr>
    </w:p>
    <w:p w:rsidR="007426C2" w:rsidRDefault="002B68E4" w:rsidP="007426C2">
      <w:pPr>
        <w:rPr>
          <w:sz w:val="20"/>
          <w:szCs w:val="20"/>
        </w:rPr>
      </w:pPr>
      <w:r>
        <w:rPr>
          <w:sz w:val="20"/>
          <w:szCs w:val="20"/>
          <w:lang w:val="fr-CA"/>
        </w:rPr>
        <w:pict>
          <v:rect id="_x0000_i1056" style="width:2in;height:1pt" o:hrpct="0" o:hralign="center" o:hrstd="t" o:hrnoshade="t" o:hr="t" fillcolor="black [3213]" stroked="f"/>
        </w:pict>
      </w:r>
    </w:p>
    <w:p w:rsidR="007426C2" w:rsidRDefault="007426C2" w:rsidP="007426C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B58A6" w:rsidRPr="00905D3F" w:rsidTr="0008227B">
        <w:trPr>
          <w:cantSplit/>
        </w:trPr>
        <w:tc>
          <w:tcPr>
            <w:tcW w:w="1458" w:type="dxa"/>
          </w:tcPr>
          <w:p w:rsidR="002B58A6" w:rsidRPr="00905D3F" w:rsidRDefault="002B58A6" w:rsidP="0008227B">
            <w:pPr>
              <w:rPr>
                <w:sz w:val="20"/>
                <w:szCs w:val="20"/>
              </w:rPr>
            </w:pPr>
            <w:r w:rsidRPr="00905D3F">
              <w:rPr>
                <w:rStyle w:val="SCCFileNumberChar"/>
                <w:sz w:val="20"/>
                <w:szCs w:val="20"/>
              </w:rPr>
              <w:t>35927</w:t>
            </w:r>
          </w:p>
          <w:p w:rsidR="002B58A6" w:rsidRPr="00905D3F" w:rsidRDefault="002B58A6" w:rsidP="0008227B">
            <w:pPr>
              <w:rPr>
                <w:b/>
                <w:sz w:val="20"/>
                <w:szCs w:val="20"/>
                <w:lang w:val="fr-CA"/>
              </w:rPr>
            </w:pPr>
          </w:p>
        </w:tc>
        <w:tc>
          <w:tcPr>
            <w:tcW w:w="8118" w:type="dxa"/>
          </w:tcPr>
          <w:p w:rsidR="002B58A6" w:rsidRPr="00905D3F" w:rsidRDefault="002B58A6" w:rsidP="0008227B">
            <w:pPr>
              <w:rPr>
                <w:sz w:val="20"/>
                <w:szCs w:val="20"/>
              </w:rPr>
            </w:pPr>
            <w:r w:rsidRPr="00905D3F">
              <w:rPr>
                <w:rStyle w:val="SCCLsocChar"/>
                <w:sz w:val="20"/>
                <w:szCs w:val="20"/>
              </w:rPr>
              <w:t>N.R. v. Stanislav (Stan) (Stas) Savranskiy</w:t>
            </w:r>
            <w:r w:rsidRPr="00905D3F">
              <w:rPr>
                <w:sz w:val="20"/>
                <w:szCs w:val="20"/>
                <w:lang w:val="fr-CA"/>
              </w:rPr>
              <w:t xml:space="preserve"> (Ont.) </w:t>
            </w:r>
            <w:r w:rsidRPr="00905D3F">
              <w:rPr>
                <w:sz w:val="20"/>
                <w:szCs w:val="20"/>
              </w:rPr>
              <w:t>(Civil) (By Leave)</w:t>
            </w:r>
          </w:p>
          <w:p w:rsidR="002B58A6" w:rsidRPr="00905D3F" w:rsidRDefault="002B58A6" w:rsidP="0008227B">
            <w:pPr>
              <w:rPr>
                <w:sz w:val="20"/>
                <w:szCs w:val="20"/>
              </w:rPr>
            </w:pPr>
          </w:p>
        </w:tc>
      </w:tr>
      <w:tr w:rsidR="002B58A6" w:rsidRPr="00905D3F" w:rsidTr="0008227B">
        <w:trPr>
          <w:cantSplit/>
        </w:trPr>
        <w:tc>
          <w:tcPr>
            <w:tcW w:w="1458" w:type="dxa"/>
          </w:tcPr>
          <w:p w:rsidR="002B58A6" w:rsidRPr="00905D3F" w:rsidRDefault="002B58A6" w:rsidP="0008227B">
            <w:pPr>
              <w:rPr>
                <w:sz w:val="20"/>
                <w:szCs w:val="20"/>
              </w:rPr>
            </w:pPr>
            <w:r w:rsidRPr="00905D3F">
              <w:rPr>
                <w:sz w:val="20"/>
                <w:szCs w:val="20"/>
              </w:rPr>
              <w:t>Coram :</w:t>
            </w:r>
          </w:p>
        </w:tc>
        <w:tc>
          <w:tcPr>
            <w:tcW w:w="8118" w:type="dxa"/>
          </w:tcPr>
          <w:p w:rsidR="002B58A6" w:rsidRPr="00905D3F" w:rsidRDefault="002B58A6" w:rsidP="0008227B">
            <w:pPr>
              <w:rPr>
                <w:sz w:val="20"/>
                <w:szCs w:val="20"/>
              </w:rPr>
            </w:pPr>
            <w:r w:rsidRPr="00905D3F">
              <w:rPr>
                <w:rStyle w:val="SCCCoramChar"/>
                <w:sz w:val="20"/>
                <w:szCs w:val="20"/>
                <w:lang w:val="en-CA"/>
              </w:rPr>
              <w:t>Abella, Rothstein and Moldaver JJ.</w:t>
            </w:r>
          </w:p>
          <w:p w:rsidR="002B58A6" w:rsidRPr="00905D3F" w:rsidRDefault="002B58A6" w:rsidP="0008227B">
            <w:pPr>
              <w:rPr>
                <w:sz w:val="20"/>
                <w:szCs w:val="20"/>
                <w:u w:val="single"/>
              </w:rPr>
            </w:pPr>
          </w:p>
        </w:tc>
      </w:tr>
      <w:tr w:rsidR="002B58A6" w:rsidRPr="00FA49F9" w:rsidTr="0008227B">
        <w:trPr>
          <w:cantSplit/>
        </w:trPr>
        <w:tc>
          <w:tcPr>
            <w:tcW w:w="9576" w:type="dxa"/>
            <w:gridSpan w:val="2"/>
          </w:tcPr>
          <w:p w:rsidR="002B58A6" w:rsidRPr="00905D3F" w:rsidRDefault="002B58A6" w:rsidP="0008227B">
            <w:pPr>
              <w:pStyle w:val="SCCShortJudgment"/>
              <w:rPr>
                <w:szCs w:val="20"/>
              </w:rPr>
            </w:pPr>
            <w:r w:rsidRPr="00905D3F">
              <w:rPr>
                <w:szCs w:val="20"/>
              </w:rPr>
              <w:t>The motion for an extension of time to serve and file the application for leave to appeal from the judgment of the Court of Appeal for Ontario, Number C52486, 2011 ONCA 219, dated March 21, 2011, is dismissed.  In any event, had such a motion been granted, the application for leave to appeal would have been dismissed without costs.</w:t>
            </w:r>
          </w:p>
          <w:p w:rsidR="002B58A6" w:rsidRPr="00905D3F" w:rsidRDefault="002B58A6" w:rsidP="0008227B">
            <w:pPr>
              <w:pStyle w:val="SCCShortJudgment"/>
              <w:ind w:firstLine="0"/>
              <w:rPr>
                <w:szCs w:val="20"/>
              </w:rPr>
            </w:pPr>
          </w:p>
          <w:p w:rsidR="002B58A6" w:rsidRPr="00905D3F" w:rsidRDefault="002B58A6" w:rsidP="0008227B">
            <w:pPr>
              <w:pStyle w:val="SCCShortJudgment"/>
              <w:rPr>
                <w:szCs w:val="20"/>
                <w:lang w:val="fr-CA"/>
              </w:rPr>
            </w:pPr>
            <w:r w:rsidRPr="00905D3F">
              <w:rPr>
                <w:szCs w:val="20"/>
                <w:lang w:val="fr-CA"/>
              </w:rPr>
              <w:t>La requête en prorogation du délai de signification et de dépôt de la demande d’autorisation d’appel de l’arrêt de la Cour d’appel de l’Ontario, numéro C52486, 2011 ONCA 219, daté du 21 mars 2011, est rejetée. Quoi qu’il en soit, même si la requête avait été accueillie, la demande d’autorisation d’appel aurait été rejetée sans dépens.</w:t>
            </w:r>
          </w:p>
        </w:tc>
      </w:tr>
    </w:tbl>
    <w:p w:rsidR="007426C2" w:rsidRPr="002B58A6" w:rsidRDefault="007426C2" w:rsidP="000E2959">
      <w:pPr>
        <w:rPr>
          <w:sz w:val="20"/>
          <w:szCs w:val="20"/>
          <w:lang w:val="fr-CA"/>
        </w:rPr>
      </w:pPr>
    </w:p>
    <w:p w:rsidR="007426C2" w:rsidRPr="001B157C" w:rsidRDefault="007426C2" w:rsidP="007426C2">
      <w:pPr>
        <w:rPr>
          <w:sz w:val="20"/>
          <w:szCs w:val="20"/>
          <w:u w:val="single"/>
        </w:rPr>
      </w:pPr>
      <w:r w:rsidRPr="001B157C">
        <w:rPr>
          <w:sz w:val="20"/>
          <w:szCs w:val="20"/>
          <w:u w:val="single"/>
        </w:rPr>
        <w:t>CASE SUMMARY</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4016" w:rsidRPr="006D673B" w:rsidTr="006B41BD">
        <w:tc>
          <w:tcPr>
            <w:tcW w:w="5000" w:type="pct"/>
            <w:gridSpan w:val="3"/>
          </w:tcPr>
          <w:p w:rsidR="007E4016" w:rsidRPr="006D673B" w:rsidRDefault="007E4016" w:rsidP="006B41BD">
            <w:pPr>
              <w:jc w:val="both"/>
              <w:rPr>
                <w:rFonts w:eastAsia="Calibri"/>
                <w:smallCaps/>
                <w:sz w:val="20"/>
              </w:rPr>
            </w:pPr>
            <w:r w:rsidRPr="006D673B">
              <w:rPr>
                <w:rFonts w:eastAsia="Calibri"/>
                <w:smallCaps/>
                <w:sz w:val="20"/>
              </w:rPr>
              <w:t xml:space="preserve">(Publication </w:t>
            </w:r>
            <w:r>
              <w:rPr>
                <w:rFonts w:eastAsia="Calibri"/>
                <w:smallCaps/>
                <w:sz w:val="20"/>
              </w:rPr>
              <w:t>B</w:t>
            </w:r>
            <w:r w:rsidRPr="006D673B">
              <w:rPr>
                <w:rFonts w:eastAsia="Calibri"/>
                <w:smallCaps/>
                <w:sz w:val="20"/>
              </w:rPr>
              <w:t xml:space="preserve">an on </w:t>
            </w:r>
            <w:r>
              <w:rPr>
                <w:rFonts w:eastAsia="Calibri"/>
                <w:smallCaps/>
                <w:sz w:val="20"/>
              </w:rPr>
              <w:t>P</w:t>
            </w:r>
            <w:r w:rsidRPr="006D673B">
              <w:rPr>
                <w:rFonts w:eastAsia="Calibri"/>
                <w:smallCaps/>
                <w:sz w:val="20"/>
              </w:rPr>
              <w:t xml:space="preserve">arty) (Court </w:t>
            </w:r>
            <w:r>
              <w:rPr>
                <w:rFonts w:eastAsia="Calibri"/>
                <w:smallCaps/>
                <w:sz w:val="20"/>
              </w:rPr>
              <w:t>F</w:t>
            </w:r>
            <w:r w:rsidRPr="006D673B">
              <w:rPr>
                <w:rFonts w:eastAsia="Calibri"/>
                <w:smallCaps/>
                <w:sz w:val="20"/>
              </w:rPr>
              <w:t xml:space="preserve">ile </w:t>
            </w:r>
            <w:r>
              <w:rPr>
                <w:rFonts w:eastAsia="Calibri"/>
                <w:smallCaps/>
                <w:sz w:val="20"/>
              </w:rPr>
              <w:t>C</w:t>
            </w:r>
            <w:r w:rsidRPr="006D673B">
              <w:rPr>
                <w:rFonts w:eastAsia="Calibri"/>
                <w:smallCaps/>
                <w:sz w:val="20"/>
              </w:rPr>
              <w:t xml:space="preserve">ontains </w:t>
            </w:r>
            <w:r>
              <w:rPr>
                <w:rFonts w:eastAsia="Calibri"/>
                <w:smallCaps/>
                <w:sz w:val="20"/>
              </w:rPr>
              <w:t>I</w:t>
            </w:r>
            <w:r w:rsidRPr="006D673B">
              <w:rPr>
                <w:rFonts w:eastAsia="Calibri"/>
                <w:smallCaps/>
                <w:sz w:val="20"/>
              </w:rPr>
              <w:t xml:space="preserve">nformation </w:t>
            </w:r>
            <w:r>
              <w:rPr>
                <w:rFonts w:eastAsia="Calibri"/>
                <w:smallCaps/>
                <w:sz w:val="20"/>
              </w:rPr>
              <w:t>T</w:t>
            </w:r>
            <w:r w:rsidRPr="006D673B">
              <w:rPr>
                <w:rFonts w:eastAsia="Calibri"/>
                <w:smallCaps/>
                <w:sz w:val="20"/>
              </w:rPr>
              <w:t xml:space="preserve">hat is </w:t>
            </w:r>
            <w:r>
              <w:rPr>
                <w:rFonts w:eastAsia="Calibri"/>
                <w:smallCaps/>
                <w:sz w:val="20"/>
              </w:rPr>
              <w:t>n</w:t>
            </w:r>
            <w:r w:rsidRPr="006D673B">
              <w:rPr>
                <w:rFonts w:eastAsia="Calibri"/>
                <w:smallCaps/>
                <w:sz w:val="20"/>
              </w:rPr>
              <w:t xml:space="preserve">ot </w:t>
            </w:r>
            <w:r>
              <w:rPr>
                <w:rFonts w:eastAsia="Calibri"/>
                <w:smallCaps/>
                <w:sz w:val="20"/>
              </w:rPr>
              <w:t>A</w:t>
            </w:r>
            <w:r w:rsidRPr="006D673B">
              <w:rPr>
                <w:rFonts w:eastAsia="Calibri"/>
                <w:smallCaps/>
                <w:sz w:val="20"/>
              </w:rPr>
              <w:t xml:space="preserve">vailable for </w:t>
            </w:r>
            <w:r>
              <w:rPr>
                <w:rFonts w:eastAsia="Calibri"/>
                <w:smallCaps/>
                <w:sz w:val="20"/>
              </w:rPr>
              <w:t>I</w:t>
            </w:r>
            <w:r w:rsidRPr="006D673B">
              <w:rPr>
                <w:rFonts w:eastAsia="Calibri"/>
                <w:smallCaps/>
                <w:sz w:val="20"/>
              </w:rPr>
              <w:t xml:space="preserve">nspection by the </w:t>
            </w:r>
            <w:r>
              <w:rPr>
                <w:rFonts w:eastAsia="Calibri"/>
                <w:smallCaps/>
                <w:sz w:val="20"/>
              </w:rPr>
              <w:t>P</w:t>
            </w:r>
            <w:r w:rsidRPr="006D673B">
              <w:rPr>
                <w:rFonts w:eastAsia="Calibri"/>
                <w:smallCaps/>
                <w:sz w:val="20"/>
              </w:rPr>
              <w:t>ublic)</w:t>
            </w:r>
          </w:p>
          <w:p w:rsidR="007E4016" w:rsidRPr="006D673B" w:rsidRDefault="007E4016" w:rsidP="006B41BD">
            <w:pPr>
              <w:jc w:val="both"/>
              <w:rPr>
                <w:rFonts w:eastAsia="Calibri"/>
                <w:i/>
                <w:sz w:val="20"/>
              </w:rPr>
            </w:pPr>
          </w:p>
          <w:p w:rsidR="007E4016" w:rsidRPr="006D673B" w:rsidRDefault="007E4016" w:rsidP="006B41BD">
            <w:pPr>
              <w:jc w:val="both"/>
              <w:rPr>
                <w:rFonts w:eastAsia="Calibri"/>
                <w:smallCaps/>
                <w:sz w:val="20"/>
              </w:rPr>
            </w:pPr>
            <w:r w:rsidRPr="006D673B">
              <w:rPr>
                <w:rFonts w:eastAsia="Calibri"/>
                <w:i/>
                <w:sz w:val="20"/>
              </w:rPr>
              <w:t>Charter of rights and freedoms</w:t>
            </w:r>
            <w:r w:rsidRPr="006D673B">
              <w:rPr>
                <w:rFonts w:eastAsia="Calibri"/>
                <w:sz w:val="20"/>
              </w:rPr>
              <w:t xml:space="preserve"> — Civil procedure — Motion for summary judgment — Motions judge granting motion for summary judgment and dismissing action against respondent — Whether Court of Appeal erred in dismissing applicant’s appeal?</w:t>
            </w:r>
          </w:p>
        </w:tc>
      </w:tr>
      <w:tr w:rsidR="007E4016" w:rsidRPr="006D673B" w:rsidTr="006B41BD">
        <w:tc>
          <w:tcPr>
            <w:tcW w:w="5000" w:type="pct"/>
            <w:gridSpan w:val="3"/>
          </w:tcPr>
          <w:p w:rsidR="007E4016" w:rsidRPr="006D673B" w:rsidRDefault="007E4016" w:rsidP="006B41BD">
            <w:pPr>
              <w:jc w:val="both"/>
              <w:rPr>
                <w:rFonts w:eastAsia="Calibri"/>
                <w:sz w:val="20"/>
              </w:rPr>
            </w:pPr>
          </w:p>
        </w:tc>
      </w:tr>
      <w:tr w:rsidR="007E4016" w:rsidRPr="006D673B" w:rsidTr="006B41BD">
        <w:tc>
          <w:tcPr>
            <w:tcW w:w="5000" w:type="pct"/>
            <w:gridSpan w:val="3"/>
          </w:tcPr>
          <w:p w:rsidR="007E4016" w:rsidRPr="006D673B" w:rsidRDefault="007E4016" w:rsidP="006B41BD">
            <w:pPr>
              <w:jc w:val="both"/>
              <w:rPr>
                <w:rFonts w:eastAsia="Calibri"/>
                <w:sz w:val="20"/>
              </w:rPr>
            </w:pPr>
            <w:r w:rsidRPr="006D673B">
              <w:rPr>
                <w:rFonts w:eastAsia="Calibri"/>
                <w:sz w:val="20"/>
              </w:rPr>
              <w:t xml:space="preserve">The applicant brought an action against the respondent, a former family friend.  That action, for libel and slander, </w:t>
            </w:r>
            <w:r w:rsidRPr="006D673B">
              <w:rPr>
                <w:rFonts w:eastAsia="Calibri"/>
                <w:sz w:val="20"/>
              </w:rPr>
              <w:lastRenderedPageBreak/>
              <w:t xml:space="preserve">relates to comments that the respondent is alleged to have made during an interview conducted by the Children’s Aid Society (C.A.S.) in the course of an investigation into the wellbeing of the applicant’s newborn grandchild.  The C.A.S. ultimately did not have concerns with respect to the child and it closed the file.  </w:t>
            </w:r>
          </w:p>
          <w:p w:rsidR="007E4016" w:rsidRPr="006D673B" w:rsidRDefault="007E4016" w:rsidP="006B41BD">
            <w:pPr>
              <w:jc w:val="both"/>
              <w:rPr>
                <w:rFonts w:eastAsia="Calibri"/>
                <w:sz w:val="20"/>
              </w:rPr>
            </w:pPr>
          </w:p>
          <w:p w:rsidR="007E4016" w:rsidRPr="006D673B" w:rsidRDefault="007E4016" w:rsidP="006B41BD">
            <w:pPr>
              <w:jc w:val="both"/>
              <w:rPr>
                <w:rFonts w:eastAsia="Calibri"/>
                <w:sz w:val="20"/>
              </w:rPr>
            </w:pPr>
            <w:r w:rsidRPr="006D673B">
              <w:rPr>
                <w:rFonts w:eastAsia="Calibri"/>
                <w:sz w:val="20"/>
              </w:rPr>
              <w:t xml:space="preserve">This action was one of five libel and slander actions filed by the applicant against various respondents and relating to incidents which followed the birth of her grandchild. </w:t>
            </w:r>
          </w:p>
          <w:p w:rsidR="007E4016" w:rsidRPr="006D673B" w:rsidRDefault="007E4016" w:rsidP="006B41BD">
            <w:pPr>
              <w:jc w:val="both"/>
              <w:rPr>
                <w:rFonts w:eastAsia="Calibri"/>
                <w:sz w:val="20"/>
              </w:rPr>
            </w:pPr>
          </w:p>
          <w:p w:rsidR="007E4016" w:rsidRPr="006D673B" w:rsidRDefault="007E4016" w:rsidP="006B41BD">
            <w:pPr>
              <w:jc w:val="both"/>
              <w:rPr>
                <w:rFonts w:eastAsia="Calibri"/>
                <w:sz w:val="20"/>
              </w:rPr>
            </w:pPr>
            <w:r w:rsidRPr="006D673B">
              <w:rPr>
                <w:rFonts w:eastAsia="Calibri"/>
                <w:sz w:val="20"/>
              </w:rPr>
              <w:t>The respondent filed a motion for summary judgment.</w:t>
            </w:r>
          </w:p>
          <w:p w:rsidR="007E4016" w:rsidRPr="006D673B" w:rsidRDefault="007E4016" w:rsidP="006B41BD">
            <w:pPr>
              <w:jc w:val="both"/>
              <w:rPr>
                <w:rFonts w:eastAsia="Calibri"/>
                <w:sz w:val="20"/>
              </w:rPr>
            </w:pPr>
          </w:p>
        </w:tc>
      </w:tr>
      <w:tr w:rsidR="007E4016" w:rsidRPr="006D673B" w:rsidTr="006B41BD">
        <w:tc>
          <w:tcPr>
            <w:tcW w:w="2427" w:type="pct"/>
          </w:tcPr>
          <w:p w:rsidR="007E4016" w:rsidRPr="006D673B" w:rsidRDefault="007E4016" w:rsidP="006B41BD">
            <w:pPr>
              <w:jc w:val="both"/>
              <w:rPr>
                <w:rFonts w:eastAsia="Calibri"/>
                <w:sz w:val="20"/>
              </w:rPr>
            </w:pPr>
            <w:r w:rsidRPr="006D673B">
              <w:rPr>
                <w:rFonts w:eastAsia="Calibri"/>
                <w:sz w:val="20"/>
              </w:rPr>
              <w:lastRenderedPageBreak/>
              <w:t>July 6, 2010</w:t>
            </w:r>
          </w:p>
          <w:p w:rsidR="007E4016" w:rsidRPr="006D673B" w:rsidRDefault="007E4016" w:rsidP="006B41BD">
            <w:pPr>
              <w:jc w:val="both"/>
              <w:rPr>
                <w:rFonts w:eastAsia="Calibri"/>
                <w:sz w:val="20"/>
              </w:rPr>
            </w:pPr>
            <w:r w:rsidRPr="006D673B">
              <w:rPr>
                <w:rFonts w:eastAsia="Calibri"/>
                <w:sz w:val="20"/>
              </w:rPr>
              <w:t>Ontario Superior Court of Justice</w:t>
            </w:r>
          </w:p>
          <w:p w:rsidR="007E4016" w:rsidRPr="006D673B" w:rsidRDefault="007E4016" w:rsidP="006B41BD">
            <w:pPr>
              <w:jc w:val="both"/>
              <w:rPr>
                <w:rFonts w:eastAsia="Calibri"/>
                <w:sz w:val="20"/>
              </w:rPr>
            </w:pPr>
            <w:r w:rsidRPr="006D673B">
              <w:rPr>
                <w:rFonts w:eastAsia="Calibri"/>
                <w:sz w:val="20"/>
              </w:rPr>
              <w:t>(Belobaba J.)</w:t>
            </w:r>
          </w:p>
          <w:p w:rsidR="007E4016" w:rsidRPr="006D673B" w:rsidRDefault="007E4016" w:rsidP="006B41BD">
            <w:pPr>
              <w:jc w:val="both"/>
              <w:rPr>
                <w:rFonts w:eastAsia="Calibri"/>
                <w:sz w:val="20"/>
              </w:rPr>
            </w:pPr>
          </w:p>
        </w:tc>
        <w:tc>
          <w:tcPr>
            <w:tcW w:w="243" w:type="pct"/>
          </w:tcPr>
          <w:p w:rsidR="007E4016" w:rsidRPr="006D673B" w:rsidRDefault="007E4016" w:rsidP="006B41BD">
            <w:pPr>
              <w:jc w:val="both"/>
              <w:rPr>
                <w:rFonts w:eastAsia="Calibri"/>
                <w:sz w:val="20"/>
              </w:rPr>
            </w:pPr>
          </w:p>
        </w:tc>
        <w:tc>
          <w:tcPr>
            <w:tcW w:w="2330" w:type="pct"/>
          </w:tcPr>
          <w:p w:rsidR="007E4016" w:rsidRPr="006D673B" w:rsidRDefault="007E4016" w:rsidP="006B41BD">
            <w:pPr>
              <w:jc w:val="both"/>
              <w:rPr>
                <w:rFonts w:eastAsia="Calibri"/>
                <w:sz w:val="20"/>
              </w:rPr>
            </w:pPr>
            <w:r w:rsidRPr="006D673B">
              <w:rPr>
                <w:rFonts w:eastAsia="Calibri"/>
                <w:sz w:val="20"/>
              </w:rPr>
              <w:t xml:space="preserve">Motion for summary judgment granted; Action against respondent, dismissed </w:t>
            </w:r>
          </w:p>
        </w:tc>
      </w:tr>
      <w:tr w:rsidR="007E4016" w:rsidRPr="006D673B" w:rsidTr="006B41BD">
        <w:tc>
          <w:tcPr>
            <w:tcW w:w="2427" w:type="pct"/>
          </w:tcPr>
          <w:p w:rsidR="007E4016" w:rsidRPr="006D673B" w:rsidRDefault="007E4016" w:rsidP="006B41BD">
            <w:pPr>
              <w:jc w:val="both"/>
              <w:rPr>
                <w:rFonts w:eastAsia="Calibri"/>
                <w:sz w:val="20"/>
              </w:rPr>
            </w:pPr>
            <w:r w:rsidRPr="006D673B">
              <w:rPr>
                <w:rFonts w:eastAsia="Calibri"/>
                <w:sz w:val="20"/>
              </w:rPr>
              <w:t>March 21, 2011</w:t>
            </w:r>
          </w:p>
          <w:p w:rsidR="007E4016" w:rsidRPr="006D673B" w:rsidRDefault="007E4016" w:rsidP="006B41BD">
            <w:pPr>
              <w:jc w:val="both"/>
              <w:rPr>
                <w:rFonts w:eastAsia="Calibri"/>
                <w:sz w:val="20"/>
              </w:rPr>
            </w:pPr>
            <w:r w:rsidRPr="006D673B">
              <w:rPr>
                <w:rFonts w:eastAsia="Calibri"/>
                <w:sz w:val="20"/>
              </w:rPr>
              <w:t>Court of Appeal for Ontario</w:t>
            </w:r>
          </w:p>
          <w:p w:rsidR="007E4016" w:rsidRPr="006D673B" w:rsidRDefault="007E4016" w:rsidP="006B41BD">
            <w:pPr>
              <w:jc w:val="both"/>
              <w:rPr>
                <w:rFonts w:eastAsia="Calibri"/>
                <w:sz w:val="20"/>
              </w:rPr>
            </w:pPr>
            <w:r w:rsidRPr="006D673B">
              <w:rPr>
                <w:rFonts w:eastAsia="Calibri"/>
                <w:sz w:val="20"/>
              </w:rPr>
              <w:t xml:space="preserve">(Sharpe, Gillese and Karakatsanis JJ.A.) </w:t>
            </w:r>
          </w:p>
          <w:p w:rsidR="007E4016" w:rsidRPr="006D673B" w:rsidRDefault="007E4016" w:rsidP="006B41BD">
            <w:pPr>
              <w:jc w:val="both"/>
              <w:rPr>
                <w:rFonts w:eastAsia="Calibri"/>
                <w:sz w:val="20"/>
              </w:rPr>
            </w:pPr>
          </w:p>
        </w:tc>
        <w:tc>
          <w:tcPr>
            <w:tcW w:w="243" w:type="pct"/>
          </w:tcPr>
          <w:p w:rsidR="007E4016" w:rsidRPr="006D673B" w:rsidRDefault="007E4016" w:rsidP="006B41BD">
            <w:pPr>
              <w:jc w:val="both"/>
              <w:rPr>
                <w:rFonts w:eastAsia="Calibri"/>
                <w:sz w:val="20"/>
              </w:rPr>
            </w:pPr>
          </w:p>
        </w:tc>
        <w:tc>
          <w:tcPr>
            <w:tcW w:w="2330" w:type="pct"/>
          </w:tcPr>
          <w:p w:rsidR="007E4016" w:rsidRPr="006D673B" w:rsidRDefault="007E4016" w:rsidP="006B41BD">
            <w:pPr>
              <w:jc w:val="both"/>
              <w:rPr>
                <w:rFonts w:eastAsia="Calibri"/>
                <w:sz w:val="20"/>
              </w:rPr>
            </w:pPr>
            <w:r w:rsidRPr="006D673B">
              <w:rPr>
                <w:rFonts w:eastAsia="Calibri"/>
                <w:sz w:val="20"/>
              </w:rPr>
              <w:t xml:space="preserve">Appeal dismissed </w:t>
            </w:r>
          </w:p>
        </w:tc>
      </w:tr>
      <w:tr w:rsidR="007E4016" w:rsidRPr="006D673B" w:rsidTr="006B41BD">
        <w:tc>
          <w:tcPr>
            <w:tcW w:w="2427" w:type="pct"/>
          </w:tcPr>
          <w:p w:rsidR="007E4016" w:rsidRPr="006D673B" w:rsidRDefault="007E4016" w:rsidP="006B41BD">
            <w:pPr>
              <w:jc w:val="both"/>
              <w:rPr>
                <w:rFonts w:eastAsia="Calibri"/>
                <w:sz w:val="20"/>
              </w:rPr>
            </w:pPr>
            <w:r w:rsidRPr="006D673B">
              <w:rPr>
                <w:rFonts w:eastAsia="Calibri"/>
                <w:sz w:val="20"/>
              </w:rPr>
              <w:t>April 15, 2014</w:t>
            </w:r>
          </w:p>
          <w:p w:rsidR="007E4016" w:rsidRPr="006D673B" w:rsidRDefault="007E4016" w:rsidP="006B41BD">
            <w:pPr>
              <w:jc w:val="both"/>
              <w:rPr>
                <w:rFonts w:eastAsia="Calibri"/>
                <w:sz w:val="20"/>
              </w:rPr>
            </w:pPr>
            <w:r w:rsidRPr="006D673B">
              <w:rPr>
                <w:rFonts w:eastAsia="Calibri"/>
                <w:sz w:val="20"/>
              </w:rPr>
              <w:t>Supreme Court of Canada</w:t>
            </w:r>
          </w:p>
        </w:tc>
        <w:tc>
          <w:tcPr>
            <w:tcW w:w="243" w:type="pct"/>
          </w:tcPr>
          <w:p w:rsidR="007E4016" w:rsidRPr="006D673B" w:rsidRDefault="007E4016" w:rsidP="006B41BD">
            <w:pPr>
              <w:jc w:val="both"/>
              <w:rPr>
                <w:rFonts w:eastAsia="Calibri"/>
                <w:sz w:val="20"/>
              </w:rPr>
            </w:pPr>
          </w:p>
        </w:tc>
        <w:tc>
          <w:tcPr>
            <w:tcW w:w="2330" w:type="pct"/>
          </w:tcPr>
          <w:p w:rsidR="007E4016" w:rsidRPr="006D673B" w:rsidRDefault="007E4016" w:rsidP="006B41BD">
            <w:pPr>
              <w:jc w:val="both"/>
              <w:rPr>
                <w:rFonts w:eastAsia="Calibri"/>
                <w:sz w:val="20"/>
              </w:rPr>
            </w:pPr>
            <w:r w:rsidRPr="006D673B">
              <w:rPr>
                <w:rFonts w:eastAsia="Calibri"/>
                <w:sz w:val="20"/>
              </w:rPr>
              <w:t>Motion for an extension of time to serve and file an application for leave to appeal and application for leave to appeal, filed</w:t>
            </w:r>
          </w:p>
        </w:tc>
      </w:tr>
    </w:tbl>
    <w:p w:rsidR="007426C2" w:rsidRDefault="007426C2" w:rsidP="007426C2">
      <w:pPr>
        <w:rPr>
          <w:sz w:val="20"/>
          <w:szCs w:val="20"/>
        </w:rPr>
      </w:pPr>
    </w:p>
    <w:p w:rsidR="007426C2" w:rsidRPr="00C50A5C" w:rsidRDefault="002B68E4" w:rsidP="007426C2">
      <w:pPr>
        <w:rPr>
          <w:sz w:val="20"/>
          <w:szCs w:val="20"/>
        </w:rPr>
      </w:pPr>
      <w:r>
        <w:rPr>
          <w:sz w:val="20"/>
          <w:szCs w:val="20"/>
          <w:lang w:val="fr-CA"/>
        </w:rPr>
        <w:pict>
          <v:rect id="_x0000_i1057" style="width:2in;height:1pt" o:hrpct="0" o:hralign="center" o:hrstd="t" o:hrnoshade="t" o:hr="t" fillcolor="black [3213]" stroked="f"/>
        </w:pict>
      </w:r>
    </w:p>
    <w:p w:rsidR="007426C2" w:rsidRDefault="007426C2" w:rsidP="007426C2">
      <w:pPr>
        <w:rPr>
          <w:sz w:val="20"/>
          <w:szCs w:val="20"/>
        </w:rPr>
      </w:pPr>
    </w:p>
    <w:p w:rsidR="007426C2" w:rsidRPr="001B157C" w:rsidRDefault="007426C2" w:rsidP="007426C2">
      <w:pPr>
        <w:rPr>
          <w:sz w:val="20"/>
          <w:szCs w:val="20"/>
          <w:u w:val="single"/>
          <w:lang w:val="fr-CA"/>
        </w:rPr>
      </w:pPr>
      <w:r w:rsidRPr="001B157C">
        <w:rPr>
          <w:sz w:val="20"/>
          <w:szCs w:val="20"/>
          <w:u w:val="single"/>
          <w:lang w:val="fr-CA"/>
        </w:rPr>
        <w:t>RÉSUMÉ DE L’AFFAIRE</w:t>
      </w:r>
    </w:p>
    <w:p w:rsidR="007426C2" w:rsidRDefault="007426C2" w:rsidP="007426C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4016" w:rsidRPr="00FA49F9" w:rsidTr="006B41BD">
        <w:tc>
          <w:tcPr>
            <w:tcW w:w="5000" w:type="pct"/>
            <w:gridSpan w:val="3"/>
          </w:tcPr>
          <w:p w:rsidR="007E4016" w:rsidRPr="006D673B" w:rsidRDefault="007E4016" w:rsidP="006B41BD">
            <w:pPr>
              <w:jc w:val="both"/>
              <w:rPr>
                <w:rFonts w:eastAsia="Calibri"/>
                <w:smallCaps/>
                <w:sz w:val="20"/>
                <w:lang w:val="fr-CA"/>
              </w:rPr>
            </w:pPr>
            <w:r w:rsidRPr="006D673B">
              <w:rPr>
                <w:rFonts w:eastAsia="Calibri"/>
                <w:smallCaps/>
                <w:sz w:val="20"/>
                <w:lang w:val="fr-CA"/>
              </w:rPr>
              <w:t>(Ordonnance non-publication visant une partie) (le dossier de la cour renferme des données que le public n’est pas autorisé à consulter)</w:t>
            </w:r>
          </w:p>
          <w:p w:rsidR="007E4016" w:rsidRPr="006D673B" w:rsidRDefault="007E4016" w:rsidP="006B41BD">
            <w:pPr>
              <w:jc w:val="both"/>
              <w:rPr>
                <w:rFonts w:eastAsia="Calibri"/>
                <w:i/>
                <w:sz w:val="20"/>
                <w:lang w:val="fr-CA"/>
              </w:rPr>
            </w:pPr>
          </w:p>
          <w:p w:rsidR="007E4016" w:rsidRPr="006D673B" w:rsidRDefault="007E4016" w:rsidP="006B41BD">
            <w:pPr>
              <w:jc w:val="both"/>
              <w:rPr>
                <w:rFonts w:eastAsia="Calibri"/>
                <w:smallCaps/>
                <w:sz w:val="20"/>
                <w:lang w:val="fr-CA"/>
              </w:rPr>
            </w:pPr>
            <w:r w:rsidRPr="006D673B">
              <w:rPr>
                <w:rFonts w:eastAsia="Calibri"/>
                <w:i/>
                <w:sz w:val="20"/>
                <w:lang w:val="fr-CA"/>
              </w:rPr>
              <w:t>Charte canadienne des droits et libertés</w:t>
            </w:r>
            <w:r w:rsidRPr="006D673B">
              <w:rPr>
                <w:rFonts w:eastAsia="Calibri"/>
                <w:sz w:val="20"/>
                <w:lang w:val="fr-CA"/>
              </w:rPr>
              <w:t xml:space="preserve"> </w:t>
            </w:r>
            <w:r w:rsidRPr="006D673B">
              <w:rPr>
                <w:rFonts w:eastAsia="Calibri"/>
                <w:sz w:val="20"/>
                <w:lang w:val="fr-CA"/>
              </w:rPr>
              <w:noBreakHyphen/>
              <w:t xml:space="preserve"> Procédure civile </w:t>
            </w:r>
            <w:r w:rsidRPr="006D673B">
              <w:rPr>
                <w:rFonts w:eastAsia="Calibri"/>
                <w:sz w:val="20"/>
                <w:lang w:val="fr-CA"/>
              </w:rPr>
              <w:noBreakHyphen/>
              <w:t xml:space="preserve"> Requête en jugement sommaire </w:t>
            </w:r>
            <w:r w:rsidRPr="006D673B">
              <w:rPr>
                <w:rFonts w:eastAsia="Calibri"/>
                <w:sz w:val="20"/>
                <w:lang w:val="fr-CA"/>
              </w:rPr>
              <w:noBreakHyphen/>
              <w:t xml:space="preserve"> Requête en jugement sommaire accueillie et action contre les défendeurs rejetée par le juge des requêtes </w:t>
            </w:r>
            <w:r w:rsidRPr="006D673B">
              <w:rPr>
                <w:rFonts w:eastAsia="Calibri"/>
                <w:sz w:val="20"/>
                <w:lang w:val="fr-CA"/>
              </w:rPr>
              <w:noBreakHyphen/>
              <w:t xml:space="preserve"> La cour d’appel a-t-elle eu tort de rejeter l’appel de la demanderesse?</w:t>
            </w:r>
          </w:p>
        </w:tc>
      </w:tr>
      <w:tr w:rsidR="007E4016" w:rsidRPr="00FA49F9" w:rsidTr="006B41BD">
        <w:tc>
          <w:tcPr>
            <w:tcW w:w="5000" w:type="pct"/>
            <w:gridSpan w:val="3"/>
          </w:tcPr>
          <w:p w:rsidR="007E4016" w:rsidRPr="006D673B" w:rsidRDefault="007E4016" w:rsidP="006B41BD">
            <w:pPr>
              <w:jc w:val="both"/>
              <w:rPr>
                <w:rFonts w:eastAsia="Calibri"/>
                <w:sz w:val="20"/>
                <w:lang w:val="fr-CA"/>
              </w:rPr>
            </w:pPr>
          </w:p>
        </w:tc>
      </w:tr>
      <w:tr w:rsidR="007E4016" w:rsidRPr="00FA49F9" w:rsidTr="006B41BD">
        <w:tc>
          <w:tcPr>
            <w:tcW w:w="5000" w:type="pct"/>
            <w:gridSpan w:val="3"/>
          </w:tcPr>
          <w:p w:rsidR="007E4016" w:rsidRPr="006D673B" w:rsidRDefault="007E4016" w:rsidP="006B41BD">
            <w:pPr>
              <w:jc w:val="both"/>
              <w:rPr>
                <w:rFonts w:eastAsia="Calibri"/>
                <w:sz w:val="20"/>
                <w:lang w:val="fr-CA"/>
              </w:rPr>
            </w:pPr>
            <w:r w:rsidRPr="006D673B">
              <w:rPr>
                <w:rFonts w:eastAsia="Calibri"/>
                <w:sz w:val="20"/>
                <w:lang w:val="fr-CA"/>
              </w:rPr>
              <w:t xml:space="preserve">La demanderesse a intenté une action contre la défenderesse, une ancienne amie de la famille.    Cette action en diffamation a trait à des remarques que la défenderesse aurait faites lors d’une entrevue avec des représentants de la Société d’aide à l’enfance (SAE) au cours d’une enquête relative au bien-être du petit-enfant nouveau-né de la demanderesse.  En fin de compte, la SAE n’ayant pas d’inquiétudes au sujet de l’enfant, elle a clos le dossier. </w:t>
            </w:r>
          </w:p>
          <w:p w:rsidR="007E4016" w:rsidRPr="006D673B" w:rsidRDefault="007E4016" w:rsidP="006B41BD">
            <w:pPr>
              <w:jc w:val="both"/>
              <w:rPr>
                <w:rFonts w:eastAsia="Calibri"/>
                <w:sz w:val="20"/>
                <w:lang w:val="fr-CA"/>
              </w:rPr>
            </w:pPr>
          </w:p>
          <w:p w:rsidR="007E4016" w:rsidRPr="006D673B" w:rsidRDefault="007E4016" w:rsidP="006B41BD">
            <w:pPr>
              <w:jc w:val="both"/>
              <w:rPr>
                <w:rFonts w:eastAsia="Calibri"/>
                <w:sz w:val="20"/>
                <w:lang w:val="fr-CA"/>
              </w:rPr>
            </w:pPr>
            <w:r w:rsidRPr="006D673B">
              <w:rPr>
                <w:rFonts w:eastAsia="Calibri"/>
                <w:sz w:val="20"/>
                <w:lang w:val="fr-CA"/>
              </w:rPr>
              <w:t xml:space="preserve">Il s’agit de l’une des cinq actions pour diffamation intentées par la demanderesse contre divers défendeurs et relatives à des incidents consécutifs à la naissance de son petit-enfant. </w:t>
            </w:r>
          </w:p>
          <w:p w:rsidR="007E4016" w:rsidRPr="006D673B" w:rsidRDefault="007E4016" w:rsidP="006B41BD">
            <w:pPr>
              <w:jc w:val="both"/>
              <w:rPr>
                <w:rFonts w:eastAsia="Calibri"/>
                <w:sz w:val="20"/>
                <w:lang w:val="fr-CA"/>
              </w:rPr>
            </w:pPr>
          </w:p>
          <w:p w:rsidR="007E4016" w:rsidRPr="006D673B" w:rsidRDefault="007E4016" w:rsidP="006B41BD">
            <w:pPr>
              <w:jc w:val="both"/>
              <w:rPr>
                <w:rFonts w:eastAsia="Calibri"/>
                <w:sz w:val="20"/>
                <w:lang w:val="fr-CA"/>
              </w:rPr>
            </w:pPr>
            <w:r w:rsidRPr="006D673B">
              <w:rPr>
                <w:rFonts w:eastAsia="Calibri"/>
                <w:sz w:val="20"/>
                <w:lang w:val="fr-CA"/>
              </w:rPr>
              <w:t>La défenderesse a déposé une requête en jugement sommaire.</w:t>
            </w:r>
          </w:p>
          <w:p w:rsidR="007E4016" w:rsidRPr="006D673B" w:rsidRDefault="007E4016" w:rsidP="006B41BD">
            <w:pPr>
              <w:jc w:val="both"/>
              <w:rPr>
                <w:rFonts w:eastAsia="Calibri"/>
                <w:sz w:val="20"/>
                <w:lang w:val="fr-CA"/>
              </w:rPr>
            </w:pPr>
          </w:p>
        </w:tc>
      </w:tr>
      <w:tr w:rsidR="007E4016" w:rsidRPr="00FA49F9" w:rsidTr="006B41BD">
        <w:tc>
          <w:tcPr>
            <w:tcW w:w="2427" w:type="pct"/>
          </w:tcPr>
          <w:p w:rsidR="007E4016" w:rsidRPr="006D673B" w:rsidRDefault="007E4016" w:rsidP="006B41BD">
            <w:pPr>
              <w:jc w:val="both"/>
              <w:rPr>
                <w:rFonts w:eastAsia="Calibri"/>
                <w:sz w:val="20"/>
                <w:lang w:val="fr-CA"/>
              </w:rPr>
            </w:pPr>
            <w:r w:rsidRPr="006D673B">
              <w:rPr>
                <w:rFonts w:eastAsia="Calibri"/>
                <w:sz w:val="20"/>
                <w:lang w:val="fr-CA"/>
              </w:rPr>
              <w:t>6 juillet 2010</w:t>
            </w:r>
          </w:p>
          <w:p w:rsidR="007E4016" w:rsidRPr="006D673B" w:rsidRDefault="007E4016" w:rsidP="006B41BD">
            <w:pPr>
              <w:jc w:val="both"/>
              <w:rPr>
                <w:rFonts w:eastAsia="Calibri"/>
                <w:sz w:val="20"/>
                <w:lang w:val="fr-CA"/>
              </w:rPr>
            </w:pPr>
            <w:r w:rsidRPr="006D673B">
              <w:rPr>
                <w:rFonts w:eastAsia="Calibri"/>
                <w:sz w:val="20"/>
                <w:lang w:val="fr-CA"/>
              </w:rPr>
              <w:t>Cour supérieure de justice de l’Ontario</w:t>
            </w:r>
          </w:p>
          <w:p w:rsidR="007E4016" w:rsidRPr="006D673B" w:rsidRDefault="007E4016" w:rsidP="006B41BD">
            <w:pPr>
              <w:jc w:val="both"/>
              <w:rPr>
                <w:rFonts w:eastAsia="Calibri"/>
                <w:sz w:val="20"/>
              </w:rPr>
            </w:pPr>
            <w:r w:rsidRPr="006D673B">
              <w:rPr>
                <w:rFonts w:eastAsia="Calibri"/>
                <w:sz w:val="20"/>
              </w:rPr>
              <w:t>(Juge Belobaba)</w:t>
            </w:r>
          </w:p>
          <w:p w:rsidR="007E4016" w:rsidRPr="006D673B" w:rsidRDefault="007E4016" w:rsidP="006B41BD">
            <w:pPr>
              <w:jc w:val="both"/>
              <w:rPr>
                <w:rFonts w:eastAsia="Calibri"/>
                <w:sz w:val="20"/>
              </w:rPr>
            </w:pPr>
          </w:p>
        </w:tc>
        <w:tc>
          <w:tcPr>
            <w:tcW w:w="243" w:type="pct"/>
          </w:tcPr>
          <w:p w:rsidR="007E4016" w:rsidRPr="006D673B" w:rsidRDefault="007E4016" w:rsidP="006B41BD">
            <w:pPr>
              <w:jc w:val="both"/>
              <w:rPr>
                <w:rFonts w:eastAsia="Calibri"/>
                <w:sz w:val="20"/>
              </w:rPr>
            </w:pPr>
          </w:p>
        </w:tc>
        <w:tc>
          <w:tcPr>
            <w:tcW w:w="2330" w:type="pct"/>
          </w:tcPr>
          <w:p w:rsidR="007E4016" w:rsidRPr="006D673B" w:rsidRDefault="007E4016" w:rsidP="006B41BD">
            <w:pPr>
              <w:jc w:val="both"/>
              <w:rPr>
                <w:rFonts w:eastAsia="Calibri"/>
                <w:sz w:val="20"/>
                <w:lang w:val="fr-CA"/>
              </w:rPr>
            </w:pPr>
            <w:r w:rsidRPr="006D673B">
              <w:rPr>
                <w:rFonts w:eastAsia="Calibri"/>
                <w:sz w:val="20"/>
                <w:lang w:val="fr-CA"/>
              </w:rPr>
              <w:t>Requête en jugement sommaire accueillie; action contre la défenderesse rejetée</w:t>
            </w:r>
          </w:p>
        </w:tc>
      </w:tr>
      <w:tr w:rsidR="007E4016" w:rsidRPr="006D673B" w:rsidTr="006B41BD">
        <w:tc>
          <w:tcPr>
            <w:tcW w:w="2427" w:type="pct"/>
          </w:tcPr>
          <w:p w:rsidR="007E4016" w:rsidRPr="006D673B" w:rsidRDefault="007E4016" w:rsidP="006B41BD">
            <w:pPr>
              <w:jc w:val="both"/>
              <w:rPr>
                <w:rFonts w:eastAsia="Calibri"/>
                <w:sz w:val="20"/>
                <w:lang w:val="fr-CA"/>
              </w:rPr>
            </w:pPr>
            <w:r w:rsidRPr="006D673B">
              <w:rPr>
                <w:rFonts w:eastAsia="Calibri"/>
                <w:sz w:val="20"/>
                <w:lang w:val="fr-CA"/>
              </w:rPr>
              <w:t>21 mars 2011</w:t>
            </w:r>
          </w:p>
          <w:p w:rsidR="007E4016" w:rsidRPr="006D673B" w:rsidRDefault="007E4016" w:rsidP="006B41BD">
            <w:pPr>
              <w:jc w:val="both"/>
              <w:rPr>
                <w:rFonts w:eastAsia="Calibri"/>
                <w:sz w:val="20"/>
                <w:lang w:val="fr-CA"/>
              </w:rPr>
            </w:pPr>
            <w:r w:rsidRPr="006D673B">
              <w:rPr>
                <w:rFonts w:eastAsia="Calibri"/>
                <w:sz w:val="20"/>
                <w:lang w:val="fr-CA"/>
              </w:rPr>
              <w:t>Cour d’appel de l’Ontario</w:t>
            </w:r>
          </w:p>
          <w:p w:rsidR="007E4016" w:rsidRPr="006D673B" w:rsidRDefault="007E4016" w:rsidP="006B41BD">
            <w:pPr>
              <w:jc w:val="both"/>
              <w:rPr>
                <w:rFonts w:eastAsia="Calibri"/>
                <w:sz w:val="20"/>
                <w:lang w:val="fr-CA"/>
              </w:rPr>
            </w:pPr>
            <w:r w:rsidRPr="006D673B">
              <w:rPr>
                <w:rFonts w:eastAsia="Calibri"/>
                <w:sz w:val="20"/>
                <w:lang w:val="fr-CA"/>
              </w:rPr>
              <w:t xml:space="preserve">(Juges Sharpe, Gillese et Karakatsanis) </w:t>
            </w:r>
          </w:p>
          <w:p w:rsidR="007E4016" w:rsidRPr="006D673B" w:rsidRDefault="007E4016" w:rsidP="006B41BD">
            <w:pPr>
              <w:jc w:val="both"/>
              <w:rPr>
                <w:rFonts w:eastAsia="Calibri"/>
                <w:sz w:val="20"/>
                <w:lang w:val="fr-CA"/>
              </w:rPr>
            </w:pPr>
          </w:p>
        </w:tc>
        <w:tc>
          <w:tcPr>
            <w:tcW w:w="243" w:type="pct"/>
          </w:tcPr>
          <w:p w:rsidR="007E4016" w:rsidRPr="006D673B" w:rsidRDefault="007E4016" w:rsidP="006B41BD">
            <w:pPr>
              <w:jc w:val="both"/>
              <w:rPr>
                <w:rFonts w:eastAsia="Calibri"/>
                <w:sz w:val="20"/>
                <w:lang w:val="fr-CA"/>
              </w:rPr>
            </w:pPr>
          </w:p>
        </w:tc>
        <w:tc>
          <w:tcPr>
            <w:tcW w:w="2330" w:type="pct"/>
          </w:tcPr>
          <w:p w:rsidR="007E4016" w:rsidRPr="00917C40" w:rsidRDefault="007E4016" w:rsidP="006B41BD">
            <w:pPr>
              <w:jc w:val="both"/>
              <w:rPr>
                <w:rFonts w:eastAsia="Calibri"/>
                <w:sz w:val="20"/>
                <w:lang w:val="fr-CA"/>
              </w:rPr>
            </w:pPr>
            <w:r w:rsidRPr="00917C40">
              <w:rPr>
                <w:rFonts w:eastAsia="Calibri"/>
                <w:sz w:val="20"/>
                <w:lang w:val="fr-CA"/>
              </w:rPr>
              <w:t>Appel rejeté</w:t>
            </w:r>
          </w:p>
        </w:tc>
      </w:tr>
      <w:tr w:rsidR="007E4016" w:rsidRPr="00FA49F9" w:rsidTr="006B41BD">
        <w:tc>
          <w:tcPr>
            <w:tcW w:w="2427" w:type="pct"/>
          </w:tcPr>
          <w:p w:rsidR="007E4016" w:rsidRPr="006D673B" w:rsidRDefault="007E4016" w:rsidP="006B41BD">
            <w:pPr>
              <w:jc w:val="both"/>
              <w:rPr>
                <w:rFonts w:eastAsia="Calibri"/>
                <w:sz w:val="20"/>
                <w:lang w:val="fr-CA"/>
              </w:rPr>
            </w:pPr>
            <w:r w:rsidRPr="006D673B">
              <w:rPr>
                <w:rFonts w:eastAsia="Calibri"/>
                <w:sz w:val="20"/>
                <w:lang w:val="fr-CA"/>
              </w:rPr>
              <w:lastRenderedPageBreak/>
              <w:t>15 avril 2014</w:t>
            </w:r>
          </w:p>
          <w:p w:rsidR="007E4016" w:rsidRPr="006D673B" w:rsidRDefault="007E4016" w:rsidP="006B41BD">
            <w:pPr>
              <w:jc w:val="both"/>
              <w:rPr>
                <w:rFonts w:eastAsia="Calibri"/>
                <w:sz w:val="20"/>
                <w:lang w:val="fr-CA"/>
              </w:rPr>
            </w:pPr>
            <w:r w:rsidRPr="006D673B">
              <w:rPr>
                <w:rFonts w:eastAsia="Calibri"/>
                <w:sz w:val="20"/>
                <w:lang w:val="fr-CA"/>
              </w:rPr>
              <w:t>Cour suprême du Canada</w:t>
            </w:r>
          </w:p>
        </w:tc>
        <w:tc>
          <w:tcPr>
            <w:tcW w:w="243" w:type="pct"/>
          </w:tcPr>
          <w:p w:rsidR="007E4016" w:rsidRPr="006D673B" w:rsidRDefault="007E4016" w:rsidP="006B41BD">
            <w:pPr>
              <w:jc w:val="both"/>
              <w:rPr>
                <w:rFonts w:eastAsia="Calibri"/>
                <w:sz w:val="20"/>
                <w:lang w:val="fr-CA"/>
              </w:rPr>
            </w:pPr>
          </w:p>
        </w:tc>
        <w:tc>
          <w:tcPr>
            <w:tcW w:w="2330" w:type="pct"/>
          </w:tcPr>
          <w:p w:rsidR="007E4016" w:rsidRPr="006D673B" w:rsidRDefault="007E4016" w:rsidP="006B41BD">
            <w:pPr>
              <w:jc w:val="both"/>
              <w:rPr>
                <w:rFonts w:eastAsia="Calibri"/>
                <w:sz w:val="20"/>
                <w:lang w:val="fr-CA"/>
              </w:rPr>
            </w:pPr>
            <w:r w:rsidRPr="006D673B">
              <w:rPr>
                <w:rFonts w:eastAsia="Calibri"/>
                <w:sz w:val="20"/>
                <w:lang w:val="fr-CA"/>
              </w:rPr>
              <w:t>Requête en prorogation du délai de signification et de dépôt d’une demande d’autorisation d’appel, et demande d’autorisation d’appel, déposées</w:t>
            </w:r>
          </w:p>
        </w:tc>
      </w:tr>
    </w:tbl>
    <w:p w:rsidR="007426C2" w:rsidRPr="007E4016" w:rsidRDefault="007426C2" w:rsidP="007426C2">
      <w:pPr>
        <w:rPr>
          <w:sz w:val="20"/>
          <w:szCs w:val="20"/>
          <w:lang w:val="fr-CA"/>
        </w:rPr>
      </w:pPr>
    </w:p>
    <w:p w:rsidR="007426C2" w:rsidRDefault="002B68E4" w:rsidP="007426C2">
      <w:pPr>
        <w:rPr>
          <w:sz w:val="20"/>
          <w:szCs w:val="20"/>
        </w:rPr>
      </w:pPr>
      <w:r>
        <w:rPr>
          <w:sz w:val="20"/>
          <w:szCs w:val="20"/>
          <w:lang w:val="fr-CA"/>
        </w:rPr>
        <w:pict>
          <v:rect id="_x0000_i1058" style="width:2in;height:1pt" o:hrpct="0" o:hralign="center" o:hrstd="t" o:hrnoshade="t" o:hr="t" fillcolor="black [3213]" stroked="f"/>
        </w:pict>
      </w:r>
    </w:p>
    <w:p w:rsidR="007426C2" w:rsidRDefault="007426C2" w:rsidP="007426C2">
      <w:pPr>
        <w:rPr>
          <w:sz w:val="20"/>
          <w:szCs w:val="20"/>
        </w:rPr>
      </w:pPr>
    </w:p>
    <w:p w:rsidR="000E2959" w:rsidRPr="00AA6F30"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A49F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447214" w:rsidP="005F1ED8">
            <w:pPr>
              <w:rPr>
                <w:sz w:val="20"/>
                <w:szCs w:val="20"/>
              </w:rPr>
            </w:pPr>
            <w:r>
              <w:rPr>
                <w:sz w:val="20"/>
                <w:szCs w:val="20"/>
              </w:rPr>
              <w:t>2</w:t>
            </w:r>
            <w:r w:rsidR="0086340B">
              <w:rPr>
                <w:sz w:val="20"/>
                <w:szCs w:val="20"/>
              </w:rPr>
              <w:t>7</w:t>
            </w:r>
            <w:r w:rsidR="0086340B" w:rsidRPr="003B3977">
              <w:rPr>
                <w:sz w:val="20"/>
                <w:szCs w:val="20"/>
              </w:rPr>
              <w:t>.</w:t>
            </w:r>
            <w:r>
              <w:rPr>
                <w:sz w:val="20"/>
                <w:szCs w:val="20"/>
              </w:rPr>
              <w:t>06</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447214" w:rsidP="005F1ED8">
            <w:pPr>
              <w:rPr>
                <w:b/>
                <w:sz w:val="20"/>
                <w:szCs w:val="20"/>
              </w:rPr>
            </w:pPr>
            <w:r w:rsidRPr="003B3977">
              <w:rPr>
                <w:b/>
                <w:sz w:val="20"/>
                <w:szCs w:val="20"/>
              </w:rPr>
              <w:t>Her Majesty the Queen</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Pr="003B3977">
              <w:rPr>
                <w:b/>
                <w:sz w:val="20"/>
                <w:szCs w:val="20"/>
              </w:rPr>
              <w:t>9</w:t>
            </w:r>
            <w:r w:rsidR="00447214">
              <w:rPr>
                <w:b/>
                <w:sz w:val="20"/>
                <w:szCs w:val="20"/>
              </w:rPr>
              <w:t>71</w:t>
            </w:r>
            <w:r w:rsidRPr="003B3977">
              <w:rPr>
                <w:b/>
                <w:sz w:val="20"/>
                <w:szCs w:val="20"/>
              </w:rPr>
              <w:t>)</w:t>
            </w:r>
          </w:p>
          <w:p w:rsidR="0086340B" w:rsidRPr="003B3977" w:rsidRDefault="0086340B" w:rsidP="005F1ED8">
            <w:pPr>
              <w:rPr>
                <w:b/>
                <w:sz w:val="20"/>
                <w:szCs w:val="20"/>
              </w:rPr>
            </w:pPr>
          </w:p>
          <w:p w:rsidR="0086340B" w:rsidRPr="00D606A1" w:rsidRDefault="0086340B" w:rsidP="005F1ED8">
            <w:pPr>
              <w:rPr>
                <w:b/>
                <w:sz w:val="20"/>
                <w:szCs w:val="20"/>
                <w:lang w:val="fr-CA"/>
              </w:rPr>
            </w:pPr>
            <w:r w:rsidRPr="00D606A1">
              <w:rPr>
                <w:b/>
                <w:sz w:val="20"/>
                <w:szCs w:val="20"/>
                <w:lang w:val="fr-CA"/>
              </w:rPr>
              <w:t>Andr</w:t>
            </w:r>
            <w:r w:rsidR="00447214" w:rsidRPr="00D606A1">
              <w:rPr>
                <w:b/>
                <w:sz w:val="20"/>
                <w:szCs w:val="20"/>
                <w:lang w:val="fr-CA"/>
              </w:rPr>
              <w:t>ew Simps</w:t>
            </w:r>
            <w:r w:rsidRPr="00D606A1">
              <w:rPr>
                <w:b/>
                <w:sz w:val="20"/>
                <w:szCs w:val="20"/>
                <w:lang w:val="fr-CA"/>
              </w:rPr>
              <w:t>on et al. (</w:t>
            </w:r>
            <w:r w:rsidR="00447214" w:rsidRPr="00D606A1">
              <w:rPr>
                <w:b/>
                <w:sz w:val="20"/>
                <w:szCs w:val="20"/>
                <w:lang w:val="fr-CA"/>
              </w:rPr>
              <w:t>Que</w:t>
            </w:r>
            <w:r w:rsidRPr="00D606A1">
              <w:rPr>
                <w:b/>
                <w:sz w:val="20"/>
                <w:szCs w:val="20"/>
                <w:lang w:val="fr-CA"/>
              </w:rPr>
              <w:t>.)</w:t>
            </w:r>
          </w:p>
          <w:p w:rsidR="0086340B" w:rsidRPr="00D606A1" w:rsidRDefault="0086340B" w:rsidP="005F1ED8">
            <w:pPr>
              <w:rPr>
                <w:sz w:val="20"/>
                <w:szCs w:val="20"/>
                <w:lang w:val="fr-CA"/>
              </w:rPr>
            </w:pPr>
          </w:p>
          <w:p w:rsidR="0086340B" w:rsidRPr="003B3977" w:rsidRDefault="0086340B" w:rsidP="005F1ED8">
            <w:pPr>
              <w:rPr>
                <w:sz w:val="20"/>
                <w:szCs w:val="20"/>
              </w:rPr>
            </w:pPr>
            <w:r w:rsidRPr="003B3977">
              <w:rPr>
                <w:sz w:val="20"/>
                <w:szCs w:val="20"/>
              </w:rPr>
              <w:t>(</w:t>
            </w:r>
            <w:r w:rsidR="00447214" w:rsidRPr="003B3977">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2B68E4" w:rsidP="005F1ED8">
            <w:pPr>
              <w:rPr>
                <w:sz w:val="20"/>
                <w:szCs w:val="20"/>
                <w:lang w:val="fr-CA"/>
              </w:rPr>
            </w:pPr>
            <w:r>
              <w:rPr>
                <w:sz w:val="20"/>
                <w:szCs w:val="20"/>
                <w:lang w:val="fr-CA"/>
              </w:rPr>
              <w:pict>
                <v:rect id="_x0000_i106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FA49F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52229C" w:rsidP="0052229C">
      <w:pPr>
        <w:rPr>
          <w:b/>
          <w:sz w:val="20"/>
          <w:szCs w:val="20"/>
          <w:lang w:val="fr-CA"/>
        </w:rPr>
      </w:pPr>
      <w:r w:rsidRPr="00C42C54">
        <w:rPr>
          <w:b/>
          <w:sz w:val="20"/>
          <w:szCs w:val="20"/>
          <w:lang w:val="fr-CA"/>
        </w:rPr>
        <w:t>JU</w:t>
      </w:r>
      <w:r w:rsidR="00AA6F30">
        <w:rPr>
          <w:b/>
          <w:sz w:val="20"/>
          <w:szCs w:val="20"/>
          <w:lang w:val="fr-CA"/>
        </w:rPr>
        <w:t>L</w:t>
      </w:r>
      <w:r w:rsidRPr="00C42C54">
        <w:rPr>
          <w:b/>
          <w:sz w:val="20"/>
          <w:szCs w:val="20"/>
          <w:lang w:val="fr-CA"/>
        </w:rPr>
        <w:t xml:space="preserve">Y </w:t>
      </w:r>
      <w:r w:rsidR="00AA6F30">
        <w:rPr>
          <w:b/>
          <w:sz w:val="20"/>
          <w:szCs w:val="20"/>
          <w:lang w:val="fr-CA"/>
        </w:rPr>
        <w:t>25</w:t>
      </w:r>
      <w:r w:rsidRPr="00C42C54">
        <w:rPr>
          <w:b/>
          <w:sz w:val="20"/>
          <w:szCs w:val="20"/>
          <w:lang w:val="fr-CA"/>
        </w:rPr>
        <w:t xml:space="preserve">, 2014 / LE </w:t>
      </w:r>
      <w:r w:rsidR="00AA6F30">
        <w:rPr>
          <w:b/>
          <w:sz w:val="20"/>
          <w:szCs w:val="20"/>
          <w:lang w:val="fr-CA"/>
        </w:rPr>
        <w:t>25</w:t>
      </w:r>
      <w:r w:rsidRPr="00C42C54">
        <w:rPr>
          <w:b/>
          <w:sz w:val="20"/>
          <w:szCs w:val="20"/>
          <w:lang w:val="fr-CA"/>
        </w:rPr>
        <w:t xml:space="preserve"> J</w:t>
      </w:r>
      <w:r w:rsidR="00AA6F30">
        <w:rPr>
          <w:b/>
          <w:sz w:val="20"/>
          <w:szCs w:val="20"/>
          <w:lang w:val="fr-CA"/>
        </w:rPr>
        <w:t>U</w:t>
      </w:r>
      <w:r w:rsidRPr="00C42C54">
        <w:rPr>
          <w:b/>
          <w:sz w:val="20"/>
          <w:szCs w:val="20"/>
          <w:lang w:val="fr-CA"/>
        </w:rPr>
        <w:t>I</w:t>
      </w:r>
      <w:r w:rsidR="00AA6F30">
        <w:rPr>
          <w:b/>
          <w:sz w:val="20"/>
          <w:szCs w:val="20"/>
          <w:lang w:val="fr-CA"/>
        </w:rPr>
        <w:t>LLET</w:t>
      </w:r>
      <w:r w:rsidRPr="00C42C54">
        <w:rPr>
          <w:b/>
          <w:sz w:val="20"/>
          <w:szCs w:val="20"/>
          <w:lang w:val="fr-CA"/>
        </w:rPr>
        <w:t xml:space="preserve"> 2014</w:t>
      </w:r>
    </w:p>
    <w:p w:rsidR="0052229C" w:rsidRDefault="0052229C" w:rsidP="0052229C">
      <w:pPr>
        <w:rPr>
          <w:sz w:val="20"/>
          <w:szCs w:val="20"/>
          <w:lang w:val="fr-CA"/>
        </w:rPr>
      </w:pPr>
    </w:p>
    <w:p w:rsidR="00D606A1" w:rsidRDefault="00D606A1" w:rsidP="00D606A1">
      <w:pPr>
        <w:ind w:left="1440" w:hanging="1440"/>
        <w:rPr>
          <w:sz w:val="20"/>
          <w:szCs w:val="20"/>
          <w:lang w:val="fr-CA"/>
        </w:rPr>
      </w:pPr>
      <w:r w:rsidRPr="00D606A1">
        <w:rPr>
          <w:b/>
          <w:sz w:val="20"/>
          <w:szCs w:val="20"/>
          <w:lang w:val="fr-CA"/>
        </w:rPr>
        <w:t>35375</w:t>
      </w:r>
      <w:r w:rsidRPr="00D606A1">
        <w:rPr>
          <w:b/>
          <w:sz w:val="20"/>
          <w:szCs w:val="20"/>
          <w:lang w:val="fr-CA"/>
        </w:rPr>
        <w:tab/>
      </w:r>
      <w:r w:rsidRPr="00D606A1">
        <w:rPr>
          <w:b/>
          <w:sz w:val="20"/>
          <w:szCs w:val="20"/>
          <w:u w:val="single"/>
          <w:lang w:val="fr-CA"/>
        </w:rPr>
        <w:t>Commission des normes du travail c. Asphalte Desjardins inc.</w:t>
      </w:r>
      <w:r>
        <w:rPr>
          <w:sz w:val="20"/>
          <w:szCs w:val="20"/>
          <w:lang w:val="fr-CA"/>
        </w:rPr>
        <w:t xml:space="preserve"> (Qc)</w:t>
      </w:r>
    </w:p>
    <w:p w:rsidR="00D606A1" w:rsidRDefault="00D606A1" w:rsidP="00D606A1">
      <w:pPr>
        <w:ind w:left="1440" w:hanging="1440"/>
        <w:rPr>
          <w:b/>
          <w:sz w:val="20"/>
          <w:szCs w:val="20"/>
          <w:lang w:val="fr-CA"/>
        </w:rPr>
      </w:pPr>
      <w:r>
        <w:rPr>
          <w:b/>
          <w:sz w:val="20"/>
          <w:szCs w:val="20"/>
          <w:lang w:val="fr-CA"/>
        </w:rPr>
        <w:tab/>
        <w:t>2014 SCC 51 / 2014 CSC 51</w:t>
      </w:r>
    </w:p>
    <w:p w:rsidR="00D606A1" w:rsidRDefault="00D606A1" w:rsidP="00D606A1">
      <w:pPr>
        <w:ind w:left="1440" w:hanging="1440"/>
        <w:rPr>
          <w:sz w:val="20"/>
          <w:szCs w:val="20"/>
          <w:lang w:val="fr-CA"/>
        </w:rPr>
      </w:pPr>
    </w:p>
    <w:p w:rsidR="00D606A1" w:rsidRPr="00D606A1" w:rsidRDefault="00D606A1" w:rsidP="00D606A1">
      <w:pPr>
        <w:ind w:left="1440" w:hanging="1440"/>
        <w:jc w:val="both"/>
        <w:rPr>
          <w:sz w:val="20"/>
          <w:szCs w:val="20"/>
          <w:u w:val="single"/>
          <w:lang w:val="fr-CA"/>
        </w:rPr>
      </w:pPr>
      <w:r w:rsidRPr="00D606A1">
        <w:rPr>
          <w:sz w:val="20"/>
          <w:szCs w:val="20"/>
          <w:lang w:val="fr-CA"/>
        </w:rPr>
        <w:t xml:space="preserve">Coram : </w:t>
      </w:r>
      <w:r>
        <w:rPr>
          <w:sz w:val="20"/>
          <w:szCs w:val="20"/>
          <w:lang w:val="fr-CA"/>
        </w:rPr>
        <w:tab/>
      </w:r>
      <w:r w:rsidRPr="00D606A1">
        <w:rPr>
          <w:sz w:val="20"/>
          <w:szCs w:val="20"/>
          <w:u w:val="single"/>
          <w:lang w:val="fr-CA"/>
        </w:rPr>
        <w:t>La juge en chef McLachlin et les juges LeBel, Rothstein, Cromwell, Moldaver, Karakatsanis et Wagner</w:t>
      </w:r>
    </w:p>
    <w:p w:rsidR="00D606A1" w:rsidRDefault="00D606A1" w:rsidP="0052229C">
      <w:pPr>
        <w:rPr>
          <w:sz w:val="20"/>
          <w:szCs w:val="20"/>
          <w:lang w:val="fr-CA"/>
        </w:rPr>
      </w:pPr>
    </w:p>
    <w:p w:rsidR="00D606A1" w:rsidRPr="00D606A1" w:rsidRDefault="00D606A1" w:rsidP="00D606A1">
      <w:pPr>
        <w:jc w:val="both"/>
        <w:rPr>
          <w:sz w:val="20"/>
          <w:szCs w:val="20"/>
          <w:lang w:val="fr-CA"/>
        </w:rPr>
      </w:pPr>
      <w:r w:rsidRPr="00D606A1">
        <w:rPr>
          <w:sz w:val="20"/>
          <w:szCs w:val="20"/>
          <w:lang w:val="fr-CA"/>
        </w:rPr>
        <w:t>L’appel interjeté contre l’arrêt de la Cour d’appel du Québec (Montréal), numéro 500-09-020950-101, 2013 QCCA 484, en date du 19 mars 2013, entendu le 28 mars 2014, est accueilli avec dépens et le jugement de première instance est rétabli.</w:t>
      </w:r>
    </w:p>
    <w:p w:rsidR="00D606A1" w:rsidRDefault="00D606A1" w:rsidP="0052229C">
      <w:pPr>
        <w:rPr>
          <w:sz w:val="20"/>
          <w:szCs w:val="20"/>
          <w:lang w:val="fr-CA"/>
        </w:rPr>
      </w:pPr>
    </w:p>
    <w:p w:rsidR="00D606A1" w:rsidRDefault="00D606A1" w:rsidP="0052229C">
      <w:pPr>
        <w:rPr>
          <w:sz w:val="20"/>
          <w:szCs w:val="20"/>
          <w:lang w:val="fr-CA"/>
        </w:rPr>
      </w:pPr>
    </w:p>
    <w:p w:rsidR="00D606A1" w:rsidRPr="00B37FCF" w:rsidRDefault="00D606A1" w:rsidP="00D606A1">
      <w:pPr>
        <w:jc w:val="both"/>
        <w:rPr>
          <w:sz w:val="20"/>
          <w:szCs w:val="20"/>
        </w:rPr>
      </w:pPr>
      <w:r w:rsidRPr="00B37FCF">
        <w:rPr>
          <w:sz w:val="20"/>
          <w:szCs w:val="20"/>
        </w:rPr>
        <w:t xml:space="preserve">The appeal from the judgment </w:t>
      </w:r>
      <w:bookmarkStart w:id="2" w:name="BM_1_"/>
      <w:bookmarkEnd w:id="2"/>
      <w:r w:rsidRPr="00B37FCF">
        <w:rPr>
          <w:sz w:val="20"/>
          <w:szCs w:val="20"/>
        </w:rPr>
        <w:t xml:space="preserve">of the </w:t>
      </w:r>
      <w:r w:rsidRPr="00B37FCF">
        <w:rPr>
          <w:sz w:val="20"/>
          <w:szCs w:val="20"/>
          <w:lang w:val="en-US"/>
        </w:rPr>
        <w:t>Court of Appeal of Quebec (Montréal)</w:t>
      </w:r>
      <w:r w:rsidRPr="00B37FCF">
        <w:rPr>
          <w:sz w:val="20"/>
          <w:szCs w:val="20"/>
        </w:rPr>
        <w:t xml:space="preserve">, Number </w:t>
      </w:r>
      <w:r w:rsidRPr="00B37FCF">
        <w:rPr>
          <w:sz w:val="20"/>
          <w:szCs w:val="20"/>
          <w:lang w:val="en-US"/>
        </w:rPr>
        <w:t>500-09-020950-101</w:t>
      </w:r>
      <w:r w:rsidRPr="00B37FCF">
        <w:rPr>
          <w:sz w:val="20"/>
          <w:szCs w:val="20"/>
        </w:rPr>
        <w:t xml:space="preserve">, </w:t>
      </w:r>
      <w:r w:rsidRPr="00B37FCF">
        <w:rPr>
          <w:sz w:val="20"/>
          <w:szCs w:val="20"/>
          <w:lang w:val="en-US"/>
        </w:rPr>
        <w:t xml:space="preserve">2013 QCCA 484, </w:t>
      </w:r>
      <w:r w:rsidRPr="00B37FCF">
        <w:rPr>
          <w:sz w:val="20"/>
          <w:szCs w:val="20"/>
        </w:rPr>
        <w:t xml:space="preserve">dated </w:t>
      </w:r>
      <w:r w:rsidRPr="00B37FCF">
        <w:rPr>
          <w:sz w:val="20"/>
          <w:szCs w:val="20"/>
          <w:lang w:val="en-US"/>
        </w:rPr>
        <w:t>March 19, 2013</w:t>
      </w:r>
      <w:r w:rsidRPr="00B37FCF">
        <w:rPr>
          <w:sz w:val="20"/>
          <w:szCs w:val="20"/>
        </w:rPr>
        <w:t xml:space="preserve">, heard on </w:t>
      </w:r>
      <w:r w:rsidRPr="00B37FCF">
        <w:rPr>
          <w:sz w:val="20"/>
          <w:szCs w:val="20"/>
          <w:lang w:val="en-US"/>
        </w:rPr>
        <w:t>March 28, 2014</w:t>
      </w:r>
      <w:r w:rsidRPr="00B37FCF">
        <w:rPr>
          <w:sz w:val="20"/>
          <w:szCs w:val="20"/>
        </w:rPr>
        <w:t>, is granted with costs and the trial judgment is restored.</w:t>
      </w:r>
    </w:p>
    <w:p w:rsidR="00D606A1" w:rsidRPr="00D606A1" w:rsidRDefault="00D606A1" w:rsidP="0052229C">
      <w:pPr>
        <w:rPr>
          <w:sz w:val="20"/>
          <w:szCs w:val="20"/>
        </w:rPr>
      </w:pPr>
    </w:p>
    <w:p w:rsidR="0052229C" w:rsidRPr="003B3977" w:rsidRDefault="002B68E4" w:rsidP="0052229C">
      <w:pPr>
        <w:spacing w:line="0" w:lineRule="atLeast"/>
        <w:rPr>
          <w:sz w:val="20"/>
          <w:szCs w:val="20"/>
        </w:rPr>
      </w:pPr>
      <w:r>
        <w:rPr>
          <w:b/>
          <w:sz w:val="20"/>
          <w:szCs w:val="20"/>
        </w:rPr>
        <w:pict>
          <v:rect id="_x0000_i1064"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AA6F30" w:rsidRPr="00447214" w:rsidRDefault="00AA6F30" w:rsidP="00AA6F30">
      <w:pPr>
        <w:ind w:left="720" w:hanging="720"/>
        <w:rPr>
          <w:sz w:val="20"/>
          <w:szCs w:val="20"/>
        </w:rPr>
      </w:pPr>
      <w:r w:rsidRPr="00FD71CB">
        <w:rPr>
          <w:i/>
          <w:sz w:val="20"/>
          <w:szCs w:val="20"/>
          <w:lang w:val="fr-CA"/>
        </w:rPr>
        <w:t>Commission des normes du travail c. Asphalte Desjardins Inc</w:t>
      </w:r>
      <w:r w:rsidRPr="00FD71CB">
        <w:rPr>
          <w:sz w:val="20"/>
          <w:szCs w:val="20"/>
          <w:lang w:val="fr-CA"/>
        </w:rPr>
        <w:t xml:space="preserve">. </w:t>
      </w:r>
      <w:r w:rsidRPr="00447214">
        <w:rPr>
          <w:sz w:val="20"/>
          <w:szCs w:val="20"/>
        </w:rPr>
        <w:t>(Qc) (</w:t>
      </w:r>
      <w:hyperlink r:id="rId77" w:history="1">
        <w:r w:rsidRPr="00447214">
          <w:rPr>
            <w:rStyle w:val="Hyperlink"/>
            <w:sz w:val="20"/>
            <w:szCs w:val="20"/>
          </w:rPr>
          <w:t>35375</w:t>
        </w:r>
      </w:hyperlink>
      <w:r w:rsidRPr="00447214">
        <w:rPr>
          <w:sz w:val="20"/>
          <w:szCs w:val="20"/>
        </w:rPr>
        <w:t>)</w:t>
      </w:r>
    </w:p>
    <w:p w:rsidR="009B3042" w:rsidRDefault="009B3042" w:rsidP="009B3042">
      <w:pPr>
        <w:jc w:val="both"/>
        <w:rPr>
          <w:rStyle w:val="SCCRespondentForIndexChar"/>
          <w:rFonts w:eastAsiaTheme="minorHAnsi"/>
          <w:sz w:val="20"/>
          <w:lang w:val="fr-CA"/>
        </w:rPr>
      </w:pPr>
      <w:r w:rsidRPr="002B279C">
        <w:rPr>
          <w:b/>
          <w:sz w:val="20"/>
          <w:szCs w:val="20"/>
          <w:lang w:val="fr-CA"/>
        </w:rPr>
        <w:t>Indexed as:  Quebec (</w:t>
      </w:r>
      <w:r w:rsidRPr="002B279C">
        <w:rPr>
          <w:rStyle w:val="SCCAppellantForIndexChar"/>
          <w:rFonts w:eastAsiaTheme="minorHAnsi"/>
          <w:sz w:val="20"/>
        </w:rPr>
        <w:t>Commission des normes du travail)</w:t>
      </w:r>
      <w:r w:rsidRPr="002B279C">
        <w:rPr>
          <w:b/>
          <w:sz w:val="20"/>
          <w:szCs w:val="20"/>
          <w:lang w:val="fr-CA"/>
        </w:rPr>
        <w:t xml:space="preserve"> </w:t>
      </w:r>
      <w:r w:rsidRPr="002B279C">
        <w:rPr>
          <w:b/>
          <w:i/>
          <w:sz w:val="20"/>
          <w:szCs w:val="20"/>
          <w:lang w:val="fr-CA"/>
        </w:rPr>
        <w:t>v.</w:t>
      </w:r>
      <w:r w:rsidRPr="002B279C">
        <w:rPr>
          <w:b/>
          <w:sz w:val="20"/>
          <w:szCs w:val="20"/>
          <w:lang w:val="fr-CA"/>
        </w:rPr>
        <w:t xml:space="preserve"> </w:t>
      </w:r>
      <w:r w:rsidRPr="002B279C">
        <w:rPr>
          <w:rStyle w:val="SCCRespondentForIndexChar"/>
          <w:rFonts w:eastAsiaTheme="minorHAnsi"/>
          <w:sz w:val="20"/>
          <w:lang w:val="fr-CA"/>
        </w:rPr>
        <w:t>Asphalte Desjardins inc.</w:t>
      </w:r>
      <w:r>
        <w:rPr>
          <w:rStyle w:val="SCCRespondentForIndexChar"/>
          <w:rFonts w:eastAsiaTheme="minorHAnsi"/>
          <w:sz w:val="20"/>
          <w:lang w:val="fr-CA"/>
        </w:rPr>
        <w:t xml:space="preserve"> / </w:t>
      </w:r>
    </w:p>
    <w:p w:rsidR="009B3042" w:rsidRPr="009B3042" w:rsidRDefault="009B3042" w:rsidP="0052229C">
      <w:pPr>
        <w:jc w:val="both"/>
        <w:rPr>
          <w:b/>
          <w:sz w:val="20"/>
          <w:szCs w:val="20"/>
          <w:lang w:val="fr-CA"/>
        </w:rPr>
      </w:pPr>
      <w:r w:rsidRPr="008B6E14">
        <w:rPr>
          <w:b/>
          <w:sz w:val="20"/>
          <w:szCs w:val="20"/>
          <w:lang w:val="fr-CA"/>
        </w:rPr>
        <w:t>Répertorié : Québec (</w:t>
      </w:r>
      <w:r w:rsidRPr="008B6E14">
        <w:rPr>
          <w:rStyle w:val="SCCAppellantForIndexChar"/>
          <w:rFonts w:eastAsiaTheme="minorHAnsi"/>
          <w:sz w:val="20"/>
        </w:rPr>
        <w:t>Commission des normes du travail)</w:t>
      </w:r>
      <w:r w:rsidRPr="008B6E14">
        <w:rPr>
          <w:b/>
          <w:sz w:val="20"/>
          <w:szCs w:val="20"/>
          <w:lang w:val="fr-CA"/>
        </w:rPr>
        <w:t xml:space="preserve"> </w:t>
      </w:r>
      <w:r w:rsidRPr="008B6E14">
        <w:rPr>
          <w:b/>
          <w:i/>
          <w:sz w:val="20"/>
          <w:szCs w:val="20"/>
          <w:lang w:val="fr-CA"/>
        </w:rPr>
        <w:t>c.</w:t>
      </w:r>
      <w:r w:rsidRPr="008B6E14">
        <w:rPr>
          <w:b/>
          <w:sz w:val="20"/>
          <w:szCs w:val="20"/>
          <w:lang w:val="fr-CA"/>
        </w:rPr>
        <w:t xml:space="preserve"> </w:t>
      </w:r>
      <w:r w:rsidRPr="008B6E14">
        <w:rPr>
          <w:rStyle w:val="SCCRespondentForIndexChar"/>
          <w:rFonts w:eastAsiaTheme="minorHAnsi"/>
          <w:sz w:val="20"/>
          <w:lang w:val="fr-CA"/>
        </w:rPr>
        <w:t>Asphalte Desjardins inc.</w:t>
      </w:r>
    </w:p>
    <w:p w:rsidR="0052229C" w:rsidRPr="00A10B49" w:rsidRDefault="0052229C" w:rsidP="0052229C">
      <w:pPr>
        <w:pStyle w:val="SCCSystemYear"/>
        <w:jc w:val="both"/>
        <w:rPr>
          <w:sz w:val="20"/>
        </w:rPr>
      </w:pPr>
      <w:r w:rsidRPr="00A10B49">
        <w:rPr>
          <w:sz w:val="20"/>
        </w:rPr>
        <w:t>Neutral citation:  2014 SCC </w:t>
      </w:r>
      <w:r w:rsidR="00AA6F30" w:rsidRPr="00A10B49">
        <w:rPr>
          <w:sz w:val="20"/>
        </w:rPr>
        <w:t>5</w:t>
      </w:r>
      <w:r w:rsidRPr="00A10B49">
        <w:rPr>
          <w:sz w:val="20"/>
        </w:rPr>
        <w:t>1 / Référence neutre : 2014 CSC </w:t>
      </w:r>
      <w:r w:rsidR="00AA6F30" w:rsidRPr="00A10B49">
        <w:rPr>
          <w:sz w:val="20"/>
        </w:rPr>
        <w:t>5</w:t>
      </w:r>
      <w:r w:rsidRPr="00A10B49">
        <w:rPr>
          <w:sz w:val="20"/>
        </w:rPr>
        <w:t>1</w:t>
      </w:r>
    </w:p>
    <w:p w:rsidR="0052229C" w:rsidRPr="00CD4533" w:rsidRDefault="0052229C" w:rsidP="0052229C">
      <w:pPr>
        <w:rPr>
          <w:rFonts w:cs="Times New Roman"/>
          <w:sz w:val="20"/>
          <w:szCs w:val="20"/>
        </w:rPr>
      </w:pPr>
      <w:r w:rsidRPr="00CD4533">
        <w:rPr>
          <w:rFonts w:cs="Times New Roman"/>
          <w:sz w:val="20"/>
          <w:szCs w:val="20"/>
        </w:rPr>
        <w:t xml:space="preserve">Hearing:  </w:t>
      </w:r>
      <w:r w:rsidR="006B41BD" w:rsidRPr="00CD4533">
        <w:rPr>
          <w:rFonts w:cs="Times New Roman"/>
          <w:sz w:val="20"/>
          <w:szCs w:val="20"/>
        </w:rPr>
        <w:t xml:space="preserve">March </w:t>
      </w:r>
      <w:r w:rsidRPr="00CD4533">
        <w:rPr>
          <w:rFonts w:cs="Times New Roman"/>
          <w:sz w:val="20"/>
          <w:szCs w:val="20"/>
        </w:rPr>
        <w:t>2</w:t>
      </w:r>
      <w:r w:rsidR="006B41BD" w:rsidRPr="00CD4533">
        <w:rPr>
          <w:rFonts w:cs="Times New Roman"/>
          <w:sz w:val="20"/>
          <w:szCs w:val="20"/>
        </w:rPr>
        <w:t>8</w:t>
      </w:r>
      <w:r w:rsidRPr="00CD4533">
        <w:rPr>
          <w:rFonts w:cs="Times New Roman"/>
          <w:sz w:val="20"/>
          <w:szCs w:val="20"/>
        </w:rPr>
        <w:t>, 201</w:t>
      </w:r>
      <w:r w:rsidR="006B41BD" w:rsidRPr="00CD4533">
        <w:rPr>
          <w:rFonts w:cs="Times New Roman"/>
          <w:sz w:val="20"/>
          <w:szCs w:val="20"/>
        </w:rPr>
        <w:t>4</w:t>
      </w:r>
      <w:r w:rsidRPr="00CD4533">
        <w:rPr>
          <w:rFonts w:cs="Times New Roman"/>
          <w:sz w:val="20"/>
          <w:szCs w:val="20"/>
        </w:rPr>
        <w:t xml:space="preserve"> / Judgment:  Ju</w:t>
      </w:r>
      <w:r w:rsidR="00AA6F30" w:rsidRPr="00CD4533">
        <w:rPr>
          <w:rFonts w:cs="Times New Roman"/>
          <w:sz w:val="20"/>
          <w:szCs w:val="20"/>
        </w:rPr>
        <w:t>l</w:t>
      </w:r>
      <w:r w:rsidRPr="00CD4533">
        <w:rPr>
          <w:rFonts w:cs="Times New Roman"/>
          <w:sz w:val="20"/>
          <w:szCs w:val="20"/>
        </w:rPr>
        <w:t xml:space="preserve">y </w:t>
      </w:r>
      <w:r w:rsidR="00AA6F30" w:rsidRPr="00CD4533">
        <w:rPr>
          <w:rFonts w:cs="Times New Roman"/>
          <w:sz w:val="20"/>
          <w:szCs w:val="20"/>
        </w:rPr>
        <w:t>25</w:t>
      </w:r>
      <w:r w:rsidRPr="00CD4533">
        <w:rPr>
          <w:rFonts w:cs="Times New Roman"/>
          <w:sz w:val="20"/>
          <w:szCs w:val="20"/>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6B41BD">
        <w:rPr>
          <w:rFonts w:cs="Times New Roman"/>
          <w:sz w:val="20"/>
          <w:szCs w:val="20"/>
          <w:lang w:val="fr-CA"/>
        </w:rPr>
        <w:t>8 m</w:t>
      </w:r>
      <w:r>
        <w:rPr>
          <w:rFonts w:cs="Times New Roman"/>
          <w:sz w:val="20"/>
          <w:szCs w:val="20"/>
          <w:lang w:val="fr-CA"/>
        </w:rPr>
        <w:t>a</w:t>
      </w:r>
      <w:r w:rsidRPr="003B3977">
        <w:rPr>
          <w:rFonts w:cs="Times New Roman"/>
          <w:sz w:val="20"/>
          <w:szCs w:val="20"/>
          <w:lang w:val="fr-CA"/>
        </w:rPr>
        <w:t>r</w:t>
      </w:r>
      <w:r w:rsidR="006B41BD">
        <w:rPr>
          <w:rFonts w:cs="Times New Roman"/>
          <w:sz w:val="20"/>
          <w:szCs w:val="20"/>
          <w:lang w:val="fr-CA"/>
        </w:rPr>
        <w:t>s</w:t>
      </w:r>
      <w:r w:rsidRPr="003B3977">
        <w:rPr>
          <w:rFonts w:cs="Times New Roman"/>
          <w:sz w:val="20"/>
          <w:szCs w:val="20"/>
          <w:lang w:val="fr-CA"/>
        </w:rPr>
        <w:t xml:space="preserve"> 201</w:t>
      </w:r>
      <w:r w:rsidR="006B41BD">
        <w:rPr>
          <w:rFonts w:cs="Times New Roman"/>
          <w:sz w:val="20"/>
          <w:szCs w:val="20"/>
          <w:lang w:val="fr-CA"/>
        </w:rPr>
        <w:t>4</w:t>
      </w:r>
      <w:r w:rsidRPr="003B3977">
        <w:rPr>
          <w:rFonts w:cs="Times New Roman"/>
          <w:sz w:val="20"/>
          <w:szCs w:val="20"/>
          <w:lang w:val="fr-CA"/>
        </w:rPr>
        <w:t xml:space="preserve"> / Jugement : Le </w:t>
      </w:r>
      <w:r w:rsidR="00AA6F30">
        <w:rPr>
          <w:rFonts w:cs="Times New Roman"/>
          <w:sz w:val="20"/>
          <w:szCs w:val="20"/>
          <w:lang w:val="fr-CA"/>
        </w:rPr>
        <w:t>25</w:t>
      </w:r>
      <w:r>
        <w:rPr>
          <w:rFonts w:cs="Times New Roman"/>
          <w:sz w:val="20"/>
          <w:szCs w:val="20"/>
          <w:lang w:val="fr-CA"/>
        </w:rPr>
        <w:t xml:space="preserve"> j</w:t>
      </w:r>
      <w:r w:rsidR="00AA6F30">
        <w:rPr>
          <w:rFonts w:cs="Times New Roman"/>
          <w:sz w:val="20"/>
          <w:szCs w:val="20"/>
          <w:lang w:val="fr-CA"/>
        </w:rPr>
        <w:t>u</w:t>
      </w:r>
      <w:r>
        <w:rPr>
          <w:rFonts w:cs="Times New Roman"/>
          <w:sz w:val="20"/>
          <w:szCs w:val="20"/>
          <w:lang w:val="fr-CA"/>
        </w:rPr>
        <w:t>i</w:t>
      </w:r>
      <w:r w:rsidR="00AA6F30">
        <w:rPr>
          <w:rFonts w:cs="Times New Roman"/>
          <w:sz w:val="20"/>
          <w:szCs w:val="20"/>
          <w:lang w:val="fr-CA"/>
        </w:rPr>
        <w:t>ll</w:t>
      </w:r>
      <w:r w:rsidRPr="003B3977">
        <w:rPr>
          <w:rFonts w:cs="Times New Roman"/>
          <w:sz w:val="20"/>
          <w:szCs w:val="20"/>
          <w:lang w:val="fr-CA"/>
        </w:rPr>
        <w:t>e</w:t>
      </w:r>
      <w:r w:rsidR="00AA6F30">
        <w:rPr>
          <w:rFonts w:cs="Times New Roman"/>
          <w:sz w:val="20"/>
          <w:szCs w:val="20"/>
          <w:lang w:val="fr-CA"/>
        </w:rPr>
        <w:t>t</w:t>
      </w:r>
      <w:r w:rsidRPr="003B3977">
        <w:rPr>
          <w:rFonts w:cs="Times New Roman"/>
          <w:sz w:val="20"/>
          <w:szCs w:val="20"/>
          <w:lang w:val="fr-CA"/>
        </w:rPr>
        <w:t xml:space="preserve"> 201</w:t>
      </w:r>
      <w:r>
        <w:rPr>
          <w:rFonts w:cs="Times New Roman"/>
          <w:sz w:val="20"/>
          <w:szCs w:val="20"/>
          <w:lang w:val="fr-CA"/>
        </w:rPr>
        <w:t>4</w:t>
      </w:r>
    </w:p>
    <w:p w:rsidR="005C6840" w:rsidRPr="003B3977" w:rsidRDefault="002B68E4" w:rsidP="005C6840">
      <w:pPr>
        <w:rPr>
          <w:rFonts w:cs="Times New Roman"/>
          <w:sz w:val="20"/>
          <w:szCs w:val="20"/>
          <w:lang w:val="fr-CA"/>
        </w:rPr>
      </w:pPr>
      <w:r>
        <w:rPr>
          <w:rFonts w:cs="Times New Roman"/>
          <w:i/>
          <w:sz w:val="20"/>
          <w:szCs w:val="20"/>
        </w:rPr>
        <w:pict>
          <v:rect id="_x0000_i106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2229C" w:rsidRPr="006919A1" w:rsidRDefault="0052229C" w:rsidP="0052229C">
      <w:pPr>
        <w:jc w:val="both"/>
        <w:rPr>
          <w:sz w:val="20"/>
          <w:szCs w:val="20"/>
          <w:lang w:val="fr-CA"/>
        </w:rPr>
      </w:pPr>
      <w:r w:rsidRPr="006919A1">
        <w:rPr>
          <w:sz w:val="20"/>
          <w:szCs w:val="20"/>
          <w:lang w:val="fr-CA"/>
        </w:rPr>
        <w:t>Présents : </w:t>
      </w:r>
      <w:r w:rsidR="0006177B" w:rsidRPr="0006177B">
        <w:rPr>
          <w:sz w:val="20"/>
          <w:szCs w:val="20"/>
          <w:lang w:val="fr-CA"/>
        </w:rPr>
        <w:t>La juge en chef McLachlin et les juges LeBel, Rothstein, Cromwell, Moldaver, Karakatsanis et Wagner.</w:t>
      </w:r>
    </w:p>
    <w:p w:rsidR="0052229C" w:rsidRPr="0006177B" w:rsidRDefault="0052229C" w:rsidP="0006177B">
      <w:pPr>
        <w:jc w:val="both"/>
        <w:rPr>
          <w:smallCaps/>
          <w:sz w:val="20"/>
          <w:szCs w:val="20"/>
          <w:lang w:val="fr-CA"/>
        </w:rPr>
      </w:pPr>
    </w:p>
    <w:p w:rsidR="0006177B" w:rsidRDefault="0006177B" w:rsidP="00FA49F9">
      <w:pPr>
        <w:jc w:val="both"/>
        <w:rPr>
          <w:rFonts w:eastAsia="Times New Roman" w:cs="Times New Roman"/>
          <w:i/>
          <w:iCs/>
          <w:sz w:val="20"/>
          <w:szCs w:val="20"/>
          <w:lang w:val="fr-FR" w:eastAsia="en-CA"/>
        </w:rPr>
      </w:pPr>
      <w:r w:rsidRPr="0006177B">
        <w:rPr>
          <w:rFonts w:eastAsia="Times New Roman" w:cs="Times New Roman"/>
          <w:sz w:val="20"/>
          <w:szCs w:val="20"/>
          <w:lang w:val="fr-CA" w:eastAsia="en-CA"/>
        </w:rPr>
        <w:tab/>
      </w:r>
      <w:r w:rsidRPr="0006177B">
        <w:rPr>
          <w:rFonts w:eastAsia="Times New Roman" w:cs="Times New Roman"/>
          <w:i/>
          <w:iCs/>
          <w:sz w:val="20"/>
          <w:szCs w:val="20"/>
          <w:lang w:val="fr-CA" w:eastAsia="en-CA"/>
        </w:rPr>
        <w:t>Droit de l’emploi</w:t>
      </w:r>
      <w:r w:rsidRPr="0006177B">
        <w:rPr>
          <w:rFonts w:eastAsia="Times New Roman" w:cs="Times New Roman"/>
          <w:i/>
          <w:iCs/>
          <w:sz w:val="20"/>
          <w:szCs w:val="20"/>
          <w:lang w:val="fr-FR" w:eastAsia="en-CA"/>
        </w:rPr>
        <w:t xml:space="preserve"> — Contrats — Contrat de travail à durée indéterminée — Obligation de donner un délai de congé — Salarié ayant donné délai de congé à son employeur afin de mettre fin au contrat de travail à une date ultérieure — Employeur mettant fin au contrat de travail avant date de départ annoncée par salarié — L’employeur qui reçoit un délai de congé d’un salarié peut</w:t>
      </w:r>
      <w:r w:rsidRPr="0006177B">
        <w:rPr>
          <w:rFonts w:eastAsia="Times New Roman" w:cs="Times New Roman"/>
          <w:i/>
          <w:iCs/>
          <w:sz w:val="20"/>
          <w:szCs w:val="20"/>
          <w:lang w:val="fr-FR" w:eastAsia="en-CA"/>
        </w:rPr>
        <w:noBreakHyphen/>
        <w:t>il mettre fin au contrat de travail avant l’expiration du délai, sans avoir à lui</w:t>
      </w:r>
      <w:r w:rsidRPr="0006177B">
        <w:rPr>
          <w:rFonts w:eastAsia="Times New Roman" w:cs="Times New Roman"/>
          <w:i/>
          <w:iCs/>
          <w:sz w:val="20"/>
          <w:szCs w:val="20"/>
          <w:lang w:val="fr-FR" w:eastAsia="en-CA"/>
        </w:rPr>
        <w:noBreakHyphen/>
        <w:t>même donner un délai de congé ou à verser une indemnité qui en tient lieu?</w:t>
      </w:r>
      <w:r w:rsidRPr="0006177B">
        <w:rPr>
          <w:rFonts w:eastAsia="Times New Roman" w:cs="Times New Roman"/>
          <w:sz w:val="20"/>
          <w:szCs w:val="20"/>
          <w:lang w:val="fr-CA" w:eastAsia="en-CA"/>
        </w:rPr>
        <w:t xml:space="preserve"> </w:t>
      </w:r>
      <w:r w:rsidRPr="0006177B">
        <w:rPr>
          <w:rFonts w:eastAsia="Times New Roman" w:cs="Times New Roman"/>
          <w:i/>
          <w:iCs/>
          <w:sz w:val="20"/>
          <w:szCs w:val="20"/>
          <w:lang w:val="fr-FR" w:eastAsia="en-CA"/>
        </w:rPr>
        <w:t>— Code civil du Québec, art. 2091, 2092 — Loi sur les normes du travail, RLRQ, ch. N</w:t>
      </w:r>
      <w:r w:rsidRPr="0006177B">
        <w:rPr>
          <w:rFonts w:eastAsia="Times New Roman" w:cs="Times New Roman"/>
          <w:i/>
          <w:iCs/>
          <w:sz w:val="20"/>
          <w:szCs w:val="20"/>
          <w:lang w:val="fr-FR" w:eastAsia="en-CA"/>
        </w:rPr>
        <w:noBreakHyphen/>
        <w:t>1.1, art. 82, 83.</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Le salarié en cause travaillait pour son employeur depuis 1994. Le vendredi 15 février 2008, le salarié remet à son employeur un avis de démission annonçant qu’il compte mettre fin à son contrat de travail le 7 mars 2008, soit trois semaines plus tard. Le lundi 18 février, n’ayant pas réussi à convaincre le salarié de demeurer en poste, l’employeur décide, sans autre formalité, de mettre fin au contrat de travail dès le lendemain, soit le 19 février 2008, plutôt que le 7 mars 2008 — la date de départ annoncée par le salarié.</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L’appelante, la Commission des normes du travail (« Commission ») réclame pour le compte du salarié une indemnité équivalente à trois semaines de préavis, ce qui correspond au délai de congé donné par le salarié dans sa lettre de démission. La Commission réclame également, dans la même proportion, la valeur monétaire du congé annuel. Elle a eu gain de cause en Cour du Québec, mais elle a été déboutée en Cour d’appel.</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r>
      <w:r w:rsidRPr="0006177B">
        <w:rPr>
          <w:rFonts w:eastAsia="Times New Roman" w:cs="Times New Roman"/>
          <w:i/>
          <w:sz w:val="20"/>
          <w:szCs w:val="20"/>
          <w:lang w:val="fr-CA" w:eastAsia="en-CA"/>
        </w:rPr>
        <w:t>Arrêt</w:t>
      </w:r>
      <w:r w:rsidRPr="0006177B">
        <w:rPr>
          <w:rFonts w:eastAsia="Times New Roman" w:cs="Times New Roman"/>
          <w:sz w:val="20"/>
          <w:szCs w:val="20"/>
          <w:lang w:val="fr-CA" w:eastAsia="en-CA"/>
        </w:rPr>
        <w:t> : Le pourvoi est accueilli.</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 xml:space="preserve">Le présent pourvoi soulève la question de l’interaction des dispositions du </w:t>
      </w:r>
      <w:r w:rsidRPr="0006177B">
        <w:rPr>
          <w:rFonts w:eastAsia="Times New Roman" w:cs="Times New Roman"/>
          <w:i/>
          <w:sz w:val="20"/>
          <w:szCs w:val="20"/>
          <w:lang w:val="fr-CA" w:eastAsia="en-CA"/>
        </w:rPr>
        <w:t>Code civil</w:t>
      </w:r>
      <w:r w:rsidRPr="0006177B">
        <w:rPr>
          <w:rFonts w:eastAsia="Times New Roman" w:cs="Times New Roman"/>
          <w:sz w:val="20"/>
          <w:szCs w:val="20"/>
          <w:lang w:val="fr-CA" w:eastAsia="en-CA"/>
        </w:rPr>
        <w:t xml:space="preserve"> (« </w:t>
      </w:r>
      <w:r w:rsidRPr="0006177B">
        <w:rPr>
          <w:rFonts w:eastAsia="Times New Roman" w:cs="Times New Roman"/>
          <w:i/>
          <w:sz w:val="20"/>
          <w:szCs w:val="20"/>
          <w:lang w:val="fr-CA" w:eastAsia="en-CA"/>
        </w:rPr>
        <w:t>C.c.Q.</w:t>
      </w:r>
      <w:r w:rsidRPr="0006177B">
        <w:rPr>
          <w:rFonts w:eastAsia="Times New Roman" w:cs="Times New Roman"/>
          <w:sz w:val="20"/>
          <w:szCs w:val="20"/>
          <w:lang w:val="fr-CA" w:eastAsia="en-CA"/>
        </w:rPr>
        <w:t xml:space="preserve"> ») et de la </w:t>
      </w:r>
      <w:r w:rsidRPr="0006177B">
        <w:rPr>
          <w:rFonts w:eastAsia="Times New Roman" w:cs="Times New Roman"/>
          <w:i/>
          <w:sz w:val="20"/>
          <w:szCs w:val="20"/>
          <w:lang w:val="fr-CA" w:eastAsia="en-CA"/>
        </w:rPr>
        <w:t>Loi sur les normes du travail</w:t>
      </w:r>
      <w:r w:rsidRPr="0006177B">
        <w:rPr>
          <w:rFonts w:eastAsia="Times New Roman" w:cs="Times New Roman"/>
          <w:sz w:val="20"/>
          <w:szCs w:val="20"/>
          <w:lang w:val="fr-CA" w:eastAsia="en-CA"/>
        </w:rPr>
        <w:t xml:space="preserve"> eu égard à l’effet d’un délai de congé dans le cadre d’un contrat de travail à durée indéterminée. Une interprétation concordante des dispositions en cause s’impose puisqu’elles s’inscrivent dans le même contexte, à savoir la cessation des relations de travail.</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Une partie peut sans motif mettre fin unilatéralement à un contrat de travail à durée indéterminée, à la condition toutefois de donner un délai de congé (c’est</w:t>
      </w:r>
      <w:r w:rsidRPr="0006177B">
        <w:rPr>
          <w:rFonts w:eastAsia="Times New Roman" w:cs="Times New Roman"/>
          <w:sz w:val="20"/>
          <w:szCs w:val="20"/>
          <w:lang w:val="fr-CA" w:eastAsia="en-CA"/>
        </w:rPr>
        <w:noBreakHyphen/>
        <w:t>à</w:t>
      </w:r>
      <w:r w:rsidRPr="0006177B">
        <w:rPr>
          <w:rFonts w:eastAsia="Times New Roman" w:cs="Times New Roman"/>
          <w:sz w:val="20"/>
          <w:szCs w:val="20"/>
          <w:lang w:val="fr-CA" w:eastAsia="en-CA"/>
        </w:rPr>
        <w:noBreakHyphen/>
        <w:t xml:space="preserve">dire un préavis) raisonnable à son cocontractant conformément à l’art. 2091 </w:t>
      </w:r>
      <w:r w:rsidRPr="0006177B">
        <w:rPr>
          <w:rFonts w:eastAsia="Times New Roman" w:cs="Times New Roman"/>
          <w:i/>
          <w:sz w:val="20"/>
          <w:szCs w:val="20"/>
          <w:lang w:val="fr-CA" w:eastAsia="en-CA"/>
        </w:rPr>
        <w:t>C.c.Q.</w:t>
      </w:r>
      <w:r w:rsidRPr="0006177B">
        <w:rPr>
          <w:rFonts w:eastAsia="Times New Roman" w:cs="Times New Roman"/>
          <w:sz w:val="20"/>
          <w:szCs w:val="20"/>
          <w:lang w:val="fr-CA" w:eastAsia="en-CA"/>
        </w:rPr>
        <w:t xml:space="preserve"> L’obligation de donner un délai de congé qu’impose l’art. 2091 </w:t>
      </w:r>
      <w:r w:rsidRPr="0006177B">
        <w:rPr>
          <w:rFonts w:eastAsia="Times New Roman" w:cs="Times New Roman"/>
          <w:i/>
          <w:sz w:val="20"/>
          <w:szCs w:val="20"/>
          <w:lang w:val="fr-CA" w:eastAsia="en-CA"/>
        </w:rPr>
        <w:t>C.c.Q.</w:t>
      </w:r>
      <w:r w:rsidRPr="0006177B">
        <w:rPr>
          <w:rFonts w:eastAsia="Times New Roman" w:cs="Times New Roman"/>
          <w:sz w:val="20"/>
          <w:szCs w:val="20"/>
          <w:lang w:val="fr-CA" w:eastAsia="en-CA"/>
        </w:rPr>
        <w:t xml:space="preserve"> s’applique tant au salarié qu’à l’employeur, et ce, pour toute la durée du contrat.</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 xml:space="preserve">Aux principes édictés par le </w:t>
      </w:r>
      <w:r w:rsidRPr="0006177B">
        <w:rPr>
          <w:rFonts w:eastAsia="Times New Roman" w:cs="Times New Roman"/>
          <w:i/>
          <w:sz w:val="20"/>
          <w:szCs w:val="20"/>
          <w:lang w:val="fr-CA" w:eastAsia="en-CA"/>
        </w:rPr>
        <w:t>Code civil</w:t>
      </w:r>
      <w:r w:rsidRPr="0006177B">
        <w:rPr>
          <w:rFonts w:eastAsia="Times New Roman" w:cs="Times New Roman"/>
          <w:sz w:val="20"/>
          <w:szCs w:val="20"/>
          <w:lang w:val="fr-CA" w:eastAsia="en-CA"/>
        </w:rPr>
        <w:t xml:space="preserve"> s’ajoutent les normes formulées par la </w:t>
      </w:r>
      <w:r w:rsidRPr="0006177B">
        <w:rPr>
          <w:rFonts w:eastAsia="Times New Roman" w:cs="Times New Roman"/>
          <w:i/>
          <w:sz w:val="20"/>
          <w:szCs w:val="20"/>
          <w:lang w:val="fr-CA" w:eastAsia="en-CA"/>
        </w:rPr>
        <w:t>Loi sur les normes du travail</w:t>
      </w:r>
      <w:r w:rsidRPr="0006177B">
        <w:rPr>
          <w:rFonts w:eastAsia="Times New Roman" w:cs="Times New Roman"/>
          <w:sz w:val="20"/>
          <w:szCs w:val="20"/>
          <w:lang w:val="fr-CA" w:eastAsia="en-CA"/>
        </w:rPr>
        <w:t xml:space="preserve">, dont celle à l’art. 82 qui impose à l’employeur l’obligation de donner un préavis écrit au salarié lorsque l’employeur est celui qui met fin au contrat de travail. Cette disposition précise la durée du préavis en fonction des années de service du salarié. À défaut de préavis, l’employeur doit verser au salarié une indemnité compensatrice équivalente conformément à l’art. 83 de la </w:t>
      </w:r>
      <w:r w:rsidRPr="0006177B">
        <w:rPr>
          <w:rFonts w:eastAsia="Times New Roman" w:cs="Times New Roman"/>
          <w:i/>
          <w:sz w:val="20"/>
          <w:szCs w:val="20"/>
          <w:lang w:val="fr-CA" w:eastAsia="en-CA"/>
        </w:rPr>
        <w:t>Loi sur les normes du travail</w:t>
      </w:r>
      <w:r w:rsidRPr="0006177B">
        <w:rPr>
          <w:rFonts w:eastAsia="Times New Roman" w:cs="Times New Roman"/>
          <w:sz w:val="20"/>
          <w:szCs w:val="20"/>
          <w:lang w:val="fr-CA" w:eastAsia="en-CA"/>
        </w:rPr>
        <w:t xml:space="preserve">. La </w:t>
      </w:r>
      <w:r w:rsidRPr="0006177B">
        <w:rPr>
          <w:rFonts w:eastAsia="Times New Roman" w:cs="Times New Roman"/>
          <w:i/>
          <w:sz w:val="20"/>
          <w:szCs w:val="20"/>
          <w:lang w:val="fr-CA" w:eastAsia="en-CA"/>
        </w:rPr>
        <w:t>Loi sur les normes du travail</w:t>
      </w:r>
      <w:r w:rsidRPr="0006177B">
        <w:rPr>
          <w:rFonts w:eastAsia="Times New Roman" w:cs="Times New Roman"/>
          <w:sz w:val="20"/>
          <w:szCs w:val="20"/>
          <w:lang w:val="fr-CA" w:eastAsia="en-CA"/>
        </w:rPr>
        <w:t>, dans le contexte du présent pourvoi, vient préciser les obligations de l’employeur et, vu son objectif, il y a lieu de l’interpréter de manière large et libérale.</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 xml:space="preserve">Le contrat de travail à durée indéterminée ne prend pas fin au moment même où le délai de congé est donné conformément à l’art. 2091 </w:t>
      </w:r>
      <w:r w:rsidRPr="0006177B">
        <w:rPr>
          <w:rFonts w:eastAsia="Times New Roman" w:cs="Times New Roman"/>
          <w:i/>
          <w:sz w:val="20"/>
          <w:szCs w:val="20"/>
          <w:lang w:val="fr-CA" w:eastAsia="en-CA"/>
        </w:rPr>
        <w:t xml:space="preserve">C.c.Q. </w:t>
      </w:r>
      <w:r w:rsidRPr="0006177B">
        <w:rPr>
          <w:rFonts w:eastAsia="Times New Roman" w:cs="Times New Roman"/>
          <w:sz w:val="20"/>
          <w:szCs w:val="20"/>
          <w:lang w:val="fr-CA" w:eastAsia="en-CA"/>
        </w:rPr>
        <w:t xml:space="preserve">Le libellé de l’art. 82 de la </w:t>
      </w:r>
      <w:r w:rsidRPr="0006177B">
        <w:rPr>
          <w:rFonts w:eastAsia="Times New Roman" w:cs="Times New Roman"/>
          <w:i/>
          <w:sz w:val="20"/>
          <w:szCs w:val="20"/>
          <w:lang w:val="fr-CA" w:eastAsia="en-CA"/>
        </w:rPr>
        <w:t>Loi sur les normes du travail</w:t>
      </w:r>
      <w:r w:rsidRPr="0006177B">
        <w:rPr>
          <w:rFonts w:eastAsia="Times New Roman" w:cs="Times New Roman"/>
          <w:sz w:val="20"/>
          <w:szCs w:val="20"/>
          <w:lang w:val="fr-CA" w:eastAsia="en-CA"/>
        </w:rPr>
        <w:t xml:space="preserve"> confirme que le contrat de travail à durée indéterminée ne prend pas fin au moment même de la remise du préavis. Il est acquis qu’il n’y a pas résiliation automatique du contrat dès réception d’un délai de congé et que la relation contractuelle perdure jusqu’à la date prévue par le délai de congé donné par le salarié ou l’employeur. En conséquence, même après que l’une des parties au contrat de travail à durée indéterminée ait donné un délai de congé à son cocontractant, chaque partie </w:t>
      </w:r>
      <w:r w:rsidRPr="0006177B">
        <w:rPr>
          <w:rFonts w:eastAsia="Times New Roman" w:cs="Times New Roman"/>
          <w:sz w:val="20"/>
          <w:szCs w:val="20"/>
          <w:lang w:val="fr-CA" w:eastAsia="en-CA"/>
        </w:rPr>
        <w:lastRenderedPageBreak/>
        <w:t xml:space="preserve">demeure tenue de respecter les obligations qui lui incombent en vertu du contrat de travail jusqu’à l’expiration de ce délai. Cela comprend l’obligation de donner un délai de congé en vertu de l’art. 2091 </w:t>
      </w:r>
      <w:r w:rsidRPr="0006177B">
        <w:rPr>
          <w:rFonts w:eastAsia="Times New Roman" w:cs="Times New Roman"/>
          <w:i/>
          <w:sz w:val="20"/>
          <w:szCs w:val="20"/>
          <w:lang w:val="fr-CA" w:eastAsia="en-CA"/>
        </w:rPr>
        <w:t>C.c.Q.</w:t>
      </w:r>
      <w:r w:rsidRPr="0006177B">
        <w:rPr>
          <w:rFonts w:eastAsia="Times New Roman" w:cs="Times New Roman"/>
          <w:sz w:val="20"/>
          <w:szCs w:val="20"/>
          <w:lang w:val="fr-CA" w:eastAsia="en-CA"/>
        </w:rPr>
        <w:t xml:space="preserve"> qui s’impose à celui qui souhaite à son tour mettre fin au contrat avant l’expiration du délai de congé donné par l’autre.</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 xml:space="preserve">Il est inopportun de traiter de la question de l’effet du délai de congé sous l’angle de la renonciation. Le fait de donner un délai de congé annonce la fin du contrat de travail : il ne permet pas de déroger au principe selon lequel une partie ne peut unilatéralement cesser d’exécuter ses obligations contractuelles au détriment des droits de l’autre partie. L’argument fondé sur la renonciation au délai de congé dans ce contexte est une fiction irrecevable. L’employeur qui précipite la fin du contrat après qu’un salarié lui ait donné un délai de congé n’effectue pas une « renonciation », mais bien une résiliation unilatérale du contrat de travail, ce qui n’est autorisée que suivant les modalités prévues par la loi (art. 1439 et 2091 </w:t>
      </w:r>
      <w:r w:rsidRPr="0006177B">
        <w:rPr>
          <w:rFonts w:eastAsia="Times New Roman" w:cs="Times New Roman"/>
          <w:i/>
          <w:sz w:val="20"/>
          <w:szCs w:val="20"/>
          <w:lang w:val="fr-CA" w:eastAsia="en-CA"/>
        </w:rPr>
        <w:t>C.c.Q.</w:t>
      </w:r>
      <w:r w:rsidRPr="0006177B">
        <w:rPr>
          <w:rFonts w:eastAsia="Times New Roman" w:cs="Times New Roman"/>
          <w:sz w:val="20"/>
          <w:szCs w:val="20"/>
          <w:lang w:val="fr-CA" w:eastAsia="en-CA"/>
        </w:rPr>
        <w:t xml:space="preserve">). </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 xml:space="preserve">En somme, un employeur qui reçoit d’un salarié le délai de congé prévu à l’art. 2091 </w:t>
      </w:r>
      <w:r w:rsidRPr="0006177B">
        <w:rPr>
          <w:rFonts w:eastAsia="Times New Roman" w:cs="Times New Roman"/>
          <w:i/>
          <w:sz w:val="20"/>
          <w:szCs w:val="20"/>
          <w:lang w:val="fr-CA" w:eastAsia="en-CA"/>
        </w:rPr>
        <w:t>C.c.Q.</w:t>
      </w:r>
      <w:r w:rsidRPr="0006177B">
        <w:rPr>
          <w:rFonts w:eastAsia="Times New Roman" w:cs="Times New Roman"/>
          <w:sz w:val="20"/>
          <w:szCs w:val="20"/>
          <w:lang w:val="fr-CA" w:eastAsia="en-CA"/>
        </w:rPr>
        <w:t xml:space="preserve"> ne peut mettre fin unilatéralement au contrat de travail à durée indéterminée sans donner à son tour un délai de congé ou une indemnité qui en tient lieu. Le délai de congé donné par le salarié n’a pas pour effet de libérer immédiatement les parties de leurs obligations respectives découlant du contrat de travail. Si l’employeur refuse de laisser le salarié fournir sa prestation de travail et de le rémunérer pendant le délai de congé, il se trouve à « mettre fin au contrat » au sens de l’art. 82 de la </w:t>
      </w:r>
      <w:r w:rsidRPr="0006177B">
        <w:rPr>
          <w:rFonts w:eastAsia="Times New Roman" w:cs="Times New Roman"/>
          <w:i/>
          <w:sz w:val="20"/>
          <w:szCs w:val="20"/>
          <w:lang w:val="fr-CA" w:eastAsia="en-CA"/>
        </w:rPr>
        <w:t>Loi sur les normes du travail</w:t>
      </w:r>
      <w:r w:rsidRPr="0006177B">
        <w:rPr>
          <w:rFonts w:eastAsia="Times New Roman" w:cs="Times New Roman"/>
          <w:sz w:val="20"/>
          <w:szCs w:val="20"/>
          <w:lang w:val="fr-CA" w:eastAsia="en-CA"/>
        </w:rPr>
        <w:t>.</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Par ailleurs, l’art. 2092</w:t>
      </w:r>
      <w:r w:rsidRPr="0006177B">
        <w:rPr>
          <w:rFonts w:eastAsia="Times New Roman" w:cs="Times New Roman"/>
          <w:i/>
          <w:sz w:val="20"/>
          <w:szCs w:val="20"/>
          <w:lang w:val="fr-CA" w:eastAsia="en-CA"/>
        </w:rPr>
        <w:t xml:space="preserve"> C.c.Q.</w:t>
      </w:r>
      <w:r w:rsidRPr="0006177B">
        <w:rPr>
          <w:rFonts w:eastAsia="Times New Roman" w:cs="Times New Roman"/>
          <w:sz w:val="20"/>
          <w:szCs w:val="20"/>
          <w:lang w:val="fr-CA" w:eastAsia="en-CA"/>
        </w:rPr>
        <w:t xml:space="preserve"> ne constitue pas une exception à la règle suivant laquelle une partie doit dans tous les cas, comme le veut l’art. 2091 </w:t>
      </w:r>
      <w:r w:rsidRPr="0006177B">
        <w:rPr>
          <w:rFonts w:eastAsia="Times New Roman" w:cs="Times New Roman"/>
          <w:i/>
          <w:sz w:val="20"/>
          <w:szCs w:val="20"/>
          <w:lang w:val="fr-CA" w:eastAsia="en-CA"/>
        </w:rPr>
        <w:t>C.c.Q.</w:t>
      </w:r>
      <w:r w:rsidRPr="0006177B">
        <w:rPr>
          <w:rFonts w:eastAsia="Times New Roman" w:cs="Times New Roman"/>
          <w:sz w:val="20"/>
          <w:szCs w:val="20"/>
          <w:lang w:val="fr-CA" w:eastAsia="en-CA"/>
        </w:rPr>
        <w:t>, remettre un délai de congé à son cocontractant si elle désire mettre fin unilatéralement au contrat sans motif. En réalité, l’art. 2092</w:t>
      </w:r>
      <w:r w:rsidRPr="0006177B">
        <w:rPr>
          <w:rFonts w:eastAsia="Times New Roman" w:cs="Times New Roman"/>
          <w:i/>
          <w:sz w:val="20"/>
          <w:szCs w:val="20"/>
          <w:lang w:val="fr-CA" w:eastAsia="en-CA"/>
        </w:rPr>
        <w:t xml:space="preserve"> C.c.Q. </w:t>
      </w:r>
      <w:r w:rsidRPr="0006177B">
        <w:rPr>
          <w:rFonts w:eastAsia="Times New Roman" w:cs="Times New Roman"/>
          <w:sz w:val="20"/>
          <w:szCs w:val="20"/>
          <w:lang w:val="fr-CA" w:eastAsia="en-CA"/>
        </w:rPr>
        <w:t>ne cible pas le délai de congé lui</w:t>
      </w:r>
      <w:r w:rsidRPr="0006177B">
        <w:rPr>
          <w:rFonts w:eastAsia="Times New Roman" w:cs="Times New Roman"/>
          <w:sz w:val="20"/>
          <w:szCs w:val="20"/>
          <w:lang w:val="fr-CA" w:eastAsia="en-CA"/>
        </w:rPr>
        <w:noBreakHyphen/>
        <w:t>même, mais bien le droit du salarié de réclamer une indemnité lorsqu’un tel délai est insuffisant. Il est inexact de conclure que l’absence d’une disposition équivalente pour l’employeur signifie que ce dernier peut « renoncer » au délai de congé que lui donne le salarié.</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Enfin, il convient de retenir la distinction entre des circonstances comme celles de la présente espèce et celles où un salarié démissionne sur</w:t>
      </w:r>
      <w:r w:rsidRPr="0006177B">
        <w:rPr>
          <w:rFonts w:eastAsia="Times New Roman" w:cs="Times New Roman"/>
          <w:sz w:val="20"/>
          <w:szCs w:val="20"/>
          <w:lang w:val="fr-CA" w:eastAsia="en-CA"/>
        </w:rPr>
        <w:noBreakHyphen/>
        <w:t>le</w:t>
      </w:r>
      <w:r w:rsidRPr="0006177B">
        <w:rPr>
          <w:rFonts w:eastAsia="Times New Roman" w:cs="Times New Roman"/>
          <w:sz w:val="20"/>
          <w:szCs w:val="20"/>
          <w:lang w:val="fr-CA" w:eastAsia="en-CA"/>
        </w:rPr>
        <w:noBreakHyphen/>
        <w:t>champ, en offrant néanmoins de rester à l’emploi pendant un certain temps, auquel cas, si l’employeur souhaite effectivement que le salarié quitte sur</w:t>
      </w:r>
      <w:r w:rsidRPr="0006177B">
        <w:rPr>
          <w:rFonts w:eastAsia="Times New Roman" w:cs="Times New Roman"/>
          <w:sz w:val="20"/>
          <w:szCs w:val="20"/>
          <w:lang w:val="fr-CA" w:eastAsia="en-CA"/>
        </w:rPr>
        <w:noBreakHyphen/>
        <w:t>le</w:t>
      </w:r>
      <w:r w:rsidRPr="0006177B">
        <w:rPr>
          <w:rFonts w:eastAsia="Times New Roman" w:cs="Times New Roman"/>
          <w:sz w:val="20"/>
          <w:szCs w:val="20"/>
          <w:lang w:val="fr-CA" w:eastAsia="en-CA"/>
        </w:rPr>
        <w:noBreakHyphen/>
        <w:t xml:space="preserve">champ, il y a rencontre des volontés, et le délai de congé n’est pas nécessaire puisqu’un contrat à durée indéterminée peut prendre fin de l’accord des parties. Dans un tel cas, l’art. 2092 </w:t>
      </w:r>
      <w:r w:rsidRPr="0006177B">
        <w:rPr>
          <w:rFonts w:eastAsia="Times New Roman" w:cs="Times New Roman"/>
          <w:i/>
          <w:sz w:val="20"/>
          <w:szCs w:val="20"/>
          <w:lang w:val="fr-CA" w:eastAsia="en-CA"/>
        </w:rPr>
        <w:t>C.c.Q</w:t>
      </w:r>
      <w:r w:rsidRPr="0006177B">
        <w:rPr>
          <w:rFonts w:eastAsia="Times New Roman" w:cs="Times New Roman"/>
          <w:sz w:val="20"/>
          <w:szCs w:val="20"/>
          <w:lang w:val="fr-CA" w:eastAsia="en-CA"/>
        </w:rPr>
        <w:t xml:space="preserve">. ne trouve pas application, puisque la fin de l’emploi n’est pas alors le fruit d’un acte unilatéral de l’employeur. De plus, il ne serait pas question de l’indemnité prévue aux art. 82 et 83 de la </w:t>
      </w:r>
      <w:r w:rsidRPr="0006177B">
        <w:rPr>
          <w:rFonts w:eastAsia="Times New Roman" w:cs="Times New Roman"/>
          <w:i/>
          <w:sz w:val="20"/>
          <w:szCs w:val="20"/>
          <w:lang w:val="fr-CA" w:eastAsia="en-CA"/>
        </w:rPr>
        <w:t>Loi sur les normes du travail</w:t>
      </w:r>
      <w:r w:rsidRPr="0006177B">
        <w:rPr>
          <w:rFonts w:eastAsia="Times New Roman" w:cs="Times New Roman"/>
          <w:sz w:val="20"/>
          <w:szCs w:val="20"/>
          <w:lang w:val="fr-CA" w:eastAsia="en-CA"/>
        </w:rPr>
        <w:t xml:space="preserve">, puisque la fin du contrat résulterait d’une entente entre les parties : il serait impossible de conclure que l’employeur a mis fin au contrat. </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 xml:space="preserve">En l’espèce, les circonstances entourant la démission du salarié n’étaient pas ambiguës. En remettant une lettre annonçant sa démission, le salarié n’a pas mis fin au contrat immédiatement : il s’est plutôt conformé aux exigences de l’art. 2091 </w:t>
      </w:r>
      <w:r w:rsidRPr="0006177B">
        <w:rPr>
          <w:rFonts w:eastAsia="Times New Roman" w:cs="Times New Roman"/>
          <w:i/>
          <w:sz w:val="20"/>
          <w:szCs w:val="20"/>
          <w:lang w:val="fr-CA" w:eastAsia="en-CA"/>
        </w:rPr>
        <w:t>C.c.Q.</w:t>
      </w:r>
      <w:r w:rsidRPr="0006177B">
        <w:rPr>
          <w:rFonts w:eastAsia="Times New Roman" w:cs="Times New Roman"/>
          <w:sz w:val="20"/>
          <w:szCs w:val="20"/>
          <w:lang w:val="fr-CA" w:eastAsia="en-CA"/>
        </w:rPr>
        <w:t xml:space="preserve"> et a annoncé à son employeur la fin de leur relation contractuelle dans un futur rapproché. En demandant au salarié de quitter avant la date annoncée, l’employeur a mis fin au contrat de façon unilatérale sans délai de congé suffisant, manquant ainsi à l’obligation que lui imposait l’art. 2091 </w:t>
      </w:r>
      <w:r w:rsidRPr="0006177B">
        <w:rPr>
          <w:rFonts w:eastAsia="Times New Roman" w:cs="Times New Roman"/>
          <w:i/>
          <w:sz w:val="20"/>
          <w:szCs w:val="20"/>
          <w:lang w:val="fr-CA" w:eastAsia="en-CA"/>
        </w:rPr>
        <w:t>C.c.Q.</w:t>
      </w:r>
      <w:r w:rsidRPr="0006177B">
        <w:rPr>
          <w:rFonts w:eastAsia="Times New Roman" w:cs="Times New Roman"/>
          <w:sz w:val="20"/>
          <w:szCs w:val="20"/>
          <w:lang w:val="fr-CA" w:eastAsia="en-CA"/>
        </w:rPr>
        <w:t xml:space="preserve">, et, par voie de conséquences, cela a déclenché l’application des art. 82 et 83 de la </w:t>
      </w:r>
      <w:r w:rsidRPr="0006177B">
        <w:rPr>
          <w:rFonts w:eastAsia="Times New Roman" w:cs="Times New Roman"/>
          <w:i/>
          <w:sz w:val="20"/>
          <w:szCs w:val="20"/>
          <w:lang w:val="fr-CA" w:eastAsia="en-CA"/>
        </w:rPr>
        <w:t>Loi sur les normes du travail</w:t>
      </w:r>
      <w:r w:rsidRPr="0006177B">
        <w:rPr>
          <w:rFonts w:eastAsia="Times New Roman" w:cs="Times New Roman"/>
          <w:sz w:val="20"/>
          <w:szCs w:val="20"/>
          <w:lang w:val="fr-CA" w:eastAsia="en-CA"/>
        </w:rPr>
        <w:t xml:space="preserve">. Le salarié n’ayant pas réclamé la pleine indemnité prévue à ces dispositions, il est préférable de laisser pour plus tard la question de décider si la durée du préavis prévue à l’art. 82 de la </w:t>
      </w:r>
      <w:r w:rsidRPr="0006177B">
        <w:rPr>
          <w:rFonts w:eastAsia="Times New Roman" w:cs="Times New Roman"/>
          <w:i/>
          <w:sz w:val="20"/>
          <w:szCs w:val="20"/>
          <w:lang w:val="fr-CA" w:eastAsia="en-CA"/>
        </w:rPr>
        <w:t>Loi sur les normes du travail</w:t>
      </w:r>
      <w:r w:rsidRPr="0006177B">
        <w:rPr>
          <w:rFonts w:eastAsia="Times New Roman" w:cs="Times New Roman"/>
          <w:sz w:val="20"/>
          <w:szCs w:val="20"/>
          <w:lang w:val="fr-CA" w:eastAsia="en-CA"/>
        </w:rPr>
        <w:t>, et l’indemnité équivalente à l’art. 83, relèvent de l’ordre public de direction ou de protection.</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sz w:val="20"/>
          <w:szCs w:val="20"/>
          <w:lang w:val="fr-CA" w:eastAsia="en-CA"/>
        </w:rPr>
        <w:tab/>
        <w:t>POURVOI contre un arrêt de la Cour d’appel du Québec (les juges Pelletier, Bich et Fournier), 2013 QCCA 484, [2013] AZ</w:t>
      </w:r>
      <w:r w:rsidRPr="0006177B">
        <w:rPr>
          <w:rFonts w:eastAsia="Times New Roman" w:cs="Times New Roman"/>
          <w:sz w:val="20"/>
          <w:szCs w:val="20"/>
          <w:lang w:val="fr-CA" w:eastAsia="en-CA"/>
        </w:rPr>
        <w:noBreakHyphen/>
        <w:t>50948335, [2013] J.Q. n</w:t>
      </w:r>
      <w:r w:rsidRPr="0006177B">
        <w:rPr>
          <w:rFonts w:eastAsia="Times New Roman" w:cs="Times New Roman"/>
          <w:sz w:val="20"/>
          <w:szCs w:val="20"/>
          <w:vertAlign w:val="superscript"/>
          <w:lang w:val="fr-CA" w:eastAsia="en-CA"/>
        </w:rPr>
        <w:t>o</w:t>
      </w:r>
      <w:r w:rsidRPr="0006177B">
        <w:rPr>
          <w:rFonts w:eastAsia="Times New Roman" w:cs="Times New Roman"/>
          <w:sz w:val="20"/>
          <w:szCs w:val="20"/>
          <w:lang w:val="fr-CA" w:eastAsia="en-CA"/>
        </w:rPr>
        <w:t> 2366 (QL), 2013 CarswellQue 2371, qui a infirmé une décision du juge Massol, 2010 QCCQ 7473, [2010] R.J.D.T. 935, [2010] AZ</w:t>
      </w:r>
      <w:r w:rsidRPr="0006177B">
        <w:rPr>
          <w:rFonts w:eastAsia="Times New Roman" w:cs="Times New Roman"/>
          <w:sz w:val="20"/>
          <w:szCs w:val="20"/>
          <w:lang w:val="fr-CA" w:eastAsia="en-CA"/>
        </w:rPr>
        <w:noBreakHyphen/>
        <w:t>50668866, [2010] J.Q. n</w:t>
      </w:r>
      <w:r w:rsidRPr="0006177B">
        <w:rPr>
          <w:rFonts w:eastAsia="Times New Roman" w:cs="Times New Roman"/>
          <w:sz w:val="20"/>
          <w:szCs w:val="20"/>
          <w:vertAlign w:val="superscript"/>
          <w:lang w:val="fr-CA" w:eastAsia="en-CA"/>
        </w:rPr>
        <w:t>o</w:t>
      </w:r>
      <w:r w:rsidRPr="0006177B">
        <w:rPr>
          <w:rFonts w:eastAsia="Times New Roman" w:cs="Times New Roman"/>
          <w:sz w:val="20"/>
          <w:szCs w:val="20"/>
          <w:lang w:val="fr-CA" w:eastAsia="en-CA"/>
        </w:rPr>
        <w:t> 8693 (QL), 2010 CarswellQue 9152. Pourvoi accueilli.</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i/>
          <w:sz w:val="20"/>
          <w:szCs w:val="20"/>
          <w:lang w:val="fr-CA" w:eastAsia="en-CA"/>
        </w:rPr>
        <w:tab/>
        <w:t>Robert Rivest</w:t>
      </w:r>
      <w:r w:rsidRPr="0006177B">
        <w:rPr>
          <w:rFonts w:eastAsia="Times New Roman" w:cs="Times New Roman"/>
          <w:sz w:val="20"/>
          <w:szCs w:val="20"/>
          <w:lang w:val="fr-CA" w:eastAsia="en-CA"/>
        </w:rPr>
        <w:t xml:space="preserve"> et </w:t>
      </w:r>
      <w:r w:rsidRPr="0006177B">
        <w:rPr>
          <w:rFonts w:eastAsia="Times New Roman" w:cs="Times New Roman"/>
          <w:i/>
          <w:sz w:val="20"/>
          <w:szCs w:val="20"/>
          <w:lang w:val="fr-CA" w:eastAsia="en-CA"/>
        </w:rPr>
        <w:t>Jessica Laforest</w:t>
      </w:r>
      <w:r w:rsidRPr="0006177B">
        <w:rPr>
          <w:rFonts w:eastAsia="Times New Roman" w:cs="Times New Roman"/>
          <w:sz w:val="20"/>
          <w:szCs w:val="20"/>
          <w:lang w:val="fr-CA" w:eastAsia="en-CA"/>
        </w:rPr>
        <w:t>, pour l’appelante.</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sz w:val="20"/>
          <w:szCs w:val="20"/>
          <w:lang w:val="fr-CA" w:eastAsia="en-CA"/>
        </w:rPr>
      </w:pPr>
      <w:r w:rsidRPr="0006177B">
        <w:rPr>
          <w:rFonts w:eastAsia="Times New Roman" w:cs="Times New Roman"/>
          <w:i/>
          <w:sz w:val="20"/>
          <w:szCs w:val="20"/>
          <w:lang w:val="fr-CA" w:eastAsia="en-CA"/>
        </w:rPr>
        <w:tab/>
        <w:t>Claude Jean Denis</w:t>
      </w:r>
      <w:r w:rsidRPr="0006177B">
        <w:rPr>
          <w:rFonts w:eastAsia="Times New Roman" w:cs="Times New Roman"/>
          <w:sz w:val="20"/>
          <w:szCs w:val="20"/>
          <w:lang w:val="fr-CA" w:eastAsia="en-CA"/>
        </w:rPr>
        <w:t xml:space="preserve"> et </w:t>
      </w:r>
      <w:r w:rsidRPr="0006177B">
        <w:rPr>
          <w:rFonts w:eastAsia="Times New Roman" w:cs="Times New Roman"/>
          <w:i/>
          <w:sz w:val="20"/>
          <w:szCs w:val="20"/>
          <w:lang w:val="fr-CA" w:eastAsia="en-CA"/>
        </w:rPr>
        <w:t>Frédérick Langlois</w:t>
      </w:r>
      <w:r w:rsidRPr="0006177B">
        <w:rPr>
          <w:rFonts w:eastAsia="Times New Roman" w:cs="Times New Roman"/>
          <w:sz w:val="20"/>
          <w:szCs w:val="20"/>
          <w:lang w:val="fr-CA" w:eastAsia="en-CA"/>
        </w:rPr>
        <w:t>, pour l’intimée.</w:t>
      </w:r>
    </w:p>
    <w:p w:rsidR="0006177B" w:rsidRPr="0006177B" w:rsidRDefault="0006177B" w:rsidP="00FA49F9">
      <w:pPr>
        <w:jc w:val="both"/>
        <w:rPr>
          <w:rFonts w:eastAsia="Times New Roman" w:cs="Times New Roman"/>
          <w:sz w:val="20"/>
          <w:szCs w:val="20"/>
          <w:lang w:val="fr-CA" w:eastAsia="en-CA"/>
        </w:rPr>
      </w:pPr>
    </w:p>
    <w:p w:rsidR="0006177B" w:rsidRDefault="0006177B" w:rsidP="00FA49F9">
      <w:pPr>
        <w:jc w:val="both"/>
        <w:rPr>
          <w:rFonts w:eastAsia="Times New Roman" w:cs="Times New Roman"/>
          <w:i/>
          <w:sz w:val="20"/>
          <w:szCs w:val="20"/>
          <w:lang w:val="fr-CA" w:eastAsia="en-CA"/>
        </w:rPr>
      </w:pPr>
      <w:r w:rsidRPr="0006177B">
        <w:rPr>
          <w:rFonts w:eastAsia="Times New Roman" w:cs="Times New Roman"/>
          <w:i/>
          <w:sz w:val="20"/>
          <w:szCs w:val="20"/>
          <w:lang w:val="fr-CA" w:eastAsia="en-CA"/>
        </w:rPr>
        <w:tab/>
        <w:t>Procureurs de l’appelante : Rivest, Tellier, Paradis, Montréal.</w:t>
      </w:r>
    </w:p>
    <w:p w:rsidR="0006177B" w:rsidRPr="0006177B" w:rsidRDefault="0006177B" w:rsidP="00FA49F9">
      <w:pPr>
        <w:jc w:val="both"/>
        <w:rPr>
          <w:rFonts w:eastAsia="Times New Roman" w:cs="Times New Roman"/>
          <w:i/>
          <w:sz w:val="20"/>
          <w:szCs w:val="20"/>
          <w:lang w:val="fr-CA" w:eastAsia="en-CA"/>
        </w:rPr>
      </w:pPr>
    </w:p>
    <w:p w:rsidR="0006177B" w:rsidRPr="0006177B" w:rsidRDefault="0006177B" w:rsidP="00FA49F9">
      <w:pPr>
        <w:jc w:val="both"/>
        <w:rPr>
          <w:rFonts w:eastAsia="Times New Roman" w:cs="Times New Roman"/>
          <w:i/>
          <w:sz w:val="20"/>
          <w:szCs w:val="20"/>
          <w:lang w:val="fr-CA" w:eastAsia="en-CA"/>
        </w:rPr>
      </w:pPr>
      <w:r w:rsidRPr="0006177B">
        <w:rPr>
          <w:rFonts w:eastAsia="Times New Roman" w:cs="Times New Roman"/>
          <w:i/>
          <w:sz w:val="20"/>
          <w:szCs w:val="20"/>
          <w:lang w:val="fr-CA" w:eastAsia="en-CA"/>
        </w:rPr>
        <w:tab/>
        <w:t>Procureurs de l’intimée : Claude J. Denis, Laval; Deveau, Bourgeois, Gagné, Hébert &amp; associés, Gatineau.</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Pr="00822540" w:rsidRDefault="0052229C" w:rsidP="0052229C">
      <w:pPr>
        <w:rPr>
          <w:rFonts w:cs="Times New Roman"/>
          <w:sz w:val="20"/>
          <w:szCs w:val="20"/>
        </w:rPr>
      </w:pPr>
    </w:p>
    <w:p w:rsidR="0052229C" w:rsidRPr="005A1E5C" w:rsidRDefault="0052229C" w:rsidP="0052229C">
      <w:pPr>
        <w:jc w:val="both"/>
        <w:rPr>
          <w:sz w:val="20"/>
          <w:szCs w:val="20"/>
        </w:rPr>
      </w:pPr>
      <w:r w:rsidRPr="005A1E5C">
        <w:rPr>
          <w:sz w:val="20"/>
          <w:szCs w:val="20"/>
        </w:rPr>
        <w:t xml:space="preserve">Present:  </w:t>
      </w:r>
      <w:r w:rsidR="0006177B" w:rsidRPr="0006177B">
        <w:rPr>
          <w:sz w:val="20"/>
          <w:szCs w:val="20"/>
        </w:rPr>
        <w:t>McLachlin C.J. and LeBel, Rothstein, Cromwell, Moldaver, Karakatsanis and Wagner JJ.</w:t>
      </w:r>
    </w:p>
    <w:p w:rsidR="0052229C" w:rsidRPr="0006177B" w:rsidRDefault="0052229C" w:rsidP="0006177B">
      <w:pPr>
        <w:pStyle w:val="SCCLowerCourtNameLowercase"/>
        <w:spacing w:line="240" w:lineRule="auto"/>
        <w:rPr>
          <w:sz w:val="20"/>
        </w:rPr>
      </w:pPr>
    </w:p>
    <w:p w:rsidR="0006177B" w:rsidRDefault="0006177B" w:rsidP="00FA49F9">
      <w:pPr>
        <w:jc w:val="both"/>
        <w:rPr>
          <w:rFonts w:eastAsia="Times New Roman" w:cs="Times New Roman"/>
          <w:i/>
          <w:iCs/>
          <w:sz w:val="20"/>
          <w:szCs w:val="20"/>
          <w:lang w:eastAsia="en-CA"/>
        </w:rPr>
      </w:pPr>
      <w:r w:rsidRPr="0006177B">
        <w:rPr>
          <w:rFonts w:eastAsia="Times New Roman" w:cs="Times New Roman"/>
          <w:sz w:val="20"/>
          <w:szCs w:val="20"/>
          <w:lang w:eastAsia="en-CA"/>
        </w:rPr>
        <w:tab/>
      </w:r>
      <w:r w:rsidRPr="0006177B">
        <w:rPr>
          <w:rFonts w:eastAsia="Times New Roman" w:cs="Times New Roman"/>
          <w:i/>
          <w:iCs/>
          <w:sz w:val="20"/>
          <w:szCs w:val="20"/>
          <w:lang w:eastAsia="en-CA"/>
        </w:rPr>
        <w:t>Employment law — Contracts — Contract of employment for indeterminate term — Obligation to give notice of termination — Employee giving notice of termination to employer to terminate contract of employment as of later date — Employer terminating contract of employment before departure date announced by employee — Whether employer who receives notice of termination from employee can terminate contract of employment before notice period expires without in turn having to give notice of termination or pay indemnity in lieu of such notice</w:t>
      </w:r>
      <w:r w:rsidRPr="0006177B">
        <w:rPr>
          <w:rFonts w:eastAsia="Times New Roman" w:cs="Times New Roman"/>
          <w:sz w:val="20"/>
          <w:szCs w:val="20"/>
          <w:lang w:eastAsia="en-CA"/>
        </w:rPr>
        <w:t xml:space="preserve"> </w:t>
      </w:r>
      <w:r w:rsidRPr="0006177B">
        <w:rPr>
          <w:rFonts w:eastAsia="Times New Roman" w:cs="Times New Roman"/>
          <w:i/>
          <w:iCs/>
          <w:sz w:val="20"/>
          <w:szCs w:val="20"/>
          <w:lang w:eastAsia="en-CA"/>
        </w:rPr>
        <w:t>— Civil Code of Québec, arts. 2091, 2092 — Act respecting labour standards, CQLR, c. N</w:t>
      </w:r>
      <w:r w:rsidRPr="0006177B">
        <w:rPr>
          <w:rFonts w:eastAsia="Times New Roman" w:cs="Times New Roman"/>
          <w:i/>
          <w:iCs/>
          <w:sz w:val="20"/>
          <w:szCs w:val="20"/>
          <w:lang w:eastAsia="en-CA"/>
        </w:rPr>
        <w:noBreakHyphen/>
        <w:t>1.1, ss. 82, 83.</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The employee in question had been working for his employer since 1994.  On Friday, February 15, 2008, he gave his employer a notice of resignation in which he announced that he would be terminating his contract of employment as of March 7, 2008, that is, three weeks later.  On Monday, February 18, after failing to convince the employee to stay with the company, the employer decided without any other formalities to terminate his contract of employment the very next day, February 19, 2008, rather than March 7 — the departure date announced by the employee.</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The appellant, the Commission des normes du travail (“Commission”), claimed on the employee’s behalf an indemnity equivalent to a notice period of three weeks, which corresponded to the notice of termination given by the employee in his letter of resignation.  It also claimed, in the same proportion, the monetary value of his annual leave.  The Court of Québec found in the Commission’s favour, but the Court of Appeal ruled against it.</w:t>
      </w:r>
    </w:p>
    <w:p w:rsidR="0005103A" w:rsidRPr="0006177B" w:rsidRDefault="0005103A"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r>
      <w:r w:rsidRPr="0006177B">
        <w:rPr>
          <w:rFonts w:eastAsia="Times New Roman" w:cs="Times New Roman"/>
          <w:i/>
          <w:sz w:val="20"/>
          <w:szCs w:val="20"/>
          <w:lang w:eastAsia="en-CA"/>
        </w:rPr>
        <w:t>Held</w:t>
      </w:r>
      <w:r w:rsidRPr="0006177B">
        <w:rPr>
          <w:rFonts w:eastAsia="Times New Roman" w:cs="Times New Roman"/>
          <w:sz w:val="20"/>
          <w:szCs w:val="20"/>
          <w:lang w:eastAsia="en-CA"/>
        </w:rPr>
        <w:t>:  The appeal should be allowed.</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 xml:space="preserve">This appeal raises the issue of the interplay of the provisions of the </w:t>
      </w:r>
      <w:r w:rsidRPr="0006177B">
        <w:rPr>
          <w:rFonts w:eastAsia="Times New Roman" w:cs="Times New Roman"/>
          <w:i/>
          <w:sz w:val="20"/>
          <w:szCs w:val="20"/>
          <w:lang w:eastAsia="en-CA"/>
        </w:rPr>
        <w:t>Civil Code of Québec</w:t>
      </w:r>
      <w:r w:rsidRPr="0006177B">
        <w:rPr>
          <w:rFonts w:eastAsia="Times New Roman" w:cs="Times New Roman"/>
          <w:sz w:val="20"/>
          <w:szCs w:val="20"/>
          <w:lang w:eastAsia="en-CA"/>
        </w:rPr>
        <w:t xml:space="preserve"> (“</w:t>
      </w:r>
      <w:r w:rsidRPr="0006177B">
        <w:rPr>
          <w:rFonts w:eastAsia="Times New Roman" w:cs="Times New Roman"/>
          <w:i/>
          <w:sz w:val="20"/>
          <w:szCs w:val="20"/>
          <w:lang w:eastAsia="en-CA"/>
        </w:rPr>
        <w:t>C.C.Q.</w:t>
      </w:r>
      <w:r w:rsidRPr="0006177B">
        <w:rPr>
          <w:rFonts w:eastAsia="Times New Roman" w:cs="Times New Roman"/>
          <w:sz w:val="20"/>
          <w:szCs w:val="20"/>
          <w:lang w:eastAsia="en-CA"/>
        </w:rPr>
        <w:t xml:space="preserve">”) and the </w:t>
      </w:r>
      <w:r w:rsidRPr="0006177B">
        <w:rPr>
          <w:rFonts w:eastAsia="Times New Roman" w:cs="Times New Roman"/>
          <w:i/>
          <w:sz w:val="20"/>
          <w:szCs w:val="20"/>
          <w:lang w:eastAsia="en-CA"/>
        </w:rPr>
        <w:t>Act respecting labour standards</w:t>
      </w:r>
      <w:r w:rsidRPr="0006177B">
        <w:rPr>
          <w:rFonts w:eastAsia="Times New Roman" w:cs="Times New Roman"/>
          <w:sz w:val="20"/>
          <w:szCs w:val="20"/>
          <w:lang w:eastAsia="en-CA"/>
        </w:rPr>
        <w:t xml:space="preserve"> that relate to the effect of the notice of termination in the context of a contract of employment for an indeterminate term.  The provisions in question must be interpreted harmoniously, since they are all concerned with the same subject, namely termination of the employment relationship.</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 xml:space="preserve">A party may unilaterally terminate a contract of employment for an indeterminate term without giving reasons, but on condition that he or she give notice of termination to the other party in reasonable time in accordance with art. 2091 </w:t>
      </w:r>
      <w:r w:rsidRPr="0006177B">
        <w:rPr>
          <w:rFonts w:eastAsia="Times New Roman" w:cs="Times New Roman"/>
          <w:i/>
          <w:sz w:val="20"/>
          <w:szCs w:val="20"/>
          <w:lang w:eastAsia="en-CA"/>
        </w:rPr>
        <w:t>C.C.Q.</w:t>
      </w:r>
      <w:r w:rsidRPr="0006177B">
        <w:rPr>
          <w:rFonts w:eastAsia="Times New Roman" w:cs="Times New Roman"/>
          <w:sz w:val="20"/>
          <w:szCs w:val="20"/>
          <w:lang w:eastAsia="en-CA"/>
        </w:rPr>
        <w:t xml:space="preserve">  The obligation under art. 2091 </w:t>
      </w:r>
      <w:r w:rsidRPr="0006177B">
        <w:rPr>
          <w:rFonts w:eastAsia="Times New Roman" w:cs="Times New Roman"/>
          <w:i/>
          <w:sz w:val="20"/>
          <w:szCs w:val="20"/>
          <w:lang w:eastAsia="en-CA"/>
        </w:rPr>
        <w:t>C.C.Q.</w:t>
      </w:r>
      <w:r w:rsidRPr="0006177B">
        <w:rPr>
          <w:rFonts w:eastAsia="Times New Roman" w:cs="Times New Roman"/>
          <w:sz w:val="20"/>
          <w:szCs w:val="20"/>
          <w:lang w:eastAsia="en-CA"/>
        </w:rPr>
        <w:t xml:space="preserve"> to give notice of termination applies to both the employee and the employer, for the entire term of the contract.</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 xml:space="preserve">Added to the principles established in the </w:t>
      </w:r>
      <w:r w:rsidRPr="0006177B">
        <w:rPr>
          <w:rFonts w:eastAsia="Times New Roman" w:cs="Times New Roman"/>
          <w:i/>
          <w:sz w:val="20"/>
          <w:szCs w:val="20"/>
          <w:lang w:eastAsia="en-CA"/>
        </w:rPr>
        <w:t>Civil Code</w:t>
      </w:r>
      <w:r w:rsidRPr="0006177B">
        <w:rPr>
          <w:rFonts w:eastAsia="Times New Roman" w:cs="Times New Roman"/>
          <w:sz w:val="20"/>
          <w:szCs w:val="20"/>
          <w:lang w:eastAsia="en-CA"/>
        </w:rPr>
        <w:t xml:space="preserve"> are the standards provided for in the </w:t>
      </w:r>
      <w:r w:rsidRPr="0006177B">
        <w:rPr>
          <w:rFonts w:eastAsia="Times New Roman" w:cs="Times New Roman"/>
          <w:i/>
          <w:sz w:val="20"/>
          <w:szCs w:val="20"/>
          <w:lang w:eastAsia="en-CA"/>
        </w:rPr>
        <w:t>Act respecting labour standards</w:t>
      </w:r>
      <w:r w:rsidRPr="0006177B">
        <w:rPr>
          <w:rFonts w:eastAsia="Times New Roman" w:cs="Times New Roman"/>
          <w:sz w:val="20"/>
          <w:szCs w:val="20"/>
          <w:lang w:eastAsia="en-CA"/>
        </w:rPr>
        <w:t xml:space="preserve">, including the one set out in s. 82, which imposes an obligation on the employer to give written notice to an employee where it is the employer that terminates the contract of employment.  This section specifies the duration of the notice period, which depends on the employee’s years of service.  Absent such notice, the employer must pay the employee an equivalent compensatory indemnity in accordance with s. 83 of the </w:t>
      </w:r>
      <w:r w:rsidRPr="0006177B">
        <w:rPr>
          <w:rFonts w:eastAsia="Times New Roman" w:cs="Times New Roman"/>
          <w:i/>
          <w:sz w:val="20"/>
          <w:szCs w:val="20"/>
          <w:lang w:eastAsia="en-CA"/>
        </w:rPr>
        <w:t>Act respecting labour standards</w:t>
      </w:r>
      <w:r w:rsidRPr="0006177B">
        <w:rPr>
          <w:rFonts w:eastAsia="Times New Roman" w:cs="Times New Roman"/>
          <w:sz w:val="20"/>
          <w:szCs w:val="20"/>
          <w:lang w:eastAsia="en-CA"/>
        </w:rPr>
        <w:t xml:space="preserve">.  In the context of this appeal, the </w:t>
      </w:r>
      <w:r w:rsidRPr="0006177B">
        <w:rPr>
          <w:rFonts w:eastAsia="Times New Roman" w:cs="Times New Roman"/>
          <w:i/>
          <w:sz w:val="20"/>
          <w:szCs w:val="20"/>
          <w:lang w:eastAsia="en-CA"/>
        </w:rPr>
        <w:t>Act respecting labour standards</w:t>
      </w:r>
      <w:r w:rsidRPr="0006177B">
        <w:rPr>
          <w:rFonts w:eastAsia="Times New Roman" w:cs="Times New Roman"/>
          <w:sz w:val="20"/>
          <w:szCs w:val="20"/>
          <w:lang w:eastAsia="en-CA"/>
        </w:rPr>
        <w:t xml:space="preserve"> clarifies the employer’s obligations, and in light of its purpose, it should be given a large and liberal interpretation.</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 xml:space="preserve">A contract of employment for an indeterminate term is not terminated immediately upon notice of termination being given in accordance with art. 2091 </w:t>
      </w:r>
      <w:r w:rsidRPr="0006177B">
        <w:rPr>
          <w:rFonts w:eastAsia="Times New Roman" w:cs="Times New Roman"/>
          <w:i/>
          <w:sz w:val="20"/>
          <w:szCs w:val="20"/>
          <w:lang w:eastAsia="en-CA"/>
        </w:rPr>
        <w:t>C.C.Q.</w:t>
      </w:r>
      <w:r w:rsidRPr="0006177B">
        <w:rPr>
          <w:rFonts w:eastAsia="Times New Roman" w:cs="Times New Roman"/>
          <w:sz w:val="20"/>
          <w:szCs w:val="20"/>
          <w:lang w:eastAsia="en-CA"/>
        </w:rPr>
        <w:t xml:space="preserve">  The wording of s. 82 of the </w:t>
      </w:r>
      <w:r w:rsidRPr="0006177B">
        <w:rPr>
          <w:rFonts w:eastAsia="Times New Roman" w:cs="Times New Roman"/>
          <w:i/>
          <w:sz w:val="20"/>
          <w:szCs w:val="20"/>
          <w:lang w:eastAsia="en-CA"/>
        </w:rPr>
        <w:t>Act respecting labour standards</w:t>
      </w:r>
      <w:r w:rsidRPr="0006177B">
        <w:rPr>
          <w:rFonts w:eastAsia="Times New Roman" w:cs="Times New Roman"/>
          <w:sz w:val="20"/>
          <w:szCs w:val="20"/>
          <w:lang w:eastAsia="en-CA"/>
        </w:rPr>
        <w:t xml:space="preserve"> confirms that the contract of employment for an indeterminate term is not terminated at the time of the notice.  It is well established that a contract is not automatically resiliated upon receipt of a notice of termination and that the contractual relationship continues to exist until the date specified in the notice given by the employee or the employer.  This means that even after one of the parties to a contract of employment for an indeterminate term gives the other party notice of termination, both parties must continue to perform their obligations under the contract until the notice period expires.  This includes the obligation to give notice of termination set out in art. 2091 </w:t>
      </w:r>
      <w:r w:rsidRPr="0006177B">
        <w:rPr>
          <w:rFonts w:eastAsia="Times New Roman" w:cs="Times New Roman"/>
          <w:i/>
          <w:sz w:val="20"/>
          <w:szCs w:val="20"/>
          <w:lang w:eastAsia="en-CA"/>
        </w:rPr>
        <w:t>C.C.Q.</w:t>
      </w:r>
      <w:r w:rsidRPr="0006177B">
        <w:rPr>
          <w:rFonts w:eastAsia="Times New Roman" w:cs="Times New Roman"/>
          <w:sz w:val="20"/>
          <w:szCs w:val="20"/>
          <w:lang w:eastAsia="en-CA"/>
        </w:rPr>
        <w:t>, which the other party must meet if he or she wishes in turn to terminate the contract before the notice given by the first expires.</w:t>
      </w:r>
    </w:p>
    <w:p w:rsidR="0005103A" w:rsidRDefault="0005103A"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lastRenderedPageBreak/>
        <w:tab/>
        <w:t xml:space="preserve">It is inappropriate to deal with the issue of the effect of notice of termination from the perspective of renunciation.  The notice announces the termination of the contract of employment:  it does not authorize a departure from the principle that a party may not unilaterally cease performing its contractual obligations, to the detriment of the other party’s rights.  In this context, the argument based on renunciation of the notice of termination is an unacceptable fiction.  An employer who advances the date of termination of the contract after an employee has given notice of termination effects not a “renunciation”, but a unilateral resiliation of the contract of employment, which is authorized only as provided by law (arts. 1439 and 2091 </w:t>
      </w:r>
      <w:r w:rsidRPr="0006177B">
        <w:rPr>
          <w:rFonts w:eastAsia="Times New Roman" w:cs="Times New Roman"/>
          <w:i/>
          <w:sz w:val="20"/>
          <w:szCs w:val="20"/>
          <w:lang w:eastAsia="en-CA"/>
        </w:rPr>
        <w:t>C.C.Q.</w:t>
      </w:r>
      <w:r w:rsidRPr="0006177B">
        <w:rPr>
          <w:rFonts w:eastAsia="Times New Roman" w:cs="Times New Roman"/>
          <w:sz w:val="20"/>
          <w:szCs w:val="20"/>
          <w:lang w:eastAsia="en-CA"/>
        </w:rPr>
        <w:t xml:space="preserve">). </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 xml:space="preserve">In sum, an employer who receives from an employee the notice of termination provided for in art. 2091 </w:t>
      </w:r>
      <w:r w:rsidRPr="0006177B">
        <w:rPr>
          <w:rFonts w:eastAsia="Times New Roman" w:cs="Times New Roman"/>
          <w:i/>
          <w:sz w:val="20"/>
          <w:szCs w:val="20"/>
          <w:lang w:eastAsia="en-CA"/>
        </w:rPr>
        <w:t>C.C.Q.</w:t>
      </w:r>
      <w:r w:rsidRPr="0006177B">
        <w:rPr>
          <w:rFonts w:eastAsia="Times New Roman" w:cs="Times New Roman"/>
          <w:sz w:val="20"/>
          <w:szCs w:val="20"/>
          <w:lang w:eastAsia="en-CA"/>
        </w:rPr>
        <w:t xml:space="preserve"> cannot terminate the contract of employment for an indeterminate term unilaterally without in turn giving notice of termination or paying an indemnity in lieu of such notice.  The notice given by the employee does not have the effect of immediately releasing the parties from their respective obligations under the contract.  If the employer prevents the employee from working and refuses to pay him or her during the notice period, it is “terminating the contract” within the meaning of s. 82 of the </w:t>
      </w:r>
      <w:r w:rsidRPr="0006177B">
        <w:rPr>
          <w:rFonts w:eastAsia="Times New Roman" w:cs="Times New Roman"/>
          <w:i/>
          <w:sz w:val="20"/>
          <w:szCs w:val="20"/>
          <w:lang w:eastAsia="en-CA"/>
        </w:rPr>
        <w:t>Act respecting labour standards</w:t>
      </w:r>
      <w:r w:rsidRPr="0006177B">
        <w:rPr>
          <w:rFonts w:eastAsia="Times New Roman" w:cs="Times New Roman"/>
          <w:sz w:val="20"/>
          <w:szCs w:val="20"/>
          <w:lang w:eastAsia="en-CA"/>
        </w:rPr>
        <w:t>.</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Moreover, art. 2092</w:t>
      </w:r>
      <w:r w:rsidRPr="0006177B">
        <w:rPr>
          <w:rFonts w:eastAsia="Times New Roman" w:cs="Times New Roman"/>
          <w:i/>
          <w:sz w:val="20"/>
          <w:szCs w:val="20"/>
          <w:lang w:eastAsia="en-CA"/>
        </w:rPr>
        <w:t xml:space="preserve"> C.C.Q.</w:t>
      </w:r>
      <w:r w:rsidRPr="0006177B">
        <w:rPr>
          <w:rFonts w:eastAsia="Times New Roman" w:cs="Times New Roman"/>
          <w:sz w:val="20"/>
          <w:szCs w:val="20"/>
          <w:lang w:eastAsia="en-CA"/>
        </w:rPr>
        <w:t xml:space="preserve"> does not establish an exception to the rule that a party who wishes to terminate a contract unilaterally without giving a reason must in every case, as required by art. 2091 </w:t>
      </w:r>
      <w:r w:rsidRPr="0006177B">
        <w:rPr>
          <w:rFonts w:eastAsia="Times New Roman" w:cs="Times New Roman"/>
          <w:i/>
          <w:sz w:val="20"/>
          <w:szCs w:val="20"/>
          <w:lang w:eastAsia="en-CA"/>
        </w:rPr>
        <w:t>C.C.Q.</w:t>
      </w:r>
      <w:r w:rsidRPr="0006177B">
        <w:rPr>
          <w:rFonts w:eastAsia="Times New Roman" w:cs="Times New Roman"/>
          <w:sz w:val="20"/>
          <w:szCs w:val="20"/>
          <w:lang w:eastAsia="en-CA"/>
        </w:rPr>
        <w:t xml:space="preserve">, give notice of termination to the other party.  Indeed, art. 2092 </w:t>
      </w:r>
      <w:r w:rsidRPr="0006177B">
        <w:rPr>
          <w:rFonts w:eastAsia="Times New Roman" w:cs="Times New Roman"/>
          <w:i/>
          <w:sz w:val="20"/>
          <w:szCs w:val="20"/>
          <w:lang w:eastAsia="en-CA"/>
        </w:rPr>
        <w:t>C.C.Q.</w:t>
      </w:r>
      <w:r w:rsidRPr="0006177B">
        <w:rPr>
          <w:rFonts w:eastAsia="Times New Roman" w:cs="Times New Roman"/>
          <w:sz w:val="20"/>
          <w:szCs w:val="20"/>
          <w:lang w:eastAsia="en-CA"/>
        </w:rPr>
        <w:t xml:space="preserve"> concerns not the notice of termination itself, but the employee’s right to claim an indemnity if the notice is insufficient.  It is wrong to conclude that the absence of an equivalent provision in the employer’s favour means that the employer may “renounce” a notice of termination received from the employee.</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 xml:space="preserve">Finally, the distinction between circumstances such as those in the instant case and circumstances in which an employee resigns effective immediately but nonetheless offers to keep working for a certain time should be accepted.  In the latter case, if the employer does indeed want the employee to leave immediately, there is a meeting of minds and notice of termination is unnecessary, since a contract for an indeterminate term can be terminated by agreement of the parties.  In such a case, art. 2092 </w:t>
      </w:r>
      <w:r w:rsidRPr="0006177B">
        <w:rPr>
          <w:rFonts w:eastAsia="Times New Roman" w:cs="Times New Roman"/>
          <w:i/>
          <w:sz w:val="20"/>
          <w:szCs w:val="20"/>
          <w:lang w:eastAsia="en-CA"/>
        </w:rPr>
        <w:t xml:space="preserve">C.C.Q </w:t>
      </w:r>
      <w:r w:rsidRPr="0006177B">
        <w:rPr>
          <w:rFonts w:eastAsia="Times New Roman" w:cs="Times New Roman"/>
          <w:sz w:val="20"/>
          <w:szCs w:val="20"/>
          <w:lang w:eastAsia="en-CA"/>
        </w:rPr>
        <w:t xml:space="preserve">does not apply, since the termination of the employment does not then flow from a unilateral act by the employer.  Nor would the indemnity provided for in ss. 82 and 83 of the </w:t>
      </w:r>
      <w:r w:rsidRPr="0006177B">
        <w:rPr>
          <w:rFonts w:eastAsia="Times New Roman" w:cs="Times New Roman"/>
          <w:i/>
          <w:sz w:val="20"/>
          <w:szCs w:val="20"/>
          <w:lang w:eastAsia="en-CA"/>
        </w:rPr>
        <w:t>Act respecting labour standards</w:t>
      </w:r>
      <w:r w:rsidRPr="0006177B">
        <w:rPr>
          <w:rFonts w:eastAsia="Times New Roman" w:cs="Times New Roman"/>
          <w:sz w:val="20"/>
          <w:szCs w:val="20"/>
          <w:lang w:eastAsia="en-CA"/>
        </w:rPr>
        <w:t xml:space="preserve"> apply, since the termination of the contract would flow from an agreement between the parties:  the employer could not be found to have terminated the contract. </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 xml:space="preserve">In this case, the circumstances of the employee’s resignation were not ambiguous.  When he gave his employer a letter in which he announced that he would be resigning, the employee did not terminate his contract immediately:  rather, he was complying with art. 2091 </w:t>
      </w:r>
      <w:r w:rsidRPr="0006177B">
        <w:rPr>
          <w:rFonts w:eastAsia="Times New Roman" w:cs="Times New Roman"/>
          <w:i/>
          <w:sz w:val="20"/>
          <w:szCs w:val="20"/>
          <w:lang w:eastAsia="en-CA"/>
        </w:rPr>
        <w:t>C.C.Q.</w:t>
      </w:r>
      <w:r w:rsidRPr="0006177B">
        <w:rPr>
          <w:rFonts w:eastAsia="Times New Roman" w:cs="Times New Roman"/>
          <w:sz w:val="20"/>
          <w:szCs w:val="20"/>
          <w:lang w:eastAsia="en-CA"/>
        </w:rPr>
        <w:t xml:space="preserve"> and announcing to his employer that their contractual relationship would be terminated in the near future.  When the employer asked the employee to leave before the announced date, it terminated the contract unilaterally without giving sufficient notice of termination, thereby defaulting on its obligation under art. 2091 </w:t>
      </w:r>
      <w:r w:rsidRPr="0006177B">
        <w:rPr>
          <w:rFonts w:eastAsia="Times New Roman" w:cs="Times New Roman"/>
          <w:i/>
          <w:sz w:val="20"/>
          <w:szCs w:val="20"/>
          <w:lang w:eastAsia="en-CA"/>
        </w:rPr>
        <w:t>C.C.Q.</w:t>
      </w:r>
      <w:r w:rsidRPr="0006177B">
        <w:rPr>
          <w:rFonts w:eastAsia="Times New Roman" w:cs="Times New Roman"/>
          <w:sz w:val="20"/>
          <w:szCs w:val="20"/>
          <w:lang w:eastAsia="en-CA"/>
        </w:rPr>
        <w:t xml:space="preserve">, and this had the effect of triggering the application of ss. 82 and 83 of the </w:t>
      </w:r>
      <w:r w:rsidRPr="0006177B">
        <w:rPr>
          <w:rFonts w:eastAsia="Times New Roman" w:cs="Times New Roman"/>
          <w:i/>
          <w:sz w:val="20"/>
          <w:szCs w:val="20"/>
          <w:lang w:eastAsia="en-CA"/>
        </w:rPr>
        <w:t>Act respecting labour standards</w:t>
      </w:r>
      <w:r w:rsidRPr="0006177B">
        <w:rPr>
          <w:rFonts w:eastAsia="Times New Roman" w:cs="Times New Roman"/>
          <w:sz w:val="20"/>
          <w:szCs w:val="20"/>
          <w:lang w:eastAsia="en-CA"/>
        </w:rPr>
        <w:t xml:space="preserve">.  Since the employee did not claim the full indemnity provided for in those sections, it is preferable to leave the question whether the notice period of s. 82 of the </w:t>
      </w:r>
      <w:r w:rsidRPr="0006177B">
        <w:rPr>
          <w:rFonts w:eastAsia="Times New Roman" w:cs="Times New Roman"/>
          <w:i/>
          <w:sz w:val="20"/>
          <w:szCs w:val="20"/>
          <w:lang w:eastAsia="en-CA"/>
        </w:rPr>
        <w:t>Act respecting labour standards</w:t>
      </w:r>
      <w:r w:rsidRPr="0006177B">
        <w:rPr>
          <w:rFonts w:eastAsia="Times New Roman" w:cs="Times New Roman"/>
          <w:sz w:val="20"/>
          <w:szCs w:val="20"/>
          <w:lang w:eastAsia="en-CA"/>
        </w:rPr>
        <w:t xml:space="preserve"> and the equivalent indemnity of s. 83 are matters of directive or protective public order for another occasion.</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sz w:val="20"/>
          <w:szCs w:val="20"/>
          <w:lang w:eastAsia="en-CA"/>
        </w:rPr>
        <w:tab/>
        <w:t>APPEAL from a judgment of the Quebec Court of Appeal (Pelletier, Bich and Fournier JJ.A.), 2013 QCCA 484, [2013] AZ</w:t>
      </w:r>
      <w:r w:rsidRPr="0006177B">
        <w:rPr>
          <w:rFonts w:eastAsia="Times New Roman" w:cs="Times New Roman"/>
          <w:sz w:val="20"/>
          <w:szCs w:val="20"/>
          <w:lang w:eastAsia="en-CA"/>
        </w:rPr>
        <w:noBreakHyphen/>
        <w:t>50948335, [2013] J.Q. n</w:t>
      </w:r>
      <w:r w:rsidRPr="0006177B">
        <w:rPr>
          <w:rFonts w:eastAsia="Times New Roman" w:cs="Times New Roman"/>
          <w:sz w:val="20"/>
          <w:szCs w:val="20"/>
          <w:vertAlign w:val="superscript"/>
          <w:lang w:eastAsia="en-CA"/>
        </w:rPr>
        <w:t>o</w:t>
      </w:r>
      <w:r w:rsidRPr="0006177B">
        <w:rPr>
          <w:rFonts w:eastAsia="Times New Roman" w:cs="Times New Roman"/>
          <w:sz w:val="20"/>
          <w:szCs w:val="20"/>
          <w:lang w:eastAsia="en-CA"/>
        </w:rPr>
        <w:t> 2366 (QL), 2013 CarswellQue 2371, setting aside a decision of Massol J.C.Q., 2010 QCCQ 7473, [2010] R.J.D.T. 935, [2010] AZ</w:t>
      </w:r>
      <w:r w:rsidRPr="0006177B">
        <w:rPr>
          <w:rFonts w:eastAsia="Times New Roman" w:cs="Times New Roman"/>
          <w:sz w:val="20"/>
          <w:szCs w:val="20"/>
          <w:lang w:eastAsia="en-CA"/>
        </w:rPr>
        <w:noBreakHyphen/>
        <w:t>50668866, [2010] J.Q. n</w:t>
      </w:r>
      <w:r w:rsidRPr="0006177B">
        <w:rPr>
          <w:rFonts w:eastAsia="Times New Roman" w:cs="Times New Roman"/>
          <w:sz w:val="20"/>
          <w:szCs w:val="20"/>
          <w:vertAlign w:val="superscript"/>
          <w:lang w:eastAsia="en-CA"/>
        </w:rPr>
        <w:t>o</w:t>
      </w:r>
      <w:r w:rsidRPr="0006177B">
        <w:rPr>
          <w:rFonts w:eastAsia="Times New Roman" w:cs="Times New Roman"/>
          <w:sz w:val="20"/>
          <w:szCs w:val="20"/>
          <w:lang w:eastAsia="en-CA"/>
        </w:rPr>
        <w:t> 8693 (QL), 2010 CarswellQue 9152.  Appeal allowed.</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i/>
          <w:sz w:val="20"/>
          <w:szCs w:val="20"/>
          <w:lang w:eastAsia="en-CA"/>
        </w:rPr>
        <w:tab/>
        <w:t>Robert Rivest</w:t>
      </w:r>
      <w:r w:rsidRPr="0006177B">
        <w:rPr>
          <w:rFonts w:eastAsia="Times New Roman" w:cs="Times New Roman"/>
          <w:sz w:val="20"/>
          <w:szCs w:val="20"/>
          <w:lang w:eastAsia="en-CA"/>
        </w:rPr>
        <w:t xml:space="preserve"> and </w:t>
      </w:r>
      <w:r w:rsidRPr="0006177B">
        <w:rPr>
          <w:rFonts w:eastAsia="Times New Roman" w:cs="Times New Roman"/>
          <w:i/>
          <w:sz w:val="20"/>
          <w:szCs w:val="20"/>
          <w:lang w:eastAsia="en-CA"/>
        </w:rPr>
        <w:t>Jessica Laforest</w:t>
      </w:r>
      <w:r w:rsidRPr="0006177B">
        <w:rPr>
          <w:rFonts w:eastAsia="Times New Roman" w:cs="Times New Roman"/>
          <w:sz w:val="20"/>
          <w:szCs w:val="20"/>
          <w:lang w:eastAsia="en-CA"/>
        </w:rPr>
        <w:t>, for the appellant.</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sz w:val="20"/>
          <w:szCs w:val="20"/>
          <w:lang w:eastAsia="en-CA"/>
        </w:rPr>
      </w:pPr>
      <w:r w:rsidRPr="0006177B">
        <w:rPr>
          <w:rFonts w:eastAsia="Times New Roman" w:cs="Times New Roman"/>
          <w:i/>
          <w:sz w:val="20"/>
          <w:szCs w:val="20"/>
          <w:lang w:eastAsia="en-CA"/>
        </w:rPr>
        <w:tab/>
        <w:t>Claude Jean Denis</w:t>
      </w:r>
      <w:r w:rsidRPr="0006177B">
        <w:rPr>
          <w:rFonts w:eastAsia="Times New Roman" w:cs="Times New Roman"/>
          <w:sz w:val="20"/>
          <w:szCs w:val="20"/>
          <w:lang w:eastAsia="en-CA"/>
        </w:rPr>
        <w:t xml:space="preserve"> and </w:t>
      </w:r>
      <w:r w:rsidRPr="0006177B">
        <w:rPr>
          <w:rFonts w:eastAsia="Times New Roman" w:cs="Times New Roman"/>
          <w:i/>
          <w:sz w:val="20"/>
          <w:szCs w:val="20"/>
          <w:lang w:eastAsia="en-CA"/>
        </w:rPr>
        <w:t>Frédérick Langlois</w:t>
      </w:r>
      <w:r w:rsidRPr="0006177B">
        <w:rPr>
          <w:rFonts w:eastAsia="Times New Roman" w:cs="Times New Roman"/>
          <w:sz w:val="20"/>
          <w:szCs w:val="20"/>
          <w:lang w:eastAsia="en-CA"/>
        </w:rPr>
        <w:t>, for the respondent.</w:t>
      </w:r>
    </w:p>
    <w:p w:rsidR="0006177B" w:rsidRPr="0006177B" w:rsidRDefault="0006177B" w:rsidP="00FA49F9">
      <w:pPr>
        <w:jc w:val="both"/>
        <w:rPr>
          <w:rFonts w:eastAsia="Times New Roman" w:cs="Times New Roman"/>
          <w:sz w:val="20"/>
          <w:szCs w:val="20"/>
          <w:lang w:eastAsia="en-CA"/>
        </w:rPr>
      </w:pPr>
    </w:p>
    <w:p w:rsidR="0006177B" w:rsidRDefault="0006177B" w:rsidP="00FA49F9">
      <w:pPr>
        <w:jc w:val="both"/>
        <w:rPr>
          <w:rFonts w:eastAsia="Times New Roman" w:cs="Times New Roman"/>
          <w:i/>
          <w:sz w:val="20"/>
          <w:szCs w:val="20"/>
          <w:lang w:val="fr-CA" w:eastAsia="en-CA"/>
        </w:rPr>
      </w:pPr>
      <w:r w:rsidRPr="0006177B">
        <w:rPr>
          <w:rFonts w:eastAsia="Times New Roman" w:cs="Times New Roman"/>
          <w:i/>
          <w:sz w:val="20"/>
          <w:szCs w:val="20"/>
          <w:lang w:eastAsia="en-CA"/>
        </w:rPr>
        <w:tab/>
      </w:r>
      <w:r w:rsidRPr="0006177B">
        <w:rPr>
          <w:rFonts w:eastAsia="Times New Roman" w:cs="Times New Roman"/>
          <w:i/>
          <w:sz w:val="20"/>
          <w:szCs w:val="20"/>
          <w:lang w:val="fr-CA" w:eastAsia="en-CA"/>
        </w:rPr>
        <w:t>Solicitors for the appellant:  Rivest, Tellier, Paradis, Montréal.</w:t>
      </w:r>
    </w:p>
    <w:p w:rsidR="0006177B" w:rsidRPr="0006177B" w:rsidRDefault="0006177B" w:rsidP="00FA49F9">
      <w:pPr>
        <w:jc w:val="both"/>
        <w:rPr>
          <w:rFonts w:eastAsia="Times New Roman" w:cs="Times New Roman"/>
          <w:i/>
          <w:sz w:val="20"/>
          <w:szCs w:val="20"/>
          <w:lang w:val="fr-CA" w:eastAsia="en-CA"/>
        </w:rPr>
      </w:pPr>
    </w:p>
    <w:p w:rsidR="003B3977" w:rsidRPr="00FA49F9" w:rsidRDefault="0006177B" w:rsidP="00FA49F9">
      <w:pPr>
        <w:jc w:val="both"/>
        <w:rPr>
          <w:rFonts w:cs="Times New Roman"/>
          <w:sz w:val="20"/>
          <w:szCs w:val="20"/>
          <w:lang w:val="fr-CA"/>
        </w:rPr>
      </w:pPr>
      <w:r w:rsidRPr="0006177B">
        <w:rPr>
          <w:rFonts w:eastAsia="Times New Roman" w:cs="Times New Roman"/>
          <w:i/>
          <w:sz w:val="20"/>
          <w:szCs w:val="20"/>
          <w:lang w:val="fr-CA" w:eastAsia="en-CA"/>
        </w:rPr>
        <w:tab/>
        <w:t>Solicitors for the respondent:  Claude J. Denis, Laval; Deveau, Bourgeois, Gagné, Hébert &amp; associés, Gatineau.</w:t>
      </w:r>
    </w:p>
    <w:p w:rsidR="00F23739" w:rsidRPr="00C50A5C" w:rsidRDefault="002B68E4" w:rsidP="00F23739">
      <w:pPr>
        <w:rPr>
          <w:sz w:val="20"/>
          <w:szCs w:val="20"/>
        </w:rPr>
      </w:pPr>
      <w:r>
        <w:rPr>
          <w:rFonts w:cs="Times New Roman"/>
          <w:sz w:val="20"/>
          <w:szCs w:val="20"/>
          <w:lang w:val="fr-CA"/>
        </w:rPr>
        <w:pict>
          <v:rect id="_x0000_i1068" style="width:144.3pt;height:1pt" o:hrpct="300" o:hralign="center" o:hrstd="t" o:hrnoshade="t" o:hr="t" fillcolor="black [3213]" stroked="f"/>
        </w:pict>
      </w:r>
    </w:p>
    <w:p w:rsidR="00102926" w:rsidRPr="00C50A5C" w:rsidRDefault="00102926" w:rsidP="00782AE4">
      <w:pPr>
        <w:jc w:val="both"/>
        <w:rPr>
          <w:sz w:val="20"/>
          <w:szCs w:val="20"/>
        </w:rPr>
        <w:sectPr w:rsidR="00102926" w:rsidRPr="00C50A5C" w:rsidSect="00782AE4">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414A64">
            <w:pPr>
              <w:keepNext/>
              <w:keepLines/>
              <w:rPr>
                <w:b/>
                <w:szCs w:val="24"/>
              </w:rPr>
            </w:pPr>
            <w:r w:rsidRPr="00C50A5C">
              <w:rPr>
                <w:b/>
                <w:szCs w:val="24"/>
              </w:rPr>
              <w:lastRenderedPageBreak/>
              <w:t xml:space="preserve">AGENDA FOR </w:t>
            </w:r>
            <w:r w:rsidR="005F1ED8">
              <w:rPr>
                <w:b/>
                <w:szCs w:val="24"/>
              </w:rPr>
              <w:t>A</w:t>
            </w:r>
            <w:r w:rsidR="00414A64">
              <w:rPr>
                <w:b/>
                <w:szCs w:val="24"/>
              </w:rPr>
              <w:t>UGUST</w:t>
            </w:r>
            <w:r w:rsidR="005F1ED8">
              <w:rPr>
                <w:b/>
                <w:szCs w:val="24"/>
              </w:rPr>
              <w:t xml:space="preserve"> 2014</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414A64">
            <w:pPr>
              <w:keepNext/>
              <w:keepLines/>
              <w:rPr>
                <w:b/>
                <w:szCs w:val="24"/>
                <w:lang w:val="fr-CA"/>
              </w:rPr>
            </w:pPr>
            <w:r w:rsidRPr="00C50A5C">
              <w:rPr>
                <w:b/>
                <w:szCs w:val="24"/>
                <w:lang w:val="fr-CA"/>
              </w:rPr>
              <w:t>CALENDRIER D</w:t>
            </w:r>
            <w:r w:rsidR="005F1ED8">
              <w:rPr>
                <w:b/>
                <w:szCs w:val="24"/>
                <w:lang w:val="fr-CA"/>
              </w:rPr>
              <w:t>’A</w:t>
            </w:r>
            <w:r w:rsidR="00414A64">
              <w:rPr>
                <w:b/>
                <w:szCs w:val="24"/>
                <w:lang w:val="fr-CA"/>
              </w:rPr>
              <w:t>OÛT</w:t>
            </w:r>
            <w:r w:rsidRPr="00C50A5C">
              <w:rPr>
                <w:b/>
                <w:szCs w:val="24"/>
                <w:lang w:val="fr-CA"/>
              </w:rPr>
              <w:t xml:space="preserve"> </w:t>
            </w:r>
            <w:r w:rsidR="005F1ED8">
              <w:rPr>
                <w:b/>
                <w:szCs w:val="24"/>
                <w:lang w:val="fr-CA"/>
              </w:rPr>
              <w:t>2014</w:t>
            </w:r>
          </w:p>
        </w:tc>
      </w:tr>
    </w:tbl>
    <w:p w:rsidR="004B66B4" w:rsidRDefault="004B66B4" w:rsidP="004B66B4">
      <w:pPr>
        <w:rPr>
          <w:sz w:val="20"/>
          <w:szCs w:val="20"/>
        </w:rPr>
      </w:pPr>
    </w:p>
    <w:p w:rsidR="00414A64" w:rsidRDefault="00414A64" w:rsidP="004B66B4">
      <w:pPr>
        <w:rPr>
          <w:sz w:val="20"/>
          <w:szCs w:val="20"/>
        </w:rPr>
      </w:pPr>
    </w:p>
    <w:p w:rsidR="00414A64" w:rsidRPr="00414A64" w:rsidRDefault="00414A64" w:rsidP="004B66B4">
      <w:pPr>
        <w:rPr>
          <w:sz w:val="20"/>
          <w:szCs w:val="20"/>
        </w:rPr>
      </w:pPr>
    </w:p>
    <w:p w:rsidR="00414A64" w:rsidRPr="00564DD3" w:rsidRDefault="00414A64" w:rsidP="00414A64">
      <w:pPr>
        <w:rPr>
          <w:sz w:val="28"/>
          <w:szCs w:val="28"/>
        </w:rPr>
      </w:pPr>
      <w:r w:rsidRPr="00564DD3">
        <w:rPr>
          <w:sz w:val="28"/>
          <w:szCs w:val="28"/>
        </w:rPr>
        <w:t xml:space="preserve">The next </w:t>
      </w:r>
      <w:r w:rsidRPr="00564DD3">
        <w:rPr>
          <w:b/>
          <w:sz w:val="28"/>
          <w:szCs w:val="28"/>
        </w:rPr>
        <w:t>Bulletin of Proceedings</w:t>
      </w:r>
      <w:r w:rsidRPr="00564DD3">
        <w:rPr>
          <w:sz w:val="28"/>
          <w:szCs w:val="28"/>
        </w:rPr>
        <w:t xml:space="preserve"> will be published on August </w:t>
      </w:r>
      <w:r>
        <w:rPr>
          <w:sz w:val="28"/>
          <w:szCs w:val="28"/>
        </w:rPr>
        <w:t>29</w:t>
      </w:r>
      <w:r w:rsidRPr="00564DD3">
        <w:rPr>
          <w:sz w:val="28"/>
          <w:szCs w:val="28"/>
        </w:rPr>
        <w:t>, 201</w:t>
      </w:r>
      <w:r>
        <w:rPr>
          <w:sz w:val="28"/>
          <w:szCs w:val="28"/>
        </w:rPr>
        <w:t>4</w:t>
      </w:r>
      <w:r w:rsidRPr="00564DD3">
        <w:rPr>
          <w:sz w:val="28"/>
          <w:szCs w:val="28"/>
        </w:rPr>
        <w:t>.</w:t>
      </w:r>
    </w:p>
    <w:p w:rsidR="00414A64" w:rsidRPr="00564DD3" w:rsidRDefault="00414A64" w:rsidP="00414A64">
      <w:pPr>
        <w:rPr>
          <w:sz w:val="28"/>
          <w:szCs w:val="28"/>
        </w:rPr>
      </w:pPr>
    </w:p>
    <w:p w:rsidR="00414A64" w:rsidRPr="00564DD3" w:rsidRDefault="00414A64" w:rsidP="00414A64">
      <w:pPr>
        <w:rPr>
          <w:sz w:val="28"/>
          <w:szCs w:val="28"/>
          <w:lang w:val="fr-CA"/>
        </w:rPr>
      </w:pPr>
      <w:r w:rsidRPr="00564DD3">
        <w:rPr>
          <w:sz w:val="28"/>
          <w:szCs w:val="28"/>
          <w:lang w:val="fr-CA"/>
        </w:rPr>
        <w:t xml:space="preserve">Le prochain </w:t>
      </w:r>
      <w:r w:rsidRPr="00564DD3">
        <w:rPr>
          <w:b/>
          <w:sz w:val="28"/>
          <w:szCs w:val="28"/>
          <w:lang w:val="fr-CA"/>
        </w:rPr>
        <w:t>Bulletin des procédures</w:t>
      </w:r>
      <w:r w:rsidRPr="00564DD3">
        <w:rPr>
          <w:sz w:val="28"/>
          <w:szCs w:val="28"/>
          <w:lang w:val="fr-CA"/>
        </w:rPr>
        <w:t xml:space="preserve"> sera publié le </w:t>
      </w:r>
      <w:r>
        <w:rPr>
          <w:sz w:val="28"/>
          <w:szCs w:val="28"/>
          <w:lang w:val="fr-CA"/>
        </w:rPr>
        <w:t>29</w:t>
      </w:r>
      <w:r w:rsidRPr="00564DD3">
        <w:rPr>
          <w:sz w:val="28"/>
          <w:szCs w:val="28"/>
          <w:lang w:val="fr-CA"/>
        </w:rPr>
        <w:t xml:space="preserve"> août 201</w:t>
      </w:r>
      <w:r>
        <w:rPr>
          <w:sz w:val="28"/>
          <w:szCs w:val="28"/>
          <w:lang w:val="fr-CA"/>
        </w:rPr>
        <w:t>4</w:t>
      </w:r>
      <w:r w:rsidRPr="00564DD3">
        <w:rPr>
          <w:sz w:val="28"/>
          <w:szCs w:val="28"/>
          <w:lang w:val="fr-CA"/>
        </w:rPr>
        <w:t>.</w:t>
      </w:r>
    </w:p>
    <w:p w:rsidR="004B66B4" w:rsidRPr="00490666" w:rsidRDefault="004B66B4" w:rsidP="002868D0">
      <w:pPr>
        <w:jc w:val="both"/>
        <w:rPr>
          <w:sz w:val="20"/>
          <w:szCs w:val="20"/>
          <w:lang w:val="fr-CA"/>
        </w:rPr>
      </w:pPr>
    </w:p>
    <w:p w:rsidR="004B66B4" w:rsidRPr="00490666" w:rsidRDefault="004B66B4" w:rsidP="004B66B4">
      <w:pPr>
        <w:tabs>
          <w:tab w:val="left" w:pos="1980"/>
        </w:tabs>
        <w:jc w:val="both"/>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FA49F9"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FA49F9" w:rsidTr="002B056F">
        <w:trPr>
          <w:cantSplit/>
          <w:trHeight w:val="1152"/>
        </w:trPr>
        <w:tc>
          <w:tcPr>
            <w:tcW w:w="4320" w:type="dxa"/>
            <w:tcBorders>
              <w:top w:val="nil"/>
              <w:left w:val="nil"/>
              <w:bottom w:val="nil"/>
              <w:right w:val="nil"/>
            </w:tcBorders>
          </w:tcPr>
          <w:p w:rsidR="00A956D3" w:rsidRPr="00DD0B49" w:rsidRDefault="00A956D3" w:rsidP="002B056F">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DD0B49" w:rsidRDefault="00A956D3" w:rsidP="002B056F">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2B056F">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DD0B49" w:rsidTr="002B056F">
        <w:tc>
          <w:tcPr>
            <w:tcW w:w="4320" w:type="dxa"/>
            <w:tcBorders>
              <w:top w:val="nil"/>
              <w:left w:val="nil"/>
              <w:bottom w:val="nil"/>
              <w:right w:val="nil"/>
            </w:tcBorders>
          </w:tcPr>
          <w:p w:rsidR="00A956D3" w:rsidRPr="00DD0B49" w:rsidRDefault="00A956D3" w:rsidP="002B056F">
            <w:pPr>
              <w:rPr>
                <w:rFonts w:cs="Times New Roman"/>
                <w:sz w:val="20"/>
                <w:szCs w:val="20"/>
                <w:lang w:val="en-GB"/>
              </w:rPr>
            </w:pPr>
            <w:r w:rsidRPr="00DD0B49">
              <w:rPr>
                <w:rFonts w:cs="Times New Roman"/>
                <w:b/>
                <w:bCs/>
                <w:sz w:val="20"/>
                <w:szCs w:val="20"/>
                <w:lang w:val="en-GB"/>
              </w:rPr>
              <w:t>Judgments reported in [201</w:t>
            </w:r>
            <w:r w:rsidR="00D7103E">
              <w:rPr>
                <w:rFonts w:cs="Times New Roman"/>
                <w:b/>
                <w:bCs/>
                <w:sz w:val="20"/>
                <w:szCs w:val="20"/>
                <w:lang w:val="en-GB"/>
              </w:rPr>
              <w:t>4</w:t>
            </w:r>
            <w:r w:rsidRPr="00DD0B49">
              <w:rPr>
                <w:rFonts w:cs="Times New Roman"/>
                <w:b/>
                <w:bCs/>
                <w:sz w:val="20"/>
                <w:szCs w:val="20"/>
                <w:lang w:val="en-GB"/>
              </w:rPr>
              <w:t xml:space="preserve">] </w:t>
            </w:r>
            <w:r w:rsidR="00D7103E">
              <w:rPr>
                <w:rFonts w:cs="Times New Roman"/>
                <w:b/>
                <w:bCs/>
                <w:sz w:val="20"/>
                <w:szCs w:val="20"/>
                <w:lang w:val="en-GB"/>
              </w:rPr>
              <w:t>1</w:t>
            </w:r>
            <w:r w:rsidRPr="00DD0B49">
              <w:rPr>
                <w:rFonts w:cs="Times New Roman"/>
                <w:b/>
                <w:bCs/>
                <w:sz w:val="20"/>
                <w:szCs w:val="20"/>
                <w:lang w:val="en-GB"/>
              </w:rPr>
              <w:t xml:space="preserve"> S.C.R. Part </w:t>
            </w:r>
            <w:r>
              <w:rPr>
                <w:rFonts w:cs="Times New Roman"/>
                <w:b/>
                <w:bCs/>
                <w:sz w:val="20"/>
                <w:szCs w:val="20"/>
                <w:lang w:val="en-GB"/>
              </w:rPr>
              <w:t>1</w:t>
            </w:r>
          </w:p>
          <w:p w:rsidR="00A956D3" w:rsidRPr="00DD0B49" w:rsidRDefault="00A956D3" w:rsidP="002B056F">
            <w:pPr>
              <w:rPr>
                <w:rFonts w:cs="Times New Roman"/>
                <w:sz w:val="20"/>
                <w:szCs w:val="20"/>
                <w:lang w:val="en-GB"/>
              </w:rPr>
            </w:pPr>
          </w:p>
          <w:p w:rsidR="00A956D3" w:rsidRPr="00DD0B49" w:rsidRDefault="00D7103E" w:rsidP="002B056F">
            <w:pPr>
              <w:rPr>
                <w:rFonts w:cs="Times New Roman"/>
                <w:sz w:val="20"/>
                <w:szCs w:val="20"/>
                <w:lang w:val="en-GB"/>
              </w:rPr>
            </w:pPr>
            <w:r>
              <w:rPr>
                <w:rFonts w:cs="Times New Roman"/>
                <w:sz w:val="20"/>
                <w:szCs w:val="20"/>
                <w:lang w:val="en-GB"/>
              </w:rPr>
              <w:t>A.I. En</w:t>
            </w:r>
            <w:r w:rsidR="00A956D3">
              <w:rPr>
                <w:rFonts w:cs="Times New Roman"/>
                <w:sz w:val="20"/>
                <w:szCs w:val="20"/>
                <w:lang w:val="en-GB"/>
              </w:rPr>
              <w:t>t</w:t>
            </w:r>
            <w:r>
              <w:rPr>
                <w:rFonts w:cs="Times New Roman"/>
                <w:sz w:val="20"/>
                <w:szCs w:val="20"/>
                <w:lang w:val="en-GB"/>
              </w:rPr>
              <w:t>erprises Ltd.</w:t>
            </w:r>
            <w:r w:rsidR="00A956D3" w:rsidRPr="00DD0B49">
              <w:rPr>
                <w:rFonts w:cs="Times New Roman"/>
                <w:sz w:val="20"/>
                <w:szCs w:val="20"/>
                <w:lang w:val="en-GB"/>
              </w:rPr>
              <w:t xml:space="preserve"> </w:t>
            </w:r>
            <w:r w:rsidR="00A956D3" w:rsidRPr="00DD0B49">
              <w:rPr>
                <w:rFonts w:cs="Times New Roman"/>
                <w:i/>
                <w:sz w:val="20"/>
                <w:szCs w:val="20"/>
                <w:lang w:val="en-GB"/>
              </w:rPr>
              <w:t>v.</w:t>
            </w:r>
            <w:r w:rsidR="00A956D3" w:rsidRPr="00DD0B49">
              <w:rPr>
                <w:rFonts w:cs="Times New Roman"/>
                <w:sz w:val="20"/>
                <w:szCs w:val="20"/>
                <w:lang w:val="en-GB"/>
              </w:rPr>
              <w:t xml:space="preserve"> </w:t>
            </w:r>
            <w:r>
              <w:rPr>
                <w:rFonts w:cs="Times New Roman"/>
                <w:sz w:val="20"/>
                <w:szCs w:val="20"/>
                <w:lang w:val="en-GB"/>
              </w:rPr>
              <w:t>Br</w:t>
            </w:r>
            <w:r w:rsidR="00A956D3">
              <w:rPr>
                <w:rFonts w:cs="Times New Roman"/>
                <w:sz w:val="20"/>
                <w:szCs w:val="20"/>
                <w:lang w:val="en-GB"/>
              </w:rPr>
              <w:t>a</w:t>
            </w:r>
            <w:r>
              <w:rPr>
                <w:rFonts w:cs="Times New Roman"/>
                <w:sz w:val="20"/>
                <w:szCs w:val="20"/>
                <w:lang w:val="en-GB"/>
              </w:rPr>
              <w:t>m Ent</w:t>
            </w:r>
            <w:r w:rsidR="00A956D3">
              <w:rPr>
                <w:rFonts w:cs="Times New Roman"/>
                <w:sz w:val="20"/>
                <w:szCs w:val="20"/>
                <w:lang w:val="en-GB"/>
              </w:rPr>
              <w:t>er</w:t>
            </w:r>
            <w:r>
              <w:rPr>
                <w:rFonts w:cs="Times New Roman"/>
                <w:sz w:val="20"/>
                <w:szCs w:val="20"/>
                <w:lang w:val="en-GB"/>
              </w:rPr>
              <w:t>prise</w:t>
            </w:r>
            <w:r w:rsidR="00A956D3">
              <w:rPr>
                <w:rFonts w:cs="Times New Roman"/>
                <w:sz w:val="20"/>
                <w:szCs w:val="20"/>
                <w:lang w:val="en-GB"/>
              </w:rPr>
              <w:t>s Ltd.</w:t>
            </w:r>
            <w:r w:rsidR="00A956D3" w:rsidRPr="00DD0B49">
              <w:rPr>
                <w:rFonts w:cs="Times New Roman"/>
                <w:sz w:val="20"/>
                <w:szCs w:val="20"/>
                <w:lang w:val="en-GB"/>
              </w:rPr>
              <w:t>,</w:t>
            </w:r>
          </w:p>
          <w:p w:rsidR="00A956D3" w:rsidRPr="00DD0B49" w:rsidRDefault="00A956D3" w:rsidP="002B056F">
            <w:pPr>
              <w:rPr>
                <w:rFonts w:cs="Times New Roman"/>
                <w:sz w:val="20"/>
                <w:szCs w:val="20"/>
                <w:lang w:val="en-GB"/>
              </w:rPr>
            </w:pPr>
            <w:r w:rsidRPr="00DD0B49">
              <w:rPr>
                <w:rFonts w:cs="Times New Roman"/>
                <w:sz w:val="20"/>
                <w:szCs w:val="20"/>
                <w:lang w:val="en-GB"/>
              </w:rPr>
              <w:t>201</w:t>
            </w:r>
            <w:r w:rsidR="00D7103E">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1</w:t>
            </w:r>
            <w:r w:rsidR="00D7103E">
              <w:rPr>
                <w:rFonts w:cs="Times New Roman"/>
                <w:sz w:val="20"/>
                <w:szCs w:val="20"/>
                <w:lang w:val="en-GB"/>
              </w:rPr>
              <w:t>2</w:t>
            </w:r>
            <w:r w:rsidRPr="00DD0B49">
              <w:rPr>
                <w:rFonts w:cs="Times New Roman"/>
                <w:sz w:val="20"/>
                <w:szCs w:val="20"/>
                <w:lang w:val="en-GB"/>
              </w:rPr>
              <w:t>, [201</w:t>
            </w:r>
            <w:r w:rsidR="00D7103E">
              <w:rPr>
                <w:rFonts w:cs="Times New Roman"/>
                <w:sz w:val="20"/>
                <w:szCs w:val="20"/>
                <w:lang w:val="en-GB"/>
              </w:rPr>
              <w:t>4</w:t>
            </w:r>
            <w:r w:rsidRPr="00DD0B49">
              <w:rPr>
                <w:rFonts w:cs="Times New Roman"/>
                <w:sz w:val="20"/>
                <w:szCs w:val="20"/>
                <w:lang w:val="en-GB"/>
              </w:rPr>
              <w:t xml:space="preserve">] </w:t>
            </w:r>
            <w:r w:rsidR="00D7103E">
              <w:rPr>
                <w:rFonts w:cs="Times New Roman"/>
                <w:sz w:val="20"/>
                <w:szCs w:val="20"/>
                <w:lang w:val="en-GB"/>
              </w:rPr>
              <w:t>1</w:t>
            </w:r>
            <w:r w:rsidRPr="00DD0B49">
              <w:rPr>
                <w:rFonts w:cs="Times New Roman"/>
                <w:sz w:val="20"/>
                <w:szCs w:val="20"/>
                <w:lang w:val="en-GB"/>
              </w:rPr>
              <w:t xml:space="preserve"> S.C.R. </w:t>
            </w:r>
            <w:r>
              <w:rPr>
                <w:rFonts w:cs="Times New Roman"/>
                <w:sz w:val="20"/>
                <w:szCs w:val="20"/>
                <w:lang w:val="en-GB"/>
              </w:rPr>
              <w:t>1</w:t>
            </w:r>
            <w:r w:rsidR="00D7103E">
              <w:rPr>
                <w:rFonts w:cs="Times New Roman"/>
                <w:sz w:val="20"/>
                <w:szCs w:val="20"/>
                <w:lang w:val="en-GB"/>
              </w:rPr>
              <w:t>77</w:t>
            </w:r>
          </w:p>
          <w:p w:rsidR="00A956D3" w:rsidRPr="00DD0B49" w:rsidRDefault="00A956D3" w:rsidP="002B056F">
            <w:pPr>
              <w:rPr>
                <w:rFonts w:cs="Times New Roman"/>
                <w:sz w:val="20"/>
                <w:szCs w:val="20"/>
                <w:lang w:val="en-GB"/>
              </w:rPr>
            </w:pPr>
          </w:p>
          <w:p w:rsidR="00A956D3" w:rsidRPr="00DD0B49" w:rsidRDefault="009D74E5" w:rsidP="002B056F">
            <w:pPr>
              <w:rPr>
                <w:rFonts w:cs="Times New Roman"/>
                <w:sz w:val="20"/>
                <w:szCs w:val="20"/>
                <w:lang w:val="en-GB"/>
              </w:rPr>
            </w:pPr>
            <w:r>
              <w:rPr>
                <w:rFonts w:cs="Times New Roman"/>
                <w:sz w:val="20"/>
                <w:szCs w:val="20"/>
                <w:lang w:val="en-GB"/>
              </w:rPr>
              <w:t xml:space="preserve">Bernard </w:t>
            </w:r>
            <w:r w:rsidR="00A956D3" w:rsidRPr="00DD0B49">
              <w:rPr>
                <w:rFonts w:cs="Times New Roman"/>
                <w:i/>
                <w:iCs/>
                <w:sz w:val="20"/>
                <w:szCs w:val="20"/>
                <w:lang w:val="en-GB"/>
              </w:rPr>
              <w:t>v.</w:t>
            </w:r>
            <w:r w:rsidR="00A956D3" w:rsidRPr="00DD0B49">
              <w:rPr>
                <w:rFonts w:cs="Times New Roman"/>
                <w:iCs/>
                <w:sz w:val="20"/>
                <w:szCs w:val="20"/>
                <w:lang w:val="en-GB"/>
              </w:rPr>
              <w:t xml:space="preserve"> </w:t>
            </w:r>
            <w:r w:rsidR="00A956D3">
              <w:rPr>
                <w:rFonts w:cs="Times New Roman"/>
                <w:iCs/>
                <w:sz w:val="20"/>
                <w:szCs w:val="20"/>
                <w:lang w:val="en-GB"/>
              </w:rPr>
              <w:t>Canada (</w:t>
            </w:r>
            <w:r>
              <w:rPr>
                <w:rFonts w:cs="Times New Roman"/>
                <w:iCs/>
                <w:sz w:val="20"/>
                <w:szCs w:val="20"/>
                <w:lang w:val="en-GB"/>
              </w:rPr>
              <w:t>A</w:t>
            </w:r>
            <w:r w:rsidR="00A956D3">
              <w:rPr>
                <w:rFonts w:cs="Times New Roman"/>
                <w:iCs/>
                <w:sz w:val="20"/>
                <w:szCs w:val="20"/>
                <w:lang w:val="en-GB"/>
              </w:rPr>
              <w:t>t</w:t>
            </w:r>
            <w:r>
              <w:rPr>
                <w:rFonts w:cs="Times New Roman"/>
                <w:iCs/>
                <w:sz w:val="20"/>
                <w:szCs w:val="20"/>
                <w:lang w:val="en-GB"/>
              </w:rPr>
              <w:t>torne</w:t>
            </w:r>
            <w:r w:rsidR="00A956D3">
              <w:rPr>
                <w:rFonts w:cs="Times New Roman"/>
                <w:iCs/>
                <w:sz w:val="20"/>
                <w:szCs w:val="20"/>
                <w:lang w:val="en-GB"/>
              </w:rPr>
              <w:t xml:space="preserve">y </w:t>
            </w:r>
            <w:r>
              <w:rPr>
                <w:rFonts w:cs="Times New Roman"/>
                <w:iCs/>
                <w:sz w:val="20"/>
                <w:szCs w:val="20"/>
                <w:lang w:val="en-GB"/>
              </w:rPr>
              <w:t>Ge</w:t>
            </w:r>
            <w:r w:rsidR="00A956D3">
              <w:rPr>
                <w:rFonts w:cs="Times New Roman"/>
                <w:iCs/>
                <w:sz w:val="20"/>
                <w:szCs w:val="20"/>
                <w:lang w:val="en-GB"/>
              </w:rPr>
              <w:t>ner</w:t>
            </w:r>
            <w:r>
              <w:rPr>
                <w:rFonts w:cs="Times New Roman"/>
                <w:iCs/>
                <w:sz w:val="20"/>
                <w:szCs w:val="20"/>
                <w:lang w:val="en-GB"/>
              </w:rPr>
              <w:t>al</w:t>
            </w:r>
            <w:r w:rsidR="00A956D3">
              <w:rPr>
                <w:rFonts w:cs="Times New Roman"/>
                <w:iCs/>
                <w:sz w:val="20"/>
                <w:szCs w:val="20"/>
                <w:lang w:val="en-GB"/>
              </w:rPr>
              <w:t>)</w:t>
            </w:r>
            <w:r w:rsidR="00A956D3" w:rsidRPr="00DD0B49">
              <w:rPr>
                <w:rFonts w:cs="Times New Roman"/>
                <w:sz w:val="20"/>
                <w:szCs w:val="20"/>
                <w:lang w:val="en-GB"/>
              </w:rPr>
              <w:t>,</w:t>
            </w:r>
          </w:p>
          <w:p w:rsidR="00A956D3" w:rsidRPr="00DD0B49" w:rsidRDefault="00A956D3" w:rsidP="002B056F">
            <w:pPr>
              <w:rPr>
                <w:rFonts w:cs="Times New Roman"/>
                <w:sz w:val="20"/>
                <w:szCs w:val="20"/>
                <w:lang w:val="en-GB"/>
              </w:rPr>
            </w:pPr>
            <w:r w:rsidRPr="00DD0B49">
              <w:rPr>
                <w:rFonts w:cs="Times New Roman"/>
                <w:sz w:val="20"/>
                <w:szCs w:val="20"/>
                <w:lang w:val="en-GB"/>
              </w:rPr>
              <w:t>201</w:t>
            </w:r>
            <w:r w:rsidR="00D7103E">
              <w:rPr>
                <w:rFonts w:cs="Times New Roman"/>
                <w:sz w:val="20"/>
                <w:szCs w:val="20"/>
                <w:lang w:val="en-GB"/>
              </w:rPr>
              <w:t>4</w:t>
            </w:r>
            <w:r w:rsidRPr="00DD0B49">
              <w:rPr>
                <w:rFonts w:cs="Times New Roman"/>
                <w:sz w:val="20"/>
                <w:szCs w:val="20"/>
                <w:lang w:val="en-GB"/>
              </w:rPr>
              <w:t xml:space="preserve"> SCC </w:t>
            </w:r>
            <w:r w:rsidR="009D74E5">
              <w:rPr>
                <w:rFonts w:cs="Times New Roman"/>
                <w:sz w:val="20"/>
                <w:szCs w:val="20"/>
                <w:lang w:val="en-GB"/>
              </w:rPr>
              <w:t>13</w:t>
            </w:r>
            <w:r w:rsidRPr="00DD0B49">
              <w:rPr>
                <w:rFonts w:cs="Times New Roman"/>
                <w:sz w:val="20"/>
                <w:szCs w:val="20"/>
                <w:lang w:val="en-GB"/>
              </w:rPr>
              <w:t>, [201</w:t>
            </w:r>
            <w:r w:rsidR="00D7103E">
              <w:rPr>
                <w:rFonts w:cs="Times New Roman"/>
                <w:sz w:val="20"/>
                <w:szCs w:val="20"/>
                <w:lang w:val="en-GB"/>
              </w:rPr>
              <w:t>4</w:t>
            </w:r>
            <w:r w:rsidRPr="00DD0B49">
              <w:rPr>
                <w:rFonts w:cs="Times New Roman"/>
                <w:sz w:val="20"/>
                <w:szCs w:val="20"/>
                <w:lang w:val="en-GB"/>
              </w:rPr>
              <w:t xml:space="preserve">] </w:t>
            </w:r>
            <w:r w:rsidR="00D7103E">
              <w:rPr>
                <w:rFonts w:cs="Times New Roman"/>
                <w:sz w:val="20"/>
                <w:szCs w:val="20"/>
                <w:lang w:val="en-GB"/>
              </w:rPr>
              <w:t>1</w:t>
            </w:r>
            <w:r w:rsidRPr="00DD0B49">
              <w:rPr>
                <w:rFonts w:cs="Times New Roman"/>
                <w:sz w:val="20"/>
                <w:szCs w:val="20"/>
                <w:lang w:val="en-GB"/>
              </w:rPr>
              <w:t xml:space="preserve"> S.C.R. </w:t>
            </w:r>
            <w:r w:rsidR="009D74E5">
              <w:rPr>
                <w:rFonts w:cs="Times New Roman"/>
                <w:sz w:val="20"/>
                <w:szCs w:val="20"/>
                <w:lang w:val="en-GB"/>
              </w:rPr>
              <w:t>22</w:t>
            </w:r>
            <w:r>
              <w:rPr>
                <w:rFonts w:cs="Times New Roman"/>
                <w:sz w:val="20"/>
                <w:szCs w:val="20"/>
                <w:lang w:val="en-GB"/>
              </w:rPr>
              <w:t>7</w:t>
            </w:r>
          </w:p>
          <w:p w:rsidR="00A956D3" w:rsidRPr="00DD0B49" w:rsidRDefault="00A956D3" w:rsidP="002B056F">
            <w:pPr>
              <w:rPr>
                <w:rFonts w:cs="Times New Roman"/>
                <w:iCs/>
                <w:sz w:val="20"/>
                <w:szCs w:val="20"/>
                <w:lang w:val="en-GB"/>
              </w:rPr>
            </w:pPr>
          </w:p>
          <w:p w:rsidR="00A956D3" w:rsidRPr="00DD0B49" w:rsidRDefault="009D74E5" w:rsidP="002B056F">
            <w:pPr>
              <w:rPr>
                <w:rFonts w:cs="Times New Roman"/>
                <w:iCs/>
                <w:sz w:val="20"/>
                <w:szCs w:val="20"/>
                <w:lang w:val="en-GB"/>
              </w:rPr>
            </w:pPr>
            <w:r>
              <w:rPr>
                <w:rFonts w:cs="Times New Roman"/>
                <w:iCs/>
                <w:sz w:val="20"/>
                <w:szCs w:val="20"/>
                <w:lang w:val="en-GB"/>
              </w:rPr>
              <w:t>Bruno Applia</w:t>
            </w:r>
            <w:r w:rsidR="00A956D3">
              <w:rPr>
                <w:rFonts w:cs="Times New Roman"/>
                <w:iCs/>
                <w:sz w:val="20"/>
                <w:szCs w:val="20"/>
                <w:lang w:val="en-GB"/>
              </w:rPr>
              <w:t>n</w:t>
            </w:r>
            <w:r>
              <w:rPr>
                <w:rFonts w:cs="Times New Roman"/>
                <w:iCs/>
                <w:sz w:val="20"/>
                <w:szCs w:val="20"/>
                <w:lang w:val="en-GB"/>
              </w:rPr>
              <w:t>ce and Fu</w:t>
            </w:r>
            <w:r w:rsidR="00A956D3">
              <w:rPr>
                <w:rFonts w:cs="Times New Roman"/>
                <w:iCs/>
                <w:sz w:val="20"/>
                <w:szCs w:val="20"/>
                <w:lang w:val="en-GB"/>
              </w:rPr>
              <w:t>r</w:t>
            </w:r>
            <w:r>
              <w:rPr>
                <w:rFonts w:cs="Times New Roman"/>
                <w:iCs/>
                <w:sz w:val="20"/>
                <w:szCs w:val="20"/>
                <w:lang w:val="en-GB"/>
              </w:rPr>
              <w:t>n</w:t>
            </w:r>
            <w:r w:rsidR="00A956D3">
              <w:rPr>
                <w:rFonts w:cs="Times New Roman"/>
                <w:iCs/>
                <w:sz w:val="20"/>
                <w:szCs w:val="20"/>
                <w:lang w:val="en-GB"/>
              </w:rPr>
              <w:t>it</w:t>
            </w:r>
            <w:r>
              <w:rPr>
                <w:rFonts w:cs="Times New Roman"/>
                <w:iCs/>
                <w:sz w:val="20"/>
                <w:szCs w:val="20"/>
                <w:lang w:val="en-GB"/>
              </w:rPr>
              <w:t>ure, Inc.</w:t>
            </w:r>
            <w:r w:rsidR="00A956D3">
              <w:rPr>
                <w:rFonts w:cs="Times New Roman"/>
                <w:iCs/>
                <w:sz w:val="20"/>
                <w:szCs w:val="20"/>
                <w:lang w:val="en-GB"/>
              </w:rPr>
              <w:t xml:space="preserve"> </w:t>
            </w:r>
            <w:r w:rsidR="00A956D3" w:rsidRPr="00DD0B49">
              <w:rPr>
                <w:rFonts w:cs="Times New Roman"/>
                <w:i/>
                <w:iCs/>
                <w:sz w:val="20"/>
                <w:szCs w:val="20"/>
                <w:lang w:val="en-GB"/>
              </w:rPr>
              <w:t>v.</w:t>
            </w:r>
            <w:r w:rsidR="00A956D3" w:rsidRPr="00DD0B49">
              <w:rPr>
                <w:rFonts w:cs="Times New Roman"/>
                <w:iCs/>
                <w:sz w:val="20"/>
                <w:szCs w:val="20"/>
                <w:lang w:val="en-GB"/>
              </w:rPr>
              <w:t xml:space="preserve"> </w:t>
            </w:r>
            <w:r>
              <w:rPr>
                <w:rFonts w:cs="Times New Roman"/>
                <w:iCs/>
                <w:sz w:val="20"/>
                <w:szCs w:val="20"/>
                <w:lang w:val="en-GB"/>
              </w:rPr>
              <w:t>Hryni</w:t>
            </w:r>
            <w:r w:rsidR="00A956D3">
              <w:rPr>
                <w:rFonts w:cs="Times New Roman"/>
                <w:iCs/>
                <w:sz w:val="20"/>
                <w:szCs w:val="20"/>
                <w:lang w:val="en-GB"/>
              </w:rPr>
              <w:t>a</w:t>
            </w:r>
            <w:r>
              <w:rPr>
                <w:rFonts w:cs="Times New Roman"/>
                <w:iCs/>
                <w:sz w:val="20"/>
                <w:szCs w:val="20"/>
                <w:lang w:val="en-GB"/>
              </w:rPr>
              <w:t>k</w:t>
            </w:r>
            <w:r w:rsidR="00A956D3" w:rsidRPr="00DD0B49">
              <w:rPr>
                <w:rFonts w:cs="Times New Roman"/>
                <w:iCs/>
                <w:sz w:val="20"/>
                <w:szCs w:val="20"/>
                <w:lang w:val="en-GB"/>
              </w:rPr>
              <w:t>,</w:t>
            </w:r>
          </w:p>
          <w:p w:rsidR="00A956D3" w:rsidRPr="00DD0B49" w:rsidRDefault="00A956D3" w:rsidP="002B056F">
            <w:pPr>
              <w:rPr>
                <w:rFonts w:cs="Times New Roman"/>
                <w:sz w:val="20"/>
                <w:szCs w:val="20"/>
                <w:lang w:val="en-GB"/>
              </w:rPr>
            </w:pPr>
            <w:r w:rsidRPr="00DD0B49">
              <w:rPr>
                <w:rFonts w:cs="Times New Roman"/>
                <w:sz w:val="20"/>
                <w:szCs w:val="20"/>
                <w:lang w:val="en-GB"/>
              </w:rPr>
              <w:t>201</w:t>
            </w:r>
            <w:r w:rsidR="00D7103E">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8</w:t>
            </w:r>
            <w:r w:rsidRPr="00DD0B49">
              <w:rPr>
                <w:rFonts w:cs="Times New Roman"/>
                <w:sz w:val="20"/>
                <w:szCs w:val="20"/>
                <w:lang w:val="en-GB"/>
              </w:rPr>
              <w:t>, [201</w:t>
            </w:r>
            <w:r w:rsidR="00D7103E">
              <w:rPr>
                <w:rFonts w:cs="Times New Roman"/>
                <w:sz w:val="20"/>
                <w:szCs w:val="20"/>
                <w:lang w:val="en-GB"/>
              </w:rPr>
              <w:t>4</w:t>
            </w:r>
            <w:r w:rsidRPr="00DD0B49">
              <w:rPr>
                <w:rFonts w:cs="Times New Roman"/>
                <w:sz w:val="20"/>
                <w:szCs w:val="20"/>
                <w:lang w:val="en-GB"/>
              </w:rPr>
              <w:t xml:space="preserve">] </w:t>
            </w:r>
            <w:r w:rsidR="00D7103E">
              <w:rPr>
                <w:rFonts w:cs="Times New Roman"/>
                <w:sz w:val="20"/>
                <w:szCs w:val="20"/>
                <w:lang w:val="en-GB"/>
              </w:rPr>
              <w:t>1</w:t>
            </w:r>
            <w:r w:rsidRPr="00DD0B49">
              <w:rPr>
                <w:rFonts w:cs="Times New Roman"/>
                <w:sz w:val="20"/>
                <w:szCs w:val="20"/>
                <w:lang w:val="en-GB"/>
              </w:rPr>
              <w:t xml:space="preserve"> S.C.R. </w:t>
            </w:r>
            <w:r>
              <w:rPr>
                <w:rFonts w:cs="Times New Roman"/>
                <w:sz w:val="20"/>
                <w:szCs w:val="20"/>
                <w:lang w:val="en-GB"/>
              </w:rPr>
              <w:t>1</w:t>
            </w:r>
            <w:r w:rsidR="009D74E5">
              <w:rPr>
                <w:rFonts w:cs="Times New Roman"/>
                <w:sz w:val="20"/>
                <w:szCs w:val="20"/>
                <w:lang w:val="en-GB"/>
              </w:rPr>
              <w:t>26</w:t>
            </w:r>
          </w:p>
          <w:p w:rsidR="00A956D3" w:rsidRPr="00DD0B49" w:rsidRDefault="00A956D3" w:rsidP="002B056F">
            <w:pPr>
              <w:rPr>
                <w:rFonts w:cs="Times New Roman"/>
                <w:sz w:val="20"/>
                <w:szCs w:val="20"/>
                <w:lang w:val="en-GB"/>
              </w:rPr>
            </w:pPr>
          </w:p>
          <w:p w:rsidR="00A956D3" w:rsidRPr="00DD0B49" w:rsidRDefault="00AD191E" w:rsidP="002B056F">
            <w:pPr>
              <w:rPr>
                <w:rFonts w:cs="Times New Roman"/>
                <w:sz w:val="20"/>
                <w:szCs w:val="20"/>
                <w:lang w:val="en-GB"/>
              </w:rPr>
            </w:pPr>
            <w:r>
              <w:rPr>
                <w:rFonts w:cs="Times New Roman"/>
                <w:iCs/>
                <w:sz w:val="20"/>
                <w:szCs w:val="20"/>
                <w:lang w:val="en-GB"/>
              </w:rPr>
              <w:t>Hryniak</w:t>
            </w:r>
            <w:r w:rsidR="00A956D3" w:rsidRPr="00DD0B49">
              <w:rPr>
                <w:rFonts w:cs="Times New Roman"/>
                <w:sz w:val="20"/>
                <w:szCs w:val="20"/>
                <w:lang w:val="en-GB"/>
              </w:rPr>
              <w:t xml:space="preserve"> </w:t>
            </w:r>
            <w:r w:rsidR="00A956D3" w:rsidRPr="00DD0B49">
              <w:rPr>
                <w:rFonts w:cs="Times New Roman"/>
                <w:i/>
                <w:iCs/>
                <w:sz w:val="20"/>
                <w:szCs w:val="20"/>
                <w:lang w:val="en-GB"/>
              </w:rPr>
              <w:t>v.</w:t>
            </w:r>
            <w:r w:rsidR="00A956D3" w:rsidRPr="00DD0B49">
              <w:rPr>
                <w:rFonts w:cs="Times New Roman"/>
                <w:sz w:val="20"/>
                <w:szCs w:val="20"/>
                <w:lang w:val="en-GB"/>
              </w:rPr>
              <w:t xml:space="preserve"> </w:t>
            </w:r>
            <w:r>
              <w:rPr>
                <w:rFonts w:cs="Times New Roman"/>
                <w:sz w:val="20"/>
                <w:szCs w:val="20"/>
                <w:lang w:val="en-GB"/>
              </w:rPr>
              <w:t>M</w:t>
            </w:r>
            <w:r w:rsidR="00A956D3">
              <w:rPr>
                <w:rFonts w:cs="Times New Roman"/>
                <w:sz w:val="20"/>
                <w:szCs w:val="20"/>
                <w:lang w:val="en-GB"/>
              </w:rPr>
              <w:t>a</w:t>
            </w:r>
            <w:r>
              <w:rPr>
                <w:rFonts w:cs="Times New Roman"/>
                <w:sz w:val="20"/>
                <w:szCs w:val="20"/>
                <w:lang w:val="en-GB"/>
              </w:rPr>
              <w:t>uldi</w:t>
            </w:r>
            <w:r w:rsidR="00A956D3">
              <w:rPr>
                <w:rFonts w:cs="Times New Roman"/>
                <w:sz w:val="20"/>
                <w:szCs w:val="20"/>
                <w:lang w:val="en-GB"/>
              </w:rPr>
              <w:t>n</w:t>
            </w:r>
            <w:r w:rsidR="00A956D3" w:rsidRPr="00DD0B49">
              <w:rPr>
                <w:rFonts w:cs="Times New Roman"/>
                <w:sz w:val="20"/>
                <w:szCs w:val="20"/>
                <w:lang w:val="en-GB"/>
              </w:rPr>
              <w:t>,</w:t>
            </w:r>
          </w:p>
          <w:p w:rsidR="00A956D3" w:rsidRPr="00213156" w:rsidRDefault="00A956D3" w:rsidP="002B056F">
            <w:pPr>
              <w:rPr>
                <w:rFonts w:cs="Times New Roman"/>
                <w:sz w:val="20"/>
                <w:szCs w:val="20"/>
                <w:lang w:val="fr-CA"/>
              </w:rPr>
            </w:pPr>
            <w:r w:rsidRPr="00213156">
              <w:rPr>
                <w:rFonts w:cs="Times New Roman"/>
                <w:sz w:val="20"/>
                <w:szCs w:val="20"/>
                <w:lang w:val="fr-CA"/>
              </w:rPr>
              <w:t>201</w:t>
            </w:r>
            <w:r w:rsidR="00D7103E" w:rsidRPr="00213156">
              <w:rPr>
                <w:rFonts w:cs="Times New Roman"/>
                <w:sz w:val="20"/>
                <w:szCs w:val="20"/>
                <w:lang w:val="fr-CA"/>
              </w:rPr>
              <w:t>4</w:t>
            </w:r>
            <w:r w:rsidRPr="00213156">
              <w:rPr>
                <w:rFonts w:cs="Times New Roman"/>
                <w:sz w:val="20"/>
                <w:szCs w:val="20"/>
                <w:lang w:val="fr-CA"/>
              </w:rPr>
              <w:t xml:space="preserve"> SCC </w:t>
            </w:r>
            <w:r w:rsidR="00AD191E" w:rsidRPr="00213156">
              <w:rPr>
                <w:rFonts w:cs="Times New Roman"/>
                <w:sz w:val="20"/>
                <w:szCs w:val="20"/>
                <w:lang w:val="fr-CA"/>
              </w:rPr>
              <w:t>7</w:t>
            </w:r>
            <w:r w:rsidRPr="00213156">
              <w:rPr>
                <w:rFonts w:cs="Times New Roman"/>
                <w:sz w:val="20"/>
                <w:szCs w:val="20"/>
                <w:lang w:val="fr-CA"/>
              </w:rPr>
              <w:t>, [201</w:t>
            </w:r>
            <w:r w:rsidR="00D7103E" w:rsidRPr="00213156">
              <w:rPr>
                <w:rFonts w:cs="Times New Roman"/>
                <w:sz w:val="20"/>
                <w:szCs w:val="20"/>
                <w:lang w:val="fr-CA"/>
              </w:rPr>
              <w:t>4</w:t>
            </w:r>
            <w:r w:rsidRPr="00213156">
              <w:rPr>
                <w:rFonts w:cs="Times New Roman"/>
                <w:sz w:val="20"/>
                <w:szCs w:val="20"/>
                <w:lang w:val="fr-CA"/>
              </w:rPr>
              <w:t xml:space="preserve">] </w:t>
            </w:r>
            <w:r w:rsidR="00D7103E" w:rsidRPr="00213156">
              <w:rPr>
                <w:rFonts w:cs="Times New Roman"/>
                <w:sz w:val="20"/>
                <w:szCs w:val="20"/>
                <w:lang w:val="fr-CA"/>
              </w:rPr>
              <w:t>1</w:t>
            </w:r>
            <w:r w:rsidRPr="00213156">
              <w:rPr>
                <w:rFonts w:cs="Times New Roman"/>
                <w:sz w:val="20"/>
                <w:szCs w:val="20"/>
                <w:lang w:val="fr-CA"/>
              </w:rPr>
              <w:t xml:space="preserve"> S.C.R. </w:t>
            </w:r>
            <w:r w:rsidR="00AD191E" w:rsidRPr="00213156">
              <w:rPr>
                <w:rFonts w:cs="Times New Roman"/>
                <w:sz w:val="20"/>
                <w:szCs w:val="20"/>
                <w:lang w:val="fr-CA"/>
              </w:rPr>
              <w:t>87</w:t>
            </w:r>
          </w:p>
          <w:p w:rsidR="00A956D3" w:rsidRPr="00213156" w:rsidRDefault="00A956D3" w:rsidP="002B056F">
            <w:pPr>
              <w:rPr>
                <w:rFonts w:cs="Times New Roman"/>
                <w:sz w:val="20"/>
                <w:szCs w:val="20"/>
                <w:lang w:val="fr-CA"/>
              </w:rPr>
            </w:pPr>
          </w:p>
          <w:p w:rsidR="00A956D3" w:rsidRPr="00AD191E" w:rsidRDefault="00AD191E" w:rsidP="002B056F">
            <w:pPr>
              <w:rPr>
                <w:rFonts w:cs="Times New Roman"/>
                <w:sz w:val="20"/>
                <w:szCs w:val="20"/>
                <w:lang w:val="fr-CA"/>
              </w:rPr>
            </w:pPr>
            <w:r w:rsidRPr="00AD191E">
              <w:rPr>
                <w:rFonts w:cs="Times New Roman"/>
                <w:sz w:val="20"/>
                <w:szCs w:val="20"/>
                <w:lang w:val="fr-CA"/>
              </w:rPr>
              <w:t xml:space="preserve">R. </w:t>
            </w:r>
            <w:r w:rsidRPr="00AD191E">
              <w:rPr>
                <w:rFonts w:cs="Times New Roman"/>
                <w:i/>
                <w:iCs/>
                <w:sz w:val="20"/>
                <w:szCs w:val="20"/>
                <w:lang w:val="fr-CA"/>
              </w:rPr>
              <w:t>v</w:t>
            </w:r>
            <w:r w:rsidRPr="00AD191E">
              <w:rPr>
                <w:rFonts w:cs="Times New Roman"/>
                <w:sz w:val="20"/>
                <w:szCs w:val="20"/>
                <w:lang w:val="fr-CA"/>
              </w:rPr>
              <w:t>. Auclair</w:t>
            </w:r>
            <w:r w:rsidR="00A956D3" w:rsidRPr="00AD191E">
              <w:rPr>
                <w:rFonts w:cs="Times New Roman"/>
                <w:sz w:val="20"/>
                <w:szCs w:val="20"/>
                <w:lang w:val="fr-CA"/>
              </w:rPr>
              <w:t>,</w:t>
            </w:r>
          </w:p>
          <w:p w:rsidR="00A956D3" w:rsidRPr="00AD191E" w:rsidRDefault="00A956D3" w:rsidP="002B056F">
            <w:pPr>
              <w:rPr>
                <w:rFonts w:cs="Times New Roman"/>
                <w:sz w:val="20"/>
                <w:szCs w:val="20"/>
                <w:lang w:val="fr-CA"/>
              </w:rPr>
            </w:pPr>
            <w:r w:rsidRPr="00AD191E">
              <w:rPr>
                <w:rFonts w:cs="Times New Roman"/>
                <w:sz w:val="20"/>
                <w:szCs w:val="20"/>
                <w:lang w:val="fr-CA"/>
              </w:rPr>
              <w:t>201</w:t>
            </w:r>
            <w:r w:rsidR="00D7103E" w:rsidRPr="00AD191E">
              <w:rPr>
                <w:rFonts w:cs="Times New Roman"/>
                <w:sz w:val="20"/>
                <w:szCs w:val="20"/>
                <w:lang w:val="fr-CA"/>
              </w:rPr>
              <w:t>4</w:t>
            </w:r>
            <w:r w:rsidRPr="00AD191E">
              <w:rPr>
                <w:rFonts w:cs="Times New Roman"/>
                <w:sz w:val="20"/>
                <w:szCs w:val="20"/>
                <w:lang w:val="fr-CA"/>
              </w:rPr>
              <w:t xml:space="preserve"> SCC </w:t>
            </w:r>
            <w:r w:rsidR="00AD191E" w:rsidRPr="00AD191E">
              <w:rPr>
                <w:rFonts w:cs="Times New Roman"/>
                <w:sz w:val="20"/>
                <w:szCs w:val="20"/>
                <w:lang w:val="fr-CA"/>
              </w:rPr>
              <w:t>6</w:t>
            </w:r>
            <w:r w:rsidRPr="00AD191E">
              <w:rPr>
                <w:rFonts w:cs="Times New Roman"/>
                <w:sz w:val="20"/>
                <w:szCs w:val="20"/>
                <w:lang w:val="fr-CA"/>
              </w:rPr>
              <w:t>, [201</w:t>
            </w:r>
            <w:r w:rsidR="00D7103E" w:rsidRPr="00AD191E">
              <w:rPr>
                <w:rFonts w:cs="Times New Roman"/>
                <w:sz w:val="20"/>
                <w:szCs w:val="20"/>
                <w:lang w:val="fr-CA"/>
              </w:rPr>
              <w:t>4</w:t>
            </w:r>
            <w:r w:rsidRPr="00AD191E">
              <w:rPr>
                <w:rFonts w:cs="Times New Roman"/>
                <w:sz w:val="20"/>
                <w:szCs w:val="20"/>
                <w:lang w:val="fr-CA"/>
              </w:rPr>
              <w:t xml:space="preserve">] </w:t>
            </w:r>
            <w:r w:rsidR="00D7103E" w:rsidRPr="00AD191E">
              <w:rPr>
                <w:rFonts w:cs="Times New Roman"/>
                <w:sz w:val="20"/>
                <w:szCs w:val="20"/>
                <w:lang w:val="fr-CA"/>
              </w:rPr>
              <w:t>1</w:t>
            </w:r>
            <w:r w:rsidRPr="00AD191E">
              <w:rPr>
                <w:rFonts w:cs="Times New Roman"/>
                <w:sz w:val="20"/>
                <w:szCs w:val="20"/>
                <w:lang w:val="fr-CA"/>
              </w:rPr>
              <w:t xml:space="preserve"> S.C.R. </w:t>
            </w:r>
            <w:r w:rsidR="00AD191E" w:rsidRPr="00AD191E">
              <w:rPr>
                <w:rFonts w:cs="Times New Roman"/>
                <w:sz w:val="20"/>
                <w:szCs w:val="20"/>
                <w:lang w:val="fr-CA"/>
              </w:rPr>
              <w:t>8</w:t>
            </w:r>
            <w:r w:rsidRPr="00AD191E">
              <w:rPr>
                <w:rFonts w:cs="Times New Roman"/>
                <w:sz w:val="20"/>
                <w:szCs w:val="20"/>
                <w:lang w:val="fr-CA"/>
              </w:rPr>
              <w:t>3</w:t>
            </w:r>
          </w:p>
          <w:p w:rsidR="00A956D3" w:rsidRPr="00AD191E" w:rsidRDefault="00A956D3" w:rsidP="002B056F">
            <w:pPr>
              <w:rPr>
                <w:rFonts w:cs="Times New Roman"/>
                <w:sz w:val="20"/>
                <w:szCs w:val="20"/>
                <w:lang w:val="fr-CA"/>
              </w:rPr>
            </w:pPr>
          </w:p>
          <w:p w:rsidR="00A956D3" w:rsidRPr="00AD191E" w:rsidRDefault="00AD191E" w:rsidP="002B056F">
            <w:pPr>
              <w:rPr>
                <w:rFonts w:cs="Times New Roman"/>
                <w:sz w:val="20"/>
                <w:szCs w:val="20"/>
                <w:lang w:val="fr-CA"/>
              </w:rPr>
            </w:pPr>
            <w:r w:rsidRPr="00AD191E">
              <w:rPr>
                <w:rFonts w:cs="Times New Roman"/>
                <w:sz w:val="20"/>
                <w:szCs w:val="20"/>
                <w:lang w:val="fr-CA"/>
              </w:rPr>
              <w:t xml:space="preserve">R. </w:t>
            </w:r>
            <w:r w:rsidRPr="00AD191E">
              <w:rPr>
                <w:rFonts w:cs="Times New Roman"/>
                <w:i/>
                <w:iCs/>
                <w:sz w:val="20"/>
                <w:szCs w:val="20"/>
                <w:lang w:val="fr-CA"/>
              </w:rPr>
              <w:t>v</w:t>
            </w:r>
            <w:r w:rsidRPr="00AD191E">
              <w:rPr>
                <w:rFonts w:cs="Times New Roman"/>
                <w:sz w:val="20"/>
                <w:szCs w:val="20"/>
                <w:lang w:val="fr-CA"/>
              </w:rPr>
              <w:t>. Davis</w:t>
            </w:r>
            <w:r w:rsidR="00A956D3" w:rsidRPr="00AD191E">
              <w:rPr>
                <w:rFonts w:cs="Times New Roman"/>
                <w:sz w:val="20"/>
                <w:szCs w:val="20"/>
                <w:lang w:val="fr-CA"/>
              </w:rPr>
              <w:t>,</w:t>
            </w:r>
          </w:p>
          <w:p w:rsidR="00A956D3" w:rsidRPr="00AD191E" w:rsidRDefault="00A956D3" w:rsidP="002B056F">
            <w:pPr>
              <w:rPr>
                <w:rFonts w:cs="Times New Roman"/>
                <w:sz w:val="20"/>
                <w:szCs w:val="20"/>
                <w:lang w:val="fr-CA"/>
              </w:rPr>
            </w:pPr>
            <w:r w:rsidRPr="00AD191E">
              <w:rPr>
                <w:rFonts w:cs="Times New Roman"/>
                <w:sz w:val="20"/>
                <w:szCs w:val="20"/>
                <w:lang w:val="fr-CA"/>
              </w:rPr>
              <w:t>201</w:t>
            </w:r>
            <w:r w:rsidR="00D7103E" w:rsidRPr="00AD191E">
              <w:rPr>
                <w:rFonts w:cs="Times New Roman"/>
                <w:sz w:val="20"/>
                <w:szCs w:val="20"/>
                <w:lang w:val="fr-CA"/>
              </w:rPr>
              <w:t>4</w:t>
            </w:r>
            <w:r w:rsidRPr="00AD191E">
              <w:rPr>
                <w:rFonts w:cs="Times New Roman"/>
                <w:sz w:val="20"/>
                <w:szCs w:val="20"/>
                <w:lang w:val="fr-CA"/>
              </w:rPr>
              <w:t xml:space="preserve"> SCC 4, [201</w:t>
            </w:r>
            <w:r w:rsidR="00D7103E" w:rsidRPr="00AD191E">
              <w:rPr>
                <w:rFonts w:cs="Times New Roman"/>
                <w:sz w:val="20"/>
                <w:szCs w:val="20"/>
                <w:lang w:val="fr-CA"/>
              </w:rPr>
              <w:t>4</w:t>
            </w:r>
            <w:r w:rsidRPr="00AD191E">
              <w:rPr>
                <w:rFonts w:cs="Times New Roman"/>
                <w:sz w:val="20"/>
                <w:szCs w:val="20"/>
                <w:lang w:val="fr-CA"/>
              </w:rPr>
              <w:t xml:space="preserve">] </w:t>
            </w:r>
            <w:r w:rsidR="00D7103E" w:rsidRPr="00AD191E">
              <w:rPr>
                <w:rFonts w:cs="Times New Roman"/>
                <w:sz w:val="20"/>
                <w:szCs w:val="20"/>
                <w:lang w:val="fr-CA"/>
              </w:rPr>
              <w:t>1</w:t>
            </w:r>
            <w:r w:rsidRPr="00AD191E">
              <w:rPr>
                <w:rFonts w:cs="Times New Roman"/>
                <w:sz w:val="20"/>
                <w:szCs w:val="20"/>
                <w:lang w:val="fr-CA"/>
              </w:rPr>
              <w:t xml:space="preserve"> S.C.R. </w:t>
            </w:r>
            <w:r w:rsidR="00AD191E" w:rsidRPr="00AD191E">
              <w:rPr>
                <w:rFonts w:cs="Times New Roman"/>
                <w:sz w:val="20"/>
                <w:szCs w:val="20"/>
                <w:lang w:val="fr-CA"/>
              </w:rPr>
              <w:t>78</w:t>
            </w:r>
          </w:p>
          <w:p w:rsidR="00A956D3" w:rsidRPr="00AD191E" w:rsidRDefault="00A956D3" w:rsidP="002B056F">
            <w:pPr>
              <w:rPr>
                <w:rFonts w:cs="Times New Roman"/>
                <w:sz w:val="20"/>
                <w:szCs w:val="20"/>
                <w:lang w:val="fr-CA"/>
              </w:rPr>
            </w:pPr>
          </w:p>
          <w:p w:rsidR="00A956D3" w:rsidRPr="00AD191E" w:rsidRDefault="00AD191E" w:rsidP="002B056F">
            <w:pPr>
              <w:rPr>
                <w:rFonts w:cs="Times New Roman"/>
                <w:sz w:val="20"/>
                <w:szCs w:val="20"/>
                <w:lang w:val="fr-CA"/>
              </w:rPr>
            </w:pPr>
            <w:r w:rsidRPr="00AD191E">
              <w:rPr>
                <w:rFonts w:cs="Times New Roman"/>
                <w:sz w:val="20"/>
                <w:szCs w:val="20"/>
                <w:lang w:val="fr-CA"/>
              </w:rPr>
              <w:t xml:space="preserve">R. </w:t>
            </w:r>
            <w:r w:rsidRPr="00AD191E">
              <w:rPr>
                <w:rFonts w:cs="Times New Roman"/>
                <w:i/>
                <w:iCs/>
                <w:sz w:val="20"/>
                <w:szCs w:val="20"/>
                <w:lang w:val="fr-CA"/>
              </w:rPr>
              <w:t>v</w:t>
            </w:r>
            <w:r w:rsidRPr="00AD191E">
              <w:rPr>
                <w:rFonts w:cs="Times New Roman"/>
                <w:sz w:val="20"/>
                <w:szCs w:val="20"/>
                <w:lang w:val="fr-CA"/>
              </w:rPr>
              <w:t>. F</w:t>
            </w:r>
            <w:r w:rsidR="00A956D3" w:rsidRPr="00AD191E">
              <w:rPr>
                <w:rFonts w:cs="Times New Roman"/>
                <w:sz w:val="20"/>
                <w:szCs w:val="20"/>
                <w:lang w:val="fr-CA"/>
              </w:rPr>
              <w:t>l</w:t>
            </w:r>
            <w:r w:rsidRPr="00AD191E">
              <w:rPr>
                <w:rFonts w:cs="Times New Roman"/>
                <w:sz w:val="20"/>
                <w:szCs w:val="20"/>
                <w:lang w:val="fr-CA"/>
              </w:rPr>
              <w:t>aviano</w:t>
            </w:r>
            <w:r w:rsidR="00A956D3" w:rsidRPr="00AD191E">
              <w:rPr>
                <w:rFonts w:cs="Times New Roman"/>
                <w:sz w:val="20"/>
                <w:szCs w:val="20"/>
                <w:lang w:val="fr-CA"/>
              </w:rPr>
              <w:t>,</w:t>
            </w:r>
          </w:p>
          <w:p w:rsidR="00A956D3" w:rsidRPr="00AD191E" w:rsidRDefault="00A956D3" w:rsidP="002B056F">
            <w:pPr>
              <w:rPr>
                <w:rFonts w:cs="Times New Roman"/>
                <w:sz w:val="20"/>
                <w:szCs w:val="20"/>
                <w:lang w:val="fr-CA"/>
              </w:rPr>
            </w:pPr>
            <w:r w:rsidRPr="00AD191E">
              <w:rPr>
                <w:rFonts w:cs="Times New Roman"/>
                <w:sz w:val="20"/>
                <w:szCs w:val="20"/>
                <w:lang w:val="fr-CA"/>
              </w:rPr>
              <w:t>201</w:t>
            </w:r>
            <w:r w:rsidR="00D7103E" w:rsidRPr="00AD191E">
              <w:rPr>
                <w:rFonts w:cs="Times New Roman"/>
                <w:sz w:val="20"/>
                <w:szCs w:val="20"/>
                <w:lang w:val="fr-CA"/>
              </w:rPr>
              <w:t>4</w:t>
            </w:r>
            <w:r w:rsidRPr="00AD191E">
              <w:rPr>
                <w:rFonts w:cs="Times New Roman"/>
                <w:sz w:val="20"/>
                <w:szCs w:val="20"/>
                <w:lang w:val="fr-CA"/>
              </w:rPr>
              <w:t xml:space="preserve"> SCC </w:t>
            </w:r>
            <w:r w:rsidR="00AD191E" w:rsidRPr="00AD191E">
              <w:rPr>
                <w:rFonts w:cs="Times New Roman"/>
                <w:sz w:val="20"/>
                <w:szCs w:val="20"/>
                <w:lang w:val="fr-CA"/>
              </w:rPr>
              <w:t>1</w:t>
            </w:r>
            <w:r w:rsidRPr="00AD191E">
              <w:rPr>
                <w:rFonts w:cs="Times New Roman"/>
                <w:sz w:val="20"/>
                <w:szCs w:val="20"/>
                <w:lang w:val="fr-CA"/>
              </w:rPr>
              <w:t>4, [201</w:t>
            </w:r>
            <w:r w:rsidR="00D7103E" w:rsidRPr="00AD191E">
              <w:rPr>
                <w:rFonts w:cs="Times New Roman"/>
                <w:sz w:val="20"/>
                <w:szCs w:val="20"/>
                <w:lang w:val="fr-CA"/>
              </w:rPr>
              <w:t>4</w:t>
            </w:r>
            <w:r w:rsidRPr="00AD191E">
              <w:rPr>
                <w:rFonts w:cs="Times New Roman"/>
                <w:sz w:val="20"/>
                <w:szCs w:val="20"/>
                <w:lang w:val="fr-CA"/>
              </w:rPr>
              <w:t xml:space="preserve">] </w:t>
            </w:r>
            <w:r w:rsidR="00D7103E" w:rsidRPr="00AD191E">
              <w:rPr>
                <w:rFonts w:cs="Times New Roman"/>
                <w:sz w:val="20"/>
                <w:szCs w:val="20"/>
                <w:lang w:val="fr-CA"/>
              </w:rPr>
              <w:t>1</w:t>
            </w:r>
            <w:r w:rsidRPr="00AD191E">
              <w:rPr>
                <w:rFonts w:cs="Times New Roman"/>
                <w:sz w:val="20"/>
                <w:szCs w:val="20"/>
                <w:lang w:val="fr-CA"/>
              </w:rPr>
              <w:t xml:space="preserve"> S.C.R. 2</w:t>
            </w:r>
            <w:r w:rsidR="00AD191E" w:rsidRPr="00AD191E">
              <w:rPr>
                <w:rFonts w:cs="Times New Roman"/>
                <w:sz w:val="20"/>
                <w:szCs w:val="20"/>
                <w:lang w:val="fr-CA"/>
              </w:rPr>
              <w:t>70</w:t>
            </w:r>
          </w:p>
          <w:p w:rsidR="00A956D3" w:rsidRPr="00AD191E" w:rsidRDefault="00A956D3" w:rsidP="002B056F">
            <w:pPr>
              <w:rPr>
                <w:rFonts w:cs="Times New Roman"/>
                <w:sz w:val="20"/>
                <w:szCs w:val="20"/>
                <w:lang w:val="fr-CA"/>
              </w:rPr>
            </w:pPr>
          </w:p>
          <w:p w:rsidR="00A956D3" w:rsidRPr="00AD191E" w:rsidRDefault="00AD191E" w:rsidP="002B056F">
            <w:pPr>
              <w:rPr>
                <w:rFonts w:cs="Times New Roman"/>
                <w:sz w:val="20"/>
                <w:szCs w:val="20"/>
                <w:lang w:val="fr-CA"/>
              </w:rPr>
            </w:pPr>
            <w:r w:rsidRPr="00AD191E">
              <w:rPr>
                <w:rFonts w:cs="Times New Roman"/>
                <w:sz w:val="20"/>
                <w:szCs w:val="20"/>
                <w:lang w:val="fr-CA"/>
              </w:rPr>
              <w:t xml:space="preserve">R. </w:t>
            </w:r>
            <w:r w:rsidRPr="00AD191E">
              <w:rPr>
                <w:rFonts w:cs="Times New Roman"/>
                <w:i/>
                <w:iCs/>
                <w:sz w:val="20"/>
                <w:szCs w:val="20"/>
                <w:lang w:val="fr-CA"/>
              </w:rPr>
              <w:t>v</w:t>
            </w:r>
            <w:r w:rsidRPr="00AD191E">
              <w:rPr>
                <w:rFonts w:cs="Times New Roman"/>
                <w:sz w:val="20"/>
                <w:szCs w:val="20"/>
                <w:lang w:val="fr-CA"/>
              </w:rPr>
              <w:t>. James</w:t>
            </w:r>
            <w:r w:rsidR="00A956D3" w:rsidRPr="00AD191E">
              <w:rPr>
                <w:rFonts w:cs="Times New Roman"/>
                <w:sz w:val="20"/>
                <w:szCs w:val="20"/>
                <w:lang w:val="fr-CA"/>
              </w:rPr>
              <w:t>,</w:t>
            </w:r>
          </w:p>
          <w:p w:rsidR="00A956D3" w:rsidRPr="00694287" w:rsidRDefault="00A956D3" w:rsidP="002B056F">
            <w:pPr>
              <w:rPr>
                <w:rFonts w:cs="Times New Roman"/>
                <w:sz w:val="20"/>
                <w:szCs w:val="20"/>
                <w:lang w:val="fr-CA"/>
              </w:rPr>
            </w:pPr>
            <w:r w:rsidRPr="00694287">
              <w:rPr>
                <w:rFonts w:cs="Times New Roman"/>
                <w:sz w:val="20"/>
                <w:szCs w:val="20"/>
                <w:lang w:val="fr-CA"/>
              </w:rPr>
              <w:t>201</w:t>
            </w:r>
            <w:r w:rsidR="00D7103E" w:rsidRPr="00694287">
              <w:rPr>
                <w:rFonts w:cs="Times New Roman"/>
                <w:sz w:val="20"/>
                <w:szCs w:val="20"/>
                <w:lang w:val="fr-CA"/>
              </w:rPr>
              <w:t>4</w:t>
            </w:r>
            <w:r w:rsidRPr="00694287">
              <w:rPr>
                <w:rFonts w:cs="Times New Roman"/>
                <w:sz w:val="20"/>
                <w:szCs w:val="20"/>
                <w:lang w:val="fr-CA"/>
              </w:rPr>
              <w:t xml:space="preserve"> SCC 5, [201</w:t>
            </w:r>
            <w:r w:rsidR="00D7103E" w:rsidRPr="00694287">
              <w:rPr>
                <w:rFonts w:cs="Times New Roman"/>
                <w:sz w:val="20"/>
                <w:szCs w:val="20"/>
                <w:lang w:val="fr-CA"/>
              </w:rPr>
              <w:t>4</w:t>
            </w:r>
            <w:r w:rsidRPr="00694287">
              <w:rPr>
                <w:rFonts w:cs="Times New Roman"/>
                <w:sz w:val="20"/>
                <w:szCs w:val="20"/>
                <w:lang w:val="fr-CA"/>
              </w:rPr>
              <w:t xml:space="preserve">] </w:t>
            </w:r>
            <w:r w:rsidR="00D7103E" w:rsidRPr="00694287">
              <w:rPr>
                <w:rFonts w:cs="Times New Roman"/>
                <w:sz w:val="20"/>
                <w:szCs w:val="20"/>
                <w:lang w:val="fr-CA"/>
              </w:rPr>
              <w:t>1</w:t>
            </w:r>
            <w:r w:rsidRPr="00694287">
              <w:rPr>
                <w:rFonts w:cs="Times New Roman"/>
                <w:sz w:val="20"/>
                <w:szCs w:val="20"/>
                <w:lang w:val="fr-CA"/>
              </w:rPr>
              <w:t xml:space="preserve"> S.C.R. </w:t>
            </w:r>
            <w:r w:rsidR="00AD191E" w:rsidRPr="00694287">
              <w:rPr>
                <w:rFonts w:cs="Times New Roman"/>
                <w:sz w:val="20"/>
                <w:szCs w:val="20"/>
                <w:lang w:val="fr-CA"/>
              </w:rPr>
              <w:t>8</w:t>
            </w:r>
            <w:r w:rsidRPr="00694287">
              <w:rPr>
                <w:rFonts w:cs="Times New Roman"/>
                <w:sz w:val="20"/>
                <w:szCs w:val="20"/>
                <w:lang w:val="fr-CA"/>
              </w:rPr>
              <w:t>0</w:t>
            </w:r>
          </w:p>
          <w:p w:rsidR="00A956D3" w:rsidRPr="00694287" w:rsidRDefault="00A956D3" w:rsidP="002B056F">
            <w:pPr>
              <w:rPr>
                <w:rFonts w:cs="Times New Roman"/>
                <w:sz w:val="20"/>
                <w:szCs w:val="20"/>
                <w:lang w:val="fr-CA"/>
              </w:rPr>
            </w:pPr>
          </w:p>
          <w:p w:rsidR="00AD191E" w:rsidRPr="00694287" w:rsidRDefault="00AD191E" w:rsidP="00AD191E">
            <w:pPr>
              <w:rPr>
                <w:rFonts w:cs="Times New Roman"/>
                <w:sz w:val="20"/>
                <w:szCs w:val="20"/>
                <w:lang w:val="fr-CA"/>
              </w:rPr>
            </w:pPr>
            <w:r w:rsidRPr="00694287">
              <w:rPr>
                <w:rFonts w:cs="Times New Roman"/>
                <w:sz w:val="20"/>
                <w:szCs w:val="20"/>
                <w:lang w:val="fr-CA"/>
              </w:rPr>
              <w:t xml:space="preserve">R. </w:t>
            </w:r>
            <w:r w:rsidRPr="00694287">
              <w:rPr>
                <w:rFonts w:cs="Times New Roman"/>
                <w:i/>
                <w:iCs/>
                <w:sz w:val="20"/>
                <w:szCs w:val="20"/>
                <w:lang w:val="fr-CA"/>
              </w:rPr>
              <w:t>v</w:t>
            </w:r>
            <w:r w:rsidRPr="00694287">
              <w:rPr>
                <w:rFonts w:cs="Times New Roman"/>
                <w:sz w:val="20"/>
                <w:szCs w:val="20"/>
                <w:lang w:val="fr-CA"/>
              </w:rPr>
              <w:t>. Koczab,</w:t>
            </w:r>
          </w:p>
          <w:p w:rsidR="00AD191E" w:rsidRPr="00E836F1" w:rsidRDefault="00AD191E" w:rsidP="00AD191E">
            <w:pPr>
              <w:rPr>
                <w:rFonts w:cs="Times New Roman"/>
                <w:sz w:val="20"/>
                <w:szCs w:val="20"/>
              </w:rPr>
            </w:pPr>
            <w:r w:rsidRPr="00E836F1">
              <w:rPr>
                <w:rFonts w:cs="Times New Roman"/>
                <w:sz w:val="20"/>
                <w:szCs w:val="20"/>
              </w:rPr>
              <w:t>201</w:t>
            </w:r>
            <w:r>
              <w:rPr>
                <w:rFonts w:cs="Times New Roman"/>
                <w:sz w:val="20"/>
                <w:szCs w:val="20"/>
              </w:rPr>
              <w:t>4</w:t>
            </w:r>
            <w:r w:rsidRPr="00E836F1">
              <w:rPr>
                <w:rFonts w:cs="Times New Roman"/>
                <w:sz w:val="20"/>
                <w:szCs w:val="20"/>
              </w:rPr>
              <w:t xml:space="preserve"> SCC </w:t>
            </w:r>
            <w:r>
              <w:rPr>
                <w:rFonts w:cs="Times New Roman"/>
                <w:sz w:val="20"/>
                <w:szCs w:val="20"/>
              </w:rPr>
              <w:t>9</w:t>
            </w:r>
            <w:r w:rsidRPr="00E836F1">
              <w:rPr>
                <w:rFonts w:cs="Times New Roman"/>
                <w:sz w:val="20"/>
                <w:szCs w:val="20"/>
              </w:rPr>
              <w:t>, [201</w:t>
            </w:r>
            <w:r>
              <w:rPr>
                <w:rFonts w:cs="Times New Roman"/>
                <w:sz w:val="20"/>
                <w:szCs w:val="20"/>
              </w:rPr>
              <w:t>4</w:t>
            </w:r>
            <w:r w:rsidRPr="00E836F1">
              <w:rPr>
                <w:rFonts w:cs="Times New Roman"/>
                <w:sz w:val="20"/>
                <w:szCs w:val="20"/>
              </w:rPr>
              <w:t xml:space="preserve">] </w:t>
            </w:r>
            <w:r>
              <w:rPr>
                <w:rFonts w:cs="Times New Roman"/>
                <w:sz w:val="20"/>
                <w:szCs w:val="20"/>
              </w:rPr>
              <w:t>1</w:t>
            </w:r>
            <w:r w:rsidRPr="00E836F1">
              <w:rPr>
                <w:rFonts w:cs="Times New Roman"/>
                <w:sz w:val="20"/>
                <w:szCs w:val="20"/>
              </w:rPr>
              <w:t xml:space="preserve"> S.C.R. </w:t>
            </w:r>
            <w:r>
              <w:rPr>
                <w:rFonts w:cs="Times New Roman"/>
                <w:sz w:val="20"/>
                <w:szCs w:val="20"/>
              </w:rPr>
              <w:t>138</w:t>
            </w:r>
          </w:p>
          <w:p w:rsidR="00AD191E" w:rsidRDefault="00AD191E" w:rsidP="002B056F">
            <w:pPr>
              <w:rPr>
                <w:rFonts w:cs="Times New Roman"/>
                <w:sz w:val="20"/>
                <w:szCs w:val="20"/>
              </w:rPr>
            </w:pPr>
          </w:p>
          <w:p w:rsidR="00AD191E" w:rsidRPr="00EE0831" w:rsidRDefault="00AD191E" w:rsidP="00AD191E">
            <w:pPr>
              <w:rPr>
                <w:rFonts w:cs="Times New Roman"/>
                <w:sz w:val="20"/>
                <w:szCs w:val="20"/>
              </w:rPr>
            </w:pPr>
            <w:r w:rsidRPr="00EE0831">
              <w:rPr>
                <w:rFonts w:cs="Times New Roman"/>
                <w:sz w:val="20"/>
                <w:szCs w:val="20"/>
              </w:rPr>
              <w:t xml:space="preserve">R. </w:t>
            </w:r>
            <w:r w:rsidRPr="00EE0831">
              <w:rPr>
                <w:rFonts w:cs="Times New Roman"/>
                <w:i/>
                <w:iCs/>
                <w:sz w:val="20"/>
                <w:szCs w:val="20"/>
              </w:rPr>
              <w:t>v</w:t>
            </w:r>
            <w:r w:rsidRPr="00EE0831">
              <w:rPr>
                <w:rFonts w:cs="Times New Roman"/>
                <w:sz w:val="20"/>
                <w:szCs w:val="20"/>
              </w:rPr>
              <w:t xml:space="preserve">. </w:t>
            </w:r>
            <w:r>
              <w:rPr>
                <w:rFonts w:cs="Times New Roman"/>
                <w:sz w:val="20"/>
                <w:szCs w:val="20"/>
              </w:rPr>
              <w:t>MacDonald</w:t>
            </w:r>
            <w:r w:rsidRPr="00EE0831">
              <w:rPr>
                <w:rFonts w:cs="Times New Roman"/>
                <w:sz w:val="20"/>
                <w:szCs w:val="20"/>
              </w:rPr>
              <w:t>,</w:t>
            </w:r>
          </w:p>
          <w:p w:rsidR="00AD191E" w:rsidRPr="00E836F1" w:rsidRDefault="00AD191E" w:rsidP="00AD191E">
            <w:pPr>
              <w:rPr>
                <w:rFonts w:cs="Times New Roman"/>
                <w:sz w:val="20"/>
                <w:szCs w:val="20"/>
              </w:rPr>
            </w:pPr>
            <w:r w:rsidRPr="00E836F1">
              <w:rPr>
                <w:rFonts w:cs="Times New Roman"/>
                <w:sz w:val="20"/>
                <w:szCs w:val="20"/>
              </w:rPr>
              <w:t>201</w:t>
            </w:r>
            <w:r>
              <w:rPr>
                <w:rFonts w:cs="Times New Roman"/>
                <w:sz w:val="20"/>
                <w:szCs w:val="20"/>
              </w:rPr>
              <w:t>4</w:t>
            </w:r>
            <w:r w:rsidRPr="00E836F1">
              <w:rPr>
                <w:rFonts w:cs="Times New Roman"/>
                <w:sz w:val="20"/>
                <w:szCs w:val="20"/>
              </w:rPr>
              <w:t xml:space="preserve"> SCC </w:t>
            </w:r>
            <w:r>
              <w:rPr>
                <w:rFonts w:cs="Times New Roman"/>
                <w:sz w:val="20"/>
                <w:szCs w:val="20"/>
              </w:rPr>
              <w:t>3</w:t>
            </w:r>
            <w:r w:rsidRPr="00E836F1">
              <w:rPr>
                <w:rFonts w:cs="Times New Roman"/>
                <w:sz w:val="20"/>
                <w:szCs w:val="20"/>
              </w:rPr>
              <w:t>, [201</w:t>
            </w:r>
            <w:r>
              <w:rPr>
                <w:rFonts w:cs="Times New Roman"/>
                <w:sz w:val="20"/>
                <w:szCs w:val="20"/>
              </w:rPr>
              <w:t>4</w:t>
            </w:r>
            <w:r w:rsidRPr="00E836F1">
              <w:rPr>
                <w:rFonts w:cs="Times New Roman"/>
                <w:sz w:val="20"/>
                <w:szCs w:val="20"/>
              </w:rPr>
              <w:t xml:space="preserve">] </w:t>
            </w:r>
            <w:r>
              <w:rPr>
                <w:rFonts w:cs="Times New Roman"/>
                <w:sz w:val="20"/>
                <w:szCs w:val="20"/>
              </w:rPr>
              <w:t>1</w:t>
            </w:r>
            <w:r w:rsidRPr="00E836F1">
              <w:rPr>
                <w:rFonts w:cs="Times New Roman"/>
                <w:sz w:val="20"/>
                <w:szCs w:val="20"/>
              </w:rPr>
              <w:t xml:space="preserve"> S.C.R. </w:t>
            </w:r>
            <w:r>
              <w:rPr>
                <w:rFonts w:cs="Times New Roman"/>
                <w:sz w:val="20"/>
                <w:szCs w:val="20"/>
              </w:rPr>
              <w:t>37</w:t>
            </w:r>
          </w:p>
          <w:p w:rsidR="00AD191E" w:rsidRDefault="00AD191E" w:rsidP="002B056F">
            <w:pPr>
              <w:rPr>
                <w:rFonts w:cs="Times New Roman"/>
                <w:sz w:val="20"/>
                <w:szCs w:val="20"/>
              </w:rPr>
            </w:pPr>
          </w:p>
          <w:p w:rsidR="00AD191E" w:rsidRPr="00EE0831" w:rsidRDefault="00AD191E" w:rsidP="00AD191E">
            <w:pPr>
              <w:rPr>
                <w:rFonts w:cs="Times New Roman"/>
                <w:sz w:val="20"/>
                <w:szCs w:val="20"/>
              </w:rPr>
            </w:pPr>
            <w:r w:rsidRPr="00EE0831">
              <w:rPr>
                <w:rFonts w:cs="Times New Roman"/>
                <w:sz w:val="20"/>
                <w:szCs w:val="20"/>
              </w:rPr>
              <w:t xml:space="preserve">R. </w:t>
            </w:r>
            <w:r w:rsidRPr="00EE0831">
              <w:rPr>
                <w:rFonts w:cs="Times New Roman"/>
                <w:i/>
                <w:iCs/>
                <w:sz w:val="20"/>
                <w:szCs w:val="20"/>
              </w:rPr>
              <w:t>v</w:t>
            </w:r>
            <w:r w:rsidRPr="00EE0831">
              <w:rPr>
                <w:rFonts w:cs="Times New Roman"/>
                <w:sz w:val="20"/>
                <w:szCs w:val="20"/>
              </w:rPr>
              <w:t xml:space="preserve">. </w:t>
            </w:r>
            <w:r w:rsidR="00694287">
              <w:rPr>
                <w:rFonts w:cs="Times New Roman"/>
                <w:sz w:val="20"/>
                <w:szCs w:val="20"/>
              </w:rPr>
              <w:t>Sekhon</w:t>
            </w:r>
            <w:r w:rsidRPr="00EE0831">
              <w:rPr>
                <w:rFonts w:cs="Times New Roman"/>
                <w:sz w:val="20"/>
                <w:szCs w:val="20"/>
              </w:rPr>
              <w:t>,</w:t>
            </w:r>
          </w:p>
          <w:p w:rsidR="00AD191E" w:rsidRPr="00E836F1" w:rsidRDefault="00AD191E" w:rsidP="00AD191E">
            <w:pPr>
              <w:rPr>
                <w:rFonts w:cs="Times New Roman"/>
                <w:sz w:val="20"/>
                <w:szCs w:val="20"/>
              </w:rPr>
            </w:pPr>
            <w:r w:rsidRPr="00E836F1">
              <w:rPr>
                <w:rFonts w:cs="Times New Roman"/>
                <w:sz w:val="20"/>
                <w:szCs w:val="20"/>
              </w:rPr>
              <w:t>201</w:t>
            </w:r>
            <w:r>
              <w:rPr>
                <w:rFonts w:cs="Times New Roman"/>
                <w:sz w:val="20"/>
                <w:szCs w:val="20"/>
              </w:rPr>
              <w:t>4</w:t>
            </w:r>
            <w:r w:rsidRPr="00E836F1">
              <w:rPr>
                <w:rFonts w:cs="Times New Roman"/>
                <w:sz w:val="20"/>
                <w:szCs w:val="20"/>
              </w:rPr>
              <w:t xml:space="preserve"> SCC </w:t>
            </w:r>
            <w:r>
              <w:rPr>
                <w:rFonts w:cs="Times New Roman"/>
                <w:sz w:val="20"/>
                <w:szCs w:val="20"/>
              </w:rPr>
              <w:t>1</w:t>
            </w:r>
            <w:r w:rsidRPr="00E836F1">
              <w:rPr>
                <w:rFonts w:cs="Times New Roman"/>
                <w:sz w:val="20"/>
                <w:szCs w:val="20"/>
              </w:rPr>
              <w:t>5, [201</w:t>
            </w:r>
            <w:r>
              <w:rPr>
                <w:rFonts w:cs="Times New Roman"/>
                <w:sz w:val="20"/>
                <w:szCs w:val="20"/>
              </w:rPr>
              <w:t>4</w:t>
            </w:r>
            <w:r w:rsidRPr="00E836F1">
              <w:rPr>
                <w:rFonts w:cs="Times New Roman"/>
                <w:sz w:val="20"/>
                <w:szCs w:val="20"/>
              </w:rPr>
              <w:t xml:space="preserve">] </w:t>
            </w:r>
            <w:r>
              <w:rPr>
                <w:rFonts w:cs="Times New Roman"/>
                <w:sz w:val="20"/>
                <w:szCs w:val="20"/>
              </w:rPr>
              <w:t>1</w:t>
            </w:r>
            <w:r w:rsidRPr="00E836F1">
              <w:rPr>
                <w:rFonts w:cs="Times New Roman"/>
                <w:sz w:val="20"/>
                <w:szCs w:val="20"/>
              </w:rPr>
              <w:t xml:space="preserve"> S.C.R. 2</w:t>
            </w:r>
            <w:r>
              <w:rPr>
                <w:rFonts w:cs="Times New Roman"/>
                <w:sz w:val="20"/>
                <w:szCs w:val="20"/>
              </w:rPr>
              <w:t>72</w:t>
            </w:r>
          </w:p>
          <w:p w:rsidR="00AD191E" w:rsidRDefault="00AD191E" w:rsidP="002B056F">
            <w:pPr>
              <w:rPr>
                <w:rFonts w:cs="Times New Roman"/>
                <w:sz w:val="20"/>
                <w:szCs w:val="20"/>
              </w:rPr>
            </w:pPr>
          </w:p>
          <w:p w:rsidR="00AD191E" w:rsidRPr="00EE0831" w:rsidRDefault="00AD191E" w:rsidP="00AD191E">
            <w:pPr>
              <w:rPr>
                <w:rFonts w:cs="Times New Roman"/>
                <w:sz w:val="20"/>
                <w:szCs w:val="20"/>
              </w:rPr>
            </w:pPr>
            <w:r w:rsidRPr="00EE0831">
              <w:rPr>
                <w:rFonts w:cs="Times New Roman"/>
                <w:sz w:val="20"/>
                <w:szCs w:val="20"/>
              </w:rPr>
              <w:t xml:space="preserve">R. </w:t>
            </w:r>
            <w:r w:rsidRPr="00EE0831">
              <w:rPr>
                <w:rFonts w:cs="Times New Roman"/>
                <w:i/>
                <w:iCs/>
                <w:sz w:val="20"/>
                <w:szCs w:val="20"/>
              </w:rPr>
              <w:t>v</w:t>
            </w:r>
            <w:r w:rsidRPr="00EE0831">
              <w:rPr>
                <w:rFonts w:cs="Times New Roman"/>
                <w:sz w:val="20"/>
                <w:szCs w:val="20"/>
              </w:rPr>
              <w:t xml:space="preserve">. </w:t>
            </w:r>
            <w:r w:rsidR="00694287">
              <w:rPr>
                <w:rFonts w:cs="Times New Roman"/>
                <w:sz w:val="20"/>
                <w:szCs w:val="20"/>
              </w:rPr>
              <w:t>W.E.B.</w:t>
            </w:r>
            <w:r w:rsidRPr="00EE0831">
              <w:rPr>
                <w:rFonts w:cs="Times New Roman"/>
                <w:sz w:val="20"/>
                <w:szCs w:val="20"/>
              </w:rPr>
              <w:t>,</w:t>
            </w:r>
          </w:p>
          <w:p w:rsidR="00AD191E" w:rsidRPr="00E836F1" w:rsidRDefault="00AD191E" w:rsidP="00AD191E">
            <w:pPr>
              <w:rPr>
                <w:rFonts w:cs="Times New Roman"/>
                <w:sz w:val="20"/>
                <w:szCs w:val="20"/>
              </w:rPr>
            </w:pPr>
            <w:r w:rsidRPr="00E836F1">
              <w:rPr>
                <w:rFonts w:cs="Times New Roman"/>
                <w:sz w:val="20"/>
                <w:szCs w:val="20"/>
              </w:rPr>
              <w:t>201</w:t>
            </w:r>
            <w:r>
              <w:rPr>
                <w:rFonts w:cs="Times New Roman"/>
                <w:sz w:val="20"/>
                <w:szCs w:val="20"/>
              </w:rPr>
              <w:t>4</w:t>
            </w:r>
            <w:r w:rsidRPr="00E836F1">
              <w:rPr>
                <w:rFonts w:cs="Times New Roman"/>
                <w:sz w:val="20"/>
                <w:szCs w:val="20"/>
              </w:rPr>
              <w:t xml:space="preserve"> SCC </w:t>
            </w:r>
            <w:r w:rsidR="00694287">
              <w:rPr>
                <w:rFonts w:cs="Times New Roman"/>
                <w:sz w:val="20"/>
                <w:szCs w:val="20"/>
              </w:rPr>
              <w:t>2</w:t>
            </w:r>
            <w:r w:rsidRPr="00E836F1">
              <w:rPr>
                <w:rFonts w:cs="Times New Roman"/>
                <w:sz w:val="20"/>
                <w:szCs w:val="20"/>
              </w:rPr>
              <w:t>, [201</w:t>
            </w:r>
            <w:r>
              <w:rPr>
                <w:rFonts w:cs="Times New Roman"/>
                <w:sz w:val="20"/>
                <w:szCs w:val="20"/>
              </w:rPr>
              <w:t>4</w:t>
            </w:r>
            <w:r w:rsidRPr="00E836F1">
              <w:rPr>
                <w:rFonts w:cs="Times New Roman"/>
                <w:sz w:val="20"/>
                <w:szCs w:val="20"/>
              </w:rPr>
              <w:t xml:space="preserve">] </w:t>
            </w:r>
            <w:r>
              <w:rPr>
                <w:rFonts w:cs="Times New Roman"/>
                <w:sz w:val="20"/>
                <w:szCs w:val="20"/>
              </w:rPr>
              <w:t>1</w:t>
            </w:r>
            <w:r w:rsidRPr="00E836F1">
              <w:rPr>
                <w:rFonts w:cs="Times New Roman"/>
                <w:sz w:val="20"/>
                <w:szCs w:val="20"/>
              </w:rPr>
              <w:t xml:space="preserve"> S.C.R. </w:t>
            </w:r>
            <w:r w:rsidR="00694287">
              <w:rPr>
                <w:rFonts w:cs="Times New Roman"/>
                <w:sz w:val="20"/>
                <w:szCs w:val="20"/>
              </w:rPr>
              <w:t>34</w:t>
            </w:r>
          </w:p>
          <w:p w:rsidR="00AD191E" w:rsidRDefault="00AD191E" w:rsidP="002B056F">
            <w:pPr>
              <w:rPr>
                <w:rFonts w:cs="Times New Roman"/>
                <w:sz w:val="20"/>
                <w:szCs w:val="20"/>
              </w:rPr>
            </w:pPr>
          </w:p>
          <w:p w:rsidR="00694287" w:rsidRPr="00213156" w:rsidRDefault="00694287" w:rsidP="00694287">
            <w:pPr>
              <w:rPr>
                <w:rFonts w:cs="Times New Roman"/>
                <w:sz w:val="20"/>
                <w:szCs w:val="20"/>
              </w:rPr>
            </w:pPr>
            <w:r w:rsidRPr="00213156">
              <w:rPr>
                <w:rFonts w:cs="Times New Roman"/>
                <w:sz w:val="20"/>
                <w:szCs w:val="20"/>
              </w:rPr>
              <w:t xml:space="preserve">R. </w:t>
            </w:r>
            <w:r w:rsidRPr="00213156">
              <w:rPr>
                <w:rFonts w:cs="Times New Roman"/>
                <w:i/>
                <w:iCs/>
                <w:sz w:val="20"/>
                <w:szCs w:val="20"/>
              </w:rPr>
              <w:t>v</w:t>
            </w:r>
            <w:r w:rsidRPr="00213156">
              <w:rPr>
                <w:rFonts w:cs="Times New Roman"/>
                <w:sz w:val="20"/>
                <w:szCs w:val="20"/>
              </w:rPr>
              <w:t>. Yelle,</w:t>
            </w:r>
          </w:p>
          <w:p w:rsidR="00694287" w:rsidRPr="00213156" w:rsidRDefault="00694287" w:rsidP="00694287">
            <w:pPr>
              <w:rPr>
                <w:rFonts w:cs="Times New Roman"/>
                <w:sz w:val="20"/>
                <w:szCs w:val="20"/>
              </w:rPr>
            </w:pPr>
            <w:r w:rsidRPr="00213156">
              <w:rPr>
                <w:rFonts w:cs="Times New Roman"/>
                <w:sz w:val="20"/>
                <w:szCs w:val="20"/>
              </w:rPr>
              <w:t>2014 SCC 10, [2014] 1 S.C.R. 140</w:t>
            </w:r>
          </w:p>
          <w:p w:rsidR="00694287" w:rsidRPr="00213156" w:rsidRDefault="00694287" w:rsidP="00694287">
            <w:pPr>
              <w:rPr>
                <w:rFonts w:cs="Times New Roman"/>
                <w:sz w:val="20"/>
                <w:szCs w:val="20"/>
              </w:rPr>
            </w:pPr>
          </w:p>
          <w:p w:rsidR="00A956D3" w:rsidRPr="00694287" w:rsidRDefault="00694287" w:rsidP="002B056F">
            <w:pPr>
              <w:rPr>
                <w:rFonts w:cs="Times New Roman"/>
                <w:sz w:val="20"/>
                <w:szCs w:val="20"/>
              </w:rPr>
            </w:pPr>
            <w:r w:rsidRPr="00694287">
              <w:rPr>
                <w:rFonts w:cs="Times New Roman"/>
                <w:sz w:val="20"/>
                <w:szCs w:val="20"/>
              </w:rPr>
              <w:t>Telecommunications Employ</w:t>
            </w:r>
            <w:r w:rsidR="00A956D3" w:rsidRPr="00694287">
              <w:rPr>
                <w:rFonts w:cs="Times New Roman"/>
                <w:sz w:val="20"/>
                <w:szCs w:val="20"/>
              </w:rPr>
              <w:t xml:space="preserve">ees </w:t>
            </w:r>
            <w:r w:rsidRPr="00694287">
              <w:rPr>
                <w:rFonts w:cs="Times New Roman"/>
                <w:sz w:val="20"/>
                <w:szCs w:val="20"/>
              </w:rPr>
              <w:t>Association of Mani</w:t>
            </w:r>
            <w:r w:rsidR="00A956D3" w:rsidRPr="00694287">
              <w:rPr>
                <w:rFonts w:cs="Times New Roman"/>
                <w:sz w:val="20"/>
                <w:szCs w:val="20"/>
              </w:rPr>
              <w:t>t</w:t>
            </w:r>
            <w:r w:rsidRPr="00694287">
              <w:rPr>
                <w:rFonts w:cs="Times New Roman"/>
                <w:sz w:val="20"/>
                <w:szCs w:val="20"/>
              </w:rPr>
              <w:t>oba Inc.</w:t>
            </w:r>
            <w:r w:rsidR="00A956D3" w:rsidRPr="00694287">
              <w:rPr>
                <w:rFonts w:cs="Times New Roman"/>
                <w:sz w:val="20"/>
                <w:szCs w:val="20"/>
              </w:rPr>
              <w:t xml:space="preserve"> </w:t>
            </w:r>
            <w:r w:rsidR="00A956D3" w:rsidRPr="00694287">
              <w:rPr>
                <w:rFonts w:cs="Times New Roman"/>
                <w:i/>
                <w:iCs/>
                <w:sz w:val="20"/>
                <w:szCs w:val="20"/>
              </w:rPr>
              <w:t>v</w:t>
            </w:r>
            <w:r w:rsidR="00A956D3" w:rsidRPr="00694287">
              <w:rPr>
                <w:rFonts w:cs="Times New Roman"/>
                <w:sz w:val="20"/>
                <w:szCs w:val="20"/>
              </w:rPr>
              <w:t xml:space="preserve">. </w:t>
            </w:r>
            <w:r>
              <w:rPr>
                <w:rFonts w:cs="Times New Roman"/>
                <w:sz w:val="20"/>
                <w:szCs w:val="20"/>
              </w:rPr>
              <w:t>M</w:t>
            </w:r>
            <w:r w:rsidR="00A956D3" w:rsidRPr="00694287">
              <w:rPr>
                <w:rFonts w:cs="Times New Roman"/>
                <w:sz w:val="20"/>
                <w:szCs w:val="20"/>
              </w:rPr>
              <w:t>an</w:t>
            </w:r>
            <w:r>
              <w:rPr>
                <w:rFonts w:cs="Times New Roman"/>
                <w:sz w:val="20"/>
                <w:szCs w:val="20"/>
              </w:rPr>
              <w:t>itob</w:t>
            </w:r>
            <w:r w:rsidR="00A956D3" w:rsidRPr="00694287">
              <w:rPr>
                <w:rFonts w:cs="Times New Roman"/>
                <w:sz w:val="20"/>
                <w:szCs w:val="20"/>
              </w:rPr>
              <w:t>a</w:t>
            </w:r>
            <w:r>
              <w:rPr>
                <w:rFonts w:cs="Times New Roman"/>
                <w:sz w:val="20"/>
                <w:szCs w:val="20"/>
              </w:rPr>
              <w:t xml:space="preserve"> Tel</w:t>
            </w:r>
            <w:r w:rsidR="00A956D3" w:rsidRPr="00694287">
              <w:rPr>
                <w:rFonts w:cs="Times New Roman"/>
                <w:sz w:val="20"/>
                <w:szCs w:val="20"/>
              </w:rPr>
              <w:t>e</w:t>
            </w:r>
            <w:r>
              <w:rPr>
                <w:rFonts w:cs="Times New Roman"/>
                <w:sz w:val="20"/>
                <w:szCs w:val="20"/>
              </w:rPr>
              <w:t>com Services</w:t>
            </w:r>
            <w:r w:rsidR="00A956D3" w:rsidRPr="00694287">
              <w:rPr>
                <w:rFonts w:cs="Times New Roman"/>
                <w:sz w:val="20"/>
                <w:szCs w:val="20"/>
              </w:rPr>
              <w:t xml:space="preserve"> </w:t>
            </w:r>
            <w:r>
              <w:rPr>
                <w:rFonts w:cs="Times New Roman"/>
                <w:sz w:val="20"/>
                <w:szCs w:val="20"/>
              </w:rPr>
              <w:t>Inc</w:t>
            </w:r>
            <w:r w:rsidR="00A956D3" w:rsidRPr="00694287">
              <w:rPr>
                <w:rFonts w:cs="Times New Roman"/>
                <w:sz w:val="20"/>
                <w:szCs w:val="20"/>
              </w:rPr>
              <w:t>.,</w:t>
            </w:r>
          </w:p>
          <w:p w:rsidR="00A956D3" w:rsidRPr="00E4544C" w:rsidRDefault="00A956D3" w:rsidP="002B056F">
            <w:pPr>
              <w:rPr>
                <w:rFonts w:cs="Times New Roman"/>
                <w:sz w:val="20"/>
                <w:szCs w:val="20"/>
                <w:lang w:val="fr-CA"/>
              </w:rPr>
            </w:pPr>
            <w:r w:rsidRPr="00E4544C">
              <w:rPr>
                <w:rFonts w:cs="Times New Roman"/>
                <w:sz w:val="20"/>
                <w:szCs w:val="20"/>
                <w:lang w:val="fr-CA"/>
              </w:rPr>
              <w:t>201</w:t>
            </w:r>
            <w:r w:rsidR="00D7103E">
              <w:rPr>
                <w:rFonts w:cs="Times New Roman"/>
                <w:sz w:val="20"/>
                <w:szCs w:val="20"/>
                <w:lang w:val="fr-CA"/>
              </w:rPr>
              <w:t>4</w:t>
            </w:r>
            <w:r w:rsidRPr="00E4544C">
              <w:rPr>
                <w:rFonts w:cs="Times New Roman"/>
                <w:sz w:val="20"/>
                <w:szCs w:val="20"/>
                <w:lang w:val="fr-CA"/>
              </w:rPr>
              <w:t xml:space="preserve"> SCC </w:t>
            </w:r>
            <w:r w:rsidR="00694287">
              <w:rPr>
                <w:rFonts w:cs="Times New Roman"/>
                <w:sz w:val="20"/>
                <w:szCs w:val="20"/>
                <w:lang w:val="fr-CA"/>
              </w:rPr>
              <w:t>11</w:t>
            </w:r>
            <w:r w:rsidRPr="00E4544C">
              <w:rPr>
                <w:rFonts w:cs="Times New Roman"/>
                <w:sz w:val="20"/>
                <w:szCs w:val="20"/>
                <w:lang w:val="fr-CA"/>
              </w:rPr>
              <w:t>, [201</w:t>
            </w:r>
            <w:r w:rsidR="00D7103E">
              <w:rPr>
                <w:rFonts w:cs="Times New Roman"/>
                <w:sz w:val="20"/>
                <w:szCs w:val="20"/>
                <w:lang w:val="fr-CA"/>
              </w:rPr>
              <w:t>4</w:t>
            </w:r>
            <w:r w:rsidRPr="00E4544C">
              <w:rPr>
                <w:rFonts w:cs="Times New Roman"/>
                <w:sz w:val="20"/>
                <w:szCs w:val="20"/>
                <w:lang w:val="fr-CA"/>
              </w:rPr>
              <w:t xml:space="preserve">] </w:t>
            </w:r>
            <w:r w:rsidR="00D7103E">
              <w:rPr>
                <w:rFonts w:cs="Times New Roman"/>
                <w:sz w:val="20"/>
                <w:szCs w:val="20"/>
                <w:lang w:val="fr-CA"/>
              </w:rPr>
              <w:t>1</w:t>
            </w:r>
            <w:r w:rsidRPr="00E4544C">
              <w:rPr>
                <w:rFonts w:cs="Times New Roman"/>
                <w:sz w:val="20"/>
                <w:szCs w:val="20"/>
                <w:lang w:val="fr-CA"/>
              </w:rPr>
              <w:t xml:space="preserve"> S.C.R. </w:t>
            </w:r>
            <w:r>
              <w:rPr>
                <w:rFonts w:cs="Times New Roman"/>
                <w:sz w:val="20"/>
                <w:szCs w:val="20"/>
                <w:lang w:val="fr-CA"/>
              </w:rPr>
              <w:t>1</w:t>
            </w:r>
            <w:r w:rsidR="00694287">
              <w:rPr>
                <w:rFonts w:cs="Times New Roman"/>
                <w:sz w:val="20"/>
                <w:szCs w:val="20"/>
                <w:lang w:val="fr-CA"/>
              </w:rPr>
              <w:t>4</w:t>
            </w:r>
            <w:r>
              <w:rPr>
                <w:rFonts w:cs="Times New Roman"/>
                <w:sz w:val="20"/>
                <w:szCs w:val="20"/>
                <w:lang w:val="fr-CA"/>
              </w:rPr>
              <w:t>2</w:t>
            </w:r>
          </w:p>
          <w:p w:rsidR="00A956D3" w:rsidRDefault="00A956D3" w:rsidP="002B056F">
            <w:pPr>
              <w:rPr>
                <w:rFonts w:cs="Times New Roman"/>
                <w:sz w:val="20"/>
                <w:szCs w:val="20"/>
                <w:lang w:val="fr-CA"/>
              </w:rPr>
            </w:pPr>
          </w:p>
          <w:p w:rsidR="00252F95" w:rsidRDefault="00252F95" w:rsidP="002B056F">
            <w:pPr>
              <w:rPr>
                <w:rFonts w:cs="Times New Roman"/>
                <w:sz w:val="20"/>
                <w:szCs w:val="20"/>
                <w:lang w:val="fr-CA"/>
              </w:rPr>
            </w:pPr>
          </w:p>
          <w:p w:rsidR="00252F95" w:rsidRDefault="00252F95" w:rsidP="002B056F">
            <w:pPr>
              <w:rPr>
                <w:rFonts w:cs="Times New Roman"/>
                <w:sz w:val="20"/>
                <w:szCs w:val="20"/>
                <w:lang w:val="fr-CA"/>
              </w:rPr>
            </w:pPr>
          </w:p>
          <w:p w:rsidR="00252F95" w:rsidRDefault="00252F95" w:rsidP="002B056F">
            <w:pPr>
              <w:rPr>
                <w:rFonts w:cs="Times New Roman"/>
                <w:sz w:val="20"/>
                <w:szCs w:val="20"/>
                <w:lang w:val="fr-CA"/>
              </w:rPr>
            </w:pPr>
          </w:p>
          <w:p w:rsidR="00AD191E" w:rsidRPr="00694287" w:rsidRDefault="00694287" w:rsidP="00AD191E">
            <w:pPr>
              <w:rPr>
                <w:rFonts w:cs="Times New Roman"/>
                <w:sz w:val="20"/>
                <w:szCs w:val="20"/>
                <w:lang w:val="fr-CA"/>
              </w:rPr>
            </w:pPr>
            <w:r w:rsidRPr="00694287">
              <w:rPr>
                <w:rFonts w:cs="Times New Roman"/>
                <w:sz w:val="20"/>
                <w:szCs w:val="20"/>
                <w:lang w:val="fr-CA"/>
              </w:rPr>
              <w:lastRenderedPageBreak/>
              <w:t>Vivendi Ca</w:t>
            </w:r>
            <w:r w:rsidR="00AD191E" w:rsidRPr="00694287">
              <w:rPr>
                <w:rFonts w:cs="Times New Roman"/>
                <w:sz w:val="20"/>
                <w:szCs w:val="20"/>
                <w:lang w:val="fr-CA"/>
              </w:rPr>
              <w:t>n</w:t>
            </w:r>
            <w:r w:rsidRPr="00694287">
              <w:rPr>
                <w:rFonts w:cs="Times New Roman"/>
                <w:sz w:val="20"/>
                <w:szCs w:val="20"/>
                <w:lang w:val="fr-CA"/>
              </w:rPr>
              <w:t>a</w:t>
            </w:r>
            <w:r w:rsidR="00AD191E" w:rsidRPr="00694287">
              <w:rPr>
                <w:rFonts w:cs="Times New Roman"/>
                <w:sz w:val="20"/>
                <w:szCs w:val="20"/>
                <w:lang w:val="fr-CA"/>
              </w:rPr>
              <w:t>d</w:t>
            </w:r>
            <w:r w:rsidRPr="00694287">
              <w:rPr>
                <w:rFonts w:cs="Times New Roman"/>
                <w:sz w:val="20"/>
                <w:szCs w:val="20"/>
                <w:lang w:val="fr-CA"/>
              </w:rPr>
              <w:t>a Inc.</w:t>
            </w:r>
            <w:r w:rsidR="00AD191E" w:rsidRPr="00694287">
              <w:rPr>
                <w:rFonts w:cs="Times New Roman"/>
                <w:sz w:val="20"/>
                <w:szCs w:val="20"/>
                <w:lang w:val="fr-CA"/>
              </w:rPr>
              <w:t xml:space="preserve"> </w:t>
            </w:r>
            <w:r w:rsidR="00AD191E" w:rsidRPr="00694287">
              <w:rPr>
                <w:rFonts w:cs="Times New Roman"/>
                <w:i/>
                <w:iCs/>
                <w:sz w:val="20"/>
                <w:szCs w:val="20"/>
                <w:lang w:val="fr-CA"/>
              </w:rPr>
              <w:t>v</w:t>
            </w:r>
            <w:r w:rsidR="00AD191E" w:rsidRPr="00694287">
              <w:rPr>
                <w:rFonts w:cs="Times New Roman"/>
                <w:sz w:val="20"/>
                <w:szCs w:val="20"/>
                <w:lang w:val="fr-CA"/>
              </w:rPr>
              <w:t xml:space="preserve">. </w:t>
            </w:r>
            <w:r w:rsidRPr="00694287">
              <w:rPr>
                <w:rFonts w:cs="Times New Roman"/>
                <w:sz w:val="20"/>
                <w:szCs w:val="20"/>
                <w:lang w:val="fr-CA"/>
              </w:rPr>
              <w:t>Dell’A</w:t>
            </w:r>
            <w:r w:rsidR="00AD191E" w:rsidRPr="00694287">
              <w:rPr>
                <w:rFonts w:cs="Times New Roman"/>
                <w:sz w:val="20"/>
                <w:szCs w:val="20"/>
                <w:lang w:val="fr-CA"/>
              </w:rPr>
              <w:t>n</w:t>
            </w:r>
            <w:r w:rsidRPr="00694287">
              <w:rPr>
                <w:rFonts w:cs="Times New Roman"/>
                <w:sz w:val="20"/>
                <w:szCs w:val="20"/>
                <w:lang w:val="fr-CA"/>
              </w:rPr>
              <w:t>i</w:t>
            </w:r>
            <w:r w:rsidR="00AD191E" w:rsidRPr="00694287">
              <w:rPr>
                <w:rFonts w:cs="Times New Roman"/>
                <w:sz w:val="20"/>
                <w:szCs w:val="20"/>
                <w:lang w:val="fr-CA"/>
              </w:rPr>
              <w:t>e</w:t>
            </w:r>
            <w:r w:rsidRPr="00694287">
              <w:rPr>
                <w:rFonts w:cs="Times New Roman"/>
                <w:sz w:val="20"/>
                <w:szCs w:val="20"/>
                <w:lang w:val="fr-CA"/>
              </w:rPr>
              <w:t>llo</w:t>
            </w:r>
            <w:r w:rsidR="00AD191E" w:rsidRPr="00694287">
              <w:rPr>
                <w:rFonts w:cs="Times New Roman"/>
                <w:sz w:val="20"/>
                <w:szCs w:val="20"/>
                <w:lang w:val="fr-CA"/>
              </w:rPr>
              <w:t>,</w:t>
            </w:r>
          </w:p>
          <w:p w:rsidR="00AD191E" w:rsidRPr="00E4544C" w:rsidRDefault="00AD191E" w:rsidP="00AD191E">
            <w:pPr>
              <w:rPr>
                <w:rFonts w:cs="Times New Roman"/>
                <w:sz w:val="20"/>
                <w:szCs w:val="20"/>
                <w:lang w:val="fr-CA"/>
              </w:rPr>
            </w:pPr>
            <w:r w:rsidRPr="00E4544C">
              <w:rPr>
                <w:rFonts w:cs="Times New Roman"/>
                <w:sz w:val="20"/>
                <w:szCs w:val="20"/>
                <w:lang w:val="fr-CA"/>
              </w:rPr>
              <w:t>201</w:t>
            </w:r>
            <w:r>
              <w:rPr>
                <w:rFonts w:cs="Times New Roman"/>
                <w:sz w:val="20"/>
                <w:szCs w:val="20"/>
                <w:lang w:val="fr-CA"/>
              </w:rPr>
              <w:t>4</w:t>
            </w:r>
            <w:r w:rsidRPr="00E4544C">
              <w:rPr>
                <w:rFonts w:cs="Times New Roman"/>
                <w:sz w:val="20"/>
                <w:szCs w:val="20"/>
                <w:lang w:val="fr-CA"/>
              </w:rPr>
              <w:t xml:space="preserve"> SCC </w:t>
            </w:r>
            <w:r w:rsidR="00694287">
              <w:rPr>
                <w:rFonts w:cs="Times New Roman"/>
                <w:sz w:val="20"/>
                <w:szCs w:val="20"/>
                <w:lang w:val="fr-CA"/>
              </w:rPr>
              <w:t>1</w:t>
            </w:r>
            <w:r w:rsidRPr="00E4544C">
              <w:rPr>
                <w:rFonts w:cs="Times New Roman"/>
                <w:sz w:val="20"/>
                <w:szCs w:val="20"/>
                <w:lang w:val="fr-CA"/>
              </w:rPr>
              <w:t>, [201</w:t>
            </w:r>
            <w:r>
              <w:rPr>
                <w:rFonts w:cs="Times New Roman"/>
                <w:sz w:val="20"/>
                <w:szCs w:val="20"/>
                <w:lang w:val="fr-CA"/>
              </w:rPr>
              <w:t>4</w:t>
            </w:r>
            <w:r w:rsidRPr="00E4544C">
              <w:rPr>
                <w:rFonts w:cs="Times New Roman"/>
                <w:sz w:val="20"/>
                <w:szCs w:val="20"/>
                <w:lang w:val="fr-CA"/>
              </w:rPr>
              <w:t xml:space="preserve">] </w:t>
            </w:r>
            <w:r>
              <w:rPr>
                <w:rFonts w:cs="Times New Roman"/>
                <w:sz w:val="20"/>
                <w:szCs w:val="20"/>
                <w:lang w:val="fr-CA"/>
              </w:rPr>
              <w:t>1</w:t>
            </w:r>
            <w:r w:rsidRPr="00E4544C">
              <w:rPr>
                <w:rFonts w:cs="Times New Roman"/>
                <w:sz w:val="20"/>
                <w:szCs w:val="20"/>
                <w:lang w:val="fr-CA"/>
              </w:rPr>
              <w:t xml:space="preserve"> S.C.R. </w:t>
            </w:r>
            <w:r w:rsidR="00694287">
              <w:rPr>
                <w:rFonts w:cs="Times New Roman"/>
                <w:sz w:val="20"/>
                <w:szCs w:val="20"/>
                <w:lang w:val="fr-CA"/>
              </w:rPr>
              <w:t>3</w:t>
            </w:r>
          </w:p>
          <w:p w:rsidR="00AD191E" w:rsidRDefault="00AD191E" w:rsidP="002B056F">
            <w:pPr>
              <w:rPr>
                <w:rFonts w:cs="Times New Roman"/>
                <w:sz w:val="20"/>
                <w:szCs w:val="20"/>
                <w:lang w:val="fr-CA"/>
              </w:rPr>
            </w:pPr>
          </w:p>
          <w:p w:rsidR="00A956D3" w:rsidRPr="00DD0B49" w:rsidRDefault="002B68E4" w:rsidP="002B056F">
            <w:pPr>
              <w:keepNext/>
              <w:keepLines/>
              <w:rPr>
                <w:rFonts w:cs="Times New Roman"/>
                <w:bCs/>
                <w:sz w:val="20"/>
                <w:szCs w:val="20"/>
                <w:lang w:val="fr-CA"/>
              </w:rPr>
            </w:pPr>
            <w:r>
              <w:rPr>
                <w:rFonts w:cs="Times New Roman"/>
                <w:sz w:val="20"/>
                <w:szCs w:val="20"/>
              </w:rPr>
              <w:pict>
                <v:rect id="_x0000_i1073" style="width:129.6pt;height:1pt" o:hrpct="600" o:hralign="center" o:hrstd="t" o:hrnoshade="t" o:hr="t" fillcolor="black [3213]" stroked="f"/>
              </w:pict>
            </w:r>
          </w:p>
          <w:p w:rsidR="00A956D3" w:rsidRPr="00DD0B49" w:rsidRDefault="00A956D3" w:rsidP="002B056F">
            <w:pPr>
              <w:keepNext/>
              <w:keepLines/>
              <w:rPr>
                <w:rFonts w:cs="Times New Roman"/>
                <w:bCs/>
                <w:sz w:val="20"/>
                <w:szCs w:val="20"/>
                <w:lang w:val="fr-CA"/>
              </w:rPr>
            </w:pPr>
          </w:p>
        </w:tc>
        <w:tc>
          <w:tcPr>
            <w:tcW w:w="840" w:type="dxa"/>
            <w:tcBorders>
              <w:top w:val="nil"/>
              <w:left w:val="nil"/>
              <w:bottom w:val="nil"/>
              <w:right w:val="nil"/>
            </w:tcBorders>
          </w:tcPr>
          <w:p w:rsidR="00A956D3" w:rsidRPr="00DD0B49" w:rsidRDefault="00A956D3" w:rsidP="002B056F">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2B056F">
            <w:pPr>
              <w:rPr>
                <w:rFonts w:cs="Times New Roman"/>
                <w:b/>
                <w:bCs/>
                <w:sz w:val="20"/>
                <w:szCs w:val="20"/>
                <w:lang w:val="fr-CA"/>
              </w:rPr>
            </w:pPr>
            <w:r w:rsidRPr="00DD0B49">
              <w:rPr>
                <w:rFonts w:cs="Times New Roman"/>
                <w:b/>
                <w:bCs/>
                <w:sz w:val="20"/>
                <w:szCs w:val="20"/>
                <w:lang w:val="fr-CA"/>
              </w:rPr>
              <w:t>Jugements publiés dans [201</w:t>
            </w:r>
            <w:r w:rsidR="00D7103E">
              <w:rPr>
                <w:rFonts w:cs="Times New Roman"/>
                <w:b/>
                <w:bCs/>
                <w:sz w:val="20"/>
                <w:szCs w:val="20"/>
                <w:lang w:val="fr-CA"/>
              </w:rPr>
              <w:t>4</w:t>
            </w:r>
            <w:r w:rsidRPr="00DD0B49">
              <w:rPr>
                <w:rFonts w:cs="Times New Roman"/>
                <w:b/>
                <w:bCs/>
                <w:sz w:val="20"/>
                <w:szCs w:val="20"/>
                <w:lang w:val="fr-CA"/>
              </w:rPr>
              <w:t xml:space="preserve">] </w:t>
            </w:r>
            <w:r w:rsidR="00D7103E">
              <w:rPr>
                <w:rFonts w:cs="Times New Roman"/>
                <w:b/>
                <w:bCs/>
                <w:sz w:val="20"/>
                <w:szCs w:val="20"/>
                <w:lang w:val="fr-CA"/>
              </w:rPr>
              <w:t>1</w:t>
            </w:r>
            <w:r w:rsidRPr="00DD0B49">
              <w:rPr>
                <w:rFonts w:cs="Times New Roman"/>
                <w:b/>
                <w:bCs/>
                <w:sz w:val="20"/>
                <w:szCs w:val="20"/>
                <w:lang w:val="fr-CA"/>
              </w:rPr>
              <w:t xml:space="preserve"> R.C.S. Partie </w:t>
            </w:r>
            <w:r>
              <w:rPr>
                <w:rFonts w:cs="Times New Roman"/>
                <w:b/>
                <w:bCs/>
                <w:sz w:val="20"/>
                <w:szCs w:val="20"/>
                <w:lang w:val="fr-CA"/>
              </w:rPr>
              <w:t>1</w:t>
            </w:r>
          </w:p>
          <w:p w:rsidR="00A956D3" w:rsidRPr="00DD0B49" w:rsidRDefault="00A956D3" w:rsidP="002B056F">
            <w:pPr>
              <w:rPr>
                <w:rFonts w:cs="Times New Roman"/>
                <w:b/>
                <w:bCs/>
                <w:sz w:val="20"/>
                <w:szCs w:val="20"/>
                <w:lang w:val="fr-CA"/>
              </w:rPr>
            </w:pPr>
          </w:p>
          <w:p w:rsidR="00A956D3" w:rsidRPr="00213156" w:rsidRDefault="009D74E5" w:rsidP="002B056F">
            <w:pPr>
              <w:rPr>
                <w:rFonts w:cs="Times New Roman"/>
                <w:sz w:val="20"/>
                <w:szCs w:val="20"/>
                <w:lang w:val="fr-CA"/>
              </w:rPr>
            </w:pPr>
            <w:r w:rsidRPr="00213156">
              <w:rPr>
                <w:rFonts w:cs="Times New Roman"/>
                <w:sz w:val="20"/>
                <w:szCs w:val="20"/>
                <w:lang w:val="fr-CA"/>
              </w:rPr>
              <w:t xml:space="preserve">A.I. Enterprises Ltd. </w:t>
            </w:r>
            <w:r w:rsidRPr="00213156">
              <w:rPr>
                <w:rFonts w:cs="Times New Roman"/>
                <w:i/>
                <w:sz w:val="20"/>
                <w:szCs w:val="20"/>
                <w:lang w:val="fr-CA"/>
              </w:rPr>
              <w:t>c.</w:t>
            </w:r>
            <w:r w:rsidRPr="00213156">
              <w:rPr>
                <w:rFonts w:cs="Times New Roman"/>
                <w:sz w:val="20"/>
                <w:szCs w:val="20"/>
                <w:lang w:val="fr-CA"/>
              </w:rPr>
              <w:t xml:space="preserve"> Bram Enterprises Ltd.</w:t>
            </w:r>
            <w:r w:rsidR="00A956D3" w:rsidRPr="00213156">
              <w:rPr>
                <w:rFonts w:cs="Times New Roman"/>
                <w:sz w:val="20"/>
                <w:szCs w:val="20"/>
                <w:lang w:val="fr-CA"/>
              </w:rPr>
              <w:t>,</w:t>
            </w:r>
          </w:p>
          <w:p w:rsidR="00A956D3" w:rsidRPr="00213156" w:rsidRDefault="00A956D3" w:rsidP="002B056F">
            <w:pPr>
              <w:rPr>
                <w:rFonts w:cs="Times New Roman"/>
                <w:sz w:val="20"/>
                <w:szCs w:val="20"/>
                <w:lang w:val="fr-CA"/>
              </w:rPr>
            </w:pPr>
            <w:r w:rsidRPr="00213156">
              <w:rPr>
                <w:rFonts w:cs="Times New Roman"/>
                <w:sz w:val="20"/>
                <w:szCs w:val="20"/>
                <w:lang w:val="fr-CA"/>
              </w:rPr>
              <w:t>201</w:t>
            </w:r>
            <w:r w:rsidR="00D7103E" w:rsidRPr="00213156">
              <w:rPr>
                <w:rFonts w:cs="Times New Roman"/>
                <w:sz w:val="20"/>
                <w:szCs w:val="20"/>
                <w:lang w:val="fr-CA"/>
              </w:rPr>
              <w:t>4</w:t>
            </w:r>
            <w:r w:rsidRPr="00213156">
              <w:rPr>
                <w:rFonts w:cs="Times New Roman"/>
                <w:sz w:val="20"/>
                <w:szCs w:val="20"/>
                <w:lang w:val="fr-CA"/>
              </w:rPr>
              <w:t xml:space="preserve"> CSC 1</w:t>
            </w:r>
            <w:r w:rsidR="009D74E5" w:rsidRPr="00213156">
              <w:rPr>
                <w:rFonts w:cs="Times New Roman"/>
                <w:sz w:val="20"/>
                <w:szCs w:val="20"/>
                <w:lang w:val="fr-CA"/>
              </w:rPr>
              <w:t>2</w:t>
            </w:r>
            <w:r w:rsidRPr="00213156">
              <w:rPr>
                <w:rFonts w:cs="Times New Roman"/>
                <w:sz w:val="20"/>
                <w:szCs w:val="20"/>
                <w:lang w:val="fr-CA"/>
              </w:rPr>
              <w:t>, [201</w:t>
            </w:r>
            <w:r w:rsidR="00D7103E" w:rsidRPr="00213156">
              <w:rPr>
                <w:rFonts w:cs="Times New Roman"/>
                <w:sz w:val="20"/>
                <w:szCs w:val="20"/>
                <w:lang w:val="fr-CA"/>
              </w:rPr>
              <w:t>4</w:t>
            </w:r>
            <w:r w:rsidRPr="00213156">
              <w:rPr>
                <w:rFonts w:cs="Times New Roman"/>
                <w:sz w:val="20"/>
                <w:szCs w:val="20"/>
                <w:lang w:val="fr-CA"/>
              </w:rPr>
              <w:t xml:space="preserve">] </w:t>
            </w:r>
            <w:r w:rsidR="00D7103E" w:rsidRPr="00213156">
              <w:rPr>
                <w:rFonts w:cs="Times New Roman"/>
                <w:sz w:val="20"/>
                <w:szCs w:val="20"/>
                <w:lang w:val="fr-CA"/>
              </w:rPr>
              <w:t>1</w:t>
            </w:r>
            <w:r w:rsidRPr="00213156">
              <w:rPr>
                <w:rFonts w:cs="Times New Roman"/>
                <w:sz w:val="20"/>
                <w:szCs w:val="20"/>
                <w:lang w:val="fr-CA"/>
              </w:rPr>
              <w:t xml:space="preserve"> R.C.S. 1</w:t>
            </w:r>
            <w:r w:rsidR="009D74E5" w:rsidRPr="00213156">
              <w:rPr>
                <w:rFonts w:cs="Times New Roman"/>
                <w:sz w:val="20"/>
                <w:szCs w:val="20"/>
                <w:lang w:val="fr-CA"/>
              </w:rPr>
              <w:t>77</w:t>
            </w:r>
          </w:p>
          <w:p w:rsidR="00A956D3" w:rsidRPr="00213156" w:rsidRDefault="00A956D3" w:rsidP="002B056F">
            <w:pPr>
              <w:rPr>
                <w:rFonts w:cs="Times New Roman"/>
                <w:sz w:val="20"/>
                <w:szCs w:val="20"/>
                <w:lang w:val="fr-CA"/>
              </w:rPr>
            </w:pPr>
          </w:p>
          <w:p w:rsidR="00A956D3" w:rsidRPr="009D74E5" w:rsidRDefault="009D74E5" w:rsidP="002B056F">
            <w:pPr>
              <w:rPr>
                <w:rFonts w:cs="Times New Roman"/>
                <w:sz w:val="20"/>
                <w:szCs w:val="20"/>
                <w:lang w:val="fr-CA"/>
              </w:rPr>
            </w:pPr>
            <w:r w:rsidRPr="009D74E5">
              <w:rPr>
                <w:rFonts w:cs="Times New Roman"/>
                <w:sz w:val="20"/>
                <w:szCs w:val="20"/>
                <w:lang w:val="fr-CA"/>
              </w:rPr>
              <w:t xml:space="preserve">Bernard </w:t>
            </w:r>
            <w:r w:rsidRPr="009D74E5">
              <w:rPr>
                <w:rFonts w:cs="Times New Roman"/>
                <w:i/>
                <w:iCs/>
                <w:sz w:val="20"/>
                <w:szCs w:val="20"/>
                <w:lang w:val="fr-CA"/>
              </w:rPr>
              <w:t>c.</w:t>
            </w:r>
            <w:r w:rsidRPr="009D74E5">
              <w:rPr>
                <w:rFonts w:cs="Times New Roman"/>
                <w:iCs/>
                <w:sz w:val="20"/>
                <w:szCs w:val="20"/>
                <w:lang w:val="fr-CA"/>
              </w:rPr>
              <w:t xml:space="preserve"> Canada (Procureur général)</w:t>
            </w:r>
            <w:r w:rsidR="00A956D3" w:rsidRPr="009D74E5">
              <w:rPr>
                <w:rFonts w:cs="Times New Roman"/>
                <w:sz w:val="20"/>
                <w:szCs w:val="20"/>
                <w:lang w:val="fr-CA"/>
              </w:rPr>
              <w:t>,</w:t>
            </w:r>
          </w:p>
          <w:p w:rsidR="00A956D3" w:rsidRPr="009D74E5" w:rsidRDefault="00A956D3" w:rsidP="002B056F">
            <w:pPr>
              <w:rPr>
                <w:rFonts w:cs="Times New Roman"/>
                <w:sz w:val="20"/>
                <w:szCs w:val="20"/>
              </w:rPr>
            </w:pPr>
            <w:r w:rsidRPr="009D74E5">
              <w:rPr>
                <w:rFonts w:cs="Times New Roman"/>
                <w:sz w:val="20"/>
                <w:szCs w:val="20"/>
              </w:rPr>
              <w:t>201</w:t>
            </w:r>
            <w:r w:rsidR="00D7103E" w:rsidRPr="009D74E5">
              <w:rPr>
                <w:rFonts w:cs="Times New Roman"/>
                <w:sz w:val="20"/>
                <w:szCs w:val="20"/>
              </w:rPr>
              <w:t>4</w:t>
            </w:r>
            <w:r w:rsidRPr="009D74E5">
              <w:rPr>
                <w:rFonts w:cs="Times New Roman"/>
                <w:sz w:val="20"/>
                <w:szCs w:val="20"/>
              </w:rPr>
              <w:t xml:space="preserve"> CSC </w:t>
            </w:r>
            <w:r w:rsidR="009D74E5" w:rsidRPr="009D74E5">
              <w:rPr>
                <w:rFonts w:cs="Times New Roman"/>
                <w:sz w:val="20"/>
                <w:szCs w:val="20"/>
              </w:rPr>
              <w:t>13</w:t>
            </w:r>
            <w:r w:rsidRPr="009D74E5">
              <w:rPr>
                <w:rFonts w:cs="Times New Roman"/>
                <w:sz w:val="20"/>
                <w:szCs w:val="20"/>
              </w:rPr>
              <w:t>, [201</w:t>
            </w:r>
            <w:r w:rsidR="00D7103E" w:rsidRPr="009D74E5">
              <w:rPr>
                <w:rFonts w:cs="Times New Roman"/>
                <w:sz w:val="20"/>
                <w:szCs w:val="20"/>
              </w:rPr>
              <w:t>4</w:t>
            </w:r>
            <w:r w:rsidRPr="009D74E5">
              <w:rPr>
                <w:rFonts w:cs="Times New Roman"/>
                <w:sz w:val="20"/>
                <w:szCs w:val="20"/>
              </w:rPr>
              <w:t xml:space="preserve">] </w:t>
            </w:r>
            <w:r w:rsidR="00D7103E" w:rsidRPr="009D74E5">
              <w:rPr>
                <w:rFonts w:cs="Times New Roman"/>
                <w:sz w:val="20"/>
                <w:szCs w:val="20"/>
              </w:rPr>
              <w:t>1</w:t>
            </w:r>
            <w:r w:rsidRPr="009D74E5">
              <w:rPr>
                <w:rFonts w:cs="Times New Roman"/>
                <w:sz w:val="20"/>
                <w:szCs w:val="20"/>
              </w:rPr>
              <w:t xml:space="preserve"> R.C.S. </w:t>
            </w:r>
            <w:r w:rsidR="009D74E5" w:rsidRPr="009D74E5">
              <w:rPr>
                <w:rFonts w:cs="Times New Roman"/>
                <w:sz w:val="20"/>
                <w:szCs w:val="20"/>
              </w:rPr>
              <w:t>22</w:t>
            </w:r>
            <w:r w:rsidRPr="009D74E5">
              <w:rPr>
                <w:rFonts w:cs="Times New Roman"/>
                <w:sz w:val="20"/>
                <w:szCs w:val="20"/>
              </w:rPr>
              <w:t>7</w:t>
            </w:r>
          </w:p>
          <w:p w:rsidR="00A956D3" w:rsidRPr="009D74E5" w:rsidRDefault="00A956D3" w:rsidP="002B056F">
            <w:pPr>
              <w:rPr>
                <w:rFonts w:cs="Times New Roman"/>
                <w:iCs/>
                <w:sz w:val="20"/>
                <w:szCs w:val="20"/>
              </w:rPr>
            </w:pPr>
          </w:p>
          <w:p w:rsidR="00A956D3" w:rsidRPr="009D74E5" w:rsidRDefault="009D74E5" w:rsidP="002B056F">
            <w:pPr>
              <w:rPr>
                <w:rFonts w:cs="Times New Roman"/>
                <w:sz w:val="20"/>
                <w:szCs w:val="20"/>
              </w:rPr>
            </w:pPr>
            <w:r>
              <w:rPr>
                <w:rFonts w:cs="Times New Roman"/>
                <w:iCs/>
                <w:sz w:val="20"/>
                <w:szCs w:val="20"/>
                <w:lang w:val="en-GB"/>
              </w:rPr>
              <w:t>Bruno Appliance and Furniture, Inc.</w:t>
            </w:r>
            <w:r w:rsidR="00A956D3" w:rsidRPr="009D74E5">
              <w:rPr>
                <w:rFonts w:cs="Times New Roman"/>
                <w:iCs/>
                <w:sz w:val="20"/>
                <w:szCs w:val="20"/>
              </w:rPr>
              <w:t xml:space="preserve"> </w:t>
            </w:r>
            <w:r w:rsidR="00A956D3" w:rsidRPr="009D74E5">
              <w:rPr>
                <w:rFonts w:cs="Times New Roman"/>
                <w:i/>
                <w:iCs/>
                <w:sz w:val="20"/>
                <w:szCs w:val="20"/>
              </w:rPr>
              <w:t>c.</w:t>
            </w:r>
            <w:r w:rsidR="00A956D3" w:rsidRPr="009D74E5">
              <w:rPr>
                <w:rFonts w:cs="Times New Roman"/>
                <w:iCs/>
                <w:sz w:val="20"/>
                <w:szCs w:val="20"/>
              </w:rPr>
              <w:t xml:space="preserve"> </w:t>
            </w:r>
            <w:r>
              <w:rPr>
                <w:rFonts w:cs="Times New Roman"/>
                <w:iCs/>
                <w:sz w:val="20"/>
                <w:szCs w:val="20"/>
                <w:lang w:val="en-GB"/>
              </w:rPr>
              <w:t>Hryniak</w:t>
            </w:r>
            <w:r w:rsidR="00A956D3" w:rsidRPr="009D74E5">
              <w:rPr>
                <w:rFonts w:cs="Times New Roman"/>
                <w:iCs/>
                <w:sz w:val="20"/>
                <w:szCs w:val="20"/>
              </w:rPr>
              <w:t>,</w:t>
            </w:r>
          </w:p>
          <w:p w:rsidR="00A956D3" w:rsidRPr="00E4544C" w:rsidRDefault="00A956D3" w:rsidP="002B056F">
            <w:pPr>
              <w:rPr>
                <w:rFonts w:cs="Times New Roman"/>
                <w:sz w:val="20"/>
                <w:szCs w:val="20"/>
              </w:rPr>
            </w:pPr>
            <w:r w:rsidRPr="00E4544C">
              <w:rPr>
                <w:rFonts w:cs="Times New Roman"/>
                <w:sz w:val="20"/>
                <w:szCs w:val="20"/>
              </w:rPr>
              <w:t>201</w:t>
            </w:r>
            <w:r w:rsidR="00D7103E">
              <w:rPr>
                <w:rFonts w:cs="Times New Roman"/>
                <w:sz w:val="20"/>
                <w:szCs w:val="20"/>
              </w:rPr>
              <w:t>4</w:t>
            </w:r>
            <w:r w:rsidRPr="00E4544C">
              <w:rPr>
                <w:rFonts w:cs="Times New Roman"/>
                <w:sz w:val="20"/>
                <w:szCs w:val="20"/>
              </w:rPr>
              <w:t xml:space="preserve"> CSC </w:t>
            </w:r>
            <w:r>
              <w:rPr>
                <w:rFonts w:cs="Times New Roman"/>
                <w:sz w:val="20"/>
                <w:szCs w:val="20"/>
              </w:rPr>
              <w:t>8</w:t>
            </w:r>
            <w:r w:rsidRPr="00E4544C">
              <w:rPr>
                <w:rFonts w:cs="Times New Roman"/>
                <w:sz w:val="20"/>
                <w:szCs w:val="20"/>
              </w:rPr>
              <w:t>, [201</w:t>
            </w:r>
            <w:r w:rsidR="00D7103E">
              <w:rPr>
                <w:rFonts w:cs="Times New Roman"/>
                <w:sz w:val="20"/>
                <w:szCs w:val="20"/>
              </w:rPr>
              <w:t>4</w:t>
            </w:r>
            <w:r w:rsidRPr="00E4544C">
              <w:rPr>
                <w:rFonts w:cs="Times New Roman"/>
                <w:sz w:val="20"/>
                <w:szCs w:val="20"/>
              </w:rPr>
              <w:t xml:space="preserve">] </w:t>
            </w:r>
            <w:r w:rsidR="00D7103E">
              <w:rPr>
                <w:rFonts w:cs="Times New Roman"/>
                <w:sz w:val="20"/>
                <w:szCs w:val="20"/>
              </w:rPr>
              <w:t>1</w:t>
            </w:r>
            <w:r w:rsidRPr="00E4544C">
              <w:rPr>
                <w:rFonts w:cs="Times New Roman"/>
                <w:sz w:val="20"/>
                <w:szCs w:val="20"/>
              </w:rPr>
              <w:t xml:space="preserve"> R.C.S. </w:t>
            </w:r>
            <w:r>
              <w:rPr>
                <w:rFonts w:cs="Times New Roman"/>
                <w:sz w:val="20"/>
                <w:szCs w:val="20"/>
              </w:rPr>
              <w:t>1</w:t>
            </w:r>
            <w:r w:rsidR="009D74E5">
              <w:rPr>
                <w:rFonts w:cs="Times New Roman"/>
                <w:sz w:val="20"/>
                <w:szCs w:val="20"/>
              </w:rPr>
              <w:t>26</w:t>
            </w:r>
          </w:p>
          <w:p w:rsidR="00A956D3" w:rsidRPr="00DD0B49" w:rsidRDefault="00A956D3" w:rsidP="002B056F">
            <w:pPr>
              <w:rPr>
                <w:rFonts w:cs="Times New Roman"/>
                <w:iCs/>
                <w:sz w:val="20"/>
                <w:szCs w:val="20"/>
              </w:rPr>
            </w:pPr>
          </w:p>
          <w:p w:rsidR="00A956D3" w:rsidRPr="00213156" w:rsidRDefault="00AD191E" w:rsidP="002B056F">
            <w:pPr>
              <w:rPr>
                <w:rFonts w:cs="Times New Roman"/>
                <w:iCs/>
                <w:sz w:val="20"/>
                <w:szCs w:val="20"/>
              </w:rPr>
            </w:pPr>
            <w:r>
              <w:rPr>
                <w:rFonts w:cs="Times New Roman"/>
                <w:iCs/>
                <w:sz w:val="20"/>
                <w:szCs w:val="20"/>
                <w:lang w:val="en-GB"/>
              </w:rPr>
              <w:t>Hryniak</w:t>
            </w:r>
            <w:r w:rsidR="00A956D3" w:rsidRPr="00DD0B49">
              <w:rPr>
                <w:rFonts w:cs="Times New Roman"/>
                <w:sz w:val="20"/>
                <w:szCs w:val="20"/>
                <w:lang w:val="en-GB"/>
              </w:rPr>
              <w:t xml:space="preserve"> </w:t>
            </w:r>
            <w:r w:rsidR="00A956D3">
              <w:rPr>
                <w:rFonts w:cs="Times New Roman"/>
                <w:i/>
                <w:iCs/>
                <w:sz w:val="20"/>
                <w:szCs w:val="20"/>
                <w:lang w:val="en-GB"/>
              </w:rPr>
              <w:t>c</w:t>
            </w:r>
            <w:r w:rsidR="00A956D3" w:rsidRPr="00DD0B49">
              <w:rPr>
                <w:rFonts w:cs="Times New Roman"/>
                <w:i/>
                <w:iCs/>
                <w:sz w:val="20"/>
                <w:szCs w:val="20"/>
                <w:lang w:val="en-GB"/>
              </w:rPr>
              <w:t>.</w:t>
            </w:r>
            <w:r w:rsidR="00A956D3" w:rsidRPr="00DD0B49">
              <w:rPr>
                <w:rFonts w:cs="Times New Roman"/>
                <w:sz w:val="20"/>
                <w:szCs w:val="20"/>
                <w:lang w:val="en-GB"/>
              </w:rPr>
              <w:t xml:space="preserve"> </w:t>
            </w:r>
            <w:r>
              <w:rPr>
                <w:rFonts w:cs="Times New Roman"/>
                <w:sz w:val="20"/>
                <w:szCs w:val="20"/>
                <w:lang w:val="en-GB"/>
              </w:rPr>
              <w:t>M</w:t>
            </w:r>
            <w:r w:rsidR="00A956D3">
              <w:rPr>
                <w:rFonts w:cs="Times New Roman"/>
                <w:sz w:val="20"/>
                <w:szCs w:val="20"/>
                <w:lang w:val="en-GB"/>
              </w:rPr>
              <w:t>a</w:t>
            </w:r>
            <w:r>
              <w:rPr>
                <w:rFonts w:cs="Times New Roman"/>
                <w:sz w:val="20"/>
                <w:szCs w:val="20"/>
                <w:lang w:val="en-GB"/>
              </w:rPr>
              <w:t>uldi</w:t>
            </w:r>
            <w:r w:rsidR="00213156">
              <w:rPr>
                <w:rFonts w:cs="Times New Roman"/>
                <w:sz w:val="20"/>
                <w:szCs w:val="20"/>
                <w:lang w:val="en-GB"/>
              </w:rPr>
              <w:t>n</w:t>
            </w:r>
            <w:r w:rsidR="00A956D3" w:rsidRPr="00DD0B49">
              <w:rPr>
                <w:rFonts w:cs="Times New Roman"/>
                <w:iCs/>
                <w:sz w:val="20"/>
                <w:szCs w:val="20"/>
                <w:lang w:val="en-GB"/>
              </w:rPr>
              <w:t>,</w:t>
            </w:r>
          </w:p>
          <w:p w:rsidR="00A956D3" w:rsidRPr="00213156" w:rsidRDefault="00A956D3" w:rsidP="002B056F">
            <w:pPr>
              <w:rPr>
                <w:rFonts w:cs="Times New Roman"/>
                <w:sz w:val="20"/>
                <w:szCs w:val="20"/>
                <w:lang w:val="fr-CA"/>
              </w:rPr>
            </w:pPr>
            <w:r w:rsidRPr="00213156">
              <w:rPr>
                <w:rFonts w:cs="Times New Roman"/>
                <w:sz w:val="20"/>
                <w:szCs w:val="20"/>
                <w:lang w:val="fr-CA"/>
              </w:rPr>
              <w:t>201</w:t>
            </w:r>
            <w:r w:rsidR="00D7103E" w:rsidRPr="00213156">
              <w:rPr>
                <w:rFonts w:cs="Times New Roman"/>
                <w:sz w:val="20"/>
                <w:szCs w:val="20"/>
                <w:lang w:val="fr-CA"/>
              </w:rPr>
              <w:t>4</w:t>
            </w:r>
            <w:r w:rsidRPr="00213156">
              <w:rPr>
                <w:rFonts w:cs="Times New Roman"/>
                <w:sz w:val="20"/>
                <w:szCs w:val="20"/>
                <w:lang w:val="fr-CA"/>
              </w:rPr>
              <w:t xml:space="preserve"> CSC </w:t>
            </w:r>
            <w:r w:rsidR="00AD191E" w:rsidRPr="00213156">
              <w:rPr>
                <w:rFonts w:cs="Times New Roman"/>
                <w:sz w:val="20"/>
                <w:szCs w:val="20"/>
                <w:lang w:val="fr-CA"/>
              </w:rPr>
              <w:t>7</w:t>
            </w:r>
            <w:r w:rsidRPr="00213156">
              <w:rPr>
                <w:rFonts w:cs="Times New Roman"/>
                <w:sz w:val="20"/>
                <w:szCs w:val="20"/>
                <w:lang w:val="fr-CA"/>
              </w:rPr>
              <w:t>, [201</w:t>
            </w:r>
            <w:r w:rsidR="00D7103E" w:rsidRPr="00213156">
              <w:rPr>
                <w:rFonts w:cs="Times New Roman"/>
                <w:sz w:val="20"/>
                <w:szCs w:val="20"/>
                <w:lang w:val="fr-CA"/>
              </w:rPr>
              <w:t>4</w:t>
            </w:r>
            <w:r w:rsidRPr="00213156">
              <w:rPr>
                <w:rFonts w:cs="Times New Roman"/>
                <w:sz w:val="20"/>
                <w:szCs w:val="20"/>
                <w:lang w:val="fr-CA"/>
              </w:rPr>
              <w:t xml:space="preserve">] </w:t>
            </w:r>
            <w:r w:rsidR="00D7103E" w:rsidRPr="00213156">
              <w:rPr>
                <w:rFonts w:cs="Times New Roman"/>
                <w:sz w:val="20"/>
                <w:szCs w:val="20"/>
                <w:lang w:val="fr-CA"/>
              </w:rPr>
              <w:t>1</w:t>
            </w:r>
            <w:r w:rsidRPr="00213156">
              <w:rPr>
                <w:rFonts w:cs="Times New Roman"/>
                <w:sz w:val="20"/>
                <w:szCs w:val="20"/>
                <w:lang w:val="fr-CA"/>
              </w:rPr>
              <w:t xml:space="preserve"> R.C.S. </w:t>
            </w:r>
            <w:r w:rsidR="00AD191E" w:rsidRPr="00213156">
              <w:rPr>
                <w:rFonts w:cs="Times New Roman"/>
                <w:sz w:val="20"/>
                <w:szCs w:val="20"/>
                <w:lang w:val="fr-CA"/>
              </w:rPr>
              <w:t>87</w:t>
            </w:r>
          </w:p>
          <w:p w:rsidR="00A956D3" w:rsidRPr="00213156" w:rsidRDefault="00A956D3" w:rsidP="002B056F">
            <w:pPr>
              <w:rPr>
                <w:rFonts w:cs="Times New Roman"/>
                <w:sz w:val="20"/>
                <w:szCs w:val="20"/>
                <w:lang w:val="fr-CA"/>
              </w:rPr>
            </w:pPr>
          </w:p>
          <w:p w:rsidR="00252F95" w:rsidRPr="00213156" w:rsidRDefault="00AD191E" w:rsidP="002B056F">
            <w:pPr>
              <w:rPr>
                <w:rFonts w:cs="Times New Roman"/>
                <w:sz w:val="20"/>
                <w:szCs w:val="20"/>
                <w:lang w:val="fr-CA"/>
              </w:rPr>
            </w:pPr>
            <w:r w:rsidRPr="00213156">
              <w:rPr>
                <w:rFonts w:cs="Times New Roman"/>
                <w:sz w:val="20"/>
                <w:szCs w:val="20"/>
                <w:lang w:val="fr-CA"/>
              </w:rPr>
              <w:t xml:space="preserve">R. </w:t>
            </w:r>
            <w:r w:rsidRPr="00213156">
              <w:rPr>
                <w:rFonts w:cs="Times New Roman"/>
                <w:i/>
                <w:iCs/>
                <w:sz w:val="20"/>
                <w:szCs w:val="20"/>
                <w:lang w:val="fr-CA"/>
              </w:rPr>
              <w:t>c</w:t>
            </w:r>
            <w:r w:rsidRPr="00213156">
              <w:rPr>
                <w:rFonts w:cs="Times New Roman"/>
                <w:sz w:val="20"/>
                <w:szCs w:val="20"/>
                <w:lang w:val="fr-CA"/>
              </w:rPr>
              <w:t xml:space="preserve">. </w:t>
            </w:r>
            <w:r w:rsidR="00252F95" w:rsidRPr="00213156">
              <w:rPr>
                <w:rFonts w:cs="Times New Roman"/>
                <w:sz w:val="20"/>
                <w:szCs w:val="20"/>
                <w:lang w:val="fr-CA"/>
              </w:rPr>
              <w:t>Auclair,</w:t>
            </w:r>
          </w:p>
          <w:p w:rsidR="00AD191E" w:rsidRPr="00213156" w:rsidRDefault="00AD191E" w:rsidP="002B056F">
            <w:pPr>
              <w:rPr>
                <w:rFonts w:cs="Times New Roman"/>
                <w:sz w:val="20"/>
                <w:szCs w:val="20"/>
                <w:lang w:val="fr-CA"/>
              </w:rPr>
            </w:pPr>
            <w:r w:rsidRPr="00213156">
              <w:rPr>
                <w:rFonts w:cs="Times New Roman"/>
                <w:sz w:val="20"/>
                <w:szCs w:val="20"/>
                <w:lang w:val="fr-CA"/>
              </w:rPr>
              <w:t xml:space="preserve">2014 CSC </w:t>
            </w:r>
            <w:r w:rsidR="00252F95" w:rsidRPr="00213156">
              <w:rPr>
                <w:rFonts w:cs="Times New Roman"/>
                <w:sz w:val="20"/>
                <w:szCs w:val="20"/>
                <w:lang w:val="fr-CA"/>
              </w:rPr>
              <w:t>6</w:t>
            </w:r>
            <w:r w:rsidRPr="00213156">
              <w:rPr>
                <w:rFonts w:cs="Times New Roman"/>
                <w:sz w:val="20"/>
                <w:szCs w:val="20"/>
                <w:lang w:val="fr-CA"/>
              </w:rPr>
              <w:t xml:space="preserve">, [2014] 1 R.C.S. </w:t>
            </w:r>
            <w:r w:rsidR="00252F95" w:rsidRPr="00213156">
              <w:rPr>
                <w:rFonts w:cs="Times New Roman"/>
                <w:sz w:val="20"/>
                <w:szCs w:val="20"/>
                <w:lang w:val="fr-CA"/>
              </w:rPr>
              <w:t>8</w:t>
            </w:r>
            <w:r w:rsidRPr="00213156">
              <w:rPr>
                <w:rFonts w:cs="Times New Roman"/>
                <w:sz w:val="20"/>
                <w:szCs w:val="20"/>
                <w:lang w:val="fr-CA"/>
              </w:rPr>
              <w:t>3</w:t>
            </w:r>
          </w:p>
          <w:p w:rsidR="00AD191E" w:rsidRPr="00213156" w:rsidRDefault="00AD191E" w:rsidP="002B056F">
            <w:pPr>
              <w:rPr>
                <w:rFonts w:cs="Times New Roman"/>
                <w:sz w:val="20"/>
                <w:szCs w:val="20"/>
                <w:lang w:val="fr-CA"/>
              </w:rPr>
            </w:pPr>
          </w:p>
          <w:p w:rsidR="00AD191E" w:rsidRPr="00252F95" w:rsidRDefault="00AD191E" w:rsidP="00AD191E">
            <w:pPr>
              <w:rPr>
                <w:rFonts w:cs="Times New Roman"/>
                <w:sz w:val="20"/>
                <w:szCs w:val="20"/>
                <w:lang w:val="fr-CA"/>
              </w:rPr>
            </w:pPr>
            <w:r w:rsidRPr="00252F95">
              <w:rPr>
                <w:rFonts w:cs="Times New Roman"/>
                <w:sz w:val="20"/>
                <w:szCs w:val="20"/>
                <w:lang w:val="fr-CA"/>
              </w:rPr>
              <w:t xml:space="preserve">R. </w:t>
            </w:r>
            <w:r w:rsidRPr="00252F95">
              <w:rPr>
                <w:rFonts w:cs="Times New Roman"/>
                <w:i/>
                <w:iCs/>
                <w:sz w:val="20"/>
                <w:szCs w:val="20"/>
                <w:lang w:val="fr-CA"/>
              </w:rPr>
              <w:t>c</w:t>
            </w:r>
            <w:r w:rsidRPr="00252F95">
              <w:rPr>
                <w:rFonts w:cs="Times New Roman"/>
                <w:sz w:val="20"/>
                <w:szCs w:val="20"/>
                <w:lang w:val="fr-CA"/>
              </w:rPr>
              <w:t xml:space="preserve">. </w:t>
            </w:r>
            <w:r w:rsidR="00252F95" w:rsidRPr="00252F95">
              <w:rPr>
                <w:rFonts w:cs="Times New Roman"/>
                <w:sz w:val="20"/>
                <w:szCs w:val="20"/>
                <w:lang w:val="fr-CA"/>
              </w:rPr>
              <w:t>Davis,</w:t>
            </w:r>
          </w:p>
          <w:p w:rsidR="00AD191E" w:rsidRPr="00252F95" w:rsidRDefault="00AD191E" w:rsidP="00AD191E">
            <w:pPr>
              <w:rPr>
                <w:rFonts w:cs="Times New Roman"/>
                <w:sz w:val="20"/>
                <w:szCs w:val="20"/>
                <w:lang w:val="fr-CA"/>
              </w:rPr>
            </w:pPr>
            <w:r w:rsidRPr="00252F95">
              <w:rPr>
                <w:rFonts w:cs="Times New Roman"/>
                <w:sz w:val="20"/>
                <w:szCs w:val="20"/>
                <w:lang w:val="fr-CA"/>
              </w:rPr>
              <w:t xml:space="preserve">2014 CSC 4, [2014] 1 R.C.S. </w:t>
            </w:r>
            <w:r w:rsidR="00252F95" w:rsidRPr="00252F95">
              <w:rPr>
                <w:rFonts w:cs="Times New Roman"/>
                <w:sz w:val="20"/>
                <w:szCs w:val="20"/>
                <w:lang w:val="fr-CA"/>
              </w:rPr>
              <w:t>78</w:t>
            </w:r>
          </w:p>
          <w:p w:rsidR="00AD191E" w:rsidRPr="00252F95" w:rsidRDefault="00AD191E" w:rsidP="002B056F">
            <w:pPr>
              <w:rPr>
                <w:rFonts w:cs="Times New Roman"/>
                <w:sz w:val="20"/>
                <w:szCs w:val="20"/>
                <w:lang w:val="fr-CA"/>
              </w:rPr>
            </w:pPr>
          </w:p>
          <w:p w:rsidR="00AD191E" w:rsidRPr="00213156" w:rsidRDefault="00AD191E" w:rsidP="00AD191E">
            <w:pPr>
              <w:rPr>
                <w:rFonts w:cs="Times New Roman"/>
                <w:sz w:val="20"/>
                <w:szCs w:val="20"/>
                <w:lang w:val="fr-CA"/>
              </w:rPr>
            </w:pPr>
            <w:r w:rsidRPr="00213156">
              <w:rPr>
                <w:rFonts w:cs="Times New Roman"/>
                <w:sz w:val="20"/>
                <w:szCs w:val="20"/>
                <w:lang w:val="fr-CA"/>
              </w:rPr>
              <w:t xml:space="preserve">R. </w:t>
            </w:r>
            <w:r w:rsidRPr="00213156">
              <w:rPr>
                <w:rFonts w:cs="Times New Roman"/>
                <w:i/>
                <w:iCs/>
                <w:sz w:val="20"/>
                <w:szCs w:val="20"/>
                <w:lang w:val="fr-CA"/>
              </w:rPr>
              <w:t>c</w:t>
            </w:r>
            <w:r w:rsidRPr="00213156">
              <w:rPr>
                <w:rFonts w:cs="Times New Roman"/>
                <w:sz w:val="20"/>
                <w:szCs w:val="20"/>
                <w:lang w:val="fr-CA"/>
              </w:rPr>
              <w:t xml:space="preserve">. </w:t>
            </w:r>
            <w:r w:rsidR="00252F95" w:rsidRPr="00213156">
              <w:rPr>
                <w:rFonts w:cs="Times New Roman"/>
                <w:sz w:val="20"/>
                <w:szCs w:val="20"/>
                <w:lang w:val="fr-CA"/>
              </w:rPr>
              <w:t>Flaviano,</w:t>
            </w:r>
          </w:p>
          <w:p w:rsidR="00AD191E" w:rsidRPr="00213156" w:rsidRDefault="00AD191E" w:rsidP="00AD191E">
            <w:pPr>
              <w:rPr>
                <w:rFonts w:cs="Times New Roman"/>
                <w:sz w:val="20"/>
                <w:szCs w:val="20"/>
                <w:lang w:val="fr-CA"/>
              </w:rPr>
            </w:pPr>
            <w:r w:rsidRPr="00213156">
              <w:rPr>
                <w:rFonts w:cs="Times New Roman"/>
                <w:sz w:val="20"/>
                <w:szCs w:val="20"/>
                <w:lang w:val="fr-CA"/>
              </w:rPr>
              <w:t xml:space="preserve">2014 CSC </w:t>
            </w:r>
            <w:r w:rsidR="00252F95" w:rsidRPr="00213156">
              <w:rPr>
                <w:rFonts w:cs="Times New Roman"/>
                <w:sz w:val="20"/>
                <w:szCs w:val="20"/>
                <w:lang w:val="fr-CA"/>
              </w:rPr>
              <w:t>14</w:t>
            </w:r>
            <w:r w:rsidRPr="00213156">
              <w:rPr>
                <w:rFonts w:cs="Times New Roman"/>
                <w:sz w:val="20"/>
                <w:szCs w:val="20"/>
                <w:lang w:val="fr-CA"/>
              </w:rPr>
              <w:t xml:space="preserve">, [2014] 1 R.C.S. </w:t>
            </w:r>
            <w:r w:rsidR="00252F95" w:rsidRPr="00213156">
              <w:rPr>
                <w:rFonts w:cs="Times New Roman"/>
                <w:sz w:val="20"/>
                <w:szCs w:val="20"/>
                <w:lang w:val="fr-CA"/>
              </w:rPr>
              <w:t>270</w:t>
            </w:r>
          </w:p>
          <w:p w:rsidR="00AD191E" w:rsidRPr="00213156" w:rsidRDefault="00AD191E" w:rsidP="002B056F">
            <w:pPr>
              <w:rPr>
                <w:rFonts w:cs="Times New Roman"/>
                <w:sz w:val="20"/>
                <w:szCs w:val="20"/>
                <w:lang w:val="fr-CA"/>
              </w:rPr>
            </w:pPr>
          </w:p>
          <w:p w:rsidR="00AD191E" w:rsidRPr="00252F95" w:rsidRDefault="00AD191E" w:rsidP="00AD191E">
            <w:pPr>
              <w:rPr>
                <w:rFonts w:cs="Times New Roman"/>
                <w:sz w:val="20"/>
                <w:szCs w:val="20"/>
                <w:lang w:val="fr-CA"/>
              </w:rPr>
            </w:pPr>
            <w:r w:rsidRPr="00252F95">
              <w:rPr>
                <w:rFonts w:cs="Times New Roman"/>
                <w:sz w:val="20"/>
                <w:szCs w:val="20"/>
                <w:lang w:val="fr-CA"/>
              </w:rPr>
              <w:t xml:space="preserve">R. </w:t>
            </w:r>
            <w:r w:rsidRPr="00252F95">
              <w:rPr>
                <w:rFonts w:cs="Times New Roman"/>
                <w:i/>
                <w:iCs/>
                <w:sz w:val="20"/>
                <w:szCs w:val="20"/>
                <w:lang w:val="fr-CA"/>
              </w:rPr>
              <w:t>c</w:t>
            </w:r>
            <w:r w:rsidRPr="00252F95">
              <w:rPr>
                <w:rFonts w:cs="Times New Roman"/>
                <w:sz w:val="20"/>
                <w:szCs w:val="20"/>
                <w:lang w:val="fr-CA"/>
              </w:rPr>
              <w:t xml:space="preserve">. </w:t>
            </w:r>
            <w:r w:rsidR="00252F95" w:rsidRPr="00252F95">
              <w:rPr>
                <w:rFonts w:cs="Times New Roman"/>
                <w:sz w:val="20"/>
                <w:szCs w:val="20"/>
                <w:lang w:val="fr-CA"/>
              </w:rPr>
              <w:t>James,</w:t>
            </w:r>
          </w:p>
          <w:p w:rsidR="00AD191E" w:rsidRPr="00252F95" w:rsidRDefault="00AD191E" w:rsidP="00AD191E">
            <w:pPr>
              <w:rPr>
                <w:rFonts w:cs="Times New Roman"/>
                <w:sz w:val="20"/>
                <w:szCs w:val="20"/>
                <w:lang w:val="fr-CA"/>
              </w:rPr>
            </w:pPr>
            <w:r w:rsidRPr="00252F95">
              <w:rPr>
                <w:rFonts w:cs="Times New Roman"/>
                <w:sz w:val="20"/>
                <w:szCs w:val="20"/>
                <w:lang w:val="fr-CA"/>
              </w:rPr>
              <w:t xml:space="preserve">2014 CSC </w:t>
            </w:r>
            <w:r w:rsidR="00252F95" w:rsidRPr="00252F95">
              <w:rPr>
                <w:rFonts w:cs="Times New Roman"/>
                <w:sz w:val="20"/>
                <w:szCs w:val="20"/>
                <w:lang w:val="fr-CA"/>
              </w:rPr>
              <w:t>5</w:t>
            </w:r>
            <w:r w:rsidRPr="00252F95">
              <w:rPr>
                <w:rFonts w:cs="Times New Roman"/>
                <w:sz w:val="20"/>
                <w:szCs w:val="20"/>
                <w:lang w:val="fr-CA"/>
              </w:rPr>
              <w:t xml:space="preserve">, [2014] 1 R.C.S. </w:t>
            </w:r>
            <w:r w:rsidR="00252F95" w:rsidRPr="00252F95">
              <w:rPr>
                <w:rFonts w:cs="Times New Roman"/>
                <w:sz w:val="20"/>
                <w:szCs w:val="20"/>
                <w:lang w:val="fr-CA"/>
              </w:rPr>
              <w:t>80</w:t>
            </w:r>
          </w:p>
          <w:p w:rsidR="00AD191E" w:rsidRPr="00252F95" w:rsidRDefault="00AD191E" w:rsidP="002B056F">
            <w:pPr>
              <w:rPr>
                <w:rFonts w:cs="Times New Roman"/>
                <w:sz w:val="20"/>
                <w:szCs w:val="20"/>
                <w:lang w:val="fr-CA"/>
              </w:rPr>
            </w:pPr>
          </w:p>
          <w:p w:rsidR="00AD191E" w:rsidRPr="00252F95" w:rsidRDefault="00AD191E" w:rsidP="00AD191E">
            <w:pPr>
              <w:rPr>
                <w:rFonts w:cs="Times New Roman"/>
                <w:sz w:val="20"/>
                <w:szCs w:val="20"/>
                <w:lang w:val="fr-CA"/>
              </w:rPr>
            </w:pPr>
            <w:r w:rsidRPr="00252F95">
              <w:rPr>
                <w:rFonts w:cs="Times New Roman"/>
                <w:sz w:val="20"/>
                <w:szCs w:val="20"/>
                <w:lang w:val="fr-CA"/>
              </w:rPr>
              <w:t xml:space="preserve">R. </w:t>
            </w:r>
            <w:r w:rsidRPr="00252F95">
              <w:rPr>
                <w:rFonts w:cs="Times New Roman"/>
                <w:i/>
                <w:iCs/>
                <w:sz w:val="20"/>
                <w:szCs w:val="20"/>
                <w:lang w:val="fr-CA"/>
              </w:rPr>
              <w:t>c</w:t>
            </w:r>
            <w:r w:rsidRPr="00252F95">
              <w:rPr>
                <w:rFonts w:cs="Times New Roman"/>
                <w:sz w:val="20"/>
                <w:szCs w:val="20"/>
                <w:lang w:val="fr-CA"/>
              </w:rPr>
              <w:t xml:space="preserve">. </w:t>
            </w:r>
            <w:r w:rsidR="00252F95" w:rsidRPr="00252F95">
              <w:rPr>
                <w:rFonts w:cs="Times New Roman"/>
                <w:sz w:val="20"/>
                <w:szCs w:val="20"/>
                <w:lang w:val="fr-CA"/>
              </w:rPr>
              <w:t>Koczab,</w:t>
            </w:r>
          </w:p>
          <w:p w:rsidR="00AD191E" w:rsidRPr="00252F95" w:rsidRDefault="00AD191E" w:rsidP="00AD191E">
            <w:pPr>
              <w:rPr>
                <w:rFonts w:cs="Times New Roman"/>
                <w:sz w:val="20"/>
                <w:szCs w:val="20"/>
                <w:lang w:val="fr-CA"/>
              </w:rPr>
            </w:pPr>
            <w:r w:rsidRPr="00252F95">
              <w:rPr>
                <w:rFonts w:cs="Times New Roman"/>
                <w:sz w:val="20"/>
                <w:szCs w:val="20"/>
                <w:lang w:val="fr-CA"/>
              </w:rPr>
              <w:t xml:space="preserve">2014 CSC </w:t>
            </w:r>
            <w:r w:rsidR="00252F95">
              <w:rPr>
                <w:rFonts w:cs="Times New Roman"/>
                <w:sz w:val="20"/>
                <w:szCs w:val="20"/>
                <w:lang w:val="fr-CA"/>
              </w:rPr>
              <w:t>9</w:t>
            </w:r>
            <w:r w:rsidRPr="00252F95">
              <w:rPr>
                <w:rFonts w:cs="Times New Roman"/>
                <w:sz w:val="20"/>
                <w:szCs w:val="20"/>
                <w:lang w:val="fr-CA"/>
              </w:rPr>
              <w:t xml:space="preserve">, [2014] 1 R.C.S. </w:t>
            </w:r>
            <w:r w:rsidR="00252F95">
              <w:rPr>
                <w:rFonts w:cs="Times New Roman"/>
                <w:sz w:val="20"/>
                <w:szCs w:val="20"/>
                <w:lang w:val="fr-CA"/>
              </w:rPr>
              <w:t>1</w:t>
            </w:r>
            <w:r w:rsidRPr="00252F95">
              <w:rPr>
                <w:rFonts w:cs="Times New Roman"/>
                <w:sz w:val="20"/>
                <w:szCs w:val="20"/>
                <w:lang w:val="fr-CA"/>
              </w:rPr>
              <w:t>3</w:t>
            </w:r>
            <w:r w:rsidR="00252F95">
              <w:rPr>
                <w:rFonts w:cs="Times New Roman"/>
                <w:sz w:val="20"/>
                <w:szCs w:val="20"/>
                <w:lang w:val="fr-CA"/>
              </w:rPr>
              <w:t>8</w:t>
            </w:r>
          </w:p>
          <w:p w:rsidR="00AD191E" w:rsidRPr="00252F95" w:rsidRDefault="00AD191E" w:rsidP="002B056F">
            <w:pPr>
              <w:rPr>
                <w:rFonts w:cs="Times New Roman"/>
                <w:sz w:val="20"/>
                <w:szCs w:val="20"/>
                <w:lang w:val="fr-CA"/>
              </w:rPr>
            </w:pPr>
          </w:p>
          <w:p w:rsidR="00AD191E" w:rsidRPr="00213156" w:rsidRDefault="00AD191E" w:rsidP="00AD191E">
            <w:pPr>
              <w:rPr>
                <w:rFonts w:cs="Times New Roman"/>
                <w:sz w:val="20"/>
                <w:szCs w:val="20"/>
              </w:rPr>
            </w:pPr>
            <w:r w:rsidRPr="00213156">
              <w:rPr>
                <w:rFonts w:cs="Times New Roman"/>
                <w:sz w:val="20"/>
                <w:szCs w:val="20"/>
              </w:rPr>
              <w:t xml:space="preserve">R. </w:t>
            </w:r>
            <w:r w:rsidRPr="00213156">
              <w:rPr>
                <w:rFonts w:cs="Times New Roman"/>
                <w:i/>
                <w:iCs/>
                <w:sz w:val="20"/>
                <w:szCs w:val="20"/>
              </w:rPr>
              <w:t>c</w:t>
            </w:r>
            <w:r w:rsidRPr="00213156">
              <w:rPr>
                <w:rFonts w:cs="Times New Roman"/>
                <w:sz w:val="20"/>
                <w:szCs w:val="20"/>
              </w:rPr>
              <w:t xml:space="preserve">. </w:t>
            </w:r>
            <w:r w:rsidR="00252F95" w:rsidRPr="00213156">
              <w:rPr>
                <w:rFonts w:cs="Times New Roman"/>
                <w:sz w:val="20"/>
                <w:szCs w:val="20"/>
              </w:rPr>
              <w:t>MacDonald,</w:t>
            </w:r>
          </w:p>
          <w:p w:rsidR="00AD191E" w:rsidRPr="00213156" w:rsidRDefault="00AD191E" w:rsidP="00AD191E">
            <w:pPr>
              <w:rPr>
                <w:rFonts w:cs="Times New Roman"/>
                <w:sz w:val="20"/>
                <w:szCs w:val="20"/>
              </w:rPr>
            </w:pPr>
            <w:r w:rsidRPr="00213156">
              <w:rPr>
                <w:rFonts w:cs="Times New Roman"/>
                <w:sz w:val="20"/>
                <w:szCs w:val="20"/>
              </w:rPr>
              <w:t>2014 CSC 3, [2014] 1 R.C.S. 3</w:t>
            </w:r>
            <w:r w:rsidR="00252F95" w:rsidRPr="00213156">
              <w:rPr>
                <w:rFonts w:cs="Times New Roman"/>
                <w:sz w:val="20"/>
                <w:szCs w:val="20"/>
              </w:rPr>
              <w:t>7</w:t>
            </w:r>
          </w:p>
          <w:p w:rsidR="00AD191E" w:rsidRPr="00213156" w:rsidRDefault="00AD191E" w:rsidP="002B056F">
            <w:pPr>
              <w:rPr>
                <w:rFonts w:cs="Times New Roman"/>
                <w:sz w:val="20"/>
                <w:szCs w:val="20"/>
              </w:rPr>
            </w:pPr>
          </w:p>
          <w:p w:rsidR="00AD191E" w:rsidRPr="00213156" w:rsidRDefault="00AD191E" w:rsidP="00AD191E">
            <w:pPr>
              <w:rPr>
                <w:rFonts w:cs="Times New Roman"/>
                <w:sz w:val="20"/>
                <w:szCs w:val="20"/>
              </w:rPr>
            </w:pPr>
            <w:r w:rsidRPr="00213156">
              <w:rPr>
                <w:rFonts w:cs="Times New Roman"/>
                <w:sz w:val="20"/>
                <w:szCs w:val="20"/>
              </w:rPr>
              <w:t xml:space="preserve">R. </w:t>
            </w:r>
            <w:r w:rsidRPr="00213156">
              <w:rPr>
                <w:rFonts w:cs="Times New Roman"/>
                <w:i/>
                <w:iCs/>
                <w:sz w:val="20"/>
                <w:szCs w:val="20"/>
              </w:rPr>
              <w:t>c</w:t>
            </w:r>
            <w:r w:rsidRPr="00213156">
              <w:rPr>
                <w:rFonts w:cs="Times New Roman"/>
                <w:sz w:val="20"/>
                <w:szCs w:val="20"/>
              </w:rPr>
              <w:t xml:space="preserve">. </w:t>
            </w:r>
            <w:r w:rsidR="00252F95" w:rsidRPr="00213156">
              <w:rPr>
                <w:rFonts w:cs="Times New Roman"/>
                <w:sz w:val="20"/>
                <w:szCs w:val="20"/>
              </w:rPr>
              <w:t>Sekhon,</w:t>
            </w:r>
          </w:p>
          <w:p w:rsidR="00AD191E" w:rsidRPr="00213156" w:rsidRDefault="00AD191E" w:rsidP="00AD191E">
            <w:pPr>
              <w:rPr>
                <w:rFonts w:cs="Times New Roman"/>
                <w:sz w:val="20"/>
                <w:szCs w:val="20"/>
              </w:rPr>
            </w:pPr>
            <w:r w:rsidRPr="00213156">
              <w:rPr>
                <w:rFonts w:cs="Times New Roman"/>
                <w:sz w:val="20"/>
                <w:szCs w:val="20"/>
              </w:rPr>
              <w:t xml:space="preserve">2014 CSC </w:t>
            </w:r>
            <w:r w:rsidR="00252F95" w:rsidRPr="00213156">
              <w:rPr>
                <w:rFonts w:cs="Times New Roman"/>
                <w:sz w:val="20"/>
                <w:szCs w:val="20"/>
              </w:rPr>
              <w:t>15</w:t>
            </w:r>
            <w:r w:rsidRPr="00213156">
              <w:rPr>
                <w:rFonts w:cs="Times New Roman"/>
                <w:sz w:val="20"/>
                <w:szCs w:val="20"/>
              </w:rPr>
              <w:t xml:space="preserve">, [2014] 1 R.C.S. </w:t>
            </w:r>
            <w:r w:rsidR="00252F95" w:rsidRPr="00213156">
              <w:rPr>
                <w:rFonts w:cs="Times New Roman"/>
                <w:sz w:val="20"/>
                <w:szCs w:val="20"/>
              </w:rPr>
              <w:t>272</w:t>
            </w:r>
          </w:p>
          <w:p w:rsidR="00AD191E" w:rsidRPr="00213156" w:rsidRDefault="00AD191E" w:rsidP="002B056F">
            <w:pPr>
              <w:rPr>
                <w:rFonts w:cs="Times New Roman"/>
                <w:sz w:val="20"/>
                <w:szCs w:val="20"/>
              </w:rPr>
            </w:pPr>
          </w:p>
          <w:p w:rsidR="00AD191E" w:rsidRPr="00213156" w:rsidRDefault="00AD191E" w:rsidP="00AD191E">
            <w:pPr>
              <w:rPr>
                <w:rFonts w:cs="Times New Roman"/>
                <w:sz w:val="20"/>
                <w:szCs w:val="20"/>
              </w:rPr>
            </w:pPr>
            <w:r w:rsidRPr="00213156">
              <w:rPr>
                <w:rFonts w:cs="Times New Roman"/>
                <w:sz w:val="20"/>
                <w:szCs w:val="20"/>
              </w:rPr>
              <w:t xml:space="preserve">R. </w:t>
            </w:r>
            <w:r w:rsidRPr="00213156">
              <w:rPr>
                <w:rFonts w:cs="Times New Roman"/>
                <w:i/>
                <w:iCs/>
                <w:sz w:val="20"/>
                <w:szCs w:val="20"/>
              </w:rPr>
              <w:t>c</w:t>
            </w:r>
            <w:r w:rsidRPr="00213156">
              <w:rPr>
                <w:rFonts w:cs="Times New Roman"/>
                <w:sz w:val="20"/>
                <w:szCs w:val="20"/>
              </w:rPr>
              <w:t xml:space="preserve">. </w:t>
            </w:r>
            <w:r w:rsidR="00252F95" w:rsidRPr="00213156">
              <w:rPr>
                <w:rFonts w:cs="Times New Roman"/>
                <w:sz w:val="20"/>
                <w:szCs w:val="20"/>
              </w:rPr>
              <w:t>W.E.B.,</w:t>
            </w:r>
          </w:p>
          <w:p w:rsidR="00AD191E" w:rsidRPr="00213156" w:rsidRDefault="00AD191E" w:rsidP="00AD191E">
            <w:pPr>
              <w:rPr>
                <w:rFonts w:cs="Times New Roman"/>
                <w:sz w:val="20"/>
                <w:szCs w:val="20"/>
              </w:rPr>
            </w:pPr>
            <w:r w:rsidRPr="00213156">
              <w:rPr>
                <w:rFonts w:cs="Times New Roman"/>
                <w:sz w:val="20"/>
                <w:szCs w:val="20"/>
              </w:rPr>
              <w:t xml:space="preserve">2014 CSC </w:t>
            </w:r>
            <w:r w:rsidR="00252F95" w:rsidRPr="00213156">
              <w:rPr>
                <w:rFonts w:cs="Times New Roman"/>
                <w:sz w:val="20"/>
                <w:szCs w:val="20"/>
              </w:rPr>
              <w:t>2</w:t>
            </w:r>
            <w:r w:rsidRPr="00213156">
              <w:rPr>
                <w:rFonts w:cs="Times New Roman"/>
                <w:sz w:val="20"/>
                <w:szCs w:val="20"/>
              </w:rPr>
              <w:t>, [2014] 1 R.C.S. 3</w:t>
            </w:r>
            <w:r w:rsidR="00252F95" w:rsidRPr="00213156">
              <w:rPr>
                <w:rFonts w:cs="Times New Roman"/>
                <w:sz w:val="20"/>
                <w:szCs w:val="20"/>
              </w:rPr>
              <w:t>4</w:t>
            </w:r>
          </w:p>
          <w:p w:rsidR="00AD191E" w:rsidRPr="00213156" w:rsidRDefault="00AD191E" w:rsidP="002B056F">
            <w:pPr>
              <w:rPr>
                <w:rFonts w:cs="Times New Roman"/>
                <w:sz w:val="20"/>
                <w:szCs w:val="20"/>
              </w:rPr>
            </w:pPr>
          </w:p>
          <w:p w:rsidR="00AD191E" w:rsidRPr="00252F95" w:rsidRDefault="00AD191E" w:rsidP="00AD191E">
            <w:pPr>
              <w:rPr>
                <w:rFonts w:cs="Times New Roman"/>
                <w:sz w:val="20"/>
                <w:szCs w:val="20"/>
                <w:lang w:val="fr-CA"/>
              </w:rPr>
            </w:pPr>
            <w:r w:rsidRPr="00252F95">
              <w:rPr>
                <w:rFonts w:cs="Times New Roman"/>
                <w:sz w:val="20"/>
                <w:szCs w:val="20"/>
                <w:lang w:val="fr-CA"/>
              </w:rPr>
              <w:t xml:space="preserve">R. </w:t>
            </w:r>
            <w:r w:rsidRPr="00252F95">
              <w:rPr>
                <w:rFonts w:cs="Times New Roman"/>
                <w:i/>
                <w:iCs/>
                <w:sz w:val="20"/>
                <w:szCs w:val="20"/>
                <w:lang w:val="fr-CA"/>
              </w:rPr>
              <w:t>c</w:t>
            </w:r>
            <w:r w:rsidRPr="00252F95">
              <w:rPr>
                <w:rFonts w:cs="Times New Roman"/>
                <w:sz w:val="20"/>
                <w:szCs w:val="20"/>
                <w:lang w:val="fr-CA"/>
              </w:rPr>
              <w:t xml:space="preserve">. </w:t>
            </w:r>
            <w:r w:rsidR="00252F95" w:rsidRPr="00252F95">
              <w:rPr>
                <w:rFonts w:cs="Times New Roman"/>
                <w:sz w:val="20"/>
                <w:szCs w:val="20"/>
                <w:lang w:val="fr-CA"/>
              </w:rPr>
              <w:t>Yelle,</w:t>
            </w:r>
          </w:p>
          <w:p w:rsidR="00AD191E" w:rsidRPr="00252F95" w:rsidRDefault="00AD191E" w:rsidP="00AD191E">
            <w:pPr>
              <w:rPr>
                <w:rFonts w:cs="Times New Roman"/>
                <w:sz w:val="20"/>
                <w:szCs w:val="20"/>
                <w:lang w:val="fr-CA"/>
              </w:rPr>
            </w:pPr>
            <w:r w:rsidRPr="00252F95">
              <w:rPr>
                <w:rFonts w:cs="Times New Roman"/>
                <w:sz w:val="20"/>
                <w:szCs w:val="20"/>
                <w:lang w:val="fr-CA"/>
              </w:rPr>
              <w:t xml:space="preserve">2014 CSC </w:t>
            </w:r>
            <w:r w:rsidR="00252F95" w:rsidRPr="00252F95">
              <w:rPr>
                <w:rFonts w:cs="Times New Roman"/>
                <w:sz w:val="20"/>
                <w:szCs w:val="20"/>
                <w:lang w:val="fr-CA"/>
              </w:rPr>
              <w:t>10</w:t>
            </w:r>
            <w:r w:rsidRPr="00252F95">
              <w:rPr>
                <w:rFonts w:cs="Times New Roman"/>
                <w:sz w:val="20"/>
                <w:szCs w:val="20"/>
                <w:lang w:val="fr-CA"/>
              </w:rPr>
              <w:t xml:space="preserve">, [2014] 1 R.C.S. </w:t>
            </w:r>
            <w:r w:rsidR="00252F95" w:rsidRPr="00252F95">
              <w:rPr>
                <w:rFonts w:cs="Times New Roman"/>
                <w:sz w:val="20"/>
                <w:szCs w:val="20"/>
                <w:lang w:val="fr-CA"/>
              </w:rPr>
              <w:t>140</w:t>
            </w:r>
          </w:p>
          <w:p w:rsidR="00AD191E" w:rsidRPr="00252F95" w:rsidRDefault="00AD191E" w:rsidP="002B056F">
            <w:pPr>
              <w:rPr>
                <w:rFonts w:cs="Times New Roman"/>
                <w:sz w:val="20"/>
                <w:szCs w:val="20"/>
                <w:lang w:val="fr-CA"/>
              </w:rPr>
            </w:pPr>
          </w:p>
          <w:p w:rsidR="00A956D3" w:rsidRPr="00252F95" w:rsidRDefault="00252F95" w:rsidP="002B056F">
            <w:pPr>
              <w:keepNext/>
              <w:keepLines/>
              <w:rPr>
                <w:rFonts w:cs="Times New Roman"/>
                <w:bCs/>
                <w:sz w:val="20"/>
                <w:szCs w:val="20"/>
              </w:rPr>
            </w:pPr>
            <w:r w:rsidRPr="00694287">
              <w:rPr>
                <w:rFonts w:cs="Times New Roman"/>
                <w:sz w:val="20"/>
                <w:szCs w:val="20"/>
              </w:rPr>
              <w:t>Telecommunications Employees Association of Manitoba Inc.</w:t>
            </w:r>
            <w:r w:rsidR="00A956D3" w:rsidRPr="00252F95">
              <w:rPr>
                <w:rFonts w:cs="Times New Roman"/>
                <w:sz w:val="20"/>
                <w:szCs w:val="20"/>
              </w:rPr>
              <w:t xml:space="preserve"> </w:t>
            </w:r>
            <w:r w:rsidR="00A956D3" w:rsidRPr="00252F95">
              <w:rPr>
                <w:rFonts w:cs="Times New Roman"/>
                <w:i/>
                <w:iCs/>
                <w:sz w:val="20"/>
                <w:szCs w:val="20"/>
              </w:rPr>
              <w:t>c</w:t>
            </w:r>
            <w:r w:rsidR="00A956D3" w:rsidRPr="00252F95">
              <w:rPr>
                <w:rFonts w:cs="Times New Roman"/>
                <w:sz w:val="20"/>
                <w:szCs w:val="20"/>
              </w:rPr>
              <w:t xml:space="preserve">. </w:t>
            </w:r>
            <w:r>
              <w:rPr>
                <w:rFonts w:cs="Times New Roman"/>
                <w:sz w:val="20"/>
                <w:szCs w:val="20"/>
              </w:rPr>
              <w:t>M</w:t>
            </w:r>
            <w:r w:rsidRPr="00694287">
              <w:rPr>
                <w:rFonts w:cs="Times New Roman"/>
                <w:sz w:val="20"/>
                <w:szCs w:val="20"/>
              </w:rPr>
              <w:t>an</w:t>
            </w:r>
            <w:r>
              <w:rPr>
                <w:rFonts w:cs="Times New Roman"/>
                <w:sz w:val="20"/>
                <w:szCs w:val="20"/>
              </w:rPr>
              <w:t>itob</w:t>
            </w:r>
            <w:r w:rsidRPr="00694287">
              <w:rPr>
                <w:rFonts w:cs="Times New Roman"/>
                <w:sz w:val="20"/>
                <w:szCs w:val="20"/>
              </w:rPr>
              <w:t>a</w:t>
            </w:r>
            <w:r>
              <w:rPr>
                <w:rFonts w:cs="Times New Roman"/>
                <w:sz w:val="20"/>
                <w:szCs w:val="20"/>
              </w:rPr>
              <w:t xml:space="preserve"> Tel</w:t>
            </w:r>
            <w:r w:rsidRPr="00694287">
              <w:rPr>
                <w:rFonts w:cs="Times New Roman"/>
                <w:sz w:val="20"/>
                <w:szCs w:val="20"/>
              </w:rPr>
              <w:t>e</w:t>
            </w:r>
            <w:r>
              <w:rPr>
                <w:rFonts w:cs="Times New Roman"/>
                <w:sz w:val="20"/>
                <w:szCs w:val="20"/>
              </w:rPr>
              <w:t>com Services</w:t>
            </w:r>
            <w:r w:rsidRPr="00694287">
              <w:rPr>
                <w:rFonts w:cs="Times New Roman"/>
                <w:sz w:val="20"/>
                <w:szCs w:val="20"/>
              </w:rPr>
              <w:t xml:space="preserve"> </w:t>
            </w:r>
            <w:r>
              <w:rPr>
                <w:rFonts w:cs="Times New Roman"/>
                <w:sz w:val="20"/>
                <w:szCs w:val="20"/>
              </w:rPr>
              <w:t>Inc</w:t>
            </w:r>
            <w:r w:rsidRPr="00694287">
              <w:rPr>
                <w:rFonts w:cs="Times New Roman"/>
                <w:sz w:val="20"/>
                <w:szCs w:val="20"/>
              </w:rPr>
              <w:t>.</w:t>
            </w:r>
            <w:r w:rsidR="00A956D3" w:rsidRPr="00252F95">
              <w:rPr>
                <w:rFonts w:cs="Times New Roman"/>
                <w:sz w:val="20"/>
                <w:szCs w:val="20"/>
              </w:rPr>
              <w:t>,</w:t>
            </w:r>
          </w:p>
          <w:p w:rsidR="00A956D3" w:rsidRPr="00213156" w:rsidRDefault="00A956D3" w:rsidP="002B056F">
            <w:pPr>
              <w:rPr>
                <w:rFonts w:cs="Times New Roman"/>
                <w:sz w:val="20"/>
                <w:szCs w:val="20"/>
                <w:lang w:val="fr-CA"/>
              </w:rPr>
            </w:pPr>
            <w:r w:rsidRPr="00213156">
              <w:rPr>
                <w:rFonts w:cs="Times New Roman"/>
                <w:sz w:val="20"/>
                <w:szCs w:val="20"/>
                <w:lang w:val="fr-CA"/>
              </w:rPr>
              <w:t>201</w:t>
            </w:r>
            <w:r w:rsidR="00D7103E" w:rsidRPr="00213156">
              <w:rPr>
                <w:rFonts w:cs="Times New Roman"/>
                <w:sz w:val="20"/>
                <w:szCs w:val="20"/>
                <w:lang w:val="fr-CA"/>
              </w:rPr>
              <w:t>4</w:t>
            </w:r>
            <w:r w:rsidRPr="00213156">
              <w:rPr>
                <w:rFonts w:cs="Times New Roman"/>
                <w:sz w:val="20"/>
                <w:szCs w:val="20"/>
                <w:lang w:val="fr-CA"/>
              </w:rPr>
              <w:t xml:space="preserve"> CSC </w:t>
            </w:r>
            <w:r w:rsidR="00252F95" w:rsidRPr="00213156">
              <w:rPr>
                <w:rFonts w:cs="Times New Roman"/>
                <w:sz w:val="20"/>
                <w:szCs w:val="20"/>
                <w:lang w:val="fr-CA"/>
              </w:rPr>
              <w:t>11</w:t>
            </w:r>
            <w:r w:rsidRPr="00213156">
              <w:rPr>
                <w:rFonts w:cs="Times New Roman"/>
                <w:sz w:val="20"/>
                <w:szCs w:val="20"/>
                <w:lang w:val="fr-CA"/>
              </w:rPr>
              <w:t>, [201</w:t>
            </w:r>
            <w:r w:rsidR="00D7103E" w:rsidRPr="00213156">
              <w:rPr>
                <w:rFonts w:cs="Times New Roman"/>
                <w:sz w:val="20"/>
                <w:szCs w:val="20"/>
                <w:lang w:val="fr-CA"/>
              </w:rPr>
              <w:t>4</w:t>
            </w:r>
            <w:r w:rsidRPr="00213156">
              <w:rPr>
                <w:rFonts w:cs="Times New Roman"/>
                <w:sz w:val="20"/>
                <w:szCs w:val="20"/>
                <w:lang w:val="fr-CA"/>
              </w:rPr>
              <w:t xml:space="preserve">] </w:t>
            </w:r>
            <w:r w:rsidR="00D7103E" w:rsidRPr="00213156">
              <w:rPr>
                <w:rFonts w:cs="Times New Roman"/>
                <w:sz w:val="20"/>
                <w:szCs w:val="20"/>
                <w:lang w:val="fr-CA"/>
              </w:rPr>
              <w:t>1</w:t>
            </w:r>
            <w:r w:rsidRPr="00213156">
              <w:rPr>
                <w:rFonts w:cs="Times New Roman"/>
                <w:sz w:val="20"/>
                <w:szCs w:val="20"/>
                <w:lang w:val="fr-CA"/>
              </w:rPr>
              <w:t xml:space="preserve"> R.C.S. 1</w:t>
            </w:r>
            <w:r w:rsidR="00252F95" w:rsidRPr="00213156">
              <w:rPr>
                <w:rFonts w:cs="Times New Roman"/>
                <w:sz w:val="20"/>
                <w:szCs w:val="20"/>
                <w:lang w:val="fr-CA"/>
              </w:rPr>
              <w:t>4</w:t>
            </w:r>
            <w:r w:rsidRPr="00213156">
              <w:rPr>
                <w:rFonts w:cs="Times New Roman"/>
                <w:sz w:val="20"/>
                <w:szCs w:val="20"/>
                <w:lang w:val="fr-CA"/>
              </w:rPr>
              <w:t>2</w:t>
            </w:r>
          </w:p>
          <w:p w:rsidR="00A956D3" w:rsidRPr="00213156" w:rsidRDefault="00A956D3" w:rsidP="002B056F">
            <w:pPr>
              <w:keepNext/>
              <w:keepLines/>
              <w:rPr>
                <w:rFonts w:cs="Times New Roman"/>
                <w:bCs/>
                <w:sz w:val="20"/>
                <w:szCs w:val="20"/>
                <w:lang w:val="fr-CA"/>
              </w:rPr>
            </w:pPr>
          </w:p>
          <w:p w:rsidR="00252F95" w:rsidRPr="00213156" w:rsidRDefault="00252F95" w:rsidP="002B056F">
            <w:pPr>
              <w:keepNext/>
              <w:keepLines/>
              <w:rPr>
                <w:rFonts w:cs="Times New Roman"/>
                <w:bCs/>
                <w:sz w:val="20"/>
                <w:szCs w:val="20"/>
                <w:lang w:val="fr-CA"/>
              </w:rPr>
            </w:pPr>
          </w:p>
          <w:p w:rsidR="00252F95" w:rsidRPr="00213156" w:rsidRDefault="00252F95" w:rsidP="002B056F">
            <w:pPr>
              <w:keepNext/>
              <w:keepLines/>
              <w:rPr>
                <w:rFonts w:cs="Times New Roman"/>
                <w:bCs/>
                <w:sz w:val="20"/>
                <w:szCs w:val="20"/>
                <w:lang w:val="fr-CA"/>
              </w:rPr>
            </w:pPr>
          </w:p>
          <w:p w:rsidR="00252F95" w:rsidRPr="00213156" w:rsidRDefault="00252F95" w:rsidP="002B056F">
            <w:pPr>
              <w:keepNext/>
              <w:keepLines/>
              <w:rPr>
                <w:rFonts w:cs="Times New Roman"/>
                <w:bCs/>
                <w:sz w:val="20"/>
                <w:szCs w:val="20"/>
                <w:lang w:val="fr-CA"/>
              </w:rPr>
            </w:pPr>
          </w:p>
          <w:p w:rsidR="00AD191E" w:rsidRPr="00252F95" w:rsidRDefault="00252F95" w:rsidP="00AD191E">
            <w:pPr>
              <w:keepNext/>
              <w:keepLines/>
              <w:rPr>
                <w:rFonts w:cs="Times New Roman"/>
                <w:bCs/>
                <w:sz w:val="20"/>
                <w:szCs w:val="20"/>
                <w:lang w:val="fr-CA"/>
              </w:rPr>
            </w:pPr>
            <w:r w:rsidRPr="00252F95">
              <w:rPr>
                <w:rFonts w:cs="Times New Roman"/>
                <w:sz w:val="20"/>
                <w:szCs w:val="20"/>
                <w:lang w:val="fr-CA"/>
              </w:rPr>
              <w:lastRenderedPageBreak/>
              <w:t>Vivendi Canada Inc.</w:t>
            </w:r>
            <w:r w:rsidR="00AD191E" w:rsidRPr="00252F95">
              <w:rPr>
                <w:rFonts w:cs="Times New Roman"/>
                <w:sz w:val="20"/>
                <w:szCs w:val="20"/>
                <w:lang w:val="fr-CA"/>
              </w:rPr>
              <w:t xml:space="preserve"> </w:t>
            </w:r>
            <w:r w:rsidR="00AD191E" w:rsidRPr="00252F95">
              <w:rPr>
                <w:rFonts w:cs="Times New Roman"/>
                <w:i/>
                <w:iCs/>
                <w:sz w:val="20"/>
                <w:szCs w:val="20"/>
                <w:lang w:val="fr-CA"/>
              </w:rPr>
              <w:t>c</w:t>
            </w:r>
            <w:r w:rsidR="00AD191E" w:rsidRPr="00252F95">
              <w:rPr>
                <w:rFonts w:cs="Times New Roman"/>
                <w:sz w:val="20"/>
                <w:szCs w:val="20"/>
                <w:lang w:val="fr-CA"/>
              </w:rPr>
              <w:t xml:space="preserve">. </w:t>
            </w:r>
            <w:r w:rsidRPr="00252F95">
              <w:rPr>
                <w:rFonts w:cs="Times New Roman"/>
                <w:sz w:val="20"/>
                <w:szCs w:val="20"/>
                <w:lang w:val="fr-CA"/>
              </w:rPr>
              <w:t>D</w:t>
            </w:r>
            <w:r w:rsidR="00AD191E" w:rsidRPr="00252F95">
              <w:rPr>
                <w:rFonts w:cs="Times New Roman"/>
                <w:sz w:val="20"/>
                <w:szCs w:val="20"/>
                <w:lang w:val="fr-CA"/>
              </w:rPr>
              <w:t>e</w:t>
            </w:r>
            <w:r w:rsidRPr="00252F95">
              <w:rPr>
                <w:rFonts w:cs="Times New Roman"/>
                <w:sz w:val="20"/>
                <w:szCs w:val="20"/>
                <w:lang w:val="fr-CA"/>
              </w:rPr>
              <w:t>ll’Aniello</w:t>
            </w:r>
            <w:r w:rsidR="00AD191E" w:rsidRPr="00252F95">
              <w:rPr>
                <w:rFonts w:cs="Times New Roman"/>
                <w:sz w:val="20"/>
                <w:szCs w:val="20"/>
                <w:lang w:val="fr-CA"/>
              </w:rPr>
              <w:t>,</w:t>
            </w:r>
          </w:p>
          <w:p w:rsidR="00AD191E" w:rsidRPr="00FF4756" w:rsidRDefault="00AD191E" w:rsidP="00AD191E">
            <w:pPr>
              <w:rPr>
                <w:rFonts w:cs="Times New Roman"/>
                <w:sz w:val="20"/>
                <w:szCs w:val="20"/>
              </w:rPr>
            </w:pPr>
            <w:r w:rsidRPr="00FF4756">
              <w:rPr>
                <w:rFonts w:cs="Times New Roman"/>
                <w:sz w:val="20"/>
                <w:szCs w:val="20"/>
              </w:rPr>
              <w:t>201</w:t>
            </w:r>
            <w:r>
              <w:rPr>
                <w:rFonts w:cs="Times New Roman"/>
                <w:sz w:val="20"/>
                <w:szCs w:val="20"/>
              </w:rPr>
              <w:t>4</w:t>
            </w:r>
            <w:r w:rsidRPr="00FF4756">
              <w:rPr>
                <w:rFonts w:cs="Times New Roman"/>
                <w:sz w:val="20"/>
                <w:szCs w:val="20"/>
              </w:rPr>
              <w:t xml:space="preserve"> CSC </w:t>
            </w:r>
            <w:r w:rsidR="00252F95">
              <w:rPr>
                <w:rFonts w:cs="Times New Roman"/>
                <w:sz w:val="20"/>
                <w:szCs w:val="20"/>
              </w:rPr>
              <w:t>1</w:t>
            </w:r>
            <w:r w:rsidRPr="00FF4756">
              <w:rPr>
                <w:rFonts w:cs="Times New Roman"/>
                <w:sz w:val="20"/>
                <w:szCs w:val="20"/>
              </w:rPr>
              <w:t>, [201</w:t>
            </w:r>
            <w:r>
              <w:rPr>
                <w:rFonts w:cs="Times New Roman"/>
                <w:sz w:val="20"/>
                <w:szCs w:val="20"/>
              </w:rPr>
              <w:t>4</w:t>
            </w:r>
            <w:r w:rsidRPr="00FF4756">
              <w:rPr>
                <w:rFonts w:cs="Times New Roman"/>
                <w:sz w:val="20"/>
                <w:szCs w:val="20"/>
              </w:rPr>
              <w:t xml:space="preserve">] </w:t>
            </w:r>
            <w:r>
              <w:rPr>
                <w:rFonts w:cs="Times New Roman"/>
                <w:sz w:val="20"/>
                <w:szCs w:val="20"/>
              </w:rPr>
              <w:t>1</w:t>
            </w:r>
            <w:r w:rsidRPr="00FF4756">
              <w:rPr>
                <w:rFonts w:cs="Times New Roman"/>
                <w:sz w:val="20"/>
                <w:szCs w:val="20"/>
              </w:rPr>
              <w:t xml:space="preserve"> R.C.S. </w:t>
            </w:r>
            <w:r w:rsidR="00252F95">
              <w:rPr>
                <w:rFonts w:cs="Times New Roman"/>
                <w:sz w:val="20"/>
                <w:szCs w:val="20"/>
              </w:rPr>
              <w:t>3</w:t>
            </w:r>
          </w:p>
          <w:p w:rsidR="00AD191E" w:rsidRPr="00FF4756" w:rsidRDefault="00AD191E" w:rsidP="002B056F">
            <w:pPr>
              <w:keepNext/>
              <w:keepLines/>
              <w:rPr>
                <w:rFonts w:cs="Times New Roman"/>
                <w:bCs/>
                <w:sz w:val="20"/>
                <w:szCs w:val="20"/>
              </w:rPr>
            </w:pPr>
          </w:p>
          <w:p w:rsidR="00A956D3" w:rsidRPr="00DD0B49" w:rsidRDefault="002B68E4" w:rsidP="002B056F">
            <w:pPr>
              <w:rPr>
                <w:rFonts w:cs="Times New Roman"/>
                <w:sz w:val="20"/>
                <w:szCs w:val="20"/>
              </w:rPr>
            </w:pPr>
            <w:r>
              <w:rPr>
                <w:rFonts w:cs="Times New Roman"/>
                <w:sz w:val="20"/>
                <w:szCs w:val="20"/>
              </w:rPr>
              <w:pict>
                <v:rect id="_x0000_i1074" style="width:129.6pt;height:1pt" o:hrpct="600" o:hralign="center" o:hrstd="t" o:hrnoshade="t" o:hr="t" fillcolor="black [3213]" stroked="f"/>
              </w:pict>
            </w:r>
          </w:p>
          <w:p w:rsidR="00A956D3" w:rsidRPr="00DD0B49" w:rsidRDefault="00A956D3" w:rsidP="002B056F">
            <w:pPr>
              <w:keepNext/>
              <w:keepLines/>
              <w:rPr>
                <w:rFonts w:cs="Times New Roman"/>
                <w:bCs/>
                <w:sz w:val="20"/>
                <w:szCs w:val="20"/>
                <w:lang w:val="fr-CA"/>
              </w:rPr>
            </w:pPr>
          </w:p>
        </w:tc>
      </w:tr>
    </w:tbl>
    <w:p w:rsidR="00A956D3" w:rsidRDefault="00A956D3" w:rsidP="00A956D3">
      <w:pPr>
        <w:rPr>
          <w:sz w:val="20"/>
          <w:szCs w:val="20"/>
          <w:lang w:val="fr-CA"/>
        </w:rPr>
      </w:pPr>
    </w:p>
    <w:p w:rsidR="00A956D3" w:rsidRDefault="00A956D3" w:rsidP="00A956D3">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FA49F9" w:rsidTr="002B056F">
        <w:trPr>
          <w:cantSplit/>
          <w:trHeight w:val="1152"/>
        </w:trPr>
        <w:tc>
          <w:tcPr>
            <w:tcW w:w="4320" w:type="dxa"/>
            <w:tcBorders>
              <w:top w:val="nil"/>
              <w:left w:val="nil"/>
              <w:bottom w:val="nil"/>
              <w:right w:val="nil"/>
            </w:tcBorders>
          </w:tcPr>
          <w:p w:rsidR="00A956D3" w:rsidRPr="00DD0B49" w:rsidRDefault="00A956D3" w:rsidP="002B056F">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DD0B49" w:rsidRDefault="00A956D3" w:rsidP="002B056F">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2B056F">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DD0B49" w:rsidTr="002B056F">
        <w:tc>
          <w:tcPr>
            <w:tcW w:w="4320" w:type="dxa"/>
            <w:tcBorders>
              <w:top w:val="nil"/>
              <w:left w:val="nil"/>
              <w:bottom w:val="nil"/>
              <w:right w:val="nil"/>
            </w:tcBorders>
          </w:tcPr>
          <w:p w:rsidR="00A956D3" w:rsidRPr="00DD0B49" w:rsidRDefault="00A956D3" w:rsidP="002B056F">
            <w:pPr>
              <w:rPr>
                <w:rFonts w:cs="Times New Roman"/>
                <w:sz w:val="20"/>
                <w:szCs w:val="20"/>
                <w:lang w:val="en-GB"/>
              </w:rPr>
            </w:pPr>
            <w:r w:rsidRPr="00DD0B49">
              <w:rPr>
                <w:rFonts w:cs="Times New Roman"/>
                <w:b/>
                <w:bCs/>
                <w:sz w:val="20"/>
                <w:szCs w:val="20"/>
                <w:lang w:val="en-GB"/>
              </w:rPr>
              <w:t>Judgments reported in [201</w:t>
            </w:r>
            <w:r w:rsidR="00745AE4">
              <w:rPr>
                <w:rFonts w:cs="Times New Roman"/>
                <w:b/>
                <w:bCs/>
                <w:sz w:val="20"/>
                <w:szCs w:val="20"/>
                <w:lang w:val="en-GB"/>
              </w:rPr>
              <w:t>4</w:t>
            </w:r>
            <w:r w:rsidRPr="00DD0B49">
              <w:rPr>
                <w:rFonts w:cs="Times New Roman"/>
                <w:b/>
                <w:bCs/>
                <w:sz w:val="20"/>
                <w:szCs w:val="20"/>
                <w:lang w:val="en-GB"/>
              </w:rPr>
              <w:t xml:space="preserve">] </w:t>
            </w:r>
            <w:r w:rsidR="00745AE4">
              <w:rPr>
                <w:rFonts w:cs="Times New Roman"/>
                <w:b/>
                <w:bCs/>
                <w:sz w:val="20"/>
                <w:szCs w:val="20"/>
                <w:lang w:val="en-GB"/>
              </w:rPr>
              <w:t>1</w:t>
            </w:r>
            <w:r w:rsidRPr="00DD0B49">
              <w:rPr>
                <w:rFonts w:cs="Times New Roman"/>
                <w:b/>
                <w:bCs/>
                <w:sz w:val="20"/>
                <w:szCs w:val="20"/>
                <w:lang w:val="en-GB"/>
              </w:rPr>
              <w:t xml:space="preserve"> S.C.R. Part </w:t>
            </w:r>
            <w:r>
              <w:rPr>
                <w:rFonts w:cs="Times New Roman"/>
                <w:b/>
                <w:bCs/>
                <w:sz w:val="20"/>
                <w:szCs w:val="20"/>
                <w:lang w:val="en-GB"/>
              </w:rPr>
              <w:t>2</w:t>
            </w:r>
          </w:p>
          <w:p w:rsidR="00A956D3" w:rsidRPr="00DD0B49" w:rsidRDefault="00A956D3" w:rsidP="002B056F">
            <w:pPr>
              <w:rPr>
                <w:rFonts w:cs="Times New Roman"/>
                <w:sz w:val="20"/>
                <w:szCs w:val="20"/>
                <w:lang w:val="en-GB"/>
              </w:rPr>
            </w:pPr>
          </w:p>
          <w:p w:rsidR="00A956D3" w:rsidRPr="00DD0B49" w:rsidRDefault="00A956D3" w:rsidP="002B056F">
            <w:pPr>
              <w:rPr>
                <w:rFonts w:cs="Times New Roman"/>
                <w:sz w:val="20"/>
                <w:szCs w:val="20"/>
                <w:lang w:val="en-GB"/>
              </w:rPr>
            </w:pPr>
            <w:r>
              <w:rPr>
                <w:rFonts w:cs="Times New Roman"/>
                <w:sz w:val="20"/>
                <w:szCs w:val="20"/>
                <w:lang w:val="en-GB"/>
              </w:rPr>
              <w:t>Cana</w:t>
            </w:r>
            <w:r w:rsidR="00D36364">
              <w:rPr>
                <w:rFonts w:cs="Times New Roman"/>
                <w:sz w:val="20"/>
                <w:szCs w:val="20"/>
                <w:lang w:val="en-GB"/>
              </w:rPr>
              <w:t>da (Attorney General)</w:t>
            </w:r>
            <w:r w:rsidRPr="00DD0B49">
              <w:rPr>
                <w:rFonts w:cs="Times New Roman"/>
                <w:sz w:val="20"/>
                <w:szCs w:val="20"/>
                <w:lang w:val="en-GB"/>
              </w:rPr>
              <w:t xml:space="preserve"> </w:t>
            </w:r>
            <w:r w:rsidRPr="00DD0B49">
              <w:rPr>
                <w:rFonts w:cs="Times New Roman"/>
                <w:i/>
                <w:sz w:val="20"/>
                <w:szCs w:val="20"/>
                <w:lang w:val="en-GB"/>
              </w:rPr>
              <w:t>v.</w:t>
            </w:r>
            <w:r w:rsidRPr="00DD0B49">
              <w:rPr>
                <w:rFonts w:cs="Times New Roman"/>
                <w:sz w:val="20"/>
                <w:szCs w:val="20"/>
                <w:lang w:val="en-GB"/>
              </w:rPr>
              <w:t xml:space="preserve"> </w:t>
            </w:r>
            <w:r w:rsidR="00D36364">
              <w:rPr>
                <w:rFonts w:cs="Times New Roman"/>
                <w:sz w:val="20"/>
                <w:szCs w:val="20"/>
                <w:lang w:val="en-GB"/>
              </w:rPr>
              <w:t>Wh</w:t>
            </w:r>
            <w:r>
              <w:rPr>
                <w:rFonts w:cs="Times New Roman"/>
                <w:sz w:val="20"/>
                <w:szCs w:val="20"/>
                <w:lang w:val="en-GB"/>
              </w:rPr>
              <w:t>a</w:t>
            </w:r>
            <w:r w:rsidR="00D36364">
              <w:rPr>
                <w:rFonts w:cs="Times New Roman"/>
                <w:sz w:val="20"/>
                <w:szCs w:val="20"/>
                <w:lang w:val="en-GB"/>
              </w:rPr>
              <w:t>l</w:t>
            </w:r>
            <w:r>
              <w:rPr>
                <w:rFonts w:cs="Times New Roman"/>
                <w:sz w:val="20"/>
                <w:szCs w:val="20"/>
                <w:lang w:val="en-GB"/>
              </w:rPr>
              <w:t>i</w:t>
            </w:r>
            <w:r w:rsidR="00D36364">
              <w:rPr>
                <w:rFonts w:cs="Times New Roman"/>
                <w:sz w:val="20"/>
                <w:szCs w:val="20"/>
                <w:lang w:val="en-GB"/>
              </w:rPr>
              <w:t>ng</w:t>
            </w:r>
            <w:r w:rsidRPr="00DD0B49">
              <w:rPr>
                <w:rFonts w:cs="Times New Roman"/>
                <w:sz w:val="20"/>
                <w:szCs w:val="20"/>
                <w:lang w:val="en-GB"/>
              </w:rPr>
              <w:t>,</w:t>
            </w:r>
          </w:p>
          <w:p w:rsidR="00A956D3" w:rsidRPr="00DD0B49" w:rsidRDefault="00745AE4" w:rsidP="002B056F">
            <w:pPr>
              <w:rPr>
                <w:rFonts w:cs="Times New Roman"/>
                <w:sz w:val="20"/>
                <w:szCs w:val="20"/>
                <w:lang w:val="en-GB"/>
              </w:rPr>
            </w:pPr>
            <w:r>
              <w:rPr>
                <w:rFonts w:cs="Times New Roman"/>
                <w:sz w:val="20"/>
                <w:szCs w:val="20"/>
                <w:lang w:val="en-GB"/>
              </w:rPr>
              <w:t>2014</w:t>
            </w:r>
            <w:r w:rsidR="00A956D3" w:rsidRPr="00DD0B49">
              <w:rPr>
                <w:rFonts w:cs="Times New Roman"/>
                <w:sz w:val="20"/>
                <w:szCs w:val="20"/>
                <w:lang w:val="en-GB"/>
              </w:rPr>
              <w:t xml:space="preserve"> SCC </w:t>
            </w:r>
            <w:r w:rsidR="00D36364">
              <w:rPr>
                <w:rFonts w:cs="Times New Roman"/>
                <w:sz w:val="20"/>
                <w:szCs w:val="20"/>
                <w:lang w:val="en-GB"/>
              </w:rPr>
              <w:t>20</w:t>
            </w:r>
            <w:r w:rsidR="00A956D3" w:rsidRPr="00DD0B49">
              <w:rPr>
                <w:rFonts w:cs="Times New Roman"/>
                <w:sz w:val="20"/>
                <w:szCs w:val="20"/>
                <w:lang w:val="en-GB"/>
              </w:rPr>
              <w:t>, [</w:t>
            </w:r>
            <w:r>
              <w:rPr>
                <w:rFonts w:cs="Times New Roman"/>
                <w:sz w:val="20"/>
                <w:szCs w:val="20"/>
                <w:lang w:val="en-GB"/>
              </w:rPr>
              <w:t>2014</w:t>
            </w:r>
            <w:r w:rsidR="00A956D3" w:rsidRPr="00DD0B49">
              <w:rPr>
                <w:rFonts w:cs="Times New Roman"/>
                <w:sz w:val="20"/>
                <w:szCs w:val="20"/>
                <w:lang w:val="en-GB"/>
              </w:rPr>
              <w:t xml:space="preserve">] </w:t>
            </w:r>
            <w:r w:rsidR="00D36364">
              <w:rPr>
                <w:rFonts w:cs="Times New Roman"/>
                <w:sz w:val="20"/>
                <w:szCs w:val="20"/>
                <w:lang w:val="en-GB"/>
              </w:rPr>
              <w:t>1</w:t>
            </w:r>
            <w:r w:rsidR="00A956D3" w:rsidRPr="00DD0B49">
              <w:rPr>
                <w:rFonts w:cs="Times New Roman"/>
                <w:sz w:val="20"/>
                <w:szCs w:val="20"/>
                <w:lang w:val="en-GB"/>
              </w:rPr>
              <w:t xml:space="preserve"> S.C.R. </w:t>
            </w:r>
            <w:r w:rsidR="00A956D3">
              <w:rPr>
                <w:rFonts w:cs="Times New Roman"/>
                <w:sz w:val="20"/>
                <w:szCs w:val="20"/>
                <w:lang w:val="en-GB"/>
              </w:rPr>
              <w:t>3</w:t>
            </w:r>
            <w:r w:rsidR="00D36364">
              <w:rPr>
                <w:rFonts w:cs="Times New Roman"/>
                <w:sz w:val="20"/>
                <w:szCs w:val="20"/>
                <w:lang w:val="en-GB"/>
              </w:rPr>
              <w:t>9</w:t>
            </w:r>
            <w:r w:rsidR="00A956D3">
              <w:rPr>
                <w:rFonts w:cs="Times New Roman"/>
                <w:sz w:val="20"/>
                <w:szCs w:val="20"/>
                <w:lang w:val="en-GB"/>
              </w:rPr>
              <w:t>2</w:t>
            </w:r>
          </w:p>
          <w:p w:rsidR="00A956D3" w:rsidRDefault="00A956D3" w:rsidP="002B056F">
            <w:pPr>
              <w:rPr>
                <w:rFonts w:cs="Times New Roman"/>
                <w:sz w:val="20"/>
                <w:szCs w:val="20"/>
                <w:lang w:val="en-GB"/>
              </w:rPr>
            </w:pPr>
          </w:p>
          <w:p w:rsidR="00A956D3" w:rsidRPr="00E240C2" w:rsidRDefault="00D36364" w:rsidP="002B056F">
            <w:pPr>
              <w:rPr>
                <w:rFonts w:cs="Times New Roman"/>
                <w:sz w:val="20"/>
                <w:szCs w:val="20"/>
                <w:lang w:val="en-GB"/>
              </w:rPr>
            </w:pPr>
            <w:r>
              <w:rPr>
                <w:rFonts w:cs="Times New Roman"/>
                <w:sz w:val="20"/>
                <w:szCs w:val="20"/>
                <w:lang w:val="en-GB"/>
              </w:rPr>
              <w:t>Martin</w:t>
            </w:r>
            <w:r w:rsidR="00A956D3" w:rsidRPr="00E240C2">
              <w:rPr>
                <w:rFonts w:cs="Times New Roman"/>
                <w:sz w:val="20"/>
                <w:szCs w:val="20"/>
                <w:lang w:val="en-GB"/>
              </w:rPr>
              <w:t xml:space="preserve"> </w:t>
            </w:r>
            <w:r w:rsidR="00A956D3" w:rsidRPr="00E240C2">
              <w:rPr>
                <w:rFonts w:cs="Times New Roman"/>
                <w:i/>
                <w:sz w:val="20"/>
                <w:szCs w:val="20"/>
                <w:lang w:val="en-GB"/>
              </w:rPr>
              <w:t>v.</w:t>
            </w:r>
            <w:r w:rsidR="00A956D3" w:rsidRPr="00E240C2">
              <w:rPr>
                <w:rFonts w:cs="Times New Roman"/>
                <w:sz w:val="20"/>
                <w:szCs w:val="20"/>
                <w:lang w:val="en-GB"/>
              </w:rPr>
              <w:t xml:space="preserve"> </w:t>
            </w:r>
            <w:r>
              <w:rPr>
                <w:rFonts w:cs="Times New Roman"/>
                <w:sz w:val="20"/>
                <w:szCs w:val="20"/>
                <w:lang w:val="en-GB"/>
              </w:rPr>
              <w:t>Albert</w:t>
            </w:r>
            <w:r w:rsidR="00A956D3" w:rsidRPr="00E240C2">
              <w:rPr>
                <w:rFonts w:cs="Times New Roman"/>
                <w:sz w:val="20"/>
                <w:szCs w:val="20"/>
                <w:lang w:val="en-GB"/>
              </w:rPr>
              <w:t>a</w:t>
            </w:r>
            <w:r>
              <w:rPr>
                <w:rFonts w:cs="Times New Roman"/>
                <w:sz w:val="20"/>
                <w:szCs w:val="20"/>
                <w:lang w:val="en-GB"/>
              </w:rPr>
              <w:t xml:space="preserve"> (Worker</w:t>
            </w:r>
            <w:r w:rsidR="00A956D3" w:rsidRPr="00E240C2">
              <w:rPr>
                <w:rFonts w:cs="Times New Roman"/>
                <w:sz w:val="20"/>
                <w:szCs w:val="20"/>
                <w:lang w:val="en-GB"/>
              </w:rPr>
              <w:t>s</w:t>
            </w:r>
            <w:r>
              <w:rPr>
                <w:rFonts w:cs="Times New Roman"/>
                <w:sz w:val="20"/>
                <w:szCs w:val="20"/>
                <w:lang w:val="en-GB"/>
              </w:rPr>
              <w:t>’ C</w:t>
            </w:r>
            <w:r w:rsidR="00A956D3" w:rsidRPr="00E240C2">
              <w:rPr>
                <w:rFonts w:cs="Times New Roman"/>
                <w:sz w:val="20"/>
                <w:szCs w:val="20"/>
                <w:lang w:val="en-GB"/>
              </w:rPr>
              <w:t>o</w:t>
            </w:r>
            <w:r>
              <w:rPr>
                <w:rFonts w:cs="Times New Roman"/>
                <w:sz w:val="20"/>
                <w:szCs w:val="20"/>
                <w:lang w:val="en-GB"/>
              </w:rPr>
              <w:t>mpensat</w:t>
            </w:r>
            <w:r w:rsidR="00A956D3" w:rsidRPr="00E240C2">
              <w:rPr>
                <w:rFonts w:cs="Times New Roman"/>
                <w:sz w:val="20"/>
                <w:szCs w:val="20"/>
                <w:lang w:val="en-GB"/>
              </w:rPr>
              <w:t>i</w:t>
            </w:r>
            <w:r>
              <w:rPr>
                <w:rFonts w:cs="Times New Roman"/>
                <w:sz w:val="20"/>
                <w:szCs w:val="20"/>
                <w:lang w:val="en-GB"/>
              </w:rPr>
              <w:t>on Board)</w:t>
            </w:r>
            <w:r w:rsidR="00A956D3" w:rsidRPr="00E240C2">
              <w:rPr>
                <w:rFonts w:cs="Times New Roman"/>
                <w:sz w:val="20"/>
                <w:szCs w:val="20"/>
                <w:lang w:val="en-GB"/>
              </w:rPr>
              <w:t>,</w:t>
            </w:r>
          </w:p>
          <w:p w:rsidR="00A956D3" w:rsidRPr="00D36364" w:rsidRDefault="00745AE4" w:rsidP="002B056F">
            <w:pPr>
              <w:rPr>
                <w:rFonts w:cs="Times New Roman"/>
                <w:sz w:val="20"/>
                <w:szCs w:val="20"/>
                <w:lang w:val="fr-CA"/>
              </w:rPr>
            </w:pPr>
            <w:r w:rsidRPr="00D36364">
              <w:rPr>
                <w:rFonts w:cs="Times New Roman"/>
                <w:sz w:val="20"/>
                <w:szCs w:val="20"/>
                <w:lang w:val="fr-CA"/>
              </w:rPr>
              <w:t>2014</w:t>
            </w:r>
            <w:r w:rsidR="00A956D3" w:rsidRPr="00D36364">
              <w:rPr>
                <w:rFonts w:cs="Times New Roman"/>
                <w:sz w:val="20"/>
                <w:szCs w:val="20"/>
                <w:lang w:val="fr-CA"/>
              </w:rPr>
              <w:t xml:space="preserve"> SCC </w:t>
            </w:r>
            <w:r w:rsidR="00D36364" w:rsidRPr="00D36364">
              <w:rPr>
                <w:rFonts w:cs="Times New Roman"/>
                <w:sz w:val="20"/>
                <w:szCs w:val="20"/>
                <w:lang w:val="fr-CA"/>
              </w:rPr>
              <w:t>2</w:t>
            </w:r>
            <w:r w:rsidR="00A956D3" w:rsidRPr="00D36364">
              <w:rPr>
                <w:rFonts w:cs="Times New Roman"/>
                <w:sz w:val="20"/>
                <w:szCs w:val="20"/>
                <w:lang w:val="fr-CA"/>
              </w:rPr>
              <w:t>5, [</w:t>
            </w:r>
            <w:r w:rsidRPr="00D36364">
              <w:rPr>
                <w:rFonts w:cs="Times New Roman"/>
                <w:sz w:val="20"/>
                <w:szCs w:val="20"/>
                <w:lang w:val="fr-CA"/>
              </w:rPr>
              <w:t>2014</w:t>
            </w:r>
            <w:r w:rsidR="00A956D3" w:rsidRPr="00D36364">
              <w:rPr>
                <w:rFonts w:cs="Times New Roman"/>
                <w:sz w:val="20"/>
                <w:szCs w:val="20"/>
                <w:lang w:val="fr-CA"/>
              </w:rPr>
              <w:t xml:space="preserve">] </w:t>
            </w:r>
            <w:r w:rsidR="00D36364" w:rsidRPr="00D36364">
              <w:rPr>
                <w:rFonts w:cs="Times New Roman"/>
                <w:sz w:val="20"/>
                <w:szCs w:val="20"/>
                <w:lang w:val="fr-CA"/>
              </w:rPr>
              <w:t>1</w:t>
            </w:r>
            <w:r w:rsidR="00A956D3" w:rsidRPr="00D36364">
              <w:rPr>
                <w:rFonts w:cs="Times New Roman"/>
                <w:sz w:val="20"/>
                <w:szCs w:val="20"/>
                <w:lang w:val="fr-CA"/>
              </w:rPr>
              <w:t xml:space="preserve"> S.C.R. </w:t>
            </w:r>
            <w:r w:rsidR="00D36364" w:rsidRPr="00D36364">
              <w:rPr>
                <w:rFonts w:cs="Times New Roman"/>
                <w:sz w:val="20"/>
                <w:szCs w:val="20"/>
                <w:lang w:val="fr-CA"/>
              </w:rPr>
              <w:t>5</w:t>
            </w:r>
            <w:r w:rsidR="00A956D3" w:rsidRPr="00D36364">
              <w:rPr>
                <w:rFonts w:cs="Times New Roman"/>
                <w:sz w:val="20"/>
                <w:szCs w:val="20"/>
                <w:lang w:val="fr-CA"/>
              </w:rPr>
              <w:t>4</w:t>
            </w:r>
            <w:r w:rsidR="00D36364" w:rsidRPr="00D36364">
              <w:rPr>
                <w:rFonts w:cs="Times New Roman"/>
                <w:sz w:val="20"/>
                <w:szCs w:val="20"/>
                <w:lang w:val="fr-CA"/>
              </w:rPr>
              <w:t>6</w:t>
            </w:r>
          </w:p>
          <w:p w:rsidR="00A956D3" w:rsidRPr="00D36364" w:rsidRDefault="00A956D3" w:rsidP="002B056F">
            <w:pPr>
              <w:rPr>
                <w:rFonts w:cs="Times New Roman"/>
                <w:sz w:val="20"/>
                <w:szCs w:val="20"/>
                <w:lang w:val="fr-CA"/>
              </w:rPr>
            </w:pPr>
          </w:p>
          <w:p w:rsidR="00A956D3" w:rsidRPr="00DD0B49" w:rsidRDefault="00D36364" w:rsidP="002B056F">
            <w:pPr>
              <w:rPr>
                <w:rFonts w:cs="Times New Roman"/>
                <w:sz w:val="20"/>
                <w:szCs w:val="20"/>
                <w:lang w:val="fr-CA"/>
              </w:rPr>
            </w:pPr>
            <w:r>
              <w:rPr>
                <w:rFonts w:cs="Times New Roman"/>
                <w:sz w:val="20"/>
                <w:szCs w:val="20"/>
                <w:lang w:val="fr-CA"/>
              </w:rPr>
              <w:t>Mission Institutio</w:t>
            </w:r>
            <w:r w:rsidR="00A956D3">
              <w:rPr>
                <w:rFonts w:cs="Times New Roman"/>
                <w:sz w:val="20"/>
                <w:szCs w:val="20"/>
                <w:lang w:val="fr-CA"/>
              </w:rPr>
              <w:t>n</w:t>
            </w:r>
            <w:r>
              <w:rPr>
                <w:rFonts w:cs="Times New Roman"/>
                <w:sz w:val="20"/>
                <w:szCs w:val="20"/>
                <w:lang w:val="fr-CA"/>
              </w:rPr>
              <w:t xml:space="preserve"> </w:t>
            </w:r>
            <w:r w:rsidR="00A956D3" w:rsidRPr="00DD0B49">
              <w:rPr>
                <w:rFonts w:cs="Times New Roman"/>
                <w:i/>
                <w:iCs/>
                <w:sz w:val="20"/>
                <w:szCs w:val="20"/>
                <w:lang w:val="fr-CA"/>
              </w:rPr>
              <w:t xml:space="preserve">v. </w:t>
            </w:r>
            <w:r>
              <w:rPr>
                <w:rFonts w:cs="Times New Roman"/>
                <w:iCs/>
                <w:sz w:val="20"/>
                <w:szCs w:val="20"/>
                <w:lang w:val="fr-CA"/>
              </w:rPr>
              <w:t>Khel</w:t>
            </w:r>
            <w:r w:rsidR="00A956D3">
              <w:rPr>
                <w:rFonts w:cs="Times New Roman"/>
                <w:iCs/>
                <w:sz w:val="20"/>
                <w:szCs w:val="20"/>
                <w:lang w:val="fr-CA"/>
              </w:rPr>
              <w:t>a</w:t>
            </w:r>
            <w:r w:rsidR="00A956D3" w:rsidRPr="00DD0B49">
              <w:rPr>
                <w:rFonts w:cs="Times New Roman"/>
                <w:iCs/>
                <w:sz w:val="20"/>
                <w:szCs w:val="20"/>
                <w:lang w:val="fr-CA"/>
              </w:rPr>
              <w:t>,</w:t>
            </w:r>
          </w:p>
          <w:p w:rsidR="00A956D3" w:rsidRPr="00213156" w:rsidRDefault="00745AE4" w:rsidP="002B056F">
            <w:pPr>
              <w:rPr>
                <w:rFonts w:cs="Times New Roman"/>
                <w:sz w:val="20"/>
                <w:szCs w:val="20"/>
                <w:lang w:val="fr-CA"/>
              </w:rPr>
            </w:pPr>
            <w:r w:rsidRPr="00213156">
              <w:rPr>
                <w:rFonts w:cs="Times New Roman"/>
                <w:sz w:val="20"/>
                <w:szCs w:val="20"/>
                <w:lang w:val="fr-CA"/>
              </w:rPr>
              <w:t>2014</w:t>
            </w:r>
            <w:r w:rsidR="00A956D3" w:rsidRPr="00213156">
              <w:rPr>
                <w:rFonts w:cs="Times New Roman"/>
                <w:sz w:val="20"/>
                <w:szCs w:val="20"/>
                <w:lang w:val="fr-CA"/>
              </w:rPr>
              <w:t xml:space="preserve"> SCC </w:t>
            </w:r>
            <w:r w:rsidR="00D36364" w:rsidRPr="00213156">
              <w:rPr>
                <w:rFonts w:cs="Times New Roman"/>
                <w:sz w:val="20"/>
                <w:szCs w:val="20"/>
                <w:lang w:val="fr-CA"/>
              </w:rPr>
              <w:t>24</w:t>
            </w:r>
            <w:r w:rsidR="00A956D3" w:rsidRPr="00213156">
              <w:rPr>
                <w:rFonts w:cs="Times New Roman"/>
                <w:sz w:val="20"/>
                <w:szCs w:val="20"/>
                <w:lang w:val="fr-CA"/>
              </w:rPr>
              <w:t>, [</w:t>
            </w:r>
            <w:r w:rsidRPr="00213156">
              <w:rPr>
                <w:rFonts w:cs="Times New Roman"/>
                <w:sz w:val="20"/>
                <w:szCs w:val="20"/>
                <w:lang w:val="fr-CA"/>
              </w:rPr>
              <w:t>2014</w:t>
            </w:r>
            <w:r w:rsidR="00A956D3" w:rsidRPr="00213156">
              <w:rPr>
                <w:rFonts w:cs="Times New Roman"/>
                <w:sz w:val="20"/>
                <w:szCs w:val="20"/>
                <w:lang w:val="fr-CA"/>
              </w:rPr>
              <w:t xml:space="preserve">] </w:t>
            </w:r>
            <w:r w:rsidR="00D36364" w:rsidRPr="00213156">
              <w:rPr>
                <w:rFonts w:cs="Times New Roman"/>
                <w:sz w:val="20"/>
                <w:szCs w:val="20"/>
                <w:lang w:val="fr-CA"/>
              </w:rPr>
              <w:t>1</w:t>
            </w:r>
            <w:r w:rsidR="00A956D3" w:rsidRPr="00213156">
              <w:rPr>
                <w:rFonts w:cs="Times New Roman"/>
                <w:sz w:val="20"/>
                <w:szCs w:val="20"/>
                <w:lang w:val="fr-CA"/>
              </w:rPr>
              <w:t xml:space="preserve"> S.C.R. </w:t>
            </w:r>
            <w:r w:rsidR="00D36364" w:rsidRPr="00213156">
              <w:rPr>
                <w:rFonts w:cs="Times New Roman"/>
                <w:sz w:val="20"/>
                <w:szCs w:val="20"/>
                <w:lang w:val="fr-CA"/>
              </w:rPr>
              <w:t>5</w:t>
            </w:r>
            <w:r w:rsidR="00A956D3" w:rsidRPr="00213156">
              <w:rPr>
                <w:rFonts w:cs="Times New Roman"/>
                <w:sz w:val="20"/>
                <w:szCs w:val="20"/>
                <w:lang w:val="fr-CA"/>
              </w:rPr>
              <w:t>0</w:t>
            </w:r>
            <w:r w:rsidR="00D36364" w:rsidRPr="00213156">
              <w:rPr>
                <w:rFonts w:cs="Times New Roman"/>
                <w:sz w:val="20"/>
                <w:szCs w:val="20"/>
                <w:lang w:val="fr-CA"/>
              </w:rPr>
              <w:t>2</w:t>
            </w:r>
          </w:p>
          <w:p w:rsidR="00A956D3" w:rsidRPr="00213156" w:rsidRDefault="00A956D3" w:rsidP="002B056F">
            <w:pPr>
              <w:rPr>
                <w:rFonts w:cs="Times New Roman"/>
                <w:sz w:val="20"/>
                <w:szCs w:val="20"/>
                <w:lang w:val="fr-CA"/>
              </w:rPr>
            </w:pPr>
          </w:p>
          <w:p w:rsidR="00A956D3" w:rsidRPr="00213156" w:rsidRDefault="00A956D3" w:rsidP="002B056F">
            <w:pPr>
              <w:rPr>
                <w:rFonts w:cs="Times New Roman"/>
                <w:sz w:val="20"/>
                <w:szCs w:val="20"/>
                <w:lang w:val="fr-CA"/>
              </w:rPr>
            </w:pPr>
            <w:r w:rsidRPr="00213156">
              <w:rPr>
                <w:rFonts w:cs="Times New Roman"/>
                <w:sz w:val="20"/>
                <w:szCs w:val="20"/>
                <w:lang w:val="fr-CA"/>
              </w:rPr>
              <w:t xml:space="preserve">R. </w:t>
            </w:r>
            <w:r w:rsidRPr="00213156">
              <w:rPr>
                <w:rFonts w:cs="Times New Roman"/>
                <w:i/>
                <w:iCs/>
                <w:sz w:val="20"/>
                <w:szCs w:val="20"/>
                <w:lang w:val="fr-CA"/>
              </w:rPr>
              <w:t>v.</w:t>
            </w:r>
            <w:r w:rsidRPr="00213156">
              <w:rPr>
                <w:rFonts w:cs="Times New Roman"/>
                <w:iCs/>
                <w:sz w:val="20"/>
                <w:szCs w:val="20"/>
                <w:lang w:val="fr-CA"/>
              </w:rPr>
              <w:t xml:space="preserve"> </w:t>
            </w:r>
            <w:r w:rsidR="00D36364" w:rsidRPr="00213156">
              <w:rPr>
                <w:rFonts w:cs="Times New Roman"/>
                <w:iCs/>
                <w:sz w:val="20"/>
                <w:szCs w:val="20"/>
                <w:lang w:val="fr-CA"/>
              </w:rPr>
              <w:t>Babos</w:t>
            </w:r>
            <w:r w:rsidRPr="00213156">
              <w:rPr>
                <w:rFonts w:cs="Times New Roman"/>
                <w:sz w:val="20"/>
                <w:szCs w:val="20"/>
                <w:lang w:val="fr-CA"/>
              </w:rPr>
              <w:t>,</w:t>
            </w:r>
          </w:p>
          <w:p w:rsidR="00A956D3" w:rsidRPr="00213156" w:rsidRDefault="00745AE4" w:rsidP="002B056F">
            <w:pPr>
              <w:rPr>
                <w:rFonts w:cs="Times New Roman"/>
                <w:sz w:val="20"/>
                <w:szCs w:val="20"/>
                <w:lang w:val="fr-CA"/>
              </w:rPr>
            </w:pPr>
            <w:r w:rsidRPr="00213156">
              <w:rPr>
                <w:rFonts w:cs="Times New Roman"/>
                <w:sz w:val="20"/>
                <w:szCs w:val="20"/>
                <w:lang w:val="fr-CA"/>
              </w:rPr>
              <w:t>2014</w:t>
            </w:r>
            <w:r w:rsidR="00A956D3" w:rsidRPr="00213156">
              <w:rPr>
                <w:rFonts w:cs="Times New Roman"/>
                <w:sz w:val="20"/>
                <w:szCs w:val="20"/>
                <w:lang w:val="fr-CA"/>
              </w:rPr>
              <w:t xml:space="preserve"> SCC </w:t>
            </w:r>
            <w:r w:rsidR="00D36364" w:rsidRPr="00213156">
              <w:rPr>
                <w:rFonts w:cs="Times New Roman"/>
                <w:sz w:val="20"/>
                <w:szCs w:val="20"/>
                <w:lang w:val="fr-CA"/>
              </w:rPr>
              <w:t>16</w:t>
            </w:r>
            <w:r w:rsidR="00A956D3" w:rsidRPr="00213156">
              <w:rPr>
                <w:rFonts w:cs="Times New Roman"/>
                <w:sz w:val="20"/>
                <w:szCs w:val="20"/>
                <w:lang w:val="fr-CA"/>
              </w:rPr>
              <w:t>, [</w:t>
            </w:r>
            <w:r w:rsidRPr="00213156">
              <w:rPr>
                <w:rFonts w:cs="Times New Roman"/>
                <w:sz w:val="20"/>
                <w:szCs w:val="20"/>
                <w:lang w:val="fr-CA"/>
              </w:rPr>
              <w:t>2014</w:t>
            </w:r>
            <w:r w:rsidR="00A956D3" w:rsidRPr="00213156">
              <w:rPr>
                <w:rFonts w:cs="Times New Roman"/>
                <w:sz w:val="20"/>
                <w:szCs w:val="20"/>
                <w:lang w:val="fr-CA"/>
              </w:rPr>
              <w:t xml:space="preserve">] </w:t>
            </w:r>
            <w:r w:rsidR="00D36364" w:rsidRPr="00213156">
              <w:rPr>
                <w:rFonts w:cs="Times New Roman"/>
                <w:sz w:val="20"/>
                <w:szCs w:val="20"/>
                <w:lang w:val="fr-CA"/>
              </w:rPr>
              <w:t>1</w:t>
            </w:r>
            <w:r w:rsidR="00A956D3" w:rsidRPr="00213156">
              <w:rPr>
                <w:rFonts w:cs="Times New Roman"/>
                <w:sz w:val="20"/>
                <w:szCs w:val="20"/>
                <w:lang w:val="fr-CA"/>
              </w:rPr>
              <w:t xml:space="preserve"> S.C.R. </w:t>
            </w:r>
            <w:r w:rsidR="00D36364" w:rsidRPr="00213156">
              <w:rPr>
                <w:rFonts w:cs="Times New Roman"/>
                <w:sz w:val="20"/>
                <w:szCs w:val="20"/>
                <w:lang w:val="fr-CA"/>
              </w:rPr>
              <w:t>3</w:t>
            </w:r>
            <w:r w:rsidR="00A956D3" w:rsidRPr="00213156">
              <w:rPr>
                <w:rFonts w:cs="Times New Roman"/>
                <w:sz w:val="20"/>
                <w:szCs w:val="20"/>
                <w:lang w:val="fr-CA"/>
              </w:rPr>
              <w:t>0</w:t>
            </w:r>
            <w:r w:rsidR="00D36364" w:rsidRPr="00213156">
              <w:rPr>
                <w:rFonts w:cs="Times New Roman"/>
                <w:sz w:val="20"/>
                <w:szCs w:val="20"/>
                <w:lang w:val="fr-CA"/>
              </w:rPr>
              <w:t>9</w:t>
            </w:r>
          </w:p>
          <w:p w:rsidR="00A956D3" w:rsidRPr="00213156" w:rsidRDefault="00A956D3" w:rsidP="002B056F">
            <w:pPr>
              <w:rPr>
                <w:rFonts w:cs="Times New Roman"/>
                <w:iCs/>
                <w:sz w:val="20"/>
                <w:szCs w:val="20"/>
                <w:lang w:val="fr-CA"/>
              </w:rPr>
            </w:pPr>
          </w:p>
          <w:p w:rsidR="00A956D3" w:rsidRPr="00213156" w:rsidRDefault="00A956D3" w:rsidP="002B056F">
            <w:pPr>
              <w:rPr>
                <w:rFonts w:cs="Times New Roman"/>
                <w:iCs/>
                <w:sz w:val="20"/>
                <w:szCs w:val="20"/>
                <w:lang w:val="fr-CA"/>
              </w:rPr>
            </w:pPr>
            <w:r w:rsidRPr="00213156">
              <w:rPr>
                <w:rFonts w:cs="Times New Roman"/>
                <w:iCs/>
                <w:sz w:val="20"/>
                <w:szCs w:val="20"/>
                <w:lang w:val="fr-CA"/>
              </w:rPr>
              <w:t xml:space="preserve">R. </w:t>
            </w:r>
            <w:r w:rsidRPr="00213156">
              <w:rPr>
                <w:rFonts w:cs="Times New Roman"/>
                <w:i/>
                <w:iCs/>
                <w:sz w:val="20"/>
                <w:szCs w:val="20"/>
                <w:lang w:val="fr-CA"/>
              </w:rPr>
              <w:t>v.</w:t>
            </w:r>
            <w:r w:rsidRPr="00213156">
              <w:rPr>
                <w:rFonts w:cs="Times New Roman"/>
                <w:iCs/>
                <w:sz w:val="20"/>
                <w:szCs w:val="20"/>
                <w:lang w:val="fr-CA"/>
              </w:rPr>
              <w:t xml:space="preserve"> </w:t>
            </w:r>
            <w:r w:rsidR="00D36364" w:rsidRPr="00213156">
              <w:rPr>
                <w:rFonts w:cs="Times New Roman"/>
                <w:iCs/>
                <w:sz w:val="20"/>
                <w:szCs w:val="20"/>
                <w:lang w:val="fr-CA"/>
              </w:rPr>
              <w:t>Hogg</w:t>
            </w:r>
            <w:r w:rsidRPr="00213156">
              <w:rPr>
                <w:rFonts w:cs="Times New Roman"/>
                <w:iCs/>
                <w:sz w:val="20"/>
                <w:szCs w:val="20"/>
                <w:lang w:val="fr-CA"/>
              </w:rPr>
              <w:t>,</w:t>
            </w:r>
          </w:p>
          <w:p w:rsidR="00A956D3" w:rsidRPr="00213156" w:rsidRDefault="00745AE4" w:rsidP="002B056F">
            <w:pPr>
              <w:rPr>
                <w:rFonts w:cs="Times New Roman"/>
                <w:sz w:val="20"/>
                <w:szCs w:val="20"/>
                <w:lang w:val="fr-CA"/>
              </w:rPr>
            </w:pPr>
            <w:r w:rsidRPr="00213156">
              <w:rPr>
                <w:rFonts w:cs="Times New Roman"/>
                <w:sz w:val="20"/>
                <w:szCs w:val="20"/>
                <w:lang w:val="fr-CA"/>
              </w:rPr>
              <w:t>2014</w:t>
            </w:r>
            <w:r w:rsidR="00A956D3" w:rsidRPr="00213156">
              <w:rPr>
                <w:rFonts w:cs="Times New Roman"/>
                <w:sz w:val="20"/>
                <w:szCs w:val="20"/>
                <w:lang w:val="fr-CA"/>
              </w:rPr>
              <w:t xml:space="preserve"> SCC </w:t>
            </w:r>
            <w:r w:rsidR="00D36364" w:rsidRPr="00213156">
              <w:rPr>
                <w:rFonts w:cs="Times New Roman"/>
                <w:sz w:val="20"/>
                <w:szCs w:val="20"/>
                <w:lang w:val="fr-CA"/>
              </w:rPr>
              <w:t>18</w:t>
            </w:r>
            <w:r w:rsidR="00A956D3" w:rsidRPr="00213156">
              <w:rPr>
                <w:rFonts w:cs="Times New Roman"/>
                <w:sz w:val="20"/>
                <w:szCs w:val="20"/>
                <w:lang w:val="fr-CA"/>
              </w:rPr>
              <w:t>, [</w:t>
            </w:r>
            <w:r w:rsidRPr="00213156">
              <w:rPr>
                <w:rFonts w:cs="Times New Roman"/>
                <w:sz w:val="20"/>
                <w:szCs w:val="20"/>
                <w:lang w:val="fr-CA"/>
              </w:rPr>
              <w:t>2014</w:t>
            </w:r>
            <w:r w:rsidR="00A956D3" w:rsidRPr="00213156">
              <w:rPr>
                <w:rFonts w:cs="Times New Roman"/>
                <w:sz w:val="20"/>
                <w:szCs w:val="20"/>
                <w:lang w:val="fr-CA"/>
              </w:rPr>
              <w:t xml:space="preserve">] </w:t>
            </w:r>
            <w:r w:rsidR="00D36364" w:rsidRPr="00213156">
              <w:rPr>
                <w:rFonts w:cs="Times New Roman"/>
                <w:sz w:val="20"/>
                <w:szCs w:val="20"/>
                <w:lang w:val="fr-CA"/>
              </w:rPr>
              <w:t>1</w:t>
            </w:r>
            <w:r w:rsidR="00A956D3" w:rsidRPr="00213156">
              <w:rPr>
                <w:rFonts w:cs="Times New Roman"/>
                <w:sz w:val="20"/>
                <w:szCs w:val="20"/>
                <w:lang w:val="fr-CA"/>
              </w:rPr>
              <w:t xml:space="preserve"> S.C.R. </w:t>
            </w:r>
            <w:r w:rsidR="00D36364" w:rsidRPr="00213156">
              <w:rPr>
                <w:rFonts w:cs="Times New Roman"/>
                <w:sz w:val="20"/>
                <w:szCs w:val="20"/>
                <w:lang w:val="fr-CA"/>
              </w:rPr>
              <w:t>3</w:t>
            </w:r>
            <w:r w:rsidR="00A956D3" w:rsidRPr="00213156">
              <w:rPr>
                <w:rFonts w:cs="Times New Roman"/>
                <w:sz w:val="20"/>
                <w:szCs w:val="20"/>
                <w:lang w:val="fr-CA"/>
              </w:rPr>
              <w:t>4</w:t>
            </w:r>
            <w:r w:rsidR="00D36364" w:rsidRPr="00213156">
              <w:rPr>
                <w:rFonts w:cs="Times New Roman"/>
                <w:sz w:val="20"/>
                <w:szCs w:val="20"/>
                <w:lang w:val="fr-CA"/>
              </w:rPr>
              <w:t>4</w:t>
            </w:r>
          </w:p>
          <w:p w:rsidR="00A956D3" w:rsidRPr="00213156" w:rsidRDefault="00A956D3" w:rsidP="002B056F">
            <w:pPr>
              <w:rPr>
                <w:rFonts w:cs="Times New Roman"/>
                <w:sz w:val="20"/>
                <w:szCs w:val="20"/>
                <w:lang w:val="fr-CA"/>
              </w:rPr>
            </w:pPr>
          </w:p>
          <w:p w:rsidR="00A956D3" w:rsidRPr="00213156" w:rsidRDefault="00A956D3" w:rsidP="002B056F">
            <w:pPr>
              <w:rPr>
                <w:rFonts w:cs="Times New Roman"/>
                <w:iCs/>
                <w:sz w:val="20"/>
                <w:szCs w:val="20"/>
                <w:lang w:val="fr-CA"/>
              </w:rPr>
            </w:pPr>
            <w:r w:rsidRPr="00213156">
              <w:rPr>
                <w:rFonts w:cs="Times New Roman"/>
                <w:iCs/>
                <w:sz w:val="20"/>
                <w:szCs w:val="20"/>
                <w:lang w:val="fr-CA"/>
              </w:rPr>
              <w:t xml:space="preserve">R. </w:t>
            </w:r>
            <w:r w:rsidRPr="00213156">
              <w:rPr>
                <w:rFonts w:cs="Times New Roman"/>
                <w:i/>
                <w:iCs/>
                <w:sz w:val="20"/>
                <w:szCs w:val="20"/>
                <w:lang w:val="fr-CA"/>
              </w:rPr>
              <w:t>v.</w:t>
            </w:r>
            <w:r w:rsidRPr="00213156">
              <w:rPr>
                <w:rFonts w:cs="Times New Roman"/>
                <w:iCs/>
                <w:sz w:val="20"/>
                <w:szCs w:val="20"/>
                <w:lang w:val="fr-CA"/>
              </w:rPr>
              <w:t xml:space="preserve"> </w:t>
            </w:r>
            <w:r w:rsidR="008A1054" w:rsidRPr="00213156">
              <w:rPr>
                <w:rFonts w:cs="Times New Roman"/>
                <w:iCs/>
                <w:sz w:val="20"/>
                <w:szCs w:val="20"/>
                <w:lang w:val="fr-CA"/>
              </w:rPr>
              <w:t>Hutchinson</w:t>
            </w:r>
            <w:r w:rsidRPr="00213156">
              <w:rPr>
                <w:rFonts w:cs="Times New Roman"/>
                <w:iCs/>
                <w:sz w:val="20"/>
                <w:szCs w:val="20"/>
                <w:lang w:val="fr-CA"/>
              </w:rPr>
              <w:t>,</w:t>
            </w:r>
          </w:p>
          <w:p w:rsidR="00A956D3" w:rsidRPr="00213156" w:rsidRDefault="00745AE4" w:rsidP="002B056F">
            <w:pPr>
              <w:rPr>
                <w:rFonts w:cs="Times New Roman"/>
                <w:sz w:val="20"/>
                <w:szCs w:val="20"/>
                <w:lang w:val="fr-CA"/>
              </w:rPr>
            </w:pPr>
            <w:r w:rsidRPr="00213156">
              <w:rPr>
                <w:rFonts w:cs="Times New Roman"/>
                <w:sz w:val="20"/>
                <w:szCs w:val="20"/>
                <w:lang w:val="fr-CA"/>
              </w:rPr>
              <w:t>2014</w:t>
            </w:r>
            <w:r w:rsidR="00A956D3" w:rsidRPr="00213156">
              <w:rPr>
                <w:rFonts w:cs="Times New Roman"/>
                <w:sz w:val="20"/>
                <w:szCs w:val="20"/>
                <w:lang w:val="fr-CA"/>
              </w:rPr>
              <w:t xml:space="preserve"> SCC </w:t>
            </w:r>
            <w:r w:rsidR="008A1054" w:rsidRPr="00213156">
              <w:rPr>
                <w:rFonts w:cs="Times New Roman"/>
                <w:sz w:val="20"/>
                <w:szCs w:val="20"/>
                <w:lang w:val="fr-CA"/>
              </w:rPr>
              <w:t>19</w:t>
            </w:r>
            <w:r w:rsidR="00A956D3" w:rsidRPr="00213156">
              <w:rPr>
                <w:rFonts w:cs="Times New Roman"/>
                <w:sz w:val="20"/>
                <w:szCs w:val="20"/>
                <w:lang w:val="fr-CA"/>
              </w:rPr>
              <w:t>, [</w:t>
            </w:r>
            <w:r w:rsidRPr="00213156">
              <w:rPr>
                <w:rFonts w:cs="Times New Roman"/>
                <w:sz w:val="20"/>
                <w:szCs w:val="20"/>
                <w:lang w:val="fr-CA"/>
              </w:rPr>
              <w:t>2014</w:t>
            </w:r>
            <w:r w:rsidR="00A956D3" w:rsidRPr="00213156">
              <w:rPr>
                <w:rFonts w:cs="Times New Roman"/>
                <w:sz w:val="20"/>
                <w:szCs w:val="20"/>
                <w:lang w:val="fr-CA"/>
              </w:rPr>
              <w:t xml:space="preserve">] </w:t>
            </w:r>
            <w:r w:rsidR="00D36364" w:rsidRPr="00213156">
              <w:rPr>
                <w:rFonts w:cs="Times New Roman"/>
                <w:sz w:val="20"/>
                <w:szCs w:val="20"/>
                <w:lang w:val="fr-CA"/>
              </w:rPr>
              <w:t>1</w:t>
            </w:r>
            <w:r w:rsidR="00A956D3" w:rsidRPr="00213156">
              <w:rPr>
                <w:rFonts w:cs="Times New Roman"/>
                <w:sz w:val="20"/>
                <w:szCs w:val="20"/>
                <w:lang w:val="fr-CA"/>
              </w:rPr>
              <w:t xml:space="preserve"> S.C.R. </w:t>
            </w:r>
            <w:r w:rsidR="008A1054" w:rsidRPr="00213156">
              <w:rPr>
                <w:rFonts w:cs="Times New Roman"/>
                <w:sz w:val="20"/>
                <w:szCs w:val="20"/>
                <w:lang w:val="fr-CA"/>
              </w:rPr>
              <w:t>3</w:t>
            </w:r>
            <w:r w:rsidR="00A956D3" w:rsidRPr="00213156">
              <w:rPr>
                <w:rFonts w:cs="Times New Roman"/>
                <w:sz w:val="20"/>
                <w:szCs w:val="20"/>
                <w:lang w:val="fr-CA"/>
              </w:rPr>
              <w:t>4</w:t>
            </w:r>
            <w:r w:rsidR="008A1054" w:rsidRPr="00213156">
              <w:rPr>
                <w:rFonts w:cs="Times New Roman"/>
                <w:sz w:val="20"/>
                <w:szCs w:val="20"/>
                <w:lang w:val="fr-CA"/>
              </w:rPr>
              <w:t>6</w:t>
            </w:r>
          </w:p>
          <w:p w:rsidR="00A956D3" w:rsidRPr="00213156" w:rsidRDefault="00A956D3" w:rsidP="002B056F">
            <w:pPr>
              <w:rPr>
                <w:rFonts w:cs="Times New Roman"/>
                <w:sz w:val="20"/>
                <w:szCs w:val="20"/>
                <w:lang w:val="fr-CA"/>
              </w:rPr>
            </w:pPr>
          </w:p>
          <w:p w:rsidR="00D36364" w:rsidRPr="00D36364" w:rsidRDefault="00D36364" w:rsidP="00D36364">
            <w:pPr>
              <w:rPr>
                <w:rFonts w:cs="Times New Roman"/>
                <w:sz w:val="20"/>
                <w:szCs w:val="20"/>
                <w:lang w:val="fr-CA"/>
              </w:rPr>
            </w:pPr>
            <w:r w:rsidRPr="00D36364">
              <w:rPr>
                <w:rFonts w:cs="Times New Roman"/>
                <w:sz w:val="20"/>
                <w:szCs w:val="20"/>
                <w:lang w:val="fr-CA"/>
              </w:rPr>
              <w:t xml:space="preserve">R. </w:t>
            </w:r>
            <w:r w:rsidRPr="00D36364">
              <w:rPr>
                <w:rFonts w:cs="Times New Roman"/>
                <w:i/>
                <w:iCs/>
                <w:sz w:val="20"/>
                <w:szCs w:val="20"/>
                <w:lang w:val="fr-CA"/>
              </w:rPr>
              <w:t>v.</w:t>
            </w:r>
            <w:r w:rsidRPr="00D36364">
              <w:rPr>
                <w:rFonts w:cs="Times New Roman"/>
                <w:iCs/>
                <w:sz w:val="20"/>
                <w:szCs w:val="20"/>
                <w:lang w:val="fr-CA"/>
              </w:rPr>
              <w:t xml:space="preserve"> </w:t>
            </w:r>
            <w:r w:rsidR="008A1054">
              <w:rPr>
                <w:rFonts w:cs="Times New Roman"/>
                <w:iCs/>
                <w:sz w:val="20"/>
                <w:szCs w:val="20"/>
                <w:lang w:val="fr-CA"/>
              </w:rPr>
              <w:t>Leinen</w:t>
            </w:r>
            <w:r w:rsidRPr="00D36364">
              <w:rPr>
                <w:rFonts w:cs="Times New Roman"/>
                <w:sz w:val="20"/>
                <w:szCs w:val="20"/>
                <w:lang w:val="fr-CA"/>
              </w:rPr>
              <w:t>,</w:t>
            </w:r>
          </w:p>
          <w:p w:rsidR="00D36364" w:rsidRPr="00D36364" w:rsidRDefault="00D36364" w:rsidP="00D36364">
            <w:pPr>
              <w:rPr>
                <w:rFonts w:cs="Times New Roman"/>
                <w:sz w:val="20"/>
                <w:szCs w:val="20"/>
                <w:lang w:val="fr-CA"/>
              </w:rPr>
            </w:pPr>
            <w:r w:rsidRPr="00D36364">
              <w:rPr>
                <w:rFonts w:cs="Times New Roman"/>
                <w:sz w:val="20"/>
                <w:szCs w:val="20"/>
                <w:lang w:val="fr-CA"/>
              </w:rPr>
              <w:t xml:space="preserve">2014 SCC </w:t>
            </w:r>
            <w:r w:rsidR="008A1054">
              <w:rPr>
                <w:rFonts w:cs="Times New Roman"/>
                <w:sz w:val="20"/>
                <w:szCs w:val="20"/>
                <w:lang w:val="fr-CA"/>
              </w:rPr>
              <w:t>23</w:t>
            </w:r>
            <w:r w:rsidRPr="00D36364">
              <w:rPr>
                <w:rFonts w:cs="Times New Roman"/>
                <w:sz w:val="20"/>
                <w:szCs w:val="20"/>
                <w:lang w:val="fr-CA"/>
              </w:rPr>
              <w:t xml:space="preserve">, [2014] 1 S.C.R. </w:t>
            </w:r>
            <w:r w:rsidR="008A1054">
              <w:rPr>
                <w:rFonts w:cs="Times New Roman"/>
                <w:sz w:val="20"/>
                <w:szCs w:val="20"/>
                <w:lang w:val="fr-CA"/>
              </w:rPr>
              <w:t>5</w:t>
            </w:r>
            <w:r w:rsidRPr="00D36364">
              <w:rPr>
                <w:rFonts w:cs="Times New Roman"/>
                <w:sz w:val="20"/>
                <w:szCs w:val="20"/>
                <w:lang w:val="fr-CA"/>
              </w:rPr>
              <w:t>0</w:t>
            </w:r>
            <w:r w:rsidR="008A1054">
              <w:rPr>
                <w:rFonts w:cs="Times New Roman"/>
                <w:sz w:val="20"/>
                <w:szCs w:val="20"/>
                <w:lang w:val="fr-CA"/>
              </w:rPr>
              <w:t>0</w:t>
            </w:r>
          </w:p>
          <w:p w:rsidR="00D36364" w:rsidRDefault="00D36364" w:rsidP="002B056F">
            <w:pPr>
              <w:rPr>
                <w:rFonts w:cs="Times New Roman"/>
                <w:sz w:val="20"/>
                <w:szCs w:val="20"/>
                <w:lang w:val="fr-CA"/>
              </w:rPr>
            </w:pPr>
          </w:p>
          <w:p w:rsidR="00D36364" w:rsidRPr="00213156" w:rsidRDefault="00D36364" w:rsidP="00D36364">
            <w:pPr>
              <w:rPr>
                <w:rFonts w:cs="Times New Roman"/>
                <w:sz w:val="20"/>
                <w:szCs w:val="20"/>
              </w:rPr>
            </w:pPr>
            <w:r w:rsidRPr="00213156">
              <w:rPr>
                <w:rFonts w:cs="Times New Roman"/>
                <w:sz w:val="20"/>
                <w:szCs w:val="20"/>
              </w:rPr>
              <w:t xml:space="preserve">R. </w:t>
            </w:r>
            <w:r w:rsidRPr="00213156">
              <w:rPr>
                <w:rFonts w:cs="Times New Roman"/>
                <w:i/>
                <w:iCs/>
                <w:sz w:val="20"/>
                <w:szCs w:val="20"/>
              </w:rPr>
              <w:t>v.</w:t>
            </w:r>
            <w:r w:rsidRPr="00213156">
              <w:rPr>
                <w:rFonts w:cs="Times New Roman"/>
                <w:iCs/>
                <w:sz w:val="20"/>
                <w:szCs w:val="20"/>
              </w:rPr>
              <w:t xml:space="preserve"> </w:t>
            </w:r>
            <w:r w:rsidR="008A1054" w:rsidRPr="00213156">
              <w:rPr>
                <w:rFonts w:cs="Times New Roman"/>
                <w:iCs/>
                <w:sz w:val="20"/>
                <w:szCs w:val="20"/>
              </w:rPr>
              <w:t>Vokurka</w:t>
            </w:r>
            <w:r w:rsidRPr="00213156">
              <w:rPr>
                <w:rFonts w:cs="Times New Roman"/>
                <w:sz w:val="20"/>
                <w:szCs w:val="20"/>
              </w:rPr>
              <w:t>,</w:t>
            </w:r>
          </w:p>
          <w:p w:rsidR="00D36364" w:rsidRPr="00213156" w:rsidRDefault="00D36364" w:rsidP="00D36364">
            <w:pPr>
              <w:rPr>
                <w:rFonts w:cs="Times New Roman"/>
                <w:sz w:val="20"/>
                <w:szCs w:val="20"/>
              </w:rPr>
            </w:pPr>
            <w:r w:rsidRPr="00213156">
              <w:rPr>
                <w:rFonts w:cs="Times New Roman"/>
                <w:sz w:val="20"/>
                <w:szCs w:val="20"/>
              </w:rPr>
              <w:t xml:space="preserve">2014 SCC </w:t>
            </w:r>
            <w:r w:rsidR="008A1054" w:rsidRPr="00213156">
              <w:rPr>
                <w:rFonts w:cs="Times New Roman"/>
                <w:sz w:val="20"/>
                <w:szCs w:val="20"/>
              </w:rPr>
              <w:t>22</w:t>
            </w:r>
            <w:r w:rsidRPr="00213156">
              <w:rPr>
                <w:rFonts w:cs="Times New Roman"/>
                <w:sz w:val="20"/>
                <w:szCs w:val="20"/>
              </w:rPr>
              <w:t>, [2014] 1 S.C.R. 4</w:t>
            </w:r>
            <w:r w:rsidR="008A1054" w:rsidRPr="00213156">
              <w:rPr>
                <w:rFonts w:cs="Times New Roman"/>
                <w:sz w:val="20"/>
                <w:szCs w:val="20"/>
              </w:rPr>
              <w:t>98</w:t>
            </w:r>
          </w:p>
          <w:p w:rsidR="00D36364" w:rsidRPr="00213156" w:rsidRDefault="00D36364" w:rsidP="002B056F">
            <w:pPr>
              <w:rPr>
                <w:rFonts w:cs="Times New Roman"/>
                <w:sz w:val="20"/>
                <w:szCs w:val="20"/>
              </w:rPr>
            </w:pPr>
          </w:p>
          <w:p w:rsidR="00D36364" w:rsidRPr="00D36364" w:rsidRDefault="00D36364" w:rsidP="00D36364">
            <w:pPr>
              <w:rPr>
                <w:rFonts w:cs="Times New Roman"/>
                <w:sz w:val="20"/>
                <w:szCs w:val="20"/>
                <w:lang w:val="fr-CA"/>
              </w:rPr>
            </w:pPr>
            <w:r w:rsidRPr="00D36364">
              <w:rPr>
                <w:rFonts w:cs="Times New Roman"/>
                <w:sz w:val="20"/>
                <w:szCs w:val="20"/>
                <w:lang w:val="fr-CA"/>
              </w:rPr>
              <w:t xml:space="preserve">R. </w:t>
            </w:r>
            <w:r w:rsidRPr="00D36364">
              <w:rPr>
                <w:rFonts w:cs="Times New Roman"/>
                <w:i/>
                <w:iCs/>
                <w:sz w:val="20"/>
                <w:szCs w:val="20"/>
                <w:lang w:val="fr-CA"/>
              </w:rPr>
              <w:t>v.</w:t>
            </w:r>
            <w:r w:rsidRPr="00D36364">
              <w:rPr>
                <w:rFonts w:cs="Times New Roman"/>
                <w:iCs/>
                <w:sz w:val="20"/>
                <w:szCs w:val="20"/>
                <w:lang w:val="fr-CA"/>
              </w:rPr>
              <w:t xml:space="preserve"> </w:t>
            </w:r>
            <w:r w:rsidR="008A1054">
              <w:rPr>
                <w:rFonts w:cs="Times New Roman"/>
                <w:iCs/>
                <w:sz w:val="20"/>
                <w:szCs w:val="20"/>
                <w:lang w:val="fr-CA"/>
              </w:rPr>
              <w:t>Waite</w:t>
            </w:r>
            <w:r w:rsidRPr="00D36364">
              <w:rPr>
                <w:rFonts w:cs="Times New Roman"/>
                <w:sz w:val="20"/>
                <w:szCs w:val="20"/>
                <w:lang w:val="fr-CA"/>
              </w:rPr>
              <w:t>,</w:t>
            </w:r>
          </w:p>
          <w:p w:rsidR="00D36364" w:rsidRPr="00D36364" w:rsidRDefault="00D36364" w:rsidP="00D36364">
            <w:pPr>
              <w:rPr>
                <w:rFonts w:cs="Times New Roman"/>
                <w:sz w:val="20"/>
                <w:szCs w:val="20"/>
                <w:lang w:val="fr-CA"/>
              </w:rPr>
            </w:pPr>
            <w:r w:rsidRPr="00D36364">
              <w:rPr>
                <w:rFonts w:cs="Times New Roman"/>
                <w:sz w:val="20"/>
                <w:szCs w:val="20"/>
                <w:lang w:val="fr-CA"/>
              </w:rPr>
              <w:t xml:space="preserve">2014 SCC </w:t>
            </w:r>
            <w:r w:rsidR="008A1054">
              <w:rPr>
                <w:rFonts w:cs="Times New Roman"/>
                <w:sz w:val="20"/>
                <w:szCs w:val="20"/>
                <w:lang w:val="fr-CA"/>
              </w:rPr>
              <w:t>17</w:t>
            </w:r>
            <w:r w:rsidRPr="00D36364">
              <w:rPr>
                <w:rFonts w:cs="Times New Roman"/>
                <w:sz w:val="20"/>
                <w:szCs w:val="20"/>
                <w:lang w:val="fr-CA"/>
              </w:rPr>
              <w:t xml:space="preserve">, [2014] 1 S.C.R. </w:t>
            </w:r>
            <w:r w:rsidR="008A1054">
              <w:rPr>
                <w:rFonts w:cs="Times New Roman"/>
                <w:sz w:val="20"/>
                <w:szCs w:val="20"/>
                <w:lang w:val="fr-CA"/>
              </w:rPr>
              <w:t>3</w:t>
            </w:r>
            <w:r w:rsidRPr="00D36364">
              <w:rPr>
                <w:rFonts w:cs="Times New Roman"/>
                <w:sz w:val="20"/>
                <w:szCs w:val="20"/>
                <w:lang w:val="fr-CA"/>
              </w:rPr>
              <w:t>4</w:t>
            </w:r>
            <w:r w:rsidR="008A1054">
              <w:rPr>
                <w:rFonts w:cs="Times New Roman"/>
                <w:sz w:val="20"/>
                <w:szCs w:val="20"/>
                <w:lang w:val="fr-CA"/>
              </w:rPr>
              <w:t>1</w:t>
            </w:r>
          </w:p>
          <w:p w:rsidR="00D36364" w:rsidRPr="00E836F1" w:rsidRDefault="00D36364" w:rsidP="002B056F">
            <w:pPr>
              <w:rPr>
                <w:rFonts w:cs="Times New Roman"/>
                <w:sz w:val="20"/>
                <w:szCs w:val="20"/>
                <w:lang w:val="fr-CA"/>
              </w:rPr>
            </w:pPr>
          </w:p>
          <w:p w:rsidR="00A956D3" w:rsidRPr="008A1054" w:rsidRDefault="00A956D3" w:rsidP="002B056F">
            <w:pPr>
              <w:rPr>
                <w:rFonts w:cs="Times New Roman"/>
                <w:sz w:val="20"/>
                <w:szCs w:val="20"/>
              </w:rPr>
            </w:pPr>
            <w:r w:rsidRPr="008A1054">
              <w:rPr>
                <w:rFonts w:cs="Times New Roman"/>
                <w:sz w:val="20"/>
                <w:szCs w:val="20"/>
              </w:rPr>
              <w:t>Re</w:t>
            </w:r>
            <w:r w:rsidR="008A1054" w:rsidRPr="008A1054">
              <w:rPr>
                <w:rFonts w:cs="Times New Roman"/>
                <w:sz w:val="20"/>
                <w:szCs w:val="20"/>
              </w:rPr>
              <w:t xml:space="preserve">ference re </w:t>
            </w:r>
            <w:r w:rsidR="008A1054" w:rsidRPr="008A1054">
              <w:rPr>
                <w:rFonts w:cs="Times New Roman"/>
                <w:i/>
                <w:sz w:val="20"/>
                <w:szCs w:val="20"/>
              </w:rPr>
              <w:t>Sup</w:t>
            </w:r>
            <w:r w:rsidRPr="008A1054">
              <w:rPr>
                <w:rFonts w:cs="Times New Roman"/>
                <w:i/>
                <w:sz w:val="20"/>
                <w:szCs w:val="20"/>
              </w:rPr>
              <w:t>r</w:t>
            </w:r>
            <w:r w:rsidR="008A1054" w:rsidRPr="008A1054">
              <w:rPr>
                <w:rFonts w:cs="Times New Roman"/>
                <w:i/>
                <w:sz w:val="20"/>
                <w:szCs w:val="20"/>
              </w:rPr>
              <w:t>eme Court Ac</w:t>
            </w:r>
            <w:r w:rsidRPr="008A1054">
              <w:rPr>
                <w:rFonts w:cs="Times New Roman"/>
                <w:i/>
                <w:sz w:val="20"/>
                <w:szCs w:val="20"/>
              </w:rPr>
              <w:t>t</w:t>
            </w:r>
            <w:r w:rsidR="008A1054" w:rsidRPr="008A1054">
              <w:rPr>
                <w:rFonts w:cs="Times New Roman"/>
                <w:sz w:val="20"/>
                <w:szCs w:val="20"/>
              </w:rPr>
              <w:t>, ss. 5 and 6</w:t>
            </w:r>
            <w:r w:rsidRPr="008A1054">
              <w:rPr>
                <w:rFonts w:cs="Times New Roman"/>
                <w:iCs/>
                <w:sz w:val="20"/>
                <w:szCs w:val="20"/>
              </w:rPr>
              <w:t>,</w:t>
            </w:r>
          </w:p>
          <w:p w:rsidR="00A956D3" w:rsidRPr="008A1054" w:rsidRDefault="00745AE4" w:rsidP="002B056F">
            <w:pPr>
              <w:rPr>
                <w:rFonts w:cs="Times New Roman"/>
                <w:sz w:val="20"/>
                <w:szCs w:val="20"/>
                <w:lang w:val="fr-CA"/>
              </w:rPr>
            </w:pPr>
            <w:r w:rsidRPr="008A1054">
              <w:rPr>
                <w:rFonts w:cs="Times New Roman"/>
                <w:sz w:val="20"/>
                <w:szCs w:val="20"/>
                <w:lang w:val="fr-CA"/>
              </w:rPr>
              <w:t>2014</w:t>
            </w:r>
            <w:r w:rsidR="00A956D3" w:rsidRPr="008A1054">
              <w:rPr>
                <w:rFonts w:cs="Times New Roman"/>
                <w:sz w:val="20"/>
                <w:szCs w:val="20"/>
                <w:lang w:val="fr-CA"/>
              </w:rPr>
              <w:t xml:space="preserve"> SCC </w:t>
            </w:r>
            <w:r w:rsidR="008A1054">
              <w:rPr>
                <w:rFonts w:cs="Times New Roman"/>
                <w:sz w:val="20"/>
                <w:szCs w:val="20"/>
                <w:lang w:val="fr-CA"/>
              </w:rPr>
              <w:t>21</w:t>
            </w:r>
            <w:r w:rsidR="00A956D3" w:rsidRPr="008A1054">
              <w:rPr>
                <w:rFonts w:cs="Times New Roman"/>
                <w:sz w:val="20"/>
                <w:szCs w:val="20"/>
                <w:lang w:val="fr-CA"/>
              </w:rPr>
              <w:t>, [</w:t>
            </w:r>
            <w:r w:rsidRPr="008A1054">
              <w:rPr>
                <w:rFonts w:cs="Times New Roman"/>
                <w:sz w:val="20"/>
                <w:szCs w:val="20"/>
                <w:lang w:val="fr-CA"/>
              </w:rPr>
              <w:t>2014</w:t>
            </w:r>
            <w:r w:rsidR="00A956D3" w:rsidRPr="008A1054">
              <w:rPr>
                <w:rFonts w:cs="Times New Roman"/>
                <w:sz w:val="20"/>
                <w:szCs w:val="20"/>
                <w:lang w:val="fr-CA"/>
              </w:rPr>
              <w:t xml:space="preserve">] </w:t>
            </w:r>
            <w:r w:rsidR="00D36364" w:rsidRPr="008A1054">
              <w:rPr>
                <w:rFonts w:cs="Times New Roman"/>
                <w:sz w:val="20"/>
                <w:szCs w:val="20"/>
                <w:lang w:val="fr-CA"/>
              </w:rPr>
              <w:t>1</w:t>
            </w:r>
            <w:r w:rsidR="00A956D3" w:rsidRPr="008A1054">
              <w:rPr>
                <w:rFonts w:cs="Times New Roman"/>
                <w:sz w:val="20"/>
                <w:szCs w:val="20"/>
                <w:lang w:val="fr-CA"/>
              </w:rPr>
              <w:t xml:space="preserve"> S.C.R. 4</w:t>
            </w:r>
            <w:r w:rsidR="008A1054">
              <w:rPr>
                <w:rFonts w:cs="Times New Roman"/>
                <w:sz w:val="20"/>
                <w:szCs w:val="20"/>
                <w:lang w:val="fr-CA"/>
              </w:rPr>
              <w:t>33</w:t>
            </w:r>
          </w:p>
          <w:p w:rsidR="00227889" w:rsidRDefault="00227889" w:rsidP="002B056F">
            <w:pPr>
              <w:keepNext/>
              <w:keepLines/>
              <w:rPr>
                <w:rFonts w:cs="Times New Roman"/>
                <w:bCs/>
                <w:sz w:val="20"/>
                <w:szCs w:val="20"/>
                <w:lang w:val="fr-CA"/>
              </w:rPr>
            </w:pPr>
          </w:p>
          <w:p w:rsidR="00A956D3" w:rsidRPr="00DD0B49" w:rsidRDefault="002B68E4" w:rsidP="002B056F">
            <w:pPr>
              <w:keepNext/>
              <w:keepLines/>
              <w:rPr>
                <w:rFonts w:cs="Times New Roman"/>
                <w:bCs/>
                <w:sz w:val="20"/>
                <w:szCs w:val="20"/>
                <w:lang w:val="fr-CA"/>
              </w:rPr>
            </w:pPr>
            <w:r>
              <w:rPr>
                <w:rFonts w:cs="Times New Roman"/>
                <w:sz w:val="20"/>
                <w:szCs w:val="20"/>
              </w:rPr>
              <w:pict>
                <v:rect id="_x0000_i1075" style="width:129.6pt;height:1pt" o:hrpct="600" o:hralign="center" o:hrstd="t" o:hrnoshade="t" o:hr="t" fillcolor="black [3213]" stroked="f"/>
              </w:pict>
            </w:r>
          </w:p>
          <w:p w:rsidR="00A956D3" w:rsidRPr="00DD0B49" w:rsidRDefault="00A956D3" w:rsidP="002B056F">
            <w:pPr>
              <w:keepNext/>
              <w:keepLines/>
              <w:rPr>
                <w:rFonts w:cs="Times New Roman"/>
                <w:bCs/>
                <w:sz w:val="20"/>
                <w:szCs w:val="20"/>
                <w:lang w:val="fr-CA"/>
              </w:rPr>
            </w:pPr>
          </w:p>
        </w:tc>
        <w:tc>
          <w:tcPr>
            <w:tcW w:w="840" w:type="dxa"/>
            <w:tcBorders>
              <w:top w:val="nil"/>
              <w:left w:val="nil"/>
              <w:bottom w:val="nil"/>
              <w:right w:val="nil"/>
            </w:tcBorders>
          </w:tcPr>
          <w:p w:rsidR="00A956D3" w:rsidRPr="00DD0B49" w:rsidRDefault="00A956D3" w:rsidP="002B056F">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2B056F">
            <w:pPr>
              <w:rPr>
                <w:rFonts w:cs="Times New Roman"/>
                <w:b/>
                <w:bCs/>
                <w:sz w:val="20"/>
                <w:szCs w:val="20"/>
                <w:lang w:val="fr-CA"/>
              </w:rPr>
            </w:pPr>
            <w:r w:rsidRPr="00DD0B49">
              <w:rPr>
                <w:rFonts w:cs="Times New Roman"/>
                <w:b/>
                <w:bCs/>
                <w:sz w:val="20"/>
                <w:szCs w:val="20"/>
                <w:lang w:val="fr-CA"/>
              </w:rPr>
              <w:t>Jugements publiés dans [201</w:t>
            </w:r>
            <w:r w:rsidR="00745AE4">
              <w:rPr>
                <w:rFonts w:cs="Times New Roman"/>
                <w:b/>
                <w:bCs/>
                <w:sz w:val="20"/>
                <w:szCs w:val="20"/>
                <w:lang w:val="fr-CA"/>
              </w:rPr>
              <w:t>4</w:t>
            </w:r>
            <w:r w:rsidRPr="00DD0B49">
              <w:rPr>
                <w:rFonts w:cs="Times New Roman"/>
                <w:b/>
                <w:bCs/>
                <w:sz w:val="20"/>
                <w:szCs w:val="20"/>
                <w:lang w:val="fr-CA"/>
              </w:rPr>
              <w:t xml:space="preserve">] </w:t>
            </w:r>
            <w:r w:rsidR="00745AE4">
              <w:rPr>
                <w:rFonts w:cs="Times New Roman"/>
                <w:b/>
                <w:bCs/>
                <w:sz w:val="20"/>
                <w:szCs w:val="20"/>
                <w:lang w:val="fr-CA"/>
              </w:rPr>
              <w:t>1</w:t>
            </w:r>
            <w:r w:rsidRPr="00DD0B49">
              <w:rPr>
                <w:rFonts w:cs="Times New Roman"/>
                <w:b/>
                <w:bCs/>
                <w:sz w:val="20"/>
                <w:szCs w:val="20"/>
                <w:lang w:val="fr-CA"/>
              </w:rPr>
              <w:t xml:space="preserve"> R.C.S. Partie </w:t>
            </w:r>
            <w:r>
              <w:rPr>
                <w:rFonts w:cs="Times New Roman"/>
                <w:b/>
                <w:bCs/>
                <w:sz w:val="20"/>
                <w:szCs w:val="20"/>
                <w:lang w:val="fr-CA"/>
              </w:rPr>
              <w:t>2</w:t>
            </w:r>
          </w:p>
          <w:p w:rsidR="00A956D3" w:rsidRPr="00DD0B49" w:rsidRDefault="00A956D3" w:rsidP="002B056F">
            <w:pPr>
              <w:rPr>
                <w:rFonts w:cs="Times New Roman"/>
                <w:b/>
                <w:bCs/>
                <w:sz w:val="20"/>
                <w:szCs w:val="20"/>
                <w:lang w:val="fr-CA"/>
              </w:rPr>
            </w:pPr>
          </w:p>
          <w:p w:rsidR="00A956D3" w:rsidRPr="00F029FD" w:rsidRDefault="00A956D3" w:rsidP="002B056F">
            <w:pPr>
              <w:rPr>
                <w:rFonts w:cs="Times New Roman"/>
                <w:sz w:val="20"/>
                <w:szCs w:val="20"/>
                <w:lang w:val="fr-CA"/>
              </w:rPr>
            </w:pPr>
            <w:r>
              <w:rPr>
                <w:rFonts w:cs="Times New Roman"/>
                <w:sz w:val="20"/>
                <w:szCs w:val="20"/>
                <w:lang w:val="fr-CA"/>
              </w:rPr>
              <w:t>C</w:t>
            </w:r>
            <w:r w:rsidR="00227889">
              <w:rPr>
                <w:rFonts w:cs="Times New Roman"/>
                <w:sz w:val="20"/>
                <w:szCs w:val="20"/>
                <w:lang w:val="fr-CA"/>
              </w:rPr>
              <w:t>anada (Proc</w:t>
            </w:r>
            <w:r>
              <w:rPr>
                <w:rFonts w:cs="Times New Roman"/>
                <w:sz w:val="20"/>
                <w:szCs w:val="20"/>
                <w:lang w:val="fr-CA"/>
              </w:rPr>
              <w:t>u</w:t>
            </w:r>
            <w:r w:rsidRPr="00F029FD">
              <w:rPr>
                <w:rFonts w:cs="Times New Roman"/>
                <w:sz w:val="20"/>
                <w:szCs w:val="20"/>
                <w:lang w:val="fr-CA"/>
              </w:rPr>
              <w:t>r</w:t>
            </w:r>
            <w:r w:rsidR="00227889">
              <w:rPr>
                <w:rFonts w:cs="Times New Roman"/>
                <w:sz w:val="20"/>
                <w:szCs w:val="20"/>
                <w:lang w:val="fr-CA"/>
              </w:rPr>
              <w:t>eur général)</w:t>
            </w:r>
            <w:r>
              <w:rPr>
                <w:rFonts w:cs="Times New Roman"/>
                <w:sz w:val="20"/>
                <w:szCs w:val="20"/>
                <w:lang w:val="fr-CA"/>
              </w:rPr>
              <w:t xml:space="preserve"> </w:t>
            </w:r>
            <w:r w:rsidRPr="00F029FD">
              <w:rPr>
                <w:rFonts w:cs="Times New Roman"/>
                <w:i/>
                <w:sz w:val="20"/>
                <w:szCs w:val="20"/>
                <w:lang w:val="fr-CA"/>
              </w:rPr>
              <w:t>c.</w:t>
            </w:r>
            <w:r w:rsidRPr="00F029FD">
              <w:rPr>
                <w:rFonts w:cs="Times New Roman"/>
                <w:sz w:val="20"/>
                <w:szCs w:val="20"/>
                <w:lang w:val="fr-CA"/>
              </w:rPr>
              <w:t xml:space="preserve"> </w:t>
            </w:r>
            <w:r w:rsidR="00227889">
              <w:rPr>
                <w:rFonts w:cs="Times New Roman"/>
                <w:sz w:val="20"/>
                <w:szCs w:val="20"/>
                <w:lang w:val="fr-CA"/>
              </w:rPr>
              <w:t>Whaling</w:t>
            </w:r>
            <w:r w:rsidRPr="00F029FD">
              <w:rPr>
                <w:rFonts w:cs="Times New Roman"/>
                <w:sz w:val="20"/>
                <w:szCs w:val="20"/>
                <w:lang w:val="fr-CA"/>
              </w:rPr>
              <w:t>,</w:t>
            </w:r>
          </w:p>
          <w:p w:rsidR="00A956D3" w:rsidRPr="0029235F" w:rsidRDefault="00745AE4" w:rsidP="002B056F">
            <w:pPr>
              <w:rPr>
                <w:rFonts w:cs="Times New Roman"/>
                <w:sz w:val="20"/>
                <w:szCs w:val="20"/>
                <w:lang w:val="fr-CA"/>
              </w:rPr>
            </w:pPr>
            <w:r>
              <w:rPr>
                <w:rFonts w:cs="Times New Roman"/>
                <w:sz w:val="20"/>
                <w:szCs w:val="20"/>
                <w:lang w:val="fr-CA"/>
              </w:rPr>
              <w:t>2014</w:t>
            </w:r>
            <w:r w:rsidR="00A956D3" w:rsidRPr="0029235F">
              <w:rPr>
                <w:rFonts w:cs="Times New Roman"/>
                <w:sz w:val="20"/>
                <w:szCs w:val="20"/>
                <w:lang w:val="fr-CA"/>
              </w:rPr>
              <w:t xml:space="preserve"> CSC </w:t>
            </w:r>
            <w:r w:rsidR="00227889">
              <w:rPr>
                <w:rFonts w:cs="Times New Roman"/>
                <w:sz w:val="20"/>
                <w:szCs w:val="20"/>
                <w:lang w:val="fr-CA"/>
              </w:rPr>
              <w:t>20</w:t>
            </w:r>
            <w:r w:rsidR="00A956D3" w:rsidRPr="0029235F">
              <w:rPr>
                <w:rFonts w:cs="Times New Roman"/>
                <w:sz w:val="20"/>
                <w:szCs w:val="20"/>
                <w:lang w:val="fr-CA"/>
              </w:rPr>
              <w:t>, [</w:t>
            </w:r>
            <w:r>
              <w:rPr>
                <w:rFonts w:cs="Times New Roman"/>
                <w:sz w:val="20"/>
                <w:szCs w:val="20"/>
                <w:lang w:val="fr-CA"/>
              </w:rPr>
              <w:t>2014</w:t>
            </w:r>
            <w:r w:rsidR="00A956D3" w:rsidRPr="0029235F">
              <w:rPr>
                <w:rFonts w:cs="Times New Roman"/>
                <w:sz w:val="20"/>
                <w:szCs w:val="20"/>
                <w:lang w:val="fr-CA"/>
              </w:rPr>
              <w:t xml:space="preserve">] </w:t>
            </w:r>
            <w:r w:rsidR="00D36364">
              <w:rPr>
                <w:rFonts w:cs="Times New Roman"/>
                <w:sz w:val="20"/>
                <w:szCs w:val="20"/>
                <w:lang w:val="fr-CA"/>
              </w:rPr>
              <w:t>1</w:t>
            </w:r>
            <w:r w:rsidR="00A956D3" w:rsidRPr="0029235F">
              <w:rPr>
                <w:rFonts w:cs="Times New Roman"/>
                <w:sz w:val="20"/>
                <w:szCs w:val="20"/>
                <w:lang w:val="fr-CA"/>
              </w:rPr>
              <w:t xml:space="preserve"> R.C.S. </w:t>
            </w:r>
            <w:r w:rsidR="00A956D3">
              <w:rPr>
                <w:rFonts w:cs="Times New Roman"/>
                <w:sz w:val="20"/>
                <w:szCs w:val="20"/>
                <w:lang w:val="fr-CA"/>
              </w:rPr>
              <w:t>3</w:t>
            </w:r>
            <w:r w:rsidR="00227889">
              <w:rPr>
                <w:rFonts w:cs="Times New Roman"/>
                <w:sz w:val="20"/>
                <w:szCs w:val="20"/>
                <w:lang w:val="fr-CA"/>
              </w:rPr>
              <w:t>92</w:t>
            </w:r>
          </w:p>
          <w:p w:rsidR="00A956D3" w:rsidRPr="0029235F" w:rsidRDefault="00A956D3" w:rsidP="002B056F">
            <w:pPr>
              <w:rPr>
                <w:rFonts w:cs="Times New Roman"/>
                <w:sz w:val="20"/>
                <w:szCs w:val="20"/>
                <w:lang w:val="fr-CA"/>
              </w:rPr>
            </w:pPr>
          </w:p>
          <w:p w:rsidR="00A956D3" w:rsidRPr="00F029FD" w:rsidRDefault="00227889" w:rsidP="002B056F">
            <w:pPr>
              <w:rPr>
                <w:rFonts w:cs="Times New Roman"/>
                <w:sz w:val="20"/>
                <w:szCs w:val="20"/>
                <w:lang w:val="fr-CA"/>
              </w:rPr>
            </w:pPr>
            <w:r>
              <w:rPr>
                <w:rFonts w:cs="Times New Roman"/>
                <w:sz w:val="20"/>
                <w:szCs w:val="20"/>
                <w:lang w:val="fr-CA"/>
              </w:rPr>
              <w:t>Établisse</w:t>
            </w:r>
            <w:r w:rsidR="00A956D3">
              <w:rPr>
                <w:rFonts w:cs="Times New Roman"/>
                <w:sz w:val="20"/>
                <w:szCs w:val="20"/>
                <w:lang w:val="fr-CA"/>
              </w:rPr>
              <w:t>m</w:t>
            </w:r>
            <w:r>
              <w:rPr>
                <w:rFonts w:cs="Times New Roman"/>
                <w:sz w:val="20"/>
                <w:szCs w:val="20"/>
                <w:lang w:val="fr-CA"/>
              </w:rPr>
              <w:t>en</w:t>
            </w:r>
            <w:r w:rsidR="00A956D3">
              <w:rPr>
                <w:rFonts w:cs="Times New Roman"/>
                <w:sz w:val="20"/>
                <w:szCs w:val="20"/>
                <w:lang w:val="fr-CA"/>
              </w:rPr>
              <w:t>t</w:t>
            </w:r>
            <w:r>
              <w:rPr>
                <w:rFonts w:cs="Times New Roman"/>
                <w:sz w:val="20"/>
                <w:szCs w:val="20"/>
                <w:lang w:val="fr-CA"/>
              </w:rPr>
              <w:t xml:space="preserve"> de Missi</w:t>
            </w:r>
            <w:r w:rsidR="00A956D3" w:rsidRPr="001E1D42">
              <w:rPr>
                <w:rFonts w:cs="Times New Roman"/>
                <w:sz w:val="20"/>
                <w:szCs w:val="20"/>
                <w:lang w:val="fr-CA"/>
              </w:rPr>
              <w:t>on</w:t>
            </w:r>
            <w:r w:rsidR="00A956D3" w:rsidRPr="00F029FD">
              <w:rPr>
                <w:rFonts w:cs="Times New Roman"/>
                <w:sz w:val="20"/>
                <w:szCs w:val="20"/>
                <w:lang w:val="fr-CA"/>
              </w:rPr>
              <w:t xml:space="preserve"> </w:t>
            </w:r>
            <w:r w:rsidR="00A956D3" w:rsidRPr="00F029FD">
              <w:rPr>
                <w:rFonts w:cs="Times New Roman"/>
                <w:i/>
                <w:iCs/>
                <w:sz w:val="20"/>
                <w:szCs w:val="20"/>
                <w:lang w:val="fr-CA"/>
              </w:rPr>
              <w:t>c.</w:t>
            </w:r>
            <w:r w:rsidR="00A956D3" w:rsidRPr="00F029FD">
              <w:rPr>
                <w:rFonts w:cs="Times New Roman"/>
                <w:sz w:val="20"/>
                <w:szCs w:val="20"/>
                <w:lang w:val="fr-CA"/>
              </w:rPr>
              <w:t xml:space="preserve"> </w:t>
            </w:r>
            <w:r>
              <w:rPr>
                <w:rFonts w:cs="Times New Roman"/>
                <w:sz w:val="20"/>
                <w:szCs w:val="20"/>
                <w:lang w:val="fr-CA"/>
              </w:rPr>
              <w:t>Khela</w:t>
            </w:r>
            <w:r w:rsidR="00A956D3" w:rsidRPr="00F029FD">
              <w:rPr>
                <w:rFonts w:cs="Times New Roman"/>
                <w:sz w:val="20"/>
                <w:szCs w:val="20"/>
                <w:lang w:val="fr-CA"/>
              </w:rPr>
              <w:t>,</w:t>
            </w:r>
          </w:p>
          <w:p w:rsidR="00A956D3" w:rsidRPr="0006177B" w:rsidRDefault="00745AE4" w:rsidP="002B056F">
            <w:pPr>
              <w:rPr>
                <w:rFonts w:cs="Times New Roman"/>
                <w:sz w:val="20"/>
                <w:szCs w:val="20"/>
                <w:lang w:val="en-US"/>
              </w:rPr>
            </w:pPr>
            <w:r w:rsidRPr="0006177B">
              <w:rPr>
                <w:rFonts w:cs="Times New Roman"/>
                <w:sz w:val="20"/>
                <w:szCs w:val="20"/>
                <w:lang w:val="en-US"/>
              </w:rPr>
              <w:t>2014</w:t>
            </w:r>
            <w:r w:rsidR="00A956D3" w:rsidRPr="0006177B">
              <w:rPr>
                <w:rFonts w:cs="Times New Roman"/>
                <w:sz w:val="20"/>
                <w:szCs w:val="20"/>
                <w:lang w:val="en-US"/>
              </w:rPr>
              <w:t xml:space="preserve"> CSC 2</w:t>
            </w:r>
            <w:r w:rsidR="00227889" w:rsidRPr="0006177B">
              <w:rPr>
                <w:rFonts w:cs="Times New Roman"/>
                <w:sz w:val="20"/>
                <w:szCs w:val="20"/>
                <w:lang w:val="en-US"/>
              </w:rPr>
              <w:t>4</w:t>
            </w:r>
            <w:r w:rsidR="00A956D3" w:rsidRPr="0006177B">
              <w:rPr>
                <w:rFonts w:cs="Times New Roman"/>
                <w:sz w:val="20"/>
                <w:szCs w:val="20"/>
                <w:lang w:val="en-US"/>
              </w:rPr>
              <w:t>, [</w:t>
            </w:r>
            <w:r w:rsidRPr="0006177B">
              <w:rPr>
                <w:rFonts w:cs="Times New Roman"/>
                <w:sz w:val="20"/>
                <w:szCs w:val="20"/>
                <w:lang w:val="en-US"/>
              </w:rPr>
              <w:t>2014</w:t>
            </w:r>
            <w:r w:rsidR="00A956D3" w:rsidRPr="0006177B">
              <w:rPr>
                <w:rFonts w:cs="Times New Roman"/>
                <w:sz w:val="20"/>
                <w:szCs w:val="20"/>
                <w:lang w:val="en-US"/>
              </w:rPr>
              <w:t xml:space="preserve">] </w:t>
            </w:r>
            <w:r w:rsidR="00D36364" w:rsidRPr="0006177B">
              <w:rPr>
                <w:rFonts w:cs="Times New Roman"/>
                <w:sz w:val="20"/>
                <w:szCs w:val="20"/>
                <w:lang w:val="en-US"/>
              </w:rPr>
              <w:t>1</w:t>
            </w:r>
            <w:r w:rsidR="00A956D3" w:rsidRPr="0006177B">
              <w:rPr>
                <w:rFonts w:cs="Times New Roman"/>
                <w:sz w:val="20"/>
                <w:szCs w:val="20"/>
                <w:lang w:val="en-US"/>
              </w:rPr>
              <w:t xml:space="preserve"> R.C.S. </w:t>
            </w:r>
            <w:r w:rsidR="00227889" w:rsidRPr="0006177B">
              <w:rPr>
                <w:rFonts w:cs="Times New Roman"/>
                <w:sz w:val="20"/>
                <w:szCs w:val="20"/>
                <w:lang w:val="en-US"/>
              </w:rPr>
              <w:t>50</w:t>
            </w:r>
            <w:r w:rsidR="00A956D3" w:rsidRPr="0006177B">
              <w:rPr>
                <w:rFonts w:cs="Times New Roman"/>
                <w:sz w:val="20"/>
                <w:szCs w:val="20"/>
                <w:lang w:val="en-US"/>
              </w:rPr>
              <w:t>2</w:t>
            </w:r>
          </w:p>
          <w:p w:rsidR="00A956D3" w:rsidRPr="0006177B" w:rsidRDefault="00A956D3" w:rsidP="002B056F">
            <w:pPr>
              <w:rPr>
                <w:rFonts w:cs="Times New Roman"/>
                <w:sz w:val="20"/>
                <w:szCs w:val="20"/>
                <w:lang w:val="en-US"/>
              </w:rPr>
            </w:pPr>
          </w:p>
          <w:p w:rsidR="00A956D3" w:rsidRPr="00227889" w:rsidRDefault="00227889" w:rsidP="002B056F">
            <w:pPr>
              <w:rPr>
                <w:rFonts w:cs="Times New Roman"/>
                <w:sz w:val="20"/>
                <w:szCs w:val="20"/>
              </w:rPr>
            </w:pPr>
            <w:r w:rsidRPr="00227889">
              <w:rPr>
                <w:rFonts w:cs="Times New Roman"/>
                <w:sz w:val="20"/>
                <w:szCs w:val="20"/>
              </w:rPr>
              <w:t>Martin</w:t>
            </w:r>
            <w:r w:rsidR="00A956D3" w:rsidRPr="00227889">
              <w:rPr>
                <w:rFonts w:cs="Times New Roman"/>
                <w:sz w:val="20"/>
                <w:szCs w:val="20"/>
              </w:rPr>
              <w:t xml:space="preserve"> </w:t>
            </w:r>
            <w:r w:rsidR="00A956D3" w:rsidRPr="00227889">
              <w:rPr>
                <w:rFonts w:cs="Times New Roman"/>
                <w:i/>
                <w:iCs/>
                <w:sz w:val="20"/>
                <w:szCs w:val="20"/>
              </w:rPr>
              <w:t xml:space="preserve">v. </w:t>
            </w:r>
            <w:r>
              <w:rPr>
                <w:rFonts w:cs="Times New Roman"/>
                <w:sz w:val="20"/>
                <w:szCs w:val="20"/>
                <w:lang w:val="en-GB"/>
              </w:rPr>
              <w:t>Albert</w:t>
            </w:r>
            <w:r w:rsidRPr="00E240C2">
              <w:rPr>
                <w:rFonts w:cs="Times New Roman"/>
                <w:sz w:val="20"/>
                <w:szCs w:val="20"/>
                <w:lang w:val="en-GB"/>
              </w:rPr>
              <w:t>a</w:t>
            </w:r>
            <w:r>
              <w:rPr>
                <w:rFonts w:cs="Times New Roman"/>
                <w:sz w:val="20"/>
                <w:szCs w:val="20"/>
                <w:lang w:val="en-GB"/>
              </w:rPr>
              <w:t xml:space="preserve"> (Worker</w:t>
            </w:r>
            <w:r w:rsidRPr="00E240C2">
              <w:rPr>
                <w:rFonts w:cs="Times New Roman"/>
                <w:sz w:val="20"/>
                <w:szCs w:val="20"/>
                <w:lang w:val="en-GB"/>
              </w:rPr>
              <w:t>s</w:t>
            </w:r>
            <w:r>
              <w:rPr>
                <w:rFonts w:cs="Times New Roman"/>
                <w:sz w:val="20"/>
                <w:szCs w:val="20"/>
                <w:lang w:val="en-GB"/>
              </w:rPr>
              <w:t>’ C</w:t>
            </w:r>
            <w:r w:rsidRPr="00E240C2">
              <w:rPr>
                <w:rFonts w:cs="Times New Roman"/>
                <w:sz w:val="20"/>
                <w:szCs w:val="20"/>
                <w:lang w:val="en-GB"/>
              </w:rPr>
              <w:t>o</w:t>
            </w:r>
            <w:r>
              <w:rPr>
                <w:rFonts w:cs="Times New Roman"/>
                <w:sz w:val="20"/>
                <w:szCs w:val="20"/>
                <w:lang w:val="en-GB"/>
              </w:rPr>
              <w:t>mpensat</w:t>
            </w:r>
            <w:r w:rsidRPr="00E240C2">
              <w:rPr>
                <w:rFonts w:cs="Times New Roman"/>
                <w:sz w:val="20"/>
                <w:szCs w:val="20"/>
                <w:lang w:val="en-GB"/>
              </w:rPr>
              <w:t>i</w:t>
            </w:r>
            <w:r>
              <w:rPr>
                <w:rFonts w:cs="Times New Roman"/>
                <w:sz w:val="20"/>
                <w:szCs w:val="20"/>
                <w:lang w:val="en-GB"/>
              </w:rPr>
              <w:t>on Board)</w:t>
            </w:r>
            <w:r w:rsidR="00A956D3" w:rsidRPr="00227889">
              <w:rPr>
                <w:rFonts w:cs="Times New Roman"/>
                <w:sz w:val="20"/>
                <w:szCs w:val="20"/>
              </w:rPr>
              <w:t>,</w:t>
            </w:r>
          </w:p>
          <w:p w:rsidR="00A956D3" w:rsidRPr="00227889" w:rsidRDefault="00745AE4" w:rsidP="002B056F">
            <w:pPr>
              <w:rPr>
                <w:rFonts w:cs="Times New Roman"/>
                <w:sz w:val="20"/>
                <w:szCs w:val="20"/>
              </w:rPr>
            </w:pPr>
            <w:r w:rsidRPr="00227889">
              <w:rPr>
                <w:rFonts w:cs="Times New Roman"/>
                <w:sz w:val="20"/>
                <w:szCs w:val="20"/>
              </w:rPr>
              <w:t>2014</w:t>
            </w:r>
            <w:r w:rsidR="00A956D3" w:rsidRPr="00227889">
              <w:rPr>
                <w:rFonts w:cs="Times New Roman"/>
                <w:sz w:val="20"/>
                <w:szCs w:val="20"/>
              </w:rPr>
              <w:t xml:space="preserve"> CSC </w:t>
            </w:r>
            <w:r w:rsidR="00227889" w:rsidRPr="00227889">
              <w:rPr>
                <w:rFonts w:cs="Times New Roman"/>
                <w:sz w:val="20"/>
                <w:szCs w:val="20"/>
              </w:rPr>
              <w:t>2</w:t>
            </w:r>
            <w:r w:rsidR="00A956D3" w:rsidRPr="00227889">
              <w:rPr>
                <w:rFonts w:cs="Times New Roman"/>
                <w:sz w:val="20"/>
                <w:szCs w:val="20"/>
              </w:rPr>
              <w:t>5, [</w:t>
            </w:r>
            <w:r w:rsidRPr="00227889">
              <w:rPr>
                <w:rFonts w:cs="Times New Roman"/>
                <w:sz w:val="20"/>
                <w:szCs w:val="20"/>
              </w:rPr>
              <w:t>2014</w:t>
            </w:r>
            <w:r w:rsidR="00A956D3" w:rsidRPr="00227889">
              <w:rPr>
                <w:rFonts w:cs="Times New Roman"/>
                <w:sz w:val="20"/>
                <w:szCs w:val="20"/>
              </w:rPr>
              <w:t xml:space="preserve">] </w:t>
            </w:r>
            <w:r w:rsidR="00D36364" w:rsidRPr="00227889">
              <w:rPr>
                <w:rFonts w:cs="Times New Roman"/>
                <w:sz w:val="20"/>
                <w:szCs w:val="20"/>
              </w:rPr>
              <w:t>1</w:t>
            </w:r>
            <w:r w:rsidR="00A956D3" w:rsidRPr="00227889">
              <w:rPr>
                <w:rFonts w:cs="Times New Roman"/>
                <w:sz w:val="20"/>
                <w:szCs w:val="20"/>
              </w:rPr>
              <w:t xml:space="preserve"> R.C.S. </w:t>
            </w:r>
            <w:r w:rsidR="00227889" w:rsidRPr="00227889">
              <w:rPr>
                <w:rFonts w:cs="Times New Roman"/>
                <w:sz w:val="20"/>
                <w:szCs w:val="20"/>
              </w:rPr>
              <w:t>54</w:t>
            </w:r>
            <w:r w:rsidR="00A956D3" w:rsidRPr="00227889">
              <w:rPr>
                <w:rFonts w:cs="Times New Roman"/>
                <w:sz w:val="20"/>
                <w:szCs w:val="20"/>
              </w:rPr>
              <w:t>6</w:t>
            </w:r>
          </w:p>
          <w:p w:rsidR="00A956D3" w:rsidRPr="00227889" w:rsidRDefault="00A956D3" w:rsidP="002B056F">
            <w:pPr>
              <w:rPr>
                <w:rFonts w:cs="Times New Roman"/>
                <w:sz w:val="20"/>
                <w:szCs w:val="20"/>
              </w:rPr>
            </w:pPr>
          </w:p>
          <w:p w:rsidR="00A956D3" w:rsidRPr="00227889" w:rsidRDefault="00A956D3" w:rsidP="002B056F">
            <w:pPr>
              <w:rPr>
                <w:rFonts w:cs="Times New Roman"/>
                <w:sz w:val="20"/>
                <w:szCs w:val="20"/>
              </w:rPr>
            </w:pPr>
            <w:r w:rsidRPr="00227889">
              <w:rPr>
                <w:rFonts w:cs="Times New Roman"/>
                <w:sz w:val="20"/>
                <w:szCs w:val="20"/>
              </w:rPr>
              <w:t xml:space="preserve">R. </w:t>
            </w:r>
            <w:r w:rsidRPr="00227889">
              <w:rPr>
                <w:rFonts w:cs="Times New Roman"/>
                <w:i/>
                <w:iCs/>
                <w:sz w:val="20"/>
                <w:szCs w:val="20"/>
              </w:rPr>
              <w:t>c.</w:t>
            </w:r>
            <w:r w:rsidRPr="00227889">
              <w:rPr>
                <w:rFonts w:cs="Times New Roman"/>
                <w:iCs/>
                <w:sz w:val="20"/>
                <w:szCs w:val="20"/>
              </w:rPr>
              <w:t xml:space="preserve"> </w:t>
            </w:r>
            <w:r w:rsidR="00227889" w:rsidRPr="00227889">
              <w:rPr>
                <w:rFonts w:cs="Times New Roman"/>
                <w:iCs/>
                <w:sz w:val="20"/>
                <w:szCs w:val="20"/>
              </w:rPr>
              <w:t>Babos</w:t>
            </w:r>
            <w:r w:rsidRPr="00227889">
              <w:rPr>
                <w:rFonts w:cs="Times New Roman"/>
                <w:sz w:val="20"/>
                <w:szCs w:val="20"/>
              </w:rPr>
              <w:t>,</w:t>
            </w:r>
          </w:p>
          <w:p w:rsidR="00A956D3" w:rsidRPr="00227889" w:rsidRDefault="00745AE4" w:rsidP="002B056F">
            <w:pPr>
              <w:rPr>
                <w:rFonts w:cs="Times New Roman"/>
                <w:sz w:val="20"/>
                <w:szCs w:val="20"/>
              </w:rPr>
            </w:pPr>
            <w:r w:rsidRPr="00227889">
              <w:rPr>
                <w:rFonts w:cs="Times New Roman"/>
                <w:sz w:val="20"/>
                <w:szCs w:val="20"/>
              </w:rPr>
              <w:t>2014</w:t>
            </w:r>
            <w:r w:rsidR="00A956D3" w:rsidRPr="00227889">
              <w:rPr>
                <w:rFonts w:cs="Times New Roman"/>
                <w:sz w:val="20"/>
                <w:szCs w:val="20"/>
              </w:rPr>
              <w:t xml:space="preserve"> CSC </w:t>
            </w:r>
            <w:r w:rsidR="00227889" w:rsidRPr="00227889">
              <w:rPr>
                <w:rFonts w:cs="Times New Roman"/>
                <w:sz w:val="20"/>
                <w:szCs w:val="20"/>
              </w:rPr>
              <w:t>16</w:t>
            </w:r>
            <w:r w:rsidR="00A956D3" w:rsidRPr="00227889">
              <w:rPr>
                <w:rFonts w:cs="Times New Roman"/>
                <w:sz w:val="20"/>
                <w:szCs w:val="20"/>
              </w:rPr>
              <w:t>, [</w:t>
            </w:r>
            <w:r w:rsidRPr="00227889">
              <w:rPr>
                <w:rFonts w:cs="Times New Roman"/>
                <w:sz w:val="20"/>
                <w:szCs w:val="20"/>
              </w:rPr>
              <w:t>2014</w:t>
            </w:r>
            <w:r w:rsidR="00A956D3" w:rsidRPr="00227889">
              <w:rPr>
                <w:rFonts w:cs="Times New Roman"/>
                <w:sz w:val="20"/>
                <w:szCs w:val="20"/>
              </w:rPr>
              <w:t xml:space="preserve">] </w:t>
            </w:r>
            <w:r w:rsidR="00D36364" w:rsidRPr="00227889">
              <w:rPr>
                <w:rFonts w:cs="Times New Roman"/>
                <w:sz w:val="20"/>
                <w:szCs w:val="20"/>
              </w:rPr>
              <w:t>1</w:t>
            </w:r>
            <w:r w:rsidR="00A956D3" w:rsidRPr="00227889">
              <w:rPr>
                <w:rFonts w:cs="Times New Roman"/>
                <w:sz w:val="20"/>
                <w:szCs w:val="20"/>
              </w:rPr>
              <w:t xml:space="preserve"> R.C.S. </w:t>
            </w:r>
            <w:r w:rsidR="00227889" w:rsidRPr="00227889">
              <w:rPr>
                <w:rFonts w:cs="Times New Roman"/>
                <w:sz w:val="20"/>
                <w:szCs w:val="20"/>
              </w:rPr>
              <w:t>3</w:t>
            </w:r>
            <w:r w:rsidR="00A956D3" w:rsidRPr="00227889">
              <w:rPr>
                <w:rFonts w:cs="Times New Roman"/>
                <w:sz w:val="20"/>
                <w:szCs w:val="20"/>
              </w:rPr>
              <w:t>0</w:t>
            </w:r>
            <w:r w:rsidR="00227889" w:rsidRPr="00227889">
              <w:rPr>
                <w:rFonts w:cs="Times New Roman"/>
                <w:sz w:val="20"/>
                <w:szCs w:val="20"/>
              </w:rPr>
              <w:t>9</w:t>
            </w:r>
          </w:p>
          <w:p w:rsidR="00A956D3" w:rsidRPr="00227889" w:rsidRDefault="00A956D3" w:rsidP="002B056F">
            <w:pPr>
              <w:rPr>
                <w:rFonts w:cs="Times New Roman"/>
                <w:iCs/>
                <w:sz w:val="20"/>
                <w:szCs w:val="20"/>
              </w:rPr>
            </w:pPr>
          </w:p>
          <w:p w:rsidR="00A956D3" w:rsidRPr="00227889" w:rsidRDefault="00A956D3" w:rsidP="002B056F">
            <w:pPr>
              <w:rPr>
                <w:rFonts w:cs="Times New Roman"/>
                <w:iCs/>
                <w:sz w:val="20"/>
                <w:szCs w:val="20"/>
              </w:rPr>
            </w:pPr>
            <w:r w:rsidRPr="00227889">
              <w:rPr>
                <w:rFonts w:cs="Times New Roman"/>
                <w:iCs/>
                <w:sz w:val="20"/>
                <w:szCs w:val="20"/>
              </w:rPr>
              <w:t xml:space="preserve">R. </w:t>
            </w:r>
            <w:r w:rsidRPr="00227889">
              <w:rPr>
                <w:rFonts w:cs="Times New Roman"/>
                <w:i/>
                <w:iCs/>
                <w:sz w:val="20"/>
                <w:szCs w:val="20"/>
              </w:rPr>
              <w:t>c.</w:t>
            </w:r>
            <w:r w:rsidRPr="00227889">
              <w:rPr>
                <w:rFonts w:cs="Times New Roman"/>
                <w:iCs/>
                <w:sz w:val="20"/>
                <w:szCs w:val="20"/>
              </w:rPr>
              <w:t xml:space="preserve"> </w:t>
            </w:r>
            <w:r w:rsidR="00227889" w:rsidRPr="00227889">
              <w:rPr>
                <w:rFonts w:cs="Times New Roman"/>
                <w:iCs/>
                <w:sz w:val="20"/>
                <w:szCs w:val="20"/>
              </w:rPr>
              <w:t>Hogg</w:t>
            </w:r>
            <w:r w:rsidRPr="00227889">
              <w:rPr>
                <w:rFonts w:cs="Times New Roman"/>
                <w:iCs/>
                <w:sz w:val="20"/>
                <w:szCs w:val="20"/>
              </w:rPr>
              <w:t>,</w:t>
            </w:r>
          </w:p>
          <w:p w:rsidR="00A956D3" w:rsidRPr="00227889" w:rsidRDefault="00745AE4" w:rsidP="002B056F">
            <w:pPr>
              <w:rPr>
                <w:rFonts w:cs="Times New Roman"/>
                <w:sz w:val="20"/>
                <w:szCs w:val="20"/>
              </w:rPr>
            </w:pPr>
            <w:r w:rsidRPr="00227889">
              <w:rPr>
                <w:rFonts w:cs="Times New Roman"/>
                <w:sz w:val="20"/>
                <w:szCs w:val="20"/>
              </w:rPr>
              <w:t>2014</w:t>
            </w:r>
            <w:r w:rsidR="00A956D3" w:rsidRPr="00227889">
              <w:rPr>
                <w:rFonts w:cs="Times New Roman"/>
                <w:sz w:val="20"/>
                <w:szCs w:val="20"/>
              </w:rPr>
              <w:t xml:space="preserve"> CSC </w:t>
            </w:r>
            <w:r w:rsidR="00227889" w:rsidRPr="00227889">
              <w:rPr>
                <w:rFonts w:cs="Times New Roman"/>
                <w:sz w:val="20"/>
                <w:szCs w:val="20"/>
              </w:rPr>
              <w:t>18</w:t>
            </w:r>
            <w:r w:rsidR="00A956D3" w:rsidRPr="00227889">
              <w:rPr>
                <w:rFonts w:cs="Times New Roman"/>
                <w:sz w:val="20"/>
                <w:szCs w:val="20"/>
              </w:rPr>
              <w:t>, [</w:t>
            </w:r>
            <w:r w:rsidRPr="00227889">
              <w:rPr>
                <w:rFonts w:cs="Times New Roman"/>
                <w:sz w:val="20"/>
                <w:szCs w:val="20"/>
              </w:rPr>
              <w:t>2014</w:t>
            </w:r>
            <w:r w:rsidR="00A956D3" w:rsidRPr="00227889">
              <w:rPr>
                <w:rFonts w:cs="Times New Roman"/>
                <w:sz w:val="20"/>
                <w:szCs w:val="20"/>
              </w:rPr>
              <w:t xml:space="preserve">] </w:t>
            </w:r>
            <w:r w:rsidR="00D36364" w:rsidRPr="00227889">
              <w:rPr>
                <w:rFonts w:cs="Times New Roman"/>
                <w:sz w:val="20"/>
                <w:szCs w:val="20"/>
              </w:rPr>
              <w:t>1</w:t>
            </w:r>
            <w:r w:rsidR="00A956D3" w:rsidRPr="00227889">
              <w:rPr>
                <w:rFonts w:cs="Times New Roman"/>
                <w:sz w:val="20"/>
                <w:szCs w:val="20"/>
              </w:rPr>
              <w:t xml:space="preserve"> R.C.S. </w:t>
            </w:r>
            <w:r w:rsidR="00227889" w:rsidRPr="00227889">
              <w:rPr>
                <w:rFonts w:cs="Times New Roman"/>
                <w:sz w:val="20"/>
                <w:szCs w:val="20"/>
              </w:rPr>
              <w:t>34</w:t>
            </w:r>
            <w:r w:rsidR="00A956D3" w:rsidRPr="00227889">
              <w:rPr>
                <w:rFonts w:cs="Times New Roman"/>
                <w:sz w:val="20"/>
                <w:szCs w:val="20"/>
              </w:rPr>
              <w:t>4</w:t>
            </w:r>
          </w:p>
          <w:p w:rsidR="00A956D3" w:rsidRPr="00227889" w:rsidRDefault="00A956D3" w:rsidP="002B056F">
            <w:pPr>
              <w:rPr>
                <w:rFonts w:cs="Times New Roman"/>
                <w:sz w:val="20"/>
                <w:szCs w:val="20"/>
              </w:rPr>
            </w:pPr>
          </w:p>
          <w:p w:rsidR="00A956D3" w:rsidRPr="00227889" w:rsidRDefault="00A956D3" w:rsidP="002B056F">
            <w:pPr>
              <w:rPr>
                <w:rFonts w:cs="Times New Roman"/>
                <w:iCs/>
                <w:sz w:val="20"/>
                <w:szCs w:val="20"/>
              </w:rPr>
            </w:pPr>
            <w:r w:rsidRPr="00227889">
              <w:rPr>
                <w:rFonts w:cs="Times New Roman"/>
                <w:iCs/>
                <w:sz w:val="20"/>
                <w:szCs w:val="20"/>
              </w:rPr>
              <w:t xml:space="preserve">R. </w:t>
            </w:r>
            <w:r w:rsidRPr="00227889">
              <w:rPr>
                <w:rFonts w:cs="Times New Roman"/>
                <w:i/>
                <w:iCs/>
                <w:sz w:val="20"/>
                <w:szCs w:val="20"/>
              </w:rPr>
              <w:t>c.</w:t>
            </w:r>
            <w:r w:rsidRPr="00227889">
              <w:rPr>
                <w:rFonts w:cs="Times New Roman"/>
                <w:iCs/>
                <w:sz w:val="20"/>
                <w:szCs w:val="20"/>
              </w:rPr>
              <w:t xml:space="preserve"> </w:t>
            </w:r>
            <w:r w:rsidR="00227889" w:rsidRPr="00227889">
              <w:rPr>
                <w:rFonts w:cs="Times New Roman"/>
                <w:iCs/>
                <w:sz w:val="20"/>
                <w:szCs w:val="20"/>
              </w:rPr>
              <w:t>Hutchinson</w:t>
            </w:r>
            <w:r w:rsidRPr="00227889">
              <w:rPr>
                <w:rFonts w:cs="Times New Roman"/>
                <w:iCs/>
                <w:sz w:val="20"/>
                <w:szCs w:val="20"/>
              </w:rPr>
              <w:t>,</w:t>
            </w:r>
          </w:p>
          <w:p w:rsidR="00A956D3" w:rsidRPr="0006177B" w:rsidRDefault="00745AE4" w:rsidP="002B056F">
            <w:pPr>
              <w:rPr>
                <w:rFonts w:cs="Times New Roman"/>
                <w:sz w:val="20"/>
                <w:szCs w:val="20"/>
              </w:rPr>
            </w:pPr>
            <w:r w:rsidRPr="0006177B">
              <w:rPr>
                <w:rFonts w:cs="Times New Roman"/>
                <w:sz w:val="20"/>
                <w:szCs w:val="20"/>
              </w:rPr>
              <w:t>2014</w:t>
            </w:r>
            <w:r w:rsidR="00A956D3" w:rsidRPr="0006177B">
              <w:rPr>
                <w:rFonts w:cs="Times New Roman"/>
                <w:sz w:val="20"/>
                <w:szCs w:val="20"/>
              </w:rPr>
              <w:t xml:space="preserve"> CSC </w:t>
            </w:r>
            <w:r w:rsidR="00227889" w:rsidRPr="0006177B">
              <w:rPr>
                <w:rFonts w:cs="Times New Roman"/>
                <w:sz w:val="20"/>
                <w:szCs w:val="20"/>
              </w:rPr>
              <w:t>19</w:t>
            </w:r>
            <w:r w:rsidR="00A956D3" w:rsidRPr="0006177B">
              <w:rPr>
                <w:rFonts w:cs="Times New Roman"/>
                <w:sz w:val="20"/>
                <w:szCs w:val="20"/>
              </w:rPr>
              <w:t>, [</w:t>
            </w:r>
            <w:r w:rsidRPr="0006177B">
              <w:rPr>
                <w:rFonts w:cs="Times New Roman"/>
                <w:sz w:val="20"/>
                <w:szCs w:val="20"/>
              </w:rPr>
              <w:t>2014</w:t>
            </w:r>
            <w:r w:rsidR="00A956D3" w:rsidRPr="0006177B">
              <w:rPr>
                <w:rFonts w:cs="Times New Roman"/>
                <w:sz w:val="20"/>
                <w:szCs w:val="20"/>
              </w:rPr>
              <w:t xml:space="preserve">] </w:t>
            </w:r>
            <w:r w:rsidR="00D36364" w:rsidRPr="0006177B">
              <w:rPr>
                <w:rFonts w:cs="Times New Roman"/>
                <w:sz w:val="20"/>
                <w:szCs w:val="20"/>
              </w:rPr>
              <w:t>1</w:t>
            </w:r>
            <w:r w:rsidR="00A956D3" w:rsidRPr="0006177B">
              <w:rPr>
                <w:rFonts w:cs="Times New Roman"/>
                <w:sz w:val="20"/>
                <w:szCs w:val="20"/>
              </w:rPr>
              <w:t xml:space="preserve"> R.C.S. </w:t>
            </w:r>
            <w:r w:rsidR="00227889" w:rsidRPr="0006177B">
              <w:rPr>
                <w:rFonts w:cs="Times New Roman"/>
                <w:sz w:val="20"/>
                <w:szCs w:val="20"/>
              </w:rPr>
              <w:t>3</w:t>
            </w:r>
            <w:r w:rsidR="00A956D3" w:rsidRPr="0006177B">
              <w:rPr>
                <w:rFonts w:cs="Times New Roman"/>
                <w:sz w:val="20"/>
                <w:szCs w:val="20"/>
              </w:rPr>
              <w:t>4</w:t>
            </w:r>
            <w:r w:rsidR="00227889" w:rsidRPr="0006177B">
              <w:rPr>
                <w:rFonts w:cs="Times New Roman"/>
                <w:sz w:val="20"/>
                <w:szCs w:val="20"/>
              </w:rPr>
              <w:t>6</w:t>
            </w:r>
          </w:p>
          <w:p w:rsidR="00A956D3" w:rsidRPr="0006177B" w:rsidRDefault="00A956D3" w:rsidP="002B056F">
            <w:pPr>
              <w:rPr>
                <w:rFonts w:cs="Times New Roman"/>
                <w:sz w:val="20"/>
                <w:szCs w:val="20"/>
              </w:rPr>
            </w:pPr>
          </w:p>
          <w:p w:rsidR="00D36364" w:rsidRPr="00213156" w:rsidRDefault="00D36364" w:rsidP="00D36364">
            <w:pPr>
              <w:rPr>
                <w:rFonts w:cs="Times New Roman"/>
                <w:sz w:val="20"/>
                <w:szCs w:val="20"/>
                <w:lang w:val="fr-CA"/>
              </w:rPr>
            </w:pPr>
            <w:r w:rsidRPr="00213156">
              <w:rPr>
                <w:rFonts w:cs="Times New Roman"/>
                <w:sz w:val="20"/>
                <w:szCs w:val="20"/>
                <w:lang w:val="fr-CA"/>
              </w:rPr>
              <w:t xml:space="preserve">R. </w:t>
            </w:r>
            <w:r w:rsidRPr="00213156">
              <w:rPr>
                <w:rFonts w:cs="Times New Roman"/>
                <w:i/>
                <w:iCs/>
                <w:sz w:val="20"/>
                <w:szCs w:val="20"/>
                <w:lang w:val="fr-CA"/>
              </w:rPr>
              <w:t>c.</w:t>
            </w:r>
            <w:r w:rsidRPr="00213156">
              <w:rPr>
                <w:rFonts w:cs="Times New Roman"/>
                <w:iCs/>
                <w:sz w:val="20"/>
                <w:szCs w:val="20"/>
                <w:lang w:val="fr-CA"/>
              </w:rPr>
              <w:t xml:space="preserve"> </w:t>
            </w:r>
            <w:r w:rsidR="00227889">
              <w:rPr>
                <w:rFonts w:cs="Times New Roman"/>
                <w:iCs/>
                <w:sz w:val="20"/>
                <w:szCs w:val="20"/>
                <w:lang w:val="fr-CA"/>
              </w:rPr>
              <w:t>Leinen</w:t>
            </w:r>
            <w:r w:rsidRPr="00213156">
              <w:rPr>
                <w:rFonts w:cs="Times New Roman"/>
                <w:sz w:val="20"/>
                <w:szCs w:val="20"/>
                <w:lang w:val="fr-CA"/>
              </w:rPr>
              <w:t>,</w:t>
            </w:r>
          </w:p>
          <w:p w:rsidR="00D36364" w:rsidRPr="0006177B" w:rsidRDefault="00D36364" w:rsidP="00D36364">
            <w:pPr>
              <w:rPr>
                <w:rFonts w:cs="Times New Roman"/>
                <w:sz w:val="20"/>
                <w:szCs w:val="20"/>
                <w:lang w:val="fr-CA"/>
              </w:rPr>
            </w:pPr>
            <w:r w:rsidRPr="0006177B">
              <w:rPr>
                <w:rFonts w:cs="Times New Roman"/>
                <w:sz w:val="20"/>
                <w:szCs w:val="20"/>
                <w:lang w:val="fr-CA"/>
              </w:rPr>
              <w:t xml:space="preserve">2014 CSC </w:t>
            </w:r>
            <w:r w:rsidR="00227889" w:rsidRPr="0006177B">
              <w:rPr>
                <w:rFonts w:cs="Times New Roman"/>
                <w:sz w:val="20"/>
                <w:szCs w:val="20"/>
                <w:lang w:val="fr-CA"/>
              </w:rPr>
              <w:t>23</w:t>
            </w:r>
            <w:r w:rsidRPr="0006177B">
              <w:rPr>
                <w:rFonts w:cs="Times New Roman"/>
                <w:sz w:val="20"/>
                <w:szCs w:val="20"/>
                <w:lang w:val="fr-CA"/>
              </w:rPr>
              <w:t xml:space="preserve">, [2014] 1 R.C.S. </w:t>
            </w:r>
            <w:r w:rsidR="00227889" w:rsidRPr="0006177B">
              <w:rPr>
                <w:rFonts w:cs="Times New Roman"/>
                <w:sz w:val="20"/>
                <w:szCs w:val="20"/>
                <w:lang w:val="fr-CA"/>
              </w:rPr>
              <w:t>500</w:t>
            </w:r>
          </w:p>
          <w:p w:rsidR="00D36364" w:rsidRPr="0006177B" w:rsidRDefault="00D36364" w:rsidP="00D36364">
            <w:pPr>
              <w:rPr>
                <w:rFonts w:cs="Times New Roman"/>
                <w:iCs/>
                <w:sz w:val="20"/>
                <w:szCs w:val="20"/>
                <w:lang w:val="fr-CA"/>
              </w:rPr>
            </w:pPr>
          </w:p>
          <w:p w:rsidR="00D36364" w:rsidRPr="00D36364" w:rsidRDefault="00D36364" w:rsidP="00D36364">
            <w:pPr>
              <w:rPr>
                <w:rFonts w:cs="Times New Roman"/>
                <w:sz w:val="20"/>
                <w:szCs w:val="20"/>
              </w:rPr>
            </w:pPr>
            <w:r w:rsidRPr="00D36364">
              <w:rPr>
                <w:rFonts w:cs="Times New Roman"/>
                <w:sz w:val="20"/>
                <w:szCs w:val="20"/>
              </w:rPr>
              <w:t xml:space="preserve">R. </w:t>
            </w:r>
            <w:r w:rsidRPr="00D36364">
              <w:rPr>
                <w:rFonts w:cs="Times New Roman"/>
                <w:i/>
                <w:iCs/>
                <w:sz w:val="20"/>
                <w:szCs w:val="20"/>
              </w:rPr>
              <w:t>c.</w:t>
            </w:r>
            <w:r w:rsidRPr="00D36364">
              <w:rPr>
                <w:rFonts w:cs="Times New Roman"/>
                <w:iCs/>
                <w:sz w:val="20"/>
                <w:szCs w:val="20"/>
              </w:rPr>
              <w:t xml:space="preserve"> </w:t>
            </w:r>
            <w:r w:rsidR="00227889">
              <w:rPr>
                <w:rFonts w:cs="Times New Roman"/>
                <w:iCs/>
                <w:sz w:val="20"/>
                <w:szCs w:val="20"/>
              </w:rPr>
              <w:t>Vokurka</w:t>
            </w:r>
            <w:r w:rsidRPr="00D36364">
              <w:rPr>
                <w:rFonts w:cs="Times New Roman"/>
                <w:sz w:val="20"/>
                <w:szCs w:val="20"/>
              </w:rPr>
              <w:t>,</w:t>
            </w:r>
          </w:p>
          <w:p w:rsidR="00D36364" w:rsidRPr="00D36364" w:rsidRDefault="00D36364" w:rsidP="00D36364">
            <w:pPr>
              <w:rPr>
                <w:rFonts w:cs="Times New Roman"/>
                <w:sz w:val="20"/>
                <w:szCs w:val="20"/>
              </w:rPr>
            </w:pPr>
            <w:r w:rsidRPr="00D36364">
              <w:rPr>
                <w:rFonts w:cs="Times New Roman"/>
                <w:sz w:val="20"/>
                <w:szCs w:val="20"/>
              </w:rPr>
              <w:t xml:space="preserve">2014 CSC </w:t>
            </w:r>
            <w:r w:rsidR="00227889">
              <w:rPr>
                <w:rFonts w:cs="Times New Roman"/>
                <w:sz w:val="20"/>
                <w:szCs w:val="20"/>
              </w:rPr>
              <w:t>22</w:t>
            </w:r>
            <w:r w:rsidRPr="00D36364">
              <w:rPr>
                <w:rFonts w:cs="Times New Roman"/>
                <w:sz w:val="20"/>
                <w:szCs w:val="20"/>
              </w:rPr>
              <w:t>, [2014] 1 R.C.S. 4</w:t>
            </w:r>
            <w:r w:rsidR="00227889">
              <w:rPr>
                <w:rFonts w:cs="Times New Roman"/>
                <w:sz w:val="20"/>
                <w:szCs w:val="20"/>
              </w:rPr>
              <w:t>98</w:t>
            </w:r>
          </w:p>
          <w:p w:rsidR="00D36364" w:rsidRPr="00D36364" w:rsidRDefault="00D36364" w:rsidP="00D36364">
            <w:pPr>
              <w:rPr>
                <w:rFonts w:cs="Times New Roman"/>
                <w:iCs/>
                <w:sz w:val="20"/>
                <w:szCs w:val="20"/>
              </w:rPr>
            </w:pPr>
          </w:p>
          <w:p w:rsidR="00D36364" w:rsidRPr="0006177B" w:rsidRDefault="00D36364" w:rsidP="00D36364">
            <w:pPr>
              <w:rPr>
                <w:rFonts w:cs="Times New Roman"/>
                <w:sz w:val="20"/>
                <w:szCs w:val="20"/>
                <w:lang w:val="fr-CA"/>
              </w:rPr>
            </w:pPr>
            <w:r w:rsidRPr="0006177B">
              <w:rPr>
                <w:rFonts w:cs="Times New Roman"/>
                <w:sz w:val="20"/>
                <w:szCs w:val="20"/>
                <w:lang w:val="fr-CA"/>
              </w:rPr>
              <w:t xml:space="preserve">R. </w:t>
            </w:r>
            <w:r w:rsidRPr="0006177B">
              <w:rPr>
                <w:rFonts w:cs="Times New Roman"/>
                <w:i/>
                <w:iCs/>
                <w:sz w:val="20"/>
                <w:szCs w:val="20"/>
                <w:lang w:val="fr-CA"/>
              </w:rPr>
              <w:t>c.</w:t>
            </w:r>
            <w:r w:rsidRPr="0006177B">
              <w:rPr>
                <w:rFonts w:cs="Times New Roman"/>
                <w:iCs/>
                <w:sz w:val="20"/>
                <w:szCs w:val="20"/>
                <w:lang w:val="fr-CA"/>
              </w:rPr>
              <w:t xml:space="preserve"> </w:t>
            </w:r>
            <w:r w:rsidR="00227889" w:rsidRPr="0006177B">
              <w:rPr>
                <w:rFonts w:cs="Times New Roman"/>
                <w:iCs/>
                <w:sz w:val="20"/>
                <w:szCs w:val="20"/>
                <w:lang w:val="fr-CA"/>
              </w:rPr>
              <w:t>Waite</w:t>
            </w:r>
            <w:r w:rsidRPr="0006177B">
              <w:rPr>
                <w:rFonts w:cs="Times New Roman"/>
                <w:sz w:val="20"/>
                <w:szCs w:val="20"/>
                <w:lang w:val="fr-CA"/>
              </w:rPr>
              <w:t>,</w:t>
            </w:r>
          </w:p>
          <w:p w:rsidR="00D36364" w:rsidRPr="0006177B" w:rsidRDefault="00D36364" w:rsidP="00D36364">
            <w:pPr>
              <w:rPr>
                <w:rFonts w:cs="Times New Roman"/>
                <w:sz w:val="20"/>
                <w:szCs w:val="20"/>
                <w:lang w:val="fr-CA"/>
              </w:rPr>
            </w:pPr>
            <w:r w:rsidRPr="0006177B">
              <w:rPr>
                <w:rFonts w:cs="Times New Roman"/>
                <w:sz w:val="20"/>
                <w:szCs w:val="20"/>
                <w:lang w:val="fr-CA"/>
              </w:rPr>
              <w:t xml:space="preserve">2014 CSC </w:t>
            </w:r>
            <w:r w:rsidR="00227889" w:rsidRPr="0006177B">
              <w:rPr>
                <w:rFonts w:cs="Times New Roman"/>
                <w:sz w:val="20"/>
                <w:szCs w:val="20"/>
                <w:lang w:val="fr-CA"/>
              </w:rPr>
              <w:t>17</w:t>
            </w:r>
            <w:r w:rsidRPr="0006177B">
              <w:rPr>
                <w:rFonts w:cs="Times New Roman"/>
                <w:sz w:val="20"/>
                <w:szCs w:val="20"/>
                <w:lang w:val="fr-CA"/>
              </w:rPr>
              <w:t xml:space="preserve">, [2014] 1 R.C.S. </w:t>
            </w:r>
            <w:r w:rsidR="00227889" w:rsidRPr="0006177B">
              <w:rPr>
                <w:rFonts w:cs="Times New Roman"/>
                <w:sz w:val="20"/>
                <w:szCs w:val="20"/>
                <w:lang w:val="fr-CA"/>
              </w:rPr>
              <w:t>3</w:t>
            </w:r>
            <w:r w:rsidRPr="0006177B">
              <w:rPr>
                <w:rFonts w:cs="Times New Roman"/>
                <w:sz w:val="20"/>
                <w:szCs w:val="20"/>
                <w:lang w:val="fr-CA"/>
              </w:rPr>
              <w:t>4</w:t>
            </w:r>
            <w:r w:rsidR="00227889" w:rsidRPr="0006177B">
              <w:rPr>
                <w:rFonts w:cs="Times New Roman"/>
                <w:sz w:val="20"/>
                <w:szCs w:val="20"/>
                <w:lang w:val="fr-CA"/>
              </w:rPr>
              <w:t>1</w:t>
            </w:r>
          </w:p>
          <w:p w:rsidR="00D36364" w:rsidRPr="0006177B" w:rsidRDefault="00D36364" w:rsidP="00D36364">
            <w:pPr>
              <w:rPr>
                <w:rFonts w:cs="Times New Roman"/>
                <w:iCs/>
                <w:sz w:val="20"/>
                <w:szCs w:val="20"/>
                <w:lang w:val="fr-CA"/>
              </w:rPr>
            </w:pPr>
          </w:p>
          <w:p w:rsidR="00A956D3" w:rsidRPr="00227889" w:rsidRDefault="00227889" w:rsidP="002B056F">
            <w:pPr>
              <w:rPr>
                <w:rFonts w:cs="Times New Roman"/>
                <w:sz w:val="20"/>
                <w:szCs w:val="20"/>
                <w:lang w:val="fr-CA"/>
              </w:rPr>
            </w:pPr>
            <w:r w:rsidRPr="00227889">
              <w:rPr>
                <w:rFonts w:cs="Times New Roman"/>
                <w:sz w:val="20"/>
                <w:szCs w:val="20"/>
                <w:lang w:val="fr-CA"/>
              </w:rPr>
              <w:t>Re</w:t>
            </w:r>
            <w:r w:rsidR="00A956D3" w:rsidRPr="00227889">
              <w:rPr>
                <w:rFonts w:cs="Times New Roman"/>
                <w:sz w:val="20"/>
                <w:szCs w:val="20"/>
                <w:lang w:val="fr-CA"/>
              </w:rPr>
              <w:t>n</w:t>
            </w:r>
            <w:r w:rsidRPr="00227889">
              <w:rPr>
                <w:rFonts w:cs="Times New Roman"/>
                <w:sz w:val="20"/>
                <w:szCs w:val="20"/>
                <w:lang w:val="fr-CA"/>
              </w:rPr>
              <w:t>voi relati</w:t>
            </w:r>
            <w:r>
              <w:rPr>
                <w:rFonts w:cs="Times New Roman"/>
                <w:sz w:val="20"/>
                <w:szCs w:val="20"/>
                <w:lang w:val="fr-CA"/>
              </w:rPr>
              <w:t>f</w:t>
            </w:r>
            <w:r w:rsidRPr="00227889">
              <w:rPr>
                <w:rFonts w:cs="Times New Roman"/>
                <w:sz w:val="20"/>
                <w:szCs w:val="20"/>
                <w:lang w:val="fr-CA"/>
              </w:rPr>
              <w:t xml:space="preserve"> à la </w:t>
            </w:r>
            <w:r w:rsidR="00A956D3" w:rsidRPr="00227889">
              <w:rPr>
                <w:rFonts w:cs="Times New Roman"/>
                <w:i/>
                <w:sz w:val="20"/>
                <w:szCs w:val="20"/>
                <w:lang w:val="fr-CA"/>
              </w:rPr>
              <w:t>L</w:t>
            </w:r>
            <w:r w:rsidRPr="00227889">
              <w:rPr>
                <w:rFonts w:cs="Times New Roman"/>
                <w:i/>
                <w:sz w:val="20"/>
                <w:szCs w:val="20"/>
                <w:lang w:val="fr-CA"/>
              </w:rPr>
              <w:t>oi sur la Cour suprême</w:t>
            </w:r>
            <w:r w:rsidRPr="00227889">
              <w:rPr>
                <w:rFonts w:cs="Times New Roman"/>
                <w:sz w:val="20"/>
                <w:szCs w:val="20"/>
                <w:lang w:val="fr-CA"/>
              </w:rPr>
              <w:t xml:space="preserve">, art. </w:t>
            </w:r>
            <w:r>
              <w:rPr>
                <w:rFonts w:cs="Times New Roman"/>
                <w:sz w:val="20"/>
                <w:szCs w:val="20"/>
                <w:lang w:val="fr-CA"/>
              </w:rPr>
              <w:t xml:space="preserve">5 </w:t>
            </w:r>
            <w:r w:rsidR="00A956D3" w:rsidRPr="00227889">
              <w:rPr>
                <w:rFonts w:cs="Times New Roman"/>
                <w:iCs/>
                <w:sz w:val="20"/>
                <w:szCs w:val="20"/>
                <w:lang w:val="fr-CA"/>
              </w:rPr>
              <w:t>e</w:t>
            </w:r>
            <w:r>
              <w:rPr>
                <w:rFonts w:cs="Times New Roman"/>
                <w:iCs/>
                <w:sz w:val="20"/>
                <w:szCs w:val="20"/>
                <w:lang w:val="fr-CA"/>
              </w:rPr>
              <w:t>t 6</w:t>
            </w:r>
            <w:r w:rsidR="00A956D3" w:rsidRPr="00227889">
              <w:rPr>
                <w:rFonts w:cs="Times New Roman"/>
                <w:iCs/>
                <w:sz w:val="20"/>
                <w:szCs w:val="20"/>
                <w:lang w:val="fr-CA"/>
              </w:rPr>
              <w:t>,</w:t>
            </w:r>
          </w:p>
          <w:p w:rsidR="00A956D3" w:rsidRPr="00E15380" w:rsidRDefault="00745AE4" w:rsidP="002B056F">
            <w:pPr>
              <w:rPr>
                <w:rFonts w:cs="Times New Roman"/>
                <w:sz w:val="20"/>
                <w:szCs w:val="20"/>
              </w:rPr>
            </w:pPr>
            <w:r>
              <w:rPr>
                <w:rFonts w:cs="Times New Roman"/>
                <w:sz w:val="20"/>
                <w:szCs w:val="20"/>
              </w:rPr>
              <w:t>2014</w:t>
            </w:r>
            <w:r w:rsidR="00A956D3" w:rsidRPr="00E15380">
              <w:rPr>
                <w:rFonts w:cs="Times New Roman"/>
                <w:sz w:val="20"/>
                <w:szCs w:val="20"/>
              </w:rPr>
              <w:t xml:space="preserve"> CSC </w:t>
            </w:r>
            <w:r w:rsidR="00227889">
              <w:rPr>
                <w:rFonts w:cs="Times New Roman"/>
                <w:sz w:val="20"/>
                <w:szCs w:val="20"/>
              </w:rPr>
              <w:t>21</w:t>
            </w:r>
            <w:r w:rsidR="00A956D3" w:rsidRPr="00E15380">
              <w:rPr>
                <w:rFonts w:cs="Times New Roman"/>
                <w:sz w:val="20"/>
                <w:szCs w:val="20"/>
              </w:rPr>
              <w:t>, [</w:t>
            </w:r>
            <w:r>
              <w:rPr>
                <w:rFonts w:cs="Times New Roman"/>
                <w:sz w:val="20"/>
                <w:szCs w:val="20"/>
              </w:rPr>
              <w:t>2014</w:t>
            </w:r>
            <w:r w:rsidR="00A956D3" w:rsidRPr="00E15380">
              <w:rPr>
                <w:rFonts w:cs="Times New Roman"/>
                <w:sz w:val="20"/>
                <w:szCs w:val="20"/>
              </w:rPr>
              <w:t xml:space="preserve">] </w:t>
            </w:r>
            <w:r w:rsidR="00D36364">
              <w:rPr>
                <w:rFonts w:cs="Times New Roman"/>
                <w:sz w:val="20"/>
                <w:szCs w:val="20"/>
              </w:rPr>
              <w:t>1</w:t>
            </w:r>
            <w:r w:rsidR="00A956D3" w:rsidRPr="00E15380">
              <w:rPr>
                <w:rFonts w:cs="Times New Roman"/>
                <w:sz w:val="20"/>
                <w:szCs w:val="20"/>
              </w:rPr>
              <w:t xml:space="preserve"> R.C.S. </w:t>
            </w:r>
            <w:r w:rsidR="00A956D3">
              <w:rPr>
                <w:rFonts w:cs="Times New Roman"/>
                <w:sz w:val="20"/>
                <w:szCs w:val="20"/>
              </w:rPr>
              <w:t>4</w:t>
            </w:r>
            <w:r w:rsidR="00227889">
              <w:rPr>
                <w:rFonts w:cs="Times New Roman"/>
                <w:sz w:val="20"/>
                <w:szCs w:val="20"/>
              </w:rPr>
              <w:t>33</w:t>
            </w:r>
          </w:p>
          <w:p w:rsidR="00A956D3" w:rsidRPr="00E15380" w:rsidRDefault="00A956D3" w:rsidP="002B056F">
            <w:pPr>
              <w:keepNext/>
              <w:keepLines/>
              <w:rPr>
                <w:rFonts w:cs="Times New Roman"/>
                <w:bCs/>
                <w:sz w:val="20"/>
                <w:szCs w:val="20"/>
              </w:rPr>
            </w:pPr>
          </w:p>
          <w:p w:rsidR="00A956D3" w:rsidRPr="00DD0B49" w:rsidRDefault="002B68E4" w:rsidP="002B056F">
            <w:pPr>
              <w:rPr>
                <w:rFonts w:cs="Times New Roman"/>
                <w:sz w:val="20"/>
                <w:szCs w:val="20"/>
              </w:rPr>
            </w:pPr>
            <w:r>
              <w:rPr>
                <w:rFonts w:cs="Times New Roman"/>
                <w:sz w:val="20"/>
                <w:szCs w:val="20"/>
              </w:rPr>
              <w:pict>
                <v:rect id="_x0000_i1076" style="width:129.6pt;height:1pt" o:hrpct="600" o:hralign="center" o:hrstd="t" o:hrnoshade="t" o:hr="t" fillcolor="black [3213]" stroked="f"/>
              </w:pict>
            </w:r>
          </w:p>
          <w:p w:rsidR="00A956D3" w:rsidRPr="00DD0B49" w:rsidRDefault="00A956D3" w:rsidP="002B056F">
            <w:pPr>
              <w:keepNext/>
              <w:keepLines/>
              <w:rPr>
                <w:rFonts w:cs="Times New Roman"/>
                <w:bCs/>
                <w:sz w:val="20"/>
                <w:szCs w:val="20"/>
                <w:lang w:val="fr-CA"/>
              </w:rPr>
            </w:pPr>
          </w:p>
        </w:tc>
      </w:tr>
    </w:tbl>
    <w:p w:rsidR="00A956D3" w:rsidRDefault="00A956D3" w:rsidP="00A956D3">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90"/>
          <w:footerReference w:type="default" r:id="rId91"/>
          <w:headerReference w:type="first" r:id="rId92"/>
          <w:footerReference w:type="first" r:id="rId93"/>
          <w:pgSz w:w="12240" w:h="15840"/>
          <w:pgMar w:top="720" w:right="965" w:bottom="1080" w:left="1656" w:header="720" w:footer="965" w:gutter="0"/>
          <w:cols w:space="720"/>
          <w:titlePg/>
          <w:docGrid w:linePitch="326"/>
        </w:sectPr>
      </w:pPr>
    </w:p>
    <w:p w:rsidR="008112A9" w:rsidRPr="002E0C7E" w:rsidRDefault="00474C37"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2B056F">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B056F">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B056F">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B056F">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B056F">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B056F">
            <w:pPr>
              <w:widowControl w:val="0"/>
              <w:jc w:val="center"/>
              <w:rPr>
                <w:rFonts w:ascii="Arial" w:hAnsi="Arial"/>
                <w:sz w:val="14"/>
              </w:rPr>
            </w:pPr>
            <w:r w:rsidRPr="002E0C7E">
              <w:rPr>
                <w:rFonts w:ascii="Arial" w:hAnsi="Arial"/>
                <w:b/>
                <w:sz w:val="14"/>
              </w:rPr>
              <w:t>DECEMBER - DÉCEMBRE</w:t>
            </w:r>
          </w:p>
        </w:tc>
      </w:tr>
      <w:tr w:rsidR="008112A9" w:rsidRPr="002E0C7E" w:rsidTr="002B056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M</w:t>
            </w:r>
          </w:p>
          <w:p w:rsidR="008112A9" w:rsidRPr="002E0C7E" w:rsidRDefault="008112A9" w:rsidP="002B056F">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W</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F</w:t>
            </w:r>
          </w:p>
          <w:p w:rsidR="008112A9" w:rsidRPr="002E0C7E" w:rsidRDefault="008112A9" w:rsidP="002B056F">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M</w:t>
            </w:r>
          </w:p>
          <w:p w:rsidR="008112A9" w:rsidRPr="002E0C7E" w:rsidRDefault="008112A9" w:rsidP="002B056F">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W</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F</w:t>
            </w:r>
          </w:p>
          <w:p w:rsidR="008112A9" w:rsidRPr="002E0C7E" w:rsidRDefault="008112A9" w:rsidP="002B056F">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M</w:t>
            </w:r>
          </w:p>
          <w:p w:rsidR="008112A9" w:rsidRPr="002E0C7E" w:rsidRDefault="008112A9" w:rsidP="002B056F">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W</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F</w:t>
            </w:r>
          </w:p>
          <w:p w:rsidR="008112A9" w:rsidRPr="002E0C7E" w:rsidRDefault="008112A9" w:rsidP="002B056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S</w:t>
            </w:r>
          </w:p>
        </w:tc>
      </w:tr>
      <w:tr w:rsidR="008112A9" w:rsidRPr="002E0C7E" w:rsidTr="002B056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2B056F">
            <w:pPr>
              <w:widowControl w:val="0"/>
              <w:jc w:val="center"/>
              <w:rPr>
                <w:rFonts w:ascii="Arial" w:hAnsi="Arial"/>
                <w:b/>
                <w:sz w:val="14"/>
              </w:rPr>
            </w:pPr>
            <w:r>
              <w:rPr>
                <w:rFonts w:ascii="Arial" w:hAnsi="Arial"/>
                <w:b/>
                <w:sz w:val="14"/>
              </w:rPr>
              <w:t>M</w:t>
            </w:r>
          </w:p>
          <w:p w:rsidR="008112A9" w:rsidRPr="002E0C7E" w:rsidRDefault="008112A9" w:rsidP="002B056F">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6</w:t>
            </w:r>
          </w:p>
        </w:tc>
      </w:tr>
      <w:tr w:rsidR="008112A9" w:rsidRPr="002E0C7E" w:rsidTr="002B056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2B056F">
            <w:pPr>
              <w:widowControl w:val="0"/>
              <w:jc w:val="center"/>
              <w:rPr>
                <w:rFonts w:ascii="Arial" w:hAnsi="Arial"/>
                <w:b/>
                <w:sz w:val="14"/>
              </w:rPr>
            </w:pPr>
            <w:r>
              <w:rPr>
                <w:rFonts w:ascii="Arial" w:hAnsi="Arial"/>
                <w:b/>
                <w:sz w:val="14"/>
              </w:rPr>
              <w:t>M</w:t>
            </w:r>
          </w:p>
          <w:p w:rsidR="008112A9" w:rsidRPr="002E0C7E" w:rsidRDefault="008112A9" w:rsidP="002B056F">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2B056F">
            <w:pPr>
              <w:widowControl w:val="0"/>
              <w:jc w:val="center"/>
              <w:rPr>
                <w:rFonts w:ascii="Arial" w:hAnsi="Arial"/>
                <w:b/>
                <w:sz w:val="14"/>
              </w:rPr>
            </w:pPr>
          </w:p>
          <w:p w:rsidR="008112A9" w:rsidRPr="002E0C7E" w:rsidRDefault="008112A9" w:rsidP="002B056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b/>
                <w:sz w:val="14"/>
              </w:rPr>
              <w:t>M</w:t>
            </w:r>
          </w:p>
          <w:p w:rsidR="008112A9" w:rsidRPr="002E0C7E" w:rsidRDefault="008112A9" w:rsidP="002B056F">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13</w:t>
            </w:r>
          </w:p>
        </w:tc>
      </w:tr>
      <w:tr w:rsidR="008112A9" w:rsidRPr="002E0C7E" w:rsidTr="002B056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2B056F">
            <w:pPr>
              <w:widowControl w:val="0"/>
              <w:jc w:val="center"/>
              <w:rPr>
                <w:rFonts w:ascii="Arial" w:hAnsi="Arial"/>
                <w:b/>
                <w:sz w:val="14"/>
              </w:rPr>
            </w:pPr>
            <w:r>
              <w:rPr>
                <w:rFonts w:ascii="Arial" w:hAnsi="Arial"/>
                <w:b/>
                <w:sz w:val="14"/>
              </w:rPr>
              <w:t>H</w:t>
            </w: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2B056F">
            <w:pPr>
              <w:widowControl w:val="0"/>
              <w:jc w:val="center"/>
              <w:rPr>
                <w:rFonts w:ascii="Arial" w:hAnsi="Arial"/>
                <w:b/>
                <w:sz w:val="14"/>
              </w:rPr>
            </w:pPr>
            <w:r w:rsidRPr="004F066E">
              <w:rPr>
                <w:rFonts w:ascii="Arial" w:hAnsi="Arial"/>
                <w:b/>
                <w:sz w:val="14"/>
              </w:rPr>
              <w:t>H</w:t>
            </w:r>
          </w:p>
          <w:p w:rsidR="008112A9" w:rsidRPr="002E0C7E" w:rsidRDefault="008112A9" w:rsidP="002B056F">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20</w:t>
            </w:r>
          </w:p>
        </w:tc>
      </w:tr>
      <w:tr w:rsidR="008112A9" w:rsidRPr="002E0C7E" w:rsidTr="002B056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2B056F">
            <w:pPr>
              <w:widowControl w:val="0"/>
              <w:jc w:val="center"/>
              <w:rPr>
                <w:rFonts w:ascii="Arial" w:hAnsi="Arial"/>
                <w:b/>
                <w:sz w:val="14"/>
              </w:rPr>
            </w:pPr>
          </w:p>
          <w:p w:rsidR="008112A9" w:rsidRPr="002E0C7E" w:rsidRDefault="008112A9" w:rsidP="002B056F">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2B056F">
            <w:pPr>
              <w:widowControl w:val="0"/>
              <w:jc w:val="center"/>
              <w:rPr>
                <w:rFonts w:ascii="Arial" w:hAnsi="Arial"/>
                <w:b/>
                <w:sz w:val="14"/>
              </w:rPr>
            </w:pPr>
            <w:r>
              <w:rPr>
                <w:rFonts w:ascii="Arial" w:hAnsi="Arial"/>
                <w:b/>
                <w:sz w:val="14"/>
              </w:rPr>
              <w:t>H</w:t>
            </w:r>
          </w:p>
          <w:p w:rsidR="008112A9" w:rsidRPr="002E0C7E" w:rsidRDefault="008112A9" w:rsidP="002B056F">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2B056F">
            <w:pPr>
              <w:widowControl w:val="0"/>
              <w:jc w:val="center"/>
              <w:rPr>
                <w:rFonts w:ascii="Arial" w:hAnsi="Arial"/>
                <w:b/>
                <w:sz w:val="14"/>
              </w:rPr>
            </w:pPr>
            <w:r>
              <w:rPr>
                <w:rFonts w:ascii="Arial" w:hAnsi="Arial"/>
                <w:b/>
                <w:sz w:val="14"/>
              </w:rPr>
              <w:t>H</w:t>
            </w:r>
          </w:p>
          <w:p w:rsidR="008112A9" w:rsidRPr="002E0C7E" w:rsidRDefault="008112A9" w:rsidP="002B056F">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2B056F">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2B056F">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2B056F">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B056F">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B056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B056F">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B056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B056F">
            <w:pPr>
              <w:widowControl w:val="0"/>
              <w:jc w:val="center"/>
              <w:rPr>
                <w:rFonts w:ascii="Arial" w:hAnsi="Arial"/>
                <w:sz w:val="14"/>
              </w:rPr>
            </w:pPr>
            <w:r w:rsidRPr="002E0C7E">
              <w:rPr>
                <w:rFonts w:ascii="Arial" w:hAnsi="Arial"/>
                <w:b/>
                <w:sz w:val="14"/>
              </w:rPr>
              <w:t>MARCH - MARS</w:t>
            </w:r>
          </w:p>
        </w:tc>
      </w:tr>
      <w:tr w:rsidR="008112A9" w:rsidRPr="002E0C7E" w:rsidTr="002B056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M</w:t>
            </w:r>
          </w:p>
          <w:p w:rsidR="008112A9" w:rsidRPr="002E0C7E" w:rsidRDefault="008112A9" w:rsidP="002B056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W</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F</w:t>
            </w:r>
          </w:p>
          <w:p w:rsidR="008112A9" w:rsidRPr="002E0C7E" w:rsidRDefault="008112A9" w:rsidP="002B056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M</w:t>
            </w:r>
          </w:p>
          <w:p w:rsidR="008112A9" w:rsidRPr="002E0C7E" w:rsidRDefault="008112A9" w:rsidP="002B056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W</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F</w:t>
            </w:r>
          </w:p>
          <w:p w:rsidR="008112A9" w:rsidRPr="002E0C7E" w:rsidRDefault="008112A9" w:rsidP="002B056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M</w:t>
            </w:r>
          </w:p>
          <w:p w:rsidR="008112A9" w:rsidRPr="002E0C7E" w:rsidRDefault="008112A9" w:rsidP="002B056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W</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F</w:t>
            </w:r>
          </w:p>
          <w:p w:rsidR="008112A9" w:rsidRPr="002E0C7E" w:rsidRDefault="008112A9" w:rsidP="002B056F">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S</w:t>
            </w:r>
          </w:p>
        </w:tc>
      </w:tr>
      <w:tr w:rsidR="008112A9" w:rsidRPr="002E0C7E" w:rsidTr="002B056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2B056F">
            <w:pPr>
              <w:widowControl w:val="0"/>
              <w:jc w:val="center"/>
              <w:rPr>
                <w:rFonts w:ascii="Arial" w:hAnsi="Arial"/>
                <w:b/>
                <w:sz w:val="14"/>
              </w:rPr>
            </w:pPr>
          </w:p>
          <w:p w:rsidR="008112A9" w:rsidRPr="002E0C7E" w:rsidRDefault="008112A9" w:rsidP="002B056F">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2B056F">
            <w:pPr>
              <w:widowControl w:val="0"/>
              <w:jc w:val="center"/>
              <w:rPr>
                <w:rFonts w:ascii="Arial" w:hAnsi="Arial"/>
                <w:b/>
                <w:sz w:val="14"/>
              </w:rPr>
            </w:pPr>
          </w:p>
          <w:p w:rsidR="008112A9" w:rsidRPr="002E0C7E" w:rsidRDefault="008112A9" w:rsidP="002B056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2B056F">
            <w:pPr>
              <w:widowControl w:val="0"/>
              <w:jc w:val="center"/>
              <w:rPr>
                <w:rFonts w:ascii="Arial" w:hAnsi="Arial"/>
                <w:b/>
                <w:sz w:val="14"/>
              </w:rPr>
            </w:pPr>
            <w:r w:rsidRPr="004F066E">
              <w:rPr>
                <w:rFonts w:ascii="Arial" w:hAnsi="Arial"/>
                <w:b/>
                <w:sz w:val="14"/>
              </w:rPr>
              <w:t>H</w:t>
            </w:r>
          </w:p>
          <w:p w:rsidR="008112A9" w:rsidRPr="002E0C7E" w:rsidRDefault="008112A9" w:rsidP="002B056F">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7</w:t>
            </w:r>
          </w:p>
        </w:tc>
      </w:tr>
      <w:tr w:rsidR="008112A9" w:rsidRPr="002E0C7E" w:rsidTr="002B056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2B056F">
            <w:pPr>
              <w:widowControl w:val="0"/>
              <w:jc w:val="center"/>
              <w:rPr>
                <w:rFonts w:ascii="Arial" w:hAnsi="Arial"/>
                <w:b/>
                <w:sz w:val="14"/>
              </w:rPr>
            </w:pPr>
            <w:r>
              <w:rPr>
                <w:rFonts w:ascii="Arial" w:hAnsi="Arial"/>
                <w:b/>
                <w:sz w:val="14"/>
              </w:rPr>
              <w:t>M</w:t>
            </w:r>
          </w:p>
          <w:p w:rsidR="008112A9" w:rsidRPr="002E0C7E" w:rsidRDefault="008112A9" w:rsidP="002B056F">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14</w:t>
            </w:r>
          </w:p>
        </w:tc>
      </w:tr>
      <w:tr w:rsidR="008112A9" w:rsidRPr="002E0C7E" w:rsidTr="002B056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2B056F">
            <w:pPr>
              <w:widowControl w:val="0"/>
              <w:jc w:val="center"/>
              <w:rPr>
                <w:rFonts w:ascii="Arial" w:hAnsi="Arial"/>
                <w:b/>
                <w:sz w:val="14"/>
              </w:rPr>
            </w:pPr>
            <w:r>
              <w:rPr>
                <w:rFonts w:ascii="Arial" w:hAnsi="Arial"/>
                <w:b/>
                <w:sz w:val="14"/>
              </w:rPr>
              <w:t>M</w:t>
            </w: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2B056F">
            <w:pPr>
              <w:widowControl w:val="0"/>
              <w:jc w:val="center"/>
              <w:rPr>
                <w:rFonts w:ascii="Arial" w:hAnsi="Arial"/>
                <w:b/>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2B056F">
            <w:pPr>
              <w:widowControl w:val="0"/>
              <w:jc w:val="center"/>
              <w:rPr>
                <w:rFonts w:ascii="Arial" w:hAnsi="Arial"/>
                <w:b/>
                <w:sz w:val="14"/>
              </w:rPr>
            </w:pPr>
            <w:r w:rsidRPr="009900C5">
              <w:rPr>
                <w:rFonts w:ascii="Arial" w:hAnsi="Arial"/>
                <w:b/>
                <w:sz w:val="14"/>
              </w:rPr>
              <w:t>M</w:t>
            </w: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2B056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2B056F">
            <w:pPr>
              <w:widowControl w:val="0"/>
              <w:jc w:val="center"/>
              <w:rPr>
                <w:rFonts w:ascii="Arial" w:hAnsi="Arial"/>
                <w:b/>
                <w:sz w:val="14"/>
              </w:rPr>
            </w:pPr>
          </w:p>
          <w:p w:rsidR="008112A9" w:rsidRPr="002E0C7E" w:rsidRDefault="008112A9" w:rsidP="002B056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2B056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2B056F">
            <w:pPr>
              <w:widowControl w:val="0"/>
              <w:jc w:val="center"/>
              <w:rPr>
                <w:rFonts w:ascii="Arial" w:hAnsi="Arial"/>
                <w:b/>
                <w:sz w:val="14"/>
              </w:rPr>
            </w:pPr>
          </w:p>
          <w:p w:rsidR="008112A9" w:rsidRPr="002E0C7E" w:rsidRDefault="008112A9" w:rsidP="002B056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2B056F">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B056F">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B056F">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B056F">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B056F">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B056F">
            <w:pPr>
              <w:widowControl w:val="0"/>
              <w:jc w:val="center"/>
              <w:rPr>
                <w:rFonts w:ascii="Arial" w:hAnsi="Arial"/>
                <w:sz w:val="14"/>
              </w:rPr>
            </w:pPr>
            <w:r w:rsidRPr="002E0C7E">
              <w:rPr>
                <w:rFonts w:ascii="Arial" w:hAnsi="Arial"/>
                <w:b/>
                <w:sz w:val="14"/>
              </w:rPr>
              <w:t>JUNE - JUIN</w:t>
            </w:r>
          </w:p>
        </w:tc>
      </w:tr>
      <w:tr w:rsidR="008112A9" w:rsidRPr="002E0C7E" w:rsidTr="002B056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M</w:t>
            </w:r>
          </w:p>
          <w:p w:rsidR="008112A9" w:rsidRPr="002E0C7E" w:rsidRDefault="008112A9" w:rsidP="002B056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W</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F</w:t>
            </w:r>
          </w:p>
          <w:p w:rsidR="008112A9" w:rsidRPr="002E0C7E" w:rsidRDefault="008112A9" w:rsidP="002B056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M</w:t>
            </w:r>
          </w:p>
          <w:p w:rsidR="008112A9" w:rsidRPr="002E0C7E" w:rsidRDefault="008112A9" w:rsidP="002B056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W</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F</w:t>
            </w:r>
          </w:p>
          <w:p w:rsidR="008112A9" w:rsidRPr="002E0C7E" w:rsidRDefault="008112A9" w:rsidP="002B056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S</w:t>
            </w:r>
          </w:p>
          <w:p w:rsidR="008112A9" w:rsidRPr="002E0C7E" w:rsidRDefault="008112A9" w:rsidP="002B056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M</w:t>
            </w:r>
          </w:p>
          <w:p w:rsidR="008112A9" w:rsidRPr="002E0C7E" w:rsidRDefault="008112A9" w:rsidP="002B056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W</w:t>
            </w:r>
          </w:p>
          <w:p w:rsidR="008112A9" w:rsidRPr="002E0C7E" w:rsidRDefault="008112A9" w:rsidP="002B056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T</w:t>
            </w:r>
          </w:p>
          <w:p w:rsidR="008112A9" w:rsidRPr="002E0C7E" w:rsidRDefault="008112A9" w:rsidP="002B056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sidRPr="002E0C7E">
              <w:rPr>
                <w:rFonts w:ascii="Arial" w:hAnsi="Arial"/>
                <w:sz w:val="14"/>
              </w:rPr>
              <w:t>F</w:t>
            </w:r>
          </w:p>
          <w:p w:rsidR="008112A9" w:rsidRPr="002E0C7E" w:rsidRDefault="008112A9" w:rsidP="002B056F">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r>
              <w:rPr>
                <w:rFonts w:ascii="Arial" w:hAnsi="Arial"/>
                <w:sz w:val="14"/>
              </w:rPr>
              <w:t>S</w:t>
            </w:r>
          </w:p>
          <w:p w:rsidR="008112A9" w:rsidRPr="002E0C7E" w:rsidRDefault="008112A9" w:rsidP="002B056F">
            <w:pPr>
              <w:widowControl w:val="0"/>
              <w:jc w:val="center"/>
              <w:rPr>
                <w:rFonts w:ascii="Arial" w:hAnsi="Arial"/>
                <w:sz w:val="14"/>
              </w:rPr>
            </w:pPr>
            <w:r>
              <w:rPr>
                <w:rFonts w:ascii="Arial" w:hAnsi="Arial"/>
                <w:sz w:val="14"/>
              </w:rPr>
              <w:t>S</w:t>
            </w:r>
          </w:p>
        </w:tc>
      </w:tr>
      <w:tr w:rsidR="008112A9" w:rsidRPr="002E0C7E" w:rsidTr="002B056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2B056F">
            <w:pPr>
              <w:widowControl w:val="0"/>
              <w:jc w:val="center"/>
              <w:rPr>
                <w:rFonts w:ascii="Arial" w:hAnsi="Arial"/>
                <w:b/>
                <w:sz w:val="14"/>
              </w:rPr>
            </w:pPr>
            <w:r>
              <w:rPr>
                <w:rFonts w:ascii="Arial" w:hAnsi="Arial"/>
                <w:b/>
                <w:sz w:val="14"/>
              </w:rPr>
              <w:t>H</w:t>
            </w:r>
          </w:p>
          <w:p w:rsidR="008112A9" w:rsidRPr="002E0C7E" w:rsidRDefault="008112A9" w:rsidP="002B056F">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b/>
                <w:sz w:val="14"/>
              </w:rPr>
            </w:pPr>
          </w:p>
          <w:p w:rsidR="008112A9" w:rsidRPr="002E0C7E" w:rsidRDefault="008112A9" w:rsidP="002B056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6</w:t>
            </w:r>
          </w:p>
        </w:tc>
      </w:tr>
      <w:tr w:rsidR="008112A9" w:rsidRPr="002E0C7E" w:rsidTr="002B056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2B056F">
            <w:pPr>
              <w:widowControl w:val="0"/>
              <w:jc w:val="center"/>
              <w:rPr>
                <w:rFonts w:ascii="Arial" w:hAnsi="Arial"/>
                <w:b/>
                <w:sz w:val="14"/>
              </w:rPr>
            </w:pPr>
            <w:r>
              <w:rPr>
                <w:rFonts w:ascii="Arial" w:hAnsi="Arial"/>
                <w:b/>
                <w:sz w:val="14"/>
              </w:rPr>
              <w:t>H</w:t>
            </w:r>
          </w:p>
          <w:p w:rsidR="008112A9" w:rsidRPr="002E0C7E" w:rsidRDefault="008112A9" w:rsidP="002B056F">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2B056F">
            <w:pPr>
              <w:widowControl w:val="0"/>
              <w:jc w:val="center"/>
              <w:rPr>
                <w:rFonts w:ascii="Arial" w:hAnsi="Arial"/>
                <w:b/>
                <w:sz w:val="14"/>
              </w:rPr>
            </w:pPr>
            <w:r>
              <w:rPr>
                <w:rFonts w:ascii="Arial" w:hAnsi="Arial"/>
                <w:b/>
                <w:sz w:val="14"/>
              </w:rPr>
              <w:t>M</w:t>
            </w:r>
          </w:p>
          <w:p w:rsidR="008112A9" w:rsidRPr="002E0C7E" w:rsidRDefault="008112A9" w:rsidP="002B056F">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13</w:t>
            </w:r>
          </w:p>
        </w:tc>
      </w:tr>
      <w:tr w:rsidR="008112A9" w:rsidRPr="002E0C7E" w:rsidTr="002B056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2B056F">
            <w:pPr>
              <w:widowControl w:val="0"/>
              <w:jc w:val="center"/>
              <w:rPr>
                <w:rFonts w:ascii="Arial" w:hAnsi="Arial"/>
                <w:b/>
                <w:sz w:val="14"/>
              </w:rPr>
            </w:pPr>
            <w:r>
              <w:rPr>
                <w:rFonts w:ascii="Arial" w:hAnsi="Arial"/>
                <w:b/>
                <w:sz w:val="14"/>
              </w:rPr>
              <w:t>M</w:t>
            </w: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2B056F">
            <w:pPr>
              <w:widowControl w:val="0"/>
              <w:jc w:val="center"/>
              <w:rPr>
                <w:rFonts w:ascii="Arial" w:hAnsi="Arial"/>
                <w:b/>
                <w:sz w:val="14"/>
              </w:rPr>
            </w:pPr>
          </w:p>
          <w:p w:rsidR="008112A9" w:rsidRPr="002E0C7E" w:rsidRDefault="008112A9" w:rsidP="002B056F">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2B056F">
            <w:pPr>
              <w:widowControl w:val="0"/>
              <w:jc w:val="center"/>
              <w:rPr>
                <w:rFonts w:ascii="Arial" w:hAnsi="Arial"/>
                <w:b/>
                <w:sz w:val="14"/>
              </w:rPr>
            </w:pPr>
            <w:r w:rsidRPr="002453E3">
              <w:rPr>
                <w:rFonts w:ascii="Arial" w:hAnsi="Arial"/>
                <w:b/>
                <w:sz w:val="14"/>
              </w:rPr>
              <w:t>M</w:t>
            </w: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20</w:t>
            </w:r>
          </w:p>
        </w:tc>
      </w:tr>
      <w:tr w:rsidR="008112A9" w:rsidRPr="002E0C7E" w:rsidTr="002B056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2B056F">
            <w:pPr>
              <w:widowControl w:val="0"/>
              <w:jc w:val="center"/>
              <w:rPr>
                <w:rFonts w:ascii="Arial" w:hAnsi="Arial"/>
                <w:b/>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2B056F">
            <w:pPr>
              <w:widowControl w:val="0"/>
              <w:jc w:val="center"/>
              <w:rPr>
                <w:rFonts w:ascii="Arial" w:hAnsi="Arial"/>
                <w:b/>
                <w:sz w:val="14"/>
              </w:rPr>
            </w:pPr>
            <w:r>
              <w:rPr>
                <w:rFonts w:ascii="Arial" w:hAnsi="Arial"/>
                <w:b/>
                <w:sz w:val="14"/>
              </w:rPr>
              <w:t>H</w:t>
            </w:r>
          </w:p>
          <w:p w:rsidR="008112A9" w:rsidRPr="002E0C7E" w:rsidRDefault="008112A9" w:rsidP="002B056F">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2B056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2B056F">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2B056F">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B056F">
            <w:pPr>
              <w:widowControl w:val="0"/>
              <w:jc w:val="center"/>
              <w:rPr>
                <w:rFonts w:ascii="Arial" w:hAnsi="Arial"/>
                <w:sz w:val="14"/>
              </w:rPr>
            </w:pPr>
          </w:p>
          <w:p w:rsidR="008112A9" w:rsidRPr="002E0C7E" w:rsidRDefault="008112A9" w:rsidP="002B056F">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2B056F">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2B056F">
            <w:pPr>
              <w:widowControl w:val="0"/>
              <w:rPr>
                <w:rFonts w:ascii="Arial" w:hAnsi="Arial"/>
                <w:sz w:val="16"/>
              </w:rPr>
            </w:pPr>
            <w:r w:rsidRPr="002E0C7E">
              <w:rPr>
                <w:rFonts w:ascii="Arial" w:hAnsi="Arial"/>
                <w:sz w:val="16"/>
              </w:rPr>
              <w:t>Sittings of the court:</w:t>
            </w:r>
          </w:p>
          <w:p w:rsidR="008112A9" w:rsidRPr="002E0C7E" w:rsidRDefault="008112A9" w:rsidP="002B056F">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2B056F">
            <w:pPr>
              <w:widowControl w:val="0"/>
              <w:rPr>
                <w:rFonts w:ascii="Arial" w:hAnsi="Arial"/>
                <w:sz w:val="16"/>
              </w:rPr>
            </w:pPr>
          </w:p>
          <w:p w:rsidR="008112A9" w:rsidRPr="002E0C7E" w:rsidRDefault="008112A9" w:rsidP="002B056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2B056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2B056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2B056F">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2B05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4"/>
      <w:footerReference w:type="default" r:id="rId9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75" w:rsidRDefault="00247575" w:rsidP="00A87207">
      <w:r>
        <w:separator/>
      </w:r>
    </w:p>
  </w:endnote>
  <w:endnote w:type="continuationSeparator" w:id="0">
    <w:p w:rsidR="00247575" w:rsidRDefault="0024757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pPr>
      <w:pStyle w:val="Footer"/>
      <w:rPr>
        <w:lang w:val="fr-CA"/>
      </w:rPr>
    </w:pPr>
    <w:r>
      <w:rPr>
        <w:lang w:val="fr-CA"/>
      </w:rPr>
      <w:pict>
        <v:rect id="_x0000_i1060" style="width:480.95pt;height:1pt" o:hralign="center" o:hrstd="t" o:hrnoshade="t" o:hr="t" fillcolor="black [3213]" stroked="f"/>
      </w:pict>
    </w:r>
  </w:p>
  <w:p w:rsidR="00247575" w:rsidRDefault="00247575" w:rsidP="00245129">
    <w:pPr>
      <w:tabs>
        <w:tab w:val="center" w:pos="4680"/>
      </w:tabs>
    </w:pPr>
    <w:r>
      <w:tab/>
    </w:r>
    <w:r w:rsidRPr="0009648D">
      <w:t xml:space="preserve">- </w:t>
    </w:r>
    <w:r w:rsidR="002B68E4">
      <w:fldChar w:fldCharType="begin"/>
    </w:r>
    <w:r w:rsidR="002B68E4">
      <w:instrText xml:space="preserve"> PAGE   \* MERGEFORMAT </w:instrText>
    </w:r>
    <w:r w:rsidR="002B68E4">
      <w:fldChar w:fldCharType="separate"/>
    </w:r>
    <w:r w:rsidR="002B68E4">
      <w:rPr>
        <w:noProof/>
      </w:rPr>
      <w:t>1189</w:t>
    </w:r>
    <w:r w:rsidR="002B68E4">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7575" w:rsidRDefault="0024757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247575" w:rsidRDefault="00247575" w:rsidP="00EB2B90">
    <w:pPr>
      <w:tabs>
        <w:tab w:val="center" w:pos="4680"/>
      </w:tabs>
    </w:pPr>
    <w:r>
      <w:tab/>
      <w:t xml:space="preserve">- </w:t>
    </w:r>
    <w:r w:rsidR="002B68E4">
      <w:fldChar w:fldCharType="begin"/>
    </w:r>
    <w:r w:rsidR="002B68E4">
      <w:instrText xml:space="preserve"> PAGE   \* MERGEFORMAT </w:instrText>
    </w:r>
    <w:r w:rsidR="002B68E4">
      <w:fldChar w:fldCharType="separate"/>
    </w:r>
    <w:r>
      <w:rPr>
        <w:noProof/>
      </w:rPr>
      <w:t>524</w:t>
    </w:r>
    <w:r w:rsidR="002B68E4">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pPr>
      <w:pStyle w:val="Footer"/>
      <w:rPr>
        <w:lang w:val="fr-CA"/>
      </w:rPr>
    </w:pPr>
    <w:r>
      <w:rPr>
        <w:lang w:val="fr-CA"/>
      </w:rPr>
      <w:pict>
        <v:rect id="_x0000_i1063" style="width:480.95pt;height:1pt" o:hralign="center" o:hrstd="t" o:hrnoshade="t" o:hr="t" fillcolor="black [3213]" stroked="f"/>
      </w:pict>
    </w:r>
  </w:p>
  <w:p w:rsidR="00247575" w:rsidRDefault="00247575" w:rsidP="00EB2B90">
    <w:pPr>
      <w:tabs>
        <w:tab w:val="center" w:pos="4680"/>
      </w:tabs>
    </w:pPr>
    <w:r>
      <w:tab/>
      <w:t xml:space="preserve">- </w:t>
    </w:r>
    <w:r w:rsidR="002B68E4">
      <w:fldChar w:fldCharType="begin"/>
    </w:r>
    <w:r w:rsidR="002B68E4">
      <w:instrText xml:space="preserve"> PAGE   \* MERGEFORMAT </w:instrText>
    </w:r>
    <w:r w:rsidR="002B68E4">
      <w:fldChar w:fldCharType="separate"/>
    </w:r>
    <w:r w:rsidR="002B68E4">
      <w:rPr>
        <w:noProof/>
      </w:rPr>
      <w:t>1215</w:t>
    </w:r>
    <w:r w:rsidR="002B68E4">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7575" w:rsidRDefault="0024757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rsidP="00732DB7">
    <w:r>
      <w:pict>
        <v:rect id="_x0000_i1065" style="width:480.95pt;height:1pt" o:hralign="center" o:hrstd="t" o:hrnoshade="t" o:hr="t" fillcolor="black" stroked="f"/>
      </w:pict>
    </w:r>
  </w:p>
  <w:p w:rsidR="00247575" w:rsidRDefault="00247575">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pPr>
      <w:pStyle w:val="Footer"/>
    </w:pPr>
    <w:r>
      <w:pict>
        <v:rect id="_x0000_i1066" style="width:480.95pt;height:1pt" o:hralign="center" o:hrstd="t" o:hrnoshade="t" o:hr="t" fillcolor="black [3213]" stroked="f"/>
      </w:pict>
    </w:r>
  </w:p>
  <w:p w:rsidR="00247575" w:rsidRPr="003C2C0F" w:rsidRDefault="00247575" w:rsidP="00697C62">
    <w:pPr>
      <w:tabs>
        <w:tab w:val="center" w:pos="4680"/>
      </w:tabs>
    </w:pPr>
    <w:r>
      <w:tab/>
      <w:t xml:space="preserve">- </w:t>
    </w:r>
    <w:r w:rsidR="002B68E4">
      <w:fldChar w:fldCharType="begin"/>
    </w:r>
    <w:r w:rsidR="002B68E4">
      <w:instrText xml:space="preserve"> PAGE   \* MERGEFORMAT </w:instrText>
    </w:r>
    <w:r w:rsidR="002B68E4">
      <w:fldChar w:fldCharType="separate"/>
    </w:r>
    <w:r w:rsidR="002B68E4">
      <w:rPr>
        <w:noProof/>
      </w:rPr>
      <w:t>1216</w:t>
    </w:r>
    <w:r w:rsidR="002B68E4">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7575" w:rsidRDefault="00247575">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7575" w:rsidRDefault="002B6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247575" w:rsidRDefault="00247575" w:rsidP="00782AE4">
    <w:pPr>
      <w:tabs>
        <w:tab w:val="center" w:pos="4680"/>
      </w:tabs>
    </w:pPr>
    <w:r>
      <w:tab/>
      <w:t xml:space="preserve">- </w:t>
    </w:r>
    <w:r w:rsidR="00474C37" w:rsidRPr="001775C1">
      <w:rPr>
        <w:szCs w:val="24"/>
      </w:rPr>
      <w:fldChar w:fldCharType="begin"/>
    </w:r>
    <w:r w:rsidRPr="001775C1">
      <w:rPr>
        <w:szCs w:val="24"/>
      </w:rPr>
      <w:instrText xml:space="preserve"> PAGE   \* MERGEFORMAT </w:instrText>
    </w:r>
    <w:r w:rsidR="00474C37" w:rsidRPr="001775C1">
      <w:rPr>
        <w:szCs w:val="24"/>
      </w:rPr>
      <w:fldChar w:fldCharType="separate"/>
    </w:r>
    <w:r w:rsidR="002B68E4">
      <w:rPr>
        <w:noProof/>
        <w:szCs w:val="24"/>
      </w:rPr>
      <w:t>1221</w:t>
    </w:r>
    <w:r w:rsidR="00474C37"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rsidP="00782AE4">
    <w:pPr>
      <w:tabs>
        <w:tab w:val="center" w:pos="4680"/>
      </w:tabs>
    </w:pPr>
    <w:r>
      <w:pict>
        <v:rect id="_x0000_i1070" style="width:480.95pt;height:1pt" o:hralign="center" o:hrstd="t" o:hrnoshade="t" o:hr="t" fillcolor="black [3213]" stroked="f"/>
      </w:pict>
    </w:r>
  </w:p>
  <w:p w:rsidR="00247575" w:rsidRDefault="00247575" w:rsidP="00782AE4">
    <w:pPr>
      <w:tabs>
        <w:tab w:val="center" w:pos="4680"/>
      </w:tabs>
    </w:pPr>
    <w:r>
      <w:tab/>
      <w:t xml:space="preserve">- </w:t>
    </w:r>
    <w:r w:rsidR="00474C37" w:rsidRPr="001775C1">
      <w:rPr>
        <w:szCs w:val="24"/>
      </w:rPr>
      <w:fldChar w:fldCharType="begin"/>
    </w:r>
    <w:r w:rsidRPr="001775C1">
      <w:rPr>
        <w:szCs w:val="24"/>
      </w:rPr>
      <w:instrText xml:space="preserve"> PAGE   \* MERGEFORMAT </w:instrText>
    </w:r>
    <w:r w:rsidR="00474C37" w:rsidRPr="001775C1">
      <w:rPr>
        <w:szCs w:val="24"/>
      </w:rPr>
      <w:fldChar w:fldCharType="separate"/>
    </w:r>
    <w:r w:rsidR="002B68E4">
      <w:rPr>
        <w:noProof/>
        <w:szCs w:val="24"/>
      </w:rPr>
      <w:t>1217</w:t>
    </w:r>
    <w:r w:rsidR="00474C37"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247575" w:rsidRDefault="0024757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247575" w:rsidRDefault="00247575">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rsidP="0022323B">
    <w:r>
      <w:pict>
        <v:rect id="_x0000_i1071" style="width:480.95pt;height:1pt" o:hralign="center" o:hrstd="t" o:hrnoshade="t" o:hr="t" fillcolor="black [3213]" stroked="f"/>
      </w:pict>
    </w:r>
  </w:p>
  <w:p w:rsidR="00247575" w:rsidRDefault="00247575">
    <w:pPr>
      <w:tabs>
        <w:tab w:val="center" w:pos="4740"/>
      </w:tabs>
      <w:spacing w:line="0" w:lineRule="atLeast"/>
    </w:pPr>
    <w:r>
      <w:tab/>
      <w:t xml:space="preserve">- </w:t>
    </w:r>
    <w:r w:rsidR="002B68E4">
      <w:fldChar w:fldCharType="begin"/>
    </w:r>
    <w:r w:rsidR="002B68E4">
      <w:instrText xml:space="preserve"> PAGE   \* MERGEFORMAT </w:instrText>
    </w:r>
    <w:r w:rsidR="002B68E4">
      <w:fldChar w:fldCharType="separate"/>
    </w:r>
    <w:r>
      <w:rPr>
        <w:noProof/>
      </w:rPr>
      <w:t>542</w:t>
    </w:r>
    <w:r w:rsidR="002B68E4">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rsidP="0022323B">
    <w:r>
      <w:pict>
        <v:rect id="_x0000_i1072" style="width:480.95pt;height:1pt" o:hralign="center" o:hrstd="t" o:hrnoshade="t" o:hr="t" fillcolor="black [3213]" stroked="f"/>
      </w:pict>
    </w:r>
  </w:p>
  <w:p w:rsidR="00247575" w:rsidRDefault="00247575" w:rsidP="0022323B">
    <w:pPr>
      <w:tabs>
        <w:tab w:val="center" w:pos="4740"/>
      </w:tabs>
      <w:spacing w:line="0" w:lineRule="atLeast"/>
    </w:pPr>
    <w:r>
      <w:tab/>
      <w:t xml:space="preserve">- </w:t>
    </w:r>
    <w:r w:rsidR="002B68E4">
      <w:fldChar w:fldCharType="begin"/>
    </w:r>
    <w:r w:rsidR="002B68E4">
      <w:instrText xml:space="preserve"> PAGE   \* MERGEFORMAT </w:instrText>
    </w:r>
    <w:r w:rsidR="002B68E4">
      <w:fldChar w:fldCharType="separate"/>
    </w:r>
    <w:r w:rsidR="002B68E4">
      <w:rPr>
        <w:noProof/>
      </w:rPr>
      <w:t>1222</w:t>
    </w:r>
    <w:r w:rsidR="002B68E4">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r>
      <w:rPr>
        <w:lang w:val="fr-CA"/>
      </w:rPr>
      <w:pict>
        <v:rect id="_x0000_i1077" style="width:480.95pt;height:1pt" o:hralign="center" o:hrstd="t" o:hrnoshade="t" o:hr="t" fillcolor="black [3213]" stroked="f"/>
      </w:pict>
    </w:r>
  </w:p>
  <w:p w:rsidR="00247575" w:rsidRDefault="00247575" w:rsidP="006B6926">
    <w:pPr>
      <w:tabs>
        <w:tab w:val="center" w:pos="4680"/>
      </w:tabs>
    </w:pPr>
    <w:r>
      <w:tab/>
      <w:t xml:space="preserve">- </w:t>
    </w:r>
    <w:r w:rsidR="002B68E4">
      <w:fldChar w:fldCharType="begin"/>
    </w:r>
    <w:r w:rsidR="002B68E4">
      <w:instrText xml:space="preserve">PAGE </w:instrText>
    </w:r>
    <w:r w:rsidR="002B68E4">
      <w:fldChar w:fldCharType="separate"/>
    </w:r>
    <w:r w:rsidR="002B68E4">
      <w:rPr>
        <w:noProof/>
      </w:rPr>
      <w:t>1224</w:t>
    </w:r>
    <w:r w:rsidR="002B68E4">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rsidP="006B6926">
    <w:pPr>
      <w:tabs>
        <w:tab w:val="center" w:pos="4680"/>
      </w:tabs>
      <w:rPr>
        <w:lang w:val="fr-CA"/>
      </w:rPr>
    </w:pPr>
    <w:r>
      <w:rPr>
        <w:lang w:val="fr-CA"/>
      </w:rPr>
      <w:pict>
        <v:rect id="_x0000_i1078" style="width:480.95pt;height:1pt" o:hralign="center" o:hrstd="t" o:hrnoshade="t" o:hr="t" fillcolor="black [3213]" stroked="f"/>
      </w:pict>
    </w:r>
  </w:p>
  <w:p w:rsidR="00247575" w:rsidRDefault="00247575" w:rsidP="006B6926">
    <w:pPr>
      <w:tabs>
        <w:tab w:val="center" w:pos="4680"/>
      </w:tabs>
    </w:pPr>
    <w:r>
      <w:tab/>
      <w:t xml:space="preserve">- </w:t>
    </w:r>
    <w:r w:rsidR="002B68E4">
      <w:fldChar w:fldCharType="begin"/>
    </w:r>
    <w:r w:rsidR="002B68E4">
      <w:instrText xml:space="preserve">PAGE </w:instrText>
    </w:r>
    <w:r w:rsidR="002B68E4">
      <w:fldChar w:fldCharType="separate"/>
    </w:r>
    <w:r w:rsidR="002B68E4">
      <w:rPr>
        <w:noProof/>
      </w:rPr>
      <w:t>1223</w:t>
    </w:r>
    <w:r w:rsidR="002B68E4">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Pr="00924065" w:rsidRDefault="0024757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rsidP="00A87207">
    <w:pPr>
      <w:pStyle w:val="Footer"/>
    </w:pPr>
    <w:r>
      <w:pict>
        <v:rect id="_x0000_i1028" style="width:480.95pt;height:1pt" o:hralign="center" o:hrstd="t" o:hrnoshade="t" o:hr="t" fillcolor="black [3213]" stroked="f"/>
      </w:pict>
    </w:r>
  </w:p>
  <w:p w:rsidR="00247575" w:rsidRPr="00B7374B" w:rsidRDefault="00247575" w:rsidP="00B7374B">
    <w:pPr>
      <w:tabs>
        <w:tab w:val="center" w:pos="4680"/>
      </w:tabs>
      <w:rPr>
        <w:szCs w:val="24"/>
      </w:rPr>
    </w:pPr>
    <w:r w:rsidRPr="00954D22">
      <w:rPr>
        <w:szCs w:val="24"/>
      </w:rPr>
      <w:tab/>
      <w:t xml:space="preserve">- </w:t>
    </w:r>
    <w:r w:rsidR="00474C37" w:rsidRPr="00954D22">
      <w:rPr>
        <w:szCs w:val="24"/>
      </w:rPr>
      <w:fldChar w:fldCharType="begin"/>
    </w:r>
    <w:r w:rsidRPr="00954D22">
      <w:rPr>
        <w:szCs w:val="24"/>
      </w:rPr>
      <w:instrText xml:space="preserve"> PAGE   \* MERGEFORMAT </w:instrText>
    </w:r>
    <w:r w:rsidR="00474C37" w:rsidRPr="00954D22">
      <w:rPr>
        <w:szCs w:val="24"/>
      </w:rPr>
      <w:fldChar w:fldCharType="separate"/>
    </w:r>
    <w:r>
      <w:rPr>
        <w:noProof/>
        <w:szCs w:val="24"/>
      </w:rPr>
      <w:t>1188</w:t>
    </w:r>
    <w:r w:rsidR="00474C37"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rsidP="00755F22">
    <w:pPr>
      <w:tabs>
        <w:tab w:val="left" w:pos="-1440"/>
        <w:tab w:val="left" w:pos="-720"/>
      </w:tabs>
    </w:pPr>
    <w:r>
      <w:pict>
        <v:rect id="_x0000_i1029" style="width:480.95pt;height:1pt" o:hralign="center" o:hrstd="t" o:hrnoshade="t" o:hr="t" fillcolor="black [3213]" stroked="f"/>
      </w:pict>
    </w:r>
  </w:p>
  <w:p w:rsidR="00247575" w:rsidRPr="00954D22" w:rsidRDefault="00247575" w:rsidP="00B7374B">
    <w:pPr>
      <w:tabs>
        <w:tab w:val="center" w:pos="4680"/>
      </w:tabs>
      <w:rPr>
        <w:szCs w:val="24"/>
      </w:rPr>
    </w:pPr>
    <w:r w:rsidRPr="00954D22">
      <w:rPr>
        <w:szCs w:val="24"/>
      </w:rPr>
      <w:tab/>
      <w:t xml:space="preserve">- </w:t>
    </w:r>
    <w:r w:rsidR="00474C37">
      <w:rPr>
        <w:szCs w:val="24"/>
      </w:rPr>
      <w:fldChar w:fldCharType="begin"/>
    </w:r>
    <w:r>
      <w:rPr>
        <w:szCs w:val="24"/>
      </w:rPr>
      <w:instrText xml:space="preserve"> PAGE   \* MERGEFORMAT </w:instrText>
    </w:r>
    <w:r w:rsidR="00474C37">
      <w:rPr>
        <w:szCs w:val="24"/>
      </w:rPr>
      <w:fldChar w:fldCharType="separate"/>
    </w:r>
    <w:r w:rsidR="002B68E4">
      <w:rPr>
        <w:noProof/>
        <w:szCs w:val="24"/>
      </w:rPr>
      <w:t>1187</w:t>
    </w:r>
    <w:r w:rsidR="00474C37">
      <w:rPr>
        <w:szCs w:val="24"/>
      </w:rPr>
      <w:fldChar w:fldCharType="end"/>
    </w:r>
    <w:r w:rsidRPr="00954D22">
      <w:rPr>
        <w:szCs w:val="24"/>
      </w:rPr>
      <w:t xml:space="preserve"> -</w:t>
    </w:r>
  </w:p>
  <w:p w:rsidR="00247575" w:rsidRDefault="002475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rsidP="00A87207">
    <w:pPr>
      <w:pStyle w:val="Footer"/>
    </w:pPr>
    <w:r>
      <w:pict>
        <v:rect id="_x0000_i1031" style="width:480.95pt;height:1pt" o:hralign="center" o:hrstd="t" o:hrnoshade="t" o:hr="t" fillcolor="black [3213]" stroked="f"/>
      </w:pict>
    </w:r>
  </w:p>
  <w:p w:rsidR="00247575" w:rsidRPr="00B7374B" w:rsidRDefault="00247575" w:rsidP="00B7374B">
    <w:pPr>
      <w:tabs>
        <w:tab w:val="center" w:pos="4680"/>
      </w:tabs>
      <w:rPr>
        <w:szCs w:val="24"/>
      </w:rPr>
    </w:pPr>
    <w:r w:rsidRPr="00954D22">
      <w:rPr>
        <w:szCs w:val="24"/>
      </w:rPr>
      <w:tab/>
      <w:t xml:space="preserve">- </w:t>
    </w:r>
    <w:r w:rsidR="00474C37" w:rsidRPr="00954D22">
      <w:rPr>
        <w:szCs w:val="24"/>
      </w:rPr>
      <w:fldChar w:fldCharType="begin"/>
    </w:r>
    <w:r w:rsidRPr="00954D22">
      <w:rPr>
        <w:szCs w:val="24"/>
      </w:rPr>
      <w:instrText xml:space="preserve"> PAGE   \* MERGEFORMAT </w:instrText>
    </w:r>
    <w:r w:rsidR="00474C37" w:rsidRPr="00954D22">
      <w:rPr>
        <w:szCs w:val="24"/>
      </w:rPr>
      <w:fldChar w:fldCharType="separate"/>
    </w:r>
    <w:r>
      <w:rPr>
        <w:noProof/>
        <w:szCs w:val="24"/>
      </w:rPr>
      <w:t>503</w:t>
    </w:r>
    <w:r w:rsidR="00474C37"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247575" w:rsidRPr="00954D22" w:rsidRDefault="00247575" w:rsidP="00B7374B">
    <w:pPr>
      <w:tabs>
        <w:tab w:val="center" w:pos="4680"/>
      </w:tabs>
      <w:rPr>
        <w:szCs w:val="24"/>
      </w:rPr>
    </w:pPr>
    <w:r w:rsidRPr="00954D22">
      <w:rPr>
        <w:szCs w:val="24"/>
      </w:rPr>
      <w:tab/>
      <w:t xml:space="preserve">- </w:t>
    </w:r>
    <w:r w:rsidR="00474C37" w:rsidRPr="00954D22">
      <w:rPr>
        <w:szCs w:val="24"/>
      </w:rPr>
      <w:fldChar w:fldCharType="begin"/>
    </w:r>
    <w:r w:rsidRPr="00954D22">
      <w:rPr>
        <w:szCs w:val="24"/>
      </w:rPr>
      <w:instrText xml:space="preserve"> PAGE   \* MERGEFORMAT </w:instrText>
    </w:r>
    <w:r w:rsidR="00474C37" w:rsidRPr="00954D22">
      <w:rPr>
        <w:szCs w:val="24"/>
      </w:rPr>
      <w:fldChar w:fldCharType="separate"/>
    </w:r>
    <w:r w:rsidR="002B68E4">
      <w:rPr>
        <w:noProof/>
        <w:szCs w:val="24"/>
      </w:rPr>
      <w:t>1188</w:t>
    </w:r>
    <w:r w:rsidR="00474C37"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7575" w:rsidRDefault="0024757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B68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247575" w:rsidRPr="0009648D" w:rsidRDefault="00247575" w:rsidP="00ED7E83">
    <w:pPr>
      <w:tabs>
        <w:tab w:val="center" w:pos="4680"/>
      </w:tabs>
    </w:pPr>
    <w:r>
      <w:tab/>
    </w:r>
    <w:r w:rsidRPr="0009648D">
      <w:t xml:space="preserve">- </w:t>
    </w:r>
    <w:r w:rsidR="002B68E4">
      <w:fldChar w:fldCharType="begin"/>
    </w:r>
    <w:r w:rsidR="002B68E4">
      <w:instrText xml:space="preserve"> PAGE   \* MERGEFORMAT </w:instrText>
    </w:r>
    <w:r w:rsidR="002B68E4">
      <w:fldChar w:fldCharType="separate"/>
    </w:r>
    <w:r w:rsidR="002B68E4">
      <w:rPr>
        <w:noProof/>
      </w:rPr>
      <w:t>1214</w:t>
    </w:r>
    <w:r w:rsidR="002B68E4">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75" w:rsidRDefault="00247575" w:rsidP="00A87207">
      <w:r>
        <w:separator/>
      </w:r>
    </w:p>
  </w:footnote>
  <w:footnote w:type="continuationSeparator" w:id="0">
    <w:p w:rsidR="00247575" w:rsidRDefault="0024757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7575" w:rsidRPr="00FA49F9">
      <w:tc>
        <w:tcPr>
          <w:tcW w:w="4200" w:type="dxa"/>
          <w:tcMar>
            <w:left w:w="0" w:type="dxa"/>
            <w:right w:w="0" w:type="dxa"/>
          </w:tcMar>
        </w:tcPr>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7575" w:rsidRPr="00B01A03" w:rsidRDefault="002475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47575" w:rsidRPr="00B01A03"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47575" w:rsidRPr="00B01A03"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47575" w:rsidRPr="00FA49F9" w:rsidTr="00245129">
      <w:tc>
        <w:tcPr>
          <w:tcW w:w="4200" w:type="dxa"/>
          <w:tcMar>
            <w:left w:w="0" w:type="dxa"/>
            <w:right w:w="0" w:type="dxa"/>
          </w:tcMar>
        </w:tcPr>
        <w:p w:rsidR="00247575" w:rsidRPr="00F40249" w:rsidRDefault="0024757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47575" w:rsidRDefault="00247575" w:rsidP="00102926">
          <w:pPr>
            <w:keepNext/>
            <w:keepLines/>
            <w:tabs>
              <w:tab w:val="left" w:pos="-1440"/>
              <w:tab w:val="left" w:pos="-720"/>
            </w:tabs>
            <w:jc w:val="center"/>
            <w:rPr>
              <w:sz w:val="20"/>
              <w:szCs w:val="20"/>
            </w:rPr>
          </w:pPr>
        </w:p>
        <w:p w:rsidR="00247575" w:rsidRDefault="00247575" w:rsidP="00102926">
          <w:pPr>
            <w:keepNext/>
            <w:keepLines/>
            <w:tabs>
              <w:tab w:val="left" w:pos="-1440"/>
              <w:tab w:val="left" w:pos="-720"/>
            </w:tabs>
            <w:jc w:val="center"/>
            <w:rPr>
              <w:sz w:val="20"/>
              <w:szCs w:val="20"/>
            </w:rPr>
          </w:pPr>
        </w:p>
        <w:p w:rsidR="00247575" w:rsidRPr="00F40249" w:rsidRDefault="00247575" w:rsidP="00102926">
          <w:pPr>
            <w:keepNext/>
            <w:keepLines/>
            <w:tabs>
              <w:tab w:val="left" w:pos="-1440"/>
              <w:tab w:val="left" w:pos="-720"/>
            </w:tabs>
            <w:jc w:val="center"/>
            <w:rPr>
              <w:sz w:val="20"/>
              <w:szCs w:val="20"/>
            </w:rPr>
          </w:pPr>
        </w:p>
      </w:tc>
      <w:tc>
        <w:tcPr>
          <w:tcW w:w="4230" w:type="dxa"/>
          <w:tcMar>
            <w:left w:w="0" w:type="dxa"/>
            <w:right w:w="0" w:type="dxa"/>
          </w:tcMar>
        </w:tcPr>
        <w:p w:rsidR="00247575" w:rsidRPr="00F40249" w:rsidRDefault="0024757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47575" w:rsidRPr="00B01A03" w:rsidRDefault="0024757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7575" w:rsidRPr="00FA49F9">
      <w:tc>
        <w:tcPr>
          <w:tcW w:w="4200" w:type="dxa"/>
          <w:tcMar>
            <w:left w:w="0" w:type="dxa"/>
            <w:right w:w="0" w:type="dxa"/>
          </w:tcMar>
        </w:tcPr>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47575" w:rsidRPr="003C2C0F" w:rsidRDefault="002475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47575" w:rsidRPr="003C2C0F"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47575" w:rsidRPr="003C2C0F"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7575" w:rsidRPr="00FA49F9" w:rsidTr="00245129">
      <w:tc>
        <w:tcPr>
          <w:tcW w:w="4200" w:type="dxa"/>
          <w:tcMar>
            <w:left w:w="0" w:type="dxa"/>
            <w:right w:w="0" w:type="dxa"/>
          </w:tcMar>
        </w:tcPr>
        <w:p w:rsidR="00247575" w:rsidRPr="00FF6EEC" w:rsidRDefault="00247575" w:rsidP="00FF6EEC">
          <w:pPr>
            <w:rPr>
              <w:sz w:val="20"/>
              <w:szCs w:val="20"/>
            </w:rPr>
          </w:pPr>
          <w:r w:rsidRPr="00FF6EEC">
            <w:rPr>
              <w:sz w:val="20"/>
              <w:szCs w:val="20"/>
            </w:rPr>
            <w:t>PRONOUNCEMENTS OF APPEALS RESERVED</w:t>
          </w:r>
        </w:p>
      </w:tc>
      <w:tc>
        <w:tcPr>
          <w:tcW w:w="1200" w:type="dxa"/>
          <w:tcMar>
            <w:left w:w="0" w:type="dxa"/>
            <w:right w:w="0" w:type="dxa"/>
          </w:tcMar>
        </w:tcPr>
        <w:p w:rsidR="00247575" w:rsidRPr="00FF6EEC" w:rsidRDefault="00247575" w:rsidP="00FF6EEC">
          <w:pPr>
            <w:jc w:val="center"/>
            <w:rPr>
              <w:sz w:val="20"/>
              <w:szCs w:val="20"/>
            </w:rPr>
          </w:pPr>
        </w:p>
        <w:p w:rsidR="00247575" w:rsidRPr="00FF6EEC" w:rsidRDefault="00247575" w:rsidP="00FF6EEC">
          <w:pPr>
            <w:jc w:val="center"/>
            <w:rPr>
              <w:sz w:val="20"/>
              <w:szCs w:val="20"/>
            </w:rPr>
          </w:pPr>
        </w:p>
        <w:p w:rsidR="00247575" w:rsidRPr="00FF6EEC" w:rsidRDefault="00247575" w:rsidP="00FF6EEC">
          <w:pPr>
            <w:jc w:val="center"/>
            <w:rPr>
              <w:sz w:val="20"/>
              <w:szCs w:val="20"/>
            </w:rPr>
          </w:pPr>
        </w:p>
      </w:tc>
      <w:tc>
        <w:tcPr>
          <w:tcW w:w="4080" w:type="dxa"/>
          <w:tcMar>
            <w:left w:w="0" w:type="dxa"/>
            <w:right w:w="0" w:type="dxa"/>
          </w:tcMar>
        </w:tcPr>
        <w:p w:rsidR="00247575" w:rsidRPr="00FF6EEC" w:rsidRDefault="00247575" w:rsidP="00FF6EEC">
          <w:pPr>
            <w:rPr>
              <w:sz w:val="20"/>
              <w:szCs w:val="20"/>
              <w:lang w:val="fr-CA"/>
            </w:rPr>
          </w:pPr>
          <w:r w:rsidRPr="00FF6EEC">
            <w:rPr>
              <w:sz w:val="20"/>
              <w:szCs w:val="20"/>
              <w:lang w:val="fr-CA"/>
            </w:rPr>
            <w:t>JUGEMENTS RENDUS SUR LES APPELS EN DÉLIBÉRÉ</w:t>
          </w:r>
        </w:p>
      </w:tc>
    </w:tr>
  </w:tbl>
  <w:p w:rsidR="00247575" w:rsidRPr="003C2C0F" w:rsidRDefault="0024757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47575">
      <w:tc>
        <w:tcPr>
          <w:tcW w:w="4230" w:type="dxa"/>
          <w:tcMar>
            <w:left w:w="0" w:type="dxa"/>
            <w:right w:w="0" w:type="dxa"/>
          </w:tcMar>
        </w:tcPr>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47575" w:rsidRDefault="002475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4757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47575" w:rsidRPr="00782AE4" w:rsidTr="00245129">
      <w:tc>
        <w:tcPr>
          <w:tcW w:w="4230" w:type="dxa"/>
          <w:tcMar>
            <w:left w:w="0" w:type="dxa"/>
            <w:right w:w="0" w:type="dxa"/>
          </w:tcMar>
        </w:tcPr>
        <w:p w:rsidR="00247575" w:rsidRPr="00782AE4" w:rsidRDefault="00247575" w:rsidP="00102926">
          <w:pPr>
            <w:keepNext/>
            <w:keepLines/>
            <w:tabs>
              <w:tab w:val="left" w:pos="-1440"/>
              <w:tab w:val="left" w:pos="-720"/>
            </w:tabs>
            <w:rPr>
              <w:sz w:val="20"/>
              <w:szCs w:val="20"/>
            </w:rPr>
          </w:pPr>
          <w:r w:rsidRPr="00782AE4">
            <w:rPr>
              <w:sz w:val="20"/>
              <w:szCs w:val="20"/>
            </w:rPr>
            <w:t xml:space="preserve">HEADNOTES OF RECENT </w:t>
          </w:r>
        </w:p>
        <w:p w:rsidR="00247575" w:rsidRPr="00782AE4"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47575" w:rsidRDefault="00247575" w:rsidP="00102926">
          <w:pPr>
            <w:keepNext/>
            <w:keepLines/>
            <w:tabs>
              <w:tab w:val="left" w:pos="-1440"/>
              <w:tab w:val="left" w:pos="-720"/>
            </w:tabs>
            <w:jc w:val="center"/>
            <w:rPr>
              <w:sz w:val="20"/>
              <w:szCs w:val="20"/>
            </w:rPr>
          </w:pPr>
        </w:p>
        <w:p w:rsidR="00247575" w:rsidRDefault="00247575" w:rsidP="00102926">
          <w:pPr>
            <w:keepNext/>
            <w:keepLines/>
            <w:tabs>
              <w:tab w:val="left" w:pos="-1440"/>
              <w:tab w:val="left" w:pos="-720"/>
            </w:tabs>
            <w:jc w:val="center"/>
            <w:rPr>
              <w:sz w:val="20"/>
              <w:szCs w:val="20"/>
            </w:rPr>
          </w:pPr>
        </w:p>
        <w:p w:rsidR="00247575" w:rsidRPr="00782AE4" w:rsidRDefault="00247575" w:rsidP="00102926">
          <w:pPr>
            <w:keepNext/>
            <w:keepLines/>
            <w:tabs>
              <w:tab w:val="left" w:pos="-1440"/>
              <w:tab w:val="left" w:pos="-720"/>
            </w:tabs>
            <w:jc w:val="center"/>
            <w:rPr>
              <w:sz w:val="20"/>
              <w:szCs w:val="20"/>
            </w:rPr>
          </w:pPr>
        </w:p>
      </w:tc>
      <w:tc>
        <w:tcPr>
          <w:tcW w:w="4080" w:type="dxa"/>
          <w:tcMar>
            <w:left w:w="0" w:type="dxa"/>
            <w:right w:w="0" w:type="dxa"/>
          </w:tcMar>
        </w:tcPr>
        <w:p w:rsidR="00247575" w:rsidRPr="00102926"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47575" w:rsidRPr="00782AE4" w:rsidRDefault="00247575" w:rsidP="00102926">
          <w:pPr>
            <w:keepLines/>
            <w:tabs>
              <w:tab w:val="left" w:pos="-1440"/>
              <w:tab w:val="left" w:pos="-720"/>
            </w:tabs>
            <w:rPr>
              <w:sz w:val="20"/>
              <w:szCs w:val="20"/>
            </w:rPr>
          </w:pPr>
          <w:r w:rsidRPr="00102926">
            <w:rPr>
              <w:sz w:val="20"/>
              <w:szCs w:val="20"/>
              <w:lang w:val="fr-CA"/>
            </w:rPr>
            <w:t>RÉCENTS</w:t>
          </w:r>
        </w:p>
      </w:tc>
    </w:tr>
  </w:tbl>
  <w:p w:rsidR="00247575" w:rsidRDefault="0024757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7575">
      <w:tc>
        <w:tcPr>
          <w:tcW w:w="4200" w:type="dxa"/>
          <w:tcMar>
            <w:left w:w="0" w:type="dxa"/>
            <w:right w:w="0" w:type="dxa"/>
          </w:tcMar>
        </w:tcPr>
        <w:p w:rsidR="00247575" w:rsidRDefault="0024757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247575" w:rsidRDefault="0024757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247575" w:rsidRDefault="0024757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247575" w:rsidRDefault="00247575">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247575" w:rsidRDefault="0024757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247575" w:rsidRDefault="0024757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7575" w:rsidRPr="00C50A5C" w:rsidTr="00245129">
      <w:tc>
        <w:tcPr>
          <w:tcW w:w="4200" w:type="dxa"/>
          <w:tcMar>
            <w:left w:w="0" w:type="dxa"/>
            <w:right w:w="0" w:type="dxa"/>
          </w:tcMar>
        </w:tcPr>
        <w:p w:rsidR="00247575" w:rsidRPr="00C50A5C" w:rsidRDefault="0024757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247575" w:rsidRPr="00C50A5C" w:rsidRDefault="0024757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247575" w:rsidRPr="00C50A5C" w:rsidRDefault="0024757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247575" w:rsidRPr="00C50A5C" w:rsidRDefault="00247575"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247575" w:rsidRDefault="00247575"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47575" w:rsidRPr="00FA49F9" w:rsidTr="00245129">
      <w:tc>
        <w:tcPr>
          <w:tcW w:w="4320" w:type="dxa"/>
        </w:tcPr>
        <w:p w:rsidR="00247575" w:rsidRPr="006B6926" w:rsidRDefault="00247575" w:rsidP="006B6926">
          <w:pPr>
            <w:keepNext/>
            <w:keepLines/>
            <w:rPr>
              <w:bCs/>
              <w:sz w:val="20"/>
              <w:szCs w:val="20"/>
              <w:lang w:val="en-GB"/>
            </w:rPr>
          </w:pPr>
          <w:r w:rsidRPr="006B6926">
            <w:rPr>
              <w:bCs/>
              <w:sz w:val="20"/>
              <w:szCs w:val="20"/>
              <w:lang w:val="en-GB"/>
            </w:rPr>
            <w:t>SUPREME COURT REPORTS</w:t>
          </w:r>
        </w:p>
      </w:tc>
      <w:tc>
        <w:tcPr>
          <w:tcW w:w="840" w:type="dxa"/>
        </w:tcPr>
        <w:p w:rsidR="00247575" w:rsidRDefault="00247575" w:rsidP="006B6926">
          <w:pPr>
            <w:jc w:val="center"/>
            <w:rPr>
              <w:bCs/>
              <w:sz w:val="20"/>
              <w:szCs w:val="20"/>
              <w:lang w:val="en-GB"/>
            </w:rPr>
          </w:pPr>
        </w:p>
        <w:p w:rsidR="00247575" w:rsidRPr="006B6926" w:rsidRDefault="00247575" w:rsidP="006B6926">
          <w:pPr>
            <w:jc w:val="center"/>
            <w:rPr>
              <w:bCs/>
              <w:sz w:val="20"/>
              <w:szCs w:val="20"/>
              <w:lang w:val="en-GB"/>
            </w:rPr>
          </w:pPr>
        </w:p>
      </w:tc>
      <w:tc>
        <w:tcPr>
          <w:tcW w:w="4320" w:type="dxa"/>
        </w:tcPr>
        <w:p w:rsidR="00247575" w:rsidRPr="006B6926" w:rsidRDefault="00247575" w:rsidP="006B6926">
          <w:pPr>
            <w:keepNext/>
            <w:keepLines/>
            <w:rPr>
              <w:bCs/>
              <w:sz w:val="20"/>
              <w:szCs w:val="20"/>
              <w:lang w:val="fr-CA"/>
            </w:rPr>
          </w:pPr>
          <w:r w:rsidRPr="006B6926">
            <w:rPr>
              <w:bCs/>
              <w:sz w:val="20"/>
              <w:szCs w:val="20"/>
              <w:lang w:val="fr-CA"/>
            </w:rPr>
            <w:t>RECUEIL DES ARRÊTS DE LA COUR SUPRÊME</w:t>
          </w:r>
        </w:p>
      </w:tc>
    </w:tr>
  </w:tbl>
  <w:p w:rsidR="00247575" w:rsidRPr="000924F7" w:rsidRDefault="00247575">
    <w:pPr>
      <w:pStyle w:val="Header"/>
      <w:rPr>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47575" w:rsidRPr="0044776A" w:rsidTr="00245129">
      <w:tc>
        <w:tcPr>
          <w:tcW w:w="4290" w:type="dxa"/>
          <w:tcMar>
            <w:left w:w="0" w:type="dxa"/>
            <w:right w:w="0" w:type="dxa"/>
          </w:tcMar>
        </w:tcPr>
        <w:p w:rsidR="00247575" w:rsidRPr="0044776A" w:rsidRDefault="0024757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47575" w:rsidRPr="0044776A" w:rsidRDefault="00247575" w:rsidP="002E2327">
          <w:pPr>
            <w:keepNext/>
            <w:keepLines/>
            <w:tabs>
              <w:tab w:val="left" w:pos="-1440"/>
              <w:tab w:val="left" w:pos="-720"/>
            </w:tabs>
            <w:jc w:val="center"/>
            <w:rPr>
              <w:sz w:val="20"/>
              <w:szCs w:val="20"/>
            </w:rPr>
          </w:pPr>
        </w:p>
        <w:p w:rsidR="00247575" w:rsidRPr="0044776A" w:rsidRDefault="00247575" w:rsidP="002E2327">
          <w:pPr>
            <w:keepNext/>
            <w:keepLines/>
            <w:tabs>
              <w:tab w:val="left" w:pos="-1440"/>
              <w:tab w:val="left" w:pos="-720"/>
            </w:tabs>
            <w:jc w:val="center"/>
            <w:rPr>
              <w:sz w:val="20"/>
              <w:szCs w:val="20"/>
            </w:rPr>
          </w:pPr>
        </w:p>
        <w:p w:rsidR="00247575" w:rsidRPr="0044776A" w:rsidRDefault="00247575" w:rsidP="002E2327">
          <w:pPr>
            <w:keepNext/>
            <w:keepLines/>
            <w:tabs>
              <w:tab w:val="left" w:pos="-1440"/>
              <w:tab w:val="left" w:pos="-720"/>
            </w:tabs>
            <w:jc w:val="center"/>
            <w:rPr>
              <w:sz w:val="20"/>
              <w:szCs w:val="20"/>
            </w:rPr>
          </w:pPr>
        </w:p>
      </w:tc>
      <w:tc>
        <w:tcPr>
          <w:tcW w:w="4320" w:type="dxa"/>
          <w:tcMar>
            <w:left w:w="0" w:type="dxa"/>
            <w:right w:w="0" w:type="dxa"/>
          </w:tcMar>
        </w:tcPr>
        <w:p w:rsidR="00247575" w:rsidRPr="0044776A" w:rsidRDefault="00247575" w:rsidP="002E2327">
          <w:pPr>
            <w:keepLines/>
            <w:rPr>
              <w:sz w:val="20"/>
              <w:szCs w:val="20"/>
              <w:lang w:val="fr-CA"/>
            </w:rPr>
          </w:pPr>
          <w:r w:rsidRPr="0044776A">
            <w:rPr>
              <w:sz w:val="20"/>
              <w:szCs w:val="20"/>
              <w:lang w:val="fr-CA"/>
            </w:rPr>
            <w:t>DEMANDES D'AUTORISATION D'APPEL DÉPOSÉES</w:t>
          </w:r>
        </w:p>
      </w:tc>
    </w:tr>
  </w:tbl>
  <w:p w:rsidR="00247575" w:rsidRDefault="002475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7575" w:rsidRPr="00FA49F9" w:rsidTr="00245129">
      <w:tc>
        <w:tcPr>
          <w:tcW w:w="4200" w:type="dxa"/>
          <w:tcMar>
            <w:left w:w="0" w:type="dxa"/>
            <w:right w:w="0" w:type="dxa"/>
          </w:tcMar>
        </w:tcPr>
        <w:p w:rsidR="00247575" w:rsidRPr="0044776A" w:rsidRDefault="00247575" w:rsidP="0044776A">
          <w:pPr>
            <w:keepNext/>
            <w:keepLines/>
            <w:widowControl w:val="0"/>
            <w:rPr>
              <w:sz w:val="20"/>
              <w:szCs w:val="20"/>
            </w:rPr>
          </w:pPr>
          <w:r>
            <w:rPr>
              <w:sz w:val="20"/>
              <w:szCs w:val="20"/>
            </w:rPr>
            <w:t>APPLICATIONS FOR LEAVE</w:t>
          </w:r>
        </w:p>
        <w:p w:rsidR="00247575" w:rsidRPr="0044776A" w:rsidRDefault="0024757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47575" w:rsidRPr="0044776A" w:rsidRDefault="00247575" w:rsidP="0044776A">
          <w:pPr>
            <w:keepNext/>
            <w:keepLines/>
            <w:widowControl w:val="0"/>
            <w:jc w:val="center"/>
            <w:rPr>
              <w:sz w:val="20"/>
              <w:szCs w:val="20"/>
            </w:rPr>
          </w:pPr>
        </w:p>
        <w:p w:rsidR="00247575" w:rsidRPr="0044776A" w:rsidRDefault="00247575" w:rsidP="0044776A">
          <w:pPr>
            <w:keepNext/>
            <w:keepLines/>
            <w:widowControl w:val="0"/>
            <w:jc w:val="center"/>
            <w:rPr>
              <w:sz w:val="20"/>
              <w:szCs w:val="20"/>
            </w:rPr>
          </w:pPr>
        </w:p>
        <w:p w:rsidR="00247575" w:rsidRPr="0044776A" w:rsidRDefault="00247575" w:rsidP="0044776A">
          <w:pPr>
            <w:keepNext/>
            <w:keepLines/>
            <w:widowControl w:val="0"/>
            <w:jc w:val="center"/>
            <w:rPr>
              <w:sz w:val="20"/>
              <w:szCs w:val="20"/>
            </w:rPr>
          </w:pPr>
        </w:p>
      </w:tc>
      <w:tc>
        <w:tcPr>
          <w:tcW w:w="4080" w:type="dxa"/>
          <w:tcMar>
            <w:left w:w="0" w:type="dxa"/>
            <w:right w:w="0" w:type="dxa"/>
          </w:tcMar>
        </w:tcPr>
        <w:p w:rsidR="00247575" w:rsidRPr="0044776A" w:rsidRDefault="00247575" w:rsidP="0044776A">
          <w:pPr>
            <w:keepLines/>
            <w:widowControl w:val="0"/>
            <w:rPr>
              <w:sz w:val="20"/>
              <w:szCs w:val="20"/>
              <w:lang w:val="fr-CA"/>
            </w:rPr>
          </w:pPr>
          <w:r w:rsidRPr="0044776A">
            <w:rPr>
              <w:sz w:val="20"/>
              <w:szCs w:val="20"/>
              <w:lang w:val="fr-CA"/>
            </w:rPr>
            <w:t>DEMANDES SOUMISES À LA COUR DEPUIS LA DERNIÈRE PARUTION</w:t>
          </w:r>
        </w:p>
        <w:p w:rsidR="00247575" w:rsidRPr="0044776A" w:rsidRDefault="00247575" w:rsidP="0044776A">
          <w:pPr>
            <w:widowControl w:val="0"/>
            <w:rPr>
              <w:sz w:val="20"/>
              <w:szCs w:val="20"/>
              <w:lang w:val="fr-CA"/>
            </w:rPr>
          </w:pPr>
        </w:p>
      </w:tc>
    </w:tr>
  </w:tbl>
  <w:p w:rsidR="00247575" w:rsidRPr="002E2327" w:rsidRDefault="00247575">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75" w:rsidRDefault="0024757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7575" w:rsidRPr="00FA49F9">
      <w:tc>
        <w:tcPr>
          <w:tcW w:w="4200" w:type="dxa"/>
          <w:tcMar>
            <w:left w:w="0" w:type="dxa"/>
            <w:right w:w="0" w:type="dxa"/>
          </w:tcMar>
        </w:tcPr>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47575"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47575" w:rsidRDefault="002475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7575" w:rsidRPr="00FF6BA5" w:rsidRDefault="002475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47575" w:rsidRPr="00FF6BA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47575" w:rsidRPr="00FF6BA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47575" w:rsidRPr="00FF6BA5" w:rsidRDefault="002475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7575" w:rsidRPr="00FA49F9" w:rsidTr="00245129">
      <w:tc>
        <w:tcPr>
          <w:tcW w:w="4200" w:type="dxa"/>
          <w:tcMar>
            <w:left w:w="0" w:type="dxa"/>
            <w:right w:w="0" w:type="dxa"/>
          </w:tcMar>
        </w:tcPr>
        <w:p w:rsidR="00247575" w:rsidRPr="00755F22"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47575" w:rsidRPr="00755F22" w:rsidRDefault="0024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47575" w:rsidRPr="00755F22" w:rsidRDefault="0024757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47575" w:rsidRPr="00755F22" w:rsidRDefault="0024757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47575" w:rsidRPr="00755F22" w:rsidRDefault="0024757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47575" w:rsidRPr="00755F22" w:rsidRDefault="002475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47575" w:rsidRPr="00FF6BA5" w:rsidRDefault="00247575"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81937"/>
  </w:hdrShapeDefaults>
  <w:footnotePr>
    <w:footnote w:id="-1"/>
    <w:footnote w:id="0"/>
  </w:footnotePr>
  <w:endnotePr>
    <w:endnote w:id="-1"/>
    <w:endnote w:id="0"/>
  </w:endnotePr>
  <w:compat>
    <w:compatSetting w:name="compatibilityMode" w:uri="http://schemas.microsoft.com/office/word" w:val="12"/>
  </w:compat>
  <w:rsids>
    <w:rsidRoot w:val="00414A64"/>
    <w:rsid w:val="00005024"/>
    <w:rsid w:val="000136B0"/>
    <w:rsid w:val="0003223B"/>
    <w:rsid w:val="000327B2"/>
    <w:rsid w:val="0004528B"/>
    <w:rsid w:val="0004704D"/>
    <w:rsid w:val="0005103A"/>
    <w:rsid w:val="0006177B"/>
    <w:rsid w:val="00091FA6"/>
    <w:rsid w:val="00096BD9"/>
    <w:rsid w:val="000B3C9A"/>
    <w:rsid w:val="000B40A2"/>
    <w:rsid w:val="000B4624"/>
    <w:rsid w:val="000C0ACD"/>
    <w:rsid w:val="000C0D2A"/>
    <w:rsid w:val="000C5CE8"/>
    <w:rsid w:val="000E2959"/>
    <w:rsid w:val="000E7252"/>
    <w:rsid w:val="000F0B60"/>
    <w:rsid w:val="000F754C"/>
    <w:rsid w:val="00102926"/>
    <w:rsid w:val="0010587F"/>
    <w:rsid w:val="00111C6B"/>
    <w:rsid w:val="0012102B"/>
    <w:rsid w:val="00132CFC"/>
    <w:rsid w:val="0013369E"/>
    <w:rsid w:val="00164E6D"/>
    <w:rsid w:val="001727AD"/>
    <w:rsid w:val="00183454"/>
    <w:rsid w:val="001A0DD8"/>
    <w:rsid w:val="001B157C"/>
    <w:rsid w:val="001B4006"/>
    <w:rsid w:val="001B5C23"/>
    <w:rsid w:val="001B621F"/>
    <w:rsid w:val="001D0D5F"/>
    <w:rsid w:val="001D6B8C"/>
    <w:rsid w:val="001D6FC7"/>
    <w:rsid w:val="001E2E5C"/>
    <w:rsid w:val="001E58C1"/>
    <w:rsid w:val="001F1F83"/>
    <w:rsid w:val="001F40DF"/>
    <w:rsid w:val="002021A9"/>
    <w:rsid w:val="00213156"/>
    <w:rsid w:val="002139A7"/>
    <w:rsid w:val="00215F7C"/>
    <w:rsid w:val="0022323B"/>
    <w:rsid w:val="00227889"/>
    <w:rsid w:val="002410B8"/>
    <w:rsid w:val="00242AEE"/>
    <w:rsid w:val="00245129"/>
    <w:rsid w:val="00245879"/>
    <w:rsid w:val="00247575"/>
    <w:rsid w:val="00252F95"/>
    <w:rsid w:val="00255BAE"/>
    <w:rsid w:val="00267FD5"/>
    <w:rsid w:val="00274851"/>
    <w:rsid w:val="00274D34"/>
    <w:rsid w:val="00283ED8"/>
    <w:rsid w:val="002868D0"/>
    <w:rsid w:val="002A008C"/>
    <w:rsid w:val="002A27D1"/>
    <w:rsid w:val="002A4AFA"/>
    <w:rsid w:val="002B056F"/>
    <w:rsid w:val="002B516C"/>
    <w:rsid w:val="002B58A6"/>
    <w:rsid w:val="002B68E4"/>
    <w:rsid w:val="002D72EB"/>
    <w:rsid w:val="002E2327"/>
    <w:rsid w:val="002E3583"/>
    <w:rsid w:val="002E43D3"/>
    <w:rsid w:val="002E5576"/>
    <w:rsid w:val="00331B52"/>
    <w:rsid w:val="003359D3"/>
    <w:rsid w:val="00350813"/>
    <w:rsid w:val="00355967"/>
    <w:rsid w:val="003567E8"/>
    <w:rsid w:val="00382C47"/>
    <w:rsid w:val="00384384"/>
    <w:rsid w:val="003866AE"/>
    <w:rsid w:val="003B3977"/>
    <w:rsid w:val="003E1D4C"/>
    <w:rsid w:val="004002E9"/>
    <w:rsid w:val="004030EA"/>
    <w:rsid w:val="00414A64"/>
    <w:rsid w:val="00432989"/>
    <w:rsid w:val="00440E24"/>
    <w:rsid w:val="00440F28"/>
    <w:rsid w:val="00447214"/>
    <w:rsid w:val="0044776A"/>
    <w:rsid w:val="00452A0F"/>
    <w:rsid w:val="00460AFC"/>
    <w:rsid w:val="0047471F"/>
    <w:rsid w:val="00474C37"/>
    <w:rsid w:val="00490666"/>
    <w:rsid w:val="004B195E"/>
    <w:rsid w:val="004B66B4"/>
    <w:rsid w:val="004B7F60"/>
    <w:rsid w:val="004C1AAC"/>
    <w:rsid w:val="004E1E0A"/>
    <w:rsid w:val="004E3F35"/>
    <w:rsid w:val="004E71D9"/>
    <w:rsid w:val="004F090E"/>
    <w:rsid w:val="00501F3C"/>
    <w:rsid w:val="0052229C"/>
    <w:rsid w:val="00527CC7"/>
    <w:rsid w:val="00536882"/>
    <w:rsid w:val="005718C9"/>
    <w:rsid w:val="00571CA4"/>
    <w:rsid w:val="00582136"/>
    <w:rsid w:val="00585249"/>
    <w:rsid w:val="005C62EF"/>
    <w:rsid w:val="005C6840"/>
    <w:rsid w:val="005F1ED8"/>
    <w:rsid w:val="005F263E"/>
    <w:rsid w:val="00600252"/>
    <w:rsid w:val="00612A40"/>
    <w:rsid w:val="00620D6D"/>
    <w:rsid w:val="0062714A"/>
    <w:rsid w:val="0066160D"/>
    <w:rsid w:val="00675479"/>
    <w:rsid w:val="00680709"/>
    <w:rsid w:val="00694287"/>
    <w:rsid w:val="00696BF9"/>
    <w:rsid w:val="00697C62"/>
    <w:rsid w:val="006A329B"/>
    <w:rsid w:val="006A7EB8"/>
    <w:rsid w:val="006B41BD"/>
    <w:rsid w:val="006B6926"/>
    <w:rsid w:val="006C3F47"/>
    <w:rsid w:val="006C5F7A"/>
    <w:rsid w:val="006D7B37"/>
    <w:rsid w:val="006E06AF"/>
    <w:rsid w:val="006F350F"/>
    <w:rsid w:val="00732DB7"/>
    <w:rsid w:val="0074238B"/>
    <w:rsid w:val="007426C2"/>
    <w:rsid w:val="00745AE4"/>
    <w:rsid w:val="00745EF7"/>
    <w:rsid w:val="00753200"/>
    <w:rsid w:val="007548A4"/>
    <w:rsid w:val="00755F22"/>
    <w:rsid w:val="00760EDE"/>
    <w:rsid w:val="00766E4A"/>
    <w:rsid w:val="007672F9"/>
    <w:rsid w:val="00770342"/>
    <w:rsid w:val="007820CE"/>
    <w:rsid w:val="00782AE4"/>
    <w:rsid w:val="00787189"/>
    <w:rsid w:val="00797248"/>
    <w:rsid w:val="0079724F"/>
    <w:rsid w:val="007A3EAE"/>
    <w:rsid w:val="007C04FC"/>
    <w:rsid w:val="007C47C2"/>
    <w:rsid w:val="007D3E0F"/>
    <w:rsid w:val="007E4016"/>
    <w:rsid w:val="007E4282"/>
    <w:rsid w:val="007F387B"/>
    <w:rsid w:val="00802863"/>
    <w:rsid w:val="008112A9"/>
    <w:rsid w:val="00815B3C"/>
    <w:rsid w:val="0081610A"/>
    <w:rsid w:val="0082783A"/>
    <w:rsid w:val="00831CA9"/>
    <w:rsid w:val="00850E1F"/>
    <w:rsid w:val="0085476B"/>
    <w:rsid w:val="0086340B"/>
    <w:rsid w:val="00864583"/>
    <w:rsid w:val="00890FEB"/>
    <w:rsid w:val="00895E7E"/>
    <w:rsid w:val="008A1054"/>
    <w:rsid w:val="008A5C1A"/>
    <w:rsid w:val="008D292F"/>
    <w:rsid w:val="008E03DC"/>
    <w:rsid w:val="00902E51"/>
    <w:rsid w:val="00917C40"/>
    <w:rsid w:val="00924065"/>
    <w:rsid w:val="00930D68"/>
    <w:rsid w:val="00932DB4"/>
    <w:rsid w:val="00941A4B"/>
    <w:rsid w:val="00946242"/>
    <w:rsid w:val="0095096B"/>
    <w:rsid w:val="00970CD3"/>
    <w:rsid w:val="009723FA"/>
    <w:rsid w:val="00984546"/>
    <w:rsid w:val="00996510"/>
    <w:rsid w:val="009A122E"/>
    <w:rsid w:val="009B3042"/>
    <w:rsid w:val="009D1F15"/>
    <w:rsid w:val="009D555E"/>
    <w:rsid w:val="009D74E5"/>
    <w:rsid w:val="009F24FC"/>
    <w:rsid w:val="009F3024"/>
    <w:rsid w:val="00A0355E"/>
    <w:rsid w:val="00A10B49"/>
    <w:rsid w:val="00A23E87"/>
    <w:rsid w:val="00A32704"/>
    <w:rsid w:val="00A375D1"/>
    <w:rsid w:val="00A51D10"/>
    <w:rsid w:val="00A52A83"/>
    <w:rsid w:val="00A6552C"/>
    <w:rsid w:val="00A87207"/>
    <w:rsid w:val="00A935AA"/>
    <w:rsid w:val="00A956D3"/>
    <w:rsid w:val="00AA6F30"/>
    <w:rsid w:val="00AB0B41"/>
    <w:rsid w:val="00AB2201"/>
    <w:rsid w:val="00AB2D3F"/>
    <w:rsid w:val="00AD191E"/>
    <w:rsid w:val="00AD1D34"/>
    <w:rsid w:val="00AD3259"/>
    <w:rsid w:val="00AF1715"/>
    <w:rsid w:val="00AF3904"/>
    <w:rsid w:val="00B010C0"/>
    <w:rsid w:val="00B4740D"/>
    <w:rsid w:val="00B61629"/>
    <w:rsid w:val="00B7374B"/>
    <w:rsid w:val="00B90DC0"/>
    <w:rsid w:val="00BA116A"/>
    <w:rsid w:val="00BA5582"/>
    <w:rsid w:val="00BA6468"/>
    <w:rsid w:val="00BB1D44"/>
    <w:rsid w:val="00BD06DA"/>
    <w:rsid w:val="00BD4217"/>
    <w:rsid w:val="00BE1680"/>
    <w:rsid w:val="00BF25F3"/>
    <w:rsid w:val="00C1697B"/>
    <w:rsid w:val="00C21644"/>
    <w:rsid w:val="00C21CB5"/>
    <w:rsid w:val="00C46376"/>
    <w:rsid w:val="00C50A5C"/>
    <w:rsid w:val="00C50FDF"/>
    <w:rsid w:val="00C62F5B"/>
    <w:rsid w:val="00C63381"/>
    <w:rsid w:val="00C65845"/>
    <w:rsid w:val="00C66153"/>
    <w:rsid w:val="00C73D06"/>
    <w:rsid w:val="00C73E1B"/>
    <w:rsid w:val="00C759B4"/>
    <w:rsid w:val="00C77713"/>
    <w:rsid w:val="00C85BB7"/>
    <w:rsid w:val="00CA2DEA"/>
    <w:rsid w:val="00CB3520"/>
    <w:rsid w:val="00CB43D5"/>
    <w:rsid w:val="00CC4D84"/>
    <w:rsid w:val="00CC7FF9"/>
    <w:rsid w:val="00CD4533"/>
    <w:rsid w:val="00CE198A"/>
    <w:rsid w:val="00CF08C8"/>
    <w:rsid w:val="00D004FC"/>
    <w:rsid w:val="00D2538F"/>
    <w:rsid w:val="00D36364"/>
    <w:rsid w:val="00D606A1"/>
    <w:rsid w:val="00D64901"/>
    <w:rsid w:val="00D7103E"/>
    <w:rsid w:val="00D76BDF"/>
    <w:rsid w:val="00D862C1"/>
    <w:rsid w:val="00D919C0"/>
    <w:rsid w:val="00D93B50"/>
    <w:rsid w:val="00D94028"/>
    <w:rsid w:val="00D94670"/>
    <w:rsid w:val="00D9770F"/>
    <w:rsid w:val="00DA46F6"/>
    <w:rsid w:val="00DB0C97"/>
    <w:rsid w:val="00DC1506"/>
    <w:rsid w:val="00DD0B49"/>
    <w:rsid w:val="00DE0502"/>
    <w:rsid w:val="00DE349D"/>
    <w:rsid w:val="00DF7249"/>
    <w:rsid w:val="00E06DFA"/>
    <w:rsid w:val="00E20A0A"/>
    <w:rsid w:val="00E240C2"/>
    <w:rsid w:val="00E31A93"/>
    <w:rsid w:val="00E3524B"/>
    <w:rsid w:val="00E356C7"/>
    <w:rsid w:val="00E41A5A"/>
    <w:rsid w:val="00E45FE4"/>
    <w:rsid w:val="00E64FA7"/>
    <w:rsid w:val="00E770CB"/>
    <w:rsid w:val="00E815E9"/>
    <w:rsid w:val="00E903A1"/>
    <w:rsid w:val="00E93821"/>
    <w:rsid w:val="00E940EB"/>
    <w:rsid w:val="00E9703F"/>
    <w:rsid w:val="00EB2B90"/>
    <w:rsid w:val="00EB6404"/>
    <w:rsid w:val="00EB7C60"/>
    <w:rsid w:val="00ED1BD8"/>
    <w:rsid w:val="00ED7E83"/>
    <w:rsid w:val="00EE091F"/>
    <w:rsid w:val="00EF4B63"/>
    <w:rsid w:val="00F0068D"/>
    <w:rsid w:val="00F0576D"/>
    <w:rsid w:val="00F14E6D"/>
    <w:rsid w:val="00F15EA8"/>
    <w:rsid w:val="00F16C8D"/>
    <w:rsid w:val="00F23739"/>
    <w:rsid w:val="00F26C61"/>
    <w:rsid w:val="00F33CCE"/>
    <w:rsid w:val="00F40249"/>
    <w:rsid w:val="00F526C8"/>
    <w:rsid w:val="00F71199"/>
    <w:rsid w:val="00F761A3"/>
    <w:rsid w:val="00F9272D"/>
    <w:rsid w:val="00F9518C"/>
    <w:rsid w:val="00FA316E"/>
    <w:rsid w:val="00FA49F9"/>
    <w:rsid w:val="00FA59EF"/>
    <w:rsid w:val="00FB19A2"/>
    <w:rsid w:val="00FD6E2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DB0C9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B7C6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ca/cm/doc/2013/2013cm2011/2013cm2011.html?searchUrlHash=AAAAAQAMMjAxMyBDTSAyMDExAAAAAAE" TargetMode="External"/><Relationship Id="rId21" Type="http://schemas.openxmlformats.org/officeDocument/2006/relationships/header" Target="header6.xml"/><Relationship Id="rId34" Type="http://schemas.openxmlformats.org/officeDocument/2006/relationships/hyperlink" Target="http://canlii.ca/t/g2xq0" TargetMode="External"/><Relationship Id="rId42" Type="http://schemas.openxmlformats.org/officeDocument/2006/relationships/hyperlink" Target="http://www.canlii.org/en/on/onca/doc/2014/2014onca137/2014onca137.html" TargetMode="External"/><Relationship Id="rId47" Type="http://schemas.openxmlformats.org/officeDocument/2006/relationships/hyperlink" Target="http://www.jmc-cmj.forces.ca/assets/CMJ_Internet/docs/en/2013cm3013.pdf" TargetMode="External"/><Relationship Id="rId50" Type="http://schemas.openxmlformats.org/officeDocument/2006/relationships/hyperlink" Target="http://www.jmc-cmj.forces.ca/assets/CMJ_Internet/docs/en/2013cm3013.pdf" TargetMode="External"/><Relationship Id="rId55" Type="http://schemas.openxmlformats.org/officeDocument/2006/relationships/hyperlink" Target="http://www.canlii.org/en/mb/mbqb/doc/2013/2013mbqb142/2013mbqb142.html" TargetMode="External"/><Relationship Id="rId63" Type="http://schemas.openxmlformats.org/officeDocument/2006/relationships/header" Target="header10.xml"/><Relationship Id="rId68" Type="http://schemas.openxmlformats.org/officeDocument/2006/relationships/footer" Target="footer12.xml"/><Relationship Id="rId76" Type="http://schemas.openxmlformats.org/officeDocument/2006/relationships/footer" Target="footer16.xml"/><Relationship Id="rId84" Type="http://schemas.openxmlformats.org/officeDocument/2006/relationships/header" Target="header20.xml"/><Relationship Id="rId89" Type="http://schemas.openxmlformats.org/officeDocument/2006/relationships/footer" Target="footer22.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4.xml"/><Relationship Id="rId92"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ca/cm/doc/2013/2013cm2011/2013cm2011.html?searchUrlHash=AAAAAQAMMjAxMyBDTSAyMDExAAAAAAE"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g2xq0" TargetMode="External"/><Relationship Id="rId37" Type="http://schemas.openxmlformats.org/officeDocument/2006/relationships/hyperlink" Target="http://www.canlii.org/en/ns/nssc/doc/2012/2012nssc86/2012nssc86.html" TargetMode="External"/><Relationship Id="rId40" Type="http://schemas.openxmlformats.org/officeDocument/2006/relationships/hyperlink" Target="http://www.canlii.org/en/on/onca/doc/2014/2014onca137/2014onca137.html" TargetMode="External"/><Relationship Id="rId45" Type="http://schemas.openxmlformats.org/officeDocument/2006/relationships/hyperlink" Target="http://www.canlii.org/en/bc/bcsc/doc/2011/2011bcsc911/2011bcsc911.html?searchUrlHash=AAAAAQANMjAxMSBCQ1NDIDkxMQAAAAAB" TargetMode="External"/><Relationship Id="rId53" Type="http://schemas.openxmlformats.org/officeDocument/2006/relationships/hyperlink" Target="http://www.canlii.org/en/mb/mbqb/doc/2013/2013mbqb142/2013mbqb142.html" TargetMode="External"/><Relationship Id="rId58" Type="http://schemas.openxmlformats.org/officeDocument/2006/relationships/hyperlink" Target="http://canlii.ca/t/g634d" TargetMode="External"/><Relationship Id="rId66" Type="http://schemas.openxmlformats.org/officeDocument/2006/relationships/header" Target="header12.xml"/><Relationship Id="rId74" Type="http://schemas.openxmlformats.org/officeDocument/2006/relationships/footer" Target="footer15.xml"/><Relationship Id="rId79" Type="http://schemas.openxmlformats.org/officeDocument/2006/relationships/header" Target="header18.xml"/><Relationship Id="rId87" Type="http://schemas.openxmlformats.org/officeDocument/2006/relationships/footer" Target="footer21.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header" Target="header19.xml"/><Relationship Id="rId90" Type="http://schemas.openxmlformats.org/officeDocument/2006/relationships/header" Target="header23.xml"/><Relationship Id="rId95" Type="http://schemas.openxmlformats.org/officeDocument/2006/relationships/footer" Target="footer25.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decisions.cmac-cacm.ca/cmac-cacm/cmac-cacm/en/66417/1/document.do" TargetMode="External"/><Relationship Id="rId30" Type="http://schemas.openxmlformats.org/officeDocument/2006/relationships/hyperlink" Target="http://decisions.cmac-cacm.ca/cmac-cacm/cmac-cacm/en/66417/1/document.do" TargetMode="External"/><Relationship Id="rId35" Type="http://schemas.openxmlformats.org/officeDocument/2006/relationships/hyperlink" Target="http://www.canlii.org/en/ns/nssc/doc/2012/2012nssc86/2012nssc86.html" TargetMode="External"/><Relationship Id="rId43" Type="http://schemas.openxmlformats.org/officeDocument/2006/relationships/hyperlink" Target="http://www.canlii.org/en/bc/bcsc/doc/2011/2011bcsc911/2011bcsc911.html?searchUrlHash=AAAAAQANMjAxMSBCQ1NDIDkxMQAAAAAB" TargetMode="External"/><Relationship Id="rId48" Type="http://schemas.openxmlformats.org/officeDocument/2006/relationships/hyperlink" Target="http://www.jmc-cmj.forces.ca/assets/CMJ_Internet/docs/en/2013cm3014.pdf" TargetMode="External"/><Relationship Id="rId56" Type="http://schemas.openxmlformats.org/officeDocument/2006/relationships/hyperlink" Target="http://www.canlii.org/en/mb/mbca/doc/2014/2014mbca26/2014mbca26.html" TargetMode="External"/><Relationship Id="rId64" Type="http://schemas.openxmlformats.org/officeDocument/2006/relationships/footer" Target="footer10.xml"/><Relationship Id="rId69" Type="http://schemas.openxmlformats.org/officeDocument/2006/relationships/header" Target="header13.xml"/><Relationship Id="rId77" Type="http://schemas.openxmlformats.org/officeDocument/2006/relationships/hyperlink" Target="http://www.scc-csc.ca/case-dossier/info/sum-som-fra.aspx?cas=35375" TargetMode="External"/><Relationship Id="rId8" Type="http://schemas.openxmlformats.org/officeDocument/2006/relationships/image" Target="media/image1.wmf"/><Relationship Id="rId51" Type="http://schemas.openxmlformats.org/officeDocument/2006/relationships/hyperlink" Target="http://www.jmc-cmj.forces.ca/assets/CMJ_Internet/docs/en/2013cm3014.pdf" TargetMode="External"/><Relationship Id="rId72" Type="http://schemas.openxmlformats.org/officeDocument/2006/relationships/header" Target="header15.xml"/><Relationship Id="rId80" Type="http://schemas.openxmlformats.org/officeDocument/2006/relationships/footer" Target="footer17.xml"/><Relationship Id="rId85" Type="http://schemas.openxmlformats.org/officeDocument/2006/relationships/header" Target="header21.xml"/><Relationship Id="rId93" Type="http://schemas.openxmlformats.org/officeDocument/2006/relationships/footer" Target="footer2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ca/cm/doc/2012/2012cm3017/2012cm3017.html?searchUrlHash=AAAAAQAMMjAxMiBDTSAzMDE3AAAAAAE" TargetMode="External"/><Relationship Id="rId33" Type="http://schemas.openxmlformats.org/officeDocument/2006/relationships/hyperlink" Target="http://canlii.ca/t/g6nkn" TargetMode="External"/><Relationship Id="rId38" Type="http://schemas.openxmlformats.org/officeDocument/2006/relationships/hyperlink" Target="http://www.canlii.org/en/ns/nsca/doc/2013/2013nsca124/2013nsca124.html" TargetMode="External"/><Relationship Id="rId46" Type="http://schemas.openxmlformats.org/officeDocument/2006/relationships/hyperlink" Target="http://www.canlii.org/en/bc/bcca/doc/2014/2014bcca80/2014bcca80.html"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footer" Target="footer5.xml"/><Relationship Id="rId41" Type="http://schemas.openxmlformats.org/officeDocument/2006/relationships/hyperlink" Target="http://www.canlii.org/en/on/onsc/doc/2013/2013onsc2466/2013onsc2466.html" TargetMode="External"/><Relationship Id="rId54" Type="http://schemas.openxmlformats.org/officeDocument/2006/relationships/hyperlink" Target="http://www.canlii.org/en/mb/mbca/doc/2014/2014mbca26/2014mbca26.html" TargetMode="External"/><Relationship Id="rId62" Type="http://schemas.openxmlformats.org/officeDocument/2006/relationships/footer" Target="footer9.xml"/><Relationship Id="rId70" Type="http://schemas.openxmlformats.org/officeDocument/2006/relationships/footer" Target="footer13.xml"/><Relationship Id="rId75" Type="http://schemas.openxmlformats.org/officeDocument/2006/relationships/header" Target="header16.xml"/><Relationship Id="rId83" Type="http://schemas.openxmlformats.org/officeDocument/2006/relationships/footer" Target="footer19.xml"/><Relationship Id="rId88" Type="http://schemas.openxmlformats.org/officeDocument/2006/relationships/header" Target="header22.xml"/><Relationship Id="rId91" Type="http://schemas.openxmlformats.org/officeDocument/2006/relationships/footer" Target="footer2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ca/cm/doc/2012/2012cm3017/2012cm3017.html?searchUrlHash=AAAAAQAMMjAxMiBDTSAzMDE3AAAAAAE" TargetMode="External"/><Relationship Id="rId36" Type="http://schemas.openxmlformats.org/officeDocument/2006/relationships/hyperlink" Target="http://www.canlii.org/en/ns/nsca/doc/2013/2013nsca124/2013nsca124.html" TargetMode="External"/><Relationship Id="rId49" Type="http://schemas.openxmlformats.org/officeDocument/2006/relationships/hyperlink" Target="http://decisions.cmac-cacm.ca/cmac-cacm/cmac-cacm/en/item/67166/index.do" TargetMode="External"/><Relationship Id="rId57" Type="http://schemas.openxmlformats.org/officeDocument/2006/relationships/hyperlink" Target="http://canlii.ca/t/g634d" TargetMode="External"/><Relationship Id="rId10" Type="http://schemas.openxmlformats.org/officeDocument/2006/relationships/hyperlink" Target="http://www.scc-csc.ca" TargetMode="External"/><Relationship Id="rId31" Type="http://schemas.openxmlformats.org/officeDocument/2006/relationships/hyperlink" Target="http://canlii.ca/t/g6nkn" TargetMode="External"/><Relationship Id="rId44" Type="http://schemas.openxmlformats.org/officeDocument/2006/relationships/hyperlink" Target="http://www.canlii.org/en/bc/bcca/doc/2014/2014bcca80/2014bcca80.html" TargetMode="External"/><Relationship Id="rId52" Type="http://schemas.openxmlformats.org/officeDocument/2006/relationships/hyperlink" Target="http://decisions.cmac-cacm.ca/cmac-cacm/cmac-cacm/en/item/67166/index.do" TargetMode="External"/><Relationship Id="rId60" Type="http://schemas.openxmlformats.org/officeDocument/2006/relationships/header" Target="header9.xml"/><Relationship Id="rId65" Type="http://schemas.openxmlformats.org/officeDocument/2006/relationships/header" Target="header11.xml"/><Relationship Id="rId73" Type="http://schemas.openxmlformats.org/officeDocument/2006/relationships/footer" Target="footer14.xml"/><Relationship Id="rId78" Type="http://schemas.openxmlformats.org/officeDocument/2006/relationships/header" Target="header17.xml"/><Relationship Id="rId81" Type="http://schemas.openxmlformats.org/officeDocument/2006/relationships/footer" Target="footer18.xml"/><Relationship Id="rId86" Type="http://schemas.openxmlformats.org/officeDocument/2006/relationships/footer" Target="footer20.xml"/><Relationship Id="rId9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on/onsc/doc/2013/2013onsc2466/2013onsc24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3AB91-227D-411E-9A78-705D36B3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15152</Words>
  <Characters>86371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2014-07-28T14:38:00Z</dcterms:created>
  <dcterms:modified xsi:type="dcterms:W3CDTF">2015-12-04T16:15:00Z</dcterms:modified>
</cp:coreProperties>
</file>