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723FD"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723F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23FD"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9723FD"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723FD" w:rsidTr="002E5576">
        <w:tc>
          <w:tcPr>
            <w:tcW w:w="4518" w:type="dxa"/>
          </w:tcPr>
          <w:p w:rsidR="00BF25F3" w:rsidRPr="002E2327" w:rsidRDefault="00BD696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D696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9723FD"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9723FD"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D4264C">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D4264C">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791511" w:rsidP="00F0068D">
      <w:pPr>
        <w:pBdr>
          <w:bottom w:val="single" w:sz="6" w:space="1" w:color="auto"/>
        </w:pBdr>
        <w:tabs>
          <w:tab w:val="center" w:pos="4680"/>
          <w:tab w:val="right" w:pos="9360"/>
        </w:tabs>
        <w:rPr>
          <w:lang w:val="fr-CA"/>
        </w:rPr>
      </w:pPr>
      <w:proofErr w:type="spellStart"/>
      <w:r>
        <w:rPr>
          <w:lang w:val="fr-CA"/>
        </w:rPr>
        <w:t>December</w:t>
      </w:r>
      <w:proofErr w:type="spellEnd"/>
      <w:r w:rsidR="00440E24" w:rsidRPr="00675479">
        <w:rPr>
          <w:lang w:val="fr-CA"/>
        </w:rPr>
        <w:t xml:space="preserve"> </w:t>
      </w:r>
      <w:r>
        <w:rPr>
          <w:lang w:val="fr-CA"/>
        </w:rPr>
        <w:t>19</w:t>
      </w:r>
      <w:r w:rsidR="00440E24" w:rsidRPr="00675479">
        <w:rPr>
          <w:lang w:val="fr-CA"/>
        </w:rPr>
        <w:t>, 201</w:t>
      </w:r>
      <w:r w:rsidR="00501F3C">
        <w:rPr>
          <w:lang w:val="fr-CA"/>
        </w:rPr>
        <w:t>4</w:t>
      </w:r>
      <w:r w:rsidR="00F0068D" w:rsidRPr="00675479">
        <w:rPr>
          <w:lang w:val="fr-CA"/>
        </w:rPr>
        <w:tab/>
      </w:r>
      <w:r w:rsidR="002B4021">
        <w:rPr>
          <w:lang w:val="fr-CA"/>
        </w:rPr>
        <w:t>2023</w:t>
      </w:r>
      <w:r w:rsidR="00F0068D" w:rsidRPr="00675479">
        <w:rPr>
          <w:lang w:val="fr-CA"/>
        </w:rPr>
        <w:t xml:space="preserve"> - </w:t>
      </w:r>
      <w:r w:rsidR="00460D65">
        <w:rPr>
          <w:lang w:val="fr-CA"/>
        </w:rPr>
        <w:t>20</w:t>
      </w:r>
      <w:r w:rsidR="00E1784F">
        <w:rPr>
          <w:lang w:val="fr-CA"/>
        </w:rPr>
        <w:t>80</w:t>
      </w:r>
      <w:r w:rsidR="00440E24" w:rsidRPr="00675479">
        <w:rPr>
          <w:lang w:val="fr-CA"/>
        </w:rPr>
        <w:tab/>
      </w:r>
      <w:r w:rsidR="00440E24" w:rsidRPr="002E2327">
        <w:rPr>
          <w:lang w:val="fr-CA"/>
        </w:rPr>
        <w:t>Le</w:t>
      </w:r>
      <w:r w:rsidR="00C73D06">
        <w:rPr>
          <w:lang w:val="fr-CA"/>
        </w:rPr>
        <w:t xml:space="preserve"> </w:t>
      </w:r>
      <w:r>
        <w:rPr>
          <w:lang w:val="fr-CA"/>
        </w:rPr>
        <w:t>19 déc</w:t>
      </w:r>
      <w:r w:rsidR="00C73D06">
        <w:rPr>
          <w:lang w:val="fr-CA"/>
        </w:rPr>
        <w:t>e</w:t>
      </w:r>
      <w:r>
        <w:rPr>
          <w:lang w:val="fr-CA"/>
        </w:rPr>
        <w:t>mb</w:t>
      </w:r>
      <w:r w:rsidR="00C73D06">
        <w:rPr>
          <w:lang w:val="fr-CA"/>
        </w:rPr>
        <w:t>r</w:t>
      </w:r>
      <w:r>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xml:space="preserve">© </w:t>
      </w:r>
      <w:proofErr w:type="spellStart"/>
      <w:r w:rsidRPr="00501F3C">
        <w:rPr>
          <w:sz w:val="18"/>
          <w:szCs w:val="18"/>
          <w:lang w:val="fr-CA"/>
        </w:rPr>
        <w:t>Supreme</w:t>
      </w:r>
      <w:proofErr w:type="spellEnd"/>
      <w:r w:rsidRPr="00501F3C">
        <w:rPr>
          <w:sz w:val="18"/>
          <w:szCs w:val="18"/>
          <w:lang w:val="fr-CA"/>
        </w:rPr>
        <w:t xml:space="preserv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1D3AE0" w:rsidRDefault="001D3AE0">
      <w:pPr>
        <w:rPr>
          <w:lang w:val="fr-CA"/>
        </w:rPr>
      </w:pPr>
      <w:r>
        <w:rPr>
          <w:lang w:val="fr-CA"/>
        </w:rPr>
        <w:br w:type="page"/>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9723F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Default="0095096B" w:rsidP="0095096B">
            <w:pPr>
              <w:tabs>
                <w:tab w:val="right" w:pos="9360"/>
              </w:tabs>
              <w:rPr>
                <w:rFonts w:cs="Times New Roman"/>
                <w:sz w:val="20"/>
                <w:szCs w:val="20"/>
              </w:rPr>
            </w:pPr>
          </w:p>
          <w:p w:rsidR="009723FD" w:rsidRDefault="009723FD" w:rsidP="0095096B">
            <w:pPr>
              <w:tabs>
                <w:tab w:val="right" w:pos="9360"/>
              </w:tabs>
              <w:rPr>
                <w:rFonts w:cs="Times New Roman"/>
                <w:sz w:val="20"/>
                <w:szCs w:val="20"/>
              </w:rPr>
            </w:pPr>
            <w:r>
              <w:rPr>
                <w:rFonts w:cs="Times New Roman"/>
                <w:sz w:val="20"/>
                <w:szCs w:val="20"/>
              </w:rPr>
              <w:t>Taxation of costs</w:t>
            </w:r>
          </w:p>
          <w:p w:rsidR="009723FD" w:rsidRPr="002E2327" w:rsidRDefault="009723FD"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F8759F">
            <w:pPr>
              <w:tabs>
                <w:tab w:val="right" w:pos="9360"/>
              </w:tabs>
              <w:rPr>
                <w:rFonts w:cs="Times New Roman"/>
                <w:sz w:val="20"/>
                <w:szCs w:val="20"/>
              </w:rPr>
            </w:pPr>
          </w:p>
        </w:tc>
        <w:tc>
          <w:tcPr>
            <w:tcW w:w="1980" w:type="dxa"/>
          </w:tcPr>
          <w:p w:rsidR="0095096B" w:rsidRPr="002E2327" w:rsidRDefault="002B4021" w:rsidP="0095096B">
            <w:pPr>
              <w:jc w:val="center"/>
              <w:rPr>
                <w:rFonts w:cs="Times New Roman"/>
                <w:sz w:val="20"/>
                <w:szCs w:val="20"/>
              </w:rPr>
            </w:pPr>
            <w:r>
              <w:rPr>
                <w:rFonts w:cs="Times New Roman"/>
                <w:sz w:val="20"/>
                <w:szCs w:val="20"/>
              </w:rPr>
              <w:t xml:space="preserve">2023 </w:t>
            </w:r>
            <w:r w:rsidR="00BD696F" w:rsidRPr="002E2327">
              <w:rPr>
                <w:rFonts w:cs="Times New Roman"/>
                <w:sz w:val="20"/>
                <w:szCs w:val="20"/>
              </w:rPr>
              <w:fldChar w:fldCharType="begin"/>
            </w:r>
            <w:r w:rsidR="0095096B" w:rsidRPr="002E2327">
              <w:rPr>
                <w:rFonts w:cs="Times New Roman"/>
                <w:sz w:val="20"/>
                <w:szCs w:val="20"/>
              </w:rPr>
              <w:instrText xml:space="preserve"> SEQ CHAPTER \h \r 1</w:instrText>
            </w:r>
            <w:r w:rsidR="00BD696F" w:rsidRPr="002E2327">
              <w:rPr>
                <w:rFonts w:cs="Times New Roman"/>
                <w:sz w:val="20"/>
                <w:szCs w:val="20"/>
              </w:rPr>
              <w:fldChar w:fldCharType="end"/>
            </w:r>
            <w:r w:rsidR="0095096B" w:rsidRPr="002E2327">
              <w:rPr>
                <w:rFonts w:cs="Times New Roman"/>
                <w:sz w:val="20"/>
                <w:szCs w:val="20"/>
              </w:rPr>
              <w:t>-</w:t>
            </w:r>
            <w:r w:rsidR="00B2650E">
              <w:rPr>
                <w:rFonts w:cs="Times New Roman"/>
                <w:sz w:val="20"/>
                <w:szCs w:val="20"/>
              </w:rPr>
              <w:t xml:space="preserve"> 2024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B2650E" w:rsidP="0095096B">
            <w:pPr>
              <w:jc w:val="center"/>
              <w:rPr>
                <w:rFonts w:cs="Times New Roman"/>
                <w:sz w:val="20"/>
                <w:szCs w:val="20"/>
              </w:rPr>
            </w:pPr>
            <w:r>
              <w:rPr>
                <w:rFonts w:cs="Times New Roman"/>
                <w:sz w:val="20"/>
                <w:szCs w:val="20"/>
              </w:rPr>
              <w:t>2025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7D1B76" w:rsidRDefault="00F8759F" w:rsidP="0095096B">
            <w:pPr>
              <w:jc w:val="center"/>
              <w:rPr>
                <w:rFonts w:cs="Times New Roman"/>
                <w:sz w:val="20"/>
                <w:szCs w:val="20"/>
                <w:lang w:val="fr-CA"/>
              </w:rPr>
            </w:pPr>
            <w:r w:rsidRPr="007D1B76">
              <w:rPr>
                <w:rFonts w:cs="Times New Roman"/>
                <w:sz w:val="20"/>
                <w:szCs w:val="20"/>
                <w:lang w:val="fr-CA"/>
              </w:rPr>
              <w:t xml:space="preserve">2026 </w:t>
            </w:r>
            <w:r w:rsidR="0095096B" w:rsidRPr="007D1B76">
              <w:rPr>
                <w:rFonts w:cs="Times New Roman"/>
                <w:sz w:val="20"/>
                <w:szCs w:val="20"/>
                <w:lang w:val="fr-CA"/>
              </w:rPr>
              <w:t>-</w:t>
            </w:r>
            <w:r w:rsidR="007D1B76" w:rsidRPr="007D1B76">
              <w:rPr>
                <w:rFonts w:cs="Times New Roman"/>
                <w:sz w:val="20"/>
                <w:szCs w:val="20"/>
                <w:lang w:val="fr-CA"/>
              </w:rPr>
              <w:t xml:space="preserve"> </w:t>
            </w:r>
            <w:r w:rsidR="007D1B76">
              <w:rPr>
                <w:rFonts w:cs="Times New Roman"/>
                <w:sz w:val="20"/>
                <w:szCs w:val="20"/>
                <w:lang w:val="fr-CA"/>
              </w:rPr>
              <w:t>204</w:t>
            </w:r>
            <w:r w:rsidR="00460D65">
              <w:rPr>
                <w:rFonts w:cs="Times New Roman"/>
                <w:sz w:val="20"/>
                <w:szCs w:val="20"/>
                <w:lang w:val="fr-CA"/>
              </w:rPr>
              <w:t>9</w:t>
            </w:r>
          </w:p>
          <w:p w:rsidR="0095096B" w:rsidRPr="007D1B76" w:rsidRDefault="0095096B" w:rsidP="0095096B">
            <w:pPr>
              <w:jc w:val="center"/>
              <w:rPr>
                <w:rFonts w:cs="Times New Roman"/>
                <w:sz w:val="20"/>
                <w:szCs w:val="20"/>
                <w:lang w:val="fr-CA"/>
              </w:rPr>
            </w:pPr>
          </w:p>
          <w:p w:rsidR="0095096B" w:rsidRDefault="0095096B" w:rsidP="0095096B">
            <w:pPr>
              <w:jc w:val="center"/>
              <w:rPr>
                <w:rFonts w:cs="Times New Roman"/>
                <w:sz w:val="20"/>
                <w:szCs w:val="20"/>
                <w:lang w:val="fr-CA"/>
              </w:rPr>
            </w:pPr>
          </w:p>
          <w:p w:rsidR="00460D65" w:rsidRDefault="00460D65" w:rsidP="0095096B">
            <w:pPr>
              <w:jc w:val="center"/>
              <w:rPr>
                <w:rFonts w:cs="Times New Roman"/>
                <w:sz w:val="20"/>
                <w:szCs w:val="20"/>
                <w:lang w:val="fr-CA"/>
              </w:rPr>
            </w:pPr>
            <w:r>
              <w:rPr>
                <w:rFonts w:cs="Times New Roman"/>
                <w:sz w:val="20"/>
                <w:szCs w:val="20"/>
                <w:lang w:val="fr-CA"/>
              </w:rPr>
              <w:t>2050</w:t>
            </w:r>
            <w:r w:rsidR="00E1784F">
              <w:rPr>
                <w:rFonts w:cs="Times New Roman"/>
                <w:sz w:val="20"/>
                <w:szCs w:val="20"/>
                <w:lang w:val="fr-CA"/>
              </w:rPr>
              <w:t xml:space="preserve"> - 2055</w:t>
            </w:r>
          </w:p>
          <w:p w:rsidR="00460D65" w:rsidRPr="007D1B76" w:rsidRDefault="00460D65" w:rsidP="0095096B">
            <w:pPr>
              <w:jc w:val="center"/>
              <w:rPr>
                <w:rFonts w:cs="Times New Roman"/>
                <w:sz w:val="20"/>
                <w:szCs w:val="20"/>
                <w:lang w:val="fr-CA"/>
              </w:rPr>
            </w:pPr>
          </w:p>
          <w:p w:rsidR="009723FD" w:rsidRDefault="00E1784F" w:rsidP="0095096B">
            <w:pPr>
              <w:jc w:val="center"/>
              <w:rPr>
                <w:rFonts w:cs="Times New Roman"/>
                <w:sz w:val="20"/>
                <w:szCs w:val="20"/>
                <w:lang w:val="fr-CA"/>
              </w:rPr>
            </w:pPr>
            <w:r>
              <w:rPr>
                <w:rFonts w:cs="Times New Roman"/>
                <w:sz w:val="20"/>
                <w:szCs w:val="20"/>
                <w:lang w:val="fr-CA"/>
              </w:rPr>
              <w:t>2056</w:t>
            </w:r>
            <w:r w:rsidR="00460D65">
              <w:rPr>
                <w:rFonts w:cs="Times New Roman"/>
                <w:sz w:val="20"/>
                <w:szCs w:val="20"/>
                <w:lang w:val="fr-CA"/>
              </w:rPr>
              <w:t xml:space="preserve"> </w:t>
            </w:r>
          </w:p>
          <w:p w:rsidR="009723FD" w:rsidRDefault="009723FD" w:rsidP="0095096B">
            <w:pPr>
              <w:jc w:val="center"/>
              <w:rPr>
                <w:rFonts w:cs="Times New Roman"/>
                <w:sz w:val="20"/>
                <w:szCs w:val="20"/>
                <w:lang w:val="fr-CA"/>
              </w:rPr>
            </w:pPr>
          </w:p>
          <w:p w:rsidR="009723FD" w:rsidRDefault="009723FD" w:rsidP="0095096B">
            <w:pPr>
              <w:jc w:val="center"/>
              <w:rPr>
                <w:rFonts w:cs="Times New Roman"/>
                <w:sz w:val="20"/>
                <w:szCs w:val="20"/>
                <w:lang w:val="fr-CA"/>
              </w:rPr>
            </w:pPr>
          </w:p>
          <w:p w:rsidR="0095096B" w:rsidRPr="007D1B76" w:rsidRDefault="00460D65" w:rsidP="0095096B">
            <w:pPr>
              <w:jc w:val="center"/>
              <w:rPr>
                <w:rFonts w:cs="Times New Roman"/>
                <w:sz w:val="20"/>
                <w:szCs w:val="20"/>
                <w:lang w:val="fr-CA"/>
              </w:rPr>
            </w:pPr>
            <w:r>
              <w:rPr>
                <w:rFonts w:cs="Times New Roman"/>
                <w:sz w:val="20"/>
                <w:szCs w:val="20"/>
                <w:lang w:val="fr-CA"/>
              </w:rPr>
              <w:t>205</w:t>
            </w:r>
            <w:r w:rsidR="00E1784F">
              <w:rPr>
                <w:rFonts w:cs="Times New Roman"/>
                <w:sz w:val="20"/>
                <w:szCs w:val="20"/>
                <w:lang w:val="fr-CA"/>
              </w:rPr>
              <w:t>7</w:t>
            </w:r>
            <w:r w:rsidR="007871B3">
              <w:rPr>
                <w:rFonts w:cs="Times New Roman"/>
                <w:sz w:val="20"/>
                <w:szCs w:val="20"/>
                <w:lang w:val="fr-CA"/>
              </w:rPr>
              <w:t xml:space="preserve"> - 2058</w:t>
            </w:r>
          </w:p>
          <w:p w:rsidR="0095096B" w:rsidRPr="007D1B76" w:rsidRDefault="0095096B" w:rsidP="0095096B">
            <w:pPr>
              <w:jc w:val="center"/>
              <w:rPr>
                <w:rFonts w:cs="Times New Roman"/>
                <w:sz w:val="20"/>
                <w:szCs w:val="20"/>
                <w:lang w:val="fr-CA"/>
              </w:rPr>
            </w:pPr>
          </w:p>
          <w:p w:rsidR="0095096B" w:rsidRPr="007D1B76" w:rsidRDefault="00E1784F" w:rsidP="0095096B">
            <w:pPr>
              <w:jc w:val="center"/>
              <w:rPr>
                <w:rFonts w:cs="Times New Roman"/>
                <w:sz w:val="20"/>
                <w:szCs w:val="20"/>
                <w:lang w:val="fr-CA"/>
              </w:rPr>
            </w:pPr>
            <w:r>
              <w:rPr>
                <w:rFonts w:cs="Times New Roman"/>
                <w:sz w:val="20"/>
                <w:szCs w:val="20"/>
                <w:lang w:val="fr-CA"/>
              </w:rPr>
              <w:t>205</w:t>
            </w:r>
            <w:r w:rsidR="007871B3">
              <w:rPr>
                <w:rFonts w:cs="Times New Roman"/>
                <w:sz w:val="20"/>
                <w:szCs w:val="20"/>
                <w:lang w:val="fr-CA"/>
              </w:rPr>
              <w:t>9</w:t>
            </w:r>
            <w:bookmarkStart w:id="0" w:name="_GoBack"/>
            <w:bookmarkEnd w:id="0"/>
            <w:r w:rsidR="00460D65">
              <w:rPr>
                <w:rFonts w:cs="Times New Roman"/>
                <w:sz w:val="20"/>
                <w:szCs w:val="20"/>
                <w:lang w:val="fr-CA"/>
              </w:rPr>
              <w:t xml:space="preserve"> </w:t>
            </w:r>
            <w:r w:rsidR="0095096B" w:rsidRPr="007D1B76">
              <w:rPr>
                <w:rFonts w:cs="Times New Roman"/>
                <w:sz w:val="20"/>
                <w:szCs w:val="20"/>
                <w:lang w:val="fr-CA"/>
              </w:rPr>
              <w:t>-</w:t>
            </w:r>
            <w:r>
              <w:rPr>
                <w:rFonts w:cs="Times New Roman"/>
                <w:sz w:val="20"/>
                <w:szCs w:val="20"/>
                <w:lang w:val="fr-CA"/>
              </w:rPr>
              <w:t xml:space="preserve"> 2080</w:t>
            </w:r>
          </w:p>
          <w:p w:rsidR="00A87207" w:rsidRPr="007D1B76" w:rsidRDefault="00A87207" w:rsidP="00F8759F">
            <w:pPr>
              <w:jc w:val="center"/>
              <w:rPr>
                <w:rFonts w:cs="Times New Roman"/>
                <w:sz w:val="20"/>
                <w:szCs w:val="20"/>
                <w:lang w:val="fr-CA"/>
              </w:rPr>
            </w:pPr>
          </w:p>
        </w:tc>
        <w:tc>
          <w:tcPr>
            <w:tcW w:w="3888" w:type="dxa"/>
          </w:tcPr>
          <w:p w:rsidR="0095096B" w:rsidRPr="002E2327" w:rsidRDefault="00BD696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723FD" w:rsidRDefault="009723FD" w:rsidP="0095096B">
            <w:pPr>
              <w:rPr>
                <w:rFonts w:cs="Times New Roman"/>
                <w:sz w:val="20"/>
                <w:szCs w:val="20"/>
                <w:lang w:val="fr-CA"/>
              </w:rPr>
            </w:pPr>
            <w:r>
              <w:rPr>
                <w:rFonts w:cs="Times New Roman"/>
                <w:sz w:val="20"/>
                <w:szCs w:val="20"/>
                <w:lang w:val="fr-CA"/>
              </w:rPr>
              <w:t>Taxation des dépens</w:t>
            </w:r>
          </w:p>
          <w:p w:rsidR="009723FD" w:rsidRDefault="009723FD"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F8759F">
            <w:pPr>
              <w:tabs>
                <w:tab w:val="right" w:pos="9360"/>
              </w:tabs>
              <w:rPr>
                <w:rFonts w:cs="Times New Roman"/>
                <w:sz w:val="20"/>
                <w:szCs w:val="20"/>
                <w:lang w:val="fr-CA"/>
              </w:rPr>
            </w:pPr>
          </w:p>
        </w:tc>
      </w:tr>
    </w:tbl>
    <w:p w:rsidR="0095096B" w:rsidRPr="00F57487" w:rsidRDefault="0095096B" w:rsidP="0095096B">
      <w:pPr>
        <w:tabs>
          <w:tab w:val="right" w:pos="9360"/>
        </w:tabs>
        <w:rPr>
          <w:sz w:val="20"/>
          <w:szCs w:val="20"/>
          <w:lang w:val="fr-CA"/>
        </w:rPr>
      </w:pPr>
    </w:p>
    <w:p w:rsidR="00D27B1F" w:rsidRPr="00F57487" w:rsidRDefault="00D27B1F" w:rsidP="0095096B">
      <w:pPr>
        <w:tabs>
          <w:tab w:val="right" w:pos="9360"/>
        </w:tabs>
        <w:rPr>
          <w:sz w:val="20"/>
          <w:szCs w:val="20"/>
          <w:lang w:val="fr-CA"/>
        </w:rPr>
      </w:pPr>
    </w:p>
    <w:p w:rsidR="00D27B1F" w:rsidRPr="00F57487" w:rsidRDefault="00D27B1F" w:rsidP="0095096B">
      <w:pPr>
        <w:tabs>
          <w:tab w:val="right" w:pos="9360"/>
        </w:tabs>
        <w:rPr>
          <w:sz w:val="20"/>
          <w:szCs w:val="20"/>
          <w:lang w:val="fr-CA"/>
        </w:rPr>
      </w:pPr>
    </w:p>
    <w:p w:rsidR="00D27B1F" w:rsidRPr="00F57487" w:rsidRDefault="00D27B1F" w:rsidP="0095096B">
      <w:pPr>
        <w:tabs>
          <w:tab w:val="right" w:pos="9360"/>
        </w:tabs>
        <w:rPr>
          <w:sz w:val="20"/>
          <w:szCs w:val="20"/>
          <w:lang w:val="fr-CA"/>
        </w:rPr>
      </w:pPr>
    </w:p>
    <w:p w:rsidR="00D27B1F" w:rsidRPr="00F57487" w:rsidRDefault="00D27B1F" w:rsidP="0095096B">
      <w:pPr>
        <w:tabs>
          <w:tab w:val="right" w:pos="9360"/>
        </w:tabs>
        <w:rPr>
          <w:sz w:val="20"/>
          <w:szCs w:val="20"/>
          <w:lang w:val="fr-CA"/>
        </w:rPr>
      </w:pPr>
    </w:p>
    <w:tbl>
      <w:tblPr>
        <w:tblStyle w:val="TableGrid"/>
        <w:tblW w:w="0" w:type="auto"/>
        <w:tblLook w:val="04A0" w:firstRow="1" w:lastRow="0" w:firstColumn="1" w:lastColumn="0" w:noHBand="0" w:noVBand="1"/>
      </w:tblPr>
      <w:tblGrid>
        <w:gridCol w:w="9576"/>
      </w:tblGrid>
      <w:tr w:rsidR="0079724F" w:rsidRPr="009723FD"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652A8" w:rsidRPr="006652A8" w:rsidTr="003B3977">
        <w:tc>
          <w:tcPr>
            <w:tcW w:w="4320" w:type="dxa"/>
            <w:shd w:val="clear" w:color="auto" w:fill="auto"/>
          </w:tcPr>
          <w:p w:rsidR="006652A8" w:rsidRPr="006D5B52" w:rsidRDefault="006652A8" w:rsidP="005F1ED8">
            <w:pPr>
              <w:rPr>
                <w:b/>
                <w:sz w:val="20"/>
                <w:szCs w:val="20"/>
                <w:lang w:val="fr-CA"/>
              </w:rPr>
            </w:pPr>
            <w:r w:rsidRPr="006D5B52">
              <w:rPr>
                <w:b/>
                <w:sz w:val="20"/>
                <w:szCs w:val="20"/>
                <w:lang w:val="fr-CA"/>
              </w:rPr>
              <w:t>Pascal Beaudoin</w:t>
            </w:r>
          </w:p>
          <w:p w:rsidR="006652A8" w:rsidRPr="006D5B52" w:rsidRDefault="006652A8" w:rsidP="005F1ED8">
            <w:pPr>
              <w:tabs>
                <w:tab w:val="left" w:pos="-1440"/>
                <w:tab w:val="left" w:pos="-720"/>
              </w:tabs>
              <w:rPr>
                <w:sz w:val="20"/>
                <w:szCs w:val="20"/>
                <w:lang w:val="fr-CA"/>
              </w:rPr>
            </w:pPr>
            <w:r w:rsidRPr="006D5B52">
              <w:rPr>
                <w:sz w:val="20"/>
                <w:szCs w:val="20"/>
                <w:lang w:val="fr-CA"/>
              </w:rPr>
              <w:tab/>
            </w:r>
            <w:proofErr w:type="spellStart"/>
            <w:r w:rsidRPr="006D5B52">
              <w:rPr>
                <w:sz w:val="20"/>
                <w:szCs w:val="20"/>
                <w:lang w:val="fr-CA"/>
              </w:rPr>
              <w:t>Réginal</w:t>
            </w:r>
            <w:proofErr w:type="spellEnd"/>
            <w:r w:rsidRPr="006D5B52">
              <w:rPr>
                <w:sz w:val="20"/>
                <w:szCs w:val="20"/>
                <w:lang w:val="fr-CA"/>
              </w:rPr>
              <w:t xml:space="preserve"> Victorin </w:t>
            </w:r>
          </w:p>
          <w:p w:rsidR="006652A8" w:rsidRPr="006D5B52" w:rsidRDefault="006652A8" w:rsidP="005F1ED8">
            <w:pPr>
              <w:tabs>
                <w:tab w:val="left" w:pos="-1440"/>
                <w:tab w:val="left" w:pos="-720"/>
              </w:tabs>
              <w:rPr>
                <w:sz w:val="20"/>
                <w:szCs w:val="20"/>
                <w:lang w:val="fr-CA"/>
              </w:rPr>
            </w:pPr>
            <w:r w:rsidRPr="006D5B52">
              <w:rPr>
                <w:sz w:val="20"/>
                <w:szCs w:val="20"/>
                <w:lang w:val="fr-CA"/>
              </w:rPr>
              <w:tab/>
              <w:t xml:space="preserve">Rock, </w:t>
            </w:r>
            <w:proofErr w:type="spellStart"/>
            <w:r w:rsidRPr="006D5B52">
              <w:rPr>
                <w:sz w:val="20"/>
                <w:szCs w:val="20"/>
                <w:lang w:val="fr-CA"/>
              </w:rPr>
              <w:t>Vlemincks</w:t>
            </w:r>
            <w:proofErr w:type="spellEnd"/>
            <w:r w:rsidRPr="006D5B52">
              <w:rPr>
                <w:sz w:val="20"/>
                <w:szCs w:val="20"/>
                <w:lang w:val="fr-CA"/>
              </w:rPr>
              <w:t xml:space="preserve">, </w:t>
            </w:r>
            <w:proofErr w:type="spellStart"/>
            <w:r w:rsidRPr="006D5B52">
              <w:rPr>
                <w:sz w:val="20"/>
                <w:szCs w:val="20"/>
                <w:lang w:val="fr-CA"/>
              </w:rPr>
              <w:t>Dury</w:t>
            </w:r>
            <w:proofErr w:type="spellEnd"/>
            <w:r w:rsidRPr="006D5B52">
              <w:rPr>
                <w:sz w:val="20"/>
                <w:szCs w:val="20"/>
                <w:lang w:val="fr-CA"/>
              </w:rPr>
              <w:t xml:space="preserve">, </w:t>
            </w:r>
            <w:proofErr w:type="spellStart"/>
            <w:r w:rsidRPr="006D5B52">
              <w:rPr>
                <w:sz w:val="20"/>
                <w:szCs w:val="20"/>
                <w:lang w:val="fr-CA"/>
              </w:rPr>
              <w:t>Lanctôt</w:t>
            </w:r>
            <w:proofErr w:type="spellEnd"/>
            <w:r w:rsidRPr="006D5B52">
              <w:rPr>
                <w:sz w:val="20"/>
                <w:szCs w:val="20"/>
                <w:lang w:val="fr-CA"/>
              </w:rPr>
              <w:t xml:space="preserve"> &amp; </w:t>
            </w:r>
            <w:r w:rsidRPr="006D5B52">
              <w:rPr>
                <w:sz w:val="20"/>
                <w:szCs w:val="20"/>
                <w:lang w:val="fr-CA"/>
              </w:rPr>
              <w:tab/>
              <w:t>Associés</w:t>
            </w:r>
          </w:p>
          <w:p w:rsidR="006652A8" w:rsidRPr="006D5B52" w:rsidRDefault="006652A8" w:rsidP="005F1ED8">
            <w:pPr>
              <w:tabs>
                <w:tab w:val="left" w:pos="-1440"/>
                <w:tab w:val="left" w:pos="-720"/>
              </w:tabs>
              <w:rPr>
                <w:sz w:val="20"/>
                <w:szCs w:val="20"/>
                <w:lang w:val="fr-CA"/>
              </w:rPr>
            </w:pPr>
          </w:p>
          <w:p w:rsidR="006652A8" w:rsidRPr="006652A8" w:rsidRDefault="006652A8" w:rsidP="005F1ED8">
            <w:pPr>
              <w:tabs>
                <w:tab w:val="left" w:pos="-1440"/>
                <w:tab w:val="left" w:pos="-720"/>
              </w:tabs>
              <w:rPr>
                <w:sz w:val="20"/>
                <w:szCs w:val="20"/>
                <w:lang w:val="fr-CA"/>
              </w:rPr>
            </w:pPr>
            <w:r w:rsidRPr="006D5B52">
              <w:rPr>
                <w:sz w:val="20"/>
                <w:szCs w:val="20"/>
                <w:lang w:val="fr-CA"/>
              </w:rPr>
              <w:tab/>
            </w:r>
            <w:r w:rsidRPr="006652A8">
              <w:rPr>
                <w:sz w:val="20"/>
                <w:szCs w:val="20"/>
                <w:lang w:val="fr-CA"/>
              </w:rPr>
              <w:t>c. (36109)</w:t>
            </w:r>
          </w:p>
          <w:p w:rsidR="006652A8" w:rsidRPr="006652A8" w:rsidRDefault="006652A8" w:rsidP="005F1ED8">
            <w:pPr>
              <w:tabs>
                <w:tab w:val="left" w:pos="-1440"/>
                <w:tab w:val="left" w:pos="-720"/>
              </w:tabs>
              <w:rPr>
                <w:sz w:val="20"/>
                <w:szCs w:val="20"/>
                <w:lang w:val="fr-CA"/>
              </w:rPr>
            </w:pPr>
          </w:p>
          <w:p w:rsidR="006652A8" w:rsidRPr="006652A8" w:rsidRDefault="006652A8" w:rsidP="005F1ED8">
            <w:pPr>
              <w:tabs>
                <w:tab w:val="left" w:pos="-1440"/>
                <w:tab w:val="left" w:pos="-720"/>
              </w:tabs>
              <w:rPr>
                <w:b/>
                <w:sz w:val="20"/>
                <w:szCs w:val="20"/>
                <w:lang w:val="fr-CA"/>
              </w:rPr>
            </w:pPr>
            <w:r w:rsidRPr="006652A8">
              <w:rPr>
                <w:b/>
                <w:sz w:val="20"/>
                <w:szCs w:val="20"/>
                <w:lang w:val="fr-CA"/>
              </w:rPr>
              <w:t>Sa Majesté la Reine</w:t>
            </w:r>
            <w:r w:rsidRPr="006652A8">
              <w:rPr>
                <w:sz w:val="20"/>
                <w:szCs w:val="20"/>
                <w:lang w:val="fr-CA"/>
              </w:rPr>
              <w:t xml:space="preserve"> </w:t>
            </w:r>
            <w:r w:rsidRPr="006652A8">
              <w:rPr>
                <w:b/>
                <w:sz w:val="20"/>
                <w:szCs w:val="20"/>
                <w:lang w:val="fr-CA"/>
              </w:rPr>
              <w:t>(</w:t>
            </w:r>
            <w:proofErr w:type="spellStart"/>
            <w:r w:rsidRPr="006652A8">
              <w:rPr>
                <w:b/>
                <w:sz w:val="20"/>
                <w:szCs w:val="20"/>
                <w:lang w:val="fr-CA"/>
              </w:rPr>
              <w:t>Qc</w:t>
            </w:r>
            <w:proofErr w:type="spellEnd"/>
            <w:r w:rsidRPr="006652A8">
              <w:rPr>
                <w:b/>
                <w:sz w:val="20"/>
                <w:szCs w:val="20"/>
                <w:lang w:val="fr-CA"/>
              </w:rPr>
              <w:t>)</w:t>
            </w:r>
          </w:p>
          <w:p w:rsidR="006652A8" w:rsidRPr="006652A8" w:rsidRDefault="006652A8" w:rsidP="005F1ED8">
            <w:pPr>
              <w:tabs>
                <w:tab w:val="left" w:pos="-1440"/>
                <w:tab w:val="left" w:pos="-720"/>
              </w:tabs>
              <w:rPr>
                <w:sz w:val="20"/>
                <w:szCs w:val="20"/>
                <w:lang w:val="fr-CA"/>
              </w:rPr>
            </w:pPr>
            <w:r w:rsidRPr="006652A8">
              <w:rPr>
                <w:sz w:val="20"/>
                <w:szCs w:val="20"/>
                <w:lang w:val="fr-CA"/>
              </w:rPr>
              <w:tab/>
            </w:r>
            <w:r>
              <w:rPr>
                <w:sz w:val="20"/>
                <w:szCs w:val="20"/>
                <w:lang w:val="fr-CA"/>
              </w:rPr>
              <w:t>Christi</w:t>
            </w:r>
            <w:r w:rsidRPr="006652A8">
              <w:rPr>
                <w:sz w:val="20"/>
                <w:szCs w:val="20"/>
                <w:lang w:val="fr-CA"/>
              </w:rPr>
              <w:t>an Jarry</w:t>
            </w:r>
          </w:p>
          <w:p w:rsidR="006652A8" w:rsidRPr="006652A8" w:rsidRDefault="006652A8" w:rsidP="005F1ED8">
            <w:pPr>
              <w:tabs>
                <w:tab w:val="left" w:pos="-1440"/>
                <w:tab w:val="left" w:pos="-720"/>
              </w:tabs>
              <w:rPr>
                <w:sz w:val="20"/>
                <w:szCs w:val="20"/>
                <w:lang w:val="fr-CA"/>
              </w:rPr>
            </w:pPr>
            <w:r w:rsidRPr="006652A8">
              <w:rPr>
                <w:sz w:val="20"/>
                <w:szCs w:val="20"/>
                <w:lang w:val="fr-CA"/>
              </w:rPr>
              <w:tab/>
              <w:t xml:space="preserve">Poursuites criminelles et pénales du </w:t>
            </w:r>
            <w:r w:rsidRPr="006652A8">
              <w:rPr>
                <w:sz w:val="20"/>
                <w:szCs w:val="20"/>
                <w:lang w:val="fr-CA"/>
              </w:rPr>
              <w:tab/>
              <w:t>Québec</w:t>
            </w:r>
          </w:p>
          <w:p w:rsidR="006652A8" w:rsidRPr="006652A8" w:rsidRDefault="006652A8" w:rsidP="005F1ED8">
            <w:pPr>
              <w:tabs>
                <w:tab w:val="left" w:pos="-1440"/>
                <w:tab w:val="left" w:pos="-720"/>
              </w:tabs>
              <w:rPr>
                <w:sz w:val="20"/>
                <w:szCs w:val="20"/>
                <w:lang w:val="fr-CA"/>
              </w:rPr>
            </w:pPr>
          </w:p>
          <w:p w:rsidR="006652A8" w:rsidRPr="006652A8" w:rsidRDefault="006652A8" w:rsidP="006652A8">
            <w:pPr>
              <w:rPr>
                <w:sz w:val="20"/>
                <w:szCs w:val="20"/>
                <w:lang w:val="fr-CA"/>
              </w:rPr>
            </w:pPr>
            <w:r w:rsidRPr="006652A8">
              <w:rPr>
                <w:sz w:val="20"/>
                <w:szCs w:val="20"/>
                <w:lang w:val="fr-CA"/>
              </w:rPr>
              <w:t>DATE DE PRODUCTION</w:t>
            </w:r>
            <w:r>
              <w:rPr>
                <w:sz w:val="20"/>
                <w:szCs w:val="20"/>
                <w:lang w:val="fr-CA"/>
              </w:rPr>
              <w:t xml:space="preserve"> </w:t>
            </w:r>
            <w:r w:rsidRPr="006652A8">
              <w:rPr>
                <w:sz w:val="20"/>
                <w:szCs w:val="20"/>
                <w:lang w:val="fr-CA"/>
              </w:rPr>
              <w:t>: 0</w:t>
            </w:r>
            <w:r>
              <w:rPr>
                <w:sz w:val="20"/>
                <w:szCs w:val="20"/>
                <w:lang w:val="fr-CA"/>
              </w:rPr>
              <w:t>1</w:t>
            </w:r>
            <w:r w:rsidRPr="006652A8">
              <w:rPr>
                <w:sz w:val="20"/>
                <w:szCs w:val="20"/>
                <w:lang w:val="fr-CA"/>
              </w:rPr>
              <w:t>.1</w:t>
            </w:r>
            <w:r>
              <w:rPr>
                <w:sz w:val="20"/>
                <w:szCs w:val="20"/>
                <w:lang w:val="fr-CA"/>
              </w:rPr>
              <w:t>0</w:t>
            </w:r>
            <w:r w:rsidRPr="006652A8">
              <w:rPr>
                <w:sz w:val="20"/>
                <w:szCs w:val="20"/>
                <w:lang w:val="fr-CA"/>
              </w:rPr>
              <w:t>.2014</w:t>
            </w:r>
            <w:r w:rsidR="007871B3">
              <w:rPr>
                <w:sz w:val="20"/>
                <w:szCs w:val="20"/>
                <w:lang w:val="fr-CA"/>
              </w:rPr>
              <w:pict>
                <v:rect id="_x0000_i1025" style="width:108pt;height:1pt" o:hrpct="0" o:hralign="center" o:hrstd="t" o:hrnoshade="t" o:hr="t" fillcolor="black [3213]" stroked="f"/>
              </w:pict>
            </w:r>
          </w:p>
        </w:tc>
        <w:tc>
          <w:tcPr>
            <w:tcW w:w="1181" w:type="dxa"/>
            <w:shd w:val="clear" w:color="auto" w:fill="auto"/>
          </w:tcPr>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Default="006652A8" w:rsidP="00242AEE">
            <w:pPr>
              <w:jc w:val="center"/>
              <w:rPr>
                <w:sz w:val="20"/>
                <w:szCs w:val="20"/>
                <w:lang w:val="fr-CA"/>
              </w:rPr>
            </w:pPr>
          </w:p>
          <w:p w:rsidR="006652A8" w:rsidRDefault="006652A8" w:rsidP="00242AEE">
            <w:pPr>
              <w:jc w:val="center"/>
              <w:rPr>
                <w:sz w:val="20"/>
                <w:szCs w:val="20"/>
                <w:lang w:val="fr-CA"/>
              </w:rPr>
            </w:pPr>
          </w:p>
          <w:p w:rsidR="006652A8" w:rsidRPr="006652A8" w:rsidRDefault="006652A8" w:rsidP="00242AEE">
            <w:pPr>
              <w:jc w:val="center"/>
              <w:rPr>
                <w:sz w:val="20"/>
                <w:szCs w:val="20"/>
                <w:lang w:val="fr-CA"/>
              </w:rPr>
            </w:pPr>
          </w:p>
          <w:p w:rsidR="006652A8" w:rsidRPr="006652A8" w:rsidRDefault="006652A8" w:rsidP="00242AEE">
            <w:pPr>
              <w:jc w:val="center"/>
              <w:rPr>
                <w:sz w:val="20"/>
                <w:szCs w:val="20"/>
                <w:lang w:val="fr-CA"/>
              </w:rPr>
            </w:pPr>
          </w:p>
        </w:tc>
        <w:tc>
          <w:tcPr>
            <w:tcW w:w="4320" w:type="dxa"/>
            <w:shd w:val="clear" w:color="auto" w:fill="auto"/>
          </w:tcPr>
          <w:p w:rsidR="006652A8" w:rsidRPr="006652A8" w:rsidRDefault="006652A8" w:rsidP="006652A8">
            <w:pPr>
              <w:keepNext/>
              <w:keepLines/>
              <w:tabs>
                <w:tab w:val="left" w:pos="-1440"/>
                <w:tab w:val="left" w:pos="-720"/>
              </w:tabs>
              <w:rPr>
                <w:b/>
                <w:sz w:val="20"/>
                <w:szCs w:val="20"/>
              </w:rPr>
            </w:pPr>
            <w:proofErr w:type="spellStart"/>
            <w:r w:rsidRPr="006652A8">
              <w:rPr>
                <w:b/>
                <w:sz w:val="20"/>
                <w:szCs w:val="20"/>
              </w:rPr>
              <w:t>Algonquins</w:t>
            </w:r>
            <w:proofErr w:type="spellEnd"/>
            <w:r w:rsidRPr="006652A8">
              <w:rPr>
                <w:b/>
                <w:sz w:val="20"/>
                <w:szCs w:val="20"/>
              </w:rPr>
              <w:t xml:space="preserve"> of </w:t>
            </w:r>
            <w:proofErr w:type="spellStart"/>
            <w:r w:rsidRPr="006652A8">
              <w:rPr>
                <w:b/>
                <w:sz w:val="20"/>
                <w:szCs w:val="20"/>
              </w:rPr>
              <w:t>Pikwakanagan</w:t>
            </w:r>
            <w:proofErr w:type="spellEnd"/>
          </w:p>
          <w:p w:rsidR="006652A8" w:rsidRPr="006652A8" w:rsidRDefault="006652A8" w:rsidP="006652A8">
            <w:pPr>
              <w:keepNext/>
              <w:keepLines/>
              <w:tabs>
                <w:tab w:val="left" w:pos="-1440"/>
                <w:tab w:val="left" w:pos="-720"/>
              </w:tabs>
              <w:rPr>
                <w:sz w:val="20"/>
                <w:szCs w:val="20"/>
              </w:rPr>
            </w:pPr>
            <w:r w:rsidRPr="006652A8">
              <w:rPr>
                <w:sz w:val="20"/>
                <w:szCs w:val="20"/>
              </w:rPr>
              <w:tab/>
            </w:r>
            <w:r>
              <w:rPr>
                <w:sz w:val="20"/>
                <w:szCs w:val="20"/>
              </w:rPr>
              <w:t>Katherine Hensel</w:t>
            </w:r>
          </w:p>
          <w:p w:rsidR="006652A8" w:rsidRPr="006652A8" w:rsidRDefault="006652A8" w:rsidP="006652A8">
            <w:pPr>
              <w:keepNext/>
              <w:keepLines/>
              <w:tabs>
                <w:tab w:val="left" w:pos="-1440"/>
                <w:tab w:val="left" w:pos="-720"/>
              </w:tabs>
              <w:rPr>
                <w:sz w:val="20"/>
                <w:szCs w:val="20"/>
              </w:rPr>
            </w:pPr>
            <w:r w:rsidRPr="006652A8">
              <w:rPr>
                <w:sz w:val="20"/>
                <w:szCs w:val="20"/>
              </w:rPr>
              <w:tab/>
            </w:r>
            <w:r>
              <w:rPr>
                <w:sz w:val="20"/>
                <w:szCs w:val="20"/>
              </w:rPr>
              <w:t>Hensel Barristers</w:t>
            </w:r>
          </w:p>
          <w:p w:rsidR="006652A8" w:rsidRPr="006652A8" w:rsidRDefault="006652A8" w:rsidP="006652A8">
            <w:pPr>
              <w:keepNext/>
              <w:keepLines/>
              <w:tabs>
                <w:tab w:val="left" w:pos="-1440"/>
                <w:tab w:val="left" w:pos="-720"/>
              </w:tabs>
              <w:rPr>
                <w:sz w:val="20"/>
                <w:szCs w:val="20"/>
              </w:rPr>
            </w:pPr>
          </w:p>
          <w:p w:rsidR="006652A8" w:rsidRPr="006652A8" w:rsidRDefault="006652A8" w:rsidP="006652A8">
            <w:pPr>
              <w:keepNext/>
              <w:keepLines/>
              <w:tabs>
                <w:tab w:val="left" w:pos="-1440"/>
                <w:tab w:val="left" w:pos="-720"/>
              </w:tabs>
              <w:rPr>
                <w:sz w:val="20"/>
                <w:szCs w:val="20"/>
              </w:rPr>
            </w:pPr>
            <w:r w:rsidRPr="006652A8">
              <w:rPr>
                <w:sz w:val="20"/>
                <w:szCs w:val="20"/>
              </w:rPr>
              <w:tab/>
              <w:t>v. (36188)</w:t>
            </w:r>
          </w:p>
          <w:p w:rsidR="006652A8" w:rsidRPr="006652A8" w:rsidRDefault="006652A8" w:rsidP="006652A8">
            <w:pPr>
              <w:keepNext/>
              <w:keepLines/>
              <w:tabs>
                <w:tab w:val="left" w:pos="-1440"/>
                <w:tab w:val="left" w:pos="-720"/>
              </w:tabs>
              <w:rPr>
                <w:sz w:val="20"/>
                <w:szCs w:val="20"/>
              </w:rPr>
            </w:pPr>
          </w:p>
          <w:p w:rsidR="006652A8" w:rsidRPr="006652A8" w:rsidRDefault="006652A8" w:rsidP="006652A8">
            <w:pPr>
              <w:keepNext/>
              <w:keepLines/>
              <w:tabs>
                <w:tab w:val="left" w:pos="-1440"/>
                <w:tab w:val="left" w:pos="-720"/>
              </w:tabs>
              <w:rPr>
                <w:b/>
                <w:sz w:val="20"/>
                <w:szCs w:val="20"/>
              </w:rPr>
            </w:pPr>
            <w:r w:rsidRPr="006652A8">
              <w:rPr>
                <w:b/>
                <w:sz w:val="20"/>
                <w:szCs w:val="20"/>
              </w:rPr>
              <w:t>Children’s Aid Society of the County of Renfrew et al.</w:t>
            </w:r>
            <w:r>
              <w:rPr>
                <w:b/>
                <w:sz w:val="20"/>
                <w:szCs w:val="20"/>
              </w:rPr>
              <w:t xml:space="preserve"> </w:t>
            </w:r>
            <w:r w:rsidRPr="006652A8">
              <w:rPr>
                <w:b/>
                <w:sz w:val="20"/>
                <w:szCs w:val="20"/>
              </w:rPr>
              <w:t>(</w:t>
            </w:r>
            <w:r>
              <w:rPr>
                <w:b/>
                <w:sz w:val="20"/>
                <w:szCs w:val="20"/>
              </w:rPr>
              <w:t>Ont.</w:t>
            </w:r>
            <w:r w:rsidRPr="006652A8">
              <w:rPr>
                <w:b/>
                <w:sz w:val="20"/>
                <w:szCs w:val="20"/>
              </w:rPr>
              <w:t>)</w:t>
            </w:r>
          </w:p>
          <w:p w:rsidR="006652A8" w:rsidRPr="006652A8" w:rsidRDefault="006652A8" w:rsidP="006652A8">
            <w:pPr>
              <w:keepNext/>
              <w:keepLines/>
              <w:tabs>
                <w:tab w:val="left" w:pos="-1440"/>
                <w:tab w:val="left" w:pos="-720"/>
              </w:tabs>
              <w:rPr>
                <w:sz w:val="20"/>
                <w:szCs w:val="20"/>
              </w:rPr>
            </w:pPr>
            <w:r w:rsidRPr="006652A8">
              <w:rPr>
                <w:sz w:val="20"/>
                <w:szCs w:val="20"/>
              </w:rPr>
              <w:tab/>
            </w:r>
            <w:r>
              <w:rPr>
                <w:sz w:val="20"/>
                <w:szCs w:val="20"/>
              </w:rPr>
              <w:t xml:space="preserve">Kimberley A. </w:t>
            </w:r>
            <w:proofErr w:type="spellStart"/>
            <w:r>
              <w:rPr>
                <w:sz w:val="20"/>
                <w:szCs w:val="20"/>
              </w:rPr>
              <w:t>Pegg</w:t>
            </w:r>
            <w:proofErr w:type="spellEnd"/>
          </w:p>
          <w:p w:rsidR="006652A8" w:rsidRPr="006652A8" w:rsidRDefault="006652A8" w:rsidP="006652A8">
            <w:pPr>
              <w:keepNext/>
              <w:keepLines/>
              <w:tabs>
                <w:tab w:val="left" w:pos="-1440"/>
                <w:tab w:val="left" w:pos="-720"/>
              </w:tabs>
              <w:rPr>
                <w:sz w:val="20"/>
                <w:szCs w:val="20"/>
              </w:rPr>
            </w:pPr>
            <w:r w:rsidRPr="006652A8">
              <w:rPr>
                <w:sz w:val="20"/>
                <w:szCs w:val="20"/>
              </w:rPr>
              <w:tab/>
            </w:r>
            <w:r>
              <w:rPr>
                <w:sz w:val="20"/>
                <w:szCs w:val="20"/>
              </w:rPr>
              <w:t xml:space="preserve">Kimberley A. </w:t>
            </w:r>
            <w:proofErr w:type="spellStart"/>
            <w:r>
              <w:rPr>
                <w:sz w:val="20"/>
                <w:szCs w:val="20"/>
              </w:rPr>
              <w:t>Pegg</w:t>
            </w:r>
            <w:proofErr w:type="spellEnd"/>
            <w:r>
              <w:rPr>
                <w:sz w:val="20"/>
                <w:szCs w:val="20"/>
              </w:rPr>
              <w:t xml:space="preserve">, Barristers </w:t>
            </w:r>
            <w:r>
              <w:rPr>
                <w:sz w:val="20"/>
                <w:szCs w:val="20"/>
              </w:rPr>
              <w:tab/>
              <w:t xml:space="preserve">Professional Corporation </w:t>
            </w:r>
          </w:p>
          <w:p w:rsidR="006652A8" w:rsidRPr="006652A8" w:rsidRDefault="006652A8" w:rsidP="006652A8">
            <w:pPr>
              <w:keepNext/>
              <w:keepLines/>
              <w:tabs>
                <w:tab w:val="left" w:pos="-1440"/>
                <w:tab w:val="left" w:pos="-720"/>
              </w:tabs>
              <w:rPr>
                <w:sz w:val="20"/>
                <w:szCs w:val="20"/>
              </w:rPr>
            </w:pPr>
          </w:p>
          <w:p w:rsidR="006652A8" w:rsidRPr="006652A8" w:rsidRDefault="006652A8" w:rsidP="006652A8">
            <w:pPr>
              <w:rPr>
                <w:sz w:val="20"/>
                <w:szCs w:val="20"/>
              </w:rPr>
            </w:pPr>
            <w:r w:rsidRPr="006652A8">
              <w:rPr>
                <w:sz w:val="20"/>
                <w:szCs w:val="20"/>
              </w:rPr>
              <w:t>FILING DATE: 2</w:t>
            </w:r>
            <w:r>
              <w:rPr>
                <w:sz w:val="20"/>
                <w:szCs w:val="20"/>
              </w:rPr>
              <w:t>1</w:t>
            </w:r>
            <w:r w:rsidRPr="006652A8">
              <w:rPr>
                <w:sz w:val="20"/>
                <w:szCs w:val="20"/>
              </w:rPr>
              <w:t>.</w:t>
            </w:r>
            <w:r>
              <w:rPr>
                <w:sz w:val="20"/>
                <w:szCs w:val="20"/>
              </w:rPr>
              <w:t>11</w:t>
            </w:r>
            <w:r w:rsidRPr="006652A8">
              <w:rPr>
                <w:sz w:val="20"/>
                <w:szCs w:val="20"/>
              </w:rPr>
              <w:t>.2014</w:t>
            </w:r>
            <w:r w:rsidR="007871B3">
              <w:rPr>
                <w:sz w:val="20"/>
                <w:szCs w:val="20"/>
                <w:lang w:val="fr-CA"/>
              </w:rPr>
              <w:pict>
                <v:rect id="_x0000_i1026" style="width:108pt;height:1pt" o:hrpct="0" o:hralign="center" o:hrstd="t" o:hrnoshade="t" o:hr="t" fillcolor="black [3213]" stroked="f"/>
              </w:pict>
            </w:r>
          </w:p>
        </w:tc>
      </w:tr>
      <w:tr w:rsidR="00C21644" w:rsidRPr="00A935AA" w:rsidTr="003B3977">
        <w:tc>
          <w:tcPr>
            <w:tcW w:w="4320" w:type="dxa"/>
            <w:shd w:val="clear" w:color="auto" w:fill="auto"/>
          </w:tcPr>
          <w:p w:rsidR="00C21644" w:rsidRPr="006652A8" w:rsidRDefault="006652A8" w:rsidP="003B3977">
            <w:pPr>
              <w:rPr>
                <w:b/>
                <w:sz w:val="20"/>
                <w:szCs w:val="20"/>
              </w:rPr>
            </w:pPr>
            <w:r>
              <w:rPr>
                <w:b/>
                <w:sz w:val="20"/>
                <w:szCs w:val="20"/>
              </w:rPr>
              <w:t>E</w:t>
            </w:r>
            <w:r w:rsidR="00F57487">
              <w:rPr>
                <w:b/>
                <w:sz w:val="20"/>
                <w:szCs w:val="20"/>
              </w:rPr>
              <w:t>LS</w:t>
            </w:r>
            <w:r>
              <w:rPr>
                <w:b/>
                <w:sz w:val="20"/>
                <w:szCs w:val="20"/>
              </w:rPr>
              <w:t xml:space="preserve"> Marketing Inc. et al.</w:t>
            </w:r>
          </w:p>
          <w:p w:rsidR="00C21644" w:rsidRPr="006652A8" w:rsidRDefault="00C21644" w:rsidP="003B3977">
            <w:pPr>
              <w:tabs>
                <w:tab w:val="left" w:pos="-1440"/>
                <w:tab w:val="left" w:pos="-720"/>
              </w:tabs>
              <w:rPr>
                <w:sz w:val="20"/>
                <w:szCs w:val="20"/>
              </w:rPr>
            </w:pPr>
            <w:r w:rsidRPr="006652A8">
              <w:rPr>
                <w:sz w:val="20"/>
                <w:szCs w:val="20"/>
              </w:rPr>
              <w:tab/>
            </w:r>
            <w:r w:rsidR="006652A8">
              <w:rPr>
                <w:sz w:val="20"/>
                <w:szCs w:val="20"/>
              </w:rPr>
              <w:t>Robert B. White, Q.C.</w:t>
            </w:r>
          </w:p>
          <w:p w:rsidR="00C21644" w:rsidRPr="006652A8" w:rsidRDefault="00C21644" w:rsidP="003B3977">
            <w:pPr>
              <w:tabs>
                <w:tab w:val="left" w:pos="-1440"/>
                <w:tab w:val="left" w:pos="-720"/>
              </w:tabs>
              <w:rPr>
                <w:sz w:val="20"/>
                <w:szCs w:val="20"/>
              </w:rPr>
            </w:pPr>
            <w:r w:rsidRPr="006652A8">
              <w:rPr>
                <w:sz w:val="20"/>
                <w:szCs w:val="20"/>
              </w:rPr>
              <w:tab/>
            </w:r>
            <w:r w:rsidR="006652A8">
              <w:rPr>
                <w:sz w:val="20"/>
                <w:szCs w:val="20"/>
              </w:rPr>
              <w:t>Robert B. White, Q.C. &amp; Company</w:t>
            </w:r>
          </w:p>
          <w:p w:rsidR="00C21644" w:rsidRPr="006652A8" w:rsidRDefault="00C21644" w:rsidP="003B3977">
            <w:pPr>
              <w:tabs>
                <w:tab w:val="left" w:pos="-1440"/>
                <w:tab w:val="left" w:pos="-720"/>
              </w:tabs>
              <w:rPr>
                <w:sz w:val="20"/>
                <w:szCs w:val="20"/>
              </w:rPr>
            </w:pPr>
          </w:p>
          <w:p w:rsidR="00C21644" w:rsidRPr="006652A8" w:rsidRDefault="00C21644" w:rsidP="003B3977">
            <w:pPr>
              <w:tabs>
                <w:tab w:val="left" w:pos="-1440"/>
                <w:tab w:val="left" w:pos="-720"/>
              </w:tabs>
              <w:rPr>
                <w:sz w:val="20"/>
                <w:szCs w:val="20"/>
              </w:rPr>
            </w:pPr>
            <w:r w:rsidRPr="006652A8">
              <w:rPr>
                <w:sz w:val="20"/>
                <w:szCs w:val="20"/>
              </w:rPr>
              <w:tab/>
              <w:t>v. (3</w:t>
            </w:r>
            <w:r w:rsidR="006652A8">
              <w:rPr>
                <w:sz w:val="20"/>
                <w:szCs w:val="20"/>
              </w:rPr>
              <w:t>61</w:t>
            </w:r>
            <w:r w:rsidRPr="006652A8">
              <w:rPr>
                <w:sz w:val="20"/>
                <w:szCs w:val="20"/>
              </w:rPr>
              <w:t>5</w:t>
            </w:r>
            <w:r w:rsidR="006652A8">
              <w:rPr>
                <w:sz w:val="20"/>
                <w:szCs w:val="20"/>
              </w:rPr>
              <w:t>7</w:t>
            </w:r>
            <w:r w:rsidRPr="006652A8">
              <w:rPr>
                <w:sz w:val="20"/>
                <w:szCs w:val="20"/>
              </w:rPr>
              <w:t>)</w:t>
            </w:r>
          </w:p>
          <w:p w:rsidR="00C21644" w:rsidRPr="006652A8" w:rsidRDefault="00C21644" w:rsidP="003B3977">
            <w:pPr>
              <w:tabs>
                <w:tab w:val="left" w:pos="-1440"/>
                <w:tab w:val="left" w:pos="-720"/>
              </w:tabs>
              <w:rPr>
                <w:sz w:val="20"/>
                <w:szCs w:val="20"/>
              </w:rPr>
            </w:pPr>
          </w:p>
          <w:p w:rsidR="00C21644" w:rsidRPr="006652A8" w:rsidRDefault="006652A8" w:rsidP="003B3977">
            <w:pPr>
              <w:tabs>
                <w:tab w:val="left" w:pos="-1440"/>
                <w:tab w:val="left" w:pos="-720"/>
              </w:tabs>
              <w:rPr>
                <w:b/>
                <w:sz w:val="20"/>
                <w:szCs w:val="20"/>
              </w:rPr>
            </w:pPr>
            <w:proofErr w:type="spellStart"/>
            <w:r>
              <w:rPr>
                <w:b/>
                <w:sz w:val="20"/>
                <w:szCs w:val="20"/>
              </w:rPr>
              <w:t>Westjet</w:t>
            </w:r>
            <w:proofErr w:type="spellEnd"/>
            <w:r>
              <w:rPr>
                <w:b/>
                <w:sz w:val="20"/>
                <w:szCs w:val="20"/>
              </w:rPr>
              <w:t xml:space="preserve"> </w:t>
            </w:r>
            <w:r w:rsidR="00C21644" w:rsidRPr="006652A8">
              <w:rPr>
                <w:b/>
                <w:sz w:val="20"/>
                <w:szCs w:val="20"/>
              </w:rPr>
              <w:t>(</w:t>
            </w:r>
            <w:r>
              <w:rPr>
                <w:b/>
                <w:sz w:val="20"/>
                <w:szCs w:val="20"/>
              </w:rPr>
              <w:t>Al</w:t>
            </w:r>
            <w:r w:rsidR="00C21644" w:rsidRPr="006652A8">
              <w:rPr>
                <w:b/>
                <w:sz w:val="20"/>
                <w:szCs w:val="20"/>
              </w:rPr>
              <w:t>t</w:t>
            </w:r>
            <w:r>
              <w:rPr>
                <w:b/>
                <w:sz w:val="20"/>
                <w:szCs w:val="20"/>
              </w:rPr>
              <w:t>a</w:t>
            </w:r>
            <w:r w:rsidR="00C21644" w:rsidRPr="006652A8">
              <w:rPr>
                <w:b/>
                <w:sz w:val="20"/>
                <w:szCs w:val="20"/>
              </w:rPr>
              <w:t>.)</w:t>
            </w:r>
          </w:p>
          <w:p w:rsidR="00C21644" w:rsidRPr="006652A8" w:rsidRDefault="00C21644" w:rsidP="003B3977">
            <w:pPr>
              <w:tabs>
                <w:tab w:val="left" w:pos="-1440"/>
                <w:tab w:val="left" w:pos="-720"/>
              </w:tabs>
              <w:rPr>
                <w:sz w:val="20"/>
                <w:szCs w:val="20"/>
              </w:rPr>
            </w:pPr>
            <w:r w:rsidRPr="006652A8">
              <w:rPr>
                <w:sz w:val="20"/>
                <w:szCs w:val="20"/>
              </w:rPr>
              <w:tab/>
            </w:r>
            <w:r w:rsidR="006652A8">
              <w:rPr>
                <w:sz w:val="20"/>
                <w:szCs w:val="20"/>
              </w:rPr>
              <w:t>Don Dear, Q.C.</w:t>
            </w:r>
          </w:p>
          <w:p w:rsidR="00C21644" w:rsidRPr="006652A8" w:rsidRDefault="00C21644" w:rsidP="003B3977">
            <w:pPr>
              <w:tabs>
                <w:tab w:val="left" w:pos="-1440"/>
                <w:tab w:val="left" w:pos="-720"/>
              </w:tabs>
              <w:rPr>
                <w:sz w:val="20"/>
                <w:szCs w:val="20"/>
              </w:rPr>
            </w:pPr>
            <w:r w:rsidRPr="006652A8">
              <w:rPr>
                <w:sz w:val="20"/>
                <w:szCs w:val="20"/>
              </w:rPr>
              <w:tab/>
            </w:r>
            <w:r w:rsidR="006652A8">
              <w:rPr>
                <w:sz w:val="20"/>
                <w:szCs w:val="20"/>
              </w:rPr>
              <w:t>McLennan Ross LLP</w:t>
            </w:r>
          </w:p>
          <w:p w:rsidR="00C21644" w:rsidRPr="006652A8" w:rsidRDefault="00C21644" w:rsidP="003B3977">
            <w:pPr>
              <w:tabs>
                <w:tab w:val="left" w:pos="-1440"/>
                <w:tab w:val="left" w:pos="-720"/>
              </w:tabs>
              <w:rPr>
                <w:sz w:val="20"/>
                <w:szCs w:val="20"/>
              </w:rPr>
            </w:pPr>
          </w:p>
          <w:p w:rsidR="00C21644" w:rsidRPr="006652A8" w:rsidRDefault="00C21644" w:rsidP="006652A8">
            <w:pPr>
              <w:rPr>
                <w:sz w:val="20"/>
                <w:szCs w:val="20"/>
              </w:rPr>
            </w:pPr>
            <w:r w:rsidRPr="006652A8">
              <w:rPr>
                <w:sz w:val="20"/>
                <w:szCs w:val="20"/>
              </w:rPr>
              <w:t>FILING DATE: 2</w:t>
            </w:r>
            <w:r w:rsidR="006652A8">
              <w:rPr>
                <w:sz w:val="20"/>
                <w:szCs w:val="20"/>
              </w:rPr>
              <w:t>1</w:t>
            </w:r>
            <w:r w:rsidRPr="006652A8">
              <w:rPr>
                <w:sz w:val="20"/>
                <w:szCs w:val="20"/>
              </w:rPr>
              <w:t>.</w:t>
            </w:r>
            <w:r w:rsidR="006652A8">
              <w:rPr>
                <w:sz w:val="20"/>
                <w:szCs w:val="20"/>
              </w:rPr>
              <w:t>11</w:t>
            </w:r>
            <w:r w:rsidRPr="006652A8">
              <w:rPr>
                <w:sz w:val="20"/>
                <w:szCs w:val="20"/>
              </w:rPr>
              <w:t>.2014</w:t>
            </w:r>
            <w:r w:rsidR="007871B3">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p w:rsidR="00C21644" w:rsidRPr="006652A8" w:rsidRDefault="00C21644" w:rsidP="00242AEE">
            <w:pPr>
              <w:jc w:val="center"/>
              <w:rPr>
                <w:sz w:val="20"/>
                <w:szCs w:val="20"/>
              </w:rPr>
            </w:pPr>
          </w:p>
        </w:tc>
        <w:tc>
          <w:tcPr>
            <w:tcW w:w="4320" w:type="dxa"/>
            <w:shd w:val="clear" w:color="auto" w:fill="auto"/>
          </w:tcPr>
          <w:p w:rsidR="00C21644" w:rsidRPr="006652A8" w:rsidRDefault="006652A8" w:rsidP="003B3977">
            <w:pPr>
              <w:keepNext/>
              <w:keepLines/>
              <w:tabs>
                <w:tab w:val="left" w:pos="-1440"/>
                <w:tab w:val="left" w:pos="-720"/>
              </w:tabs>
              <w:rPr>
                <w:b/>
                <w:sz w:val="20"/>
                <w:szCs w:val="20"/>
              </w:rPr>
            </w:pPr>
            <w:r>
              <w:rPr>
                <w:b/>
                <w:sz w:val="20"/>
                <w:szCs w:val="20"/>
              </w:rPr>
              <w:t>Jonathan Hagedorn</w:t>
            </w:r>
          </w:p>
          <w:p w:rsidR="00C21644" w:rsidRPr="006652A8" w:rsidRDefault="00C21644" w:rsidP="003B3977">
            <w:pPr>
              <w:keepNext/>
              <w:keepLines/>
              <w:tabs>
                <w:tab w:val="left" w:pos="-1440"/>
                <w:tab w:val="left" w:pos="-720"/>
              </w:tabs>
              <w:rPr>
                <w:sz w:val="20"/>
                <w:szCs w:val="20"/>
              </w:rPr>
            </w:pPr>
            <w:r w:rsidRPr="006652A8">
              <w:rPr>
                <w:sz w:val="20"/>
                <w:szCs w:val="20"/>
              </w:rPr>
              <w:tab/>
            </w:r>
            <w:r w:rsidR="006652A8">
              <w:rPr>
                <w:sz w:val="20"/>
                <w:szCs w:val="20"/>
              </w:rPr>
              <w:t>Timothy E. Breen</w:t>
            </w:r>
          </w:p>
          <w:p w:rsidR="00C21644" w:rsidRPr="006652A8" w:rsidRDefault="00C21644" w:rsidP="003B3977">
            <w:pPr>
              <w:keepNext/>
              <w:keepLines/>
              <w:tabs>
                <w:tab w:val="left" w:pos="-1440"/>
                <w:tab w:val="left" w:pos="-720"/>
              </w:tabs>
              <w:rPr>
                <w:sz w:val="20"/>
                <w:szCs w:val="20"/>
              </w:rPr>
            </w:pPr>
            <w:r w:rsidRPr="006652A8">
              <w:rPr>
                <w:sz w:val="20"/>
                <w:szCs w:val="20"/>
              </w:rPr>
              <w:tab/>
            </w:r>
            <w:r w:rsidR="006652A8">
              <w:rPr>
                <w:sz w:val="20"/>
                <w:szCs w:val="20"/>
              </w:rPr>
              <w:t>Fleming, Breen</w:t>
            </w:r>
          </w:p>
          <w:p w:rsidR="00C21644" w:rsidRPr="006652A8"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6652A8">
              <w:rPr>
                <w:sz w:val="20"/>
                <w:szCs w:val="20"/>
              </w:rPr>
              <w:tab/>
            </w:r>
            <w:r w:rsidRPr="00A935AA">
              <w:rPr>
                <w:sz w:val="20"/>
                <w:szCs w:val="20"/>
              </w:rPr>
              <w:t>v. (3</w:t>
            </w:r>
            <w:r w:rsidR="006652A8">
              <w:rPr>
                <w:sz w:val="20"/>
                <w:szCs w:val="20"/>
              </w:rPr>
              <w:t>6118</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6652A8" w:rsidP="003B3977">
            <w:pPr>
              <w:keepNext/>
              <w:keepLines/>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Ont</w:t>
            </w:r>
            <w:r w:rsidR="00C21644" w:rsidRPr="00A935AA">
              <w:rPr>
                <w:b/>
                <w:sz w:val="20"/>
                <w:szCs w:val="20"/>
              </w:rPr>
              <w:t>.)</w:t>
            </w:r>
          </w:p>
          <w:p w:rsidR="00C21644" w:rsidRPr="00A935AA" w:rsidRDefault="00C21644" w:rsidP="003B3977">
            <w:pPr>
              <w:keepNext/>
              <w:keepLines/>
              <w:tabs>
                <w:tab w:val="left" w:pos="-1440"/>
                <w:tab w:val="left" w:pos="-720"/>
              </w:tabs>
              <w:rPr>
                <w:sz w:val="20"/>
                <w:szCs w:val="20"/>
              </w:rPr>
            </w:pPr>
            <w:r w:rsidRPr="00A935AA">
              <w:rPr>
                <w:sz w:val="20"/>
                <w:szCs w:val="20"/>
              </w:rPr>
              <w:tab/>
            </w:r>
            <w:r w:rsidR="006652A8">
              <w:rPr>
                <w:sz w:val="20"/>
                <w:szCs w:val="20"/>
              </w:rPr>
              <w:t xml:space="preserve">Alexander V. </w:t>
            </w:r>
            <w:proofErr w:type="spellStart"/>
            <w:r w:rsidR="006652A8">
              <w:rPr>
                <w:sz w:val="20"/>
                <w:szCs w:val="20"/>
              </w:rPr>
              <w:t>Hrybinsky</w:t>
            </w:r>
            <w:proofErr w:type="spellEnd"/>
          </w:p>
          <w:p w:rsidR="00C21644" w:rsidRPr="00A935AA" w:rsidRDefault="00C21644" w:rsidP="003B3977">
            <w:pPr>
              <w:keepNext/>
              <w:keepLines/>
              <w:tabs>
                <w:tab w:val="left" w:pos="-1440"/>
                <w:tab w:val="left" w:pos="-720"/>
              </w:tabs>
              <w:rPr>
                <w:sz w:val="20"/>
                <w:szCs w:val="20"/>
              </w:rPr>
            </w:pPr>
            <w:r w:rsidRPr="00A935AA">
              <w:rPr>
                <w:sz w:val="20"/>
                <w:szCs w:val="20"/>
              </w:rPr>
              <w:tab/>
            </w:r>
            <w:r w:rsidR="006652A8">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A935AA" w:rsidRDefault="00C21644" w:rsidP="006652A8">
            <w:pPr>
              <w:rPr>
                <w:sz w:val="20"/>
                <w:szCs w:val="20"/>
              </w:rPr>
            </w:pPr>
            <w:r w:rsidRPr="00A935AA">
              <w:rPr>
                <w:sz w:val="20"/>
                <w:szCs w:val="20"/>
              </w:rPr>
              <w:t>FILING DATE: 2</w:t>
            </w:r>
            <w:r w:rsidR="006652A8">
              <w:rPr>
                <w:sz w:val="20"/>
                <w:szCs w:val="20"/>
              </w:rPr>
              <w:t>4</w:t>
            </w:r>
            <w:r w:rsidRPr="00A935AA">
              <w:rPr>
                <w:sz w:val="20"/>
                <w:szCs w:val="20"/>
              </w:rPr>
              <w:t>.</w:t>
            </w:r>
            <w:r w:rsidR="006652A8">
              <w:rPr>
                <w:sz w:val="20"/>
                <w:szCs w:val="20"/>
              </w:rPr>
              <w:t>11</w:t>
            </w:r>
            <w:r w:rsidRPr="00A935AA">
              <w:rPr>
                <w:sz w:val="20"/>
                <w:szCs w:val="20"/>
              </w:rPr>
              <w:t>.201</w:t>
            </w:r>
            <w:r>
              <w:rPr>
                <w:sz w:val="20"/>
                <w:szCs w:val="20"/>
              </w:rPr>
              <w:t>4</w:t>
            </w:r>
            <w:r w:rsidR="007871B3">
              <w:rPr>
                <w:sz w:val="20"/>
                <w:szCs w:val="20"/>
                <w:lang w:val="fr-CA"/>
              </w:rPr>
              <w:pict>
                <v:rect id="_x0000_i1028" style="width:108pt;height:1pt" o:hrpct="0" o:hralign="center" o:hrstd="t" o:hrnoshade="t" o:hr="t" fillcolor="black [3213]" stroked="f"/>
              </w:pict>
            </w:r>
          </w:p>
        </w:tc>
      </w:tr>
      <w:tr w:rsidR="00C21644" w:rsidRPr="0095089C" w:rsidTr="003B3977">
        <w:tc>
          <w:tcPr>
            <w:tcW w:w="4320" w:type="dxa"/>
            <w:shd w:val="clear" w:color="auto" w:fill="auto"/>
          </w:tcPr>
          <w:p w:rsidR="00C21644" w:rsidRPr="00A935AA" w:rsidRDefault="0095089C" w:rsidP="005F1ED8">
            <w:pPr>
              <w:rPr>
                <w:b/>
                <w:sz w:val="20"/>
                <w:szCs w:val="20"/>
              </w:rPr>
            </w:pPr>
            <w:proofErr w:type="spellStart"/>
            <w:r>
              <w:rPr>
                <w:b/>
                <w:sz w:val="20"/>
                <w:szCs w:val="20"/>
              </w:rPr>
              <w:t>Svyatos</w:t>
            </w:r>
            <w:r w:rsidR="006652A8">
              <w:rPr>
                <w:b/>
                <w:sz w:val="20"/>
                <w:szCs w:val="20"/>
              </w:rPr>
              <w:t>l</w:t>
            </w:r>
            <w:r>
              <w:rPr>
                <w:b/>
                <w:sz w:val="20"/>
                <w:szCs w:val="20"/>
              </w:rPr>
              <w:t>av</w:t>
            </w:r>
            <w:proofErr w:type="spellEnd"/>
            <w:r>
              <w:rPr>
                <w:b/>
                <w:sz w:val="20"/>
                <w:szCs w:val="20"/>
              </w:rPr>
              <w:t xml:space="preserve"> </w:t>
            </w:r>
            <w:proofErr w:type="spellStart"/>
            <w:r>
              <w:rPr>
                <w:b/>
                <w:sz w:val="20"/>
                <w:szCs w:val="20"/>
              </w:rPr>
              <w:t>Fedossenko</w:t>
            </w:r>
            <w:proofErr w:type="spellEnd"/>
          </w:p>
          <w:p w:rsidR="00C21644" w:rsidRPr="00A935AA" w:rsidRDefault="00C21644" w:rsidP="005F1ED8">
            <w:pPr>
              <w:tabs>
                <w:tab w:val="left" w:pos="-1440"/>
                <w:tab w:val="left" w:pos="-720"/>
              </w:tabs>
              <w:rPr>
                <w:sz w:val="20"/>
                <w:szCs w:val="20"/>
              </w:rPr>
            </w:pPr>
            <w:r w:rsidRPr="00A935AA">
              <w:rPr>
                <w:sz w:val="20"/>
                <w:szCs w:val="20"/>
              </w:rPr>
              <w:tab/>
            </w:r>
            <w:r w:rsidR="0095089C">
              <w:rPr>
                <w:sz w:val="20"/>
                <w:szCs w:val="20"/>
              </w:rPr>
              <w:t xml:space="preserve">Dane F. </w:t>
            </w:r>
            <w:proofErr w:type="spellStart"/>
            <w:r w:rsidR="0095089C">
              <w:rPr>
                <w:sz w:val="20"/>
                <w:szCs w:val="20"/>
              </w:rPr>
              <w:t>Bullerwell</w:t>
            </w:r>
            <w:proofErr w:type="spellEnd"/>
          </w:p>
          <w:p w:rsidR="00C21644" w:rsidRPr="00A935AA" w:rsidRDefault="00C21644" w:rsidP="005F1ED8">
            <w:pPr>
              <w:tabs>
                <w:tab w:val="left" w:pos="-1440"/>
                <w:tab w:val="left" w:pos="-720"/>
              </w:tabs>
              <w:rPr>
                <w:sz w:val="20"/>
                <w:szCs w:val="20"/>
              </w:rPr>
            </w:pPr>
            <w:r w:rsidRPr="00A935AA">
              <w:rPr>
                <w:sz w:val="20"/>
                <w:szCs w:val="20"/>
              </w:rPr>
              <w:tab/>
            </w:r>
            <w:r w:rsidR="0095089C">
              <w:rPr>
                <w:sz w:val="20"/>
                <w:szCs w:val="20"/>
              </w:rPr>
              <w:t xml:space="preserve">Pringle, </w:t>
            </w:r>
            <w:proofErr w:type="spellStart"/>
            <w:r w:rsidR="0095089C">
              <w:rPr>
                <w:sz w:val="20"/>
                <w:szCs w:val="20"/>
              </w:rPr>
              <w:t>Chivers</w:t>
            </w:r>
            <w:proofErr w:type="spellEnd"/>
            <w:r w:rsidR="0095089C">
              <w:rPr>
                <w:sz w:val="20"/>
                <w:szCs w:val="20"/>
              </w:rPr>
              <w:t xml:space="preserve">, Sparks, </w:t>
            </w:r>
            <w:proofErr w:type="spellStart"/>
            <w:r w:rsidR="0095089C">
              <w:rPr>
                <w:sz w:val="20"/>
                <w:szCs w:val="20"/>
              </w:rPr>
              <w:t>Teskey</w:t>
            </w:r>
            <w:proofErr w:type="spellEnd"/>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95089C">
              <w:rPr>
                <w:sz w:val="20"/>
                <w:szCs w:val="20"/>
              </w:rPr>
              <w:t>6189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95089C"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Pr>
                <w:b/>
                <w:sz w:val="20"/>
                <w:szCs w:val="20"/>
              </w:rPr>
              <w:t>Al</w:t>
            </w:r>
            <w:r w:rsidR="00C21644">
              <w:rPr>
                <w:b/>
                <w:sz w:val="20"/>
                <w:szCs w:val="20"/>
              </w:rPr>
              <w:t>t</w:t>
            </w:r>
            <w:r>
              <w:rPr>
                <w:b/>
                <w:sz w:val="20"/>
                <w:szCs w:val="20"/>
              </w:rPr>
              <w:t>a</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95089C">
              <w:rPr>
                <w:sz w:val="20"/>
                <w:szCs w:val="20"/>
              </w:rPr>
              <w:t>Jason R. Russell</w:t>
            </w:r>
          </w:p>
          <w:p w:rsidR="00C21644" w:rsidRPr="00A935AA" w:rsidRDefault="00C21644" w:rsidP="005F1ED8">
            <w:pPr>
              <w:tabs>
                <w:tab w:val="left" w:pos="-1440"/>
                <w:tab w:val="left" w:pos="-720"/>
              </w:tabs>
              <w:rPr>
                <w:sz w:val="20"/>
                <w:szCs w:val="20"/>
              </w:rPr>
            </w:pPr>
            <w:r w:rsidRPr="00A935AA">
              <w:rPr>
                <w:sz w:val="20"/>
                <w:szCs w:val="20"/>
              </w:rPr>
              <w:tab/>
            </w:r>
            <w:r w:rsidR="0095089C">
              <w:rPr>
                <w:sz w:val="20"/>
                <w:szCs w:val="20"/>
              </w:rPr>
              <w:t>A.G. of Alberta</w:t>
            </w:r>
          </w:p>
          <w:p w:rsidR="00C21644" w:rsidRPr="00A935AA" w:rsidRDefault="00C21644" w:rsidP="005F1ED8">
            <w:pPr>
              <w:tabs>
                <w:tab w:val="left" w:pos="-1440"/>
                <w:tab w:val="left" w:pos="-720"/>
              </w:tabs>
              <w:rPr>
                <w:sz w:val="20"/>
                <w:szCs w:val="20"/>
              </w:rPr>
            </w:pPr>
          </w:p>
          <w:p w:rsidR="00C21644" w:rsidRPr="00A935AA" w:rsidRDefault="00C21644" w:rsidP="0095089C">
            <w:pPr>
              <w:rPr>
                <w:sz w:val="20"/>
                <w:szCs w:val="20"/>
              </w:rPr>
            </w:pPr>
            <w:r w:rsidRPr="00A935AA">
              <w:rPr>
                <w:sz w:val="20"/>
                <w:szCs w:val="20"/>
              </w:rPr>
              <w:t>FILING DATE: 2</w:t>
            </w:r>
            <w:r w:rsidR="0095089C">
              <w:rPr>
                <w:sz w:val="20"/>
                <w:szCs w:val="20"/>
              </w:rPr>
              <w:t>4</w:t>
            </w:r>
            <w:r w:rsidRPr="00A935AA">
              <w:rPr>
                <w:sz w:val="20"/>
                <w:szCs w:val="20"/>
              </w:rPr>
              <w:t>.</w:t>
            </w:r>
            <w:r w:rsidR="0095089C">
              <w:rPr>
                <w:sz w:val="20"/>
                <w:szCs w:val="20"/>
              </w:rPr>
              <w:t>11</w:t>
            </w:r>
            <w:r w:rsidRPr="00A935AA">
              <w:rPr>
                <w:sz w:val="20"/>
                <w:szCs w:val="20"/>
              </w:rPr>
              <w:t>.201</w:t>
            </w:r>
            <w:r>
              <w:rPr>
                <w:sz w:val="20"/>
                <w:szCs w:val="20"/>
              </w:rPr>
              <w:t>4</w:t>
            </w:r>
            <w:r w:rsidR="007871B3">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C21644"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95089C" w:rsidRDefault="0095089C" w:rsidP="005F1ED8">
            <w:pPr>
              <w:rPr>
                <w:b/>
                <w:sz w:val="20"/>
                <w:szCs w:val="20"/>
              </w:rPr>
            </w:pPr>
            <w:r w:rsidRPr="0095089C">
              <w:rPr>
                <w:b/>
                <w:sz w:val="20"/>
                <w:szCs w:val="20"/>
              </w:rPr>
              <w:t xml:space="preserve">Charlie R. </w:t>
            </w:r>
            <w:proofErr w:type="spellStart"/>
            <w:r w:rsidRPr="0095089C">
              <w:rPr>
                <w:b/>
                <w:sz w:val="20"/>
                <w:szCs w:val="20"/>
              </w:rPr>
              <w:t>Vozniak</w:t>
            </w:r>
            <w:proofErr w:type="spellEnd"/>
            <w:r w:rsidRPr="0095089C">
              <w:rPr>
                <w:b/>
                <w:sz w:val="20"/>
                <w:szCs w:val="20"/>
              </w:rPr>
              <w:t xml:space="preserve"> also known as Chuck </w:t>
            </w:r>
            <w:proofErr w:type="spellStart"/>
            <w:r w:rsidRPr="0095089C">
              <w:rPr>
                <w:b/>
                <w:sz w:val="20"/>
                <w:szCs w:val="20"/>
              </w:rPr>
              <w:t>Vozniak</w:t>
            </w:r>
            <w:proofErr w:type="spellEnd"/>
          </w:p>
          <w:p w:rsidR="00C21644" w:rsidRPr="0095089C" w:rsidRDefault="00C21644" w:rsidP="005F1ED8">
            <w:pPr>
              <w:tabs>
                <w:tab w:val="left" w:pos="-1440"/>
                <w:tab w:val="left" w:pos="-720"/>
              </w:tabs>
              <w:rPr>
                <w:sz w:val="20"/>
                <w:szCs w:val="20"/>
              </w:rPr>
            </w:pPr>
            <w:r w:rsidRPr="0095089C">
              <w:rPr>
                <w:sz w:val="20"/>
                <w:szCs w:val="20"/>
              </w:rPr>
              <w:tab/>
            </w:r>
            <w:r w:rsidR="0095089C">
              <w:rPr>
                <w:sz w:val="20"/>
                <w:szCs w:val="20"/>
              </w:rPr>
              <w:t>Moir</w:t>
            </w:r>
            <w:r w:rsidR="008D459B">
              <w:rPr>
                <w:sz w:val="20"/>
                <w:szCs w:val="20"/>
              </w:rPr>
              <w:t>a</w:t>
            </w:r>
            <w:r w:rsidR="0095089C">
              <w:rPr>
                <w:sz w:val="20"/>
                <w:szCs w:val="20"/>
              </w:rPr>
              <w:t xml:space="preserve"> Dillon</w:t>
            </w:r>
          </w:p>
          <w:p w:rsidR="00C21644" w:rsidRPr="0095089C" w:rsidRDefault="00C21644" w:rsidP="005F1ED8">
            <w:pPr>
              <w:tabs>
                <w:tab w:val="left" w:pos="-1440"/>
                <w:tab w:val="left" w:pos="-720"/>
              </w:tabs>
              <w:rPr>
                <w:sz w:val="20"/>
                <w:szCs w:val="20"/>
              </w:rPr>
            </w:pPr>
            <w:r w:rsidRPr="0095089C">
              <w:rPr>
                <w:sz w:val="20"/>
                <w:szCs w:val="20"/>
              </w:rPr>
              <w:tab/>
            </w:r>
            <w:r w:rsidR="0095089C">
              <w:rPr>
                <w:sz w:val="20"/>
                <w:szCs w:val="20"/>
              </w:rPr>
              <w:t>Supreme Law Group</w:t>
            </w:r>
          </w:p>
          <w:p w:rsidR="00C21644" w:rsidRPr="0095089C" w:rsidRDefault="00C21644" w:rsidP="005F1ED8">
            <w:pPr>
              <w:tabs>
                <w:tab w:val="left" w:pos="-1440"/>
                <w:tab w:val="left" w:pos="-720"/>
              </w:tabs>
              <w:rPr>
                <w:sz w:val="20"/>
                <w:szCs w:val="20"/>
              </w:rPr>
            </w:pPr>
          </w:p>
          <w:p w:rsidR="00C21644" w:rsidRPr="0095089C" w:rsidRDefault="00C21644" w:rsidP="005F1ED8">
            <w:pPr>
              <w:tabs>
                <w:tab w:val="left" w:pos="-1440"/>
                <w:tab w:val="left" w:pos="-720"/>
              </w:tabs>
              <w:rPr>
                <w:sz w:val="20"/>
                <w:szCs w:val="20"/>
              </w:rPr>
            </w:pPr>
            <w:r w:rsidRPr="0095089C">
              <w:rPr>
                <w:sz w:val="20"/>
                <w:szCs w:val="20"/>
              </w:rPr>
              <w:tab/>
              <w:t>v. (3</w:t>
            </w:r>
            <w:r w:rsidR="0095089C" w:rsidRPr="0095089C">
              <w:rPr>
                <w:sz w:val="20"/>
                <w:szCs w:val="20"/>
              </w:rPr>
              <w:t>6190</w:t>
            </w:r>
            <w:r w:rsidRPr="0095089C">
              <w:rPr>
                <w:sz w:val="20"/>
                <w:szCs w:val="20"/>
              </w:rPr>
              <w:t>)</w:t>
            </w:r>
          </w:p>
          <w:p w:rsidR="00C21644" w:rsidRPr="0095089C" w:rsidRDefault="00C21644" w:rsidP="005F1ED8">
            <w:pPr>
              <w:tabs>
                <w:tab w:val="left" w:pos="-1440"/>
                <w:tab w:val="left" w:pos="-720"/>
              </w:tabs>
              <w:rPr>
                <w:sz w:val="20"/>
                <w:szCs w:val="20"/>
              </w:rPr>
            </w:pPr>
          </w:p>
          <w:p w:rsidR="00C21644" w:rsidRPr="006D5B52" w:rsidRDefault="0095089C" w:rsidP="005F1ED8">
            <w:pPr>
              <w:tabs>
                <w:tab w:val="left" w:pos="-1440"/>
                <w:tab w:val="left" w:pos="-720"/>
              </w:tabs>
              <w:rPr>
                <w:b/>
                <w:sz w:val="20"/>
                <w:szCs w:val="20"/>
              </w:rPr>
            </w:pPr>
            <w:r w:rsidRPr="006D5B52">
              <w:rPr>
                <w:b/>
                <w:sz w:val="20"/>
                <w:szCs w:val="20"/>
              </w:rPr>
              <w:t xml:space="preserve">Real Vallieres et al. </w:t>
            </w:r>
            <w:r w:rsidR="00C21644" w:rsidRPr="006D5B52">
              <w:rPr>
                <w:b/>
                <w:sz w:val="20"/>
                <w:szCs w:val="20"/>
              </w:rPr>
              <w:t>(</w:t>
            </w:r>
            <w:r w:rsidRPr="006D5B52">
              <w:rPr>
                <w:b/>
                <w:sz w:val="20"/>
                <w:szCs w:val="20"/>
              </w:rPr>
              <w:t>Al</w:t>
            </w:r>
            <w:r w:rsidR="00C21644" w:rsidRPr="006D5B52">
              <w:rPr>
                <w:b/>
                <w:sz w:val="20"/>
                <w:szCs w:val="20"/>
              </w:rPr>
              <w:t>t</w:t>
            </w:r>
            <w:r w:rsidRPr="006D5B52">
              <w:rPr>
                <w:b/>
                <w:sz w:val="20"/>
                <w:szCs w:val="20"/>
              </w:rPr>
              <w:t>a</w:t>
            </w:r>
            <w:r w:rsidR="00C21644" w:rsidRPr="006D5B52">
              <w:rPr>
                <w:b/>
                <w:sz w:val="20"/>
                <w:szCs w:val="20"/>
              </w:rPr>
              <w:t>.)</w:t>
            </w:r>
          </w:p>
          <w:p w:rsidR="00C21644" w:rsidRPr="0095089C" w:rsidRDefault="00C21644" w:rsidP="005F1ED8">
            <w:pPr>
              <w:tabs>
                <w:tab w:val="left" w:pos="-1440"/>
                <w:tab w:val="left" w:pos="-720"/>
              </w:tabs>
              <w:rPr>
                <w:sz w:val="20"/>
                <w:szCs w:val="20"/>
              </w:rPr>
            </w:pPr>
            <w:r w:rsidRPr="006D5B52">
              <w:rPr>
                <w:sz w:val="20"/>
                <w:szCs w:val="20"/>
              </w:rPr>
              <w:tab/>
            </w:r>
            <w:r w:rsidR="0095089C" w:rsidRPr="0095089C">
              <w:rPr>
                <w:sz w:val="20"/>
                <w:szCs w:val="20"/>
              </w:rPr>
              <w:t xml:space="preserve">Blair R. </w:t>
            </w:r>
            <w:proofErr w:type="spellStart"/>
            <w:r w:rsidR="0095089C" w:rsidRPr="0095089C">
              <w:rPr>
                <w:sz w:val="20"/>
                <w:szCs w:val="20"/>
              </w:rPr>
              <w:t>Carbert</w:t>
            </w:r>
            <w:proofErr w:type="spellEnd"/>
          </w:p>
          <w:p w:rsidR="00C21644" w:rsidRPr="0095089C" w:rsidRDefault="00C21644" w:rsidP="005F1ED8">
            <w:pPr>
              <w:tabs>
                <w:tab w:val="left" w:pos="-1440"/>
                <w:tab w:val="left" w:pos="-720"/>
              </w:tabs>
              <w:rPr>
                <w:sz w:val="20"/>
                <w:szCs w:val="20"/>
              </w:rPr>
            </w:pPr>
            <w:r w:rsidRPr="0095089C">
              <w:rPr>
                <w:sz w:val="20"/>
                <w:szCs w:val="20"/>
              </w:rPr>
              <w:tab/>
            </w:r>
            <w:r w:rsidR="0095089C" w:rsidRPr="0095089C">
              <w:rPr>
                <w:sz w:val="20"/>
                <w:szCs w:val="20"/>
              </w:rPr>
              <w:t xml:space="preserve">Stones </w:t>
            </w:r>
            <w:proofErr w:type="spellStart"/>
            <w:r w:rsidR="0095089C" w:rsidRPr="0095089C">
              <w:rPr>
                <w:sz w:val="20"/>
                <w:szCs w:val="20"/>
              </w:rPr>
              <w:t>Carbert</w:t>
            </w:r>
            <w:proofErr w:type="spellEnd"/>
            <w:r w:rsidR="0095089C" w:rsidRPr="0095089C">
              <w:rPr>
                <w:sz w:val="20"/>
                <w:szCs w:val="20"/>
              </w:rPr>
              <w:t xml:space="preserve"> Waite LLP</w:t>
            </w:r>
          </w:p>
          <w:p w:rsidR="00C21644" w:rsidRPr="0095089C" w:rsidRDefault="00C21644" w:rsidP="005F1ED8">
            <w:pPr>
              <w:tabs>
                <w:tab w:val="left" w:pos="-1440"/>
                <w:tab w:val="left" w:pos="-720"/>
              </w:tabs>
              <w:rPr>
                <w:sz w:val="20"/>
                <w:szCs w:val="20"/>
              </w:rPr>
            </w:pPr>
          </w:p>
          <w:p w:rsidR="00C21644" w:rsidRPr="006D5B52" w:rsidRDefault="00C21644" w:rsidP="0095089C">
            <w:pPr>
              <w:rPr>
                <w:sz w:val="20"/>
                <w:szCs w:val="20"/>
              </w:rPr>
            </w:pPr>
            <w:r w:rsidRPr="006D5B52">
              <w:rPr>
                <w:sz w:val="20"/>
                <w:szCs w:val="20"/>
              </w:rPr>
              <w:t>FILING DATE: 2</w:t>
            </w:r>
            <w:r w:rsidR="0095089C" w:rsidRPr="006D5B52">
              <w:rPr>
                <w:sz w:val="20"/>
                <w:szCs w:val="20"/>
              </w:rPr>
              <w:t>6</w:t>
            </w:r>
            <w:r w:rsidRPr="006D5B52">
              <w:rPr>
                <w:sz w:val="20"/>
                <w:szCs w:val="20"/>
              </w:rPr>
              <w:t>.</w:t>
            </w:r>
            <w:r w:rsidR="0095089C" w:rsidRPr="006D5B52">
              <w:rPr>
                <w:sz w:val="20"/>
                <w:szCs w:val="20"/>
              </w:rPr>
              <w:t>11</w:t>
            </w:r>
            <w:r w:rsidRPr="006D5B52">
              <w:rPr>
                <w:sz w:val="20"/>
                <w:szCs w:val="20"/>
              </w:rPr>
              <w:t>.2014</w:t>
            </w:r>
            <w:r w:rsidR="007871B3">
              <w:rPr>
                <w:sz w:val="20"/>
                <w:szCs w:val="20"/>
                <w:lang w:val="fr-CA"/>
              </w:rPr>
              <w:pict>
                <v:rect id="_x0000_i1030" style="width:108pt;height:1pt" o:hrpct="0" o:hralign="center" o:hrstd="t" o:hrnoshade="t" o:hr="t" fillcolor="black [3213]" stroked="f"/>
              </w:pict>
            </w:r>
          </w:p>
        </w:tc>
      </w:tr>
      <w:tr w:rsidR="006652A8" w:rsidRPr="00A935AA" w:rsidTr="003B3977">
        <w:trPr>
          <w:cantSplit/>
        </w:trPr>
        <w:tc>
          <w:tcPr>
            <w:tcW w:w="4320" w:type="dxa"/>
            <w:shd w:val="clear" w:color="auto" w:fill="auto"/>
          </w:tcPr>
          <w:p w:rsidR="006652A8" w:rsidRPr="0095089C" w:rsidRDefault="0095089C" w:rsidP="005F1ED8">
            <w:pPr>
              <w:rPr>
                <w:b/>
                <w:sz w:val="20"/>
                <w:szCs w:val="20"/>
                <w:lang w:val="fr-CA"/>
              </w:rPr>
            </w:pPr>
            <w:r w:rsidRPr="0095089C">
              <w:rPr>
                <w:b/>
                <w:sz w:val="20"/>
                <w:szCs w:val="20"/>
                <w:lang w:val="fr-CA"/>
              </w:rPr>
              <w:t>Francine Lapierre</w:t>
            </w:r>
          </w:p>
          <w:p w:rsidR="006652A8" w:rsidRPr="0095089C" w:rsidRDefault="006652A8" w:rsidP="005F1ED8">
            <w:pPr>
              <w:tabs>
                <w:tab w:val="left" w:pos="-1440"/>
                <w:tab w:val="left" w:pos="-720"/>
              </w:tabs>
              <w:rPr>
                <w:sz w:val="20"/>
                <w:szCs w:val="20"/>
                <w:lang w:val="fr-CA"/>
              </w:rPr>
            </w:pPr>
            <w:r w:rsidRPr="0095089C">
              <w:rPr>
                <w:sz w:val="20"/>
                <w:szCs w:val="20"/>
                <w:lang w:val="fr-CA"/>
              </w:rPr>
              <w:tab/>
            </w:r>
            <w:r w:rsidR="0095089C" w:rsidRPr="0095089C">
              <w:rPr>
                <w:sz w:val="20"/>
                <w:szCs w:val="20"/>
                <w:lang w:val="fr-CA"/>
              </w:rPr>
              <w:t>Francine Lapierre</w:t>
            </w:r>
          </w:p>
          <w:p w:rsidR="006652A8" w:rsidRPr="0095089C" w:rsidRDefault="006652A8" w:rsidP="005F1ED8">
            <w:pPr>
              <w:tabs>
                <w:tab w:val="left" w:pos="-1440"/>
                <w:tab w:val="left" w:pos="-720"/>
              </w:tabs>
              <w:rPr>
                <w:sz w:val="20"/>
                <w:szCs w:val="20"/>
                <w:lang w:val="fr-CA"/>
              </w:rPr>
            </w:pPr>
          </w:p>
          <w:p w:rsidR="006652A8" w:rsidRPr="0095089C" w:rsidRDefault="006652A8" w:rsidP="005F1ED8">
            <w:pPr>
              <w:tabs>
                <w:tab w:val="left" w:pos="-1440"/>
                <w:tab w:val="left" w:pos="-720"/>
              </w:tabs>
              <w:rPr>
                <w:sz w:val="20"/>
                <w:szCs w:val="20"/>
                <w:lang w:val="fr-CA"/>
              </w:rPr>
            </w:pPr>
            <w:r w:rsidRPr="0095089C">
              <w:rPr>
                <w:sz w:val="20"/>
                <w:szCs w:val="20"/>
                <w:lang w:val="fr-CA"/>
              </w:rPr>
              <w:tab/>
            </w:r>
            <w:r w:rsidR="00F57487">
              <w:rPr>
                <w:sz w:val="20"/>
                <w:szCs w:val="20"/>
                <w:lang w:val="fr-CA"/>
              </w:rPr>
              <w:t>c</w:t>
            </w:r>
            <w:r w:rsidRPr="0095089C">
              <w:rPr>
                <w:sz w:val="20"/>
                <w:szCs w:val="20"/>
                <w:lang w:val="fr-CA"/>
              </w:rPr>
              <w:t>. (3</w:t>
            </w:r>
            <w:r w:rsidR="0095089C">
              <w:rPr>
                <w:sz w:val="20"/>
                <w:szCs w:val="20"/>
                <w:lang w:val="fr-CA"/>
              </w:rPr>
              <w:t>6201</w:t>
            </w:r>
            <w:r w:rsidRPr="0095089C">
              <w:rPr>
                <w:sz w:val="20"/>
                <w:szCs w:val="20"/>
                <w:lang w:val="fr-CA"/>
              </w:rPr>
              <w:t>)</w:t>
            </w:r>
          </w:p>
          <w:p w:rsidR="006652A8" w:rsidRPr="0095089C" w:rsidRDefault="006652A8" w:rsidP="005F1ED8">
            <w:pPr>
              <w:tabs>
                <w:tab w:val="left" w:pos="-1440"/>
                <w:tab w:val="left" w:pos="-720"/>
              </w:tabs>
              <w:rPr>
                <w:sz w:val="20"/>
                <w:szCs w:val="20"/>
                <w:lang w:val="fr-CA"/>
              </w:rPr>
            </w:pPr>
          </w:p>
          <w:p w:rsidR="006652A8" w:rsidRPr="0095089C" w:rsidRDefault="0095089C" w:rsidP="005F1ED8">
            <w:pPr>
              <w:tabs>
                <w:tab w:val="left" w:pos="-1440"/>
                <w:tab w:val="left" w:pos="-720"/>
              </w:tabs>
              <w:rPr>
                <w:b/>
                <w:sz w:val="20"/>
                <w:szCs w:val="20"/>
                <w:lang w:val="fr-CA"/>
              </w:rPr>
            </w:pPr>
            <w:r>
              <w:rPr>
                <w:b/>
                <w:sz w:val="20"/>
                <w:szCs w:val="20"/>
                <w:lang w:val="fr-CA"/>
              </w:rPr>
              <w:t>Luc Lapierre et autre</w:t>
            </w:r>
            <w:r w:rsidR="00B2650E">
              <w:rPr>
                <w:b/>
                <w:sz w:val="20"/>
                <w:szCs w:val="20"/>
                <w:lang w:val="fr-CA"/>
              </w:rPr>
              <w:t>s</w:t>
            </w:r>
            <w:r>
              <w:rPr>
                <w:b/>
                <w:sz w:val="20"/>
                <w:szCs w:val="20"/>
                <w:lang w:val="fr-CA"/>
              </w:rPr>
              <w:t xml:space="preserve"> </w:t>
            </w:r>
            <w:r w:rsidR="006652A8" w:rsidRPr="0095089C">
              <w:rPr>
                <w:b/>
                <w:sz w:val="20"/>
                <w:szCs w:val="20"/>
                <w:lang w:val="fr-CA"/>
              </w:rPr>
              <w:t>(</w:t>
            </w:r>
            <w:proofErr w:type="spellStart"/>
            <w:r>
              <w:rPr>
                <w:b/>
                <w:sz w:val="20"/>
                <w:szCs w:val="20"/>
                <w:lang w:val="fr-CA"/>
              </w:rPr>
              <w:t>Qc</w:t>
            </w:r>
            <w:proofErr w:type="spellEnd"/>
            <w:r w:rsidR="006652A8" w:rsidRPr="0095089C">
              <w:rPr>
                <w:b/>
                <w:sz w:val="20"/>
                <w:szCs w:val="20"/>
                <w:lang w:val="fr-CA"/>
              </w:rPr>
              <w:t>)</w:t>
            </w:r>
          </w:p>
          <w:p w:rsidR="006652A8" w:rsidRPr="0095089C" w:rsidRDefault="006652A8" w:rsidP="005F1ED8">
            <w:pPr>
              <w:tabs>
                <w:tab w:val="left" w:pos="-1440"/>
                <w:tab w:val="left" w:pos="-720"/>
              </w:tabs>
              <w:rPr>
                <w:sz w:val="20"/>
                <w:szCs w:val="20"/>
                <w:lang w:val="fr-CA"/>
              </w:rPr>
            </w:pPr>
            <w:r w:rsidRPr="0095089C">
              <w:rPr>
                <w:sz w:val="20"/>
                <w:szCs w:val="20"/>
                <w:lang w:val="fr-CA"/>
              </w:rPr>
              <w:tab/>
            </w:r>
            <w:r w:rsidR="0095089C">
              <w:rPr>
                <w:sz w:val="20"/>
                <w:szCs w:val="20"/>
                <w:lang w:val="fr-CA"/>
              </w:rPr>
              <w:t>Claude G. Leduc</w:t>
            </w:r>
          </w:p>
          <w:p w:rsidR="006652A8" w:rsidRPr="0095089C" w:rsidRDefault="006652A8" w:rsidP="005F1ED8">
            <w:pPr>
              <w:tabs>
                <w:tab w:val="left" w:pos="-1440"/>
                <w:tab w:val="left" w:pos="-720"/>
              </w:tabs>
              <w:rPr>
                <w:sz w:val="20"/>
                <w:szCs w:val="20"/>
                <w:lang w:val="fr-CA"/>
              </w:rPr>
            </w:pPr>
            <w:r w:rsidRPr="0095089C">
              <w:rPr>
                <w:sz w:val="20"/>
                <w:szCs w:val="20"/>
                <w:lang w:val="fr-CA"/>
              </w:rPr>
              <w:tab/>
            </w:r>
            <w:r w:rsidR="0095089C">
              <w:rPr>
                <w:sz w:val="20"/>
                <w:szCs w:val="20"/>
                <w:lang w:val="fr-CA"/>
              </w:rPr>
              <w:t xml:space="preserve">Mercier Leduc </w:t>
            </w:r>
            <w:proofErr w:type="spellStart"/>
            <w:r w:rsidR="0095089C">
              <w:rPr>
                <w:sz w:val="20"/>
                <w:szCs w:val="20"/>
                <w:lang w:val="fr-CA"/>
              </w:rPr>
              <w:t>s.e.n.c</w:t>
            </w:r>
            <w:proofErr w:type="spellEnd"/>
            <w:r w:rsidR="0095089C">
              <w:rPr>
                <w:sz w:val="20"/>
                <w:szCs w:val="20"/>
                <w:lang w:val="fr-CA"/>
              </w:rPr>
              <w:t>.</w:t>
            </w:r>
          </w:p>
          <w:p w:rsidR="006652A8" w:rsidRPr="0095089C" w:rsidRDefault="006652A8" w:rsidP="005F1ED8">
            <w:pPr>
              <w:tabs>
                <w:tab w:val="left" w:pos="-1440"/>
                <w:tab w:val="left" w:pos="-720"/>
              </w:tabs>
              <w:rPr>
                <w:sz w:val="20"/>
                <w:szCs w:val="20"/>
                <w:lang w:val="fr-CA"/>
              </w:rPr>
            </w:pPr>
          </w:p>
          <w:p w:rsidR="006652A8" w:rsidRPr="0095089C" w:rsidRDefault="0095089C" w:rsidP="0095089C">
            <w:pPr>
              <w:rPr>
                <w:sz w:val="20"/>
                <w:szCs w:val="20"/>
                <w:lang w:val="fr-CA"/>
              </w:rPr>
            </w:pPr>
            <w:r w:rsidRPr="006652A8">
              <w:rPr>
                <w:sz w:val="20"/>
                <w:szCs w:val="20"/>
                <w:lang w:val="fr-CA"/>
              </w:rPr>
              <w:t>DATE DE PRODUCTION</w:t>
            </w:r>
            <w:r>
              <w:rPr>
                <w:sz w:val="20"/>
                <w:szCs w:val="20"/>
                <w:lang w:val="fr-CA"/>
              </w:rPr>
              <w:t xml:space="preserve"> </w:t>
            </w:r>
            <w:r w:rsidRPr="006652A8">
              <w:rPr>
                <w:sz w:val="20"/>
                <w:szCs w:val="20"/>
                <w:lang w:val="fr-CA"/>
              </w:rPr>
              <w:t xml:space="preserve">: </w:t>
            </w:r>
            <w:r>
              <w:rPr>
                <w:sz w:val="20"/>
                <w:szCs w:val="20"/>
                <w:lang w:val="fr-CA"/>
              </w:rPr>
              <w:t>26</w:t>
            </w:r>
            <w:r w:rsidRPr="006652A8">
              <w:rPr>
                <w:sz w:val="20"/>
                <w:szCs w:val="20"/>
                <w:lang w:val="fr-CA"/>
              </w:rPr>
              <w:t>.1</w:t>
            </w:r>
            <w:r>
              <w:rPr>
                <w:sz w:val="20"/>
                <w:szCs w:val="20"/>
                <w:lang w:val="fr-CA"/>
              </w:rPr>
              <w:t>1</w:t>
            </w:r>
            <w:r w:rsidRPr="006652A8">
              <w:rPr>
                <w:sz w:val="20"/>
                <w:szCs w:val="20"/>
                <w:lang w:val="fr-CA"/>
              </w:rPr>
              <w:t>.2014</w:t>
            </w:r>
            <w:r w:rsidR="007871B3">
              <w:rPr>
                <w:sz w:val="20"/>
                <w:szCs w:val="20"/>
                <w:lang w:val="fr-CA"/>
              </w:rPr>
              <w:pict>
                <v:rect id="_x0000_i1031" style="width:108pt;height:1pt" o:hrpct="0" o:hralign="center" o:hrstd="t" o:hrnoshade="t" o:hr="t" fillcolor="black [3213]" stroked="f"/>
              </w:pict>
            </w:r>
          </w:p>
        </w:tc>
        <w:tc>
          <w:tcPr>
            <w:tcW w:w="1181" w:type="dxa"/>
            <w:shd w:val="clear" w:color="auto" w:fill="auto"/>
          </w:tcPr>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p w:rsidR="006652A8" w:rsidRPr="0095089C" w:rsidRDefault="006652A8" w:rsidP="00242AEE">
            <w:pPr>
              <w:jc w:val="center"/>
              <w:rPr>
                <w:sz w:val="20"/>
                <w:szCs w:val="20"/>
                <w:lang w:val="fr-CA"/>
              </w:rPr>
            </w:pPr>
          </w:p>
        </w:tc>
        <w:tc>
          <w:tcPr>
            <w:tcW w:w="4320" w:type="dxa"/>
            <w:shd w:val="clear" w:color="auto" w:fill="auto"/>
          </w:tcPr>
          <w:p w:rsidR="002E0F4C" w:rsidRDefault="002E0F4C" w:rsidP="0095089C">
            <w:pPr>
              <w:rPr>
                <w:b/>
                <w:sz w:val="20"/>
                <w:szCs w:val="20"/>
              </w:rPr>
            </w:pPr>
          </w:p>
          <w:p w:rsidR="0095089C" w:rsidRPr="0095089C" w:rsidRDefault="0095089C" w:rsidP="0095089C">
            <w:pPr>
              <w:rPr>
                <w:b/>
                <w:sz w:val="20"/>
                <w:szCs w:val="20"/>
              </w:rPr>
            </w:pPr>
            <w:r w:rsidRPr="0095089C">
              <w:rPr>
                <w:b/>
                <w:sz w:val="20"/>
                <w:szCs w:val="20"/>
              </w:rPr>
              <w:t>N.A.</w:t>
            </w:r>
          </w:p>
          <w:p w:rsidR="0095089C" w:rsidRPr="0095089C" w:rsidRDefault="0095089C" w:rsidP="0095089C">
            <w:pPr>
              <w:tabs>
                <w:tab w:val="left" w:pos="-1440"/>
                <w:tab w:val="left" w:pos="-720"/>
              </w:tabs>
              <w:rPr>
                <w:sz w:val="20"/>
                <w:szCs w:val="20"/>
              </w:rPr>
            </w:pPr>
            <w:r w:rsidRPr="0095089C">
              <w:rPr>
                <w:sz w:val="20"/>
                <w:szCs w:val="20"/>
              </w:rPr>
              <w:tab/>
              <w:t xml:space="preserve">Miriam </w:t>
            </w:r>
            <w:proofErr w:type="spellStart"/>
            <w:r w:rsidRPr="0095089C">
              <w:rPr>
                <w:sz w:val="20"/>
                <w:szCs w:val="20"/>
              </w:rPr>
              <w:t>Grassby</w:t>
            </w:r>
            <w:proofErr w:type="spellEnd"/>
          </w:p>
          <w:p w:rsidR="0095089C" w:rsidRPr="0095089C" w:rsidRDefault="0095089C" w:rsidP="0095089C">
            <w:pPr>
              <w:tabs>
                <w:tab w:val="left" w:pos="-1440"/>
                <w:tab w:val="left" w:pos="-720"/>
              </w:tabs>
              <w:rPr>
                <w:sz w:val="20"/>
                <w:szCs w:val="20"/>
              </w:rPr>
            </w:pPr>
            <w:r w:rsidRPr="0095089C">
              <w:rPr>
                <w:sz w:val="20"/>
                <w:szCs w:val="20"/>
              </w:rPr>
              <w:tab/>
              <w:t xml:space="preserve">Miriam </w:t>
            </w:r>
            <w:proofErr w:type="spellStart"/>
            <w:r w:rsidRPr="0095089C">
              <w:rPr>
                <w:sz w:val="20"/>
                <w:szCs w:val="20"/>
              </w:rPr>
              <w:t>Grassby</w:t>
            </w:r>
            <w:proofErr w:type="spellEnd"/>
            <w:r w:rsidRPr="0095089C">
              <w:rPr>
                <w:sz w:val="20"/>
                <w:szCs w:val="20"/>
              </w:rPr>
              <w:t xml:space="preserve"> &amp; </w:t>
            </w:r>
            <w:proofErr w:type="spellStart"/>
            <w:r w:rsidRPr="0095089C">
              <w:rPr>
                <w:sz w:val="20"/>
                <w:szCs w:val="20"/>
              </w:rPr>
              <w:t>Associés</w:t>
            </w:r>
            <w:proofErr w:type="spellEnd"/>
          </w:p>
          <w:p w:rsidR="0095089C" w:rsidRPr="0095089C" w:rsidRDefault="0095089C" w:rsidP="0095089C">
            <w:pPr>
              <w:tabs>
                <w:tab w:val="left" w:pos="-1440"/>
                <w:tab w:val="left" w:pos="-720"/>
              </w:tabs>
              <w:rPr>
                <w:sz w:val="20"/>
                <w:szCs w:val="20"/>
              </w:rPr>
            </w:pPr>
          </w:p>
          <w:p w:rsidR="0095089C" w:rsidRPr="006D5B52" w:rsidRDefault="0095089C" w:rsidP="0095089C">
            <w:pPr>
              <w:tabs>
                <w:tab w:val="left" w:pos="-1440"/>
                <w:tab w:val="left" w:pos="-720"/>
              </w:tabs>
              <w:rPr>
                <w:sz w:val="20"/>
                <w:szCs w:val="20"/>
                <w:lang w:val="fr-CA"/>
              </w:rPr>
            </w:pPr>
            <w:r w:rsidRPr="0095089C">
              <w:rPr>
                <w:sz w:val="20"/>
                <w:szCs w:val="20"/>
              </w:rPr>
              <w:tab/>
            </w:r>
            <w:r w:rsidRPr="006D5B52">
              <w:rPr>
                <w:sz w:val="20"/>
                <w:szCs w:val="20"/>
                <w:lang w:val="fr-CA"/>
              </w:rPr>
              <w:t>v. (36191)</w:t>
            </w:r>
          </w:p>
          <w:p w:rsidR="0095089C" w:rsidRPr="006D5B52" w:rsidRDefault="0095089C" w:rsidP="0095089C">
            <w:pPr>
              <w:tabs>
                <w:tab w:val="left" w:pos="-1440"/>
                <w:tab w:val="left" w:pos="-720"/>
              </w:tabs>
              <w:rPr>
                <w:sz w:val="20"/>
                <w:szCs w:val="20"/>
                <w:lang w:val="fr-CA"/>
              </w:rPr>
            </w:pPr>
          </w:p>
          <w:p w:rsidR="0095089C" w:rsidRPr="0095089C" w:rsidRDefault="0095089C" w:rsidP="0095089C">
            <w:pPr>
              <w:tabs>
                <w:tab w:val="left" w:pos="-1440"/>
                <w:tab w:val="left" w:pos="-720"/>
              </w:tabs>
              <w:rPr>
                <w:b/>
                <w:sz w:val="20"/>
                <w:szCs w:val="20"/>
                <w:lang w:val="fr-CA"/>
              </w:rPr>
            </w:pPr>
            <w:r>
              <w:rPr>
                <w:b/>
                <w:sz w:val="20"/>
                <w:szCs w:val="20"/>
                <w:lang w:val="fr-CA"/>
              </w:rPr>
              <w:t xml:space="preserve">A.H. </w:t>
            </w:r>
            <w:r w:rsidRPr="0095089C">
              <w:rPr>
                <w:b/>
                <w:sz w:val="20"/>
                <w:szCs w:val="20"/>
                <w:lang w:val="fr-CA"/>
              </w:rPr>
              <w:t>(</w:t>
            </w:r>
            <w:r>
              <w:rPr>
                <w:b/>
                <w:sz w:val="20"/>
                <w:szCs w:val="20"/>
                <w:lang w:val="fr-CA"/>
              </w:rPr>
              <w:t>Que</w:t>
            </w:r>
            <w:r w:rsidRPr="0095089C">
              <w:rPr>
                <w:b/>
                <w:sz w:val="20"/>
                <w:szCs w:val="20"/>
                <w:lang w:val="fr-CA"/>
              </w:rPr>
              <w:t>.)</w:t>
            </w:r>
          </w:p>
          <w:p w:rsidR="0095089C" w:rsidRPr="0095089C" w:rsidRDefault="0095089C" w:rsidP="0095089C">
            <w:pPr>
              <w:tabs>
                <w:tab w:val="left" w:pos="-1440"/>
                <w:tab w:val="left" w:pos="-720"/>
              </w:tabs>
              <w:rPr>
                <w:sz w:val="20"/>
                <w:szCs w:val="20"/>
                <w:lang w:val="fr-CA"/>
              </w:rPr>
            </w:pPr>
            <w:r w:rsidRPr="0095089C">
              <w:rPr>
                <w:sz w:val="20"/>
                <w:szCs w:val="20"/>
                <w:lang w:val="fr-CA"/>
              </w:rPr>
              <w:tab/>
            </w:r>
            <w:r>
              <w:rPr>
                <w:sz w:val="20"/>
                <w:szCs w:val="20"/>
                <w:lang w:val="fr-CA"/>
              </w:rPr>
              <w:t>Michel F. Bis</w:t>
            </w:r>
            <w:r w:rsidR="00B2650E">
              <w:rPr>
                <w:sz w:val="20"/>
                <w:szCs w:val="20"/>
                <w:lang w:val="fr-CA"/>
              </w:rPr>
              <w:t>s</w:t>
            </w:r>
            <w:r>
              <w:rPr>
                <w:sz w:val="20"/>
                <w:szCs w:val="20"/>
                <w:lang w:val="fr-CA"/>
              </w:rPr>
              <w:t>onnette</w:t>
            </w:r>
          </w:p>
          <w:p w:rsidR="0095089C" w:rsidRPr="0095089C" w:rsidRDefault="0095089C" w:rsidP="0095089C">
            <w:pPr>
              <w:tabs>
                <w:tab w:val="left" w:pos="-1440"/>
                <w:tab w:val="left" w:pos="-720"/>
              </w:tabs>
              <w:rPr>
                <w:sz w:val="20"/>
                <w:szCs w:val="20"/>
                <w:lang w:val="fr-CA"/>
              </w:rPr>
            </w:pPr>
          </w:p>
          <w:p w:rsidR="0095089C" w:rsidRPr="00806A5B" w:rsidRDefault="0095089C" w:rsidP="002E0F4C">
            <w:pPr>
              <w:rPr>
                <w:sz w:val="20"/>
                <w:szCs w:val="20"/>
                <w:lang w:val="fr-CA"/>
              </w:rPr>
            </w:pPr>
            <w:r w:rsidRPr="0095089C">
              <w:rPr>
                <w:sz w:val="20"/>
                <w:szCs w:val="20"/>
                <w:lang w:val="fr-CA"/>
              </w:rPr>
              <w:t>FILING DATE: 2</w:t>
            </w:r>
            <w:r w:rsidR="002E0F4C">
              <w:rPr>
                <w:sz w:val="20"/>
                <w:szCs w:val="20"/>
                <w:lang w:val="fr-CA"/>
              </w:rPr>
              <w:t>7</w:t>
            </w:r>
            <w:r w:rsidRPr="0095089C">
              <w:rPr>
                <w:sz w:val="20"/>
                <w:szCs w:val="20"/>
                <w:lang w:val="fr-CA"/>
              </w:rPr>
              <w:t>.</w:t>
            </w:r>
            <w:r w:rsidR="002E0F4C">
              <w:rPr>
                <w:sz w:val="20"/>
                <w:szCs w:val="20"/>
                <w:lang w:val="fr-CA"/>
              </w:rPr>
              <w:t>11</w:t>
            </w:r>
            <w:r w:rsidRPr="0095089C">
              <w:rPr>
                <w:sz w:val="20"/>
                <w:szCs w:val="20"/>
                <w:lang w:val="fr-CA"/>
              </w:rPr>
              <w:t>.2014</w:t>
            </w:r>
            <w:r w:rsidR="007871B3">
              <w:rPr>
                <w:sz w:val="20"/>
                <w:szCs w:val="20"/>
                <w:lang w:val="fr-CA"/>
              </w:rPr>
              <w:pict>
                <v:rect id="_x0000_i1032"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2E0F4C" w:rsidP="005F1ED8">
            <w:pPr>
              <w:rPr>
                <w:b/>
                <w:sz w:val="20"/>
                <w:szCs w:val="20"/>
              </w:rPr>
            </w:pPr>
            <w:proofErr w:type="spellStart"/>
            <w:r>
              <w:rPr>
                <w:b/>
                <w:sz w:val="20"/>
                <w:szCs w:val="20"/>
              </w:rPr>
              <w:lastRenderedPageBreak/>
              <w:t>Jamuar</w:t>
            </w:r>
            <w:proofErr w:type="spellEnd"/>
            <w:r>
              <w:rPr>
                <w:b/>
                <w:sz w:val="20"/>
                <w:szCs w:val="20"/>
              </w:rPr>
              <w:t xml:space="preserve"> </w:t>
            </w:r>
            <w:proofErr w:type="spellStart"/>
            <w:r>
              <w:rPr>
                <w:b/>
                <w:sz w:val="20"/>
                <w:szCs w:val="20"/>
              </w:rPr>
              <w:t>Sharat</w:t>
            </w:r>
            <w:proofErr w:type="spellEnd"/>
            <w:r>
              <w:rPr>
                <w:b/>
                <w:sz w:val="20"/>
                <w:szCs w:val="20"/>
              </w:rPr>
              <w:t xml:space="preserve"> </w:t>
            </w:r>
            <w:proofErr w:type="spellStart"/>
            <w:r>
              <w:rPr>
                <w:b/>
                <w:sz w:val="20"/>
                <w:szCs w:val="20"/>
              </w:rPr>
              <w:t>Vijaya</w:t>
            </w:r>
            <w:proofErr w:type="spellEnd"/>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Scott C. Hutchison</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Henein Hutchison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Pr>
                <w:sz w:val="20"/>
                <w:szCs w:val="20"/>
              </w:rPr>
              <w:t>5</w:t>
            </w:r>
            <w:r w:rsidR="00316133">
              <w:rPr>
                <w:sz w:val="20"/>
                <w:szCs w:val="20"/>
              </w:rPr>
              <w:t>826</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16133"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Robert W. Hubbard</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316133">
            <w:pPr>
              <w:rPr>
                <w:sz w:val="20"/>
                <w:szCs w:val="20"/>
              </w:rPr>
            </w:pPr>
            <w:r w:rsidRPr="00A935AA">
              <w:rPr>
                <w:sz w:val="20"/>
                <w:szCs w:val="20"/>
              </w:rPr>
              <w:t>FILING DATE: 2</w:t>
            </w:r>
            <w:r>
              <w:rPr>
                <w:sz w:val="20"/>
                <w:szCs w:val="20"/>
              </w:rPr>
              <w:t>8</w:t>
            </w:r>
            <w:r w:rsidRPr="00A935AA">
              <w:rPr>
                <w:sz w:val="20"/>
                <w:szCs w:val="20"/>
              </w:rPr>
              <w:t>.</w:t>
            </w:r>
            <w:r w:rsidR="00316133">
              <w:rPr>
                <w:sz w:val="20"/>
                <w:szCs w:val="20"/>
              </w:rPr>
              <w:t>11</w:t>
            </w:r>
            <w:r w:rsidRPr="00A935AA">
              <w:rPr>
                <w:sz w:val="20"/>
                <w:szCs w:val="20"/>
              </w:rPr>
              <w:t>.201</w:t>
            </w:r>
            <w:r>
              <w:rPr>
                <w:sz w:val="20"/>
                <w:szCs w:val="20"/>
              </w:rPr>
              <w:t>4</w:t>
            </w:r>
            <w:r w:rsidR="007871B3">
              <w:rPr>
                <w:sz w:val="20"/>
                <w:szCs w:val="20"/>
                <w:lang w:val="fr-CA"/>
              </w:rPr>
              <w:pict>
                <v:rect id="_x0000_i1033"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316133" w:rsidP="005F1ED8">
            <w:pPr>
              <w:rPr>
                <w:b/>
                <w:sz w:val="20"/>
                <w:szCs w:val="20"/>
              </w:rPr>
            </w:pPr>
            <w:r>
              <w:rPr>
                <w:b/>
                <w:sz w:val="20"/>
                <w:szCs w:val="20"/>
              </w:rPr>
              <w:t>Can-Win Leasing (Toronto) Limited</w:t>
            </w:r>
          </w:p>
          <w:p w:rsidR="00C21644" w:rsidRPr="00A935AA" w:rsidRDefault="00C21644" w:rsidP="005F1ED8">
            <w:pPr>
              <w:tabs>
                <w:tab w:val="left" w:pos="-1440"/>
                <w:tab w:val="left" w:pos="-720"/>
              </w:tabs>
              <w:rPr>
                <w:sz w:val="20"/>
                <w:szCs w:val="20"/>
              </w:rPr>
            </w:pPr>
            <w:r w:rsidRPr="00A935AA">
              <w:rPr>
                <w:sz w:val="20"/>
                <w:szCs w:val="20"/>
              </w:rPr>
              <w:tab/>
            </w:r>
            <w:proofErr w:type="spellStart"/>
            <w:r w:rsidR="00316133">
              <w:rPr>
                <w:sz w:val="20"/>
                <w:szCs w:val="20"/>
              </w:rPr>
              <w:t>Licio</w:t>
            </w:r>
            <w:proofErr w:type="spellEnd"/>
            <w:r w:rsidR="00316133">
              <w:rPr>
                <w:sz w:val="20"/>
                <w:szCs w:val="20"/>
              </w:rPr>
              <w:t xml:space="preserve"> </w:t>
            </w:r>
            <w:proofErr w:type="spellStart"/>
            <w:r w:rsidR="00316133">
              <w:rPr>
                <w:sz w:val="20"/>
                <w:szCs w:val="20"/>
              </w:rPr>
              <w:t>Cengarle</w:t>
            </w:r>
            <w:proofErr w:type="spellEnd"/>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16133">
              <w:rPr>
                <w:sz w:val="20"/>
                <w:szCs w:val="20"/>
              </w:rPr>
              <w:t>619</w:t>
            </w:r>
            <w:r>
              <w:rPr>
                <w:sz w:val="20"/>
                <w:szCs w:val="20"/>
              </w:rPr>
              <w:t>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16133" w:rsidP="005F1ED8">
            <w:pPr>
              <w:tabs>
                <w:tab w:val="left" w:pos="-1440"/>
                <w:tab w:val="left" w:pos="-720"/>
              </w:tabs>
              <w:rPr>
                <w:b/>
                <w:sz w:val="20"/>
                <w:szCs w:val="20"/>
              </w:rPr>
            </w:pPr>
            <w:r>
              <w:rPr>
                <w:b/>
                <w:sz w:val="20"/>
                <w:szCs w:val="20"/>
              </w:rPr>
              <w:t xml:space="preserve">Rafael </w:t>
            </w:r>
            <w:proofErr w:type="spellStart"/>
            <w:r>
              <w:rPr>
                <w:b/>
                <w:sz w:val="20"/>
                <w:szCs w:val="20"/>
              </w:rPr>
              <w:t>Moncayo</w:t>
            </w:r>
            <w:proofErr w:type="spellEnd"/>
            <w:r>
              <w:rPr>
                <w:b/>
                <w:sz w:val="20"/>
                <w:szCs w:val="20"/>
              </w:rPr>
              <w:t xml:space="preserve">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 xml:space="preserve">Alan S. </w:t>
            </w:r>
            <w:proofErr w:type="spellStart"/>
            <w:r w:rsidR="00316133">
              <w:rPr>
                <w:sz w:val="20"/>
                <w:szCs w:val="20"/>
              </w:rPr>
              <w:t>Cofman</w:t>
            </w:r>
            <w:proofErr w:type="spellEnd"/>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Isaacs &amp; Company</w:t>
            </w:r>
          </w:p>
          <w:p w:rsidR="00C21644" w:rsidRPr="00A935AA" w:rsidRDefault="00C21644" w:rsidP="005F1ED8">
            <w:pPr>
              <w:tabs>
                <w:tab w:val="left" w:pos="-1440"/>
                <w:tab w:val="left" w:pos="-720"/>
              </w:tabs>
              <w:rPr>
                <w:sz w:val="20"/>
                <w:szCs w:val="20"/>
              </w:rPr>
            </w:pPr>
          </w:p>
          <w:p w:rsidR="00C21644" w:rsidRPr="00A935AA" w:rsidRDefault="00C21644" w:rsidP="00316133">
            <w:pPr>
              <w:rPr>
                <w:sz w:val="20"/>
                <w:szCs w:val="20"/>
              </w:rPr>
            </w:pPr>
            <w:r w:rsidRPr="00A935AA">
              <w:rPr>
                <w:sz w:val="20"/>
                <w:szCs w:val="20"/>
              </w:rPr>
              <w:t xml:space="preserve">FILING DATE: </w:t>
            </w:r>
            <w:r w:rsidR="00316133">
              <w:rPr>
                <w:sz w:val="20"/>
                <w:szCs w:val="20"/>
              </w:rPr>
              <w:t>03</w:t>
            </w:r>
            <w:r w:rsidRPr="00A935AA">
              <w:rPr>
                <w:sz w:val="20"/>
                <w:szCs w:val="20"/>
              </w:rPr>
              <w:t>.</w:t>
            </w:r>
            <w:r w:rsidR="00316133">
              <w:rPr>
                <w:sz w:val="20"/>
                <w:szCs w:val="20"/>
              </w:rPr>
              <w:t>1</w:t>
            </w:r>
            <w:r>
              <w:rPr>
                <w:sz w:val="20"/>
                <w:szCs w:val="20"/>
              </w:rPr>
              <w:t>2</w:t>
            </w:r>
            <w:r w:rsidRPr="00A935AA">
              <w:rPr>
                <w:sz w:val="20"/>
                <w:szCs w:val="20"/>
              </w:rPr>
              <w:t>.201</w:t>
            </w:r>
            <w:r>
              <w:rPr>
                <w:sz w:val="20"/>
                <w:szCs w:val="20"/>
              </w:rPr>
              <w:t>4</w:t>
            </w:r>
            <w:r w:rsidR="007871B3">
              <w:rPr>
                <w:sz w:val="20"/>
                <w:szCs w:val="20"/>
                <w:lang w:val="fr-CA"/>
              </w:rPr>
              <w:pict>
                <v:rect id="_x0000_i1034" style="width:108pt;height:1pt" o:hrpct="0" o:hralign="center" o:hrstd="t" o:hrnoshade="t" o:hr="t" fillcolor="black [3213]" stroked="f"/>
              </w:pict>
            </w:r>
          </w:p>
        </w:tc>
      </w:tr>
      <w:tr w:rsidR="00C21644" w:rsidRPr="00316133" w:rsidTr="003B3977">
        <w:trPr>
          <w:cantSplit/>
        </w:trPr>
        <w:tc>
          <w:tcPr>
            <w:tcW w:w="4320" w:type="dxa"/>
            <w:shd w:val="clear" w:color="auto" w:fill="auto"/>
          </w:tcPr>
          <w:p w:rsidR="00C21644" w:rsidRDefault="00C21644" w:rsidP="005F1ED8">
            <w:pPr>
              <w:rPr>
                <w:b/>
                <w:sz w:val="20"/>
                <w:szCs w:val="20"/>
              </w:rPr>
            </w:pPr>
          </w:p>
          <w:p w:rsidR="00316133" w:rsidRPr="00A935AA" w:rsidRDefault="00316133" w:rsidP="005F1ED8">
            <w:pPr>
              <w:rPr>
                <w:b/>
                <w:sz w:val="20"/>
                <w:szCs w:val="20"/>
              </w:rPr>
            </w:pPr>
            <w:r>
              <w:rPr>
                <w:b/>
                <w:sz w:val="20"/>
                <w:szCs w:val="20"/>
              </w:rPr>
              <w:t>Harold Coombs et al.</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Harold Coombs</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316133">
              <w:rPr>
                <w:sz w:val="20"/>
                <w:szCs w:val="20"/>
              </w:rPr>
              <w:t>6202</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316133" w:rsidP="005F1ED8">
            <w:pPr>
              <w:tabs>
                <w:tab w:val="left" w:pos="-1440"/>
                <w:tab w:val="left" w:pos="-720"/>
              </w:tabs>
              <w:rPr>
                <w:b/>
                <w:sz w:val="20"/>
                <w:szCs w:val="20"/>
              </w:rPr>
            </w:pPr>
            <w:r>
              <w:rPr>
                <w:b/>
                <w:sz w:val="20"/>
                <w:szCs w:val="20"/>
              </w:rPr>
              <w:t xml:space="preserve">Attorney General of Canada </w:t>
            </w:r>
            <w:r w:rsidR="00C21644" w:rsidRPr="00A935AA">
              <w:rPr>
                <w:b/>
                <w:sz w:val="20"/>
                <w:szCs w:val="20"/>
              </w:rPr>
              <w:t>(</w:t>
            </w:r>
            <w:r>
              <w:rPr>
                <w:b/>
                <w:sz w:val="20"/>
                <w:szCs w:val="20"/>
              </w:rPr>
              <w:t>F.C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Sonia Singh</w:t>
            </w:r>
          </w:p>
          <w:p w:rsidR="00C21644" w:rsidRPr="00A935AA" w:rsidRDefault="00C21644" w:rsidP="005F1ED8">
            <w:pPr>
              <w:tabs>
                <w:tab w:val="left" w:pos="-1440"/>
                <w:tab w:val="left" w:pos="-720"/>
              </w:tabs>
              <w:rPr>
                <w:sz w:val="20"/>
                <w:szCs w:val="20"/>
              </w:rPr>
            </w:pPr>
            <w:r w:rsidRPr="00A935AA">
              <w:rPr>
                <w:sz w:val="20"/>
                <w:szCs w:val="20"/>
              </w:rPr>
              <w:tab/>
            </w:r>
            <w:r w:rsidR="00316133">
              <w:rPr>
                <w:sz w:val="20"/>
                <w:szCs w:val="20"/>
              </w:rPr>
              <w:t>A.G. of Canada</w:t>
            </w:r>
          </w:p>
          <w:p w:rsidR="00C21644" w:rsidRPr="00A935AA" w:rsidRDefault="00C21644" w:rsidP="005F1ED8">
            <w:pPr>
              <w:tabs>
                <w:tab w:val="left" w:pos="-1440"/>
                <w:tab w:val="left" w:pos="-720"/>
              </w:tabs>
              <w:rPr>
                <w:sz w:val="20"/>
                <w:szCs w:val="20"/>
              </w:rPr>
            </w:pPr>
          </w:p>
          <w:p w:rsidR="00C21644" w:rsidRPr="00A935AA" w:rsidRDefault="00C21644" w:rsidP="00316133">
            <w:pPr>
              <w:rPr>
                <w:sz w:val="20"/>
                <w:szCs w:val="20"/>
              </w:rPr>
            </w:pPr>
            <w:r w:rsidRPr="00A935AA">
              <w:rPr>
                <w:sz w:val="20"/>
                <w:szCs w:val="20"/>
              </w:rPr>
              <w:t xml:space="preserve">FILING DATE: </w:t>
            </w:r>
            <w:r w:rsidR="00316133">
              <w:rPr>
                <w:sz w:val="20"/>
                <w:szCs w:val="20"/>
              </w:rPr>
              <w:t>03</w:t>
            </w:r>
            <w:r w:rsidRPr="00A935AA">
              <w:rPr>
                <w:sz w:val="20"/>
                <w:szCs w:val="20"/>
              </w:rPr>
              <w:t>.</w:t>
            </w:r>
            <w:r w:rsidR="00316133">
              <w:rPr>
                <w:sz w:val="20"/>
                <w:szCs w:val="20"/>
              </w:rPr>
              <w:t>1</w:t>
            </w:r>
            <w:r>
              <w:rPr>
                <w:sz w:val="20"/>
                <w:szCs w:val="20"/>
              </w:rPr>
              <w:t>2</w:t>
            </w:r>
            <w:r w:rsidRPr="00A935AA">
              <w:rPr>
                <w:sz w:val="20"/>
                <w:szCs w:val="20"/>
              </w:rPr>
              <w:t>.201</w:t>
            </w:r>
            <w:r>
              <w:rPr>
                <w:sz w:val="20"/>
                <w:szCs w:val="20"/>
              </w:rPr>
              <w:t>4</w:t>
            </w:r>
            <w:r w:rsidR="007871B3">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316133" w:rsidRDefault="00316133" w:rsidP="005F1ED8">
            <w:pPr>
              <w:rPr>
                <w:b/>
                <w:sz w:val="20"/>
                <w:szCs w:val="20"/>
                <w:lang w:val="fr-CA"/>
              </w:rPr>
            </w:pPr>
            <w:r w:rsidRPr="00316133">
              <w:rPr>
                <w:b/>
                <w:sz w:val="20"/>
                <w:szCs w:val="20"/>
                <w:lang w:val="fr-CA"/>
              </w:rPr>
              <w:t xml:space="preserve">Gestion 1050 de la Montagne </w:t>
            </w:r>
            <w:proofErr w:type="spellStart"/>
            <w:r w:rsidRPr="00316133">
              <w:rPr>
                <w:b/>
                <w:sz w:val="20"/>
                <w:szCs w:val="20"/>
                <w:lang w:val="fr-CA"/>
              </w:rPr>
              <w:t>inc.</w:t>
            </w:r>
            <w:proofErr w:type="spellEnd"/>
            <w:r w:rsidRPr="00316133">
              <w:rPr>
                <w:b/>
                <w:sz w:val="20"/>
                <w:szCs w:val="20"/>
                <w:lang w:val="fr-CA"/>
              </w:rPr>
              <w:t xml:space="preserve"> </w:t>
            </w:r>
            <w:r>
              <w:rPr>
                <w:b/>
                <w:sz w:val="20"/>
                <w:szCs w:val="20"/>
                <w:lang w:val="fr-CA"/>
              </w:rPr>
              <w:t>et autre</w:t>
            </w:r>
          </w:p>
          <w:p w:rsidR="00C21644" w:rsidRPr="00316133" w:rsidRDefault="00C21644" w:rsidP="005F1ED8">
            <w:pPr>
              <w:tabs>
                <w:tab w:val="left" w:pos="-1440"/>
                <w:tab w:val="left" w:pos="-720"/>
              </w:tabs>
              <w:rPr>
                <w:sz w:val="20"/>
                <w:szCs w:val="20"/>
              </w:rPr>
            </w:pPr>
            <w:r w:rsidRPr="00316133">
              <w:rPr>
                <w:sz w:val="20"/>
                <w:szCs w:val="20"/>
                <w:lang w:val="fr-CA"/>
              </w:rPr>
              <w:tab/>
            </w:r>
            <w:r w:rsidR="00316133" w:rsidRPr="00316133">
              <w:rPr>
                <w:sz w:val="20"/>
                <w:szCs w:val="20"/>
              </w:rPr>
              <w:t>Patrick Henry</w:t>
            </w:r>
          </w:p>
          <w:p w:rsidR="00C21644" w:rsidRPr="00316133" w:rsidRDefault="00C21644" w:rsidP="005F1ED8">
            <w:pPr>
              <w:tabs>
                <w:tab w:val="left" w:pos="-1440"/>
                <w:tab w:val="left" w:pos="-720"/>
              </w:tabs>
              <w:rPr>
                <w:sz w:val="20"/>
                <w:szCs w:val="20"/>
              </w:rPr>
            </w:pPr>
            <w:r w:rsidRPr="00316133">
              <w:rPr>
                <w:sz w:val="20"/>
                <w:szCs w:val="20"/>
              </w:rPr>
              <w:tab/>
            </w:r>
            <w:r w:rsidR="00316133" w:rsidRPr="00316133">
              <w:rPr>
                <w:sz w:val="20"/>
                <w:szCs w:val="20"/>
              </w:rPr>
              <w:t>Robinson Sheppard Shapiro</w:t>
            </w:r>
          </w:p>
          <w:p w:rsidR="00C21644" w:rsidRPr="00316133" w:rsidRDefault="00C21644" w:rsidP="005F1ED8">
            <w:pPr>
              <w:tabs>
                <w:tab w:val="left" w:pos="-1440"/>
                <w:tab w:val="left" w:pos="-720"/>
              </w:tabs>
              <w:rPr>
                <w:sz w:val="20"/>
                <w:szCs w:val="20"/>
              </w:rPr>
            </w:pPr>
          </w:p>
          <w:p w:rsidR="00C21644" w:rsidRPr="00316133" w:rsidRDefault="00C21644" w:rsidP="005F1ED8">
            <w:pPr>
              <w:tabs>
                <w:tab w:val="left" w:pos="-1440"/>
                <w:tab w:val="left" w:pos="-720"/>
              </w:tabs>
              <w:rPr>
                <w:sz w:val="20"/>
                <w:szCs w:val="20"/>
              </w:rPr>
            </w:pPr>
            <w:r w:rsidRPr="00316133">
              <w:rPr>
                <w:sz w:val="20"/>
                <w:szCs w:val="20"/>
              </w:rPr>
              <w:tab/>
              <w:t>v. (3</w:t>
            </w:r>
            <w:r w:rsidR="00316133" w:rsidRPr="00316133">
              <w:rPr>
                <w:sz w:val="20"/>
                <w:szCs w:val="20"/>
              </w:rPr>
              <w:t>61</w:t>
            </w:r>
            <w:r w:rsidRPr="00316133">
              <w:rPr>
                <w:sz w:val="20"/>
                <w:szCs w:val="20"/>
              </w:rPr>
              <w:t>5</w:t>
            </w:r>
            <w:r w:rsidR="00316133" w:rsidRPr="00316133">
              <w:rPr>
                <w:sz w:val="20"/>
                <w:szCs w:val="20"/>
              </w:rPr>
              <w:t>4</w:t>
            </w:r>
            <w:r w:rsidRPr="00316133">
              <w:rPr>
                <w:sz w:val="20"/>
                <w:szCs w:val="20"/>
              </w:rPr>
              <w:t>)</w:t>
            </w:r>
          </w:p>
          <w:p w:rsidR="00C21644" w:rsidRPr="00316133" w:rsidRDefault="00C21644" w:rsidP="005F1ED8">
            <w:pPr>
              <w:tabs>
                <w:tab w:val="left" w:pos="-1440"/>
                <w:tab w:val="left" w:pos="-720"/>
              </w:tabs>
              <w:rPr>
                <w:sz w:val="20"/>
                <w:szCs w:val="20"/>
              </w:rPr>
            </w:pPr>
          </w:p>
          <w:p w:rsidR="00C21644" w:rsidRPr="00316133" w:rsidRDefault="00316133" w:rsidP="005F1ED8">
            <w:pPr>
              <w:tabs>
                <w:tab w:val="left" w:pos="-1440"/>
                <w:tab w:val="left" w:pos="-720"/>
              </w:tabs>
              <w:rPr>
                <w:b/>
                <w:sz w:val="20"/>
                <w:szCs w:val="20"/>
                <w:lang w:val="fr-CA"/>
              </w:rPr>
            </w:pPr>
            <w:r>
              <w:rPr>
                <w:b/>
                <w:sz w:val="20"/>
                <w:szCs w:val="20"/>
                <w:lang w:val="fr-CA"/>
              </w:rPr>
              <w:t xml:space="preserve">Gestion </w:t>
            </w:r>
            <w:proofErr w:type="spellStart"/>
            <w:r>
              <w:rPr>
                <w:b/>
                <w:sz w:val="20"/>
                <w:szCs w:val="20"/>
                <w:lang w:val="fr-CA"/>
              </w:rPr>
              <w:t>Furst</w:t>
            </w:r>
            <w:proofErr w:type="spellEnd"/>
            <w:r>
              <w:rPr>
                <w:b/>
                <w:sz w:val="20"/>
                <w:szCs w:val="20"/>
                <w:lang w:val="fr-CA"/>
              </w:rPr>
              <w:t xml:space="preserve"> </w:t>
            </w:r>
            <w:proofErr w:type="spellStart"/>
            <w:r>
              <w:rPr>
                <w:b/>
                <w:sz w:val="20"/>
                <w:szCs w:val="20"/>
                <w:lang w:val="fr-CA"/>
              </w:rPr>
              <w:t>inc.</w:t>
            </w:r>
            <w:proofErr w:type="spellEnd"/>
            <w:r>
              <w:rPr>
                <w:b/>
                <w:sz w:val="20"/>
                <w:szCs w:val="20"/>
                <w:lang w:val="fr-CA"/>
              </w:rPr>
              <w:t xml:space="preserve"> et autre </w:t>
            </w:r>
            <w:r w:rsidR="00C21644" w:rsidRPr="00316133">
              <w:rPr>
                <w:b/>
                <w:sz w:val="20"/>
                <w:szCs w:val="20"/>
                <w:lang w:val="fr-CA"/>
              </w:rPr>
              <w:t>(</w:t>
            </w:r>
            <w:proofErr w:type="spellStart"/>
            <w:r>
              <w:rPr>
                <w:b/>
                <w:sz w:val="20"/>
                <w:szCs w:val="20"/>
                <w:lang w:val="fr-CA"/>
              </w:rPr>
              <w:t>Qc</w:t>
            </w:r>
            <w:proofErr w:type="spellEnd"/>
            <w:r w:rsidR="00C21644" w:rsidRPr="00316133">
              <w:rPr>
                <w:b/>
                <w:sz w:val="20"/>
                <w:szCs w:val="20"/>
                <w:lang w:val="fr-CA"/>
              </w:rPr>
              <w:t>)</w:t>
            </w:r>
          </w:p>
          <w:p w:rsidR="00C21644" w:rsidRPr="00316133" w:rsidRDefault="00C21644" w:rsidP="005F1ED8">
            <w:pPr>
              <w:tabs>
                <w:tab w:val="left" w:pos="-1440"/>
                <w:tab w:val="left" w:pos="-720"/>
              </w:tabs>
              <w:rPr>
                <w:sz w:val="20"/>
                <w:szCs w:val="20"/>
                <w:lang w:val="fr-CA"/>
              </w:rPr>
            </w:pPr>
            <w:r w:rsidRPr="00316133">
              <w:rPr>
                <w:sz w:val="20"/>
                <w:szCs w:val="20"/>
                <w:lang w:val="fr-CA"/>
              </w:rPr>
              <w:tab/>
            </w:r>
            <w:r w:rsidR="00B1341C">
              <w:rPr>
                <w:sz w:val="20"/>
                <w:szCs w:val="20"/>
                <w:lang w:val="fr-CA"/>
              </w:rPr>
              <w:t>Louis Samuel</w:t>
            </w:r>
          </w:p>
          <w:p w:rsidR="00C21644" w:rsidRPr="00316133" w:rsidRDefault="00C21644" w:rsidP="00B1341C">
            <w:pPr>
              <w:rPr>
                <w:sz w:val="20"/>
                <w:szCs w:val="20"/>
                <w:lang w:val="fr-CA"/>
              </w:rPr>
            </w:pPr>
            <w:r w:rsidRPr="00316133">
              <w:rPr>
                <w:sz w:val="20"/>
                <w:szCs w:val="20"/>
                <w:lang w:val="fr-CA"/>
              </w:rPr>
              <w:tab/>
            </w:r>
            <w:r w:rsidR="00B1341C">
              <w:rPr>
                <w:sz w:val="20"/>
                <w:szCs w:val="20"/>
                <w:lang w:val="fr-CA"/>
              </w:rPr>
              <w:t xml:space="preserve">de </w:t>
            </w:r>
            <w:proofErr w:type="spellStart"/>
            <w:r w:rsidR="00B1341C">
              <w:rPr>
                <w:sz w:val="20"/>
                <w:szCs w:val="20"/>
                <w:lang w:val="fr-CA"/>
              </w:rPr>
              <w:t>Grandpré</w:t>
            </w:r>
            <w:proofErr w:type="spellEnd"/>
            <w:r w:rsidR="00B1341C">
              <w:rPr>
                <w:sz w:val="20"/>
                <w:szCs w:val="20"/>
                <w:lang w:val="fr-CA"/>
              </w:rPr>
              <w:t xml:space="preserve"> </w:t>
            </w:r>
            <w:proofErr w:type="spellStart"/>
            <w:r w:rsidR="00B1341C">
              <w:rPr>
                <w:sz w:val="20"/>
                <w:szCs w:val="20"/>
                <w:lang w:val="fr-CA"/>
              </w:rPr>
              <w:t>Chait</w:t>
            </w:r>
            <w:proofErr w:type="spellEnd"/>
            <w:r w:rsidR="00B1341C">
              <w:rPr>
                <w:sz w:val="20"/>
                <w:szCs w:val="20"/>
                <w:lang w:val="fr-CA"/>
              </w:rPr>
              <w:t xml:space="preserve"> </w:t>
            </w:r>
            <w:proofErr w:type="spellStart"/>
            <w:r w:rsidR="00B1341C">
              <w:rPr>
                <w:sz w:val="20"/>
                <w:szCs w:val="20"/>
                <w:lang w:val="fr-CA"/>
              </w:rPr>
              <w:t>s.e.n.c.r.l</w:t>
            </w:r>
            <w:proofErr w:type="spellEnd"/>
            <w:r w:rsidR="00B1341C">
              <w:rPr>
                <w:sz w:val="20"/>
                <w:szCs w:val="20"/>
                <w:lang w:val="fr-CA"/>
              </w:rPr>
              <w:t>.</w:t>
            </w:r>
          </w:p>
          <w:p w:rsidR="00C21644" w:rsidRPr="00316133" w:rsidRDefault="00C21644" w:rsidP="005F1ED8">
            <w:pPr>
              <w:tabs>
                <w:tab w:val="left" w:pos="-1440"/>
                <w:tab w:val="left" w:pos="-720"/>
              </w:tabs>
              <w:rPr>
                <w:sz w:val="20"/>
                <w:szCs w:val="20"/>
                <w:lang w:val="fr-CA"/>
              </w:rPr>
            </w:pPr>
          </w:p>
          <w:p w:rsidR="00C21644" w:rsidRPr="00316133" w:rsidRDefault="00316133" w:rsidP="00B1341C">
            <w:pPr>
              <w:rPr>
                <w:sz w:val="20"/>
                <w:szCs w:val="20"/>
                <w:lang w:val="fr-CA"/>
              </w:rPr>
            </w:pPr>
            <w:r w:rsidRPr="006652A8">
              <w:rPr>
                <w:sz w:val="20"/>
                <w:szCs w:val="20"/>
                <w:lang w:val="fr-CA"/>
              </w:rPr>
              <w:t>DATE DE PRODUCTION</w:t>
            </w:r>
            <w:r>
              <w:rPr>
                <w:sz w:val="20"/>
                <w:szCs w:val="20"/>
                <w:lang w:val="fr-CA"/>
              </w:rPr>
              <w:t xml:space="preserve"> </w:t>
            </w:r>
            <w:r w:rsidRPr="006652A8">
              <w:rPr>
                <w:sz w:val="20"/>
                <w:szCs w:val="20"/>
                <w:lang w:val="fr-CA"/>
              </w:rPr>
              <w:t>: 0</w:t>
            </w:r>
            <w:r w:rsidR="00B1341C">
              <w:rPr>
                <w:sz w:val="20"/>
                <w:szCs w:val="20"/>
                <w:lang w:val="fr-CA"/>
              </w:rPr>
              <w:t>4</w:t>
            </w:r>
            <w:r w:rsidRPr="006652A8">
              <w:rPr>
                <w:sz w:val="20"/>
                <w:szCs w:val="20"/>
                <w:lang w:val="fr-CA"/>
              </w:rPr>
              <w:t>.1</w:t>
            </w:r>
            <w:r w:rsidR="00B1341C">
              <w:rPr>
                <w:sz w:val="20"/>
                <w:szCs w:val="20"/>
                <w:lang w:val="fr-CA"/>
              </w:rPr>
              <w:t>2</w:t>
            </w:r>
            <w:r w:rsidRPr="006652A8">
              <w:rPr>
                <w:sz w:val="20"/>
                <w:szCs w:val="20"/>
                <w:lang w:val="fr-CA"/>
              </w:rPr>
              <w:t>.2014</w:t>
            </w:r>
            <w:r w:rsidR="007871B3">
              <w:rPr>
                <w:sz w:val="20"/>
                <w:szCs w:val="20"/>
                <w:lang w:val="fr-CA"/>
              </w:rPr>
              <w:pict>
                <v:rect id="_x0000_i1036" style="width:108pt;height:1pt" o:hrpct="0" o:hralign="center" o:hrstd="t" o:hrnoshade="t" o:hr="t" fillcolor="black [3213]" stroked="f"/>
              </w:pict>
            </w:r>
          </w:p>
        </w:tc>
      </w:tr>
      <w:tr w:rsidR="006652A8" w:rsidRPr="00A935AA" w:rsidTr="003B3977">
        <w:trPr>
          <w:cantSplit/>
        </w:trPr>
        <w:tc>
          <w:tcPr>
            <w:tcW w:w="4320" w:type="dxa"/>
            <w:shd w:val="clear" w:color="auto" w:fill="auto"/>
          </w:tcPr>
          <w:p w:rsidR="006652A8" w:rsidRPr="00316133" w:rsidRDefault="00B1341C" w:rsidP="006652A8">
            <w:pPr>
              <w:rPr>
                <w:b/>
                <w:sz w:val="20"/>
                <w:szCs w:val="20"/>
                <w:lang w:val="fr-CA"/>
              </w:rPr>
            </w:pPr>
            <w:r>
              <w:rPr>
                <w:b/>
                <w:sz w:val="20"/>
                <w:szCs w:val="20"/>
                <w:lang w:val="fr-CA"/>
              </w:rPr>
              <w:t xml:space="preserve">Jennifer Lynne </w:t>
            </w:r>
            <w:proofErr w:type="spellStart"/>
            <w:r>
              <w:rPr>
                <w:b/>
                <w:sz w:val="20"/>
                <w:szCs w:val="20"/>
                <w:lang w:val="fr-CA"/>
              </w:rPr>
              <w:t>Dundas</w:t>
            </w:r>
            <w:proofErr w:type="spellEnd"/>
          </w:p>
          <w:p w:rsidR="006652A8" w:rsidRPr="00316133" w:rsidRDefault="006652A8" w:rsidP="006652A8">
            <w:pPr>
              <w:tabs>
                <w:tab w:val="left" w:pos="-1440"/>
                <w:tab w:val="left" w:pos="-720"/>
              </w:tabs>
              <w:rPr>
                <w:sz w:val="20"/>
                <w:szCs w:val="20"/>
                <w:lang w:val="fr-CA"/>
              </w:rPr>
            </w:pPr>
            <w:r w:rsidRPr="00316133">
              <w:rPr>
                <w:sz w:val="20"/>
                <w:szCs w:val="20"/>
                <w:lang w:val="fr-CA"/>
              </w:rPr>
              <w:tab/>
            </w:r>
            <w:proofErr w:type="spellStart"/>
            <w:r w:rsidR="00B1341C">
              <w:rPr>
                <w:sz w:val="20"/>
                <w:szCs w:val="20"/>
                <w:lang w:val="fr-CA"/>
              </w:rPr>
              <w:t>Darcie</w:t>
            </w:r>
            <w:proofErr w:type="spellEnd"/>
            <w:r w:rsidR="00B1341C">
              <w:rPr>
                <w:sz w:val="20"/>
                <w:szCs w:val="20"/>
                <w:lang w:val="fr-CA"/>
              </w:rPr>
              <w:t xml:space="preserve"> C. Yale</w:t>
            </w:r>
          </w:p>
          <w:p w:rsidR="006652A8" w:rsidRPr="00B1341C" w:rsidRDefault="006652A8" w:rsidP="006652A8">
            <w:pPr>
              <w:tabs>
                <w:tab w:val="left" w:pos="-1440"/>
                <w:tab w:val="left" w:pos="-720"/>
              </w:tabs>
              <w:rPr>
                <w:sz w:val="20"/>
                <w:szCs w:val="20"/>
              </w:rPr>
            </w:pPr>
            <w:r w:rsidRPr="00316133">
              <w:rPr>
                <w:sz w:val="20"/>
                <w:szCs w:val="20"/>
                <w:lang w:val="fr-CA"/>
              </w:rPr>
              <w:tab/>
            </w:r>
            <w:r w:rsidR="00B1341C" w:rsidRPr="00B1341C">
              <w:rPr>
                <w:sz w:val="20"/>
                <w:szCs w:val="20"/>
              </w:rPr>
              <w:t>D’Arcy &amp; Deacon</w:t>
            </w:r>
          </w:p>
          <w:p w:rsidR="006652A8" w:rsidRPr="00B1341C" w:rsidRDefault="006652A8" w:rsidP="006652A8">
            <w:pPr>
              <w:tabs>
                <w:tab w:val="left" w:pos="-1440"/>
                <w:tab w:val="left" w:pos="-720"/>
              </w:tabs>
              <w:rPr>
                <w:sz w:val="20"/>
                <w:szCs w:val="20"/>
              </w:rPr>
            </w:pPr>
          </w:p>
          <w:p w:rsidR="006652A8" w:rsidRPr="00B1341C" w:rsidRDefault="006652A8" w:rsidP="006652A8">
            <w:pPr>
              <w:tabs>
                <w:tab w:val="left" w:pos="-1440"/>
                <w:tab w:val="left" w:pos="-720"/>
              </w:tabs>
              <w:rPr>
                <w:sz w:val="20"/>
                <w:szCs w:val="20"/>
              </w:rPr>
            </w:pPr>
            <w:r w:rsidRPr="00B1341C">
              <w:rPr>
                <w:sz w:val="20"/>
                <w:szCs w:val="20"/>
              </w:rPr>
              <w:tab/>
              <w:t>v. (3</w:t>
            </w:r>
            <w:r w:rsidR="00B1341C" w:rsidRPr="00B1341C">
              <w:rPr>
                <w:sz w:val="20"/>
                <w:szCs w:val="20"/>
              </w:rPr>
              <w:t>6198</w:t>
            </w:r>
            <w:r w:rsidRPr="00B1341C">
              <w:rPr>
                <w:sz w:val="20"/>
                <w:szCs w:val="20"/>
              </w:rPr>
              <w:t>)</w:t>
            </w:r>
          </w:p>
          <w:p w:rsidR="006652A8" w:rsidRPr="00B1341C" w:rsidRDefault="006652A8" w:rsidP="006652A8">
            <w:pPr>
              <w:tabs>
                <w:tab w:val="left" w:pos="-1440"/>
                <w:tab w:val="left" w:pos="-720"/>
              </w:tabs>
              <w:rPr>
                <w:sz w:val="20"/>
                <w:szCs w:val="20"/>
              </w:rPr>
            </w:pPr>
          </w:p>
          <w:p w:rsidR="006652A8" w:rsidRPr="00B1341C" w:rsidRDefault="00B1341C" w:rsidP="006652A8">
            <w:pPr>
              <w:tabs>
                <w:tab w:val="left" w:pos="-1440"/>
                <w:tab w:val="left" w:pos="-720"/>
              </w:tabs>
              <w:rPr>
                <w:b/>
                <w:sz w:val="20"/>
                <w:szCs w:val="20"/>
              </w:rPr>
            </w:pPr>
            <w:r>
              <w:rPr>
                <w:b/>
                <w:sz w:val="20"/>
                <w:szCs w:val="20"/>
              </w:rPr>
              <w:t xml:space="preserve">Arthur Melvin Schafer </w:t>
            </w:r>
            <w:r w:rsidR="006652A8" w:rsidRPr="00B1341C">
              <w:rPr>
                <w:b/>
                <w:sz w:val="20"/>
                <w:szCs w:val="20"/>
              </w:rPr>
              <w:t>(</w:t>
            </w:r>
            <w:r>
              <w:rPr>
                <w:b/>
                <w:sz w:val="20"/>
                <w:szCs w:val="20"/>
              </w:rPr>
              <w:t>Ma</w:t>
            </w:r>
            <w:r w:rsidR="006652A8" w:rsidRPr="00B1341C">
              <w:rPr>
                <w:b/>
                <w:sz w:val="20"/>
                <w:szCs w:val="20"/>
              </w:rPr>
              <w:t>n.)</w:t>
            </w:r>
          </w:p>
          <w:p w:rsidR="006652A8" w:rsidRPr="00B1341C" w:rsidRDefault="006652A8" w:rsidP="006652A8">
            <w:pPr>
              <w:tabs>
                <w:tab w:val="left" w:pos="-1440"/>
                <w:tab w:val="left" w:pos="-720"/>
              </w:tabs>
              <w:rPr>
                <w:sz w:val="20"/>
                <w:szCs w:val="20"/>
              </w:rPr>
            </w:pPr>
            <w:r w:rsidRPr="00B1341C">
              <w:rPr>
                <w:sz w:val="20"/>
                <w:szCs w:val="20"/>
              </w:rPr>
              <w:tab/>
            </w:r>
            <w:r w:rsidR="00B1341C">
              <w:rPr>
                <w:sz w:val="20"/>
                <w:szCs w:val="20"/>
              </w:rPr>
              <w:t>Esther Hirsch</w:t>
            </w:r>
          </w:p>
          <w:p w:rsidR="006652A8" w:rsidRPr="00B1341C" w:rsidRDefault="006652A8" w:rsidP="006652A8">
            <w:pPr>
              <w:tabs>
                <w:tab w:val="left" w:pos="-1440"/>
                <w:tab w:val="left" w:pos="-720"/>
              </w:tabs>
              <w:rPr>
                <w:sz w:val="20"/>
                <w:szCs w:val="20"/>
              </w:rPr>
            </w:pPr>
            <w:r w:rsidRPr="00B1341C">
              <w:rPr>
                <w:sz w:val="20"/>
                <w:szCs w:val="20"/>
              </w:rPr>
              <w:tab/>
            </w:r>
            <w:r w:rsidR="00B1341C">
              <w:rPr>
                <w:sz w:val="20"/>
                <w:szCs w:val="20"/>
              </w:rPr>
              <w:t>Bernstein and Hirsch LLP</w:t>
            </w:r>
          </w:p>
          <w:p w:rsidR="006652A8" w:rsidRPr="00B1341C" w:rsidRDefault="006652A8" w:rsidP="006652A8">
            <w:pPr>
              <w:tabs>
                <w:tab w:val="left" w:pos="-1440"/>
                <w:tab w:val="left" w:pos="-720"/>
              </w:tabs>
              <w:rPr>
                <w:sz w:val="20"/>
                <w:szCs w:val="20"/>
              </w:rPr>
            </w:pPr>
          </w:p>
          <w:p w:rsidR="006652A8" w:rsidRPr="00B1341C" w:rsidRDefault="006652A8" w:rsidP="00B1341C">
            <w:pPr>
              <w:rPr>
                <w:sz w:val="20"/>
                <w:szCs w:val="20"/>
              </w:rPr>
            </w:pPr>
            <w:r w:rsidRPr="00B1341C">
              <w:rPr>
                <w:sz w:val="20"/>
                <w:szCs w:val="20"/>
              </w:rPr>
              <w:t xml:space="preserve">FILING DATE: </w:t>
            </w:r>
            <w:r w:rsidR="00B1341C">
              <w:rPr>
                <w:sz w:val="20"/>
                <w:szCs w:val="20"/>
              </w:rPr>
              <w:t>05</w:t>
            </w:r>
            <w:r w:rsidRPr="00B1341C">
              <w:rPr>
                <w:sz w:val="20"/>
                <w:szCs w:val="20"/>
              </w:rPr>
              <w:t>.</w:t>
            </w:r>
            <w:r w:rsidR="00B1341C">
              <w:rPr>
                <w:sz w:val="20"/>
                <w:szCs w:val="20"/>
              </w:rPr>
              <w:t>1</w:t>
            </w:r>
            <w:r w:rsidRPr="00B1341C">
              <w:rPr>
                <w:sz w:val="20"/>
                <w:szCs w:val="20"/>
              </w:rPr>
              <w:t>2.2014</w:t>
            </w:r>
            <w:r w:rsidR="007871B3">
              <w:rPr>
                <w:sz w:val="20"/>
                <w:szCs w:val="20"/>
                <w:lang w:val="fr-CA"/>
              </w:rPr>
              <w:pict>
                <v:rect id="_x0000_i1037" style="width:108pt;height:1pt" o:hrpct="0" o:hralign="center" o:hrstd="t" o:hrnoshade="t" o:hr="t" fillcolor="black [3213]" stroked="f"/>
              </w:pict>
            </w:r>
          </w:p>
        </w:tc>
        <w:tc>
          <w:tcPr>
            <w:tcW w:w="1181" w:type="dxa"/>
            <w:shd w:val="clear" w:color="auto" w:fill="auto"/>
          </w:tcPr>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p w:rsidR="006652A8" w:rsidRPr="00B1341C" w:rsidRDefault="006652A8" w:rsidP="00242AEE">
            <w:pPr>
              <w:jc w:val="center"/>
              <w:rPr>
                <w:sz w:val="20"/>
                <w:szCs w:val="20"/>
              </w:rPr>
            </w:pPr>
          </w:p>
        </w:tc>
        <w:tc>
          <w:tcPr>
            <w:tcW w:w="4320" w:type="dxa"/>
            <w:shd w:val="clear" w:color="auto" w:fill="auto"/>
          </w:tcPr>
          <w:p w:rsidR="006652A8" w:rsidRPr="00A935AA" w:rsidRDefault="006652A8" w:rsidP="006652A8">
            <w:pPr>
              <w:rPr>
                <w:sz w:val="20"/>
                <w:szCs w:val="20"/>
              </w:rPr>
            </w:pP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230158">
          <w:headerReference w:type="default" r:id="rId10"/>
          <w:footerReference w:type="default" r:id="rId11"/>
          <w:headerReference w:type="first" r:id="rId12"/>
          <w:footerReference w:type="first" r:id="rId13"/>
          <w:pgSz w:w="12240" w:h="15840"/>
          <w:pgMar w:top="720" w:right="965" w:bottom="1080" w:left="1656" w:header="706" w:footer="706" w:gutter="0"/>
          <w:pgNumType w:start="202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9723FD"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791511" w:rsidP="00CB3520">
      <w:pPr>
        <w:widowControl w:val="0"/>
        <w:rPr>
          <w:b/>
          <w:sz w:val="20"/>
          <w:szCs w:val="20"/>
        </w:rPr>
      </w:pPr>
      <w:r>
        <w:rPr>
          <w:b/>
          <w:sz w:val="20"/>
          <w:szCs w:val="20"/>
        </w:rPr>
        <w:t>DECEMBE</w:t>
      </w:r>
      <w:r w:rsidR="00CB3520">
        <w:rPr>
          <w:b/>
          <w:sz w:val="20"/>
          <w:szCs w:val="20"/>
        </w:rPr>
        <w:t xml:space="preserve">R </w:t>
      </w:r>
      <w:r>
        <w:rPr>
          <w:b/>
          <w:sz w:val="20"/>
          <w:szCs w:val="20"/>
        </w:rPr>
        <w:t>15</w:t>
      </w:r>
      <w:r w:rsidR="00CB3520" w:rsidRPr="00C50A5C">
        <w:rPr>
          <w:b/>
          <w:sz w:val="20"/>
          <w:szCs w:val="20"/>
        </w:rPr>
        <w:t>, 201</w:t>
      </w:r>
      <w:r w:rsidR="00CB3520">
        <w:rPr>
          <w:b/>
          <w:sz w:val="20"/>
          <w:szCs w:val="20"/>
        </w:rPr>
        <w:t>4</w:t>
      </w:r>
      <w:r w:rsidR="00CB3520" w:rsidRPr="00C50A5C">
        <w:rPr>
          <w:b/>
          <w:sz w:val="20"/>
          <w:szCs w:val="20"/>
        </w:rPr>
        <w:t xml:space="preserve"> / LE </w:t>
      </w:r>
      <w:r>
        <w:rPr>
          <w:b/>
          <w:sz w:val="20"/>
          <w:szCs w:val="20"/>
        </w:rPr>
        <w:t>15</w:t>
      </w:r>
      <w:r w:rsidR="00CB3520">
        <w:rPr>
          <w:b/>
          <w:sz w:val="20"/>
          <w:szCs w:val="20"/>
        </w:rPr>
        <w:t xml:space="preserve"> </w:t>
      </w:r>
      <w:r>
        <w:rPr>
          <w:b/>
          <w:sz w:val="20"/>
          <w:szCs w:val="20"/>
        </w:rPr>
        <w:t>DÉC</w:t>
      </w:r>
      <w:r w:rsidR="00CB3520">
        <w:rPr>
          <w:b/>
          <w:sz w:val="20"/>
          <w:szCs w:val="20"/>
        </w:rPr>
        <w:t>E</w:t>
      </w:r>
      <w:r>
        <w:rPr>
          <w:b/>
          <w:sz w:val="20"/>
          <w:szCs w:val="20"/>
        </w:rPr>
        <w:t>MB</w:t>
      </w:r>
      <w:r w:rsidR="00CB3520">
        <w:rPr>
          <w:b/>
          <w:sz w:val="20"/>
          <w:szCs w:val="20"/>
        </w:rPr>
        <w:t>R</w:t>
      </w:r>
      <w:r>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r w:rsidR="00791511">
        <w:rPr>
          <w:b/>
          <w:sz w:val="20"/>
          <w:szCs w:val="20"/>
        </w:rPr>
        <w:t xml:space="preserve">Wagner </w:t>
      </w:r>
      <w:r w:rsidRPr="00C50A5C">
        <w:rPr>
          <w:b/>
          <w:sz w:val="20"/>
          <w:szCs w:val="20"/>
        </w:rPr>
        <w:t xml:space="preserve">and </w:t>
      </w:r>
      <w:proofErr w:type="spellStart"/>
      <w:r w:rsidR="00791511">
        <w:rPr>
          <w:b/>
          <w:sz w:val="20"/>
          <w:szCs w:val="20"/>
        </w:rPr>
        <w:t>Gascon</w:t>
      </w:r>
      <w:proofErr w:type="spellEnd"/>
      <w:r w:rsidR="00791511" w:rsidRPr="00C50A5C">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w:t>
      </w:r>
      <w:r w:rsidR="00791511">
        <w:rPr>
          <w:b/>
          <w:sz w:val="20"/>
          <w:szCs w:val="20"/>
          <w:lang w:val="fr-CA"/>
        </w:rPr>
        <w:t>Wagner et Gascon</w:t>
      </w:r>
    </w:p>
    <w:p w:rsidR="00CB3520" w:rsidRPr="00C50A5C" w:rsidRDefault="00CB3520" w:rsidP="00CB3520">
      <w:pPr>
        <w:widowControl w:val="0"/>
        <w:rPr>
          <w:sz w:val="20"/>
          <w:szCs w:val="20"/>
          <w:lang w:val="fr-CA"/>
        </w:rPr>
      </w:pPr>
    </w:p>
    <w:p w:rsidR="00CB3520" w:rsidRPr="00C50A5C" w:rsidRDefault="00956797" w:rsidP="00CB3520">
      <w:pPr>
        <w:pStyle w:val="ListParagraph"/>
        <w:widowControl w:val="0"/>
        <w:numPr>
          <w:ilvl w:val="0"/>
          <w:numId w:val="1"/>
        </w:numPr>
        <w:ind w:hanging="720"/>
        <w:jc w:val="both"/>
        <w:rPr>
          <w:sz w:val="20"/>
          <w:szCs w:val="20"/>
        </w:rPr>
      </w:pPr>
      <w:r w:rsidRPr="00956797">
        <w:rPr>
          <w:i/>
          <w:sz w:val="20"/>
          <w:szCs w:val="20"/>
        </w:rPr>
        <w:t xml:space="preserve">Charles Eli </w:t>
      </w:r>
      <w:proofErr w:type="spellStart"/>
      <w:r w:rsidRPr="00956797">
        <w:rPr>
          <w:i/>
          <w:sz w:val="20"/>
          <w:szCs w:val="20"/>
        </w:rPr>
        <w:t>Kembo</w:t>
      </w:r>
      <w:proofErr w:type="spellEnd"/>
      <w:r w:rsidRPr="00956797">
        <w:rPr>
          <w:i/>
          <w:sz w:val="20"/>
          <w:szCs w:val="20"/>
        </w:rPr>
        <w:t xml:space="preserve"> v. Her Majesty the Queen</w:t>
      </w:r>
      <w:r w:rsidRPr="00956797">
        <w:rPr>
          <w:sz w:val="20"/>
          <w:szCs w:val="20"/>
        </w:rPr>
        <w:t xml:space="preserve"> (B.C.) (Crim.) (By Leave)</w:t>
      </w:r>
      <w:r w:rsidRPr="00C50A5C">
        <w:rPr>
          <w:sz w:val="20"/>
          <w:szCs w:val="20"/>
        </w:rPr>
        <w:t xml:space="preserve"> </w:t>
      </w:r>
      <w:r w:rsidR="00CB3520" w:rsidRPr="00C50A5C">
        <w:rPr>
          <w:sz w:val="20"/>
          <w:szCs w:val="20"/>
        </w:rPr>
        <w:t>(3</w:t>
      </w:r>
      <w:r w:rsidR="00CB3520">
        <w:rPr>
          <w:sz w:val="20"/>
          <w:szCs w:val="20"/>
        </w:rPr>
        <w:t>6</w:t>
      </w:r>
      <w:r>
        <w:rPr>
          <w:sz w:val="20"/>
          <w:szCs w:val="20"/>
        </w:rPr>
        <w:t>130</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956797" w:rsidP="00CB3520">
      <w:pPr>
        <w:pStyle w:val="ListParagraph"/>
        <w:widowControl w:val="0"/>
        <w:numPr>
          <w:ilvl w:val="0"/>
          <w:numId w:val="1"/>
        </w:numPr>
        <w:ind w:hanging="720"/>
        <w:jc w:val="both"/>
        <w:rPr>
          <w:sz w:val="20"/>
          <w:szCs w:val="20"/>
        </w:rPr>
      </w:pPr>
      <w:r w:rsidRPr="00956797">
        <w:rPr>
          <w:i/>
          <w:sz w:val="20"/>
          <w:szCs w:val="20"/>
        </w:rPr>
        <w:t>G.S. v. L.S.</w:t>
      </w:r>
      <w:r w:rsidRPr="00956797">
        <w:rPr>
          <w:sz w:val="20"/>
          <w:szCs w:val="20"/>
        </w:rPr>
        <w:t xml:space="preserve"> (B.C.) (Civil) (By Leave)</w:t>
      </w:r>
      <w:r w:rsidRPr="00C612D0">
        <w:rPr>
          <w:sz w:val="20"/>
          <w:szCs w:val="20"/>
        </w:rPr>
        <w:t xml:space="preserve"> </w:t>
      </w:r>
      <w:r w:rsidR="00CB3520" w:rsidRPr="00C612D0">
        <w:rPr>
          <w:sz w:val="20"/>
          <w:szCs w:val="20"/>
        </w:rPr>
        <w:t>(3</w:t>
      </w:r>
      <w:r w:rsidR="00CB3520">
        <w:rPr>
          <w:sz w:val="20"/>
          <w:szCs w:val="20"/>
        </w:rPr>
        <w:t>6</w:t>
      </w:r>
      <w:r>
        <w:rPr>
          <w:sz w:val="20"/>
          <w:szCs w:val="20"/>
        </w:rPr>
        <w:t>13</w:t>
      </w:r>
      <w:r w:rsidR="00CB3520">
        <w:rPr>
          <w:sz w:val="20"/>
          <w:szCs w:val="20"/>
        </w:rPr>
        <w:t>8</w:t>
      </w:r>
      <w:r w:rsidR="00CB3520" w:rsidRPr="00C612D0">
        <w:rPr>
          <w:sz w:val="20"/>
          <w:szCs w:val="20"/>
        </w:rPr>
        <w:t>)</w:t>
      </w:r>
    </w:p>
    <w:p w:rsidR="00CB3520" w:rsidRDefault="00CB3520" w:rsidP="00CB3520">
      <w:pPr>
        <w:widowControl w:val="0"/>
        <w:jc w:val="both"/>
        <w:rPr>
          <w:sz w:val="20"/>
          <w:szCs w:val="20"/>
        </w:rPr>
      </w:pPr>
    </w:p>
    <w:p w:rsidR="00956797" w:rsidRDefault="00956797" w:rsidP="00CB3520">
      <w:pPr>
        <w:widowControl w:val="0"/>
        <w:jc w:val="both"/>
        <w:rPr>
          <w:sz w:val="20"/>
          <w:szCs w:val="20"/>
        </w:rPr>
      </w:pPr>
    </w:p>
    <w:p w:rsidR="00956797" w:rsidRPr="00C50A5C" w:rsidRDefault="00956797" w:rsidP="00956797">
      <w:pPr>
        <w:widowControl w:val="0"/>
        <w:jc w:val="center"/>
        <w:rPr>
          <w:b/>
          <w:sz w:val="20"/>
          <w:szCs w:val="20"/>
        </w:rPr>
      </w:pPr>
      <w:r w:rsidRPr="00C50A5C">
        <w:rPr>
          <w:b/>
          <w:sz w:val="20"/>
          <w:szCs w:val="20"/>
        </w:rPr>
        <w:t xml:space="preserve">CORAM: </w:t>
      </w:r>
      <w:proofErr w:type="spellStart"/>
      <w:r>
        <w:rPr>
          <w:b/>
          <w:sz w:val="20"/>
          <w:szCs w:val="20"/>
        </w:rPr>
        <w:t>Abella</w:t>
      </w:r>
      <w:proofErr w:type="spellEnd"/>
      <w:r>
        <w:rPr>
          <w:b/>
          <w:sz w:val="20"/>
          <w:szCs w:val="20"/>
        </w:rPr>
        <w:t>,</w:t>
      </w:r>
      <w:r w:rsidRPr="00C50A5C">
        <w:rPr>
          <w:b/>
          <w:sz w:val="20"/>
          <w:szCs w:val="20"/>
        </w:rPr>
        <w:t xml:space="preserve"> </w:t>
      </w:r>
      <w:proofErr w:type="spellStart"/>
      <w:r>
        <w:rPr>
          <w:b/>
          <w:sz w:val="20"/>
          <w:szCs w:val="20"/>
        </w:rPr>
        <w:t>Karakatsanis</w:t>
      </w:r>
      <w:proofErr w:type="spellEnd"/>
      <w:r w:rsidRPr="00C50A5C">
        <w:rPr>
          <w:b/>
          <w:sz w:val="20"/>
          <w:szCs w:val="20"/>
        </w:rPr>
        <w:t xml:space="preserve"> and </w:t>
      </w:r>
      <w:r>
        <w:rPr>
          <w:b/>
          <w:sz w:val="20"/>
          <w:szCs w:val="20"/>
        </w:rPr>
        <w:t xml:space="preserve">Wagner </w:t>
      </w:r>
      <w:r w:rsidRPr="00C50A5C">
        <w:rPr>
          <w:b/>
          <w:sz w:val="20"/>
          <w:szCs w:val="20"/>
        </w:rPr>
        <w:t>JJ.</w:t>
      </w:r>
    </w:p>
    <w:p w:rsidR="00956797" w:rsidRPr="00C50A5C" w:rsidRDefault="00956797" w:rsidP="00956797">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proofErr w:type="spellStart"/>
      <w:r>
        <w:rPr>
          <w:b/>
          <w:sz w:val="20"/>
          <w:szCs w:val="20"/>
          <w:lang w:val="fr-CA"/>
        </w:rPr>
        <w:t>Karakatsanis</w:t>
      </w:r>
      <w:proofErr w:type="spellEnd"/>
      <w:r w:rsidRPr="00C50A5C">
        <w:rPr>
          <w:b/>
          <w:sz w:val="20"/>
          <w:szCs w:val="20"/>
          <w:lang w:val="fr-CA"/>
        </w:rPr>
        <w:t xml:space="preserve"> et </w:t>
      </w:r>
      <w:r>
        <w:rPr>
          <w:b/>
          <w:sz w:val="20"/>
          <w:szCs w:val="20"/>
          <w:lang w:val="fr-CA"/>
        </w:rPr>
        <w:t>Wagner</w:t>
      </w:r>
    </w:p>
    <w:p w:rsidR="00956797" w:rsidRPr="00956797" w:rsidRDefault="00956797" w:rsidP="00CB3520">
      <w:pPr>
        <w:widowControl w:val="0"/>
        <w:jc w:val="both"/>
        <w:rPr>
          <w:sz w:val="20"/>
          <w:szCs w:val="20"/>
          <w:lang w:val="fr-CA"/>
        </w:rPr>
      </w:pPr>
    </w:p>
    <w:p w:rsidR="00CB3520" w:rsidRPr="00C50A5C" w:rsidRDefault="00956797" w:rsidP="00CB3520">
      <w:pPr>
        <w:pStyle w:val="ListParagraph"/>
        <w:widowControl w:val="0"/>
        <w:numPr>
          <w:ilvl w:val="0"/>
          <w:numId w:val="1"/>
        </w:numPr>
        <w:ind w:hanging="720"/>
        <w:jc w:val="both"/>
        <w:rPr>
          <w:sz w:val="20"/>
          <w:szCs w:val="20"/>
        </w:rPr>
      </w:pPr>
      <w:r w:rsidRPr="00956797">
        <w:rPr>
          <w:i/>
          <w:sz w:val="20"/>
          <w:szCs w:val="20"/>
        </w:rPr>
        <w:t xml:space="preserve">Donald </w:t>
      </w:r>
      <w:proofErr w:type="spellStart"/>
      <w:r w:rsidRPr="00956797">
        <w:rPr>
          <w:i/>
          <w:sz w:val="20"/>
          <w:szCs w:val="20"/>
        </w:rPr>
        <w:t>Milani</w:t>
      </w:r>
      <w:proofErr w:type="spellEnd"/>
      <w:r w:rsidRPr="00956797">
        <w:rPr>
          <w:i/>
          <w:sz w:val="20"/>
          <w:szCs w:val="20"/>
        </w:rPr>
        <w:t xml:space="preserve"> v. Her Majesty the Queen</w:t>
      </w:r>
      <w:r w:rsidRPr="00956797">
        <w:rPr>
          <w:sz w:val="20"/>
          <w:szCs w:val="20"/>
        </w:rPr>
        <w:t xml:space="preserve"> (Ont.) (Crim.) (By Leave)</w:t>
      </w:r>
      <w:r w:rsidRPr="00940CAD">
        <w:rPr>
          <w:sz w:val="20"/>
          <w:szCs w:val="20"/>
        </w:rPr>
        <w:t xml:space="preserve"> </w:t>
      </w:r>
      <w:r w:rsidR="00CB3520" w:rsidRPr="00940CAD">
        <w:rPr>
          <w:sz w:val="20"/>
          <w:szCs w:val="20"/>
        </w:rPr>
        <w:t>(3</w:t>
      </w:r>
      <w:r>
        <w:rPr>
          <w:sz w:val="20"/>
          <w:szCs w:val="20"/>
        </w:rPr>
        <w:t>6</w:t>
      </w:r>
      <w:r w:rsidR="00CB3520">
        <w:rPr>
          <w:sz w:val="20"/>
          <w:szCs w:val="20"/>
        </w:rPr>
        <w:t>0</w:t>
      </w:r>
      <w:r>
        <w:rPr>
          <w:sz w:val="20"/>
          <w:szCs w:val="20"/>
        </w:rPr>
        <w:t>95</w:t>
      </w:r>
      <w:r w:rsidR="00CB3520" w:rsidRPr="00940CAD">
        <w:rPr>
          <w:sz w:val="20"/>
          <w:szCs w:val="20"/>
        </w:rPr>
        <w:t>)</w:t>
      </w:r>
    </w:p>
    <w:p w:rsidR="00CB3520" w:rsidRDefault="00CB3520" w:rsidP="00CB3520">
      <w:pPr>
        <w:widowControl w:val="0"/>
        <w:rPr>
          <w:sz w:val="20"/>
          <w:szCs w:val="20"/>
        </w:rPr>
      </w:pPr>
    </w:p>
    <w:p w:rsidR="00CB3520" w:rsidRPr="00C50A5C" w:rsidRDefault="00956797" w:rsidP="00CB3520">
      <w:pPr>
        <w:pStyle w:val="ListParagraph"/>
        <w:widowControl w:val="0"/>
        <w:numPr>
          <w:ilvl w:val="0"/>
          <w:numId w:val="1"/>
        </w:numPr>
        <w:ind w:hanging="720"/>
        <w:jc w:val="both"/>
        <w:rPr>
          <w:sz w:val="20"/>
          <w:szCs w:val="20"/>
        </w:rPr>
      </w:pPr>
      <w:proofErr w:type="spellStart"/>
      <w:r w:rsidRPr="00956797">
        <w:rPr>
          <w:i/>
          <w:sz w:val="20"/>
          <w:szCs w:val="20"/>
          <w:lang w:val="fr-CA"/>
        </w:rPr>
        <w:t>Estate</w:t>
      </w:r>
      <w:proofErr w:type="spellEnd"/>
      <w:r w:rsidRPr="00956797">
        <w:rPr>
          <w:i/>
          <w:sz w:val="20"/>
          <w:szCs w:val="20"/>
          <w:lang w:val="fr-CA"/>
        </w:rPr>
        <w:t xml:space="preserve"> of the </w:t>
      </w:r>
      <w:proofErr w:type="spellStart"/>
      <w:r w:rsidRPr="00956797">
        <w:rPr>
          <w:i/>
          <w:sz w:val="20"/>
          <w:szCs w:val="20"/>
          <w:lang w:val="fr-CA"/>
        </w:rPr>
        <w:t>Late</w:t>
      </w:r>
      <w:proofErr w:type="spellEnd"/>
      <w:r w:rsidRPr="00956797">
        <w:rPr>
          <w:i/>
          <w:sz w:val="20"/>
          <w:szCs w:val="20"/>
          <w:lang w:val="fr-CA"/>
        </w:rPr>
        <w:t xml:space="preserve"> </w:t>
      </w:r>
      <w:proofErr w:type="spellStart"/>
      <w:r w:rsidRPr="00956797">
        <w:rPr>
          <w:i/>
          <w:sz w:val="20"/>
          <w:szCs w:val="20"/>
          <w:lang w:val="fr-CA"/>
        </w:rPr>
        <w:t>Eisig</w:t>
      </w:r>
      <w:proofErr w:type="spellEnd"/>
      <w:r w:rsidRPr="00956797">
        <w:rPr>
          <w:i/>
          <w:sz w:val="20"/>
          <w:szCs w:val="20"/>
          <w:lang w:val="fr-CA"/>
        </w:rPr>
        <w:t xml:space="preserve"> </w:t>
      </w:r>
      <w:proofErr w:type="spellStart"/>
      <w:r w:rsidRPr="00956797">
        <w:rPr>
          <w:i/>
          <w:sz w:val="20"/>
          <w:szCs w:val="20"/>
          <w:lang w:val="fr-CA"/>
        </w:rPr>
        <w:t>Rossdeutscher</w:t>
      </w:r>
      <w:proofErr w:type="spellEnd"/>
      <w:r w:rsidRPr="00956797">
        <w:rPr>
          <w:i/>
          <w:sz w:val="20"/>
          <w:szCs w:val="20"/>
          <w:lang w:val="fr-CA"/>
        </w:rPr>
        <w:t xml:space="preserve"> et al. v. Organisation d</w:t>
      </w:r>
      <w:r w:rsidR="005D755C">
        <w:rPr>
          <w:i/>
          <w:sz w:val="20"/>
          <w:szCs w:val="20"/>
          <w:lang w:val="fr-CA"/>
        </w:rPr>
        <w:t>’</w:t>
      </w:r>
      <w:r w:rsidRPr="00956797">
        <w:rPr>
          <w:i/>
          <w:sz w:val="20"/>
          <w:szCs w:val="20"/>
          <w:lang w:val="fr-CA"/>
        </w:rPr>
        <w:t>Éducation et d</w:t>
      </w:r>
      <w:r w:rsidR="005D755C">
        <w:rPr>
          <w:i/>
          <w:sz w:val="20"/>
          <w:szCs w:val="20"/>
          <w:lang w:val="fr-CA"/>
        </w:rPr>
        <w:t>’</w:t>
      </w:r>
      <w:r w:rsidRPr="00956797">
        <w:rPr>
          <w:i/>
          <w:sz w:val="20"/>
          <w:szCs w:val="20"/>
          <w:lang w:val="fr-CA"/>
        </w:rPr>
        <w:t>Information Logement de Côte-des-Neiges (OEIL) et al.</w:t>
      </w:r>
      <w:r w:rsidRPr="00956797">
        <w:rPr>
          <w:sz w:val="20"/>
          <w:szCs w:val="20"/>
          <w:lang w:val="fr-CA"/>
        </w:rPr>
        <w:t xml:space="preserve"> (Que.) (Civil) (By </w:t>
      </w:r>
      <w:proofErr w:type="spellStart"/>
      <w:r w:rsidRPr="00956797">
        <w:rPr>
          <w:sz w:val="20"/>
          <w:szCs w:val="20"/>
          <w:lang w:val="fr-CA"/>
        </w:rPr>
        <w:t>Leave</w:t>
      </w:r>
      <w:proofErr w:type="spellEnd"/>
      <w:r w:rsidRPr="00956797">
        <w:rPr>
          <w:sz w:val="20"/>
          <w:szCs w:val="20"/>
          <w:lang w:val="fr-CA"/>
        </w:rPr>
        <w:t>)</w:t>
      </w:r>
      <w:r w:rsidRPr="00C50A5C">
        <w:rPr>
          <w:sz w:val="20"/>
          <w:szCs w:val="20"/>
        </w:rPr>
        <w:t xml:space="preserve"> </w:t>
      </w:r>
      <w:r w:rsidR="00CB3520" w:rsidRPr="00C50A5C">
        <w:rPr>
          <w:sz w:val="20"/>
          <w:szCs w:val="20"/>
        </w:rPr>
        <w:t>(3</w:t>
      </w:r>
      <w:r w:rsidR="00CB3520">
        <w:rPr>
          <w:sz w:val="20"/>
          <w:szCs w:val="20"/>
        </w:rPr>
        <w:t>60</w:t>
      </w:r>
      <w:r>
        <w:rPr>
          <w:sz w:val="20"/>
          <w:szCs w:val="20"/>
        </w:rPr>
        <w:t>77</w:t>
      </w:r>
      <w:r w:rsidR="00CB3520" w:rsidRPr="00C50A5C">
        <w:rPr>
          <w:sz w:val="20"/>
          <w:szCs w:val="20"/>
        </w:rPr>
        <w:t>)</w:t>
      </w:r>
    </w:p>
    <w:p w:rsidR="00CB3520" w:rsidRDefault="00CB3520" w:rsidP="00CB3520">
      <w:pPr>
        <w:widowControl w:val="0"/>
        <w:jc w:val="both"/>
        <w:rPr>
          <w:sz w:val="20"/>
          <w:szCs w:val="20"/>
        </w:rPr>
      </w:pPr>
    </w:p>
    <w:p w:rsidR="00956797" w:rsidRDefault="00956797" w:rsidP="00CB3520">
      <w:pPr>
        <w:widowControl w:val="0"/>
        <w:jc w:val="both"/>
        <w:rPr>
          <w:sz w:val="20"/>
          <w:szCs w:val="20"/>
        </w:rPr>
      </w:pPr>
    </w:p>
    <w:p w:rsidR="00956797" w:rsidRPr="00C50A5C" w:rsidRDefault="00956797" w:rsidP="00956797">
      <w:pPr>
        <w:widowControl w:val="0"/>
        <w:jc w:val="center"/>
        <w:rPr>
          <w:b/>
          <w:sz w:val="20"/>
          <w:szCs w:val="20"/>
        </w:rPr>
      </w:pPr>
      <w:r w:rsidRPr="00C50A5C">
        <w:rPr>
          <w:b/>
          <w:sz w:val="20"/>
          <w:szCs w:val="20"/>
        </w:rPr>
        <w:t xml:space="preserve">CORAM: </w:t>
      </w:r>
      <w:r>
        <w:rPr>
          <w:b/>
          <w:sz w:val="20"/>
          <w:szCs w:val="20"/>
        </w:rPr>
        <w:t>Rothstein, Cromwell</w:t>
      </w:r>
      <w:r w:rsidRPr="00C50A5C">
        <w:rPr>
          <w:b/>
          <w:sz w:val="20"/>
          <w:szCs w:val="20"/>
        </w:rPr>
        <w:t xml:space="preserve"> and </w:t>
      </w:r>
      <w:proofErr w:type="spellStart"/>
      <w:r>
        <w:rPr>
          <w:b/>
          <w:sz w:val="20"/>
          <w:szCs w:val="20"/>
        </w:rPr>
        <w:t>Moldaver</w:t>
      </w:r>
      <w:proofErr w:type="spellEnd"/>
      <w:r w:rsidRPr="00C50A5C">
        <w:rPr>
          <w:b/>
          <w:sz w:val="20"/>
          <w:szCs w:val="20"/>
        </w:rPr>
        <w:t xml:space="preserve"> JJ.</w:t>
      </w:r>
    </w:p>
    <w:p w:rsidR="00956797" w:rsidRPr="00C50A5C" w:rsidRDefault="00956797" w:rsidP="00956797">
      <w:pPr>
        <w:widowControl w:val="0"/>
        <w:jc w:val="center"/>
        <w:rPr>
          <w:b/>
          <w:sz w:val="20"/>
          <w:szCs w:val="20"/>
          <w:lang w:val="fr-CA"/>
        </w:rPr>
      </w:pPr>
      <w:r w:rsidRPr="00C50A5C">
        <w:rPr>
          <w:b/>
          <w:sz w:val="20"/>
          <w:szCs w:val="20"/>
          <w:lang w:val="fr-CA"/>
        </w:rPr>
        <w:t xml:space="preserve">Les juges </w:t>
      </w:r>
      <w:proofErr w:type="spellStart"/>
      <w:r>
        <w:rPr>
          <w:b/>
          <w:sz w:val="20"/>
          <w:szCs w:val="20"/>
          <w:lang w:val="fr-CA"/>
        </w:rPr>
        <w:t>Rothstein</w:t>
      </w:r>
      <w:proofErr w:type="spellEnd"/>
      <w:r>
        <w:rPr>
          <w:b/>
          <w:sz w:val="20"/>
          <w:szCs w:val="20"/>
          <w:lang w:val="fr-CA"/>
        </w:rPr>
        <w:t>, Cromwell</w:t>
      </w:r>
      <w:r w:rsidRPr="00C50A5C">
        <w:rPr>
          <w:b/>
          <w:sz w:val="20"/>
          <w:szCs w:val="20"/>
          <w:lang w:val="fr-CA"/>
        </w:rPr>
        <w:t xml:space="preserve"> et </w:t>
      </w:r>
      <w:proofErr w:type="spellStart"/>
      <w:r>
        <w:rPr>
          <w:b/>
          <w:sz w:val="20"/>
          <w:szCs w:val="20"/>
          <w:lang w:val="fr-CA"/>
        </w:rPr>
        <w:t>Moldaver</w:t>
      </w:r>
      <w:proofErr w:type="spellEnd"/>
    </w:p>
    <w:p w:rsidR="00956797" w:rsidRPr="00956797" w:rsidRDefault="00956797" w:rsidP="00CB3520">
      <w:pPr>
        <w:widowControl w:val="0"/>
        <w:jc w:val="both"/>
        <w:rPr>
          <w:sz w:val="20"/>
          <w:szCs w:val="20"/>
          <w:lang w:val="fr-CA"/>
        </w:rPr>
      </w:pPr>
    </w:p>
    <w:p w:rsidR="00CB3520" w:rsidRPr="009C5D38" w:rsidRDefault="00956797" w:rsidP="00CB3520">
      <w:pPr>
        <w:pStyle w:val="ListParagraph"/>
        <w:widowControl w:val="0"/>
        <w:numPr>
          <w:ilvl w:val="0"/>
          <w:numId w:val="1"/>
        </w:numPr>
        <w:ind w:hanging="720"/>
        <w:jc w:val="both"/>
        <w:rPr>
          <w:sz w:val="20"/>
          <w:szCs w:val="20"/>
        </w:rPr>
      </w:pPr>
      <w:r w:rsidRPr="00956797">
        <w:rPr>
          <w:i/>
          <w:sz w:val="20"/>
          <w:szCs w:val="20"/>
        </w:rPr>
        <w:t>P.C. v. Her Majesty the Queen</w:t>
      </w:r>
      <w:r w:rsidRPr="00956797">
        <w:rPr>
          <w:sz w:val="20"/>
          <w:szCs w:val="20"/>
        </w:rPr>
        <w:t xml:space="preserve"> (Ont.) (Crim.) (By Leave)</w:t>
      </w:r>
      <w:r w:rsidRPr="009C5D38">
        <w:rPr>
          <w:sz w:val="20"/>
          <w:szCs w:val="20"/>
        </w:rPr>
        <w:t xml:space="preserve"> </w:t>
      </w:r>
      <w:r w:rsidR="00CB3520" w:rsidRPr="009C5D38">
        <w:rPr>
          <w:sz w:val="20"/>
          <w:szCs w:val="20"/>
        </w:rPr>
        <w:t>(361</w:t>
      </w:r>
      <w:r>
        <w:rPr>
          <w:sz w:val="20"/>
          <w:szCs w:val="20"/>
        </w:rPr>
        <w:t>29</w:t>
      </w:r>
      <w:r w:rsidR="00CB3520" w:rsidRPr="009C5D38">
        <w:rPr>
          <w:sz w:val="20"/>
          <w:szCs w:val="20"/>
        </w:rPr>
        <w:t>)</w:t>
      </w:r>
    </w:p>
    <w:p w:rsidR="00CB3520" w:rsidRPr="00956797" w:rsidRDefault="00CB3520" w:rsidP="00CB3520">
      <w:pPr>
        <w:widowControl w:val="0"/>
        <w:jc w:val="both"/>
        <w:rPr>
          <w:sz w:val="20"/>
          <w:szCs w:val="20"/>
        </w:rPr>
      </w:pPr>
    </w:p>
    <w:p w:rsidR="00CB3520" w:rsidRPr="00956797" w:rsidRDefault="00956797" w:rsidP="00CB3520">
      <w:pPr>
        <w:pStyle w:val="ListParagraph"/>
        <w:widowControl w:val="0"/>
        <w:numPr>
          <w:ilvl w:val="0"/>
          <w:numId w:val="1"/>
        </w:numPr>
        <w:ind w:hanging="720"/>
        <w:jc w:val="both"/>
        <w:rPr>
          <w:sz w:val="20"/>
          <w:szCs w:val="20"/>
        </w:rPr>
      </w:pPr>
      <w:r w:rsidRPr="00956797">
        <w:rPr>
          <w:i/>
          <w:sz w:val="20"/>
          <w:szCs w:val="20"/>
        </w:rPr>
        <w:t>Darren Stewart et al. v. TD General Insurance Company</w:t>
      </w:r>
      <w:r w:rsidRPr="00956797">
        <w:rPr>
          <w:sz w:val="20"/>
          <w:szCs w:val="20"/>
        </w:rPr>
        <w:t xml:space="preserve"> (Ont.) (Civil) (By Leave) </w:t>
      </w:r>
      <w:r w:rsidR="00CB3520" w:rsidRPr="00956797">
        <w:rPr>
          <w:sz w:val="20"/>
          <w:szCs w:val="20"/>
        </w:rPr>
        <w:t>(36</w:t>
      </w:r>
      <w:r w:rsidRPr="00956797">
        <w:rPr>
          <w:sz w:val="20"/>
          <w:szCs w:val="20"/>
        </w:rPr>
        <w:t>100</w:t>
      </w:r>
      <w:r w:rsidR="00CB3520" w:rsidRPr="00956797">
        <w:rPr>
          <w:sz w:val="20"/>
          <w:szCs w:val="20"/>
        </w:rPr>
        <w:t>)</w:t>
      </w:r>
    </w:p>
    <w:p w:rsidR="00CB3520" w:rsidRDefault="00CB3520" w:rsidP="00CB3520">
      <w:pPr>
        <w:widowControl w:val="0"/>
        <w:jc w:val="both"/>
        <w:rPr>
          <w:sz w:val="20"/>
          <w:szCs w:val="20"/>
        </w:rPr>
      </w:pPr>
    </w:p>
    <w:p w:rsidR="002E2327" w:rsidRDefault="007871B3" w:rsidP="002E2327">
      <w:pPr>
        <w:widowControl w:val="0"/>
        <w:rPr>
          <w:sz w:val="20"/>
          <w:szCs w:val="20"/>
        </w:rPr>
      </w:pPr>
      <w:r>
        <w:rPr>
          <w:sz w:val="20"/>
          <w:szCs w:val="20"/>
        </w:rPr>
        <w:pict>
          <v:rect id="_x0000_i1040"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95679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9723FD"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B35F64" w:rsidP="000E2959">
      <w:pPr>
        <w:rPr>
          <w:b/>
          <w:sz w:val="20"/>
          <w:szCs w:val="20"/>
        </w:rPr>
      </w:pPr>
      <w:r>
        <w:rPr>
          <w:b/>
          <w:sz w:val="20"/>
          <w:szCs w:val="20"/>
        </w:rPr>
        <w:t>DECE</w:t>
      </w:r>
      <w:r w:rsidR="000E2959">
        <w:rPr>
          <w:b/>
          <w:sz w:val="20"/>
          <w:szCs w:val="20"/>
        </w:rPr>
        <w:t>M</w:t>
      </w:r>
      <w:r>
        <w:rPr>
          <w:b/>
          <w:sz w:val="20"/>
          <w:szCs w:val="20"/>
        </w:rPr>
        <w:t>BER</w:t>
      </w:r>
      <w:r w:rsidR="000E2959" w:rsidRPr="00C50A5C">
        <w:rPr>
          <w:b/>
          <w:sz w:val="20"/>
          <w:szCs w:val="20"/>
        </w:rPr>
        <w:t xml:space="preserve"> </w:t>
      </w:r>
      <w:r>
        <w:rPr>
          <w:b/>
          <w:sz w:val="20"/>
          <w:szCs w:val="20"/>
        </w:rPr>
        <w:t>1</w:t>
      </w:r>
      <w:r w:rsidR="00A325AC">
        <w:rPr>
          <w:b/>
          <w:sz w:val="20"/>
          <w:szCs w:val="20"/>
        </w:rPr>
        <w:t>8</w:t>
      </w:r>
      <w:r w:rsidR="000E2959" w:rsidRPr="00C50A5C">
        <w:rPr>
          <w:b/>
          <w:sz w:val="20"/>
          <w:szCs w:val="20"/>
        </w:rPr>
        <w:t>, 201</w:t>
      </w:r>
      <w:r>
        <w:rPr>
          <w:b/>
          <w:sz w:val="20"/>
          <w:szCs w:val="20"/>
        </w:rPr>
        <w:t>4</w:t>
      </w:r>
      <w:r w:rsidR="000E2959" w:rsidRPr="00C50A5C">
        <w:rPr>
          <w:b/>
          <w:sz w:val="20"/>
          <w:szCs w:val="20"/>
        </w:rPr>
        <w:t xml:space="preserve"> / LE </w:t>
      </w:r>
      <w:r>
        <w:rPr>
          <w:b/>
          <w:sz w:val="20"/>
          <w:szCs w:val="20"/>
        </w:rPr>
        <w:t>1</w:t>
      </w:r>
      <w:r w:rsidR="00A325AC">
        <w:rPr>
          <w:b/>
          <w:sz w:val="20"/>
          <w:szCs w:val="20"/>
        </w:rPr>
        <w:t>8</w:t>
      </w:r>
      <w:r w:rsidR="000E2959" w:rsidRPr="00C50A5C">
        <w:rPr>
          <w:b/>
          <w:sz w:val="20"/>
          <w:szCs w:val="20"/>
        </w:rPr>
        <w:t xml:space="preserve"> </w:t>
      </w:r>
      <w:r>
        <w:rPr>
          <w:b/>
          <w:sz w:val="20"/>
          <w:szCs w:val="20"/>
        </w:rPr>
        <w:t>DÉCE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7AFF" w:rsidRPr="009A7F72" w:rsidTr="00273F9F">
        <w:trPr>
          <w:cantSplit/>
        </w:trPr>
        <w:tc>
          <w:tcPr>
            <w:tcW w:w="1458" w:type="dxa"/>
          </w:tcPr>
          <w:p w:rsidR="00397AFF" w:rsidRPr="009A7F72" w:rsidRDefault="00397AFF" w:rsidP="00273F9F">
            <w:pPr>
              <w:rPr>
                <w:sz w:val="20"/>
                <w:szCs w:val="20"/>
              </w:rPr>
            </w:pPr>
            <w:r w:rsidRPr="009A7F72">
              <w:rPr>
                <w:rStyle w:val="SCCFileNumberChar"/>
                <w:sz w:val="20"/>
                <w:szCs w:val="20"/>
              </w:rPr>
              <w:t>35856</w:t>
            </w:r>
          </w:p>
          <w:p w:rsidR="00397AFF" w:rsidRPr="009A7F72" w:rsidRDefault="00397AFF" w:rsidP="00273F9F">
            <w:pPr>
              <w:rPr>
                <w:b/>
                <w:sz w:val="20"/>
                <w:szCs w:val="20"/>
                <w:lang w:val="fr-CA"/>
              </w:rPr>
            </w:pPr>
          </w:p>
        </w:tc>
        <w:tc>
          <w:tcPr>
            <w:tcW w:w="8118" w:type="dxa"/>
          </w:tcPr>
          <w:p w:rsidR="00397AFF" w:rsidRPr="009A7F72" w:rsidRDefault="00397AFF" w:rsidP="00273F9F">
            <w:pPr>
              <w:rPr>
                <w:sz w:val="20"/>
                <w:szCs w:val="20"/>
              </w:rPr>
            </w:pPr>
            <w:r w:rsidRPr="009A7F72">
              <w:rPr>
                <w:rStyle w:val="SCCLsocChar"/>
                <w:sz w:val="20"/>
                <w:szCs w:val="20"/>
                <w:lang w:val="en-CA"/>
              </w:rPr>
              <w:t>Clinton Valentine v. Her Majesty the Queen</w:t>
            </w:r>
            <w:r w:rsidRPr="009A7F72">
              <w:rPr>
                <w:sz w:val="20"/>
                <w:szCs w:val="20"/>
              </w:rPr>
              <w:t xml:space="preserve"> (Ont.) (Criminal) (By Leave)</w:t>
            </w:r>
          </w:p>
          <w:p w:rsidR="00397AFF" w:rsidRPr="009A7F72" w:rsidRDefault="00397AFF" w:rsidP="00273F9F">
            <w:pPr>
              <w:rPr>
                <w:sz w:val="20"/>
                <w:szCs w:val="20"/>
              </w:rPr>
            </w:pPr>
          </w:p>
        </w:tc>
      </w:tr>
      <w:tr w:rsidR="00397AFF" w:rsidRPr="009A7F72" w:rsidTr="00273F9F">
        <w:trPr>
          <w:cantSplit/>
        </w:trPr>
        <w:tc>
          <w:tcPr>
            <w:tcW w:w="1458" w:type="dxa"/>
          </w:tcPr>
          <w:p w:rsidR="00397AFF" w:rsidRPr="009A7F72" w:rsidRDefault="00397AFF" w:rsidP="00273F9F">
            <w:pPr>
              <w:rPr>
                <w:sz w:val="20"/>
                <w:szCs w:val="20"/>
              </w:rPr>
            </w:pPr>
            <w:r w:rsidRPr="009A7F72">
              <w:rPr>
                <w:sz w:val="20"/>
                <w:szCs w:val="20"/>
              </w:rPr>
              <w:t>Coram :</w:t>
            </w:r>
          </w:p>
        </w:tc>
        <w:tc>
          <w:tcPr>
            <w:tcW w:w="8118" w:type="dxa"/>
          </w:tcPr>
          <w:p w:rsidR="00397AFF" w:rsidRPr="009A7F72" w:rsidRDefault="00397AFF" w:rsidP="00273F9F">
            <w:pPr>
              <w:rPr>
                <w:sz w:val="20"/>
                <w:szCs w:val="20"/>
              </w:rPr>
            </w:pPr>
            <w:proofErr w:type="spellStart"/>
            <w:r w:rsidRPr="009A7F72">
              <w:rPr>
                <w:rStyle w:val="SCCCoramChar"/>
                <w:sz w:val="20"/>
                <w:szCs w:val="20"/>
                <w:lang w:val="en-CA"/>
              </w:rPr>
              <w:t>LeBel</w:t>
            </w:r>
            <w:proofErr w:type="spellEnd"/>
            <w:r w:rsidRPr="009A7F72">
              <w:rPr>
                <w:rStyle w:val="SCCCoramChar"/>
                <w:sz w:val="20"/>
                <w:szCs w:val="20"/>
                <w:lang w:val="en-CA"/>
              </w:rPr>
              <w:t xml:space="preserve">, </w:t>
            </w:r>
            <w:proofErr w:type="spellStart"/>
            <w:r w:rsidRPr="009A7F72">
              <w:rPr>
                <w:rStyle w:val="SCCCoramChar"/>
                <w:sz w:val="20"/>
                <w:szCs w:val="20"/>
                <w:lang w:val="en-CA"/>
              </w:rPr>
              <w:t>Karakatsanis</w:t>
            </w:r>
            <w:proofErr w:type="spellEnd"/>
            <w:r w:rsidRPr="009A7F72">
              <w:rPr>
                <w:rStyle w:val="SCCCoramChar"/>
                <w:sz w:val="20"/>
                <w:szCs w:val="20"/>
                <w:lang w:val="en-CA"/>
              </w:rPr>
              <w:t xml:space="preserve"> and </w:t>
            </w:r>
            <w:proofErr w:type="spellStart"/>
            <w:r w:rsidRPr="009A7F72">
              <w:rPr>
                <w:rStyle w:val="SCCCoramChar"/>
                <w:sz w:val="20"/>
                <w:szCs w:val="20"/>
                <w:lang w:val="en-CA"/>
              </w:rPr>
              <w:t>Gascon</w:t>
            </w:r>
            <w:proofErr w:type="spellEnd"/>
            <w:r w:rsidRPr="009A7F72">
              <w:rPr>
                <w:rStyle w:val="SCCCoramChar"/>
                <w:sz w:val="20"/>
                <w:szCs w:val="20"/>
                <w:lang w:val="en-CA"/>
              </w:rPr>
              <w:t> JJ.</w:t>
            </w:r>
          </w:p>
          <w:p w:rsidR="00397AFF" w:rsidRPr="009A7F72" w:rsidRDefault="00397AFF" w:rsidP="00273F9F">
            <w:pPr>
              <w:rPr>
                <w:sz w:val="20"/>
                <w:szCs w:val="20"/>
                <w:u w:val="single"/>
              </w:rPr>
            </w:pPr>
          </w:p>
        </w:tc>
      </w:tr>
      <w:tr w:rsidR="00397AFF" w:rsidRPr="009723FD" w:rsidTr="00273F9F">
        <w:trPr>
          <w:cantSplit/>
        </w:trPr>
        <w:tc>
          <w:tcPr>
            <w:tcW w:w="9576" w:type="dxa"/>
            <w:gridSpan w:val="2"/>
          </w:tcPr>
          <w:p w:rsidR="00397AFF" w:rsidRPr="009A7F72" w:rsidRDefault="00397AFF" w:rsidP="00273F9F">
            <w:pPr>
              <w:pStyle w:val="SCCShortJudgment"/>
              <w:rPr>
                <w:szCs w:val="20"/>
              </w:rPr>
            </w:pPr>
            <w:r w:rsidRPr="009A7F72">
              <w:rPr>
                <w:szCs w:val="20"/>
              </w:rPr>
              <w:t>The application for leave to appeal from the judgment of the Court of Appeal for Ontario, Number C54329, 2014 ONCA 147, dated February 26, 2014, is dismissed without costs.</w:t>
            </w:r>
          </w:p>
          <w:p w:rsidR="00397AFF" w:rsidRPr="009A7F72" w:rsidRDefault="00397AFF" w:rsidP="00273F9F">
            <w:pPr>
              <w:pStyle w:val="SCCShortJudgment"/>
              <w:ind w:firstLine="0"/>
              <w:rPr>
                <w:szCs w:val="20"/>
              </w:rPr>
            </w:pPr>
          </w:p>
          <w:p w:rsidR="00397AFF" w:rsidRPr="009A7F72" w:rsidRDefault="00397AFF" w:rsidP="00273F9F">
            <w:pPr>
              <w:pStyle w:val="SCCShortJudgment"/>
              <w:rPr>
                <w:szCs w:val="20"/>
                <w:lang w:val="fr-CA"/>
              </w:rPr>
            </w:pPr>
            <w:r w:rsidRPr="009A7F72">
              <w:rPr>
                <w:szCs w:val="20"/>
                <w:lang w:val="fr-CA"/>
              </w:rPr>
              <w:t>La demande d’autorisation d’appel de l’arrêt de la Cour d’appel de l’Ontario, numéro C54329, 2014 ONCA 147, daté du 26 février 2014, est rejetée sans dépens.</w:t>
            </w:r>
          </w:p>
        </w:tc>
      </w:tr>
    </w:tbl>
    <w:p w:rsidR="00B35F64" w:rsidRPr="00397AFF" w:rsidRDefault="00B35F64" w:rsidP="000E2959">
      <w:pPr>
        <w:rPr>
          <w:sz w:val="20"/>
          <w:szCs w:val="20"/>
          <w:lang w:val="fr-CA"/>
        </w:rPr>
      </w:pPr>
    </w:p>
    <w:p w:rsidR="00B35F64" w:rsidRPr="001B157C" w:rsidRDefault="00B35F64" w:rsidP="00B35F64">
      <w:pPr>
        <w:rPr>
          <w:sz w:val="20"/>
          <w:szCs w:val="20"/>
          <w:u w:val="single"/>
        </w:rPr>
      </w:pPr>
      <w:r w:rsidRPr="001B157C">
        <w:rPr>
          <w:sz w:val="20"/>
          <w:szCs w:val="20"/>
          <w:u w:val="single"/>
        </w:rPr>
        <w:t>CASE SUMMARY</w:t>
      </w:r>
    </w:p>
    <w:p w:rsidR="00B35F64" w:rsidRDefault="00B35F64" w:rsidP="00B35F6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5B52" w:rsidRPr="00342605" w:rsidTr="007D1B76">
        <w:tc>
          <w:tcPr>
            <w:tcW w:w="5000" w:type="pct"/>
            <w:gridSpan w:val="3"/>
          </w:tcPr>
          <w:p w:rsidR="006D5B52" w:rsidRPr="00342605" w:rsidRDefault="006D5B52" w:rsidP="007D1B76">
            <w:pPr>
              <w:jc w:val="both"/>
              <w:rPr>
                <w:rFonts w:eastAsia="Calibri"/>
                <w:sz w:val="20"/>
              </w:rPr>
            </w:pPr>
            <w:r w:rsidRPr="00342605">
              <w:rPr>
                <w:rFonts w:eastAsia="Calibri"/>
                <w:i/>
                <w:sz w:val="20"/>
              </w:rPr>
              <w:t>Charter of Rights and Freedoms</w:t>
            </w:r>
            <w:r w:rsidRPr="00342605">
              <w:rPr>
                <w:rFonts w:eastAsia="Calibri"/>
                <w:sz w:val="20"/>
              </w:rPr>
              <w:t xml:space="preserve"> – Search and seizure – Evidence – Expert testifying that arresting officers could not have smelled marihuana while searching applicant’s vehicle as claimed because of its packaging and location in the trunk of the car – Whether a fact that an expert relies on, as a function of his expertise, must be proven at scientific level and, if not, whether expert opinion should be accorded no weight – Whether police have powers to search a car based on generalised suspicion – Whether considering an officer’s experience detecting odour collapsed the objective and subjective test for reasonable and probable grounds to arrest into a subjective test?</w:t>
            </w:r>
          </w:p>
        </w:tc>
      </w:tr>
      <w:tr w:rsidR="006D5B52" w:rsidRPr="00342605" w:rsidTr="007D1B76">
        <w:tc>
          <w:tcPr>
            <w:tcW w:w="5000" w:type="pct"/>
            <w:gridSpan w:val="3"/>
          </w:tcPr>
          <w:p w:rsidR="006D5B52" w:rsidRPr="00342605" w:rsidRDefault="006D5B52" w:rsidP="007D1B76">
            <w:pPr>
              <w:jc w:val="both"/>
              <w:rPr>
                <w:rFonts w:eastAsia="Calibri"/>
                <w:sz w:val="20"/>
              </w:rPr>
            </w:pPr>
          </w:p>
        </w:tc>
      </w:tr>
      <w:tr w:rsidR="006D5B52" w:rsidRPr="00342605" w:rsidTr="007D1B76">
        <w:tc>
          <w:tcPr>
            <w:tcW w:w="5000" w:type="pct"/>
            <w:gridSpan w:val="3"/>
          </w:tcPr>
          <w:p w:rsidR="006D5B52" w:rsidRPr="00342605" w:rsidRDefault="006D5B52" w:rsidP="007D1B76">
            <w:pPr>
              <w:jc w:val="both"/>
              <w:rPr>
                <w:rFonts w:eastAsia="Calibri"/>
                <w:sz w:val="20"/>
              </w:rPr>
            </w:pPr>
            <w:r w:rsidRPr="00342605">
              <w:rPr>
                <w:rFonts w:eastAsia="Calibri"/>
                <w:sz w:val="20"/>
              </w:rPr>
              <w:t xml:space="preserve">Mr. Valentine was stopped for speeding on Highway 401.  He was arrested for breach of a bail curfew.  The officer searched the driver’s seat area of Mr. Valentine’s vehicle and testified at trial that he did so to ensure officer safety. Immediately upon entering the vehicle, he smelled marihuana. He found cash and a second cell phone.  At trial he testified that he then arrested Mr. Valentine for possession of marihuana for purposes of trafficking before searching the entire vehicle.  Mr. Valentine testified that the full vehicle search preceded his arrest for possession of marihuana.  The officer found a large quantity of marihuana inside vacuum-sealed cylinders inside a partially-open duffle bag in the trunk.  Two other officers testified that they subsequently smelled a strong odor of marihuana after the vehicle was towed to a police station. Mr. Valentine applied to exclude the marihuana from evidence on the basis that it was obtained in breach of s. 8 of the </w:t>
            </w:r>
            <w:r w:rsidRPr="00342605">
              <w:rPr>
                <w:rFonts w:eastAsia="Calibri"/>
                <w:i/>
                <w:iCs/>
                <w:sz w:val="20"/>
              </w:rPr>
              <w:t>Charter of Rights and Freedoms</w:t>
            </w:r>
            <w:r w:rsidRPr="00342605">
              <w:rPr>
                <w:rFonts w:eastAsia="Calibri"/>
                <w:sz w:val="20"/>
              </w:rPr>
              <w:t>.  He testified that he took steps to protect the discovery of the marihuana and to mask its smell.  The defense called expert testimony about the olfactory ability of humans, the odour containment properties of packaging, and the smell characteristics of raw marihuana.  The expert opined that the officers could not have smelled the marihuana as they claimed.</w:t>
            </w:r>
          </w:p>
          <w:p w:rsidR="006D5B52" w:rsidRPr="00342605" w:rsidRDefault="006D5B52" w:rsidP="007D1B76">
            <w:pPr>
              <w:jc w:val="both"/>
              <w:rPr>
                <w:rFonts w:eastAsia="Calibri"/>
                <w:sz w:val="20"/>
              </w:rPr>
            </w:pPr>
          </w:p>
        </w:tc>
      </w:tr>
      <w:tr w:rsidR="006D5B52" w:rsidRPr="00342605" w:rsidTr="007D1B76">
        <w:tc>
          <w:tcPr>
            <w:tcW w:w="2427" w:type="pct"/>
          </w:tcPr>
          <w:p w:rsidR="006D5B52" w:rsidRPr="00342605" w:rsidRDefault="006D5B52" w:rsidP="007D1B76">
            <w:pPr>
              <w:jc w:val="both"/>
              <w:rPr>
                <w:rFonts w:eastAsia="Calibri"/>
                <w:sz w:val="20"/>
              </w:rPr>
            </w:pPr>
            <w:r w:rsidRPr="00342605">
              <w:rPr>
                <w:rFonts w:eastAsia="Calibri"/>
                <w:sz w:val="20"/>
              </w:rPr>
              <w:t>July 5, 2011</w:t>
            </w:r>
          </w:p>
          <w:p w:rsidR="006D5B52" w:rsidRPr="00342605" w:rsidRDefault="006D5B52" w:rsidP="007D1B76">
            <w:pPr>
              <w:jc w:val="both"/>
              <w:rPr>
                <w:rFonts w:eastAsia="Calibri"/>
                <w:sz w:val="20"/>
              </w:rPr>
            </w:pPr>
            <w:r w:rsidRPr="00342605">
              <w:rPr>
                <w:rFonts w:eastAsia="Calibri"/>
                <w:sz w:val="20"/>
              </w:rPr>
              <w:t>Ontario Court of Justice (General Division)</w:t>
            </w:r>
          </w:p>
          <w:p w:rsidR="006D5B52" w:rsidRPr="00342605" w:rsidRDefault="006D5B52" w:rsidP="007D1B76">
            <w:pPr>
              <w:jc w:val="both"/>
              <w:rPr>
                <w:rFonts w:eastAsia="Calibri"/>
                <w:sz w:val="20"/>
              </w:rPr>
            </w:pPr>
            <w:r w:rsidRPr="00342605">
              <w:rPr>
                <w:rFonts w:eastAsia="Calibri"/>
                <w:sz w:val="20"/>
              </w:rPr>
              <w:t>(Anderson J.)</w:t>
            </w:r>
          </w:p>
          <w:p w:rsidR="006D5B52" w:rsidRPr="00342605" w:rsidRDefault="006D5B52" w:rsidP="007D1B76">
            <w:pPr>
              <w:jc w:val="both"/>
              <w:rPr>
                <w:rFonts w:eastAsia="Calibri"/>
                <w:sz w:val="20"/>
              </w:rPr>
            </w:pPr>
          </w:p>
        </w:tc>
        <w:tc>
          <w:tcPr>
            <w:tcW w:w="243" w:type="pct"/>
          </w:tcPr>
          <w:p w:rsidR="006D5B52" w:rsidRPr="00342605" w:rsidRDefault="006D5B52" w:rsidP="007D1B76">
            <w:pPr>
              <w:jc w:val="both"/>
              <w:rPr>
                <w:rFonts w:eastAsia="Calibri"/>
                <w:sz w:val="20"/>
              </w:rPr>
            </w:pPr>
          </w:p>
        </w:tc>
        <w:tc>
          <w:tcPr>
            <w:tcW w:w="2330" w:type="pct"/>
          </w:tcPr>
          <w:p w:rsidR="006D5B52" w:rsidRPr="00342605" w:rsidRDefault="006D5B52" w:rsidP="007D1B76">
            <w:pPr>
              <w:jc w:val="both"/>
              <w:rPr>
                <w:rFonts w:eastAsia="Calibri"/>
                <w:sz w:val="20"/>
              </w:rPr>
            </w:pPr>
            <w:r w:rsidRPr="00342605">
              <w:rPr>
                <w:rFonts w:eastAsia="Calibri"/>
                <w:sz w:val="20"/>
              </w:rPr>
              <w:t>Conviction for possession of marihuana for purposes of trafficking</w:t>
            </w:r>
          </w:p>
          <w:p w:rsidR="006D5B52" w:rsidRPr="00342605" w:rsidRDefault="006D5B52" w:rsidP="007D1B76">
            <w:pPr>
              <w:jc w:val="both"/>
              <w:rPr>
                <w:rFonts w:eastAsia="Calibri"/>
                <w:sz w:val="20"/>
              </w:rPr>
            </w:pPr>
          </w:p>
        </w:tc>
      </w:tr>
      <w:tr w:rsidR="006D5B52" w:rsidRPr="00342605" w:rsidTr="007D1B76">
        <w:tc>
          <w:tcPr>
            <w:tcW w:w="2427" w:type="pct"/>
          </w:tcPr>
          <w:p w:rsidR="006D5B52" w:rsidRPr="00342605" w:rsidRDefault="006D5B52" w:rsidP="007D1B76">
            <w:pPr>
              <w:jc w:val="both"/>
              <w:rPr>
                <w:rFonts w:eastAsia="Calibri"/>
                <w:sz w:val="20"/>
              </w:rPr>
            </w:pPr>
            <w:r w:rsidRPr="00342605">
              <w:rPr>
                <w:rFonts w:eastAsia="Calibri"/>
                <w:sz w:val="20"/>
              </w:rPr>
              <w:t>February 26, 2014</w:t>
            </w:r>
          </w:p>
          <w:p w:rsidR="006D5B52" w:rsidRPr="00342605" w:rsidRDefault="006D5B52" w:rsidP="007D1B76">
            <w:pPr>
              <w:jc w:val="both"/>
              <w:rPr>
                <w:rFonts w:eastAsia="Calibri"/>
                <w:sz w:val="20"/>
              </w:rPr>
            </w:pPr>
            <w:r w:rsidRPr="00342605">
              <w:rPr>
                <w:rFonts w:eastAsia="Calibri"/>
                <w:sz w:val="20"/>
              </w:rPr>
              <w:t>Court of Appeal for Ontario</w:t>
            </w:r>
          </w:p>
          <w:p w:rsidR="006D5B52" w:rsidRPr="00342605" w:rsidRDefault="006D5B52" w:rsidP="007D1B76">
            <w:pPr>
              <w:jc w:val="both"/>
              <w:rPr>
                <w:rFonts w:eastAsia="Calibri"/>
                <w:sz w:val="20"/>
                <w:lang w:val="fr-FR"/>
              </w:rPr>
            </w:pPr>
            <w:r w:rsidRPr="00342605">
              <w:rPr>
                <w:rFonts w:eastAsia="Calibri"/>
                <w:sz w:val="20"/>
                <w:lang w:val="fr-FR"/>
              </w:rPr>
              <w:t>(Rosenberg, Rouleau, Epstein JJ.A.)</w:t>
            </w:r>
          </w:p>
          <w:p w:rsidR="006D5B52" w:rsidRPr="00342605" w:rsidRDefault="006D5B52" w:rsidP="007D1B76">
            <w:pPr>
              <w:jc w:val="both"/>
              <w:rPr>
                <w:rFonts w:eastAsia="Calibri"/>
                <w:sz w:val="20"/>
              </w:rPr>
            </w:pPr>
            <w:r w:rsidRPr="00342605">
              <w:rPr>
                <w:rFonts w:eastAsia="Calibri"/>
                <w:sz w:val="20"/>
              </w:rPr>
              <w:t xml:space="preserve">C54329; </w:t>
            </w:r>
            <w:hyperlink r:id="rId18" w:history="1">
              <w:r w:rsidRPr="00342605">
                <w:rPr>
                  <w:rFonts w:eastAsia="Calibri"/>
                  <w:color w:val="0000FF"/>
                  <w:sz w:val="20"/>
                  <w:u w:val="single"/>
                </w:rPr>
                <w:t>2014 ONCA 147</w:t>
              </w:r>
            </w:hyperlink>
          </w:p>
          <w:p w:rsidR="006D5B52" w:rsidRPr="00342605" w:rsidRDefault="006D5B52" w:rsidP="007D1B76">
            <w:pPr>
              <w:jc w:val="both"/>
              <w:rPr>
                <w:rFonts w:eastAsia="Calibri"/>
                <w:sz w:val="20"/>
              </w:rPr>
            </w:pPr>
          </w:p>
        </w:tc>
        <w:tc>
          <w:tcPr>
            <w:tcW w:w="243" w:type="pct"/>
          </w:tcPr>
          <w:p w:rsidR="006D5B52" w:rsidRPr="00342605" w:rsidRDefault="006D5B52" w:rsidP="007D1B76">
            <w:pPr>
              <w:jc w:val="both"/>
              <w:rPr>
                <w:rFonts w:eastAsia="Calibri"/>
                <w:sz w:val="20"/>
              </w:rPr>
            </w:pPr>
          </w:p>
        </w:tc>
        <w:tc>
          <w:tcPr>
            <w:tcW w:w="2330" w:type="pct"/>
          </w:tcPr>
          <w:p w:rsidR="006D5B52" w:rsidRPr="00342605" w:rsidRDefault="006D5B52" w:rsidP="007D1B76">
            <w:pPr>
              <w:jc w:val="both"/>
              <w:rPr>
                <w:rFonts w:eastAsia="Calibri"/>
                <w:sz w:val="20"/>
              </w:rPr>
            </w:pPr>
            <w:r w:rsidRPr="00342605">
              <w:rPr>
                <w:rFonts w:eastAsia="Calibri"/>
                <w:sz w:val="20"/>
              </w:rPr>
              <w:t>Appeal dismissed</w:t>
            </w:r>
          </w:p>
          <w:p w:rsidR="006D5B52" w:rsidRPr="00342605" w:rsidRDefault="006D5B52" w:rsidP="007D1B76">
            <w:pPr>
              <w:jc w:val="both"/>
              <w:rPr>
                <w:rFonts w:eastAsia="Calibri"/>
                <w:sz w:val="20"/>
              </w:rPr>
            </w:pPr>
          </w:p>
        </w:tc>
      </w:tr>
      <w:tr w:rsidR="006D5B52" w:rsidRPr="00342605" w:rsidTr="007D1B76">
        <w:tc>
          <w:tcPr>
            <w:tcW w:w="2427" w:type="pct"/>
          </w:tcPr>
          <w:p w:rsidR="006D5B52" w:rsidRPr="00342605" w:rsidRDefault="006D5B52" w:rsidP="007D1B76">
            <w:pPr>
              <w:jc w:val="both"/>
              <w:rPr>
                <w:rFonts w:eastAsia="Calibri"/>
                <w:sz w:val="20"/>
              </w:rPr>
            </w:pPr>
            <w:r w:rsidRPr="00342605">
              <w:rPr>
                <w:rFonts w:eastAsia="Calibri"/>
                <w:sz w:val="20"/>
              </w:rPr>
              <w:t>April 28, 2014</w:t>
            </w:r>
          </w:p>
          <w:p w:rsidR="006D5B52" w:rsidRPr="00342605" w:rsidRDefault="006D5B52" w:rsidP="007D1B76">
            <w:pPr>
              <w:jc w:val="both"/>
              <w:rPr>
                <w:rFonts w:eastAsia="Calibri"/>
                <w:sz w:val="20"/>
              </w:rPr>
            </w:pPr>
            <w:r w:rsidRPr="00342605">
              <w:rPr>
                <w:rFonts w:eastAsia="Calibri"/>
                <w:sz w:val="20"/>
              </w:rPr>
              <w:t>Supreme Court of Canada</w:t>
            </w:r>
          </w:p>
        </w:tc>
        <w:tc>
          <w:tcPr>
            <w:tcW w:w="243" w:type="pct"/>
          </w:tcPr>
          <w:p w:rsidR="006D5B52" w:rsidRPr="00342605" w:rsidRDefault="006D5B52" w:rsidP="007D1B76">
            <w:pPr>
              <w:jc w:val="both"/>
              <w:rPr>
                <w:rFonts w:eastAsia="Calibri"/>
                <w:sz w:val="20"/>
              </w:rPr>
            </w:pPr>
          </w:p>
        </w:tc>
        <w:tc>
          <w:tcPr>
            <w:tcW w:w="2330" w:type="pct"/>
          </w:tcPr>
          <w:p w:rsidR="006D5B52" w:rsidRPr="00342605" w:rsidRDefault="006D5B52" w:rsidP="007D1B76">
            <w:pPr>
              <w:jc w:val="both"/>
              <w:rPr>
                <w:rFonts w:eastAsia="Calibri"/>
                <w:sz w:val="20"/>
              </w:rPr>
            </w:pPr>
            <w:r w:rsidRPr="00342605">
              <w:rPr>
                <w:rFonts w:eastAsia="Calibri"/>
                <w:sz w:val="20"/>
              </w:rPr>
              <w:t>Application for leave to appeal filed</w:t>
            </w:r>
          </w:p>
          <w:p w:rsidR="006D5B52" w:rsidRPr="00342605" w:rsidRDefault="006D5B52" w:rsidP="007D1B76">
            <w:pPr>
              <w:jc w:val="both"/>
              <w:rPr>
                <w:rFonts w:eastAsia="Calibri"/>
                <w:sz w:val="20"/>
              </w:rPr>
            </w:pPr>
          </w:p>
        </w:tc>
      </w:tr>
    </w:tbl>
    <w:p w:rsidR="00B35F64" w:rsidRDefault="00B35F64" w:rsidP="00B35F64">
      <w:pPr>
        <w:rPr>
          <w:sz w:val="20"/>
          <w:szCs w:val="20"/>
        </w:rPr>
      </w:pPr>
    </w:p>
    <w:p w:rsidR="00B35F64" w:rsidRPr="00C50A5C" w:rsidRDefault="007871B3" w:rsidP="00B35F64">
      <w:pPr>
        <w:rPr>
          <w:sz w:val="20"/>
          <w:szCs w:val="20"/>
        </w:rPr>
      </w:pPr>
      <w:r>
        <w:rPr>
          <w:sz w:val="20"/>
          <w:szCs w:val="20"/>
          <w:lang w:val="fr-CA"/>
        </w:rPr>
        <w:pict>
          <v:rect id="_x0000_i1043" style="width:2in;height:1pt" o:hrpct="0" o:hralign="center" o:hrstd="t" o:hrnoshade="t" o:hr="t" fillcolor="black [3213]" stroked="f"/>
        </w:pict>
      </w:r>
    </w:p>
    <w:p w:rsidR="00397AFF" w:rsidRDefault="00397AFF">
      <w:pPr>
        <w:rPr>
          <w:sz w:val="20"/>
          <w:szCs w:val="20"/>
        </w:rPr>
      </w:pPr>
      <w:r>
        <w:rPr>
          <w:sz w:val="20"/>
          <w:szCs w:val="20"/>
        </w:rPr>
        <w:br w:type="page"/>
      </w:r>
    </w:p>
    <w:p w:rsidR="00B35F64" w:rsidRPr="001B157C" w:rsidRDefault="00B35F64" w:rsidP="00B35F64">
      <w:pPr>
        <w:rPr>
          <w:sz w:val="20"/>
          <w:szCs w:val="20"/>
          <w:u w:val="single"/>
          <w:lang w:val="fr-CA"/>
        </w:rPr>
      </w:pPr>
      <w:r w:rsidRPr="001B157C">
        <w:rPr>
          <w:sz w:val="20"/>
          <w:szCs w:val="20"/>
          <w:u w:val="single"/>
          <w:lang w:val="fr-CA"/>
        </w:rPr>
        <w:lastRenderedPageBreak/>
        <w:t>RÉSUMÉ DE L’AFFAIRE</w:t>
      </w:r>
    </w:p>
    <w:p w:rsidR="00B35F64" w:rsidRDefault="00B35F64"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D5B52" w:rsidRPr="009723FD" w:rsidTr="007D1B76">
        <w:tc>
          <w:tcPr>
            <w:tcW w:w="5000" w:type="pct"/>
            <w:gridSpan w:val="3"/>
          </w:tcPr>
          <w:p w:rsidR="006D5B52" w:rsidRPr="00342605" w:rsidRDefault="006D5B52" w:rsidP="007D1B76">
            <w:pPr>
              <w:jc w:val="both"/>
              <w:rPr>
                <w:rFonts w:eastAsia="Calibri"/>
                <w:sz w:val="20"/>
                <w:lang w:val="fr-CA"/>
              </w:rPr>
            </w:pPr>
            <w:r w:rsidRPr="00342605">
              <w:rPr>
                <w:rFonts w:eastAsia="Calibri"/>
                <w:i/>
                <w:sz w:val="20"/>
                <w:lang w:val="fr-CA"/>
              </w:rPr>
              <w:t xml:space="preserve">Charte des droits et libertés </w:t>
            </w:r>
            <w:r w:rsidRPr="00342605">
              <w:rPr>
                <w:rFonts w:eastAsia="Calibri"/>
                <w:sz w:val="20"/>
                <w:lang w:val="fr-CA"/>
              </w:rPr>
              <w:t xml:space="preserve">– Fouilles, perquisitions et saisies – Preuve – Selon un témoin expert, les policiers qui avaient procédé à l’arrestation n’auraient pas pu sentir la marihuana pendant qu’ils fouillaient le véhicule du demandeur, comme il l’ont prétendu, en raison de son emballage et de l’endroit où elle se trouvait dans le coffre de la voiture – Un fait sur lequel un expert s’appuie, en raison de ses compétences, doit-il être prouvé sur le plan scientifique et, dans la négative, y </w:t>
            </w:r>
            <w:proofErr w:type="spellStart"/>
            <w:r w:rsidRPr="00342605">
              <w:rPr>
                <w:rFonts w:eastAsia="Calibri"/>
                <w:sz w:val="20"/>
                <w:lang w:val="fr-CA"/>
              </w:rPr>
              <w:t>a-t-il</w:t>
            </w:r>
            <w:proofErr w:type="spellEnd"/>
            <w:r w:rsidRPr="00342605">
              <w:rPr>
                <w:rFonts w:eastAsia="Calibri"/>
                <w:sz w:val="20"/>
                <w:lang w:val="fr-CA"/>
              </w:rPr>
              <w:t xml:space="preserve"> lieu refuser toute valeur probante au témoignage d’opinion livré par l’expert? – Les policiers ont-ils le pouvoir de fouiller une voiture sur le fondement de soupçons généraux? – La prise en compte de l’expérience d’un policier dans la détection des odeurs confond-elle les critères objectifs et subjectifs des motifs raisonnables et probables d’arrestation en un seul critère subjectif?</w:t>
            </w:r>
          </w:p>
        </w:tc>
      </w:tr>
      <w:tr w:rsidR="006D5B52" w:rsidRPr="009723FD" w:rsidTr="007D1B76">
        <w:tc>
          <w:tcPr>
            <w:tcW w:w="5000" w:type="pct"/>
            <w:gridSpan w:val="3"/>
          </w:tcPr>
          <w:p w:rsidR="006D5B52" w:rsidRPr="00342605" w:rsidRDefault="006D5B52" w:rsidP="007D1B76">
            <w:pPr>
              <w:jc w:val="both"/>
              <w:rPr>
                <w:rFonts w:eastAsia="Calibri"/>
                <w:sz w:val="20"/>
                <w:lang w:val="fr-CA"/>
              </w:rPr>
            </w:pPr>
          </w:p>
        </w:tc>
      </w:tr>
      <w:tr w:rsidR="006D5B52" w:rsidRPr="009723FD" w:rsidTr="007D1B76">
        <w:tc>
          <w:tcPr>
            <w:tcW w:w="5000" w:type="pct"/>
            <w:gridSpan w:val="3"/>
          </w:tcPr>
          <w:p w:rsidR="006D5B52" w:rsidRPr="00342605" w:rsidRDefault="006D5B52" w:rsidP="007D1B76">
            <w:pPr>
              <w:jc w:val="both"/>
              <w:rPr>
                <w:rFonts w:eastAsia="Calibri"/>
                <w:sz w:val="20"/>
                <w:lang w:val="fr-CA"/>
              </w:rPr>
            </w:pPr>
            <w:r w:rsidRPr="00342605">
              <w:rPr>
                <w:rFonts w:eastAsia="Calibri"/>
                <w:sz w:val="20"/>
                <w:lang w:val="fr-CA"/>
              </w:rPr>
              <w:t xml:space="preserve">Monsieur Valentine a été intercepté pour excès de vitesse sur l’autoroute 401.  Il a été arrêté pour manquement à un couvre-feu imposé en lien avec sa libération sous caution.  Le policier a fouillé le véhicule de M. Valentine autour du siège du conducteur et il affirmé au procès qu’il avait procédé à cette fouille pour assurer sa sécurité.  Dès qu’il est entré dans le véhicule, il a senti une odeur de marihuana.  Il a trouvé de l’argent comptant et un deuxième téléphone cellulaire.  Au procès, il a affirmé avoir ensuite arrêté M. Valentine pour possession de marihuana en vue d’en faire le trafic avant de fouiller les véhicules au complet.  Dans son témoignage, M. Valentine a affirmé que la fouille du véhicule au complet avait été effectuée avant son arrestation pour possession de marihuana.  Le policier a trouvé une importante quantité de marihuana à l’intérieur de cylindres scellés sous vide dans un sac de sport partiellement ouvert dans le coffre.  Deux autres policiers ont affirmé dans leurs témoignages avoir senti par la suite une forte odeur de marihuana après que le véhicule a été remorqué à un poste de police.  Monsieur Valentine a demandé l’exclusion de la marihuana de la preuve au motif qu’elle avait été obtenue en violation de l’art. 8 de la </w:t>
            </w:r>
            <w:r w:rsidRPr="00342605">
              <w:rPr>
                <w:rFonts w:eastAsia="Calibri"/>
                <w:i/>
                <w:iCs/>
                <w:sz w:val="20"/>
                <w:lang w:val="fr-CA"/>
              </w:rPr>
              <w:t>Charte des droits et libertés</w:t>
            </w:r>
            <w:r w:rsidRPr="00342605">
              <w:rPr>
                <w:rFonts w:eastAsia="Calibri"/>
                <w:sz w:val="20"/>
                <w:lang w:val="fr-CA"/>
              </w:rPr>
              <w:t>.  Il a affirmé avoir pris des mesures pour empêcher la découverte de la marihuana et en masquer l’odeur.  La défense a fait témoigner un expert sur la capacité olfactive des humains, les propriétés de l’emballage qui faisaient qu’il pouvait contenir les odeurs et les caractéristiques de la marihuana crue sur le plan de l’odeur.  De l’avis de l’expert, les policiers n’auraient pas pu sentir l’odeur de la marihuana comme ils l’ont prétendu.</w:t>
            </w:r>
          </w:p>
          <w:p w:rsidR="006D5B52" w:rsidRPr="00342605" w:rsidRDefault="006D5B52" w:rsidP="007D1B76">
            <w:pPr>
              <w:jc w:val="both"/>
              <w:rPr>
                <w:rFonts w:eastAsia="Calibri"/>
                <w:sz w:val="20"/>
                <w:lang w:val="fr-CA"/>
              </w:rPr>
            </w:pPr>
          </w:p>
        </w:tc>
      </w:tr>
      <w:tr w:rsidR="006D5B52" w:rsidRPr="009723FD" w:rsidTr="007D1B76">
        <w:tc>
          <w:tcPr>
            <w:tcW w:w="2427" w:type="pct"/>
          </w:tcPr>
          <w:p w:rsidR="006D5B52" w:rsidRPr="00342605" w:rsidRDefault="006D5B52" w:rsidP="007D1B76">
            <w:pPr>
              <w:jc w:val="both"/>
              <w:rPr>
                <w:rFonts w:eastAsia="Calibri"/>
                <w:sz w:val="20"/>
                <w:lang w:val="fr-CA"/>
              </w:rPr>
            </w:pPr>
            <w:r w:rsidRPr="00342605">
              <w:rPr>
                <w:rFonts w:eastAsia="Calibri"/>
                <w:sz w:val="20"/>
                <w:lang w:val="fr-CA"/>
              </w:rPr>
              <w:t>5 juillet 2011</w:t>
            </w:r>
          </w:p>
          <w:p w:rsidR="006D5B52" w:rsidRPr="00342605" w:rsidRDefault="006D5B52" w:rsidP="007D1B76">
            <w:pPr>
              <w:jc w:val="both"/>
              <w:rPr>
                <w:rFonts w:eastAsia="Calibri"/>
                <w:sz w:val="20"/>
                <w:lang w:val="fr-CA"/>
              </w:rPr>
            </w:pPr>
            <w:r w:rsidRPr="00342605">
              <w:rPr>
                <w:rFonts w:eastAsia="Calibri"/>
                <w:sz w:val="20"/>
                <w:lang w:val="fr-CA"/>
              </w:rPr>
              <w:t>Cour de justice de l’Ontario (Division générale)</w:t>
            </w:r>
          </w:p>
          <w:p w:rsidR="006D5B52" w:rsidRPr="00342605" w:rsidRDefault="006D5B52" w:rsidP="007D1B76">
            <w:pPr>
              <w:jc w:val="both"/>
              <w:rPr>
                <w:rFonts w:eastAsia="Calibri"/>
                <w:sz w:val="20"/>
                <w:lang w:val="fr-CA"/>
              </w:rPr>
            </w:pPr>
            <w:r w:rsidRPr="00342605">
              <w:rPr>
                <w:rFonts w:eastAsia="Calibri"/>
                <w:sz w:val="20"/>
                <w:lang w:val="fr-CA"/>
              </w:rPr>
              <w:t>(Juge Anderson)</w:t>
            </w:r>
          </w:p>
          <w:p w:rsidR="006D5B52" w:rsidRPr="00342605" w:rsidRDefault="006D5B52" w:rsidP="007D1B76">
            <w:pPr>
              <w:jc w:val="both"/>
              <w:rPr>
                <w:rFonts w:eastAsia="Calibri"/>
                <w:sz w:val="20"/>
                <w:lang w:val="fr-CA"/>
              </w:rPr>
            </w:pPr>
          </w:p>
        </w:tc>
        <w:tc>
          <w:tcPr>
            <w:tcW w:w="243" w:type="pct"/>
          </w:tcPr>
          <w:p w:rsidR="006D5B52" w:rsidRPr="00342605" w:rsidRDefault="006D5B52" w:rsidP="007D1B76">
            <w:pPr>
              <w:jc w:val="both"/>
              <w:rPr>
                <w:rFonts w:eastAsia="Calibri"/>
                <w:sz w:val="20"/>
                <w:lang w:val="fr-CA"/>
              </w:rPr>
            </w:pPr>
          </w:p>
        </w:tc>
        <w:tc>
          <w:tcPr>
            <w:tcW w:w="2330" w:type="pct"/>
          </w:tcPr>
          <w:p w:rsidR="006D5B52" w:rsidRPr="00342605" w:rsidRDefault="006D5B52" w:rsidP="007D1B76">
            <w:pPr>
              <w:jc w:val="both"/>
              <w:rPr>
                <w:rFonts w:eastAsia="Calibri"/>
                <w:sz w:val="20"/>
                <w:lang w:val="fr-CA"/>
              </w:rPr>
            </w:pPr>
            <w:r w:rsidRPr="00342605">
              <w:rPr>
                <w:rFonts w:eastAsia="Calibri"/>
                <w:sz w:val="20"/>
                <w:lang w:val="fr-CA"/>
              </w:rPr>
              <w:t>Déclaration de culpabilité pour possession de marihuana en vue d’en faire le trafic</w:t>
            </w:r>
          </w:p>
          <w:p w:rsidR="006D5B52" w:rsidRPr="00342605" w:rsidRDefault="006D5B52" w:rsidP="007D1B76">
            <w:pPr>
              <w:jc w:val="both"/>
              <w:rPr>
                <w:rFonts w:eastAsia="Calibri"/>
                <w:sz w:val="20"/>
                <w:lang w:val="fr-CA"/>
              </w:rPr>
            </w:pPr>
          </w:p>
        </w:tc>
      </w:tr>
      <w:tr w:rsidR="006D5B52" w:rsidRPr="00342605" w:rsidTr="007D1B76">
        <w:tc>
          <w:tcPr>
            <w:tcW w:w="2427" w:type="pct"/>
          </w:tcPr>
          <w:p w:rsidR="006D5B52" w:rsidRPr="00342605" w:rsidRDefault="006D5B52" w:rsidP="007D1B76">
            <w:pPr>
              <w:jc w:val="both"/>
              <w:rPr>
                <w:rFonts w:eastAsia="Calibri"/>
                <w:sz w:val="20"/>
                <w:lang w:val="fr-CA"/>
              </w:rPr>
            </w:pPr>
            <w:r w:rsidRPr="00342605">
              <w:rPr>
                <w:rFonts w:eastAsia="Calibri"/>
                <w:sz w:val="20"/>
                <w:lang w:val="fr-CA"/>
              </w:rPr>
              <w:t>26 février 2014</w:t>
            </w:r>
          </w:p>
          <w:p w:rsidR="006D5B52" w:rsidRPr="00342605" w:rsidRDefault="006D5B52" w:rsidP="007D1B76">
            <w:pPr>
              <w:jc w:val="both"/>
              <w:rPr>
                <w:rFonts w:eastAsia="Calibri"/>
                <w:sz w:val="20"/>
                <w:lang w:val="fr-CA"/>
              </w:rPr>
            </w:pPr>
            <w:r w:rsidRPr="00342605">
              <w:rPr>
                <w:rFonts w:eastAsia="Calibri"/>
                <w:sz w:val="20"/>
                <w:lang w:val="fr-CA"/>
              </w:rPr>
              <w:t xml:space="preserve">Cour d’appel de l’Ontario </w:t>
            </w:r>
          </w:p>
          <w:p w:rsidR="006D5B52" w:rsidRPr="00342605" w:rsidRDefault="006D5B52" w:rsidP="007D1B76">
            <w:pPr>
              <w:jc w:val="both"/>
              <w:rPr>
                <w:rFonts w:eastAsia="Calibri"/>
                <w:sz w:val="20"/>
                <w:lang w:val="fr-CA"/>
              </w:rPr>
            </w:pPr>
            <w:r w:rsidRPr="00342605">
              <w:rPr>
                <w:rFonts w:eastAsia="Calibri"/>
                <w:sz w:val="20"/>
                <w:lang w:val="fr-CA"/>
              </w:rPr>
              <w:t>(Jugea Rosenberg, Rouleau et Epstein)</w:t>
            </w:r>
          </w:p>
          <w:p w:rsidR="006D5B52" w:rsidRPr="00342605" w:rsidRDefault="006D5B52" w:rsidP="007D1B76">
            <w:pPr>
              <w:jc w:val="both"/>
              <w:rPr>
                <w:rFonts w:eastAsia="Calibri"/>
                <w:sz w:val="20"/>
                <w:lang w:val="fr-CA"/>
              </w:rPr>
            </w:pPr>
            <w:r w:rsidRPr="00342605">
              <w:rPr>
                <w:rFonts w:eastAsia="Calibri"/>
                <w:sz w:val="20"/>
                <w:lang w:val="fr-CA"/>
              </w:rPr>
              <w:t xml:space="preserve">C54329; </w:t>
            </w:r>
            <w:hyperlink r:id="rId19" w:history="1">
              <w:r w:rsidRPr="00342605">
                <w:rPr>
                  <w:rFonts w:eastAsia="Calibri"/>
                  <w:color w:val="0000FF"/>
                  <w:sz w:val="20"/>
                  <w:u w:val="single"/>
                  <w:lang w:val="fr-CA"/>
                </w:rPr>
                <w:t>2014 ONCA 147</w:t>
              </w:r>
            </w:hyperlink>
          </w:p>
          <w:p w:rsidR="006D5B52" w:rsidRPr="00342605" w:rsidRDefault="006D5B52" w:rsidP="007D1B76">
            <w:pPr>
              <w:jc w:val="both"/>
              <w:rPr>
                <w:rFonts w:eastAsia="Calibri"/>
                <w:sz w:val="20"/>
                <w:lang w:val="fr-CA"/>
              </w:rPr>
            </w:pPr>
          </w:p>
        </w:tc>
        <w:tc>
          <w:tcPr>
            <w:tcW w:w="243" w:type="pct"/>
          </w:tcPr>
          <w:p w:rsidR="006D5B52" w:rsidRPr="00342605" w:rsidRDefault="006D5B52" w:rsidP="007D1B76">
            <w:pPr>
              <w:jc w:val="both"/>
              <w:rPr>
                <w:rFonts w:eastAsia="Calibri"/>
                <w:sz w:val="20"/>
                <w:lang w:val="fr-CA"/>
              </w:rPr>
            </w:pPr>
          </w:p>
        </w:tc>
        <w:tc>
          <w:tcPr>
            <w:tcW w:w="2330" w:type="pct"/>
          </w:tcPr>
          <w:p w:rsidR="006D5B52" w:rsidRPr="00342605" w:rsidRDefault="006D5B52" w:rsidP="007D1B76">
            <w:pPr>
              <w:jc w:val="both"/>
              <w:rPr>
                <w:rFonts w:eastAsia="Calibri"/>
                <w:sz w:val="20"/>
                <w:lang w:val="fr-CA"/>
              </w:rPr>
            </w:pPr>
            <w:r w:rsidRPr="00342605">
              <w:rPr>
                <w:rFonts w:eastAsia="Calibri"/>
                <w:sz w:val="20"/>
                <w:lang w:val="fr-CA"/>
              </w:rPr>
              <w:t>Appel rejeté</w:t>
            </w:r>
          </w:p>
          <w:p w:rsidR="006D5B52" w:rsidRPr="00342605" w:rsidRDefault="006D5B52" w:rsidP="007D1B76">
            <w:pPr>
              <w:jc w:val="both"/>
              <w:rPr>
                <w:rFonts w:eastAsia="Calibri"/>
                <w:sz w:val="20"/>
                <w:lang w:val="fr-CA"/>
              </w:rPr>
            </w:pPr>
          </w:p>
        </w:tc>
      </w:tr>
      <w:tr w:rsidR="006D5B52" w:rsidRPr="00342605" w:rsidTr="007D1B76">
        <w:tc>
          <w:tcPr>
            <w:tcW w:w="2427" w:type="pct"/>
          </w:tcPr>
          <w:p w:rsidR="006D5B52" w:rsidRPr="00342605" w:rsidRDefault="006D5B52" w:rsidP="007D1B76">
            <w:pPr>
              <w:jc w:val="both"/>
              <w:rPr>
                <w:rFonts w:eastAsia="Calibri"/>
                <w:sz w:val="20"/>
                <w:lang w:val="fr-CA"/>
              </w:rPr>
            </w:pPr>
            <w:r w:rsidRPr="00342605">
              <w:rPr>
                <w:rFonts w:eastAsia="Calibri"/>
                <w:sz w:val="20"/>
                <w:lang w:val="fr-CA"/>
              </w:rPr>
              <w:t>28 avril 2014</w:t>
            </w:r>
          </w:p>
          <w:p w:rsidR="006D5B52" w:rsidRPr="00342605" w:rsidRDefault="006D5B52" w:rsidP="007D1B76">
            <w:pPr>
              <w:jc w:val="both"/>
              <w:rPr>
                <w:rFonts w:eastAsia="Calibri"/>
                <w:sz w:val="20"/>
                <w:lang w:val="fr-CA"/>
              </w:rPr>
            </w:pPr>
            <w:r w:rsidRPr="00342605">
              <w:rPr>
                <w:rFonts w:eastAsia="Calibri"/>
                <w:sz w:val="20"/>
                <w:lang w:val="fr-CA"/>
              </w:rPr>
              <w:t>Cour suprême du Canada</w:t>
            </w:r>
          </w:p>
        </w:tc>
        <w:tc>
          <w:tcPr>
            <w:tcW w:w="243" w:type="pct"/>
          </w:tcPr>
          <w:p w:rsidR="006D5B52" w:rsidRPr="00342605" w:rsidRDefault="006D5B52" w:rsidP="007D1B76">
            <w:pPr>
              <w:jc w:val="both"/>
              <w:rPr>
                <w:rFonts w:eastAsia="Calibri"/>
                <w:sz w:val="20"/>
                <w:lang w:val="fr-CA"/>
              </w:rPr>
            </w:pPr>
          </w:p>
        </w:tc>
        <w:tc>
          <w:tcPr>
            <w:tcW w:w="2330" w:type="pct"/>
          </w:tcPr>
          <w:p w:rsidR="006D5B52" w:rsidRPr="00342605" w:rsidRDefault="006D5B52" w:rsidP="007D1B76">
            <w:pPr>
              <w:jc w:val="both"/>
              <w:rPr>
                <w:rFonts w:eastAsia="Calibri"/>
                <w:sz w:val="20"/>
                <w:lang w:val="fr-CA"/>
              </w:rPr>
            </w:pPr>
            <w:r w:rsidRPr="00342605">
              <w:rPr>
                <w:rFonts w:eastAsia="Calibri"/>
                <w:sz w:val="20"/>
                <w:lang w:val="fr-CA"/>
              </w:rPr>
              <w:t>Demande d’autorisation d’appel, déposée</w:t>
            </w:r>
          </w:p>
          <w:p w:rsidR="006D5B52" w:rsidRPr="00342605" w:rsidRDefault="006D5B52" w:rsidP="007D1B76">
            <w:pPr>
              <w:jc w:val="both"/>
              <w:rPr>
                <w:rFonts w:eastAsia="Calibri"/>
                <w:sz w:val="20"/>
                <w:lang w:val="fr-CA"/>
              </w:rPr>
            </w:pPr>
          </w:p>
        </w:tc>
      </w:tr>
    </w:tbl>
    <w:p w:rsidR="00B35F64" w:rsidRDefault="00B35F64" w:rsidP="000E2959">
      <w:pPr>
        <w:rPr>
          <w:sz w:val="20"/>
          <w:szCs w:val="20"/>
        </w:rPr>
      </w:pPr>
    </w:p>
    <w:p w:rsidR="00B35F64" w:rsidRDefault="007871B3" w:rsidP="00B35F64">
      <w:pPr>
        <w:rPr>
          <w:sz w:val="20"/>
          <w:szCs w:val="20"/>
        </w:rPr>
      </w:pPr>
      <w:r>
        <w:rPr>
          <w:sz w:val="20"/>
          <w:szCs w:val="20"/>
          <w:lang w:val="fr-CA"/>
        </w:rPr>
        <w:pict>
          <v:rect id="_x0000_i1044" style="width:2in;height:1pt" o:hrpct="0" o:hralign="center" o:hrstd="t" o:hrnoshade="t" o:hr="t" fillcolor="black [3213]" stroked="f"/>
        </w:pict>
      </w:r>
    </w:p>
    <w:p w:rsidR="00B35F64" w:rsidRDefault="00B35F64" w:rsidP="00B35F6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54438" w:rsidRPr="009723FD" w:rsidTr="00154438">
        <w:tc>
          <w:tcPr>
            <w:tcW w:w="1458" w:type="dxa"/>
          </w:tcPr>
          <w:p w:rsidR="00154438" w:rsidRPr="00B75ABD" w:rsidRDefault="00154438" w:rsidP="00154438">
            <w:pPr>
              <w:rPr>
                <w:sz w:val="20"/>
                <w:szCs w:val="20"/>
              </w:rPr>
            </w:pPr>
            <w:r w:rsidRPr="00B75ABD">
              <w:rPr>
                <w:rStyle w:val="SCCFileNumberChar"/>
                <w:sz w:val="20"/>
                <w:szCs w:val="20"/>
              </w:rPr>
              <w:t>35892</w:t>
            </w:r>
          </w:p>
          <w:p w:rsidR="00154438" w:rsidRPr="00B75ABD" w:rsidRDefault="00154438" w:rsidP="00154438">
            <w:pPr>
              <w:rPr>
                <w:b/>
                <w:sz w:val="20"/>
                <w:szCs w:val="20"/>
                <w:lang w:val="fr-CA"/>
              </w:rPr>
            </w:pPr>
          </w:p>
        </w:tc>
        <w:tc>
          <w:tcPr>
            <w:tcW w:w="8118" w:type="dxa"/>
          </w:tcPr>
          <w:p w:rsidR="00154438" w:rsidRPr="00B75ABD" w:rsidRDefault="00154438" w:rsidP="00154438">
            <w:pPr>
              <w:jc w:val="both"/>
              <w:rPr>
                <w:sz w:val="20"/>
                <w:szCs w:val="20"/>
                <w:lang w:val="fr-CA"/>
              </w:rPr>
            </w:pPr>
            <w:r w:rsidRPr="00B75ABD">
              <w:rPr>
                <w:rStyle w:val="SCCLsocChar"/>
                <w:sz w:val="20"/>
                <w:szCs w:val="20"/>
              </w:rPr>
              <w:t>Procureur général du Canada</w:t>
            </w:r>
            <w:r>
              <w:rPr>
                <w:rStyle w:val="SCCLsocChar"/>
                <w:sz w:val="20"/>
                <w:szCs w:val="20"/>
              </w:rPr>
              <w:t xml:space="preserve"> et</w:t>
            </w:r>
            <w:r w:rsidRPr="00B75ABD">
              <w:rPr>
                <w:rStyle w:val="SCCLsocChar"/>
                <w:sz w:val="20"/>
                <w:szCs w:val="20"/>
              </w:rPr>
              <w:t xml:space="preserve"> Agence du Revenu du Canada c. Chambre des notaires du Québec</w:t>
            </w:r>
            <w:r>
              <w:rPr>
                <w:rStyle w:val="SCCLsocChar"/>
                <w:sz w:val="20"/>
                <w:szCs w:val="20"/>
              </w:rPr>
              <w:t xml:space="preserve"> et</w:t>
            </w:r>
            <w:r w:rsidRPr="00B75ABD">
              <w:rPr>
                <w:rStyle w:val="SCCLsocChar"/>
                <w:sz w:val="20"/>
                <w:szCs w:val="20"/>
              </w:rPr>
              <w:t xml:space="preserve"> Barreau du Québec</w:t>
            </w:r>
            <w:r w:rsidRPr="00B75ABD">
              <w:rPr>
                <w:sz w:val="20"/>
                <w:szCs w:val="20"/>
                <w:lang w:val="fr-CA"/>
              </w:rPr>
              <w:t xml:space="preserve"> (</w:t>
            </w:r>
            <w:proofErr w:type="spellStart"/>
            <w:r w:rsidRPr="00B75ABD">
              <w:rPr>
                <w:sz w:val="20"/>
                <w:szCs w:val="20"/>
                <w:lang w:val="fr-CA"/>
              </w:rPr>
              <w:t>Qc</w:t>
            </w:r>
            <w:proofErr w:type="spellEnd"/>
            <w:r w:rsidRPr="00B75ABD">
              <w:rPr>
                <w:sz w:val="20"/>
                <w:szCs w:val="20"/>
                <w:lang w:val="fr-CA"/>
              </w:rPr>
              <w:t>) (Civile) (Autorisation)</w:t>
            </w:r>
          </w:p>
          <w:p w:rsidR="00154438" w:rsidRPr="00B75ABD" w:rsidRDefault="00154438" w:rsidP="00154438">
            <w:pPr>
              <w:jc w:val="both"/>
              <w:rPr>
                <w:sz w:val="20"/>
                <w:szCs w:val="20"/>
                <w:lang w:val="fr-CA"/>
              </w:rPr>
            </w:pPr>
          </w:p>
        </w:tc>
      </w:tr>
      <w:tr w:rsidR="00154438" w:rsidRPr="009723FD" w:rsidTr="00154438">
        <w:tc>
          <w:tcPr>
            <w:tcW w:w="1458" w:type="dxa"/>
          </w:tcPr>
          <w:p w:rsidR="00154438" w:rsidRPr="00B75ABD" w:rsidRDefault="00154438" w:rsidP="00154438">
            <w:pPr>
              <w:rPr>
                <w:sz w:val="20"/>
                <w:szCs w:val="20"/>
              </w:rPr>
            </w:pPr>
            <w:r w:rsidRPr="00B75ABD">
              <w:rPr>
                <w:sz w:val="20"/>
                <w:szCs w:val="20"/>
              </w:rPr>
              <w:t>Coram :</w:t>
            </w:r>
          </w:p>
        </w:tc>
        <w:tc>
          <w:tcPr>
            <w:tcW w:w="8118" w:type="dxa"/>
          </w:tcPr>
          <w:p w:rsidR="00154438" w:rsidRPr="00B75ABD" w:rsidRDefault="00154438" w:rsidP="00154438">
            <w:pPr>
              <w:rPr>
                <w:sz w:val="20"/>
                <w:szCs w:val="20"/>
                <w:lang w:val="fr-CA"/>
              </w:rPr>
            </w:pPr>
            <w:r w:rsidRPr="00B75ABD">
              <w:rPr>
                <w:rStyle w:val="SCCCoramChar"/>
                <w:sz w:val="20"/>
                <w:szCs w:val="20"/>
              </w:rPr>
              <w:t xml:space="preserve">Les juges </w:t>
            </w:r>
            <w:proofErr w:type="spellStart"/>
            <w:r w:rsidRPr="00B75ABD">
              <w:rPr>
                <w:rStyle w:val="SCCCoramChar"/>
                <w:sz w:val="20"/>
                <w:szCs w:val="20"/>
              </w:rPr>
              <w:t>LeBel</w:t>
            </w:r>
            <w:proofErr w:type="spellEnd"/>
            <w:r w:rsidRPr="00B75ABD">
              <w:rPr>
                <w:rStyle w:val="SCCCoramChar"/>
                <w:sz w:val="20"/>
                <w:szCs w:val="20"/>
              </w:rPr>
              <w:t xml:space="preserve">, </w:t>
            </w:r>
            <w:proofErr w:type="spellStart"/>
            <w:r w:rsidRPr="00B75ABD">
              <w:rPr>
                <w:rStyle w:val="SCCCoramChar"/>
                <w:sz w:val="20"/>
                <w:szCs w:val="20"/>
              </w:rPr>
              <w:t>Karakatsanis</w:t>
            </w:r>
            <w:proofErr w:type="spellEnd"/>
            <w:r w:rsidRPr="00B75ABD">
              <w:rPr>
                <w:rStyle w:val="SCCCoramChar"/>
                <w:sz w:val="20"/>
                <w:szCs w:val="20"/>
              </w:rPr>
              <w:t xml:space="preserve"> et Gascon</w:t>
            </w:r>
          </w:p>
          <w:p w:rsidR="00154438" w:rsidRPr="00B75ABD" w:rsidRDefault="00154438" w:rsidP="00154438">
            <w:pPr>
              <w:rPr>
                <w:sz w:val="20"/>
                <w:szCs w:val="20"/>
                <w:u w:val="single"/>
                <w:lang w:val="fr-CA"/>
              </w:rPr>
            </w:pPr>
          </w:p>
        </w:tc>
      </w:tr>
      <w:tr w:rsidR="00154438" w:rsidRPr="00B75ABD" w:rsidTr="00154438">
        <w:tc>
          <w:tcPr>
            <w:tcW w:w="9576" w:type="dxa"/>
            <w:gridSpan w:val="2"/>
          </w:tcPr>
          <w:p w:rsidR="00154438" w:rsidRPr="00B75ABD" w:rsidRDefault="00154438" w:rsidP="00154438">
            <w:pPr>
              <w:pStyle w:val="SCCShortJudgment"/>
              <w:rPr>
                <w:szCs w:val="20"/>
                <w:lang w:val="fr-CA"/>
              </w:rPr>
            </w:pPr>
            <w:r w:rsidRPr="00B75ABD">
              <w:rPr>
                <w:szCs w:val="20"/>
                <w:lang w:val="fr-CA"/>
              </w:rPr>
              <w:t>La demande d’autorisation d’appel de l’arrêt de la Cour d’appel du Québec (Montréal), numéro 500-09-021073-101, 2014 QCCA 552, daté du 21 mars 2014, est accueillie avec dépens selon l’issue de la cause.</w:t>
            </w:r>
          </w:p>
          <w:p w:rsidR="00154438" w:rsidRPr="00B75ABD" w:rsidRDefault="00154438" w:rsidP="00154438">
            <w:pPr>
              <w:pStyle w:val="SCCShortJudgment"/>
              <w:ind w:firstLine="0"/>
              <w:rPr>
                <w:szCs w:val="20"/>
                <w:lang w:val="fr-CA"/>
              </w:rPr>
            </w:pPr>
          </w:p>
          <w:p w:rsidR="00154438" w:rsidRPr="00B75ABD" w:rsidRDefault="00154438" w:rsidP="00154438">
            <w:pPr>
              <w:pStyle w:val="SCCShortJudgment"/>
              <w:rPr>
                <w:szCs w:val="20"/>
              </w:rPr>
            </w:pPr>
            <w:r w:rsidRPr="00B75ABD">
              <w:rPr>
                <w:szCs w:val="20"/>
              </w:rPr>
              <w:lastRenderedPageBreak/>
              <w:t xml:space="preserve">The application for leave to appeal from the judgment of the Court of Appeal of Quebec (Montréal), Number 500-09-021073-101, </w:t>
            </w:r>
            <w:proofErr w:type="gramStart"/>
            <w:r w:rsidRPr="00B75ABD">
              <w:rPr>
                <w:szCs w:val="20"/>
              </w:rPr>
              <w:t>2014</w:t>
            </w:r>
            <w:proofErr w:type="gramEnd"/>
            <w:r w:rsidRPr="00B75ABD">
              <w:rPr>
                <w:szCs w:val="20"/>
              </w:rPr>
              <w:t xml:space="preserve"> QCCA 552, dated March 21, 2014, is granted with costs in the cause.</w:t>
            </w:r>
          </w:p>
        </w:tc>
      </w:tr>
    </w:tbl>
    <w:p w:rsidR="00A325AC" w:rsidRDefault="00A325AC" w:rsidP="00A325AC">
      <w:pPr>
        <w:rPr>
          <w:sz w:val="20"/>
          <w:szCs w:val="20"/>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6E59BB" w:rsidRPr="00342605" w:rsidTr="007D1B76">
        <w:tc>
          <w:tcPr>
            <w:tcW w:w="5000" w:type="pct"/>
            <w:gridSpan w:val="3"/>
          </w:tcPr>
          <w:p w:rsidR="006E59BB" w:rsidRPr="00342605" w:rsidRDefault="006E59BB" w:rsidP="007D1B76">
            <w:pPr>
              <w:jc w:val="both"/>
              <w:rPr>
                <w:rFonts w:eastAsia="Calibri"/>
                <w:sz w:val="20"/>
              </w:rPr>
            </w:pPr>
            <w:r w:rsidRPr="00342605">
              <w:rPr>
                <w:rFonts w:eastAsia="Calibri"/>
                <w:i/>
                <w:sz w:val="20"/>
              </w:rPr>
              <w:t>Charter of Rights</w:t>
            </w:r>
            <w:r w:rsidRPr="00342605">
              <w:rPr>
                <w:rFonts w:eastAsia="Calibri"/>
                <w:sz w:val="20"/>
              </w:rPr>
              <w:t xml:space="preserve"> – Constitutional law – Search and seizure – Taxation – Investigations – Whether scheme of requirement to provide documents or information under s. 231.2(1) of </w:t>
            </w:r>
            <w:r w:rsidRPr="00342605">
              <w:rPr>
                <w:rFonts w:eastAsia="Calibri"/>
                <w:i/>
                <w:sz w:val="20"/>
              </w:rPr>
              <w:t>Income Tax Act</w:t>
            </w:r>
            <w:r w:rsidRPr="00342605">
              <w:rPr>
                <w:rFonts w:eastAsia="Calibri"/>
                <w:sz w:val="20"/>
              </w:rPr>
              <w:t xml:space="preserve">, R.S.C. 1985, c. 1 (5th Supp.), and — insofar as they relate to s. 231.2(1) — ss. 231.7 and 232(1) </w:t>
            </w:r>
            <w:r w:rsidRPr="00342605">
              <w:rPr>
                <w:rFonts w:eastAsia="Calibri"/>
                <w:i/>
                <w:sz w:val="20"/>
              </w:rPr>
              <w:t>ITA</w:t>
            </w:r>
            <w:r w:rsidRPr="00342605">
              <w:rPr>
                <w:rFonts w:eastAsia="Calibri"/>
                <w:sz w:val="20"/>
              </w:rPr>
              <w:t xml:space="preserve">, is consistent with s. 8 of </w:t>
            </w:r>
            <w:r w:rsidRPr="00342605">
              <w:rPr>
                <w:rFonts w:eastAsia="Calibri"/>
                <w:i/>
                <w:sz w:val="20"/>
              </w:rPr>
              <w:t>Canadian Charter of Rights and Freedoms</w:t>
            </w:r>
            <w:r w:rsidRPr="00342605">
              <w:rPr>
                <w:rFonts w:eastAsia="Calibri"/>
                <w:sz w:val="20"/>
              </w:rPr>
              <w:t xml:space="preserve"> in situation in which Minister requires that taxpayer’s notary or advocate provide documents or information about taxpayer.</w:t>
            </w:r>
          </w:p>
        </w:tc>
      </w:tr>
      <w:tr w:rsidR="006E59BB" w:rsidRPr="00342605" w:rsidTr="007D1B76">
        <w:tc>
          <w:tcPr>
            <w:tcW w:w="5000" w:type="pct"/>
            <w:gridSpan w:val="3"/>
          </w:tcPr>
          <w:p w:rsidR="006E59BB" w:rsidRPr="00342605" w:rsidRDefault="006E59BB" w:rsidP="007D1B76">
            <w:pPr>
              <w:jc w:val="both"/>
              <w:rPr>
                <w:rFonts w:eastAsia="Calibri"/>
                <w:sz w:val="20"/>
              </w:rPr>
            </w:pPr>
          </w:p>
        </w:tc>
      </w:tr>
      <w:tr w:rsidR="006E59BB" w:rsidRPr="00342605" w:rsidTr="007D1B76">
        <w:tc>
          <w:tcPr>
            <w:tcW w:w="5000" w:type="pct"/>
            <w:gridSpan w:val="3"/>
          </w:tcPr>
          <w:p w:rsidR="006E59BB" w:rsidRPr="00342605" w:rsidRDefault="006E59BB" w:rsidP="007D1B76">
            <w:pPr>
              <w:jc w:val="both"/>
              <w:rPr>
                <w:rFonts w:eastAsia="Calibri"/>
                <w:sz w:val="20"/>
              </w:rPr>
            </w:pPr>
            <w:r w:rsidRPr="00342605">
              <w:rPr>
                <w:rFonts w:eastAsia="Calibri"/>
                <w:sz w:val="20"/>
              </w:rPr>
              <w:t xml:space="preserve">Section 231.2(1) of the </w:t>
            </w:r>
            <w:r w:rsidRPr="00342605">
              <w:rPr>
                <w:rFonts w:eastAsia="Calibri"/>
                <w:i/>
                <w:sz w:val="20"/>
              </w:rPr>
              <w:t>ITA</w:t>
            </w:r>
            <w:r w:rsidRPr="00342605">
              <w:rPr>
                <w:rFonts w:eastAsia="Calibri"/>
                <w:sz w:val="20"/>
              </w:rPr>
              <w:t xml:space="preserve"> authorizes the Minister of National Revenue to require, by means of a simple letter, that any person provide information or documents that might be of assistance in the administration or enforcement of the </w:t>
            </w:r>
            <w:r w:rsidRPr="00342605">
              <w:rPr>
                <w:rFonts w:eastAsia="Calibri"/>
                <w:i/>
                <w:sz w:val="20"/>
              </w:rPr>
              <w:t>ITA</w:t>
            </w:r>
            <w:r w:rsidRPr="00342605">
              <w:rPr>
                <w:rFonts w:eastAsia="Calibri"/>
                <w:sz w:val="20"/>
              </w:rPr>
              <w:t xml:space="preserve">.  It applies, </w:t>
            </w:r>
            <w:r w:rsidRPr="00342605">
              <w:rPr>
                <w:rFonts w:eastAsia="Calibri"/>
                <w:i/>
                <w:sz w:val="20"/>
              </w:rPr>
              <w:t>inter alia</w:t>
            </w:r>
            <w:r w:rsidRPr="00342605">
              <w:rPr>
                <w:rFonts w:eastAsia="Calibri"/>
                <w:sz w:val="20"/>
              </w:rPr>
              <w:t xml:space="preserve">, to advocates and notaries.  Section 241 of the </w:t>
            </w:r>
            <w:r w:rsidRPr="00342605">
              <w:rPr>
                <w:rFonts w:eastAsia="Calibri"/>
                <w:i/>
                <w:sz w:val="20"/>
              </w:rPr>
              <w:t>ITA</w:t>
            </w:r>
            <w:r w:rsidRPr="00342605">
              <w:rPr>
                <w:rFonts w:eastAsia="Calibri"/>
                <w:sz w:val="20"/>
              </w:rPr>
              <w:t xml:space="preserve"> requires that any information so obtained be kept confidential.  Should anyone refuse to comply with such a “requirement to provide documents or information”, the Minister can apply to the Federal Court under s. 231.7 for an order that the person in question do so.  In such a case, the court may grant the application if the information, or documents, being sought is not protected from disclosure by “solicitor-client privilege”, which is defined in s. 232(1) of the </w:t>
            </w:r>
            <w:r w:rsidRPr="00342605">
              <w:rPr>
                <w:rFonts w:eastAsia="Calibri"/>
                <w:i/>
                <w:sz w:val="20"/>
              </w:rPr>
              <w:t>ITA</w:t>
            </w:r>
            <w:r w:rsidRPr="00342605">
              <w:rPr>
                <w:rFonts w:eastAsia="Calibri"/>
                <w:sz w:val="20"/>
              </w:rPr>
              <w:t xml:space="preserve"> as “the right, if any, that a person has in a superior court in the province where the matter arises to refuse to disclose an oral or documentary communication on the ground that the communication is one passing between the person and the person’s lawyer in professional confidence”.  However, the definition of the privilege excludes “an accounting record of a lawyer, including any supporting voucher or cheque”.  The privilege applies to notaries (s. 232(1), definition of “lawyer”). </w:t>
            </w:r>
          </w:p>
          <w:p w:rsidR="006E59BB" w:rsidRPr="00342605" w:rsidRDefault="006E59BB" w:rsidP="007D1B76">
            <w:pPr>
              <w:jc w:val="both"/>
              <w:rPr>
                <w:rFonts w:eastAsia="Calibri"/>
                <w:sz w:val="20"/>
              </w:rPr>
            </w:pPr>
          </w:p>
          <w:p w:rsidR="006E59BB" w:rsidRPr="00342605" w:rsidRDefault="006E59BB" w:rsidP="007D1B76">
            <w:pPr>
              <w:jc w:val="both"/>
              <w:rPr>
                <w:rFonts w:eastAsia="Calibri"/>
                <w:sz w:val="20"/>
              </w:rPr>
            </w:pPr>
            <w:r w:rsidRPr="00342605">
              <w:rPr>
                <w:rFonts w:eastAsia="Calibri"/>
                <w:sz w:val="20"/>
              </w:rPr>
              <w:t xml:space="preserve">The </w:t>
            </w:r>
            <w:proofErr w:type="spellStart"/>
            <w:r w:rsidRPr="00342605">
              <w:rPr>
                <w:rFonts w:eastAsia="Calibri"/>
                <w:sz w:val="20"/>
              </w:rPr>
              <w:t>Chambre</w:t>
            </w:r>
            <w:proofErr w:type="spellEnd"/>
            <w:r w:rsidRPr="00342605">
              <w:rPr>
                <w:rFonts w:eastAsia="Calibri"/>
                <w:sz w:val="20"/>
              </w:rPr>
              <w:t xml:space="preserve"> des </w:t>
            </w:r>
            <w:proofErr w:type="spellStart"/>
            <w:r w:rsidRPr="00342605">
              <w:rPr>
                <w:rFonts w:eastAsia="Calibri"/>
                <w:sz w:val="20"/>
              </w:rPr>
              <w:t>notaires</w:t>
            </w:r>
            <w:proofErr w:type="spellEnd"/>
            <w:r w:rsidRPr="00342605">
              <w:rPr>
                <w:rFonts w:eastAsia="Calibri"/>
                <w:sz w:val="20"/>
              </w:rPr>
              <w:t xml:space="preserve"> brought an action — successfully — under art. 453 C.C.P. for a declaration that ss. 231.2(1) and 231.7, together with the exception set out in the definition of “solicitor-client privilege” in s. 232(1), are unconstitutional in relation to advocates and notaries of the province of Quebec on the basis that they are contrary to the </w:t>
            </w:r>
            <w:r w:rsidRPr="00342605">
              <w:rPr>
                <w:rFonts w:eastAsia="Calibri"/>
                <w:i/>
                <w:sz w:val="20"/>
              </w:rPr>
              <w:t>Canadian Charter of Rights and Freedoms</w:t>
            </w:r>
            <w:r w:rsidRPr="00342605">
              <w:rPr>
                <w:rFonts w:eastAsia="Calibri"/>
                <w:sz w:val="20"/>
              </w:rPr>
              <w:t>.</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September 8, 2010</w:t>
            </w:r>
          </w:p>
          <w:p w:rsidR="006E59BB" w:rsidRPr="00342605" w:rsidRDefault="006E59BB" w:rsidP="007D1B76">
            <w:pPr>
              <w:jc w:val="both"/>
              <w:rPr>
                <w:rFonts w:eastAsia="Calibri"/>
                <w:sz w:val="20"/>
              </w:rPr>
            </w:pPr>
            <w:r w:rsidRPr="00342605">
              <w:rPr>
                <w:rFonts w:eastAsia="Calibri"/>
                <w:sz w:val="20"/>
              </w:rPr>
              <w:t>Quebec Superior Court</w:t>
            </w:r>
          </w:p>
          <w:p w:rsidR="006E59BB" w:rsidRPr="00342605" w:rsidRDefault="006E59BB" w:rsidP="007D1B76">
            <w:pPr>
              <w:jc w:val="both"/>
              <w:rPr>
                <w:rFonts w:eastAsia="Calibri"/>
                <w:sz w:val="20"/>
              </w:rPr>
            </w:pPr>
            <w:r w:rsidRPr="00342605">
              <w:rPr>
                <w:rFonts w:eastAsia="Calibri"/>
                <w:sz w:val="20"/>
              </w:rPr>
              <w:t>(Blanchard J.)</w:t>
            </w:r>
          </w:p>
          <w:p w:rsidR="006E59BB" w:rsidRPr="00342605" w:rsidRDefault="007871B3" w:rsidP="007D1B76">
            <w:pPr>
              <w:jc w:val="both"/>
              <w:rPr>
                <w:rFonts w:eastAsia="Calibri"/>
                <w:sz w:val="20"/>
              </w:rPr>
            </w:pPr>
            <w:hyperlink r:id="rId20" w:history="1">
              <w:r w:rsidR="006E59BB" w:rsidRPr="00342605">
                <w:rPr>
                  <w:rFonts w:eastAsia="Calibri"/>
                  <w:color w:val="0000FF"/>
                  <w:sz w:val="20"/>
                  <w:u w:val="single"/>
                </w:rPr>
                <w:t>2010 QCCS 4215</w:t>
              </w:r>
            </w:hyperlink>
          </w:p>
          <w:p w:rsidR="006E59BB" w:rsidRPr="00342605" w:rsidRDefault="006E59BB" w:rsidP="007D1B76">
            <w:pPr>
              <w:jc w:val="both"/>
              <w:rPr>
                <w:rFonts w:eastAsia="Calibri"/>
                <w:sz w:val="20"/>
              </w:rPr>
            </w:pPr>
          </w:p>
        </w:tc>
        <w:tc>
          <w:tcPr>
            <w:tcW w:w="162" w:type="pct"/>
          </w:tcPr>
          <w:p w:rsidR="006E59BB" w:rsidRPr="00342605" w:rsidRDefault="006E59BB" w:rsidP="007D1B76">
            <w:pPr>
              <w:jc w:val="both"/>
              <w:rPr>
                <w:rFonts w:eastAsia="Calibri"/>
                <w:sz w:val="20"/>
              </w:rPr>
            </w:pPr>
          </w:p>
        </w:tc>
        <w:tc>
          <w:tcPr>
            <w:tcW w:w="2411" w:type="pct"/>
          </w:tcPr>
          <w:p w:rsidR="006E59BB" w:rsidRPr="00342605" w:rsidRDefault="006E59BB" w:rsidP="007D1B76">
            <w:pPr>
              <w:jc w:val="both"/>
              <w:rPr>
                <w:rFonts w:eastAsia="Calibri"/>
                <w:sz w:val="20"/>
              </w:rPr>
            </w:pPr>
            <w:r w:rsidRPr="00342605">
              <w:rPr>
                <w:rFonts w:eastAsia="Calibri"/>
                <w:sz w:val="20"/>
              </w:rPr>
              <w:t>Motion for declaratory judgment granted; provisions declared unconstitutional</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March 21, 2014</w:t>
            </w:r>
          </w:p>
          <w:p w:rsidR="006E59BB" w:rsidRPr="00342605" w:rsidRDefault="006E59BB" w:rsidP="007D1B76">
            <w:pPr>
              <w:jc w:val="both"/>
              <w:rPr>
                <w:rFonts w:eastAsia="Calibri"/>
                <w:sz w:val="20"/>
              </w:rPr>
            </w:pPr>
            <w:r w:rsidRPr="00342605">
              <w:rPr>
                <w:rFonts w:eastAsia="Calibri"/>
                <w:sz w:val="20"/>
              </w:rPr>
              <w:t>Quebec Court of Appeal (Montréal)</w:t>
            </w:r>
          </w:p>
          <w:p w:rsidR="006E59BB" w:rsidRPr="00342605" w:rsidRDefault="006E59BB" w:rsidP="007D1B76">
            <w:pPr>
              <w:jc w:val="both"/>
              <w:rPr>
                <w:rFonts w:eastAsia="Calibri"/>
                <w:sz w:val="20"/>
              </w:rPr>
            </w:pPr>
            <w:r w:rsidRPr="00342605">
              <w:rPr>
                <w:rFonts w:eastAsia="Calibri"/>
                <w:sz w:val="20"/>
              </w:rPr>
              <w:t>(</w:t>
            </w:r>
            <w:proofErr w:type="spellStart"/>
            <w:r w:rsidRPr="00342605">
              <w:rPr>
                <w:rFonts w:eastAsia="Calibri"/>
                <w:sz w:val="20"/>
              </w:rPr>
              <w:t>Bich</w:t>
            </w:r>
            <w:proofErr w:type="spellEnd"/>
            <w:r w:rsidRPr="00342605">
              <w:rPr>
                <w:rFonts w:eastAsia="Calibri"/>
                <w:sz w:val="20"/>
              </w:rPr>
              <w:t>, Léger and Fournier JJ.A.)</w:t>
            </w:r>
          </w:p>
          <w:p w:rsidR="006E59BB" w:rsidRPr="00342605" w:rsidRDefault="006E59BB" w:rsidP="007D1B76">
            <w:pPr>
              <w:jc w:val="both"/>
              <w:rPr>
                <w:rFonts w:eastAsia="Calibri"/>
                <w:sz w:val="20"/>
              </w:rPr>
            </w:pPr>
            <w:r w:rsidRPr="00342605">
              <w:rPr>
                <w:rFonts w:eastAsia="Calibri"/>
                <w:sz w:val="20"/>
              </w:rPr>
              <w:t xml:space="preserve">500-09-021073-101; </w:t>
            </w:r>
            <w:hyperlink r:id="rId21" w:history="1">
              <w:r w:rsidRPr="00342605">
                <w:rPr>
                  <w:rFonts w:eastAsia="Calibri"/>
                  <w:color w:val="0000FF"/>
                  <w:sz w:val="20"/>
                  <w:u w:val="single"/>
                </w:rPr>
                <w:t>2014 QCCA 552</w:t>
              </w:r>
            </w:hyperlink>
          </w:p>
          <w:p w:rsidR="006E59BB" w:rsidRPr="00342605" w:rsidRDefault="006E59BB" w:rsidP="007D1B76">
            <w:pPr>
              <w:jc w:val="both"/>
              <w:rPr>
                <w:rFonts w:eastAsia="Calibri"/>
                <w:sz w:val="20"/>
              </w:rPr>
            </w:pPr>
          </w:p>
        </w:tc>
        <w:tc>
          <w:tcPr>
            <w:tcW w:w="162" w:type="pct"/>
          </w:tcPr>
          <w:p w:rsidR="006E59BB" w:rsidRPr="00342605" w:rsidRDefault="006E59BB" w:rsidP="007D1B76">
            <w:pPr>
              <w:jc w:val="both"/>
              <w:rPr>
                <w:rFonts w:eastAsia="Calibri"/>
                <w:sz w:val="20"/>
              </w:rPr>
            </w:pPr>
          </w:p>
        </w:tc>
        <w:tc>
          <w:tcPr>
            <w:tcW w:w="2411" w:type="pct"/>
          </w:tcPr>
          <w:p w:rsidR="006E59BB" w:rsidRPr="00342605" w:rsidRDefault="006E59BB" w:rsidP="007D1B76">
            <w:pPr>
              <w:jc w:val="both"/>
              <w:rPr>
                <w:rFonts w:eastAsia="Calibri"/>
                <w:sz w:val="20"/>
              </w:rPr>
            </w:pPr>
            <w:r w:rsidRPr="00342605">
              <w:rPr>
                <w:rFonts w:eastAsia="Calibri"/>
                <w:sz w:val="20"/>
              </w:rPr>
              <w:t>Appeal allowed in part; declarations of unconstitutionality upheld in part</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May 20, 2014</w:t>
            </w:r>
          </w:p>
          <w:p w:rsidR="006E59BB" w:rsidRPr="00342605" w:rsidRDefault="006E59BB" w:rsidP="007D1B76">
            <w:pPr>
              <w:jc w:val="both"/>
              <w:rPr>
                <w:rFonts w:eastAsia="Calibri"/>
                <w:sz w:val="20"/>
              </w:rPr>
            </w:pPr>
            <w:r w:rsidRPr="00342605">
              <w:rPr>
                <w:rFonts w:eastAsia="Calibri"/>
                <w:sz w:val="20"/>
              </w:rPr>
              <w:t>Supreme Court of Canada</w:t>
            </w:r>
          </w:p>
        </w:tc>
        <w:tc>
          <w:tcPr>
            <w:tcW w:w="162" w:type="pct"/>
          </w:tcPr>
          <w:p w:rsidR="006E59BB" w:rsidRPr="00342605" w:rsidRDefault="006E59BB" w:rsidP="007D1B76">
            <w:pPr>
              <w:jc w:val="both"/>
              <w:rPr>
                <w:rFonts w:eastAsia="Calibri"/>
                <w:sz w:val="20"/>
              </w:rPr>
            </w:pPr>
          </w:p>
        </w:tc>
        <w:tc>
          <w:tcPr>
            <w:tcW w:w="2411" w:type="pct"/>
          </w:tcPr>
          <w:p w:rsidR="006E59BB" w:rsidRPr="00342605" w:rsidRDefault="006E59BB" w:rsidP="007D1B76">
            <w:pPr>
              <w:jc w:val="both"/>
              <w:rPr>
                <w:rFonts w:eastAsia="Calibri"/>
                <w:sz w:val="20"/>
              </w:rPr>
            </w:pPr>
            <w:r w:rsidRPr="00342605">
              <w:rPr>
                <w:rFonts w:eastAsia="Calibri"/>
                <w:sz w:val="20"/>
              </w:rPr>
              <w:t>Application for leave to appeal filed</w:t>
            </w:r>
          </w:p>
          <w:p w:rsidR="006E59BB" w:rsidRPr="00342605" w:rsidRDefault="006E59BB"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45"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309"/>
        <w:gridCol w:w="4594"/>
      </w:tblGrid>
      <w:tr w:rsidR="006E59BB" w:rsidRPr="009723FD" w:rsidTr="007D1B76">
        <w:tc>
          <w:tcPr>
            <w:tcW w:w="5000" w:type="pct"/>
            <w:gridSpan w:val="3"/>
          </w:tcPr>
          <w:p w:rsidR="006E59BB" w:rsidRPr="00342605" w:rsidRDefault="006E59BB" w:rsidP="007D1B76">
            <w:pPr>
              <w:jc w:val="both"/>
              <w:rPr>
                <w:rFonts w:eastAsia="Calibri"/>
                <w:sz w:val="20"/>
                <w:lang w:val="fr-CA"/>
              </w:rPr>
            </w:pPr>
            <w:r w:rsidRPr="00342605">
              <w:rPr>
                <w:rFonts w:eastAsia="Calibri"/>
                <w:i/>
                <w:sz w:val="20"/>
                <w:lang w:val="fr-CA"/>
              </w:rPr>
              <w:t>Charte des droits</w:t>
            </w:r>
            <w:r w:rsidRPr="00342605">
              <w:rPr>
                <w:rFonts w:eastAsia="Calibri"/>
                <w:sz w:val="20"/>
                <w:lang w:val="fr-CA"/>
              </w:rPr>
              <w:t xml:space="preserve"> – Droit constitutionnel – Fouilles, perquisitions et saisies – Droit fiscal – Enquêtes – Le régime des demandes péremptoires établi par le par. 231.2(1) de la </w:t>
            </w:r>
            <w:r w:rsidRPr="00342605">
              <w:rPr>
                <w:rFonts w:eastAsia="Calibri"/>
                <w:i/>
                <w:sz w:val="20"/>
                <w:lang w:val="fr-CA"/>
              </w:rPr>
              <w:t>Loi de l’impôt sur le revenu</w:t>
            </w:r>
            <w:r w:rsidRPr="00342605">
              <w:rPr>
                <w:rFonts w:eastAsia="Calibri"/>
                <w:sz w:val="20"/>
                <w:lang w:val="fr-CA"/>
              </w:rPr>
              <w:t>, L.R.C. 1985, ch. 1 (5</w:t>
            </w:r>
            <w:r w:rsidRPr="00342605">
              <w:rPr>
                <w:rFonts w:eastAsia="Calibri"/>
                <w:sz w:val="20"/>
                <w:vertAlign w:val="superscript"/>
                <w:lang w:val="fr-CA"/>
              </w:rPr>
              <w:t>e</w:t>
            </w:r>
            <w:r w:rsidRPr="00342605">
              <w:rPr>
                <w:rFonts w:eastAsia="Calibri"/>
                <w:sz w:val="20"/>
                <w:lang w:val="fr-CA"/>
              </w:rPr>
              <w:t xml:space="preserve"> suppl.), et, dans la mesure où ils se rattachent à ce paragraphe, l’art. 231.7 et le par. 232(1) </w:t>
            </w:r>
            <w:r w:rsidRPr="00342605">
              <w:rPr>
                <w:rFonts w:eastAsia="Calibri"/>
                <w:i/>
                <w:sz w:val="20"/>
                <w:lang w:val="fr-CA"/>
              </w:rPr>
              <w:t>LIR</w:t>
            </w:r>
            <w:r w:rsidRPr="00342605">
              <w:rPr>
                <w:rFonts w:eastAsia="Calibri"/>
                <w:sz w:val="20"/>
                <w:lang w:val="fr-CA"/>
              </w:rPr>
              <w:t xml:space="preserve">, est-il conforme à l’art. 8 de la </w:t>
            </w:r>
            <w:r w:rsidRPr="00342605">
              <w:rPr>
                <w:rFonts w:eastAsia="Calibri"/>
                <w:i/>
                <w:sz w:val="20"/>
                <w:lang w:val="fr-CA"/>
              </w:rPr>
              <w:t>Charte canadienne des droits et libertés</w:t>
            </w:r>
            <w:r w:rsidRPr="00342605">
              <w:rPr>
                <w:rFonts w:eastAsia="Calibri"/>
                <w:sz w:val="20"/>
                <w:lang w:val="fr-CA"/>
              </w:rPr>
              <w:t xml:space="preserve"> lorsque le ministre s’adresse au notaire ou à l’avocat du contribuable afin d’obtenir des documents ou renseignements relatifs à ce dernier?</w:t>
            </w:r>
          </w:p>
        </w:tc>
      </w:tr>
      <w:tr w:rsidR="006E59BB" w:rsidRPr="009723FD" w:rsidTr="007D1B76">
        <w:tc>
          <w:tcPr>
            <w:tcW w:w="5000" w:type="pct"/>
            <w:gridSpan w:val="3"/>
          </w:tcPr>
          <w:p w:rsidR="006E59BB" w:rsidRPr="00342605" w:rsidRDefault="006E59BB" w:rsidP="007D1B76">
            <w:pPr>
              <w:jc w:val="both"/>
              <w:rPr>
                <w:rFonts w:eastAsia="Calibri"/>
                <w:sz w:val="20"/>
                <w:lang w:val="fr-CA"/>
              </w:rPr>
            </w:pPr>
          </w:p>
        </w:tc>
      </w:tr>
      <w:tr w:rsidR="006E59BB" w:rsidRPr="009723FD" w:rsidTr="007D1B76">
        <w:tc>
          <w:tcPr>
            <w:tcW w:w="5000" w:type="pct"/>
            <w:gridSpan w:val="3"/>
          </w:tcPr>
          <w:p w:rsidR="006E59BB" w:rsidRPr="00342605" w:rsidRDefault="006E59BB" w:rsidP="007D1B76">
            <w:pPr>
              <w:jc w:val="both"/>
              <w:rPr>
                <w:rFonts w:eastAsia="Calibri"/>
                <w:sz w:val="20"/>
                <w:lang w:val="fr-CA"/>
              </w:rPr>
            </w:pPr>
            <w:r w:rsidRPr="00342605">
              <w:rPr>
                <w:rFonts w:eastAsia="Calibri"/>
                <w:sz w:val="20"/>
                <w:lang w:val="fr-CA"/>
              </w:rPr>
              <w:t xml:space="preserve">Le paragraphe 231.2(1) de la </w:t>
            </w:r>
            <w:r w:rsidRPr="00342605">
              <w:rPr>
                <w:rFonts w:eastAsia="Calibri"/>
                <w:i/>
                <w:sz w:val="20"/>
                <w:lang w:val="fr-CA"/>
              </w:rPr>
              <w:t>LIR</w:t>
            </w:r>
            <w:r w:rsidRPr="00342605">
              <w:rPr>
                <w:rFonts w:eastAsia="Calibri"/>
                <w:sz w:val="20"/>
                <w:lang w:val="fr-CA"/>
              </w:rPr>
              <w:t xml:space="preserve"> permet au ministre du Revenu national, par simple lettre, de requérir de toute personne des renseignements ou documents qui peuvent être utiles à l’application ou à l’exécution de la </w:t>
            </w:r>
            <w:r w:rsidRPr="00342605">
              <w:rPr>
                <w:rFonts w:eastAsia="Calibri"/>
                <w:i/>
                <w:sz w:val="20"/>
                <w:lang w:val="fr-CA"/>
              </w:rPr>
              <w:t>LIR</w:t>
            </w:r>
            <w:r w:rsidRPr="00342605">
              <w:rPr>
                <w:rFonts w:eastAsia="Calibri"/>
                <w:sz w:val="20"/>
                <w:lang w:val="fr-CA"/>
              </w:rPr>
              <w:t xml:space="preserve">.  Cela inclut les avocats et notaires.  Les informations ainsi recueillies doivent être gardées confidentielles en application de l’art. 241 de la </w:t>
            </w:r>
            <w:r w:rsidRPr="00342605">
              <w:rPr>
                <w:rFonts w:eastAsia="Calibri"/>
                <w:i/>
                <w:sz w:val="20"/>
                <w:lang w:val="fr-CA"/>
              </w:rPr>
              <w:t>LIR</w:t>
            </w:r>
            <w:r w:rsidRPr="00342605">
              <w:rPr>
                <w:rFonts w:eastAsia="Calibri"/>
                <w:sz w:val="20"/>
                <w:lang w:val="fr-CA"/>
              </w:rPr>
              <w:t xml:space="preserve">.  En cas de refus d’obtempérer à une telle « demande péremptoire », l’art. 231.7 permet au ministre de s’adresser à la Cour fédérale pour obtenir une ordonnance enjoignant à la personne visée de s’y conformer.  Dans un tel cas, la cour peut accueillir la demande si les informations ou documents requis ne sont pas protégés par le « privilège des communications entre client et avocat ».  Aux termes du par. 232(1) de la </w:t>
            </w:r>
            <w:r w:rsidRPr="00342605">
              <w:rPr>
                <w:rFonts w:eastAsia="Calibri"/>
                <w:i/>
                <w:sz w:val="20"/>
                <w:lang w:val="fr-CA"/>
              </w:rPr>
              <w:t>LIR</w:t>
            </w:r>
            <w:r w:rsidRPr="00342605">
              <w:rPr>
                <w:rFonts w:eastAsia="Calibri"/>
                <w:sz w:val="20"/>
                <w:lang w:val="fr-CA"/>
              </w:rPr>
              <w:t>, cette notion inclut tout « [d]</w:t>
            </w:r>
            <w:proofErr w:type="spellStart"/>
            <w:r w:rsidRPr="00342605">
              <w:rPr>
                <w:rFonts w:eastAsia="Calibri"/>
                <w:sz w:val="20"/>
                <w:lang w:val="fr-CA"/>
              </w:rPr>
              <w:t>roit</w:t>
            </w:r>
            <w:proofErr w:type="spellEnd"/>
            <w:r w:rsidRPr="00342605">
              <w:rPr>
                <w:rFonts w:eastAsia="Calibri"/>
                <w:sz w:val="20"/>
                <w:lang w:val="fr-CA"/>
              </w:rPr>
              <w:t xml:space="preserve"> qu’une personne peut posséder, devant une cour supérieure de la province où la question a pris naissance, de refuser de divulguer une communication orale ou documentaire pour le motif que celle-ci est une communication entre elle et son avocat en confidence professionnelle ».  Toutefois, le privilège en question exclut « un relevé comptable d’un avocat, y compris toute pièce justificative ou tout chèque ».  Ce privilège s’étend aux notaires (par. 232(1), définition du terme « avocat »). </w:t>
            </w:r>
          </w:p>
          <w:p w:rsidR="006E59BB" w:rsidRPr="00342605" w:rsidRDefault="006E59BB" w:rsidP="007D1B76">
            <w:pPr>
              <w:jc w:val="both"/>
              <w:rPr>
                <w:rFonts w:eastAsia="Calibri"/>
                <w:sz w:val="20"/>
                <w:lang w:val="fr-CA"/>
              </w:rPr>
            </w:pPr>
          </w:p>
          <w:p w:rsidR="006E59BB" w:rsidRPr="00342605" w:rsidRDefault="006E59BB" w:rsidP="007D1B76">
            <w:pPr>
              <w:jc w:val="both"/>
              <w:rPr>
                <w:rFonts w:eastAsia="Calibri"/>
                <w:sz w:val="20"/>
                <w:lang w:val="fr-CA"/>
              </w:rPr>
            </w:pPr>
            <w:r w:rsidRPr="00342605">
              <w:rPr>
                <w:rFonts w:eastAsia="Calibri"/>
                <w:sz w:val="20"/>
                <w:lang w:val="fr-CA"/>
              </w:rPr>
              <w:t xml:space="preserve">La Chambre des notaires a intenté avec succès, en vertu de l’art. 453 </w:t>
            </w:r>
            <w:proofErr w:type="spellStart"/>
            <w:r w:rsidRPr="00342605">
              <w:rPr>
                <w:rFonts w:eastAsia="Calibri"/>
                <w:sz w:val="20"/>
                <w:lang w:val="fr-CA"/>
              </w:rPr>
              <w:t>C.p.c</w:t>
            </w:r>
            <w:proofErr w:type="spellEnd"/>
            <w:r w:rsidRPr="00342605">
              <w:rPr>
                <w:rFonts w:eastAsia="Calibri"/>
                <w:sz w:val="20"/>
                <w:lang w:val="fr-CA"/>
              </w:rPr>
              <w:t xml:space="preserve">., une action visant à faire déclarer inconstitutionnels, en ce qui concerne les avocats et notaires de la province de Québec, le par. 231.2(1), l’art. 231.7 ainsi que l’exception figurant dans la définition de « privilège des communications entre client et avocat » au </w:t>
            </w:r>
            <w:proofErr w:type="spellStart"/>
            <w:r w:rsidRPr="00342605">
              <w:rPr>
                <w:rFonts w:eastAsia="Calibri"/>
                <w:sz w:val="20"/>
                <w:lang w:val="fr-CA"/>
              </w:rPr>
              <w:t>par</w:t>
            </w:r>
            <w:proofErr w:type="spellEnd"/>
            <w:r w:rsidRPr="00342605">
              <w:rPr>
                <w:rFonts w:eastAsia="Calibri"/>
                <w:sz w:val="20"/>
                <w:lang w:val="fr-CA"/>
              </w:rPr>
              <w:t xml:space="preserve">. 232(1), et ce, parce que contraires à la </w:t>
            </w:r>
            <w:r w:rsidRPr="00342605">
              <w:rPr>
                <w:rFonts w:eastAsia="Calibri"/>
                <w:i/>
                <w:sz w:val="20"/>
                <w:lang w:val="fr-CA"/>
              </w:rPr>
              <w:t>Charte canadienne des droits et libertés</w:t>
            </w:r>
            <w:r w:rsidRPr="00342605">
              <w:rPr>
                <w:rFonts w:eastAsia="Calibri"/>
                <w:sz w:val="20"/>
                <w:lang w:val="fr-CA"/>
              </w:rPr>
              <w:t>.</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Le 8 septembre 2010</w:t>
            </w:r>
          </w:p>
          <w:p w:rsidR="006E59BB" w:rsidRPr="00342605" w:rsidRDefault="006E59BB" w:rsidP="007D1B76">
            <w:pPr>
              <w:jc w:val="both"/>
              <w:rPr>
                <w:rFonts w:eastAsia="Calibri"/>
                <w:sz w:val="20"/>
                <w:lang w:val="fr-CA"/>
              </w:rPr>
            </w:pPr>
            <w:r w:rsidRPr="00342605">
              <w:rPr>
                <w:rFonts w:eastAsia="Calibri"/>
                <w:sz w:val="20"/>
                <w:lang w:val="fr-CA"/>
              </w:rPr>
              <w:t>Cour supérieure du Québec</w:t>
            </w:r>
          </w:p>
          <w:p w:rsidR="006E59BB" w:rsidRPr="00342605" w:rsidRDefault="006E59BB" w:rsidP="007D1B76">
            <w:pPr>
              <w:jc w:val="both"/>
              <w:rPr>
                <w:rFonts w:eastAsia="Calibri"/>
                <w:sz w:val="20"/>
                <w:lang w:val="fr-CA"/>
              </w:rPr>
            </w:pPr>
            <w:r w:rsidRPr="00342605">
              <w:rPr>
                <w:rFonts w:eastAsia="Calibri"/>
                <w:sz w:val="20"/>
                <w:lang w:val="fr-CA"/>
              </w:rPr>
              <w:t>(Le juge Blanchard)</w:t>
            </w:r>
          </w:p>
          <w:p w:rsidR="006E59BB" w:rsidRPr="00342605" w:rsidRDefault="007871B3" w:rsidP="007D1B76">
            <w:pPr>
              <w:jc w:val="both"/>
              <w:rPr>
                <w:rFonts w:eastAsia="Calibri"/>
                <w:sz w:val="20"/>
                <w:lang w:val="fr-CA"/>
              </w:rPr>
            </w:pPr>
            <w:hyperlink r:id="rId22" w:history="1">
              <w:r w:rsidR="006E59BB" w:rsidRPr="00342605">
                <w:rPr>
                  <w:rFonts w:eastAsia="Calibri"/>
                  <w:color w:val="0000FF"/>
                  <w:sz w:val="20"/>
                  <w:u w:val="single"/>
                  <w:lang w:val="fr-CA"/>
                </w:rPr>
                <w:t>2010 QCCS 4215</w:t>
              </w:r>
            </w:hyperlink>
          </w:p>
          <w:p w:rsidR="006E59BB" w:rsidRPr="00342605" w:rsidRDefault="006E59BB" w:rsidP="007D1B76">
            <w:pPr>
              <w:jc w:val="both"/>
              <w:rPr>
                <w:rFonts w:eastAsia="Calibri"/>
                <w:sz w:val="20"/>
                <w:lang w:val="fr-CA"/>
              </w:rPr>
            </w:pPr>
          </w:p>
        </w:tc>
        <w:tc>
          <w:tcPr>
            <w:tcW w:w="162" w:type="pct"/>
          </w:tcPr>
          <w:p w:rsidR="006E59BB" w:rsidRPr="00342605" w:rsidRDefault="006E59BB" w:rsidP="007D1B76">
            <w:pPr>
              <w:jc w:val="both"/>
              <w:rPr>
                <w:rFonts w:eastAsia="Calibri"/>
                <w:sz w:val="20"/>
                <w:lang w:val="fr-CA"/>
              </w:rPr>
            </w:pPr>
          </w:p>
        </w:tc>
        <w:tc>
          <w:tcPr>
            <w:tcW w:w="2411" w:type="pct"/>
          </w:tcPr>
          <w:p w:rsidR="006E59BB" w:rsidRPr="00342605" w:rsidRDefault="006E59BB" w:rsidP="007D1B76">
            <w:pPr>
              <w:jc w:val="both"/>
              <w:rPr>
                <w:rFonts w:eastAsia="Calibri"/>
                <w:sz w:val="20"/>
                <w:lang w:val="fr-CA"/>
              </w:rPr>
            </w:pPr>
            <w:r w:rsidRPr="00342605">
              <w:rPr>
                <w:rFonts w:eastAsia="Calibri"/>
                <w:sz w:val="20"/>
                <w:lang w:val="fr-CA"/>
              </w:rPr>
              <w:t>Requête en jugement déclaratoire accueillie; déclarations d’inconstitutionnalité prononcées</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Le 21 mars 2014</w:t>
            </w:r>
          </w:p>
          <w:p w:rsidR="006E59BB" w:rsidRPr="00342605" w:rsidRDefault="006E59BB" w:rsidP="007D1B76">
            <w:pPr>
              <w:jc w:val="both"/>
              <w:rPr>
                <w:rFonts w:eastAsia="Calibri"/>
                <w:sz w:val="20"/>
                <w:lang w:val="fr-CA"/>
              </w:rPr>
            </w:pPr>
            <w:r w:rsidRPr="00342605">
              <w:rPr>
                <w:rFonts w:eastAsia="Calibri"/>
                <w:sz w:val="20"/>
                <w:lang w:val="fr-CA"/>
              </w:rPr>
              <w:t>Cour d’appel du Québec (Montréal)</w:t>
            </w:r>
          </w:p>
          <w:p w:rsidR="006E59BB" w:rsidRPr="00342605" w:rsidRDefault="006E59BB" w:rsidP="007D1B76">
            <w:pPr>
              <w:jc w:val="both"/>
              <w:rPr>
                <w:rFonts w:eastAsia="Calibri"/>
                <w:sz w:val="20"/>
                <w:lang w:val="fr-CA"/>
              </w:rPr>
            </w:pPr>
            <w:r w:rsidRPr="00342605">
              <w:rPr>
                <w:rFonts w:eastAsia="Calibri"/>
                <w:sz w:val="20"/>
                <w:lang w:val="fr-CA"/>
              </w:rPr>
              <w:t xml:space="preserve">(Les juges </w:t>
            </w:r>
            <w:proofErr w:type="spellStart"/>
            <w:r w:rsidRPr="00342605">
              <w:rPr>
                <w:rFonts w:eastAsia="Calibri"/>
                <w:sz w:val="20"/>
                <w:lang w:val="fr-CA"/>
              </w:rPr>
              <w:t>Bich</w:t>
            </w:r>
            <w:proofErr w:type="spellEnd"/>
            <w:r w:rsidRPr="00342605">
              <w:rPr>
                <w:rFonts w:eastAsia="Calibri"/>
                <w:sz w:val="20"/>
                <w:lang w:val="fr-CA"/>
              </w:rPr>
              <w:t>, Léger et Fournier)</w:t>
            </w:r>
          </w:p>
          <w:p w:rsidR="006E59BB" w:rsidRPr="00342605" w:rsidRDefault="006E59BB" w:rsidP="007D1B76">
            <w:pPr>
              <w:jc w:val="both"/>
              <w:rPr>
                <w:rFonts w:eastAsia="Calibri"/>
                <w:sz w:val="20"/>
                <w:lang w:val="fr-CA"/>
              </w:rPr>
            </w:pPr>
            <w:r w:rsidRPr="00342605">
              <w:rPr>
                <w:rFonts w:eastAsia="Calibri"/>
                <w:sz w:val="20"/>
                <w:lang w:val="fr-CA"/>
              </w:rPr>
              <w:t xml:space="preserve">500-09-021073-101; </w:t>
            </w:r>
            <w:hyperlink r:id="rId23" w:history="1">
              <w:r w:rsidRPr="00342605">
                <w:rPr>
                  <w:rFonts w:eastAsia="Calibri"/>
                  <w:color w:val="0000FF"/>
                  <w:sz w:val="20"/>
                  <w:u w:val="single"/>
                  <w:lang w:val="fr-CA"/>
                </w:rPr>
                <w:t>2014 QCCA 552</w:t>
              </w:r>
            </w:hyperlink>
          </w:p>
          <w:p w:rsidR="006E59BB" w:rsidRPr="00342605" w:rsidRDefault="006E59BB" w:rsidP="007D1B76">
            <w:pPr>
              <w:jc w:val="both"/>
              <w:rPr>
                <w:rFonts w:eastAsia="Calibri"/>
                <w:sz w:val="20"/>
                <w:lang w:val="fr-CA"/>
              </w:rPr>
            </w:pPr>
          </w:p>
        </w:tc>
        <w:tc>
          <w:tcPr>
            <w:tcW w:w="162" w:type="pct"/>
          </w:tcPr>
          <w:p w:rsidR="006E59BB" w:rsidRPr="00342605" w:rsidRDefault="006E59BB" w:rsidP="007D1B76">
            <w:pPr>
              <w:jc w:val="both"/>
              <w:rPr>
                <w:rFonts w:eastAsia="Calibri"/>
                <w:sz w:val="20"/>
                <w:lang w:val="fr-CA"/>
              </w:rPr>
            </w:pPr>
          </w:p>
        </w:tc>
        <w:tc>
          <w:tcPr>
            <w:tcW w:w="2411" w:type="pct"/>
          </w:tcPr>
          <w:p w:rsidR="006E59BB" w:rsidRPr="00342605" w:rsidRDefault="006E59BB" w:rsidP="007D1B76">
            <w:pPr>
              <w:jc w:val="both"/>
              <w:rPr>
                <w:rFonts w:eastAsia="Calibri"/>
                <w:sz w:val="20"/>
                <w:lang w:val="fr-CA"/>
              </w:rPr>
            </w:pPr>
            <w:r w:rsidRPr="00342605">
              <w:rPr>
                <w:rFonts w:eastAsia="Calibri"/>
                <w:sz w:val="20"/>
                <w:lang w:val="fr-CA"/>
              </w:rPr>
              <w:t>Appel accueilli en partie; déclarations d’inconstitutionnalité confirmées en partie</w:t>
            </w:r>
          </w:p>
          <w:p w:rsidR="006E59BB" w:rsidRPr="00342605" w:rsidRDefault="006E59BB" w:rsidP="007D1B76">
            <w:pPr>
              <w:jc w:val="both"/>
              <w:rPr>
                <w:rFonts w:eastAsia="Calibri"/>
                <w:sz w:val="20"/>
                <w:lang w:val="fr-CA"/>
              </w:rPr>
            </w:pPr>
          </w:p>
        </w:tc>
      </w:tr>
      <w:tr w:rsidR="006E59BB" w:rsidRPr="00342605"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Le 20 mai 2014</w:t>
            </w:r>
          </w:p>
          <w:p w:rsidR="006E59BB" w:rsidRPr="00342605" w:rsidRDefault="006E59BB" w:rsidP="007D1B76">
            <w:pPr>
              <w:jc w:val="both"/>
              <w:rPr>
                <w:rFonts w:eastAsia="Calibri"/>
                <w:sz w:val="20"/>
                <w:lang w:val="fr-CA"/>
              </w:rPr>
            </w:pPr>
            <w:r w:rsidRPr="00342605">
              <w:rPr>
                <w:rFonts w:eastAsia="Calibri"/>
                <w:sz w:val="20"/>
                <w:lang w:val="fr-CA"/>
              </w:rPr>
              <w:t>Cour suprême du Canada</w:t>
            </w:r>
          </w:p>
        </w:tc>
        <w:tc>
          <w:tcPr>
            <w:tcW w:w="162" w:type="pct"/>
          </w:tcPr>
          <w:p w:rsidR="006E59BB" w:rsidRPr="00342605" w:rsidRDefault="006E59BB" w:rsidP="007D1B76">
            <w:pPr>
              <w:jc w:val="both"/>
              <w:rPr>
                <w:rFonts w:eastAsia="Calibri"/>
                <w:sz w:val="20"/>
                <w:lang w:val="fr-CA"/>
              </w:rPr>
            </w:pPr>
          </w:p>
        </w:tc>
        <w:tc>
          <w:tcPr>
            <w:tcW w:w="2411" w:type="pct"/>
          </w:tcPr>
          <w:p w:rsidR="006E59BB" w:rsidRPr="00342605" w:rsidRDefault="006E59BB" w:rsidP="007D1B76">
            <w:pPr>
              <w:jc w:val="both"/>
              <w:rPr>
                <w:rFonts w:eastAsia="Calibri"/>
                <w:sz w:val="20"/>
                <w:lang w:val="fr-CA"/>
              </w:rPr>
            </w:pPr>
            <w:r w:rsidRPr="00342605">
              <w:rPr>
                <w:rFonts w:eastAsia="Calibri"/>
                <w:sz w:val="20"/>
                <w:lang w:val="fr-CA"/>
              </w:rPr>
              <w:t>Demande d’autorisation d’appel déposée</w:t>
            </w:r>
          </w:p>
          <w:p w:rsidR="006E59BB" w:rsidRPr="00342605" w:rsidRDefault="006E59BB"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46"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62AC" w:rsidRPr="00512B3E" w:rsidTr="00DC6331">
        <w:trPr>
          <w:cantSplit/>
        </w:trPr>
        <w:tc>
          <w:tcPr>
            <w:tcW w:w="1458" w:type="dxa"/>
          </w:tcPr>
          <w:p w:rsidR="00EE62AC" w:rsidRPr="00512B3E" w:rsidRDefault="00EE62AC" w:rsidP="00DC6331">
            <w:pPr>
              <w:rPr>
                <w:sz w:val="20"/>
                <w:szCs w:val="20"/>
              </w:rPr>
            </w:pPr>
            <w:r w:rsidRPr="00512B3E">
              <w:rPr>
                <w:rStyle w:val="SCCFileNumberChar"/>
                <w:sz w:val="20"/>
                <w:szCs w:val="20"/>
              </w:rPr>
              <w:t>35926</w:t>
            </w:r>
          </w:p>
          <w:p w:rsidR="00EE62AC" w:rsidRPr="00512B3E" w:rsidRDefault="00EE62AC" w:rsidP="00DC6331">
            <w:pPr>
              <w:rPr>
                <w:b/>
                <w:sz w:val="20"/>
                <w:szCs w:val="20"/>
                <w:lang w:val="fr-CA"/>
              </w:rPr>
            </w:pPr>
          </w:p>
        </w:tc>
        <w:tc>
          <w:tcPr>
            <w:tcW w:w="8118" w:type="dxa"/>
          </w:tcPr>
          <w:p w:rsidR="00EE62AC" w:rsidRPr="00512B3E" w:rsidRDefault="00EE62AC" w:rsidP="00DC6331">
            <w:pPr>
              <w:rPr>
                <w:sz w:val="20"/>
                <w:szCs w:val="20"/>
              </w:rPr>
            </w:pPr>
            <w:proofErr w:type="spellStart"/>
            <w:r w:rsidRPr="00512B3E">
              <w:rPr>
                <w:rStyle w:val="SCCLsocChar"/>
                <w:sz w:val="20"/>
                <w:szCs w:val="20"/>
                <w:lang w:val="en-CA"/>
              </w:rPr>
              <w:t>Mi</w:t>
            </w:r>
            <w:proofErr w:type="spellEnd"/>
            <w:r w:rsidRPr="00512B3E">
              <w:rPr>
                <w:rStyle w:val="SCCLsocChar"/>
                <w:sz w:val="20"/>
                <w:szCs w:val="20"/>
                <w:lang w:val="en-CA"/>
              </w:rPr>
              <w:t xml:space="preserve"> Sook Kim v. Dong Sun Kim</w:t>
            </w:r>
            <w:r>
              <w:rPr>
                <w:rStyle w:val="SCCLsocChar"/>
                <w:sz w:val="20"/>
                <w:szCs w:val="20"/>
                <w:lang w:val="en-CA"/>
              </w:rPr>
              <w:t xml:space="preserve"> and</w:t>
            </w:r>
            <w:r w:rsidRPr="00512B3E">
              <w:rPr>
                <w:rStyle w:val="SCCLsocChar"/>
                <w:sz w:val="20"/>
                <w:szCs w:val="20"/>
                <w:lang w:val="en-CA"/>
              </w:rPr>
              <w:t xml:space="preserve"> </w:t>
            </w:r>
            <w:proofErr w:type="spellStart"/>
            <w:r w:rsidRPr="00512B3E">
              <w:rPr>
                <w:rStyle w:val="SCCLsocChar"/>
                <w:sz w:val="20"/>
                <w:szCs w:val="20"/>
                <w:lang w:val="en-CA"/>
              </w:rPr>
              <w:t>Mee</w:t>
            </w:r>
            <w:proofErr w:type="spellEnd"/>
            <w:r w:rsidRPr="00512B3E">
              <w:rPr>
                <w:rStyle w:val="SCCLsocChar"/>
                <w:sz w:val="20"/>
                <w:szCs w:val="20"/>
                <w:lang w:val="en-CA"/>
              </w:rPr>
              <w:t xml:space="preserve"> </w:t>
            </w:r>
            <w:proofErr w:type="spellStart"/>
            <w:r w:rsidRPr="00512B3E">
              <w:rPr>
                <w:rStyle w:val="SCCLsocChar"/>
                <w:sz w:val="20"/>
                <w:szCs w:val="20"/>
                <w:lang w:val="en-CA"/>
              </w:rPr>
              <w:t>Ja</w:t>
            </w:r>
            <w:proofErr w:type="spellEnd"/>
            <w:r w:rsidRPr="00512B3E">
              <w:rPr>
                <w:rStyle w:val="SCCLsocChar"/>
                <w:sz w:val="20"/>
                <w:szCs w:val="20"/>
                <w:lang w:val="en-CA"/>
              </w:rPr>
              <w:t xml:space="preserve"> An</w:t>
            </w:r>
            <w:r w:rsidRPr="00512B3E">
              <w:rPr>
                <w:sz w:val="20"/>
                <w:szCs w:val="20"/>
              </w:rPr>
              <w:t xml:space="preserve"> (Man.) (Civil) (By Leave)</w:t>
            </w:r>
          </w:p>
          <w:p w:rsidR="00EE62AC" w:rsidRPr="00512B3E" w:rsidRDefault="00EE62AC" w:rsidP="00DC6331">
            <w:pPr>
              <w:rPr>
                <w:sz w:val="20"/>
                <w:szCs w:val="20"/>
              </w:rPr>
            </w:pPr>
          </w:p>
        </w:tc>
      </w:tr>
      <w:tr w:rsidR="00EE62AC" w:rsidRPr="00512B3E" w:rsidTr="00DC6331">
        <w:trPr>
          <w:cantSplit/>
        </w:trPr>
        <w:tc>
          <w:tcPr>
            <w:tcW w:w="1458" w:type="dxa"/>
          </w:tcPr>
          <w:p w:rsidR="00EE62AC" w:rsidRPr="00512B3E" w:rsidRDefault="00EE62AC" w:rsidP="00DC6331">
            <w:pPr>
              <w:rPr>
                <w:sz w:val="20"/>
                <w:szCs w:val="20"/>
              </w:rPr>
            </w:pPr>
            <w:r w:rsidRPr="00512B3E">
              <w:rPr>
                <w:sz w:val="20"/>
                <w:szCs w:val="20"/>
              </w:rPr>
              <w:t>Coram :</w:t>
            </w:r>
          </w:p>
        </w:tc>
        <w:tc>
          <w:tcPr>
            <w:tcW w:w="8118" w:type="dxa"/>
          </w:tcPr>
          <w:p w:rsidR="00EE62AC" w:rsidRPr="00512B3E" w:rsidRDefault="00EE62AC" w:rsidP="00DC6331">
            <w:pPr>
              <w:rPr>
                <w:sz w:val="20"/>
                <w:szCs w:val="20"/>
              </w:rPr>
            </w:pPr>
            <w:proofErr w:type="spellStart"/>
            <w:r w:rsidRPr="00512B3E">
              <w:rPr>
                <w:rStyle w:val="SCCCoramChar"/>
                <w:sz w:val="20"/>
                <w:szCs w:val="20"/>
                <w:lang w:val="en-CA"/>
              </w:rPr>
              <w:t>Abella</w:t>
            </w:r>
            <w:proofErr w:type="spellEnd"/>
            <w:r w:rsidRPr="00512B3E">
              <w:rPr>
                <w:rStyle w:val="SCCCoramChar"/>
                <w:sz w:val="20"/>
                <w:szCs w:val="20"/>
                <w:lang w:val="en-CA"/>
              </w:rPr>
              <w:t xml:space="preserve">, Rothstein and </w:t>
            </w:r>
            <w:proofErr w:type="spellStart"/>
            <w:r w:rsidRPr="00512B3E">
              <w:rPr>
                <w:rStyle w:val="SCCCoramChar"/>
                <w:sz w:val="20"/>
                <w:szCs w:val="20"/>
                <w:lang w:val="en-CA"/>
              </w:rPr>
              <w:t>Moldaver</w:t>
            </w:r>
            <w:proofErr w:type="spellEnd"/>
            <w:r w:rsidRPr="00512B3E">
              <w:rPr>
                <w:rStyle w:val="SCCCoramChar"/>
                <w:sz w:val="20"/>
                <w:szCs w:val="20"/>
                <w:lang w:val="en-CA"/>
              </w:rPr>
              <w:t> JJ.</w:t>
            </w:r>
          </w:p>
          <w:p w:rsidR="00EE62AC" w:rsidRPr="00512B3E" w:rsidRDefault="00EE62AC" w:rsidP="00DC6331">
            <w:pPr>
              <w:rPr>
                <w:sz w:val="20"/>
                <w:szCs w:val="20"/>
                <w:u w:val="single"/>
              </w:rPr>
            </w:pPr>
          </w:p>
        </w:tc>
      </w:tr>
      <w:tr w:rsidR="00EE62AC" w:rsidRPr="009723FD" w:rsidTr="00DC6331">
        <w:trPr>
          <w:cantSplit/>
        </w:trPr>
        <w:tc>
          <w:tcPr>
            <w:tcW w:w="9576" w:type="dxa"/>
            <w:gridSpan w:val="2"/>
          </w:tcPr>
          <w:p w:rsidR="00EE62AC" w:rsidRPr="00512B3E" w:rsidRDefault="00EE62AC" w:rsidP="00DC6331">
            <w:pPr>
              <w:pStyle w:val="SCCShortJudgment"/>
              <w:rPr>
                <w:szCs w:val="20"/>
              </w:rPr>
            </w:pPr>
            <w:r w:rsidRPr="00512B3E">
              <w:rPr>
                <w:szCs w:val="20"/>
              </w:rPr>
              <w:t xml:space="preserve">The application for leave to appeal from the judgment of the Court of Appeal of Manitoba, Number AF 13-30-07968, 2014 MBCA 34, dated April 14, 2014, is dismissed with costs to the respondent </w:t>
            </w:r>
            <w:proofErr w:type="spellStart"/>
            <w:r w:rsidRPr="00512B3E">
              <w:rPr>
                <w:szCs w:val="20"/>
              </w:rPr>
              <w:t>Mee</w:t>
            </w:r>
            <w:proofErr w:type="spellEnd"/>
            <w:r w:rsidRPr="00512B3E">
              <w:rPr>
                <w:szCs w:val="20"/>
              </w:rPr>
              <w:t xml:space="preserve"> </w:t>
            </w:r>
            <w:proofErr w:type="spellStart"/>
            <w:r w:rsidRPr="00512B3E">
              <w:rPr>
                <w:szCs w:val="20"/>
              </w:rPr>
              <w:t>Ja</w:t>
            </w:r>
            <w:proofErr w:type="spellEnd"/>
            <w:r w:rsidRPr="00512B3E">
              <w:rPr>
                <w:szCs w:val="20"/>
              </w:rPr>
              <w:t xml:space="preserve"> An.</w:t>
            </w:r>
          </w:p>
          <w:p w:rsidR="00EE62AC" w:rsidRPr="00512B3E" w:rsidRDefault="00EE62AC" w:rsidP="00DC6331">
            <w:pPr>
              <w:pStyle w:val="SCCShortJudgment"/>
              <w:ind w:firstLine="0"/>
              <w:rPr>
                <w:szCs w:val="20"/>
              </w:rPr>
            </w:pPr>
          </w:p>
          <w:p w:rsidR="00EE62AC" w:rsidRPr="00512B3E" w:rsidRDefault="00EE62AC" w:rsidP="00EE62AC">
            <w:pPr>
              <w:pStyle w:val="SCCShortJudgment"/>
              <w:rPr>
                <w:szCs w:val="20"/>
                <w:lang w:val="fr-CA"/>
              </w:rPr>
            </w:pPr>
            <w:r w:rsidRPr="00512B3E">
              <w:rPr>
                <w:szCs w:val="20"/>
                <w:lang w:val="fr-CA"/>
              </w:rPr>
              <w:t xml:space="preserve">La demande d’autorisation d’appel de l’arrêt de la Cour d’appel du Manitoba, numéro AF 13-30-07968, 2014 MBCA 34, daté du 14 avril 2014, est rejetée avec dépens en faveur de l’intimée </w:t>
            </w:r>
            <w:proofErr w:type="spellStart"/>
            <w:r w:rsidRPr="00512B3E">
              <w:rPr>
                <w:szCs w:val="20"/>
                <w:lang w:val="fr-CA"/>
              </w:rPr>
              <w:t>Mee</w:t>
            </w:r>
            <w:proofErr w:type="spellEnd"/>
            <w:r w:rsidRPr="00512B3E">
              <w:rPr>
                <w:szCs w:val="20"/>
                <w:lang w:val="fr-CA"/>
              </w:rPr>
              <w:t xml:space="preserve"> </w:t>
            </w:r>
            <w:proofErr w:type="spellStart"/>
            <w:r w:rsidRPr="00512B3E">
              <w:rPr>
                <w:szCs w:val="20"/>
                <w:lang w:val="fr-CA"/>
              </w:rPr>
              <w:t>Ja</w:t>
            </w:r>
            <w:proofErr w:type="spellEnd"/>
            <w:r w:rsidRPr="00512B3E">
              <w:rPr>
                <w:szCs w:val="20"/>
                <w:lang w:val="fr-CA"/>
              </w:rPr>
              <w:t xml:space="preserve"> An.</w:t>
            </w:r>
          </w:p>
        </w:tc>
      </w:tr>
    </w:tbl>
    <w:p w:rsidR="00A325AC" w:rsidRPr="00EE62AC"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59BB" w:rsidRPr="00342605" w:rsidTr="007D1B76">
        <w:tc>
          <w:tcPr>
            <w:tcW w:w="5000" w:type="pct"/>
            <w:gridSpan w:val="3"/>
          </w:tcPr>
          <w:p w:rsidR="006E59BB" w:rsidRPr="00342605" w:rsidRDefault="006E59BB" w:rsidP="007D1B76">
            <w:pPr>
              <w:jc w:val="both"/>
              <w:rPr>
                <w:rFonts w:eastAsia="Calibri"/>
                <w:sz w:val="20"/>
              </w:rPr>
            </w:pPr>
            <w:r w:rsidRPr="00342605">
              <w:rPr>
                <w:rFonts w:eastAsia="Calibri"/>
                <w:sz w:val="20"/>
              </w:rPr>
              <w:t xml:space="preserve">Property ― Real property ― Family law ― Preservation order ― Wife obtaining </w:t>
            </w:r>
            <w:r w:rsidRPr="00342605">
              <w:rPr>
                <w:rFonts w:eastAsia="Calibri"/>
                <w:i/>
                <w:iCs/>
                <w:color w:val="000000"/>
                <w:sz w:val="20"/>
              </w:rPr>
              <w:t>ex parte</w:t>
            </w:r>
            <w:r w:rsidRPr="00342605">
              <w:rPr>
                <w:rFonts w:eastAsia="Calibri"/>
                <w:color w:val="000000"/>
                <w:sz w:val="20"/>
              </w:rPr>
              <w:t xml:space="preserve"> interim preservation order with respect to commercial real estate owned by husband upon commencing divorce proceedings ― Preservation order subsequently set aside ― W</w:t>
            </w:r>
            <w:r w:rsidRPr="00342605">
              <w:rPr>
                <w:rFonts w:eastAsia="Calibri"/>
                <w:sz w:val="20"/>
              </w:rPr>
              <w:t xml:space="preserve">hether in Province of Manitoba, where Torrens System of land holding and registration is in effect, a real estate transaction is completed before certificate of title has issued in name of purchaser and purchase </w:t>
            </w:r>
            <w:r w:rsidRPr="00342605">
              <w:rPr>
                <w:rFonts w:eastAsia="Calibri"/>
                <w:sz w:val="20"/>
              </w:rPr>
              <w:lastRenderedPageBreak/>
              <w:t xml:space="preserve">price was to be held in trust pending issuance of a certificate of title ― Whether a wife is entitled to preservation order under </w:t>
            </w:r>
            <w:r w:rsidRPr="00342605">
              <w:rPr>
                <w:rFonts w:eastAsia="Calibri"/>
                <w:i/>
                <w:sz w:val="20"/>
              </w:rPr>
              <w:t>Family Property Act</w:t>
            </w:r>
            <w:r w:rsidRPr="00342605">
              <w:rPr>
                <w:rFonts w:eastAsia="Calibri"/>
                <w:sz w:val="20"/>
              </w:rPr>
              <w:t xml:space="preserve"> where her husband has title to property in his name under Torrens System of land holding ― </w:t>
            </w:r>
            <w:r w:rsidRPr="00342605">
              <w:rPr>
                <w:rFonts w:eastAsia="Calibri"/>
                <w:i/>
                <w:sz w:val="20"/>
              </w:rPr>
              <w:t>Family Property Act</w:t>
            </w:r>
            <w:r w:rsidRPr="00342605">
              <w:rPr>
                <w:rFonts w:eastAsia="Calibri"/>
                <w:sz w:val="20"/>
              </w:rPr>
              <w:t>, C.C.S.M. C. F25.</w:t>
            </w:r>
          </w:p>
        </w:tc>
      </w:tr>
      <w:tr w:rsidR="006E59BB" w:rsidRPr="00342605" w:rsidTr="007D1B76">
        <w:tc>
          <w:tcPr>
            <w:tcW w:w="5000" w:type="pct"/>
            <w:gridSpan w:val="3"/>
          </w:tcPr>
          <w:p w:rsidR="006E59BB" w:rsidRPr="00342605" w:rsidRDefault="006E59BB" w:rsidP="007D1B76">
            <w:pPr>
              <w:jc w:val="both"/>
              <w:rPr>
                <w:rFonts w:eastAsia="Calibri"/>
                <w:sz w:val="20"/>
              </w:rPr>
            </w:pPr>
          </w:p>
        </w:tc>
      </w:tr>
      <w:tr w:rsidR="006E59BB" w:rsidRPr="00342605" w:rsidTr="007D1B76">
        <w:tc>
          <w:tcPr>
            <w:tcW w:w="5000" w:type="pct"/>
            <w:gridSpan w:val="3"/>
          </w:tcPr>
          <w:p w:rsidR="006E59BB" w:rsidRPr="00342605" w:rsidRDefault="006E59BB" w:rsidP="007D1B76">
            <w:pPr>
              <w:ind w:right="29"/>
              <w:jc w:val="both"/>
              <w:rPr>
                <w:color w:val="000000"/>
                <w:sz w:val="20"/>
              </w:rPr>
            </w:pPr>
            <w:r w:rsidRPr="00342605">
              <w:rPr>
                <w:color w:val="000000"/>
                <w:sz w:val="20"/>
              </w:rPr>
              <w:t xml:space="preserve">This appeal is about whether the </w:t>
            </w:r>
            <w:r w:rsidRPr="00342605">
              <w:rPr>
                <w:i/>
                <w:iCs/>
                <w:color w:val="000000"/>
                <w:sz w:val="20"/>
              </w:rPr>
              <w:t>ex parte</w:t>
            </w:r>
            <w:r w:rsidRPr="00342605">
              <w:rPr>
                <w:color w:val="000000"/>
                <w:sz w:val="20"/>
              </w:rPr>
              <w:t xml:space="preserve"> interim preservation order in favour of the applicant Ms. Kim, issued pursuant to s. 21 of </w:t>
            </w:r>
            <w:r w:rsidRPr="00342605">
              <w:rPr>
                <w:i/>
                <w:iCs/>
                <w:color w:val="000000"/>
                <w:sz w:val="20"/>
              </w:rPr>
              <w:t>The Family Property Act</w:t>
            </w:r>
            <w:r w:rsidRPr="00342605">
              <w:rPr>
                <w:color w:val="000000"/>
                <w:sz w:val="20"/>
              </w:rPr>
              <w:t>, C.C.S.M., c. F25 (the “</w:t>
            </w:r>
            <w:r w:rsidRPr="00342605">
              <w:rPr>
                <w:i/>
                <w:iCs/>
                <w:color w:val="000000"/>
                <w:sz w:val="20"/>
              </w:rPr>
              <w:t>FPA”</w:t>
            </w:r>
            <w:r w:rsidRPr="00342605">
              <w:rPr>
                <w:color w:val="000000"/>
                <w:sz w:val="20"/>
              </w:rPr>
              <w:t>), should have been set aside by the motion judge.  The asset protected by the preservation order is commercial real estate that had been sold by the respondent Mr. Kim (the applicant’s husband) to the interested party, the respondent, Ms. An.</w:t>
            </w:r>
          </w:p>
          <w:p w:rsidR="006E59BB" w:rsidRPr="00342605" w:rsidRDefault="006E59BB" w:rsidP="007D1B76">
            <w:pPr>
              <w:ind w:right="29"/>
              <w:jc w:val="both"/>
              <w:rPr>
                <w:color w:val="000000"/>
                <w:sz w:val="20"/>
              </w:rPr>
            </w:pPr>
          </w:p>
          <w:p w:rsidR="006E59BB" w:rsidRDefault="006E59BB" w:rsidP="007D1B76">
            <w:pPr>
              <w:jc w:val="both"/>
              <w:rPr>
                <w:color w:val="000000"/>
                <w:sz w:val="20"/>
              </w:rPr>
            </w:pPr>
            <w:r w:rsidRPr="00342605">
              <w:rPr>
                <w:color w:val="000000"/>
                <w:sz w:val="20"/>
              </w:rPr>
              <w:t>Unknown to the motion judge at the time that he granted the preservation order, the closing of the purchase of the property by Ms. An had already occurred, the sale proceeds had been paid out to Mr. Kim but registration of the transfer of land had not been completed.  Ms. </w:t>
            </w:r>
            <w:proofErr w:type="gramStart"/>
            <w:r w:rsidRPr="00342605">
              <w:rPr>
                <w:color w:val="000000"/>
                <w:sz w:val="20"/>
              </w:rPr>
              <w:t>An</w:t>
            </w:r>
            <w:proofErr w:type="gramEnd"/>
            <w:r w:rsidRPr="00342605">
              <w:rPr>
                <w:color w:val="000000"/>
                <w:sz w:val="20"/>
              </w:rPr>
              <w:t xml:space="preserve"> filed a motion, as an interested party, to set aside the preservation order.  Mr. Kim did not participate in the hearing of Ms. </w:t>
            </w:r>
            <w:proofErr w:type="spellStart"/>
            <w:proofErr w:type="gramStart"/>
            <w:r w:rsidRPr="00342605">
              <w:rPr>
                <w:color w:val="000000"/>
                <w:sz w:val="20"/>
              </w:rPr>
              <w:t>An’s</w:t>
            </w:r>
            <w:proofErr w:type="spellEnd"/>
            <w:proofErr w:type="gramEnd"/>
            <w:r w:rsidRPr="00342605">
              <w:rPr>
                <w:color w:val="000000"/>
                <w:sz w:val="20"/>
              </w:rPr>
              <w:t xml:space="preserve"> motion before the motion judge or on the appeal.  Ms. Kim opposed Ms. </w:t>
            </w:r>
            <w:proofErr w:type="spellStart"/>
            <w:proofErr w:type="gramStart"/>
            <w:r w:rsidRPr="00342605">
              <w:rPr>
                <w:color w:val="000000"/>
                <w:sz w:val="20"/>
              </w:rPr>
              <w:t>An’s</w:t>
            </w:r>
            <w:proofErr w:type="spellEnd"/>
            <w:proofErr w:type="gramEnd"/>
            <w:r w:rsidRPr="00342605">
              <w:rPr>
                <w:color w:val="000000"/>
                <w:sz w:val="20"/>
              </w:rPr>
              <w:t xml:space="preserve"> motion.</w:t>
            </w:r>
          </w:p>
          <w:p w:rsidR="00B01CCF" w:rsidRPr="00342605" w:rsidRDefault="00B01CCF" w:rsidP="007D1B76">
            <w:pPr>
              <w:jc w:val="both"/>
              <w:rPr>
                <w:color w:val="000000"/>
                <w:sz w:val="20"/>
              </w:rPr>
            </w:pPr>
          </w:p>
          <w:p w:rsidR="006E59BB" w:rsidRPr="00342605" w:rsidRDefault="006E59BB" w:rsidP="00B01CCF">
            <w:pPr>
              <w:jc w:val="both"/>
              <w:rPr>
                <w:color w:val="000000"/>
                <w:sz w:val="20"/>
              </w:rPr>
            </w:pPr>
            <w:r w:rsidRPr="00342605">
              <w:rPr>
                <w:color w:val="000000"/>
                <w:sz w:val="20"/>
              </w:rPr>
              <w:t xml:space="preserve">The motion judge dismissed the motion to set aside the preservation order.  </w:t>
            </w:r>
            <w:r w:rsidRPr="00B01CCF">
              <w:rPr>
                <w:bCs/>
                <w:sz w:val="20"/>
              </w:rPr>
              <w:t>The Court of Appeal allowed</w:t>
            </w:r>
            <w:r w:rsidRPr="00342605">
              <w:rPr>
                <w:b/>
                <w:bCs/>
                <w:sz w:val="20"/>
              </w:rPr>
              <w:t xml:space="preserve"> </w:t>
            </w:r>
            <w:r w:rsidRPr="00342605">
              <w:rPr>
                <w:color w:val="000000"/>
                <w:sz w:val="20"/>
              </w:rPr>
              <w:t>the appeal.</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November 5, 2010</w:t>
            </w:r>
          </w:p>
          <w:p w:rsidR="006E59BB" w:rsidRPr="00342605" w:rsidRDefault="006E59BB" w:rsidP="007D1B76">
            <w:pPr>
              <w:jc w:val="both"/>
              <w:rPr>
                <w:rFonts w:eastAsia="Calibri"/>
                <w:sz w:val="20"/>
              </w:rPr>
            </w:pPr>
            <w:r w:rsidRPr="00342605">
              <w:rPr>
                <w:rFonts w:eastAsia="Calibri"/>
                <w:sz w:val="20"/>
              </w:rPr>
              <w:t>Court of Queen’s Bench of Manitoba</w:t>
            </w:r>
          </w:p>
          <w:p w:rsidR="006E59BB" w:rsidRPr="00342605" w:rsidRDefault="006E59BB" w:rsidP="007D1B76">
            <w:pPr>
              <w:jc w:val="both"/>
              <w:rPr>
                <w:rFonts w:eastAsia="Calibri"/>
                <w:sz w:val="20"/>
              </w:rPr>
            </w:pPr>
            <w:r w:rsidRPr="00342605">
              <w:rPr>
                <w:rFonts w:eastAsia="Calibri"/>
                <w:sz w:val="20"/>
              </w:rPr>
              <w:t xml:space="preserve">(Johnston J.) </w:t>
            </w:r>
          </w:p>
          <w:p w:rsidR="006E59BB" w:rsidRPr="00342605" w:rsidRDefault="006E59BB" w:rsidP="007D1B76">
            <w:pPr>
              <w:jc w:val="both"/>
              <w:rPr>
                <w:rFonts w:eastAsia="Calibri"/>
                <w:sz w:val="20"/>
              </w:rPr>
            </w:pPr>
          </w:p>
        </w:tc>
        <w:tc>
          <w:tcPr>
            <w:tcW w:w="243" w:type="pct"/>
          </w:tcPr>
          <w:p w:rsidR="006E59BB" w:rsidRPr="00342605" w:rsidRDefault="006E59BB" w:rsidP="007D1B76">
            <w:pPr>
              <w:jc w:val="both"/>
              <w:rPr>
                <w:rFonts w:eastAsia="Calibri"/>
                <w:sz w:val="20"/>
              </w:rPr>
            </w:pPr>
          </w:p>
        </w:tc>
        <w:tc>
          <w:tcPr>
            <w:tcW w:w="2330" w:type="pct"/>
          </w:tcPr>
          <w:p w:rsidR="006E59BB" w:rsidRPr="00342605" w:rsidRDefault="006E59BB" w:rsidP="007D1B76">
            <w:pPr>
              <w:jc w:val="both"/>
              <w:rPr>
                <w:rFonts w:eastAsia="Calibri"/>
                <w:sz w:val="20"/>
              </w:rPr>
            </w:pPr>
            <w:r w:rsidRPr="00342605">
              <w:rPr>
                <w:rFonts w:eastAsia="Calibri"/>
                <w:sz w:val="20"/>
              </w:rPr>
              <w:t>Preservation order ordered against property title.</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October 7, 2011</w:t>
            </w:r>
          </w:p>
          <w:p w:rsidR="006E59BB" w:rsidRPr="00342605" w:rsidRDefault="006E59BB" w:rsidP="007D1B76">
            <w:pPr>
              <w:jc w:val="both"/>
              <w:rPr>
                <w:rFonts w:eastAsia="Calibri"/>
                <w:sz w:val="20"/>
              </w:rPr>
            </w:pPr>
            <w:r w:rsidRPr="00342605">
              <w:rPr>
                <w:rFonts w:eastAsia="Calibri"/>
                <w:sz w:val="20"/>
              </w:rPr>
              <w:t>Court of Queen’s Bench of Manitoba</w:t>
            </w:r>
          </w:p>
          <w:p w:rsidR="006E59BB" w:rsidRPr="00342605" w:rsidRDefault="006E59BB" w:rsidP="007D1B76">
            <w:pPr>
              <w:jc w:val="both"/>
              <w:rPr>
                <w:rFonts w:eastAsia="Calibri"/>
                <w:sz w:val="20"/>
              </w:rPr>
            </w:pPr>
            <w:r w:rsidRPr="00342605">
              <w:rPr>
                <w:rFonts w:eastAsia="Calibri"/>
                <w:sz w:val="20"/>
              </w:rPr>
              <w:t>(Johnston J.)</w:t>
            </w:r>
          </w:p>
          <w:p w:rsidR="006E59BB" w:rsidRPr="00342605" w:rsidRDefault="006E59BB" w:rsidP="007D1B76">
            <w:pPr>
              <w:jc w:val="both"/>
              <w:rPr>
                <w:rFonts w:eastAsia="Calibri"/>
                <w:sz w:val="20"/>
              </w:rPr>
            </w:pPr>
          </w:p>
        </w:tc>
        <w:tc>
          <w:tcPr>
            <w:tcW w:w="243" w:type="pct"/>
          </w:tcPr>
          <w:p w:rsidR="006E59BB" w:rsidRPr="00342605" w:rsidRDefault="006E59BB" w:rsidP="007D1B76">
            <w:pPr>
              <w:jc w:val="both"/>
              <w:rPr>
                <w:rFonts w:eastAsia="Calibri"/>
                <w:sz w:val="20"/>
              </w:rPr>
            </w:pPr>
          </w:p>
        </w:tc>
        <w:tc>
          <w:tcPr>
            <w:tcW w:w="2330" w:type="pct"/>
          </w:tcPr>
          <w:p w:rsidR="006E59BB" w:rsidRPr="00342605" w:rsidRDefault="006E59BB" w:rsidP="007D1B76">
            <w:pPr>
              <w:jc w:val="both"/>
              <w:rPr>
                <w:rFonts w:eastAsia="Calibri"/>
                <w:sz w:val="20"/>
              </w:rPr>
            </w:pPr>
            <w:r w:rsidRPr="00342605">
              <w:rPr>
                <w:rFonts w:eastAsia="Calibri"/>
                <w:sz w:val="20"/>
              </w:rPr>
              <w:t>Motion by Mr. Kim to set aside preservation order dismissed.</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April 12, 2013</w:t>
            </w:r>
          </w:p>
          <w:p w:rsidR="006E59BB" w:rsidRPr="00342605" w:rsidRDefault="006E59BB" w:rsidP="007D1B76">
            <w:pPr>
              <w:jc w:val="both"/>
              <w:rPr>
                <w:rFonts w:eastAsia="Calibri"/>
                <w:sz w:val="20"/>
              </w:rPr>
            </w:pPr>
            <w:r w:rsidRPr="00342605">
              <w:rPr>
                <w:rFonts w:eastAsia="Calibri"/>
                <w:sz w:val="20"/>
              </w:rPr>
              <w:t>Court of Queen’s Bench of Manitoba</w:t>
            </w:r>
          </w:p>
          <w:p w:rsidR="006E59BB" w:rsidRPr="00342605" w:rsidRDefault="006E59BB" w:rsidP="007D1B76">
            <w:pPr>
              <w:jc w:val="both"/>
              <w:rPr>
                <w:rFonts w:eastAsia="Calibri"/>
                <w:sz w:val="20"/>
              </w:rPr>
            </w:pPr>
            <w:r w:rsidRPr="00342605">
              <w:rPr>
                <w:rFonts w:eastAsia="Calibri"/>
                <w:sz w:val="20"/>
              </w:rPr>
              <w:t>(Johnston J.)</w:t>
            </w:r>
          </w:p>
          <w:p w:rsidR="006E59BB" w:rsidRPr="00342605" w:rsidRDefault="006E59BB" w:rsidP="007D1B76">
            <w:pPr>
              <w:jc w:val="both"/>
              <w:rPr>
                <w:rFonts w:eastAsia="Calibri"/>
                <w:sz w:val="20"/>
              </w:rPr>
            </w:pPr>
          </w:p>
        </w:tc>
        <w:tc>
          <w:tcPr>
            <w:tcW w:w="243" w:type="pct"/>
          </w:tcPr>
          <w:p w:rsidR="006E59BB" w:rsidRPr="00342605" w:rsidRDefault="006E59BB" w:rsidP="007D1B76">
            <w:pPr>
              <w:jc w:val="both"/>
              <w:rPr>
                <w:rFonts w:eastAsia="Calibri"/>
                <w:sz w:val="20"/>
              </w:rPr>
            </w:pPr>
          </w:p>
        </w:tc>
        <w:tc>
          <w:tcPr>
            <w:tcW w:w="2330" w:type="pct"/>
          </w:tcPr>
          <w:p w:rsidR="006E59BB" w:rsidRPr="00342605" w:rsidRDefault="006E59BB" w:rsidP="007D1B76">
            <w:pPr>
              <w:jc w:val="both"/>
              <w:rPr>
                <w:rFonts w:eastAsia="Calibri"/>
                <w:sz w:val="20"/>
              </w:rPr>
            </w:pPr>
            <w:r w:rsidRPr="00342605">
              <w:rPr>
                <w:rFonts w:eastAsia="Calibri"/>
                <w:sz w:val="20"/>
              </w:rPr>
              <w:t>Motion by Ms. </w:t>
            </w:r>
            <w:proofErr w:type="gramStart"/>
            <w:r w:rsidRPr="00342605">
              <w:rPr>
                <w:rFonts w:eastAsia="Calibri"/>
                <w:sz w:val="20"/>
              </w:rPr>
              <w:t>An</w:t>
            </w:r>
            <w:proofErr w:type="gramEnd"/>
            <w:r w:rsidRPr="00342605">
              <w:rPr>
                <w:rFonts w:eastAsia="Calibri"/>
                <w:sz w:val="20"/>
              </w:rPr>
              <w:t xml:space="preserve"> to set aside preservation order dismissed.</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April 14, 2014</w:t>
            </w:r>
          </w:p>
          <w:p w:rsidR="006E59BB" w:rsidRPr="00342605" w:rsidRDefault="006E59BB" w:rsidP="007D1B76">
            <w:pPr>
              <w:jc w:val="both"/>
              <w:rPr>
                <w:rFonts w:eastAsia="Calibri"/>
                <w:sz w:val="20"/>
              </w:rPr>
            </w:pPr>
            <w:r w:rsidRPr="00342605">
              <w:rPr>
                <w:rFonts w:eastAsia="Calibri"/>
                <w:sz w:val="20"/>
              </w:rPr>
              <w:t>Court of Appeal of Manitoba</w:t>
            </w:r>
          </w:p>
          <w:p w:rsidR="006E59BB" w:rsidRPr="00342605" w:rsidRDefault="006E59BB" w:rsidP="007D1B76">
            <w:pPr>
              <w:jc w:val="both"/>
              <w:rPr>
                <w:rFonts w:eastAsia="Calibri"/>
                <w:sz w:val="20"/>
              </w:rPr>
            </w:pPr>
            <w:r w:rsidRPr="00342605">
              <w:rPr>
                <w:rFonts w:eastAsia="Calibri"/>
                <w:sz w:val="20"/>
              </w:rPr>
              <w:t xml:space="preserve">(Hamilton, </w:t>
            </w:r>
            <w:proofErr w:type="spellStart"/>
            <w:r w:rsidRPr="00342605">
              <w:rPr>
                <w:rFonts w:eastAsia="Calibri"/>
                <w:sz w:val="20"/>
              </w:rPr>
              <w:t>MacInnes</w:t>
            </w:r>
            <w:proofErr w:type="spellEnd"/>
            <w:r w:rsidRPr="00342605">
              <w:rPr>
                <w:rFonts w:eastAsia="Calibri"/>
                <w:sz w:val="20"/>
              </w:rPr>
              <w:t xml:space="preserve"> and Cameron JJ.A.)</w:t>
            </w:r>
          </w:p>
          <w:p w:rsidR="006E59BB" w:rsidRPr="00342605" w:rsidRDefault="006E59BB" w:rsidP="007D1B76">
            <w:pPr>
              <w:jc w:val="both"/>
              <w:rPr>
                <w:rFonts w:eastAsia="Calibri"/>
                <w:sz w:val="20"/>
              </w:rPr>
            </w:pPr>
            <w:r w:rsidRPr="00342605">
              <w:rPr>
                <w:rFonts w:eastAsia="Calibri"/>
                <w:sz w:val="20"/>
              </w:rPr>
              <w:t>2014 MBCA 34</w:t>
            </w:r>
          </w:p>
          <w:p w:rsidR="006E59BB" w:rsidRPr="00342605" w:rsidRDefault="006E59BB" w:rsidP="007D1B76">
            <w:pPr>
              <w:jc w:val="both"/>
              <w:rPr>
                <w:rFonts w:eastAsia="Calibri"/>
                <w:sz w:val="20"/>
              </w:rPr>
            </w:pPr>
            <w:r w:rsidRPr="00342605">
              <w:rPr>
                <w:rFonts w:eastAsia="Calibri"/>
                <w:sz w:val="20"/>
              </w:rPr>
              <w:t>File No.:  AF13-30-07968</w:t>
            </w:r>
          </w:p>
          <w:p w:rsidR="006E59BB" w:rsidRPr="00342605" w:rsidRDefault="006E59BB" w:rsidP="007D1B76">
            <w:pPr>
              <w:jc w:val="both"/>
              <w:rPr>
                <w:rFonts w:eastAsia="Calibri"/>
                <w:sz w:val="20"/>
              </w:rPr>
            </w:pPr>
          </w:p>
        </w:tc>
        <w:tc>
          <w:tcPr>
            <w:tcW w:w="243" w:type="pct"/>
          </w:tcPr>
          <w:p w:rsidR="006E59BB" w:rsidRPr="00342605" w:rsidRDefault="006E59BB" w:rsidP="007D1B76">
            <w:pPr>
              <w:jc w:val="both"/>
              <w:rPr>
                <w:rFonts w:eastAsia="Calibri"/>
                <w:sz w:val="20"/>
              </w:rPr>
            </w:pPr>
          </w:p>
        </w:tc>
        <w:tc>
          <w:tcPr>
            <w:tcW w:w="2330" w:type="pct"/>
          </w:tcPr>
          <w:p w:rsidR="006E59BB" w:rsidRPr="00342605" w:rsidRDefault="006E59BB" w:rsidP="007D1B76">
            <w:pPr>
              <w:jc w:val="both"/>
              <w:rPr>
                <w:rFonts w:eastAsia="Calibri"/>
                <w:sz w:val="20"/>
              </w:rPr>
            </w:pPr>
            <w:r w:rsidRPr="00342605">
              <w:rPr>
                <w:rFonts w:eastAsia="Calibri"/>
                <w:sz w:val="20"/>
              </w:rPr>
              <w:t>Appeal allowed; preservation order set aside and discharged from title to property.</w:t>
            </w:r>
          </w:p>
          <w:p w:rsidR="006E59BB" w:rsidRPr="00342605" w:rsidRDefault="006E59BB" w:rsidP="007D1B76">
            <w:pPr>
              <w:jc w:val="both"/>
              <w:rPr>
                <w:rFonts w:eastAsia="Calibri"/>
                <w:sz w:val="20"/>
              </w:rPr>
            </w:pPr>
          </w:p>
        </w:tc>
      </w:tr>
      <w:tr w:rsidR="006E59BB" w:rsidRPr="00342605" w:rsidTr="007D1B76">
        <w:tc>
          <w:tcPr>
            <w:tcW w:w="2427" w:type="pct"/>
          </w:tcPr>
          <w:p w:rsidR="006E59BB" w:rsidRPr="00342605" w:rsidRDefault="006E59BB" w:rsidP="007D1B76">
            <w:pPr>
              <w:jc w:val="both"/>
              <w:rPr>
                <w:rFonts w:eastAsia="Calibri"/>
                <w:sz w:val="20"/>
              </w:rPr>
            </w:pPr>
            <w:r w:rsidRPr="00342605">
              <w:rPr>
                <w:rFonts w:eastAsia="Calibri"/>
                <w:sz w:val="20"/>
              </w:rPr>
              <w:t>June 5, 2014</w:t>
            </w:r>
          </w:p>
          <w:p w:rsidR="006E59BB" w:rsidRPr="00342605" w:rsidRDefault="006E59BB" w:rsidP="007D1B76">
            <w:pPr>
              <w:jc w:val="both"/>
              <w:rPr>
                <w:rFonts w:eastAsia="Calibri"/>
                <w:sz w:val="20"/>
              </w:rPr>
            </w:pPr>
            <w:r w:rsidRPr="00342605">
              <w:rPr>
                <w:rFonts w:eastAsia="Calibri"/>
                <w:sz w:val="20"/>
              </w:rPr>
              <w:t>Supreme Court of Canada</w:t>
            </w:r>
          </w:p>
        </w:tc>
        <w:tc>
          <w:tcPr>
            <w:tcW w:w="243" w:type="pct"/>
          </w:tcPr>
          <w:p w:rsidR="006E59BB" w:rsidRPr="00342605" w:rsidRDefault="006E59BB" w:rsidP="007D1B76">
            <w:pPr>
              <w:jc w:val="both"/>
              <w:rPr>
                <w:rFonts w:eastAsia="Calibri"/>
                <w:sz w:val="20"/>
              </w:rPr>
            </w:pPr>
          </w:p>
        </w:tc>
        <w:tc>
          <w:tcPr>
            <w:tcW w:w="2330" w:type="pct"/>
          </w:tcPr>
          <w:p w:rsidR="006E59BB" w:rsidRPr="00342605" w:rsidRDefault="006E59BB" w:rsidP="007D1B76">
            <w:pPr>
              <w:jc w:val="both"/>
              <w:rPr>
                <w:rFonts w:eastAsia="Calibri"/>
                <w:sz w:val="20"/>
              </w:rPr>
            </w:pPr>
            <w:r w:rsidRPr="00342605">
              <w:rPr>
                <w:rFonts w:eastAsia="Calibri"/>
                <w:sz w:val="20"/>
              </w:rPr>
              <w:t>Application for leave to appeal filed.</w:t>
            </w:r>
          </w:p>
          <w:p w:rsidR="006E59BB" w:rsidRPr="00342605" w:rsidRDefault="006E59BB"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47"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E59BB" w:rsidRPr="00342605" w:rsidTr="007D1B76">
        <w:tc>
          <w:tcPr>
            <w:tcW w:w="5000" w:type="pct"/>
            <w:gridSpan w:val="3"/>
          </w:tcPr>
          <w:p w:rsidR="006E59BB" w:rsidRPr="00342605" w:rsidRDefault="006E59BB" w:rsidP="007D1B76">
            <w:pPr>
              <w:jc w:val="both"/>
              <w:rPr>
                <w:rFonts w:eastAsia="Calibri"/>
                <w:sz w:val="20"/>
                <w:lang w:val="fr-CA"/>
              </w:rPr>
            </w:pPr>
            <w:r w:rsidRPr="00342605">
              <w:rPr>
                <w:rFonts w:eastAsia="Calibri"/>
                <w:sz w:val="20"/>
                <w:lang w:val="fr-CA"/>
              </w:rPr>
              <w:t xml:space="preserve">Biens ― Biens réels ― Droit de la famille ― Ordonnance de conservation ― L’épouse a obtenu une ordonnance provisoire de conservation </w:t>
            </w:r>
            <w:r w:rsidRPr="00342605">
              <w:rPr>
                <w:rFonts w:eastAsia="Calibri"/>
                <w:i/>
                <w:sz w:val="20"/>
                <w:lang w:val="fr-CA"/>
              </w:rPr>
              <w:t>ex parte</w:t>
            </w:r>
            <w:r w:rsidRPr="00342605">
              <w:rPr>
                <w:rFonts w:eastAsia="Calibri"/>
                <w:sz w:val="20"/>
                <w:lang w:val="fr-CA"/>
              </w:rPr>
              <w:t xml:space="preserve"> relativement à un immeuble commercial appartenant à son époux au commencement d’une instance de divorce </w:t>
            </w:r>
            <w:r w:rsidRPr="00342605">
              <w:rPr>
                <w:rFonts w:eastAsia="Calibri"/>
                <w:color w:val="000000"/>
                <w:sz w:val="20"/>
                <w:lang w:val="fr-CA"/>
              </w:rPr>
              <w:t xml:space="preserve">― L’ordonnance de conservation a été annulée par la suite ― Dans la </w:t>
            </w:r>
            <w:r w:rsidRPr="00342605">
              <w:rPr>
                <w:rFonts w:eastAsia="Calibri"/>
                <w:sz w:val="20"/>
                <w:lang w:val="fr-CA"/>
              </w:rPr>
              <w:t xml:space="preserve">province du Manitoba, où le Système </w:t>
            </w:r>
            <w:proofErr w:type="spellStart"/>
            <w:r w:rsidRPr="00342605">
              <w:rPr>
                <w:rFonts w:eastAsia="Calibri"/>
                <w:sz w:val="20"/>
                <w:lang w:val="fr-CA"/>
              </w:rPr>
              <w:t>Torrens</w:t>
            </w:r>
            <w:proofErr w:type="spellEnd"/>
            <w:r w:rsidRPr="00342605">
              <w:rPr>
                <w:rFonts w:eastAsia="Calibri"/>
                <w:sz w:val="20"/>
                <w:lang w:val="fr-CA"/>
              </w:rPr>
              <w:t xml:space="preserve"> d’enregistrement des titres fonciers est en vigueur, une opération foncière est-elle conclue avant que le certificat de titre a été délivré au nom de l’acheteur et où le prix d’achat devait être détenu en fiducie avant la délivrance d’un certificat de titre? ― Une épouse a-t-elle droit à une ordonnance de conservation en application de la</w:t>
            </w:r>
            <w:r w:rsidRPr="00342605">
              <w:rPr>
                <w:rFonts w:eastAsia="Calibri"/>
                <w:i/>
                <w:sz w:val="20"/>
                <w:lang w:val="fr-CA"/>
              </w:rPr>
              <w:t xml:space="preserve"> Loi sur les biens familiaux</w:t>
            </w:r>
            <w:r w:rsidRPr="00342605">
              <w:rPr>
                <w:rFonts w:eastAsia="Calibri"/>
                <w:sz w:val="20"/>
                <w:lang w:val="fr-CA"/>
              </w:rPr>
              <w:t xml:space="preserve"> lorsque son époux a un titre de propriété en son nom sous le Système </w:t>
            </w:r>
            <w:proofErr w:type="spellStart"/>
            <w:r w:rsidRPr="00342605">
              <w:rPr>
                <w:rFonts w:eastAsia="Calibri"/>
                <w:sz w:val="20"/>
                <w:lang w:val="fr-CA"/>
              </w:rPr>
              <w:t>Torrens</w:t>
            </w:r>
            <w:proofErr w:type="spellEnd"/>
            <w:r w:rsidRPr="00342605">
              <w:rPr>
                <w:rFonts w:eastAsia="Calibri"/>
                <w:sz w:val="20"/>
                <w:lang w:val="fr-CA"/>
              </w:rPr>
              <w:t xml:space="preserve"> d’enregistrement des titres fonciers? ― </w:t>
            </w:r>
            <w:r w:rsidRPr="00342605">
              <w:rPr>
                <w:rFonts w:eastAsia="Calibri"/>
                <w:i/>
                <w:sz w:val="20"/>
                <w:lang w:val="fr-CA"/>
              </w:rPr>
              <w:t>Loi sur les biens familiaux</w:t>
            </w:r>
            <w:r w:rsidRPr="00342605">
              <w:rPr>
                <w:rFonts w:eastAsia="Calibri"/>
                <w:sz w:val="20"/>
                <w:lang w:val="fr-CA"/>
              </w:rPr>
              <w:t>, C.P.L.M. ch. F25.</w:t>
            </w:r>
          </w:p>
        </w:tc>
      </w:tr>
      <w:tr w:rsidR="006E59BB" w:rsidRPr="00342605" w:rsidTr="007D1B76">
        <w:tc>
          <w:tcPr>
            <w:tcW w:w="5000" w:type="pct"/>
            <w:gridSpan w:val="3"/>
          </w:tcPr>
          <w:p w:rsidR="006E59BB" w:rsidRPr="00342605" w:rsidRDefault="006E59BB" w:rsidP="007D1B76">
            <w:pPr>
              <w:jc w:val="both"/>
              <w:rPr>
                <w:rFonts w:eastAsia="Calibri"/>
                <w:sz w:val="20"/>
                <w:lang w:val="fr-CA"/>
              </w:rPr>
            </w:pPr>
          </w:p>
        </w:tc>
      </w:tr>
      <w:tr w:rsidR="006E59BB" w:rsidRPr="00B01CCF" w:rsidTr="007D1B76">
        <w:tc>
          <w:tcPr>
            <w:tcW w:w="5000" w:type="pct"/>
            <w:gridSpan w:val="3"/>
          </w:tcPr>
          <w:p w:rsidR="006E59BB" w:rsidRPr="00342605" w:rsidRDefault="006E59BB" w:rsidP="007D1B76">
            <w:pPr>
              <w:jc w:val="both"/>
              <w:rPr>
                <w:color w:val="000000"/>
                <w:sz w:val="20"/>
                <w:lang w:val="fr-CA"/>
              </w:rPr>
            </w:pPr>
            <w:r w:rsidRPr="00342605">
              <w:rPr>
                <w:color w:val="000000"/>
                <w:sz w:val="20"/>
                <w:lang w:val="fr-CA"/>
              </w:rPr>
              <w:t xml:space="preserve">Le présent appel porte sur la question de savoir si le juge de première instance aurait dû annuler l’ordonnance provisoire de conservation </w:t>
            </w:r>
            <w:r w:rsidRPr="00342605">
              <w:rPr>
                <w:i/>
                <w:color w:val="000000"/>
                <w:sz w:val="20"/>
                <w:lang w:val="fr-CA"/>
              </w:rPr>
              <w:t>ex parte</w:t>
            </w:r>
            <w:r w:rsidRPr="00342605">
              <w:rPr>
                <w:color w:val="000000"/>
                <w:sz w:val="20"/>
                <w:lang w:val="fr-CA"/>
              </w:rPr>
              <w:t xml:space="preserve"> rendue en faveur de la demanderesse, Mme Kim, en application de l’art. 21 de la</w:t>
            </w:r>
            <w:r w:rsidRPr="00342605">
              <w:rPr>
                <w:i/>
                <w:iCs/>
                <w:color w:val="000000"/>
                <w:sz w:val="20"/>
                <w:lang w:val="fr-CA"/>
              </w:rPr>
              <w:t xml:space="preserve"> Loi sur les biens familiaux </w:t>
            </w:r>
            <w:proofErr w:type="spellStart"/>
            <w:r w:rsidRPr="00342605">
              <w:rPr>
                <w:i/>
                <w:iCs/>
                <w:color w:val="000000"/>
                <w:sz w:val="20"/>
                <w:lang w:val="fr-CA"/>
              </w:rPr>
              <w:t>Act</w:t>
            </w:r>
            <w:proofErr w:type="spellEnd"/>
            <w:r w:rsidRPr="00342605">
              <w:rPr>
                <w:color w:val="000000"/>
                <w:sz w:val="20"/>
                <w:lang w:val="fr-CA"/>
              </w:rPr>
              <w:t xml:space="preserve">, C.P.L.M., ch. F25 (la </w:t>
            </w:r>
            <w:r w:rsidRPr="00342605">
              <w:rPr>
                <w:i/>
                <w:color w:val="000000"/>
                <w:sz w:val="20"/>
                <w:lang w:val="fr-CA"/>
              </w:rPr>
              <w:t>«</w:t>
            </w:r>
            <w:r w:rsidRPr="00342605">
              <w:rPr>
                <w:color w:val="000000"/>
                <w:sz w:val="20"/>
                <w:lang w:val="fr-CA"/>
              </w:rPr>
              <w:t> </w:t>
            </w:r>
            <w:r w:rsidRPr="00342605">
              <w:rPr>
                <w:i/>
                <w:iCs/>
                <w:color w:val="000000"/>
                <w:sz w:val="20"/>
                <w:lang w:val="fr-CA"/>
              </w:rPr>
              <w:t>LBF »</w:t>
            </w:r>
            <w:r w:rsidRPr="00342605">
              <w:rPr>
                <w:color w:val="000000"/>
                <w:sz w:val="20"/>
                <w:lang w:val="fr-CA"/>
              </w:rPr>
              <w:t>).  Le bien protégé par l’ordonnance de conservation est un immeuble commercial qui avait été vendu par l’intimé M. Kim (l’époux de la demanderesse) à la partie intéressée, l’intimée, Mme An.</w:t>
            </w:r>
          </w:p>
          <w:p w:rsidR="006E59BB" w:rsidRPr="00342605" w:rsidRDefault="006E59BB" w:rsidP="007D1B76">
            <w:pPr>
              <w:jc w:val="both"/>
              <w:rPr>
                <w:color w:val="000000"/>
                <w:sz w:val="20"/>
                <w:lang w:val="fr-CA"/>
              </w:rPr>
            </w:pPr>
          </w:p>
          <w:p w:rsidR="006E59BB" w:rsidRDefault="006E59BB" w:rsidP="007D1B76">
            <w:pPr>
              <w:jc w:val="both"/>
              <w:rPr>
                <w:color w:val="000000"/>
                <w:sz w:val="20"/>
                <w:lang w:val="fr-CA"/>
              </w:rPr>
            </w:pPr>
            <w:r w:rsidRPr="00342605">
              <w:rPr>
                <w:color w:val="000000"/>
                <w:sz w:val="20"/>
                <w:lang w:val="fr-CA"/>
              </w:rPr>
              <w:t>À l’insu du juge de première instance au moment où il a rendu l’ordonnance de conservation, l’achat de la propriété par Mme An avait déjà été conclu et le produit de la vente avait été versé à M. Kim, mais l’enregistrement du transfert de terrain n’avait pas été complété.  Madame An a déposé une motion, à titre de partie intéressée, en annulation de l’ordonnance de conservation.  Monsieur Kim n’a pas participé à l’instruction de la motion de Mme An devant le juge de première instance ou en appel.  Madame Kim s’est opposée à la motion de Mme An.</w:t>
            </w:r>
          </w:p>
          <w:p w:rsidR="00B01CCF" w:rsidRPr="00342605" w:rsidRDefault="00B01CCF" w:rsidP="007D1B76">
            <w:pPr>
              <w:jc w:val="both"/>
              <w:rPr>
                <w:color w:val="000000"/>
                <w:sz w:val="20"/>
                <w:lang w:val="fr-CA"/>
              </w:rPr>
            </w:pPr>
          </w:p>
          <w:p w:rsidR="006E59BB" w:rsidRPr="00342605" w:rsidRDefault="006E59BB" w:rsidP="007D1B76">
            <w:pPr>
              <w:jc w:val="both"/>
              <w:rPr>
                <w:color w:val="000000"/>
                <w:sz w:val="20"/>
                <w:lang w:val="fr-CA"/>
              </w:rPr>
            </w:pPr>
            <w:r w:rsidRPr="00342605">
              <w:rPr>
                <w:color w:val="000000"/>
                <w:sz w:val="20"/>
                <w:lang w:val="fr-CA"/>
              </w:rPr>
              <w:t>Le juge de première instance a rejeté la motion en annulation de l’ordonnance de conservation. La Cour d’appel a accueilli l’appel.</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5 novembre 2010</w:t>
            </w:r>
          </w:p>
          <w:p w:rsidR="006E59BB" w:rsidRPr="00342605" w:rsidRDefault="006E59BB" w:rsidP="007D1B76">
            <w:pPr>
              <w:jc w:val="both"/>
              <w:rPr>
                <w:rFonts w:eastAsia="Calibri"/>
                <w:sz w:val="20"/>
                <w:lang w:val="fr-CA"/>
              </w:rPr>
            </w:pPr>
            <w:r w:rsidRPr="00342605">
              <w:rPr>
                <w:rFonts w:eastAsia="Calibri"/>
                <w:sz w:val="20"/>
                <w:lang w:val="fr-CA"/>
              </w:rPr>
              <w:t>Cour du Banc de la Reine du Manitoba</w:t>
            </w:r>
          </w:p>
          <w:p w:rsidR="006E59BB" w:rsidRPr="00342605" w:rsidRDefault="006E59BB" w:rsidP="007D1B76">
            <w:pPr>
              <w:jc w:val="both"/>
              <w:rPr>
                <w:rFonts w:eastAsia="Calibri"/>
                <w:sz w:val="20"/>
                <w:lang w:val="fr-CA"/>
              </w:rPr>
            </w:pPr>
            <w:r w:rsidRPr="00342605">
              <w:rPr>
                <w:rFonts w:eastAsia="Calibri"/>
                <w:sz w:val="20"/>
                <w:lang w:val="fr-CA"/>
              </w:rPr>
              <w:t xml:space="preserve">(Juge Johnston) </w:t>
            </w:r>
          </w:p>
          <w:p w:rsidR="006E59BB" w:rsidRPr="00342605" w:rsidRDefault="006E59BB" w:rsidP="007D1B76">
            <w:pPr>
              <w:jc w:val="both"/>
              <w:rPr>
                <w:rFonts w:eastAsia="Calibri"/>
                <w:sz w:val="20"/>
                <w:lang w:val="fr-CA"/>
              </w:rPr>
            </w:pPr>
          </w:p>
        </w:tc>
        <w:tc>
          <w:tcPr>
            <w:tcW w:w="243" w:type="pct"/>
          </w:tcPr>
          <w:p w:rsidR="006E59BB" w:rsidRPr="00342605" w:rsidRDefault="006E59BB" w:rsidP="007D1B76">
            <w:pPr>
              <w:jc w:val="both"/>
              <w:rPr>
                <w:rFonts w:eastAsia="Calibri"/>
                <w:sz w:val="20"/>
                <w:lang w:val="fr-CA"/>
              </w:rPr>
            </w:pPr>
          </w:p>
        </w:tc>
        <w:tc>
          <w:tcPr>
            <w:tcW w:w="2330" w:type="pct"/>
          </w:tcPr>
          <w:p w:rsidR="006E59BB" w:rsidRPr="00342605" w:rsidRDefault="006E59BB" w:rsidP="007D1B76">
            <w:pPr>
              <w:jc w:val="both"/>
              <w:rPr>
                <w:rFonts w:eastAsia="Calibri"/>
                <w:sz w:val="20"/>
                <w:lang w:val="fr-CA"/>
              </w:rPr>
            </w:pPr>
            <w:r w:rsidRPr="00342605">
              <w:rPr>
                <w:rFonts w:eastAsia="Calibri"/>
                <w:sz w:val="20"/>
                <w:lang w:val="fr-CA"/>
              </w:rPr>
              <w:t>Ordonnance de conservation rendue à l’égard du titre de propriété.</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7 octobre 2011</w:t>
            </w:r>
          </w:p>
          <w:p w:rsidR="006E59BB" w:rsidRPr="00342605" w:rsidRDefault="006E59BB" w:rsidP="007D1B76">
            <w:pPr>
              <w:jc w:val="both"/>
              <w:rPr>
                <w:rFonts w:eastAsia="Calibri"/>
                <w:sz w:val="20"/>
                <w:lang w:val="fr-CA"/>
              </w:rPr>
            </w:pPr>
            <w:r w:rsidRPr="00342605">
              <w:rPr>
                <w:rFonts w:eastAsia="Calibri"/>
                <w:sz w:val="20"/>
                <w:lang w:val="fr-CA"/>
              </w:rPr>
              <w:t>Cour du Banc de la Reine du Manitoba</w:t>
            </w:r>
          </w:p>
          <w:p w:rsidR="006E59BB" w:rsidRPr="00342605" w:rsidRDefault="006E59BB" w:rsidP="007D1B76">
            <w:pPr>
              <w:jc w:val="both"/>
              <w:rPr>
                <w:rFonts w:eastAsia="Calibri"/>
                <w:sz w:val="20"/>
                <w:lang w:val="fr-CA"/>
              </w:rPr>
            </w:pPr>
            <w:r w:rsidRPr="00342605">
              <w:rPr>
                <w:rFonts w:eastAsia="Calibri"/>
                <w:sz w:val="20"/>
                <w:lang w:val="fr-CA"/>
              </w:rPr>
              <w:t>(Juge Johnston)</w:t>
            </w:r>
          </w:p>
          <w:p w:rsidR="006E59BB" w:rsidRPr="00342605" w:rsidRDefault="006E59BB" w:rsidP="007D1B76">
            <w:pPr>
              <w:jc w:val="both"/>
              <w:rPr>
                <w:rFonts w:eastAsia="Calibri"/>
                <w:sz w:val="20"/>
                <w:lang w:val="fr-CA"/>
              </w:rPr>
            </w:pPr>
          </w:p>
        </w:tc>
        <w:tc>
          <w:tcPr>
            <w:tcW w:w="243" w:type="pct"/>
          </w:tcPr>
          <w:p w:rsidR="006E59BB" w:rsidRPr="00342605" w:rsidRDefault="006E59BB" w:rsidP="007D1B76">
            <w:pPr>
              <w:jc w:val="both"/>
              <w:rPr>
                <w:rFonts w:eastAsia="Calibri"/>
                <w:sz w:val="20"/>
                <w:lang w:val="fr-CA"/>
              </w:rPr>
            </w:pPr>
          </w:p>
        </w:tc>
        <w:tc>
          <w:tcPr>
            <w:tcW w:w="2330" w:type="pct"/>
          </w:tcPr>
          <w:p w:rsidR="006E59BB" w:rsidRPr="00342605" w:rsidRDefault="006E59BB" w:rsidP="007D1B76">
            <w:pPr>
              <w:jc w:val="both"/>
              <w:rPr>
                <w:rFonts w:eastAsia="Calibri"/>
                <w:sz w:val="20"/>
                <w:lang w:val="fr-CA"/>
              </w:rPr>
            </w:pPr>
            <w:r w:rsidRPr="00342605">
              <w:rPr>
                <w:rFonts w:eastAsia="Calibri"/>
                <w:sz w:val="20"/>
                <w:lang w:val="fr-CA"/>
              </w:rPr>
              <w:t>Motion de M. Kim en annulation de l’ordonnance de conservation, rejetée.</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12 avril 2013</w:t>
            </w:r>
          </w:p>
          <w:p w:rsidR="006E59BB" w:rsidRPr="00342605" w:rsidRDefault="006E59BB" w:rsidP="007D1B76">
            <w:pPr>
              <w:jc w:val="both"/>
              <w:rPr>
                <w:rFonts w:eastAsia="Calibri"/>
                <w:sz w:val="20"/>
                <w:lang w:val="fr-CA"/>
              </w:rPr>
            </w:pPr>
            <w:r w:rsidRPr="00342605">
              <w:rPr>
                <w:rFonts w:eastAsia="Calibri"/>
                <w:sz w:val="20"/>
                <w:lang w:val="fr-CA"/>
              </w:rPr>
              <w:t>Cour du Banc de la Reine du Manitoba</w:t>
            </w:r>
          </w:p>
          <w:p w:rsidR="006E59BB" w:rsidRPr="00342605" w:rsidRDefault="006E59BB" w:rsidP="007D1B76">
            <w:pPr>
              <w:jc w:val="both"/>
              <w:rPr>
                <w:rFonts w:eastAsia="Calibri"/>
                <w:sz w:val="20"/>
                <w:lang w:val="fr-CA"/>
              </w:rPr>
            </w:pPr>
            <w:r w:rsidRPr="00342605">
              <w:rPr>
                <w:rFonts w:eastAsia="Calibri"/>
                <w:sz w:val="20"/>
                <w:lang w:val="fr-CA"/>
              </w:rPr>
              <w:t>(Juge Johnston)</w:t>
            </w:r>
          </w:p>
          <w:p w:rsidR="006E59BB" w:rsidRPr="00342605" w:rsidRDefault="006E59BB" w:rsidP="007D1B76">
            <w:pPr>
              <w:jc w:val="both"/>
              <w:rPr>
                <w:rFonts w:eastAsia="Calibri"/>
                <w:sz w:val="20"/>
                <w:lang w:val="fr-CA"/>
              </w:rPr>
            </w:pPr>
          </w:p>
        </w:tc>
        <w:tc>
          <w:tcPr>
            <w:tcW w:w="243" w:type="pct"/>
          </w:tcPr>
          <w:p w:rsidR="006E59BB" w:rsidRPr="00342605" w:rsidRDefault="006E59BB" w:rsidP="007D1B76">
            <w:pPr>
              <w:jc w:val="both"/>
              <w:rPr>
                <w:rFonts w:eastAsia="Calibri"/>
                <w:sz w:val="20"/>
                <w:lang w:val="fr-CA"/>
              </w:rPr>
            </w:pPr>
          </w:p>
        </w:tc>
        <w:tc>
          <w:tcPr>
            <w:tcW w:w="2330" w:type="pct"/>
          </w:tcPr>
          <w:p w:rsidR="006E59BB" w:rsidRPr="00342605" w:rsidRDefault="006E59BB" w:rsidP="007D1B76">
            <w:pPr>
              <w:jc w:val="both"/>
              <w:rPr>
                <w:rFonts w:eastAsia="Calibri"/>
                <w:sz w:val="20"/>
                <w:lang w:val="fr-CA"/>
              </w:rPr>
            </w:pPr>
            <w:r w:rsidRPr="00342605">
              <w:rPr>
                <w:rFonts w:eastAsia="Calibri"/>
                <w:sz w:val="20"/>
                <w:lang w:val="fr-CA"/>
              </w:rPr>
              <w:t>Motion de Mme An en annulation de l’ordonnance de conservation, rejetée.</w:t>
            </w:r>
          </w:p>
          <w:p w:rsidR="006E59BB" w:rsidRPr="00342605" w:rsidRDefault="006E59BB" w:rsidP="007D1B76">
            <w:pPr>
              <w:jc w:val="both"/>
              <w:rPr>
                <w:rFonts w:eastAsia="Calibri"/>
                <w:sz w:val="20"/>
                <w:lang w:val="fr-CA"/>
              </w:rPr>
            </w:pPr>
          </w:p>
        </w:tc>
      </w:tr>
      <w:tr w:rsidR="006E59BB" w:rsidRPr="009723FD"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14 avril 2014</w:t>
            </w:r>
          </w:p>
          <w:p w:rsidR="006E59BB" w:rsidRPr="00342605" w:rsidRDefault="006E59BB" w:rsidP="007D1B76">
            <w:pPr>
              <w:jc w:val="both"/>
              <w:rPr>
                <w:rFonts w:eastAsia="Calibri"/>
                <w:sz w:val="20"/>
                <w:lang w:val="fr-CA"/>
              </w:rPr>
            </w:pPr>
            <w:r w:rsidRPr="00342605">
              <w:rPr>
                <w:rFonts w:eastAsia="Calibri"/>
                <w:sz w:val="20"/>
                <w:lang w:val="fr-CA"/>
              </w:rPr>
              <w:t>Cour d’appel du Manitoba</w:t>
            </w:r>
          </w:p>
          <w:p w:rsidR="006E59BB" w:rsidRPr="00342605" w:rsidRDefault="006E59BB" w:rsidP="007D1B76">
            <w:pPr>
              <w:jc w:val="both"/>
              <w:rPr>
                <w:rFonts w:eastAsia="Calibri"/>
                <w:sz w:val="20"/>
                <w:lang w:val="fr-CA"/>
              </w:rPr>
            </w:pPr>
            <w:r w:rsidRPr="00342605">
              <w:rPr>
                <w:rFonts w:eastAsia="Calibri"/>
                <w:sz w:val="20"/>
                <w:lang w:val="fr-CA"/>
              </w:rPr>
              <w:t xml:space="preserve">(Juges Hamilton, </w:t>
            </w:r>
            <w:proofErr w:type="spellStart"/>
            <w:r w:rsidRPr="00342605">
              <w:rPr>
                <w:rFonts w:eastAsia="Calibri"/>
                <w:sz w:val="20"/>
                <w:lang w:val="fr-CA"/>
              </w:rPr>
              <w:t>MacInnes</w:t>
            </w:r>
            <w:proofErr w:type="spellEnd"/>
            <w:r w:rsidRPr="00342605">
              <w:rPr>
                <w:rFonts w:eastAsia="Calibri"/>
                <w:sz w:val="20"/>
                <w:lang w:val="fr-CA"/>
              </w:rPr>
              <w:t xml:space="preserve"> et Cameron)</w:t>
            </w:r>
          </w:p>
          <w:p w:rsidR="006E59BB" w:rsidRPr="00342605" w:rsidRDefault="006E59BB" w:rsidP="007D1B76">
            <w:pPr>
              <w:jc w:val="both"/>
              <w:rPr>
                <w:rFonts w:eastAsia="Calibri"/>
                <w:sz w:val="20"/>
                <w:lang w:val="fr-CA"/>
              </w:rPr>
            </w:pPr>
            <w:r w:rsidRPr="00342605">
              <w:rPr>
                <w:rFonts w:eastAsia="Calibri"/>
                <w:sz w:val="20"/>
                <w:lang w:val="fr-CA"/>
              </w:rPr>
              <w:t>2014 MBCA 34</w:t>
            </w:r>
          </w:p>
          <w:p w:rsidR="006E59BB" w:rsidRPr="00342605" w:rsidRDefault="006E59BB" w:rsidP="007D1B76">
            <w:pPr>
              <w:jc w:val="both"/>
              <w:rPr>
                <w:rFonts w:eastAsia="Calibri"/>
                <w:sz w:val="20"/>
                <w:lang w:val="fr-CA"/>
              </w:rPr>
            </w:pPr>
            <w:r w:rsidRPr="00342605">
              <w:rPr>
                <w:rFonts w:eastAsia="Calibri"/>
                <w:sz w:val="20"/>
                <w:lang w:val="fr-CA"/>
              </w:rPr>
              <w:t>N</w:t>
            </w:r>
            <w:r w:rsidRPr="00342605">
              <w:rPr>
                <w:rFonts w:eastAsia="Calibri"/>
                <w:sz w:val="20"/>
                <w:vertAlign w:val="superscript"/>
                <w:lang w:val="fr-CA"/>
              </w:rPr>
              <w:t>o</w:t>
            </w:r>
            <w:r w:rsidRPr="00342605">
              <w:rPr>
                <w:rFonts w:eastAsia="Calibri"/>
                <w:sz w:val="20"/>
                <w:lang w:val="fr-CA"/>
              </w:rPr>
              <w:t xml:space="preserve"> du greffe AF13-30-07968</w:t>
            </w:r>
          </w:p>
          <w:p w:rsidR="006E59BB" w:rsidRPr="00342605" w:rsidRDefault="006E59BB" w:rsidP="007D1B76">
            <w:pPr>
              <w:jc w:val="both"/>
              <w:rPr>
                <w:rFonts w:eastAsia="Calibri"/>
                <w:sz w:val="20"/>
                <w:lang w:val="fr-CA"/>
              </w:rPr>
            </w:pPr>
          </w:p>
        </w:tc>
        <w:tc>
          <w:tcPr>
            <w:tcW w:w="243" w:type="pct"/>
          </w:tcPr>
          <w:p w:rsidR="006E59BB" w:rsidRPr="00342605" w:rsidRDefault="006E59BB" w:rsidP="007D1B76">
            <w:pPr>
              <w:jc w:val="both"/>
              <w:rPr>
                <w:rFonts w:eastAsia="Calibri"/>
                <w:sz w:val="20"/>
                <w:lang w:val="fr-CA"/>
              </w:rPr>
            </w:pPr>
          </w:p>
        </w:tc>
        <w:tc>
          <w:tcPr>
            <w:tcW w:w="2330" w:type="pct"/>
          </w:tcPr>
          <w:p w:rsidR="006E59BB" w:rsidRPr="00342605" w:rsidRDefault="006E59BB" w:rsidP="007D1B76">
            <w:pPr>
              <w:jc w:val="both"/>
              <w:rPr>
                <w:rFonts w:eastAsia="Calibri"/>
                <w:sz w:val="20"/>
                <w:lang w:val="fr-CA"/>
              </w:rPr>
            </w:pPr>
            <w:r w:rsidRPr="00342605">
              <w:rPr>
                <w:rFonts w:eastAsia="Calibri"/>
                <w:sz w:val="20"/>
                <w:lang w:val="fr-CA"/>
              </w:rPr>
              <w:t>Appel accueilli; ordonnance de conservation annulée et déchargée du titre de propriété.</w:t>
            </w:r>
          </w:p>
          <w:p w:rsidR="006E59BB" w:rsidRPr="00342605" w:rsidRDefault="006E59BB" w:rsidP="007D1B76">
            <w:pPr>
              <w:jc w:val="both"/>
              <w:rPr>
                <w:rFonts w:eastAsia="Calibri"/>
                <w:sz w:val="20"/>
                <w:lang w:val="fr-CA"/>
              </w:rPr>
            </w:pPr>
          </w:p>
        </w:tc>
      </w:tr>
      <w:tr w:rsidR="006E59BB" w:rsidRPr="00342605" w:rsidTr="007D1B76">
        <w:tc>
          <w:tcPr>
            <w:tcW w:w="2427" w:type="pct"/>
          </w:tcPr>
          <w:p w:rsidR="006E59BB" w:rsidRPr="00342605" w:rsidRDefault="006E59BB" w:rsidP="007D1B76">
            <w:pPr>
              <w:jc w:val="both"/>
              <w:rPr>
                <w:rFonts w:eastAsia="Calibri"/>
                <w:sz w:val="20"/>
                <w:lang w:val="fr-CA"/>
              </w:rPr>
            </w:pPr>
            <w:r w:rsidRPr="00342605">
              <w:rPr>
                <w:rFonts w:eastAsia="Calibri"/>
                <w:sz w:val="20"/>
                <w:lang w:val="fr-CA"/>
              </w:rPr>
              <w:t>5 juin 2014</w:t>
            </w:r>
          </w:p>
          <w:p w:rsidR="006E59BB" w:rsidRPr="00342605" w:rsidRDefault="006E59BB" w:rsidP="007D1B76">
            <w:pPr>
              <w:jc w:val="both"/>
              <w:rPr>
                <w:rFonts w:eastAsia="Calibri"/>
                <w:sz w:val="20"/>
                <w:lang w:val="fr-CA"/>
              </w:rPr>
            </w:pPr>
            <w:r w:rsidRPr="00342605">
              <w:rPr>
                <w:rFonts w:eastAsia="Calibri"/>
                <w:sz w:val="20"/>
                <w:lang w:val="fr-CA"/>
              </w:rPr>
              <w:t>Cour suprême du Canada</w:t>
            </w:r>
          </w:p>
        </w:tc>
        <w:tc>
          <w:tcPr>
            <w:tcW w:w="243" w:type="pct"/>
          </w:tcPr>
          <w:p w:rsidR="006E59BB" w:rsidRPr="00342605" w:rsidRDefault="006E59BB" w:rsidP="007D1B76">
            <w:pPr>
              <w:jc w:val="both"/>
              <w:rPr>
                <w:rFonts w:eastAsia="Calibri"/>
                <w:sz w:val="20"/>
                <w:lang w:val="fr-CA"/>
              </w:rPr>
            </w:pPr>
          </w:p>
        </w:tc>
        <w:tc>
          <w:tcPr>
            <w:tcW w:w="2330" w:type="pct"/>
          </w:tcPr>
          <w:p w:rsidR="006E59BB" w:rsidRPr="00342605" w:rsidRDefault="006E59BB" w:rsidP="007D1B76">
            <w:pPr>
              <w:jc w:val="both"/>
              <w:rPr>
                <w:rFonts w:eastAsia="Calibri"/>
                <w:sz w:val="20"/>
                <w:lang w:val="fr-CA"/>
              </w:rPr>
            </w:pPr>
            <w:r w:rsidRPr="00342605">
              <w:rPr>
                <w:rFonts w:eastAsia="Calibri"/>
                <w:sz w:val="20"/>
                <w:lang w:val="fr-CA"/>
              </w:rPr>
              <w:t>Demande d’autorisation d’appel, déposée.</w:t>
            </w:r>
          </w:p>
          <w:p w:rsidR="006E59BB" w:rsidRPr="00342605" w:rsidRDefault="006E59BB"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48"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54438" w:rsidRPr="009723FD" w:rsidTr="00154438">
        <w:trPr>
          <w:cantSplit/>
        </w:trPr>
        <w:tc>
          <w:tcPr>
            <w:tcW w:w="1458" w:type="dxa"/>
          </w:tcPr>
          <w:p w:rsidR="00154438" w:rsidRPr="00B75ABD" w:rsidRDefault="00154438" w:rsidP="00154438">
            <w:pPr>
              <w:rPr>
                <w:sz w:val="20"/>
                <w:szCs w:val="20"/>
              </w:rPr>
            </w:pPr>
            <w:r w:rsidRPr="00B75ABD">
              <w:rPr>
                <w:rStyle w:val="SCCFileNumberChar"/>
                <w:sz w:val="20"/>
                <w:szCs w:val="20"/>
              </w:rPr>
              <w:t>35967</w:t>
            </w:r>
          </w:p>
          <w:p w:rsidR="00154438" w:rsidRPr="00B75ABD" w:rsidRDefault="00154438" w:rsidP="00154438">
            <w:pPr>
              <w:rPr>
                <w:b/>
                <w:sz w:val="20"/>
                <w:szCs w:val="20"/>
                <w:lang w:val="fr-CA"/>
              </w:rPr>
            </w:pPr>
          </w:p>
        </w:tc>
        <w:tc>
          <w:tcPr>
            <w:tcW w:w="8118" w:type="dxa"/>
          </w:tcPr>
          <w:p w:rsidR="00154438" w:rsidRPr="00B75ABD" w:rsidRDefault="00154438" w:rsidP="00154438">
            <w:pPr>
              <w:rPr>
                <w:sz w:val="20"/>
                <w:szCs w:val="20"/>
                <w:lang w:val="fr-CA"/>
              </w:rPr>
            </w:pPr>
            <w:r w:rsidRPr="00B75ABD">
              <w:rPr>
                <w:rStyle w:val="SCCLsocChar"/>
                <w:sz w:val="20"/>
                <w:szCs w:val="20"/>
              </w:rPr>
              <w:t xml:space="preserve">Clarence Paradis c. </w:t>
            </w:r>
            <w:proofErr w:type="spellStart"/>
            <w:r w:rsidRPr="00B75ABD">
              <w:rPr>
                <w:rStyle w:val="SCCLsocChar"/>
                <w:sz w:val="20"/>
                <w:szCs w:val="20"/>
              </w:rPr>
              <w:t>Primmum</w:t>
            </w:r>
            <w:proofErr w:type="spellEnd"/>
            <w:r w:rsidRPr="00B75ABD">
              <w:rPr>
                <w:rStyle w:val="SCCLsocChar"/>
                <w:sz w:val="20"/>
                <w:szCs w:val="20"/>
              </w:rPr>
              <w:t xml:space="preserve"> compagnie d</w:t>
            </w:r>
            <w:r w:rsidR="00715BD0">
              <w:rPr>
                <w:rStyle w:val="SCCLsocChar"/>
                <w:sz w:val="20"/>
                <w:szCs w:val="20"/>
              </w:rPr>
              <w:t>’</w:t>
            </w:r>
            <w:r w:rsidRPr="00B75ABD">
              <w:rPr>
                <w:rStyle w:val="SCCLsocChar"/>
                <w:sz w:val="20"/>
                <w:szCs w:val="20"/>
              </w:rPr>
              <w:t>assurance</w:t>
            </w:r>
            <w:r w:rsidRPr="00B75ABD">
              <w:rPr>
                <w:sz w:val="20"/>
                <w:szCs w:val="20"/>
                <w:lang w:val="fr-CA"/>
              </w:rPr>
              <w:t xml:space="preserve"> (</w:t>
            </w:r>
            <w:proofErr w:type="spellStart"/>
            <w:r w:rsidRPr="00B75ABD">
              <w:rPr>
                <w:sz w:val="20"/>
                <w:szCs w:val="20"/>
                <w:lang w:val="fr-CA"/>
              </w:rPr>
              <w:t>Qc</w:t>
            </w:r>
            <w:proofErr w:type="spellEnd"/>
            <w:r w:rsidRPr="00B75ABD">
              <w:rPr>
                <w:sz w:val="20"/>
                <w:szCs w:val="20"/>
                <w:lang w:val="fr-CA"/>
              </w:rPr>
              <w:t>) (Civile) (Autorisation)</w:t>
            </w:r>
          </w:p>
          <w:p w:rsidR="00154438" w:rsidRPr="00B75ABD" w:rsidRDefault="00154438" w:rsidP="00154438">
            <w:pPr>
              <w:rPr>
                <w:sz w:val="20"/>
                <w:szCs w:val="20"/>
                <w:lang w:val="fr-CA"/>
              </w:rPr>
            </w:pPr>
          </w:p>
        </w:tc>
      </w:tr>
      <w:tr w:rsidR="00154438" w:rsidRPr="009723FD" w:rsidTr="00154438">
        <w:trPr>
          <w:cantSplit/>
        </w:trPr>
        <w:tc>
          <w:tcPr>
            <w:tcW w:w="1458" w:type="dxa"/>
          </w:tcPr>
          <w:p w:rsidR="00154438" w:rsidRPr="00B75ABD" w:rsidRDefault="00154438" w:rsidP="00154438">
            <w:pPr>
              <w:rPr>
                <w:sz w:val="20"/>
                <w:szCs w:val="20"/>
              </w:rPr>
            </w:pPr>
            <w:r w:rsidRPr="00B75ABD">
              <w:rPr>
                <w:sz w:val="20"/>
                <w:szCs w:val="20"/>
              </w:rPr>
              <w:t>Coram :</w:t>
            </w:r>
          </w:p>
        </w:tc>
        <w:tc>
          <w:tcPr>
            <w:tcW w:w="8118" w:type="dxa"/>
          </w:tcPr>
          <w:p w:rsidR="00154438" w:rsidRPr="00B75ABD" w:rsidRDefault="00154438" w:rsidP="00154438">
            <w:pPr>
              <w:rPr>
                <w:sz w:val="20"/>
                <w:szCs w:val="20"/>
                <w:lang w:val="fr-CA"/>
              </w:rPr>
            </w:pPr>
            <w:r w:rsidRPr="00B75ABD">
              <w:rPr>
                <w:rStyle w:val="SCCCoramChar"/>
                <w:sz w:val="20"/>
                <w:szCs w:val="20"/>
              </w:rPr>
              <w:t xml:space="preserve">Les juges </w:t>
            </w:r>
            <w:proofErr w:type="spellStart"/>
            <w:r w:rsidRPr="00B75ABD">
              <w:rPr>
                <w:rStyle w:val="SCCCoramChar"/>
                <w:sz w:val="20"/>
                <w:szCs w:val="20"/>
              </w:rPr>
              <w:t>LeBel</w:t>
            </w:r>
            <w:proofErr w:type="spellEnd"/>
            <w:r w:rsidRPr="00B75ABD">
              <w:rPr>
                <w:rStyle w:val="SCCCoramChar"/>
                <w:sz w:val="20"/>
                <w:szCs w:val="20"/>
              </w:rPr>
              <w:t xml:space="preserve">, </w:t>
            </w:r>
            <w:proofErr w:type="spellStart"/>
            <w:r w:rsidRPr="00B75ABD">
              <w:rPr>
                <w:rStyle w:val="SCCCoramChar"/>
                <w:sz w:val="20"/>
                <w:szCs w:val="20"/>
              </w:rPr>
              <w:t>Karakatsanis</w:t>
            </w:r>
            <w:proofErr w:type="spellEnd"/>
            <w:r w:rsidRPr="00B75ABD">
              <w:rPr>
                <w:rStyle w:val="SCCCoramChar"/>
                <w:sz w:val="20"/>
                <w:szCs w:val="20"/>
              </w:rPr>
              <w:t xml:space="preserve"> et Gascon</w:t>
            </w:r>
          </w:p>
          <w:p w:rsidR="00154438" w:rsidRPr="00B75ABD" w:rsidRDefault="00154438" w:rsidP="00154438">
            <w:pPr>
              <w:rPr>
                <w:sz w:val="20"/>
                <w:szCs w:val="20"/>
                <w:u w:val="single"/>
                <w:lang w:val="fr-CA"/>
              </w:rPr>
            </w:pPr>
          </w:p>
        </w:tc>
      </w:tr>
      <w:tr w:rsidR="00154438" w:rsidRPr="00B75ABD" w:rsidTr="00154438">
        <w:trPr>
          <w:cantSplit/>
        </w:trPr>
        <w:tc>
          <w:tcPr>
            <w:tcW w:w="9576" w:type="dxa"/>
            <w:gridSpan w:val="2"/>
          </w:tcPr>
          <w:p w:rsidR="00154438" w:rsidRPr="00B75ABD" w:rsidRDefault="00154438" w:rsidP="00154438">
            <w:pPr>
              <w:pStyle w:val="SCCShortJudgment"/>
              <w:rPr>
                <w:szCs w:val="20"/>
                <w:lang w:val="fr-CA"/>
              </w:rPr>
            </w:pPr>
            <w:r w:rsidRPr="00B75ABD">
              <w:rPr>
                <w:szCs w:val="20"/>
                <w:lang w:val="fr-CA"/>
              </w:rPr>
              <w:t>La demande d’autorisation d’appel de l’arrêt de la Cour d’appel du Québec (Montréal), numéro 500-09-024352-148, 2014 QCCA 891, daté du 2 mai 2014, est rejetée sans dépens.</w:t>
            </w:r>
          </w:p>
          <w:p w:rsidR="00154438" w:rsidRPr="00B75ABD" w:rsidRDefault="00154438" w:rsidP="00154438">
            <w:pPr>
              <w:pStyle w:val="SCCShortJudgment"/>
              <w:ind w:firstLine="0"/>
              <w:rPr>
                <w:szCs w:val="20"/>
                <w:lang w:val="fr-CA"/>
              </w:rPr>
            </w:pPr>
          </w:p>
          <w:p w:rsidR="00154438" w:rsidRPr="00B75ABD" w:rsidRDefault="00154438" w:rsidP="00154438">
            <w:pPr>
              <w:pStyle w:val="SCCShortJudgment"/>
              <w:rPr>
                <w:szCs w:val="20"/>
              </w:rPr>
            </w:pPr>
            <w:r w:rsidRPr="00B75ABD">
              <w:rPr>
                <w:szCs w:val="20"/>
              </w:rPr>
              <w:t>The application for leave to appeal from the judgment of the Court of Appeal of Quebec (Montréal), Number 500-09-024352-148, 2014 QCCA 891, dated May 2, 2014, is dismissed without costs.</w:t>
            </w:r>
          </w:p>
        </w:tc>
      </w:tr>
    </w:tbl>
    <w:p w:rsidR="00A325AC" w:rsidRDefault="00A325AC" w:rsidP="00A325AC">
      <w:pPr>
        <w:rPr>
          <w:sz w:val="20"/>
          <w:szCs w:val="20"/>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Bankruptcy and insolvency – Bankrupt’s right of action vested in trustee – Legal capacity of bankrupt to bring action in question – Whether legal principle exists that permits court to deny bankrupt right to insure property in which bankrupt lives and movable property he or she lawfully owns that is free from claims of ordinary creditors – Whether applicant raises legal issue of public importance – </w:t>
            </w:r>
            <w:hyperlink r:id="rId24" w:history="1">
              <w:r w:rsidRPr="00342605">
                <w:rPr>
                  <w:rFonts w:eastAsia="Calibri"/>
                  <w:i/>
                  <w:iCs/>
                  <w:sz w:val="20"/>
                </w:rPr>
                <w:t>Bankruptcy</w:t>
              </w:r>
            </w:hyperlink>
            <w:r w:rsidRPr="00342605">
              <w:rPr>
                <w:rFonts w:eastAsia="Calibri"/>
                <w:i/>
                <w:sz w:val="20"/>
              </w:rPr>
              <w:t xml:space="preserve"> and Insolvency Act</w:t>
            </w:r>
            <w:r w:rsidRPr="00342605">
              <w:rPr>
                <w:rFonts w:eastAsia="Calibri"/>
                <w:sz w:val="20"/>
              </w:rPr>
              <w:t>, R.S.C. 1985, c. B-3.</w:t>
            </w:r>
          </w:p>
        </w:tc>
      </w:tr>
      <w:tr w:rsidR="00EC1039" w:rsidRPr="00342605" w:rsidTr="007D1B76">
        <w:tc>
          <w:tcPr>
            <w:tcW w:w="5000" w:type="pct"/>
            <w:gridSpan w:val="3"/>
          </w:tcPr>
          <w:p w:rsidR="00EC1039" w:rsidRPr="00342605" w:rsidRDefault="00EC1039" w:rsidP="007D1B76">
            <w:pPr>
              <w:jc w:val="both"/>
              <w:rPr>
                <w:rFonts w:eastAsia="Calibri"/>
                <w:sz w:val="20"/>
              </w:rPr>
            </w:pPr>
          </w:p>
        </w:tc>
      </w:tr>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The applicant brought an action against the respondent with respect to the handling of a claim submitted under a home insurance policy issued by the respondent.  The claim had been submitted to the respondent for water damage caused by a leak in the roof of the applicant’s residence.  The respondent, noting that the applicant was an undischarged bankrupt at the time he introduced his action, brought a motion to dismiss the action on the basis that the right of action had vested in the trustee acting on behalf of the mass of creditors.</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January 14, 2014</w:t>
            </w:r>
          </w:p>
          <w:p w:rsidR="00EC1039" w:rsidRPr="00342605" w:rsidRDefault="00EC1039" w:rsidP="007D1B76">
            <w:pPr>
              <w:jc w:val="both"/>
              <w:rPr>
                <w:rFonts w:eastAsia="Calibri"/>
                <w:sz w:val="20"/>
              </w:rPr>
            </w:pPr>
            <w:r w:rsidRPr="00342605">
              <w:rPr>
                <w:rFonts w:eastAsia="Calibri"/>
                <w:sz w:val="20"/>
              </w:rPr>
              <w:t>Court of Québec</w:t>
            </w:r>
          </w:p>
          <w:p w:rsidR="00EC1039" w:rsidRPr="00342605" w:rsidRDefault="00EC1039" w:rsidP="007D1B76">
            <w:pPr>
              <w:jc w:val="both"/>
              <w:rPr>
                <w:rFonts w:eastAsia="Calibri"/>
                <w:sz w:val="20"/>
              </w:rPr>
            </w:pPr>
            <w:r w:rsidRPr="00342605">
              <w:rPr>
                <w:rFonts w:eastAsia="Calibri"/>
                <w:sz w:val="20"/>
              </w:rPr>
              <w:t xml:space="preserve">(Judge </w:t>
            </w:r>
            <w:proofErr w:type="spellStart"/>
            <w:r w:rsidRPr="00342605">
              <w:rPr>
                <w:rFonts w:eastAsia="Calibri"/>
                <w:sz w:val="20"/>
              </w:rPr>
              <w:t>Breault</w:t>
            </w:r>
            <w:proofErr w:type="spellEnd"/>
            <w:r w:rsidRPr="00342605">
              <w:rPr>
                <w:rFonts w:eastAsia="Calibri"/>
                <w:sz w:val="20"/>
              </w:rPr>
              <w:t>)</w:t>
            </w:r>
          </w:p>
          <w:p w:rsidR="00EC1039" w:rsidRPr="00342605" w:rsidRDefault="00EC1039" w:rsidP="007D1B76">
            <w:pPr>
              <w:jc w:val="both"/>
              <w:rPr>
                <w:rFonts w:eastAsia="Calibri"/>
                <w:sz w:val="20"/>
              </w:rPr>
            </w:pPr>
            <w:r w:rsidRPr="00342605">
              <w:rPr>
                <w:rFonts w:eastAsia="Calibri"/>
                <w:sz w:val="20"/>
              </w:rPr>
              <w:t>No. 700-22-026299-122</w:t>
            </w:r>
          </w:p>
          <w:p w:rsidR="00EC1039" w:rsidRPr="00342605" w:rsidRDefault="007871B3" w:rsidP="007D1B76">
            <w:pPr>
              <w:jc w:val="both"/>
              <w:rPr>
                <w:rFonts w:eastAsia="Calibri"/>
                <w:sz w:val="20"/>
              </w:rPr>
            </w:pPr>
            <w:hyperlink r:id="rId25" w:history="1">
              <w:r w:rsidR="00EC1039" w:rsidRPr="00342605">
                <w:rPr>
                  <w:rFonts w:eastAsia="Calibri"/>
                  <w:color w:val="0000FF"/>
                  <w:sz w:val="20"/>
                  <w:u w:val="single"/>
                </w:rPr>
                <w:t>2014 QCCQ 505</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Respondent’s motion to dismiss for lack of capacity granted.</w:t>
            </w: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May 2, 2014</w:t>
            </w:r>
          </w:p>
          <w:p w:rsidR="00EC1039" w:rsidRPr="00342605" w:rsidRDefault="00EC1039" w:rsidP="007D1B76">
            <w:pPr>
              <w:jc w:val="both"/>
              <w:rPr>
                <w:rFonts w:eastAsia="Calibri"/>
                <w:sz w:val="20"/>
              </w:rPr>
            </w:pPr>
            <w:r w:rsidRPr="00342605">
              <w:rPr>
                <w:rFonts w:eastAsia="Calibri"/>
                <w:sz w:val="20"/>
              </w:rPr>
              <w:t>Quebec Court of Appeal (Montréal)</w:t>
            </w:r>
          </w:p>
          <w:p w:rsidR="00EC1039" w:rsidRPr="00342605" w:rsidRDefault="00EC1039" w:rsidP="007D1B76">
            <w:pPr>
              <w:jc w:val="both"/>
              <w:rPr>
                <w:rFonts w:eastAsia="Calibri"/>
                <w:sz w:val="20"/>
              </w:rPr>
            </w:pPr>
            <w:r w:rsidRPr="00342605">
              <w:rPr>
                <w:rFonts w:eastAsia="Calibri"/>
                <w:sz w:val="20"/>
              </w:rPr>
              <w:t>(</w:t>
            </w:r>
            <w:proofErr w:type="spellStart"/>
            <w:r w:rsidRPr="00342605">
              <w:rPr>
                <w:rFonts w:eastAsia="Calibri"/>
                <w:sz w:val="20"/>
              </w:rPr>
              <w:t>Vauclair</w:t>
            </w:r>
            <w:proofErr w:type="spellEnd"/>
            <w:r w:rsidRPr="00342605">
              <w:rPr>
                <w:rFonts w:eastAsia="Calibri"/>
                <w:sz w:val="20"/>
              </w:rPr>
              <w:t xml:space="preserve"> J.A.)</w:t>
            </w:r>
          </w:p>
          <w:p w:rsidR="00EC1039" w:rsidRPr="00342605" w:rsidRDefault="00EC1039" w:rsidP="007D1B76">
            <w:pPr>
              <w:jc w:val="both"/>
              <w:rPr>
                <w:rFonts w:eastAsia="Calibri"/>
                <w:sz w:val="20"/>
              </w:rPr>
            </w:pPr>
            <w:r w:rsidRPr="00342605">
              <w:rPr>
                <w:rFonts w:eastAsia="Calibri"/>
                <w:sz w:val="20"/>
              </w:rPr>
              <w:t>No. 500-09-024352-148</w:t>
            </w:r>
          </w:p>
          <w:p w:rsidR="00EC1039" w:rsidRPr="00342605" w:rsidRDefault="007871B3" w:rsidP="007D1B76">
            <w:pPr>
              <w:jc w:val="both"/>
              <w:rPr>
                <w:rFonts w:eastAsia="Calibri"/>
                <w:sz w:val="20"/>
              </w:rPr>
            </w:pPr>
            <w:hyperlink r:id="rId26" w:history="1">
              <w:r w:rsidR="00EC1039" w:rsidRPr="00342605">
                <w:rPr>
                  <w:rFonts w:eastAsia="Calibri"/>
                  <w:color w:val="0000FF"/>
                  <w:sz w:val="20"/>
                  <w:u w:val="single"/>
                </w:rPr>
                <w:t>2014 QCCA 891</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Applicant’s motion for leave to appeal dismissed.</w:t>
            </w: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July 2, 2014</w:t>
            </w:r>
          </w:p>
          <w:p w:rsidR="00EC1039" w:rsidRPr="00342605" w:rsidRDefault="00EC1039" w:rsidP="007D1B76">
            <w:pPr>
              <w:jc w:val="both"/>
              <w:rPr>
                <w:rFonts w:eastAsia="Calibri"/>
                <w:sz w:val="20"/>
              </w:rPr>
            </w:pPr>
            <w:r w:rsidRPr="00342605">
              <w:rPr>
                <w:rFonts w:eastAsia="Calibri"/>
                <w:sz w:val="20"/>
              </w:rPr>
              <w:t>Supreme Court of Canada</w:t>
            </w: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Application for leave to appeal filed.</w:t>
            </w:r>
          </w:p>
          <w:p w:rsidR="00EC1039" w:rsidRPr="00342605" w:rsidRDefault="00EC1039"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49"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D4264C"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Faillite et insolvabilité – Droit d’action du failli dévolu au syndic – Capacité juridique du failli à intenter action en cause – En vertu de quel principe de droit la justice peut-elle refuser qu’un failli assure la propriété dans laquelle il vit ainsi que les biens meubles qu’il possède légalement et à l’abri des créanciers ordinaires? – Le demandeur soulève-t-il une question juridique d’importance pour le public? – </w:t>
            </w:r>
            <w:hyperlink r:id="rId27" w:history="1">
              <w:r w:rsidRPr="00342605">
                <w:rPr>
                  <w:rFonts w:eastAsia="Calibri"/>
                  <w:i/>
                  <w:iCs/>
                  <w:sz w:val="20"/>
                  <w:lang w:val="fr-CA"/>
                </w:rPr>
                <w:t>Loi sur la faillite et l’insolvabilité</w:t>
              </w:r>
            </w:hyperlink>
            <w:r w:rsidRPr="00342605">
              <w:rPr>
                <w:rFonts w:eastAsia="Calibri"/>
                <w:sz w:val="20"/>
                <w:lang w:val="fr-CA"/>
              </w:rPr>
              <w:t>, L.R.C. (1985), ch. B-3.</w:t>
            </w:r>
          </w:p>
        </w:tc>
      </w:tr>
      <w:tr w:rsidR="00EC1039" w:rsidRPr="00D4264C" w:rsidTr="007D1B76">
        <w:tc>
          <w:tcPr>
            <w:tcW w:w="5000" w:type="pct"/>
            <w:gridSpan w:val="3"/>
          </w:tcPr>
          <w:p w:rsidR="00EC1039" w:rsidRPr="00342605" w:rsidRDefault="00EC1039" w:rsidP="007D1B76">
            <w:pPr>
              <w:jc w:val="both"/>
              <w:rPr>
                <w:rFonts w:eastAsia="Calibri"/>
                <w:sz w:val="20"/>
                <w:lang w:val="fr-CA"/>
              </w:rPr>
            </w:pPr>
          </w:p>
        </w:tc>
      </w:tr>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Le demandeur a intenté contre l’intimée une action relative au traitement d’une réclamation formulée en vertu d’une police d’assurance habitation émise par l’intimée.  Ladite réclamation a été soumise à l’intimée à la suite de dommages causés par des infiltrations d’eau en provenance de la toiture de la résidence du demandeur.  Constatant que le demandeur était un failli non </w:t>
            </w:r>
            <w:proofErr w:type="gramStart"/>
            <w:r w:rsidRPr="00342605">
              <w:rPr>
                <w:rFonts w:eastAsia="Calibri"/>
                <w:sz w:val="20"/>
                <w:lang w:val="fr-CA"/>
              </w:rPr>
              <w:t>libéré</w:t>
            </w:r>
            <w:proofErr w:type="gramEnd"/>
            <w:r w:rsidRPr="00342605">
              <w:rPr>
                <w:rFonts w:eastAsia="Calibri"/>
                <w:sz w:val="20"/>
                <w:lang w:val="fr-CA"/>
              </w:rPr>
              <w:t xml:space="preserve"> au moment de l’introduction de son action, l’intimée soulève l’irrecevabilité du droit d’action en litige au motif qu’il serait dévolu au syndic agissant au bénéfice de la masse des créanciers.</w:t>
            </w:r>
          </w:p>
          <w:p w:rsidR="00EC1039" w:rsidRPr="00342605" w:rsidRDefault="00EC1039" w:rsidP="007D1B76">
            <w:pPr>
              <w:jc w:val="both"/>
              <w:rPr>
                <w:rFonts w:eastAsia="Calibri"/>
                <w:sz w:val="20"/>
                <w:lang w:val="fr-CA"/>
              </w:rPr>
            </w:pPr>
          </w:p>
        </w:tc>
      </w:tr>
      <w:tr w:rsidR="00EC1039" w:rsidRPr="009723FD" w:rsidTr="007D1B76">
        <w:tc>
          <w:tcPr>
            <w:tcW w:w="2427" w:type="pct"/>
          </w:tcPr>
          <w:p w:rsidR="00EC1039" w:rsidRPr="00342605" w:rsidRDefault="00EC1039" w:rsidP="007D1B76">
            <w:pPr>
              <w:jc w:val="both"/>
              <w:rPr>
                <w:rFonts w:eastAsia="Calibri"/>
                <w:sz w:val="20"/>
                <w:lang w:val="fr-CA"/>
              </w:rPr>
            </w:pPr>
            <w:r w:rsidRPr="00342605">
              <w:rPr>
                <w:rFonts w:eastAsia="Calibri"/>
                <w:sz w:val="20"/>
                <w:lang w:val="fr-CA"/>
              </w:rPr>
              <w:t>Le 14 janvier 2014</w:t>
            </w:r>
          </w:p>
          <w:p w:rsidR="00EC1039" w:rsidRPr="00342605" w:rsidRDefault="00EC1039" w:rsidP="007D1B76">
            <w:pPr>
              <w:jc w:val="both"/>
              <w:rPr>
                <w:rFonts w:eastAsia="Calibri"/>
                <w:sz w:val="20"/>
                <w:lang w:val="fr-CA"/>
              </w:rPr>
            </w:pPr>
            <w:r w:rsidRPr="00342605">
              <w:rPr>
                <w:rFonts w:eastAsia="Calibri"/>
                <w:sz w:val="20"/>
                <w:lang w:val="fr-CA"/>
              </w:rPr>
              <w:t>Cour du Québec</w:t>
            </w:r>
          </w:p>
          <w:p w:rsidR="00EC1039" w:rsidRPr="00342605" w:rsidRDefault="00EC1039" w:rsidP="007D1B76">
            <w:pPr>
              <w:jc w:val="both"/>
              <w:rPr>
                <w:rFonts w:eastAsia="Calibri"/>
                <w:sz w:val="20"/>
                <w:lang w:val="fr-CA"/>
              </w:rPr>
            </w:pPr>
            <w:r w:rsidRPr="00342605">
              <w:rPr>
                <w:rFonts w:eastAsia="Calibri"/>
                <w:sz w:val="20"/>
                <w:lang w:val="fr-CA"/>
              </w:rPr>
              <w:t xml:space="preserve">(La juge </w:t>
            </w:r>
            <w:proofErr w:type="spellStart"/>
            <w:r w:rsidRPr="00342605">
              <w:rPr>
                <w:rFonts w:eastAsia="Calibri"/>
                <w:sz w:val="20"/>
                <w:lang w:val="fr-CA"/>
              </w:rPr>
              <w:t>Breault</w:t>
            </w:r>
            <w:proofErr w:type="spellEnd"/>
            <w:r w:rsidRPr="00342605">
              <w:rPr>
                <w:rFonts w:eastAsia="Calibri"/>
                <w:sz w:val="20"/>
                <w:lang w:val="fr-CA"/>
              </w:rPr>
              <w:t>)</w:t>
            </w:r>
          </w:p>
          <w:p w:rsidR="00EC1039" w:rsidRPr="00342605" w:rsidRDefault="00EC1039" w:rsidP="007D1B76">
            <w:pPr>
              <w:jc w:val="both"/>
              <w:rPr>
                <w:rFonts w:eastAsia="Calibri"/>
                <w:sz w:val="20"/>
                <w:lang w:val="fr-CA"/>
              </w:rPr>
            </w:pPr>
            <w:r w:rsidRPr="00342605">
              <w:rPr>
                <w:rFonts w:eastAsia="Calibri"/>
                <w:sz w:val="20"/>
                <w:lang w:val="fr-CA"/>
              </w:rPr>
              <w:t>No. 700-22-026299-122</w:t>
            </w:r>
          </w:p>
          <w:p w:rsidR="00EC1039" w:rsidRPr="00342605" w:rsidRDefault="007871B3" w:rsidP="007D1B76">
            <w:pPr>
              <w:jc w:val="both"/>
              <w:rPr>
                <w:rFonts w:eastAsia="Calibri"/>
                <w:sz w:val="20"/>
                <w:lang w:val="fr-CA"/>
              </w:rPr>
            </w:pPr>
            <w:hyperlink r:id="rId28" w:history="1">
              <w:r w:rsidR="00EC1039" w:rsidRPr="00342605">
                <w:rPr>
                  <w:rFonts w:eastAsia="Calibri"/>
                  <w:color w:val="0000FF"/>
                  <w:sz w:val="20"/>
                  <w:u w:val="single"/>
                  <w:lang w:val="fr-CA"/>
                </w:rPr>
                <w:t>2014 QCCQ 505</w:t>
              </w:r>
            </w:hyperlink>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Requête de l’intimée en irrecevabilité pour défaut de qualité accueillie.</w:t>
            </w:r>
          </w:p>
        </w:tc>
      </w:tr>
      <w:tr w:rsidR="00EC1039" w:rsidRPr="009723FD" w:rsidTr="00B01CCF">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lastRenderedPageBreak/>
              <w:t>Le 2 mai 2014</w:t>
            </w:r>
          </w:p>
          <w:p w:rsidR="00EC1039" w:rsidRPr="00342605" w:rsidRDefault="00EC1039" w:rsidP="007D1B76">
            <w:pPr>
              <w:jc w:val="both"/>
              <w:rPr>
                <w:rFonts w:eastAsia="Calibri"/>
                <w:sz w:val="20"/>
                <w:lang w:val="fr-CA"/>
              </w:rPr>
            </w:pPr>
            <w:r w:rsidRPr="00342605">
              <w:rPr>
                <w:rFonts w:eastAsia="Calibri"/>
                <w:sz w:val="20"/>
                <w:lang w:val="fr-CA"/>
              </w:rPr>
              <w:t>Cour d’appel du Québec (Montréal)</w:t>
            </w:r>
          </w:p>
          <w:p w:rsidR="00EC1039" w:rsidRPr="00342605" w:rsidRDefault="00EC1039" w:rsidP="007D1B76">
            <w:pPr>
              <w:jc w:val="both"/>
              <w:rPr>
                <w:rFonts w:eastAsia="Calibri"/>
                <w:sz w:val="20"/>
                <w:lang w:val="fr-CA"/>
              </w:rPr>
            </w:pPr>
            <w:r w:rsidRPr="00342605">
              <w:rPr>
                <w:rFonts w:eastAsia="Calibri"/>
                <w:sz w:val="20"/>
                <w:lang w:val="fr-CA"/>
              </w:rPr>
              <w:t xml:space="preserve">(Le juge </w:t>
            </w:r>
            <w:proofErr w:type="spellStart"/>
            <w:r w:rsidRPr="00342605">
              <w:rPr>
                <w:rFonts w:eastAsia="Calibri"/>
                <w:sz w:val="20"/>
                <w:lang w:val="fr-CA"/>
              </w:rPr>
              <w:t>Vauclair</w:t>
            </w:r>
            <w:proofErr w:type="spellEnd"/>
            <w:r w:rsidRPr="00342605">
              <w:rPr>
                <w:rFonts w:eastAsia="Calibri"/>
                <w:sz w:val="20"/>
                <w:lang w:val="fr-CA"/>
              </w:rPr>
              <w:t>)</w:t>
            </w:r>
          </w:p>
          <w:p w:rsidR="00EC1039" w:rsidRPr="00342605" w:rsidRDefault="00EC1039" w:rsidP="007D1B76">
            <w:pPr>
              <w:jc w:val="both"/>
              <w:rPr>
                <w:rFonts w:eastAsia="Calibri"/>
                <w:sz w:val="20"/>
                <w:lang w:val="fr-CA"/>
              </w:rPr>
            </w:pPr>
            <w:r w:rsidRPr="00342605">
              <w:rPr>
                <w:rFonts w:eastAsia="Calibri"/>
                <w:sz w:val="20"/>
                <w:lang w:val="fr-CA"/>
              </w:rPr>
              <w:t>No. 500-09-024352-148</w:t>
            </w:r>
          </w:p>
          <w:p w:rsidR="00EC1039" w:rsidRPr="00342605" w:rsidRDefault="007871B3" w:rsidP="007D1B76">
            <w:pPr>
              <w:jc w:val="both"/>
              <w:rPr>
                <w:rFonts w:eastAsia="Calibri"/>
                <w:sz w:val="20"/>
                <w:lang w:val="fr-CA"/>
              </w:rPr>
            </w:pPr>
            <w:hyperlink r:id="rId29" w:history="1">
              <w:r w:rsidR="00EC1039" w:rsidRPr="00342605">
                <w:rPr>
                  <w:rFonts w:eastAsia="Calibri"/>
                  <w:color w:val="0000FF"/>
                  <w:sz w:val="20"/>
                  <w:u w:val="single"/>
                  <w:lang w:val="fr-CA"/>
                </w:rPr>
                <w:t>2014 QCCA 891</w:t>
              </w:r>
            </w:hyperlink>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Requête du demandeur pour permission d’en appeler rejetée.</w:t>
            </w:r>
          </w:p>
        </w:tc>
      </w:tr>
      <w:tr w:rsidR="00EC1039" w:rsidRPr="00342605" w:rsidTr="00B01CCF">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t>Le 2 juillet 2014</w:t>
            </w:r>
          </w:p>
          <w:p w:rsidR="00EC1039" w:rsidRPr="00342605" w:rsidRDefault="00EC1039" w:rsidP="007D1B76">
            <w:pPr>
              <w:jc w:val="both"/>
              <w:rPr>
                <w:rFonts w:eastAsia="Calibri"/>
                <w:sz w:val="20"/>
                <w:lang w:val="fr-CA"/>
              </w:rPr>
            </w:pPr>
            <w:r w:rsidRPr="00342605">
              <w:rPr>
                <w:rFonts w:eastAsia="Calibri"/>
                <w:sz w:val="20"/>
                <w:lang w:val="fr-CA"/>
              </w:rPr>
              <w:t>Cour suprême du Canada</w:t>
            </w: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Demande d'autorisation d'appel déposée.</w:t>
            </w:r>
          </w:p>
          <w:p w:rsidR="00EC1039" w:rsidRPr="00342605" w:rsidRDefault="00EC1039"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50"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7AFF" w:rsidRPr="009723FD" w:rsidTr="00273F9F">
        <w:trPr>
          <w:cantSplit/>
        </w:trPr>
        <w:tc>
          <w:tcPr>
            <w:tcW w:w="1458" w:type="dxa"/>
          </w:tcPr>
          <w:p w:rsidR="00397AFF" w:rsidRPr="009A7F72" w:rsidRDefault="00397AFF" w:rsidP="00273F9F">
            <w:pPr>
              <w:rPr>
                <w:sz w:val="20"/>
                <w:szCs w:val="20"/>
              </w:rPr>
            </w:pPr>
            <w:r w:rsidRPr="009A7F72">
              <w:rPr>
                <w:rStyle w:val="SCCFileNumberChar"/>
                <w:sz w:val="20"/>
                <w:szCs w:val="20"/>
              </w:rPr>
              <w:t>35993</w:t>
            </w:r>
          </w:p>
          <w:p w:rsidR="00397AFF" w:rsidRPr="009A7F72" w:rsidRDefault="00397AFF" w:rsidP="00273F9F">
            <w:pPr>
              <w:rPr>
                <w:b/>
                <w:sz w:val="20"/>
                <w:szCs w:val="20"/>
                <w:lang w:val="fr-CA"/>
              </w:rPr>
            </w:pPr>
          </w:p>
        </w:tc>
        <w:tc>
          <w:tcPr>
            <w:tcW w:w="8118" w:type="dxa"/>
          </w:tcPr>
          <w:p w:rsidR="00397AFF" w:rsidRPr="009A7F72" w:rsidRDefault="00397AFF" w:rsidP="00273F9F">
            <w:pPr>
              <w:rPr>
                <w:sz w:val="20"/>
                <w:szCs w:val="20"/>
                <w:lang w:val="fr-CA"/>
              </w:rPr>
            </w:pPr>
            <w:r w:rsidRPr="009A7F72">
              <w:rPr>
                <w:rStyle w:val="SCCLsocChar"/>
                <w:sz w:val="20"/>
                <w:szCs w:val="20"/>
              </w:rPr>
              <w:t xml:space="preserve">Désiré </w:t>
            </w:r>
            <w:proofErr w:type="spellStart"/>
            <w:r w:rsidRPr="009A7F72">
              <w:rPr>
                <w:rStyle w:val="SCCLsocChar"/>
                <w:sz w:val="20"/>
                <w:szCs w:val="20"/>
              </w:rPr>
              <w:t>Munyaneza</w:t>
            </w:r>
            <w:proofErr w:type="spellEnd"/>
            <w:r w:rsidRPr="009A7F72">
              <w:rPr>
                <w:rStyle w:val="SCCLsocChar"/>
                <w:sz w:val="20"/>
                <w:szCs w:val="20"/>
              </w:rPr>
              <w:t xml:space="preserve"> c. Sa Majesté la Reine</w:t>
            </w:r>
            <w:r w:rsidRPr="009A7F72">
              <w:rPr>
                <w:sz w:val="20"/>
                <w:szCs w:val="20"/>
                <w:lang w:val="fr-CA"/>
              </w:rPr>
              <w:t xml:space="preserve"> (</w:t>
            </w:r>
            <w:proofErr w:type="spellStart"/>
            <w:r w:rsidRPr="009A7F72">
              <w:rPr>
                <w:sz w:val="20"/>
                <w:szCs w:val="20"/>
                <w:lang w:val="fr-CA"/>
              </w:rPr>
              <w:t>Qc</w:t>
            </w:r>
            <w:proofErr w:type="spellEnd"/>
            <w:r w:rsidRPr="009A7F72">
              <w:rPr>
                <w:sz w:val="20"/>
                <w:szCs w:val="20"/>
                <w:lang w:val="fr-CA"/>
              </w:rPr>
              <w:t>) (Criminelle) (Autorisation)</w:t>
            </w:r>
          </w:p>
          <w:p w:rsidR="00397AFF" w:rsidRPr="009A7F72" w:rsidRDefault="00397AFF" w:rsidP="00273F9F">
            <w:pPr>
              <w:rPr>
                <w:sz w:val="20"/>
                <w:szCs w:val="20"/>
                <w:lang w:val="fr-CA"/>
              </w:rPr>
            </w:pPr>
          </w:p>
        </w:tc>
      </w:tr>
      <w:tr w:rsidR="00397AFF" w:rsidRPr="009723FD" w:rsidTr="00273F9F">
        <w:trPr>
          <w:cantSplit/>
        </w:trPr>
        <w:tc>
          <w:tcPr>
            <w:tcW w:w="1458" w:type="dxa"/>
          </w:tcPr>
          <w:p w:rsidR="00397AFF" w:rsidRPr="009A7F72" w:rsidRDefault="00397AFF" w:rsidP="00273F9F">
            <w:pPr>
              <w:rPr>
                <w:sz w:val="20"/>
                <w:szCs w:val="20"/>
              </w:rPr>
            </w:pPr>
            <w:r w:rsidRPr="009A7F72">
              <w:rPr>
                <w:sz w:val="20"/>
                <w:szCs w:val="20"/>
              </w:rPr>
              <w:t>Coram :</w:t>
            </w:r>
          </w:p>
        </w:tc>
        <w:tc>
          <w:tcPr>
            <w:tcW w:w="8118" w:type="dxa"/>
          </w:tcPr>
          <w:p w:rsidR="00397AFF" w:rsidRPr="009A7F72" w:rsidRDefault="00397AFF" w:rsidP="00273F9F">
            <w:pPr>
              <w:rPr>
                <w:sz w:val="20"/>
                <w:szCs w:val="20"/>
                <w:lang w:val="fr-CA"/>
              </w:rPr>
            </w:pPr>
            <w:r w:rsidRPr="009A7F72">
              <w:rPr>
                <w:rStyle w:val="SCCCoramChar"/>
                <w:sz w:val="20"/>
                <w:szCs w:val="20"/>
              </w:rPr>
              <w:t xml:space="preserve">Les juges </w:t>
            </w:r>
            <w:proofErr w:type="spellStart"/>
            <w:r w:rsidRPr="009A7F72">
              <w:rPr>
                <w:rStyle w:val="SCCCoramChar"/>
                <w:sz w:val="20"/>
                <w:szCs w:val="20"/>
              </w:rPr>
              <w:t>LeBel</w:t>
            </w:r>
            <w:proofErr w:type="spellEnd"/>
            <w:r w:rsidRPr="009A7F72">
              <w:rPr>
                <w:rStyle w:val="SCCCoramChar"/>
                <w:sz w:val="20"/>
                <w:szCs w:val="20"/>
              </w:rPr>
              <w:t xml:space="preserve">, </w:t>
            </w:r>
            <w:proofErr w:type="spellStart"/>
            <w:r w:rsidRPr="009A7F72">
              <w:rPr>
                <w:rStyle w:val="SCCCoramChar"/>
                <w:sz w:val="20"/>
                <w:szCs w:val="20"/>
              </w:rPr>
              <w:t>Karakatsanis</w:t>
            </w:r>
            <w:proofErr w:type="spellEnd"/>
            <w:r w:rsidRPr="009A7F72">
              <w:rPr>
                <w:rStyle w:val="SCCCoramChar"/>
                <w:sz w:val="20"/>
                <w:szCs w:val="20"/>
              </w:rPr>
              <w:t xml:space="preserve"> et Gascon</w:t>
            </w:r>
          </w:p>
          <w:p w:rsidR="00397AFF" w:rsidRPr="009A7F72" w:rsidRDefault="00397AFF" w:rsidP="00273F9F">
            <w:pPr>
              <w:rPr>
                <w:sz w:val="20"/>
                <w:szCs w:val="20"/>
                <w:u w:val="single"/>
                <w:lang w:val="fr-CA"/>
              </w:rPr>
            </w:pPr>
          </w:p>
        </w:tc>
      </w:tr>
      <w:tr w:rsidR="00397AFF" w:rsidRPr="009A7F72" w:rsidTr="00273F9F">
        <w:trPr>
          <w:cantSplit/>
        </w:trPr>
        <w:tc>
          <w:tcPr>
            <w:tcW w:w="9576" w:type="dxa"/>
            <w:gridSpan w:val="2"/>
          </w:tcPr>
          <w:p w:rsidR="00397AFF" w:rsidRPr="009A7F72" w:rsidRDefault="00397AFF" w:rsidP="00273F9F">
            <w:pPr>
              <w:pStyle w:val="SCCShortJudgment"/>
              <w:rPr>
                <w:szCs w:val="20"/>
                <w:lang w:val="fr-CA"/>
              </w:rPr>
            </w:pPr>
            <w:r w:rsidRPr="009A7F72">
              <w:rPr>
                <w:szCs w:val="20"/>
                <w:lang w:val="fr-CA"/>
              </w:rPr>
              <w:t>La demande d’autorisation d’appel de l’arrêt de la Cour d’appel du Québec (Montréal), numéro 500-10-004416-093, 2014 QCCA 906, daté du 7 mai 2014, est rejetée sans dépens.</w:t>
            </w:r>
          </w:p>
          <w:p w:rsidR="00397AFF" w:rsidRPr="009A7F72" w:rsidRDefault="00397AFF" w:rsidP="00273F9F">
            <w:pPr>
              <w:pStyle w:val="SCCShortJudgment"/>
              <w:ind w:firstLine="0"/>
              <w:rPr>
                <w:szCs w:val="20"/>
                <w:lang w:val="fr-CA"/>
              </w:rPr>
            </w:pPr>
          </w:p>
          <w:p w:rsidR="00397AFF" w:rsidRPr="009A7F72" w:rsidRDefault="00397AFF" w:rsidP="00273F9F">
            <w:pPr>
              <w:pStyle w:val="SCCShortJudgment"/>
              <w:rPr>
                <w:szCs w:val="20"/>
              </w:rPr>
            </w:pPr>
            <w:r w:rsidRPr="009A7F72">
              <w:rPr>
                <w:szCs w:val="20"/>
              </w:rPr>
              <w:t>The application for leave to appeal from the judgment of the Court of Appeal of Quebec (Montréal), Number 500-10-004416-093, 2014 QCCA 906, dated May 7, 2014, is dismissed without costs.</w:t>
            </w:r>
          </w:p>
        </w:tc>
      </w:tr>
    </w:tbl>
    <w:p w:rsidR="00A325AC" w:rsidRDefault="00A325AC" w:rsidP="00A325AC">
      <w:pPr>
        <w:rPr>
          <w:sz w:val="20"/>
          <w:szCs w:val="20"/>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125"/>
        <w:gridCol w:w="450"/>
        <w:gridCol w:w="4952"/>
      </w:tblGrid>
      <w:tr w:rsidR="00EC1039" w:rsidRPr="00342605" w:rsidTr="007D1B76">
        <w:tc>
          <w:tcPr>
            <w:tcW w:w="5000" w:type="pct"/>
            <w:gridSpan w:val="3"/>
          </w:tcPr>
          <w:p w:rsidR="00EC1039" w:rsidRPr="00342605" w:rsidRDefault="00EC1039" w:rsidP="007D1B76">
            <w:pPr>
              <w:jc w:val="both"/>
              <w:rPr>
                <w:rFonts w:eastAsia="Calibri"/>
                <w:smallCaps/>
                <w:sz w:val="20"/>
              </w:rPr>
            </w:pPr>
            <w:r w:rsidRPr="00342605">
              <w:rPr>
                <w:rFonts w:eastAsia="Calibri"/>
                <w:smallCaps/>
                <w:sz w:val="20"/>
              </w:rPr>
              <w:t xml:space="preserve">(Publication </w:t>
            </w:r>
            <w:r>
              <w:rPr>
                <w:rFonts w:eastAsia="Calibri"/>
                <w:smallCaps/>
                <w:sz w:val="20"/>
              </w:rPr>
              <w:t>B</w:t>
            </w:r>
            <w:r w:rsidRPr="00342605">
              <w:rPr>
                <w:rFonts w:eastAsia="Calibri"/>
                <w:smallCaps/>
                <w:sz w:val="20"/>
              </w:rPr>
              <w:t xml:space="preserve">an in </w:t>
            </w:r>
            <w:r>
              <w:rPr>
                <w:rFonts w:eastAsia="Calibri"/>
                <w:smallCaps/>
                <w:sz w:val="20"/>
              </w:rPr>
              <w:t>C</w:t>
            </w:r>
            <w:r w:rsidRPr="00342605">
              <w:rPr>
                <w:rFonts w:eastAsia="Calibri"/>
                <w:smallCaps/>
                <w:sz w:val="20"/>
              </w:rPr>
              <w:t xml:space="preserve">ase) (Sealing </w:t>
            </w:r>
            <w:r>
              <w:rPr>
                <w:rFonts w:eastAsia="Calibri"/>
                <w:smallCaps/>
                <w:sz w:val="20"/>
              </w:rPr>
              <w:t>O</w:t>
            </w:r>
            <w:r w:rsidRPr="00342605">
              <w:rPr>
                <w:rFonts w:eastAsia="Calibri"/>
                <w:smallCaps/>
                <w:sz w:val="20"/>
              </w:rPr>
              <w:t xml:space="preserve">rder) (Court </w:t>
            </w:r>
            <w:r>
              <w:rPr>
                <w:rFonts w:eastAsia="Calibri"/>
                <w:smallCaps/>
                <w:sz w:val="20"/>
              </w:rPr>
              <w:t>F</w:t>
            </w:r>
            <w:r w:rsidRPr="00342605">
              <w:rPr>
                <w:rFonts w:eastAsia="Calibri"/>
                <w:smallCaps/>
                <w:sz w:val="20"/>
              </w:rPr>
              <w:t xml:space="preserve">ile </w:t>
            </w:r>
            <w:r>
              <w:rPr>
                <w:rFonts w:eastAsia="Calibri"/>
                <w:smallCaps/>
                <w:sz w:val="20"/>
              </w:rPr>
              <w:t>C</w:t>
            </w:r>
            <w:r w:rsidRPr="00342605">
              <w:rPr>
                <w:rFonts w:eastAsia="Calibri"/>
                <w:smallCaps/>
                <w:sz w:val="20"/>
              </w:rPr>
              <w:t xml:space="preserve">ontains </w:t>
            </w:r>
            <w:r>
              <w:rPr>
                <w:rFonts w:eastAsia="Calibri"/>
                <w:smallCaps/>
                <w:sz w:val="20"/>
              </w:rPr>
              <w:t>I</w:t>
            </w:r>
            <w:r w:rsidRPr="00342605">
              <w:rPr>
                <w:rFonts w:eastAsia="Calibri"/>
                <w:smallCaps/>
                <w:sz w:val="20"/>
              </w:rPr>
              <w:t xml:space="preserve">nformation </w:t>
            </w:r>
            <w:r>
              <w:rPr>
                <w:rFonts w:eastAsia="Calibri"/>
                <w:smallCaps/>
                <w:sz w:val="20"/>
              </w:rPr>
              <w:t>T</w:t>
            </w:r>
            <w:r w:rsidRPr="00342605">
              <w:rPr>
                <w:rFonts w:eastAsia="Calibri"/>
                <w:smallCaps/>
                <w:sz w:val="20"/>
              </w:rPr>
              <w:t xml:space="preserve">hat is </w:t>
            </w:r>
            <w:r>
              <w:rPr>
                <w:rFonts w:eastAsia="Calibri"/>
                <w:smallCaps/>
                <w:sz w:val="20"/>
              </w:rPr>
              <w:t>N</w:t>
            </w:r>
            <w:r w:rsidRPr="00342605">
              <w:rPr>
                <w:rFonts w:eastAsia="Calibri"/>
                <w:smallCaps/>
                <w:sz w:val="20"/>
              </w:rPr>
              <w:t xml:space="preserve">ot </w:t>
            </w:r>
            <w:r>
              <w:rPr>
                <w:rFonts w:eastAsia="Calibri"/>
                <w:smallCaps/>
                <w:sz w:val="20"/>
              </w:rPr>
              <w:t>A</w:t>
            </w:r>
            <w:r w:rsidRPr="00342605">
              <w:rPr>
                <w:rFonts w:eastAsia="Calibri"/>
                <w:smallCaps/>
                <w:sz w:val="20"/>
              </w:rPr>
              <w:t xml:space="preserve">vailable for </w:t>
            </w:r>
            <w:r>
              <w:rPr>
                <w:rFonts w:eastAsia="Calibri"/>
                <w:smallCaps/>
                <w:sz w:val="20"/>
              </w:rPr>
              <w:t>I</w:t>
            </w:r>
            <w:r w:rsidRPr="00342605">
              <w:rPr>
                <w:rFonts w:eastAsia="Calibri"/>
                <w:smallCaps/>
                <w:sz w:val="20"/>
              </w:rPr>
              <w:t xml:space="preserve">nspection by the </w:t>
            </w:r>
            <w:r>
              <w:rPr>
                <w:rFonts w:eastAsia="Calibri"/>
                <w:smallCaps/>
                <w:sz w:val="20"/>
              </w:rPr>
              <w:t>P</w:t>
            </w:r>
            <w:r w:rsidRPr="00342605">
              <w:rPr>
                <w:rFonts w:eastAsia="Calibri"/>
                <w:smallCaps/>
                <w:sz w:val="20"/>
              </w:rPr>
              <w:t>ublic)</w:t>
            </w:r>
          </w:p>
          <w:p w:rsidR="00EC1039" w:rsidRPr="00342605" w:rsidRDefault="00EC1039" w:rsidP="007D1B76">
            <w:pPr>
              <w:jc w:val="both"/>
              <w:rPr>
                <w:rFonts w:eastAsia="Calibri"/>
                <w:sz w:val="20"/>
              </w:rPr>
            </w:pPr>
          </w:p>
        </w:tc>
      </w:tr>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Criminal law — War crimes or crimes against humanity — Applicant being found guilty of genocide, crimes against humanity and war crimes in context of internal armed conflict in Rwanda in 1994 — Whether fact that at time in question in indictment, </w:t>
            </w:r>
            <w:r w:rsidRPr="00342605">
              <w:rPr>
                <w:rFonts w:eastAsia="Calibri"/>
                <w:i/>
                <w:sz w:val="20"/>
              </w:rPr>
              <w:t xml:space="preserve">Criminal Code </w:t>
            </w:r>
            <w:r w:rsidRPr="00342605">
              <w:rPr>
                <w:rFonts w:eastAsia="Calibri"/>
                <w:sz w:val="20"/>
              </w:rPr>
              <w:t xml:space="preserve">contained no provisions with respect to war crimes committed in context of non-international armed conflict constitutes justification, excuse or defence within meaning of s. 11 of </w:t>
            </w:r>
            <w:r w:rsidRPr="00342605">
              <w:rPr>
                <w:rFonts w:eastAsia="Calibri"/>
                <w:i/>
                <w:iCs/>
                <w:sz w:val="20"/>
              </w:rPr>
              <w:t>Crimes Against Humanity and War Crimes Act</w:t>
            </w:r>
            <w:r w:rsidRPr="00342605">
              <w:rPr>
                <w:rFonts w:eastAsia="Calibri"/>
                <w:sz w:val="20"/>
              </w:rPr>
              <w:t xml:space="preserve"> </w:t>
            </w:r>
            <w:r w:rsidRPr="00342605">
              <w:rPr>
                <w:rFonts w:eastAsia="Calibri"/>
                <w:i/>
                <w:sz w:val="20"/>
              </w:rPr>
              <w:t>—</w:t>
            </w:r>
            <w:r w:rsidRPr="00342605">
              <w:rPr>
                <w:rFonts w:eastAsia="Calibri"/>
                <w:sz w:val="20"/>
              </w:rPr>
              <w:t xml:space="preserve"> Whether article 24(2) of </w:t>
            </w:r>
            <w:r w:rsidRPr="00342605">
              <w:rPr>
                <w:rFonts w:eastAsia="Calibri"/>
                <w:i/>
                <w:sz w:val="20"/>
              </w:rPr>
              <w:t>Rome Statute</w:t>
            </w:r>
            <w:r w:rsidRPr="00342605">
              <w:rPr>
                <w:rFonts w:eastAsia="Calibri"/>
                <w:sz w:val="20"/>
              </w:rPr>
              <w:t xml:space="preserve"> is applicable — Whether appropriateness of or need for </w:t>
            </w:r>
            <w:proofErr w:type="spellStart"/>
            <w:r w:rsidRPr="00342605">
              <w:rPr>
                <w:rFonts w:eastAsia="Calibri"/>
                <w:i/>
                <w:sz w:val="20"/>
              </w:rPr>
              <w:t>Vetrovec</w:t>
            </w:r>
            <w:proofErr w:type="spellEnd"/>
            <w:r w:rsidRPr="00342605">
              <w:rPr>
                <w:rFonts w:eastAsia="Calibri"/>
                <w:sz w:val="20"/>
              </w:rPr>
              <w:t xml:space="preserve"> warning must be analyzed globally on basis of words of indictment or, rather, in relation to each of underlying crimes or constituent elements thereof — Whether precision of indictment for war crimes, crimes against humanity and genocide is purely procedural question or whether its purpose is to ensure respect for fundamental rights of accused — </w:t>
            </w:r>
            <w:r w:rsidRPr="00342605">
              <w:rPr>
                <w:rFonts w:eastAsia="Calibri"/>
                <w:i/>
                <w:iCs/>
                <w:sz w:val="20"/>
              </w:rPr>
              <w:t>Crimes Against Humanity and War Crimes Act</w:t>
            </w:r>
            <w:r w:rsidRPr="00342605">
              <w:rPr>
                <w:rFonts w:eastAsia="Calibri"/>
                <w:sz w:val="20"/>
              </w:rPr>
              <w:t>, S.C. 2000, c. 24.</w:t>
            </w:r>
          </w:p>
        </w:tc>
      </w:tr>
      <w:tr w:rsidR="00EC1039" w:rsidRPr="00342605" w:rsidTr="007D1B76">
        <w:tc>
          <w:tcPr>
            <w:tcW w:w="5000" w:type="pct"/>
            <w:gridSpan w:val="3"/>
          </w:tcPr>
          <w:p w:rsidR="00EC1039" w:rsidRPr="00342605" w:rsidRDefault="00EC1039" w:rsidP="007D1B76">
            <w:pPr>
              <w:jc w:val="both"/>
              <w:rPr>
                <w:rFonts w:eastAsia="Calibri"/>
                <w:sz w:val="20"/>
              </w:rPr>
            </w:pPr>
          </w:p>
          <w:p w:rsidR="00EC1039" w:rsidRPr="00342605" w:rsidRDefault="00EC1039" w:rsidP="007D1B76">
            <w:pPr>
              <w:jc w:val="both"/>
              <w:rPr>
                <w:rFonts w:eastAsia="Calibri"/>
                <w:sz w:val="20"/>
              </w:rPr>
            </w:pPr>
            <w:r w:rsidRPr="00342605">
              <w:rPr>
                <w:rFonts w:eastAsia="Calibri"/>
                <w:sz w:val="20"/>
              </w:rPr>
              <w:t xml:space="preserve">This application for leave to appeal concerns the guilty verdict entered following the first trial in Canada — that of the applicant, </w:t>
            </w:r>
            <w:proofErr w:type="spellStart"/>
            <w:r w:rsidRPr="00342605">
              <w:rPr>
                <w:rFonts w:eastAsia="Calibri"/>
                <w:sz w:val="20"/>
              </w:rPr>
              <w:t>Désiré</w:t>
            </w:r>
            <w:proofErr w:type="spellEnd"/>
            <w:r w:rsidRPr="00342605">
              <w:rPr>
                <w:rFonts w:eastAsia="Calibri"/>
                <w:sz w:val="20"/>
              </w:rPr>
              <w:t xml:space="preserve"> </w:t>
            </w:r>
            <w:proofErr w:type="spellStart"/>
            <w:r w:rsidRPr="00342605">
              <w:rPr>
                <w:rFonts w:eastAsia="Calibri"/>
                <w:sz w:val="20"/>
              </w:rPr>
              <w:t>Munyaneza</w:t>
            </w:r>
            <w:proofErr w:type="spellEnd"/>
            <w:r w:rsidRPr="00342605">
              <w:rPr>
                <w:rFonts w:eastAsia="Calibri"/>
                <w:sz w:val="20"/>
              </w:rPr>
              <w:t xml:space="preserve">, a resident of this country — of a person charged with participating in the genocide in Rwanda.  At the time of the Rwandan tragedy, the applicant was living in Rwanda, but he fled that country in July 1994, settling in Canada in 1997.  The RCMP subsequently received information linking him to the genocide and began a lengthy investigation.  In October 2005, the applicant was arrested and charged with seven counts under the </w:t>
            </w:r>
            <w:r w:rsidRPr="00342605">
              <w:rPr>
                <w:rFonts w:eastAsia="Calibri"/>
                <w:i/>
                <w:iCs/>
                <w:sz w:val="20"/>
              </w:rPr>
              <w:t>Crimes Against Humanity and War Crimes Act</w:t>
            </w:r>
            <w:r w:rsidRPr="00342605">
              <w:rPr>
                <w:rFonts w:eastAsia="Calibri"/>
                <w:sz w:val="20"/>
              </w:rPr>
              <w:t>, S.C. 2000, c. 24</w:t>
            </w:r>
            <w:r w:rsidRPr="00342605">
              <w:rPr>
                <w:sz w:val="20"/>
                <w:lang w:eastAsia="en-CA"/>
              </w:rPr>
              <w:t>.</w:t>
            </w:r>
            <w:r w:rsidRPr="00342605">
              <w:rPr>
                <w:rFonts w:eastAsia="Calibri"/>
                <w:sz w:val="20"/>
              </w:rPr>
              <w:t xml:space="preserve">  Following a long trial, he was convicted on all seven counts and sentenced to life in prison.  The Court of Appeal dismissed his appeal.</w:t>
            </w:r>
          </w:p>
          <w:p w:rsidR="00EC1039" w:rsidRPr="00342605" w:rsidRDefault="00EC1039" w:rsidP="007D1B76">
            <w:pPr>
              <w:jc w:val="both"/>
              <w:rPr>
                <w:rFonts w:eastAsia="Calibri"/>
                <w:sz w:val="20"/>
              </w:rPr>
            </w:pPr>
          </w:p>
        </w:tc>
      </w:tr>
      <w:tr w:rsidR="00EC1039" w:rsidRPr="00342605" w:rsidTr="007D1B76">
        <w:tc>
          <w:tcPr>
            <w:tcW w:w="2165" w:type="pct"/>
          </w:tcPr>
          <w:p w:rsidR="00EC1039" w:rsidRPr="00342605" w:rsidRDefault="00EC1039" w:rsidP="007D1B76">
            <w:pPr>
              <w:jc w:val="both"/>
              <w:rPr>
                <w:rFonts w:eastAsia="Calibri"/>
                <w:sz w:val="20"/>
              </w:rPr>
            </w:pPr>
            <w:r w:rsidRPr="00342605">
              <w:rPr>
                <w:rFonts w:eastAsia="Calibri"/>
                <w:sz w:val="20"/>
              </w:rPr>
              <w:t>April 27, 2006</w:t>
            </w:r>
          </w:p>
          <w:p w:rsidR="00EC1039" w:rsidRPr="00342605" w:rsidRDefault="00EC1039" w:rsidP="007D1B76">
            <w:pPr>
              <w:jc w:val="both"/>
              <w:rPr>
                <w:rFonts w:eastAsia="Calibri"/>
                <w:sz w:val="20"/>
              </w:rPr>
            </w:pPr>
            <w:r w:rsidRPr="00342605">
              <w:rPr>
                <w:rFonts w:eastAsia="Calibri"/>
                <w:sz w:val="20"/>
              </w:rPr>
              <w:t>Quebec Superior Court</w:t>
            </w:r>
          </w:p>
          <w:p w:rsidR="00EC1039" w:rsidRPr="00342605" w:rsidRDefault="00EC1039" w:rsidP="007D1B76">
            <w:pPr>
              <w:jc w:val="both"/>
              <w:rPr>
                <w:rFonts w:eastAsia="Calibri"/>
                <w:sz w:val="20"/>
              </w:rPr>
            </w:pPr>
            <w:r w:rsidRPr="00342605">
              <w:rPr>
                <w:rFonts w:eastAsia="Calibri"/>
                <w:sz w:val="20"/>
              </w:rPr>
              <w:t>(Denis J.)</w:t>
            </w:r>
          </w:p>
          <w:p w:rsidR="00EC1039" w:rsidRPr="00342605" w:rsidRDefault="007871B3" w:rsidP="007D1B76">
            <w:pPr>
              <w:jc w:val="both"/>
              <w:rPr>
                <w:rFonts w:eastAsia="Calibri"/>
                <w:sz w:val="20"/>
              </w:rPr>
            </w:pPr>
            <w:hyperlink r:id="rId30" w:history="1">
              <w:r w:rsidR="00EC1039" w:rsidRPr="00342605">
                <w:rPr>
                  <w:rFonts w:eastAsia="Calibri"/>
                  <w:color w:val="0000FF"/>
                  <w:sz w:val="20"/>
                  <w:u w:val="single"/>
                </w:rPr>
                <w:t>2006 QCCS 8007</w:t>
              </w:r>
            </w:hyperlink>
          </w:p>
          <w:p w:rsidR="00EC1039" w:rsidRPr="00342605" w:rsidRDefault="00EC1039" w:rsidP="007D1B76">
            <w:pPr>
              <w:jc w:val="both"/>
              <w:rPr>
                <w:rFonts w:eastAsia="Calibri"/>
                <w:sz w:val="20"/>
              </w:rPr>
            </w:pP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Applicant’s application to be released pending proceedings dismissed</w:t>
            </w:r>
          </w:p>
        </w:tc>
      </w:tr>
      <w:tr w:rsidR="00EC1039" w:rsidRPr="00342605" w:rsidTr="00B01CCF">
        <w:trPr>
          <w:cantSplit/>
        </w:trPr>
        <w:tc>
          <w:tcPr>
            <w:tcW w:w="2165" w:type="pct"/>
          </w:tcPr>
          <w:p w:rsidR="00EC1039" w:rsidRPr="00342605" w:rsidRDefault="00EC1039" w:rsidP="007D1B76">
            <w:pPr>
              <w:jc w:val="both"/>
              <w:rPr>
                <w:rFonts w:eastAsia="Calibri"/>
                <w:sz w:val="20"/>
              </w:rPr>
            </w:pPr>
            <w:r w:rsidRPr="00342605">
              <w:rPr>
                <w:rFonts w:eastAsia="Calibri"/>
                <w:sz w:val="20"/>
              </w:rPr>
              <w:lastRenderedPageBreak/>
              <w:t>November 20, 2006</w:t>
            </w:r>
          </w:p>
          <w:p w:rsidR="00EC1039" w:rsidRPr="00342605" w:rsidRDefault="00EC1039" w:rsidP="007D1B76">
            <w:pPr>
              <w:jc w:val="both"/>
              <w:rPr>
                <w:rFonts w:eastAsia="Calibri"/>
                <w:sz w:val="20"/>
              </w:rPr>
            </w:pPr>
            <w:r w:rsidRPr="00342605">
              <w:rPr>
                <w:rFonts w:eastAsia="Calibri"/>
                <w:sz w:val="20"/>
              </w:rPr>
              <w:t>Quebec Superior Court</w:t>
            </w:r>
          </w:p>
          <w:p w:rsidR="00EC1039" w:rsidRPr="00342605" w:rsidRDefault="00EC1039" w:rsidP="007D1B76">
            <w:pPr>
              <w:jc w:val="both"/>
              <w:rPr>
                <w:rFonts w:eastAsia="Calibri"/>
                <w:sz w:val="20"/>
              </w:rPr>
            </w:pPr>
            <w:r w:rsidRPr="00342605">
              <w:rPr>
                <w:rFonts w:eastAsia="Calibri"/>
                <w:sz w:val="20"/>
              </w:rPr>
              <w:t>(Denis J.)</w:t>
            </w:r>
          </w:p>
          <w:p w:rsidR="00EC1039" w:rsidRDefault="007871B3" w:rsidP="007D1B76">
            <w:pPr>
              <w:jc w:val="both"/>
              <w:rPr>
                <w:rFonts w:eastAsia="Calibri"/>
                <w:sz w:val="20"/>
                <w:lang w:val="fr-CA"/>
              </w:rPr>
            </w:pPr>
            <w:hyperlink r:id="rId31" w:history="1">
              <w:r w:rsidR="00EC1039" w:rsidRPr="00342605">
                <w:rPr>
                  <w:rFonts w:eastAsia="Calibri"/>
                  <w:color w:val="0000FF"/>
                  <w:sz w:val="20"/>
                  <w:u w:val="single"/>
                </w:rPr>
                <w:t>2006 QCCS 8010</w:t>
              </w:r>
            </w:hyperlink>
          </w:p>
          <w:p w:rsidR="00EC1039" w:rsidRPr="00342605" w:rsidRDefault="00EC1039" w:rsidP="007D1B76">
            <w:pPr>
              <w:jc w:val="both"/>
              <w:rPr>
                <w:rFonts w:eastAsia="Calibri"/>
                <w:sz w:val="20"/>
              </w:rPr>
            </w:pP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Applicant’s motion to quash counts dismissed</w:t>
            </w:r>
          </w:p>
        </w:tc>
      </w:tr>
      <w:tr w:rsidR="00EC1039" w:rsidRPr="00342605" w:rsidTr="00B01CCF">
        <w:trPr>
          <w:cantSplit/>
        </w:trPr>
        <w:tc>
          <w:tcPr>
            <w:tcW w:w="2165" w:type="pct"/>
          </w:tcPr>
          <w:p w:rsidR="00EC1039" w:rsidRPr="00342605" w:rsidRDefault="00EC1039" w:rsidP="007D1B76">
            <w:pPr>
              <w:tabs>
                <w:tab w:val="center" w:pos="2215"/>
              </w:tabs>
              <w:jc w:val="both"/>
              <w:rPr>
                <w:rFonts w:eastAsia="Calibri"/>
                <w:sz w:val="20"/>
              </w:rPr>
            </w:pPr>
            <w:r w:rsidRPr="00342605">
              <w:rPr>
                <w:rFonts w:eastAsia="Calibri"/>
                <w:sz w:val="20"/>
              </w:rPr>
              <w:t>May 22, 2009</w:t>
            </w:r>
          </w:p>
          <w:p w:rsidR="00EC1039" w:rsidRPr="00342605" w:rsidRDefault="00EC1039" w:rsidP="007D1B76">
            <w:pPr>
              <w:jc w:val="both"/>
              <w:rPr>
                <w:rFonts w:eastAsia="Calibri"/>
                <w:sz w:val="20"/>
              </w:rPr>
            </w:pPr>
            <w:r w:rsidRPr="00342605">
              <w:rPr>
                <w:rFonts w:eastAsia="Calibri"/>
                <w:sz w:val="20"/>
              </w:rPr>
              <w:t>Quebec Superior Court</w:t>
            </w:r>
          </w:p>
          <w:p w:rsidR="00EC1039" w:rsidRPr="00342605" w:rsidRDefault="00EC1039" w:rsidP="007D1B76">
            <w:pPr>
              <w:jc w:val="both"/>
              <w:rPr>
                <w:rFonts w:eastAsia="Calibri"/>
                <w:sz w:val="20"/>
              </w:rPr>
            </w:pPr>
            <w:r w:rsidRPr="00342605">
              <w:rPr>
                <w:rFonts w:eastAsia="Calibri"/>
                <w:sz w:val="20"/>
              </w:rPr>
              <w:t>(Denis J.)</w:t>
            </w:r>
          </w:p>
          <w:p w:rsidR="00EC1039" w:rsidRPr="00342605" w:rsidRDefault="007871B3" w:rsidP="007D1B76">
            <w:pPr>
              <w:jc w:val="both"/>
              <w:rPr>
                <w:rFonts w:eastAsia="Calibri"/>
                <w:sz w:val="20"/>
              </w:rPr>
            </w:pPr>
            <w:hyperlink r:id="rId32" w:history="1">
              <w:r w:rsidR="00EC1039" w:rsidRPr="00342605">
                <w:rPr>
                  <w:rFonts w:eastAsia="Calibri"/>
                  <w:color w:val="0000FF"/>
                  <w:sz w:val="20"/>
                  <w:u w:val="single"/>
                </w:rPr>
                <w:t>2009 QCCS 2201</w:t>
              </w:r>
            </w:hyperlink>
          </w:p>
          <w:p w:rsidR="00EC1039" w:rsidRPr="00342605" w:rsidRDefault="00EC1039" w:rsidP="007D1B76">
            <w:pPr>
              <w:jc w:val="both"/>
              <w:rPr>
                <w:rFonts w:eastAsia="Calibri"/>
                <w:sz w:val="20"/>
              </w:rPr>
            </w:pP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Applicant convicted on all seven counts</w:t>
            </w:r>
          </w:p>
        </w:tc>
      </w:tr>
      <w:tr w:rsidR="00EC1039" w:rsidRPr="00342605" w:rsidTr="00B01CCF">
        <w:trPr>
          <w:cantSplit/>
        </w:trPr>
        <w:tc>
          <w:tcPr>
            <w:tcW w:w="2165" w:type="pct"/>
          </w:tcPr>
          <w:p w:rsidR="00EC1039" w:rsidRPr="00342605" w:rsidRDefault="00EC1039" w:rsidP="007D1B76">
            <w:pPr>
              <w:jc w:val="both"/>
              <w:rPr>
                <w:rFonts w:eastAsia="Calibri"/>
                <w:sz w:val="20"/>
              </w:rPr>
            </w:pPr>
            <w:r w:rsidRPr="00342605">
              <w:rPr>
                <w:rFonts w:eastAsia="Calibri"/>
                <w:sz w:val="20"/>
              </w:rPr>
              <w:t>October 29, 2009</w:t>
            </w:r>
          </w:p>
          <w:p w:rsidR="00EC1039" w:rsidRPr="00342605" w:rsidRDefault="00EC1039" w:rsidP="007D1B76">
            <w:pPr>
              <w:jc w:val="both"/>
              <w:rPr>
                <w:rFonts w:eastAsia="Calibri"/>
                <w:sz w:val="20"/>
              </w:rPr>
            </w:pPr>
            <w:r w:rsidRPr="00342605">
              <w:rPr>
                <w:rFonts w:eastAsia="Calibri"/>
                <w:sz w:val="20"/>
              </w:rPr>
              <w:t>Quebec Superior Court</w:t>
            </w:r>
          </w:p>
          <w:p w:rsidR="00EC1039" w:rsidRPr="00342605" w:rsidRDefault="00EC1039" w:rsidP="007D1B76">
            <w:pPr>
              <w:jc w:val="both"/>
              <w:rPr>
                <w:rFonts w:eastAsia="Calibri"/>
                <w:sz w:val="20"/>
              </w:rPr>
            </w:pPr>
            <w:r w:rsidRPr="00342605">
              <w:rPr>
                <w:rFonts w:eastAsia="Calibri"/>
                <w:sz w:val="20"/>
              </w:rPr>
              <w:t>(Denis J.)</w:t>
            </w:r>
          </w:p>
          <w:p w:rsidR="00EC1039" w:rsidRPr="00342605" w:rsidRDefault="007871B3" w:rsidP="007D1B76">
            <w:pPr>
              <w:jc w:val="both"/>
              <w:rPr>
                <w:rFonts w:eastAsia="Calibri"/>
                <w:sz w:val="20"/>
              </w:rPr>
            </w:pPr>
            <w:hyperlink r:id="rId33" w:history="1">
              <w:r w:rsidR="00EC1039" w:rsidRPr="00342605">
                <w:rPr>
                  <w:rFonts w:eastAsia="Calibri"/>
                  <w:color w:val="0000FF"/>
                  <w:sz w:val="20"/>
                  <w:u w:val="single"/>
                </w:rPr>
                <w:t>2009 QCCS 4865</w:t>
              </w:r>
            </w:hyperlink>
          </w:p>
          <w:p w:rsidR="00EC1039" w:rsidRPr="00342605" w:rsidRDefault="00EC1039" w:rsidP="007D1B76">
            <w:pPr>
              <w:jc w:val="both"/>
              <w:rPr>
                <w:rFonts w:eastAsia="Calibri"/>
                <w:sz w:val="20"/>
              </w:rPr>
            </w:pP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Applicant sentenced to life in prison</w:t>
            </w:r>
          </w:p>
        </w:tc>
      </w:tr>
      <w:tr w:rsidR="00EC1039" w:rsidRPr="00342605" w:rsidTr="00B01CCF">
        <w:trPr>
          <w:cantSplit/>
        </w:trPr>
        <w:tc>
          <w:tcPr>
            <w:tcW w:w="2165" w:type="pct"/>
          </w:tcPr>
          <w:p w:rsidR="00EC1039" w:rsidRPr="00342605" w:rsidRDefault="00EC1039" w:rsidP="007D1B76">
            <w:pPr>
              <w:jc w:val="both"/>
              <w:rPr>
                <w:rFonts w:eastAsia="Calibri"/>
                <w:sz w:val="20"/>
              </w:rPr>
            </w:pPr>
            <w:r w:rsidRPr="00342605">
              <w:rPr>
                <w:rFonts w:eastAsia="Calibri"/>
                <w:sz w:val="20"/>
              </w:rPr>
              <w:t>May 7, 2014</w:t>
            </w:r>
          </w:p>
          <w:p w:rsidR="00EC1039" w:rsidRPr="00342605" w:rsidRDefault="00EC1039" w:rsidP="007D1B76">
            <w:pPr>
              <w:jc w:val="both"/>
              <w:rPr>
                <w:rFonts w:eastAsia="Calibri"/>
                <w:sz w:val="20"/>
              </w:rPr>
            </w:pPr>
            <w:r w:rsidRPr="00342605">
              <w:rPr>
                <w:rFonts w:eastAsia="Calibri"/>
                <w:sz w:val="20"/>
              </w:rPr>
              <w:t>Quebec Court of Appeal (Montréal)</w:t>
            </w:r>
          </w:p>
          <w:p w:rsidR="00EC1039" w:rsidRPr="00342605" w:rsidRDefault="00EC1039" w:rsidP="007D1B76">
            <w:pPr>
              <w:jc w:val="both"/>
              <w:rPr>
                <w:rFonts w:eastAsia="Calibri"/>
                <w:sz w:val="20"/>
              </w:rPr>
            </w:pPr>
            <w:r w:rsidRPr="00342605">
              <w:rPr>
                <w:rFonts w:eastAsia="Calibri"/>
                <w:sz w:val="20"/>
              </w:rPr>
              <w:t>(</w:t>
            </w:r>
            <w:proofErr w:type="spellStart"/>
            <w:r w:rsidRPr="00342605">
              <w:rPr>
                <w:rFonts w:eastAsia="Calibri"/>
                <w:sz w:val="20"/>
              </w:rPr>
              <w:t>Dalphond</w:t>
            </w:r>
            <w:proofErr w:type="spellEnd"/>
            <w:r w:rsidRPr="00342605">
              <w:rPr>
                <w:rFonts w:eastAsia="Calibri"/>
                <w:sz w:val="20"/>
              </w:rPr>
              <w:t>, Hilton and Doyon JJ.A.)</w:t>
            </w:r>
          </w:p>
          <w:p w:rsidR="00EC1039" w:rsidRPr="00342605" w:rsidRDefault="007871B3" w:rsidP="007D1B76">
            <w:pPr>
              <w:jc w:val="both"/>
              <w:rPr>
                <w:rFonts w:eastAsia="Calibri"/>
                <w:sz w:val="20"/>
              </w:rPr>
            </w:pPr>
            <w:hyperlink r:id="rId34" w:history="1">
              <w:r w:rsidR="00EC1039" w:rsidRPr="00342605">
                <w:rPr>
                  <w:rFonts w:eastAsia="Calibri"/>
                  <w:color w:val="0000FF"/>
                  <w:sz w:val="20"/>
                  <w:u w:val="single"/>
                </w:rPr>
                <w:t>2014 QCCA 906</w:t>
              </w:r>
            </w:hyperlink>
            <w:r w:rsidR="00EC1039" w:rsidRPr="00342605">
              <w:rPr>
                <w:rFonts w:eastAsia="Calibri"/>
                <w:sz w:val="20"/>
              </w:rPr>
              <w:t xml:space="preserve"> </w:t>
            </w:r>
          </w:p>
          <w:p w:rsidR="00EC1039" w:rsidRPr="00342605" w:rsidRDefault="00EC1039" w:rsidP="007D1B76">
            <w:pPr>
              <w:jc w:val="both"/>
              <w:rPr>
                <w:rFonts w:eastAsia="Calibri"/>
                <w:sz w:val="20"/>
              </w:rPr>
            </w:pP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Applicant’s appeal dismissed</w:t>
            </w:r>
          </w:p>
        </w:tc>
      </w:tr>
      <w:tr w:rsidR="00EC1039" w:rsidRPr="00342605" w:rsidTr="00B01CCF">
        <w:trPr>
          <w:cantSplit/>
        </w:trPr>
        <w:tc>
          <w:tcPr>
            <w:tcW w:w="2165" w:type="pct"/>
          </w:tcPr>
          <w:p w:rsidR="00EC1039" w:rsidRPr="00342605" w:rsidRDefault="00EC1039" w:rsidP="007D1B76">
            <w:pPr>
              <w:jc w:val="both"/>
              <w:rPr>
                <w:rFonts w:eastAsia="Calibri"/>
                <w:sz w:val="20"/>
              </w:rPr>
            </w:pPr>
            <w:r w:rsidRPr="00342605">
              <w:rPr>
                <w:rFonts w:eastAsia="Calibri"/>
                <w:sz w:val="20"/>
              </w:rPr>
              <w:t>August 6, 2014</w:t>
            </w:r>
          </w:p>
          <w:p w:rsidR="00EC1039" w:rsidRPr="00342605" w:rsidRDefault="00EC1039" w:rsidP="007D1B76">
            <w:pPr>
              <w:jc w:val="both"/>
              <w:rPr>
                <w:rFonts w:eastAsia="Calibri"/>
                <w:sz w:val="20"/>
              </w:rPr>
            </w:pPr>
            <w:r w:rsidRPr="00342605">
              <w:rPr>
                <w:rFonts w:eastAsia="Calibri"/>
                <w:sz w:val="20"/>
              </w:rPr>
              <w:t>Supreme Court of Canada</w:t>
            </w:r>
          </w:p>
        </w:tc>
        <w:tc>
          <w:tcPr>
            <w:tcW w:w="236" w:type="pct"/>
          </w:tcPr>
          <w:p w:rsidR="00EC1039" w:rsidRPr="00342605" w:rsidRDefault="00EC1039" w:rsidP="007D1B76">
            <w:pPr>
              <w:jc w:val="both"/>
              <w:rPr>
                <w:rFonts w:eastAsia="Calibri"/>
                <w:sz w:val="20"/>
              </w:rPr>
            </w:pPr>
          </w:p>
        </w:tc>
        <w:tc>
          <w:tcPr>
            <w:tcW w:w="2599" w:type="pct"/>
          </w:tcPr>
          <w:p w:rsidR="00EC1039" w:rsidRPr="00342605" w:rsidRDefault="00EC1039" w:rsidP="007D1B76">
            <w:pPr>
              <w:jc w:val="both"/>
              <w:rPr>
                <w:rFonts w:eastAsia="Calibri"/>
                <w:sz w:val="20"/>
              </w:rPr>
            </w:pPr>
            <w:r w:rsidRPr="00342605">
              <w:rPr>
                <w:rFonts w:eastAsia="Calibri"/>
                <w:sz w:val="20"/>
              </w:rPr>
              <w:t>Application for leave to appeal filed</w:t>
            </w:r>
          </w:p>
          <w:p w:rsidR="00EC1039" w:rsidRPr="00342605" w:rsidRDefault="00EC1039"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51"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125"/>
        <w:gridCol w:w="450"/>
        <w:gridCol w:w="4952"/>
      </w:tblGrid>
      <w:tr w:rsidR="00EC1039" w:rsidRPr="009723FD" w:rsidTr="007D1B76">
        <w:tc>
          <w:tcPr>
            <w:tcW w:w="5000" w:type="pct"/>
            <w:gridSpan w:val="3"/>
          </w:tcPr>
          <w:p w:rsidR="00EC1039" w:rsidRPr="00342605" w:rsidRDefault="00EC1039" w:rsidP="007D1B76">
            <w:pPr>
              <w:jc w:val="both"/>
              <w:rPr>
                <w:rFonts w:eastAsia="Calibri"/>
                <w:smallCaps/>
                <w:sz w:val="20"/>
                <w:lang w:val="fr-CA"/>
              </w:rPr>
            </w:pPr>
            <w:r w:rsidRPr="00342605">
              <w:rPr>
                <w:rFonts w:eastAsia="Calibri"/>
                <w:smallCaps/>
                <w:sz w:val="20"/>
                <w:lang w:val="fr-CA"/>
              </w:rPr>
              <w:t>(Ordonnance de non-publication dans le dossier) (Ordonnance de mise sous scellés) (Le dossier de la Cour renferme des données que le public n'est pas autorisé à consulter)</w:t>
            </w:r>
          </w:p>
          <w:p w:rsidR="00EC1039" w:rsidRPr="00342605" w:rsidRDefault="00EC1039" w:rsidP="007D1B76">
            <w:pPr>
              <w:jc w:val="both"/>
              <w:rPr>
                <w:rFonts w:eastAsia="Calibri"/>
                <w:sz w:val="20"/>
                <w:lang w:val="fr-CA"/>
              </w:rPr>
            </w:pPr>
          </w:p>
        </w:tc>
      </w:tr>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Droit criminel — Crimes de guerre ou crimes contre l’humanité — Le demandeur a été trouvé coupable de génocide, de crimes contre l’humanité et de crimes de guerre survenus lors d’un conflit armé interne au Rwanda en 1994 — Le fait qu’à l’époque visée par l’acte d’accusation, le </w:t>
            </w:r>
            <w:r w:rsidRPr="00342605">
              <w:rPr>
                <w:rFonts w:eastAsia="Calibri"/>
                <w:i/>
                <w:sz w:val="20"/>
                <w:lang w:val="fr-CA"/>
              </w:rPr>
              <w:t>Code criminel</w:t>
            </w:r>
            <w:r w:rsidRPr="00342605">
              <w:rPr>
                <w:rFonts w:eastAsia="Calibri"/>
                <w:sz w:val="20"/>
                <w:lang w:val="fr-CA"/>
              </w:rPr>
              <w:t xml:space="preserve"> ne contenait pas de disposition visant le crime de guerre commis dans le cadre d’un conflit armé non international constitue-t-il une justification, une excuse ou un moyen de défense au sens de l’article 11 de la </w:t>
            </w:r>
            <w:r w:rsidRPr="00342605">
              <w:rPr>
                <w:rFonts w:eastAsia="Calibri"/>
                <w:i/>
                <w:sz w:val="20"/>
                <w:lang w:val="fr-CA"/>
              </w:rPr>
              <w:t xml:space="preserve">Loi sur les crimes contre l’humanité et les crimes de guerre </w:t>
            </w:r>
            <w:r w:rsidRPr="00342605">
              <w:rPr>
                <w:rFonts w:eastAsia="Calibri"/>
                <w:sz w:val="20"/>
                <w:lang w:val="fr-CA"/>
              </w:rPr>
              <w:t xml:space="preserve">? </w:t>
            </w:r>
            <w:r w:rsidRPr="00342605">
              <w:rPr>
                <w:rFonts w:eastAsia="Calibri"/>
                <w:i/>
                <w:sz w:val="20"/>
                <w:lang w:val="fr-CA"/>
              </w:rPr>
              <w:t xml:space="preserve">— </w:t>
            </w:r>
            <w:r w:rsidRPr="00342605">
              <w:rPr>
                <w:rFonts w:eastAsia="Calibri"/>
                <w:sz w:val="20"/>
                <w:lang w:val="fr-CA"/>
              </w:rPr>
              <w:t xml:space="preserve">L’article 24(2) du </w:t>
            </w:r>
            <w:r w:rsidRPr="00342605">
              <w:rPr>
                <w:rFonts w:eastAsia="Calibri"/>
                <w:i/>
                <w:sz w:val="20"/>
                <w:lang w:val="fr-CA"/>
              </w:rPr>
              <w:t>Statut de Rome</w:t>
            </w:r>
            <w:r w:rsidRPr="00342605">
              <w:rPr>
                <w:rFonts w:eastAsia="Calibri"/>
                <w:sz w:val="20"/>
                <w:lang w:val="fr-CA"/>
              </w:rPr>
              <w:t xml:space="preserve"> est-il applicable ? — L’analyse de l’opportunité ou de la nécessité de la mise en garde de type </w:t>
            </w:r>
            <w:proofErr w:type="spellStart"/>
            <w:r w:rsidRPr="00342605">
              <w:rPr>
                <w:rFonts w:eastAsia="Calibri"/>
                <w:i/>
                <w:sz w:val="20"/>
                <w:lang w:val="fr-CA"/>
              </w:rPr>
              <w:t>Vetrovec</w:t>
            </w:r>
            <w:proofErr w:type="spellEnd"/>
            <w:r w:rsidRPr="00342605">
              <w:rPr>
                <w:rFonts w:eastAsia="Calibri"/>
                <w:sz w:val="20"/>
                <w:lang w:val="fr-CA"/>
              </w:rPr>
              <w:t xml:space="preserve"> </w:t>
            </w:r>
            <w:proofErr w:type="spellStart"/>
            <w:r w:rsidRPr="00342605">
              <w:rPr>
                <w:rFonts w:eastAsia="Calibri"/>
                <w:sz w:val="20"/>
                <w:lang w:val="fr-CA"/>
              </w:rPr>
              <w:t>doit-elle</w:t>
            </w:r>
            <w:proofErr w:type="spellEnd"/>
            <w:r w:rsidRPr="00342605">
              <w:rPr>
                <w:rFonts w:eastAsia="Calibri"/>
                <w:sz w:val="20"/>
                <w:lang w:val="fr-CA"/>
              </w:rPr>
              <w:t xml:space="preserve"> se faire globalement selon les termes de l’acte d’accusation ou plutôt en regard de chacun des crimes sous-jacents ou de leurs éléments constitutifs ? — Est-ce que la précision d’un acte d’accusation en matière de crimes de guerre, crimes contre l’humanité et de génocide est une question purement procédurale, ou a-t-elle pour but d’assurer le respect des droits fondamentaux de l’accusé ? — </w:t>
            </w:r>
            <w:r w:rsidRPr="00342605">
              <w:rPr>
                <w:rFonts w:eastAsia="Calibri"/>
                <w:i/>
                <w:sz w:val="20"/>
                <w:lang w:val="fr-CA"/>
              </w:rPr>
              <w:t>Loi sur les crimes contre l’humanité et les crimes de guerre</w:t>
            </w:r>
            <w:r w:rsidRPr="00342605">
              <w:rPr>
                <w:rFonts w:eastAsia="Calibri"/>
                <w:sz w:val="20"/>
                <w:lang w:val="fr-CA"/>
              </w:rPr>
              <w:t>, L.C. 2000, ch. 24.</w:t>
            </w:r>
          </w:p>
        </w:tc>
      </w:tr>
      <w:tr w:rsidR="00EC1039" w:rsidRPr="00342605" w:rsidTr="007D1B76">
        <w:tc>
          <w:tcPr>
            <w:tcW w:w="5000" w:type="pct"/>
            <w:gridSpan w:val="3"/>
          </w:tcPr>
          <w:p w:rsidR="00EC1039" w:rsidRPr="00342605" w:rsidRDefault="00EC1039" w:rsidP="007D1B76">
            <w:pPr>
              <w:jc w:val="both"/>
              <w:rPr>
                <w:rFonts w:eastAsia="Calibri"/>
                <w:sz w:val="20"/>
                <w:lang w:val="fr-CA"/>
              </w:rPr>
            </w:pPr>
          </w:p>
          <w:p w:rsidR="00EC1039" w:rsidRPr="00342605" w:rsidRDefault="00EC1039" w:rsidP="007D1B76">
            <w:pPr>
              <w:jc w:val="both"/>
              <w:rPr>
                <w:rFonts w:eastAsia="Calibri"/>
                <w:sz w:val="20"/>
                <w:lang w:val="fr-CA"/>
              </w:rPr>
            </w:pPr>
            <w:r w:rsidRPr="00342605">
              <w:rPr>
                <w:rFonts w:eastAsia="Calibri"/>
                <w:sz w:val="20"/>
                <w:lang w:val="fr-CA"/>
              </w:rPr>
              <w:t xml:space="preserve">Cette demande d’autorisation d’appel traite du verdict de culpabilité prononcé au terme du premier procès canadien, celui du demandeur, Monsieur Désiré </w:t>
            </w:r>
            <w:proofErr w:type="spellStart"/>
            <w:r w:rsidRPr="00342605">
              <w:rPr>
                <w:rFonts w:eastAsia="Calibri"/>
                <w:sz w:val="20"/>
                <w:lang w:val="fr-CA"/>
              </w:rPr>
              <w:t>Munyaneza</w:t>
            </w:r>
            <w:proofErr w:type="spellEnd"/>
            <w:r w:rsidRPr="00342605">
              <w:rPr>
                <w:rFonts w:eastAsia="Calibri"/>
                <w:sz w:val="20"/>
                <w:lang w:val="fr-CA"/>
              </w:rPr>
              <w:t xml:space="preserve">, un résident au pays, d’une personne accusée d’avoir participé au génocide survenu au Rwanda.  Au moment de la tragédie rwandaise, le demandeur habite le Rwanda, mais en juillet 1994, il fuit ce pays et s’établit au Canada en 1997.  À la suite de la réception d’informations le reliant au génocide, la GRC entreprend une longue enquête.  En octobre 2005, il est arrêté et accusé des sept chefs d’accusation en vertu de la </w:t>
            </w:r>
            <w:r w:rsidRPr="00342605">
              <w:rPr>
                <w:rFonts w:eastAsia="Calibri"/>
                <w:i/>
                <w:sz w:val="20"/>
                <w:lang w:val="fr-CA"/>
              </w:rPr>
              <w:t>Loi sur les crimes contre l’humanité et les crimes de guerre</w:t>
            </w:r>
            <w:r w:rsidRPr="00342605">
              <w:rPr>
                <w:rFonts w:eastAsia="Calibri"/>
                <w:sz w:val="20"/>
                <w:lang w:val="fr-CA"/>
              </w:rPr>
              <w:t>, L.C. 2000, ch. 24</w:t>
            </w:r>
            <w:r w:rsidRPr="00342605">
              <w:rPr>
                <w:sz w:val="20"/>
                <w:lang w:val="fr-CA" w:eastAsia="en-CA"/>
              </w:rPr>
              <w:t>.</w:t>
            </w:r>
            <w:r w:rsidRPr="00342605">
              <w:rPr>
                <w:rFonts w:eastAsia="Calibri"/>
                <w:sz w:val="20"/>
                <w:lang w:val="fr-CA"/>
              </w:rPr>
              <w:t xml:space="preserve">  Au terme d’un long procès, le demandeur est déclaré coupable des sept chefs d’accusation et</w:t>
            </w:r>
            <w:r w:rsidRPr="00342605">
              <w:rPr>
                <w:rFonts w:eastAsia="Calibri"/>
                <w:b/>
                <w:sz w:val="20"/>
                <w:lang w:val="fr-CA"/>
              </w:rPr>
              <w:t xml:space="preserve"> </w:t>
            </w:r>
            <w:r w:rsidRPr="00342605">
              <w:rPr>
                <w:rFonts w:eastAsia="Calibri"/>
                <w:sz w:val="20"/>
                <w:lang w:val="fr-CA"/>
              </w:rPr>
              <w:t>condamné à l’emprisonnement à perpétuité. La Cour d’appel rejette l’appel.</w:t>
            </w:r>
          </w:p>
          <w:p w:rsidR="00EC1039" w:rsidRPr="00342605" w:rsidRDefault="00EC1039" w:rsidP="007D1B76">
            <w:pPr>
              <w:jc w:val="both"/>
              <w:rPr>
                <w:rFonts w:eastAsia="Calibri"/>
                <w:sz w:val="20"/>
                <w:lang w:val="fr-CA"/>
              </w:rPr>
            </w:pPr>
          </w:p>
        </w:tc>
      </w:tr>
      <w:tr w:rsidR="00EC1039" w:rsidRPr="009723FD" w:rsidTr="007D1B76">
        <w:tc>
          <w:tcPr>
            <w:tcW w:w="2165" w:type="pct"/>
          </w:tcPr>
          <w:p w:rsidR="00EC1039" w:rsidRPr="00342605" w:rsidRDefault="00EC1039" w:rsidP="007D1B76">
            <w:pPr>
              <w:jc w:val="both"/>
              <w:rPr>
                <w:rFonts w:eastAsia="Calibri"/>
                <w:sz w:val="20"/>
                <w:lang w:val="fr-CA"/>
              </w:rPr>
            </w:pPr>
            <w:r w:rsidRPr="00342605">
              <w:rPr>
                <w:rFonts w:eastAsia="Calibri"/>
                <w:sz w:val="20"/>
                <w:lang w:val="fr-CA"/>
              </w:rPr>
              <w:lastRenderedPageBreak/>
              <w:t>Le 27 avril 2006</w:t>
            </w:r>
          </w:p>
          <w:p w:rsidR="00EC1039" w:rsidRPr="00342605" w:rsidRDefault="00EC1039" w:rsidP="007D1B76">
            <w:pPr>
              <w:jc w:val="both"/>
              <w:rPr>
                <w:rFonts w:eastAsia="Calibri"/>
                <w:sz w:val="20"/>
                <w:lang w:val="fr-CA"/>
              </w:rPr>
            </w:pPr>
            <w:r w:rsidRPr="00342605">
              <w:rPr>
                <w:rFonts w:eastAsia="Calibri"/>
                <w:sz w:val="20"/>
                <w:lang w:val="fr-CA"/>
              </w:rPr>
              <w:t>Cour supérieure du Québec</w:t>
            </w:r>
          </w:p>
          <w:p w:rsidR="00EC1039" w:rsidRPr="00342605" w:rsidRDefault="00EC1039" w:rsidP="007D1B76">
            <w:pPr>
              <w:jc w:val="both"/>
              <w:rPr>
                <w:rFonts w:eastAsia="Calibri"/>
                <w:sz w:val="20"/>
                <w:lang w:val="fr-CA"/>
              </w:rPr>
            </w:pPr>
            <w:r w:rsidRPr="00342605">
              <w:rPr>
                <w:rFonts w:eastAsia="Calibri"/>
                <w:sz w:val="20"/>
                <w:lang w:val="fr-CA"/>
              </w:rPr>
              <w:t>(le juge Denis)</w:t>
            </w:r>
          </w:p>
          <w:p w:rsidR="00EC1039" w:rsidRPr="00342605" w:rsidRDefault="007871B3" w:rsidP="007D1B76">
            <w:pPr>
              <w:jc w:val="both"/>
              <w:rPr>
                <w:rFonts w:eastAsia="Calibri"/>
                <w:sz w:val="20"/>
                <w:lang w:val="fr-CA"/>
              </w:rPr>
            </w:pPr>
            <w:hyperlink r:id="rId35" w:history="1">
              <w:r w:rsidR="00EC1039" w:rsidRPr="00342605">
                <w:rPr>
                  <w:rFonts w:eastAsia="Calibri"/>
                  <w:color w:val="0000FF"/>
                  <w:sz w:val="20"/>
                  <w:u w:val="single"/>
                  <w:lang w:val="fr-CA"/>
                </w:rPr>
                <w:t>2006 QCCS 8007</w:t>
              </w:r>
            </w:hyperlink>
          </w:p>
          <w:p w:rsidR="00EC1039" w:rsidRPr="00342605" w:rsidRDefault="00EC1039" w:rsidP="007D1B76">
            <w:pPr>
              <w:jc w:val="both"/>
              <w:rPr>
                <w:rFonts w:eastAsia="Calibri"/>
                <w:sz w:val="20"/>
                <w:lang w:val="fr-CA"/>
              </w:rPr>
            </w:pP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La demande de mise en liberté du demandeur pendant les procédures est rejetée.</w:t>
            </w:r>
          </w:p>
        </w:tc>
      </w:tr>
      <w:tr w:rsidR="00EC1039" w:rsidRPr="009723FD" w:rsidTr="007D1B76">
        <w:tc>
          <w:tcPr>
            <w:tcW w:w="2165" w:type="pct"/>
          </w:tcPr>
          <w:p w:rsidR="00EC1039" w:rsidRPr="00342605" w:rsidRDefault="00EC1039" w:rsidP="007D1B76">
            <w:pPr>
              <w:jc w:val="both"/>
              <w:rPr>
                <w:rFonts w:eastAsia="Calibri"/>
                <w:sz w:val="20"/>
                <w:lang w:val="fr-CA"/>
              </w:rPr>
            </w:pPr>
            <w:r w:rsidRPr="00342605">
              <w:rPr>
                <w:rFonts w:eastAsia="Calibri"/>
                <w:sz w:val="20"/>
                <w:lang w:val="fr-CA"/>
              </w:rPr>
              <w:t>Le 20 novembre 2006</w:t>
            </w:r>
          </w:p>
          <w:p w:rsidR="00EC1039" w:rsidRPr="00342605" w:rsidRDefault="00EC1039" w:rsidP="007D1B76">
            <w:pPr>
              <w:jc w:val="both"/>
              <w:rPr>
                <w:rFonts w:eastAsia="Calibri"/>
                <w:sz w:val="20"/>
                <w:lang w:val="fr-CA"/>
              </w:rPr>
            </w:pPr>
            <w:r w:rsidRPr="00342605">
              <w:rPr>
                <w:rFonts w:eastAsia="Calibri"/>
                <w:sz w:val="20"/>
                <w:lang w:val="fr-CA"/>
              </w:rPr>
              <w:t>Cour supérieure du Québec</w:t>
            </w:r>
          </w:p>
          <w:p w:rsidR="00EC1039" w:rsidRPr="00342605" w:rsidRDefault="00EC1039" w:rsidP="007D1B76">
            <w:pPr>
              <w:jc w:val="both"/>
              <w:rPr>
                <w:rFonts w:eastAsia="Calibri"/>
                <w:sz w:val="20"/>
                <w:lang w:val="fr-CA"/>
              </w:rPr>
            </w:pPr>
            <w:r w:rsidRPr="00342605">
              <w:rPr>
                <w:rFonts w:eastAsia="Calibri"/>
                <w:sz w:val="20"/>
                <w:lang w:val="fr-CA"/>
              </w:rPr>
              <w:t>(le juge Denis)</w:t>
            </w:r>
          </w:p>
          <w:p w:rsidR="00EC1039" w:rsidRDefault="007871B3" w:rsidP="007D1B76">
            <w:pPr>
              <w:jc w:val="both"/>
              <w:rPr>
                <w:rFonts w:eastAsia="Calibri"/>
                <w:sz w:val="20"/>
                <w:lang w:val="fr-CA"/>
              </w:rPr>
            </w:pPr>
            <w:hyperlink r:id="rId36" w:history="1">
              <w:r w:rsidR="00EC1039" w:rsidRPr="00342605">
                <w:rPr>
                  <w:rFonts w:eastAsia="Calibri"/>
                  <w:color w:val="0000FF"/>
                  <w:sz w:val="20"/>
                  <w:u w:val="single"/>
                  <w:lang w:val="fr-CA"/>
                </w:rPr>
                <w:t>2006 QCCS 8010</w:t>
              </w:r>
            </w:hyperlink>
          </w:p>
          <w:p w:rsidR="00EC1039" w:rsidRPr="00342605" w:rsidRDefault="00EC1039" w:rsidP="007D1B76">
            <w:pPr>
              <w:jc w:val="both"/>
              <w:rPr>
                <w:rFonts w:eastAsia="Calibri"/>
                <w:sz w:val="20"/>
                <w:lang w:val="fr-CA"/>
              </w:rPr>
            </w:pP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La requête du demandeur en cassation de chefs d’accusation est rejetée.</w:t>
            </w:r>
          </w:p>
        </w:tc>
      </w:tr>
      <w:tr w:rsidR="00EC1039" w:rsidRPr="009723FD" w:rsidTr="007D1B76">
        <w:tc>
          <w:tcPr>
            <w:tcW w:w="2165" w:type="pct"/>
          </w:tcPr>
          <w:p w:rsidR="00EC1039" w:rsidRPr="00342605" w:rsidRDefault="00EC1039" w:rsidP="007D1B76">
            <w:pPr>
              <w:tabs>
                <w:tab w:val="center" w:pos="2215"/>
              </w:tabs>
              <w:jc w:val="both"/>
              <w:rPr>
                <w:rFonts w:eastAsia="Calibri"/>
                <w:sz w:val="20"/>
                <w:lang w:val="fr-CA"/>
              </w:rPr>
            </w:pPr>
            <w:r w:rsidRPr="00342605">
              <w:rPr>
                <w:rFonts w:eastAsia="Calibri"/>
                <w:sz w:val="20"/>
                <w:lang w:val="fr-CA"/>
              </w:rPr>
              <w:t>Le 22 mai 2009</w:t>
            </w:r>
          </w:p>
          <w:p w:rsidR="00EC1039" w:rsidRPr="00342605" w:rsidRDefault="00EC1039" w:rsidP="007D1B76">
            <w:pPr>
              <w:jc w:val="both"/>
              <w:rPr>
                <w:rFonts w:eastAsia="Calibri"/>
                <w:sz w:val="20"/>
                <w:lang w:val="fr-CA"/>
              </w:rPr>
            </w:pPr>
            <w:r w:rsidRPr="00342605">
              <w:rPr>
                <w:rFonts w:eastAsia="Calibri"/>
                <w:sz w:val="20"/>
                <w:lang w:val="fr-CA"/>
              </w:rPr>
              <w:t>Cour supérieure du Québec</w:t>
            </w:r>
          </w:p>
          <w:p w:rsidR="00EC1039" w:rsidRPr="00342605" w:rsidRDefault="00EC1039" w:rsidP="007D1B76">
            <w:pPr>
              <w:jc w:val="both"/>
              <w:rPr>
                <w:rFonts w:eastAsia="Calibri"/>
                <w:sz w:val="20"/>
                <w:lang w:val="fr-CA"/>
              </w:rPr>
            </w:pPr>
            <w:r w:rsidRPr="00342605">
              <w:rPr>
                <w:rFonts w:eastAsia="Calibri"/>
                <w:sz w:val="20"/>
                <w:lang w:val="fr-CA"/>
              </w:rPr>
              <w:t>(le juge Denis)</w:t>
            </w:r>
          </w:p>
          <w:p w:rsidR="00EC1039" w:rsidRPr="00342605" w:rsidRDefault="007871B3" w:rsidP="007D1B76">
            <w:pPr>
              <w:jc w:val="both"/>
              <w:rPr>
                <w:rFonts w:eastAsia="Calibri"/>
                <w:sz w:val="20"/>
                <w:lang w:val="fr-CA"/>
              </w:rPr>
            </w:pPr>
            <w:hyperlink r:id="rId37" w:history="1">
              <w:r w:rsidR="00EC1039" w:rsidRPr="00342605">
                <w:rPr>
                  <w:rFonts w:eastAsia="Calibri"/>
                  <w:color w:val="0000FF"/>
                  <w:sz w:val="20"/>
                  <w:u w:val="single"/>
                  <w:lang w:val="fr-CA"/>
                </w:rPr>
                <w:t>2009 QCCS 2201</w:t>
              </w:r>
            </w:hyperlink>
          </w:p>
          <w:p w:rsidR="00EC1039" w:rsidRPr="00342605" w:rsidRDefault="00EC1039" w:rsidP="007D1B76">
            <w:pPr>
              <w:jc w:val="both"/>
              <w:rPr>
                <w:rFonts w:eastAsia="Calibri"/>
                <w:sz w:val="20"/>
                <w:lang w:val="fr-CA"/>
              </w:rPr>
            </w:pP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 xml:space="preserve">Le demandeur a été déclaré coupable des sept chefs d’accusation. </w:t>
            </w:r>
          </w:p>
        </w:tc>
      </w:tr>
      <w:tr w:rsidR="00EC1039" w:rsidRPr="009723FD" w:rsidTr="007D1B76">
        <w:tc>
          <w:tcPr>
            <w:tcW w:w="2165" w:type="pct"/>
          </w:tcPr>
          <w:p w:rsidR="00EC1039" w:rsidRPr="00342605" w:rsidRDefault="00EC1039" w:rsidP="007D1B76">
            <w:pPr>
              <w:jc w:val="both"/>
              <w:rPr>
                <w:rFonts w:eastAsia="Calibri"/>
                <w:sz w:val="20"/>
                <w:lang w:val="fr-CA"/>
              </w:rPr>
            </w:pPr>
            <w:r w:rsidRPr="00342605">
              <w:rPr>
                <w:rFonts w:eastAsia="Calibri"/>
                <w:sz w:val="20"/>
                <w:lang w:val="fr-CA"/>
              </w:rPr>
              <w:t>Le 29 octobre 2009</w:t>
            </w:r>
          </w:p>
          <w:p w:rsidR="00EC1039" w:rsidRPr="00342605" w:rsidRDefault="00EC1039" w:rsidP="007D1B76">
            <w:pPr>
              <w:jc w:val="both"/>
              <w:rPr>
                <w:rFonts w:eastAsia="Calibri"/>
                <w:sz w:val="20"/>
                <w:lang w:val="fr-CA"/>
              </w:rPr>
            </w:pPr>
            <w:r w:rsidRPr="00342605">
              <w:rPr>
                <w:rFonts w:eastAsia="Calibri"/>
                <w:sz w:val="20"/>
                <w:lang w:val="fr-CA"/>
              </w:rPr>
              <w:t>Cour supérieure du Québec</w:t>
            </w:r>
          </w:p>
          <w:p w:rsidR="00EC1039" w:rsidRPr="00342605" w:rsidRDefault="00EC1039" w:rsidP="007D1B76">
            <w:pPr>
              <w:jc w:val="both"/>
              <w:rPr>
                <w:rFonts w:eastAsia="Calibri"/>
                <w:sz w:val="20"/>
                <w:lang w:val="fr-CA"/>
              </w:rPr>
            </w:pPr>
            <w:r w:rsidRPr="00342605">
              <w:rPr>
                <w:rFonts w:eastAsia="Calibri"/>
                <w:sz w:val="20"/>
                <w:lang w:val="fr-CA"/>
              </w:rPr>
              <w:t>(le juge Denis)</w:t>
            </w:r>
          </w:p>
          <w:p w:rsidR="00EC1039" w:rsidRPr="00342605" w:rsidRDefault="007871B3" w:rsidP="007D1B76">
            <w:pPr>
              <w:jc w:val="both"/>
              <w:rPr>
                <w:rFonts w:eastAsia="Calibri"/>
                <w:sz w:val="20"/>
                <w:lang w:val="fr-CA"/>
              </w:rPr>
            </w:pPr>
            <w:hyperlink r:id="rId38" w:history="1">
              <w:r w:rsidR="00EC1039" w:rsidRPr="00342605">
                <w:rPr>
                  <w:rFonts w:eastAsia="Calibri"/>
                  <w:color w:val="0000FF"/>
                  <w:sz w:val="20"/>
                  <w:u w:val="single"/>
                  <w:lang w:val="fr-CA"/>
                </w:rPr>
                <w:t>2009 QCCS 4865</w:t>
              </w:r>
            </w:hyperlink>
          </w:p>
          <w:p w:rsidR="00EC1039" w:rsidRPr="00342605" w:rsidRDefault="00EC1039" w:rsidP="007D1B76">
            <w:pPr>
              <w:jc w:val="both"/>
              <w:rPr>
                <w:rFonts w:eastAsia="Calibri"/>
                <w:sz w:val="20"/>
                <w:lang w:val="fr-CA"/>
              </w:rPr>
            </w:pP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Le demandeur a été condamné à l’emprisonnement à perpétuité.</w:t>
            </w:r>
          </w:p>
        </w:tc>
      </w:tr>
      <w:tr w:rsidR="00EC1039" w:rsidRPr="009723FD" w:rsidTr="007D1B76">
        <w:tc>
          <w:tcPr>
            <w:tcW w:w="2165" w:type="pct"/>
          </w:tcPr>
          <w:p w:rsidR="00EC1039" w:rsidRPr="00342605" w:rsidRDefault="00EC1039" w:rsidP="007D1B76">
            <w:pPr>
              <w:jc w:val="both"/>
              <w:rPr>
                <w:rFonts w:eastAsia="Calibri"/>
                <w:sz w:val="20"/>
                <w:lang w:val="fr-CA"/>
              </w:rPr>
            </w:pPr>
            <w:r w:rsidRPr="00342605">
              <w:rPr>
                <w:rFonts w:eastAsia="Calibri"/>
                <w:sz w:val="20"/>
                <w:lang w:val="fr-CA"/>
              </w:rPr>
              <w:t>Le 7 mai 2014</w:t>
            </w:r>
          </w:p>
          <w:p w:rsidR="00EC1039" w:rsidRPr="00342605" w:rsidRDefault="00EC1039" w:rsidP="007D1B76">
            <w:pPr>
              <w:jc w:val="both"/>
              <w:rPr>
                <w:rFonts w:eastAsia="Calibri"/>
                <w:sz w:val="20"/>
                <w:lang w:val="fr-CA"/>
              </w:rPr>
            </w:pPr>
            <w:r w:rsidRPr="00342605">
              <w:rPr>
                <w:rFonts w:eastAsia="Calibri"/>
                <w:sz w:val="20"/>
                <w:lang w:val="fr-CA"/>
              </w:rPr>
              <w:t>Cour d’appel du Québec (Montréal)</w:t>
            </w:r>
          </w:p>
          <w:p w:rsidR="00EC1039" w:rsidRPr="00342605" w:rsidRDefault="00EC1039" w:rsidP="007D1B76">
            <w:pPr>
              <w:jc w:val="both"/>
              <w:rPr>
                <w:rFonts w:eastAsia="Calibri"/>
                <w:sz w:val="20"/>
                <w:lang w:val="fr-CA"/>
              </w:rPr>
            </w:pPr>
            <w:r w:rsidRPr="00342605">
              <w:rPr>
                <w:rFonts w:eastAsia="Calibri"/>
                <w:sz w:val="20"/>
                <w:lang w:val="fr-CA"/>
              </w:rPr>
              <w:t xml:space="preserve">(les juges </w:t>
            </w:r>
            <w:proofErr w:type="spellStart"/>
            <w:r w:rsidRPr="00342605">
              <w:rPr>
                <w:rFonts w:eastAsia="Calibri"/>
                <w:sz w:val="20"/>
                <w:lang w:val="fr-CA"/>
              </w:rPr>
              <w:t>Dalphond</w:t>
            </w:r>
            <w:proofErr w:type="spellEnd"/>
            <w:r w:rsidRPr="00342605">
              <w:rPr>
                <w:rFonts w:eastAsia="Calibri"/>
                <w:sz w:val="20"/>
                <w:lang w:val="fr-CA"/>
              </w:rPr>
              <w:t>, Hilton et Doyon)</w:t>
            </w:r>
          </w:p>
          <w:p w:rsidR="00EC1039" w:rsidRPr="00342605" w:rsidRDefault="007871B3" w:rsidP="007D1B76">
            <w:pPr>
              <w:jc w:val="both"/>
              <w:rPr>
                <w:rFonts w:eastAsia="Calibri"/>
                <w:sz w:val="20"/>
                <w:lang w:val="fr-CA"/>
              </w:rPr>
            </w:pPr>
            <w:hyperlink r:id="rId39" w:history="1">
              <w:r w:rsidR="00EC1039" w:rsidRPr="00342605">
                <w:rPr>
                  <w:rFonts w:eastAsia="Calibri"/>
                  <w:color w:val="0000FF"/>
                  <w:sz w:val="20"/>
                  <w:u w:val="single"/>
                  <w:lang w:val="fr-CA"/>
                </w:rPr>
                <w:t>2014 QCCA 906</w:t>
              </w:r>
            </w:hyperlink>
            <w:r w:rsidR="00EC1039" w:rsidRPr="00342605">
              <w:rPr>
                <w:rFonts w:eastAsia="Calibri"/>
                <w:sz w:val="20"/>
                <w:lang w:val="fr-CA"/>
              </w:rPr>
              <w:t xml:space="preserve"> </w:t>
            </w:r>
          </w:p>
          <w:p w:rsidR="00EC1039" w:rsidRPr="00342605" w:rsidRDefault="00EC1039" w:rsidP="007D1B76">
            <w:pPr>
              <w:jc w:val="both"/>
              <w:rPr>
                <w:rFonts w:eastAsia="Calibri"/>
                <w:sz w:val="20"/>
                <w:lang w:val="fr-CA"/>
              </w:rPr>
            </w:pP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L’appel du demandeur est rejeté.</w:t>
            </w:r>
          </w:p>
        </w:tc>
      </w:tr>
      <w:tr w:rsidR="00EC1039" w:rsidRPr="009723FD" w:rsidTr="007D1B76">
        <w:tc>
          <w:tcPr>
            <w:tcW w:w="2165" w:type="pct"/>
          </w:tcPr>
          <w:p w:rsidR="00EC1039" w:rsidRPr="00342605" w:rsidRDefault="00EC1039" w:rsidP="007D1B76">
            <w:pPr>
              <w:jc w:val="both"/>
              <w:rPr>
                <w:rFonts w:eastAsia="Calibri"/>
                <w:sz w:val="20"/>
                <w:lang w:val="fr-CA"/>
              </w:rPr>
            </w:pPr>
            <w:r w:rsidRPr="00342605">
              <w:rPr>
                <w:rFonts w:eastAsia="Calibri"/>
                <w:sz w:val="20"/>
                <w:lang w:val="fr-CA"/>
              </w:rPr>
              <w:t>Le 6 août 2014</w:t>
            </w:r>
          </w:p>
          <w:p w:rsidR="00EC1039" w:rsidRPr="00342605" w:rsidRDefault="00EC1039" w:rsidP="007D1B76">
            <w:pPr>
              <w:jc w:val="both"/>
              <w:rPr>
                <w:rFonts w:eastAsia="Calibri"/>
                <w:sz w:val="20"/>
                <w:lang w:val="fr-CA"/>
              </w:rPr>
            </w:pPr>
            <w:r w:rsidRPr="00342605">
              <w:rPr>
                <w:rFonts w:eastAsia="Calibri"/>
                <w:sz w:val="20"/>
                <w:lang w:val="fr-CA"/>
              </w:rPr>
              <w:t>Cour suprême du Canada</w:t>
            </w:r>
          </w:p>
        </w:tc>
        <w:tc>
          <w:tcPr>
            <w:tcW w:w="236" w:type="pct"/>
          </w:tcPr>
          <w:p w:rsidR="00EC1039" w:rsidRPr="00342605" w:rsidRDefault="00EC1039" w:rsidP="007D1B76">
            <w:pPr>
              <w:jc w:val="both"/>
              <w:rPr>
                <w:rFonts w:eastAsia="Calibri"/>
                <w:sz w:val="20"/>
                <w:lang w:val="fr-CA"/>
              </w:rPr>
            </w:pPr>
          </w:p>
        </w:tc>
        <w:tc>
          <w:tcPr>
            <w:tcW w:w="2599" w:type="pct"/>
          </w:tcPr>
          <w:p w:rsidR="00EC1039" w:rsidRPr="00342605" w:rsidRDefault="00EC1039" w:rsidP="007D1B76">
            <w:pPr>
              <w:jc w:val="both"/>
              <w:rPr>
                <w:rFonts w:eastAsia="Calibri"/>
                <w:sz w:val="20"/>
                <w:lang w:val="fr-CA"/>
              </w:rPr>
            </w:pPr>
            <w:r w:rsidRPr="00342605">
              <w:rPr>
                <w:rFonts w:eastAsia="Calibri"/>
                <w:sz w:val="20"/>
                <w:lang w:val="fr-CA"/>
              </w:rPr>
              <w:t>La demande d’autorisation d’appel du demandeur est déposée.</w:t>
            </w:r>
          </w:p>
        </w:tc>
      </w:tr>
    </w:tbl>
    <w:p w:rsidR="00A325AC" w:rsidRPr="00EC1039" w:rsidRDefault="00A325AC" w:rsidP="00A325AC">
      <w:pPr>
        <w:rPr>
          <w:sz w:val="20"/>
          <w:szCs w:val="20"/>
          <w:lang w:val="fr-CA"/>
        </w:rPr>
      </w:pPr>
    </w:p>
    <w:p w:rsidR="00A325AC" w:rsidRDefault="007871B3" w:rsidP="00A325AC">
      <w:pPr>
        <w:rPr>
          <w:sz w:val="20"/>
          <w:szCs w:val="20"/>
        </w:rPr>
      </w:pPr>
      <w:r>
        <w:rPr>
          <w:sz w:val="20"/>
          <w:szCs w:val="20"/>
          <w:lang w:val="fr-CA"/>
        </w:rPr>
        <w:pict>
          <v:rect id="_x0000_i1052"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7AFF" w:rsidRPr="009723FD" w:rsidTr="00273F9F">
        <w:trPr>
          <w:cantSplit/>
        </w:trPr>
        <w:tc>
          <w:tcPr>
            <w:tcW w:w="1458" w:type="dxa"/>
          </w:tcPr>
          <w:p w:rsidR="00397AFF" w:rsidRPr="009A7F72" w:rsidRDefault="00397AFF" w:rsidP="00273F9F">
            <w:pPr>
              <w:rPr>
                <w:sz w:val="20"/>
                <w:szCs w:val="20"/>
              </w:rPr>
            </w:pPr>
            <w:r w:rsidRPr="009A7F72">
              <w:rPr>
                <w:rStyle w:val="SCCFileNumberChar"/>
                <w:sz w:val="20"/>
                <w:szCs w:val="20"/>
              </w:rPr>
              <w:t>36001</w:t>
            </w:r>
          </w:p>
          <w:p w:rsidR="00397AFF" w:rsidRPr="009A7F72" w:rsidRDefault="00397AFF" w:rsidP="00273F9F">
            <w:pPr>
              <w:rPr>
                <w:b/>
                <w:sz w:val="20"/>
                <w:szCs w:val="20"/>
                <w:lang w:val="fr-CA"/>
              </w:rPr>
            </w:pPr>
          </w:p>
        </w:tc>
        <w:tc>
          <w:tcPr>
            <w:tcW w:w="8118" w:type="dxa"/>
          </w:tcPr>
          <w:p w:rsidR="00397AFF" w:rsidRPr="009A7F72" w:rsidRDefault="00397AFF" w:rsidP="00273F9F">
            <w:pPr>
              <w:rPr>
                <w:sz w:val="20"/>
                <w:szCs w:val="20"/>
                <w:lang w:val="fr-CA"/>
              </w:rPr>
            </w:pPr>
            <w:r w:rsidRPr="009A7F72">
              <w:rPr>
                <w:rStyle w:val="SCCLsocChar"/>
                <w:sz w:val="20"/>
                <w:szCs w:val="20"/>
              </w:rPr>
              <w:t xml:space="preserve">Sa Majesté la Reine c. Tommy </w:t>
            </w:r>
            <w:proofErr w:type="spellStart"/>
            <w:r w:rsidRPr="009A7F72">
              <w:rPr>
                <w:rStyle w:val="SCCLsocChar"/>
                <w:sz w:val="20"/>
                <w:szCs w:val="20"/>
              </w:rPr>
              <w:t>Lacasse</w:t>
            </w:r>
            <w:proofErr w:type="spellEnd"/>
            <w:r w:rsidRPr="009A7F72">
              <w:rPr>
                <w:sz w:val="20"/>
                <w:szCs w:val="20"/>
                <w:lang w:val="fr-CA"/>
              </w:rPr>
              <w:t xml:space="preserve"> (</w:t>
            </w:r>
            <w:proofErr w:type="spellStart"/>
            <w:r w:rsidRPr="009A7F72">
              <w:rPr>
                <w:sz w:val="20"/>
                <w:szCs w:val="20"/>
                <w:lang w:val="fr-CA"/>
              </w:rPr>
              <w:t>Qc</w:t>
            </w:r>
            <w:proofErr w:type="spellEnd"/>
            <w:r w:rsidRPr="009A7F72">
              <w:rPr>
                <w:sz w:val="20"/>
                <w:szCs w:val="20"/>
                <w:lang w:val="fr-CA"/>
              </w:rPr>
              <w:t>) (Criminelle) (Autorisation)</w:t>
            </w:r>
          </w:p>
          <w:p w:rsidR="00397AFF" w:rsidRPr="009A7F72" w:rsidRDefault="00397AFF" w:rsidP="00273F9F">
            <w:pPr>
              <w:rPr>
                <w:sz w:val="20"/>
                <w:szCs w:val="20"/>
                <w:lang w:val="fr-CA"/>
              </w:rPr>
            </w:pPr>
          </w:p>
        </w:tc>
      </w:tr>
      <w:tr w:rsidR="00397AFF" w:rsidRPr="009723FD" w:rsidTr="00273F9F">
        <w:trPr>
          <w:cantSplit/>
        </w:trPr>
        <w:tc>
          <w:tcPr>
            <w:tcW w:w="1458" w:type="dxa"/>
          </w:tcPr>
          <w:p w:rsidR="00397AFF" w:rsidRPr="009A7F72" w:rsidRDefault="00397AFF" w:rsidP="00273F9F">
            <w:pPr>
              <w:rPr>
                <w:sz w:val="20"/>
                <w:szCs w:val="20"/>
              </w:rPr>
            </w:pPr>
            <w:r w:rsidRPr="009A7F72">
              <w:rPr>
                <w:sz w:val="20"/>
                <w:szCs w:val="20"/>
              </w:rPr>
              <w:t>Coram :</w:t>
            </w:r>
          </w:p>
        </w:tc>
        <w:tc>
          <w:tcPr>
            <w:tcW w:w="8118" w:type="dxa"/>
          </w:tcPr>
          <w:p w:rsidR="00397AFF" w:rsidRPr="009A7F72" w:rsidRDefault="00397AFF" w:rsidP="00273F9F">
            <w:pPr>
              <w:rPr>
                <w:sz w:val="20"/>
                <w:szCs w:val="20"/>
                <w:lang w:val="fr-CA"/>
              </w:rPr>
            </w:pPr>
            <w:r w:rsidRPr="009A7F72">
              <w:rPr>
                <w:rStyle w:val="SCCCoramChar"/>
                <w:sz w:val="20"/>
                <w:szCs w:val="20"/>
              </w:rPr>
              <w:t xml:space="preserve">La juge en chef </w:t>
            </w:r>
            <w:proofErr w:type="spellStart"/>
            <w:r w:rsidRPr="009A7F72">
              <w:rPr>
                <w:rStyle w:val="SCCCoramChar"/>
                <w:sz w:val="20"/>
                <w:szCs w:val="20"/>
              </w:rPr>
              <w:t>McLachlin</w:t>
            </w:r>
            <w:proofErr w:type="spellEnd"/>
            <w:r w:rsidRPr="009A7F72">
              <w:rPr>
                <w:rStyle w:val="SCCCoramChar"/>
                <w:sz w:val="20"/>
                <w:szCs w:val="20"/>
              </w:rPr>
              <w:t xml:space="preserve"> et les juges Cromwell et Wagner</w:t>
            </w:r>
          </w:p>
          <w:p w:rsidR="00397AFF" w:rsidRPr="009A7F72" w:rsidRDefault="00397AFF" w:rsidP="00273F9F">
            <w:pPr>
              <w:rPr>
                <w:sz w:val="20"/>
                <w:szCs w:val="20"/>
                <w:u w:val="single"/>
                <w:lang w:val="fr-CA"/>
              </w:rPr>
            </w:pPr>
          </w:p>
        </w:tc>
      </w:tr>
      <w:tr w:rsidR="00397AFF" w:rsidRPr="009A7F72" w:rsidTr="00273F9F">
        <w:trPr>
          <w:cantSplit/>
        </w:trPr>
        <w:tc>
          <w:tcPr>
            <w:tcW w:w="9576" w:type="dxa"/>
            <w:gridSpan w:val="2"/>
          </w:tcPr>
          <w:p w:rsidR="00397AFF" w:rsidRPr="009A7F72" w:rsidRDefault="00397AFF" w:rsidP="00273F9F">
            <w:pPr>
              <w:pStyle w:val="SCCShortJudgment"/>
              <w:rPr>
                <w:szCs w:val="20"/>
                <w:lang w:val="fr-CA"/>
              </w:rPr>
            </w:pPr>
            <w:r w:rsidRPr="009A7F72">
              <w:rPr>
                <w:szCs w:val="20"/>
                <w:lang w:val="fr-CA"/>
              </w:rPr>
              <w:t>La requête en prorogation du délai de signification et de dépôt de la réponse de l’intimé est accueillie.  La demande d’autorisation d’appel de l’arrêt de la Cour d’appel du Québec (Québec), numéro 200-10-002992-134, 2014 QCCA 1061, daté du 15 mai 2014, est accueillie sans dépens.</w:t>
            </w:r>
          </w:p>
          <w:p w:rsidR="00397AFF" w:rsidRPr="009A7F72" w:rsidRDefault="00397AFF" w:rsidP="00273F9F">
            <w:pPr>
              <w:pStyle w:val="SCCShortJudgment"/>
              <w:ind w:firstLine="0"/>
              <w:rPr>
                <w:szCs w:val="20"/>
                <w:lang w:val="fr-CA"/>
              </w:rPr>
            </w:pPr>
          </w:p>
          <w:p w:rsidR="00397AFF" w:rsidRPr="009A7F72" w:rsidRDefault="00397AFF" w:rsidP="00273F9F">
            <w:pPr>
              <w:pStyle w:val="SCCShortJudgment"/>
              <w:rPr>
                <w:szCs w:val="20"/>
              </w:rPr>
            </w:pPr>
            <w:r w:rsidRPr="009A7F72">
              <w:rPr>
                <w:szCs w:val="20"/>
              </w:rPr>
              <w:t>The motion for an extension of time to serve and file the respondent’s response is granted.  The application for leave to appeal from the judgment of the Court of Appeal of Quebec (Québec), Number 200-10-002992-134, 2014 QCCA 1061, dated May 15, 2014 is granted without costs.</w:t>
            </w:r>
          </w:p>
        </w:tc>
      </w:tr>
    </w:tbl>
    <w:p w:rsidR="00A325AC" w:rsidRDefault="00A325AC" w:rsidP="00A325AC">
      <w:pPr>
        <w:rPr>
          <w:sz w:val="20"/>
          <w:szCs w:val="20"/>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Criminal law – Sentencing – Considerations – Impaired driving causing death – Whether Court of Appeal erred in giving precedence to principle that sentence should be similar to sentences imposed on similar offenders rather than considering local situation in </w:t>
            </w:r>
            <w:proofErr w:type="spellStart"/>
            <w:r w:rsidRPr="00342605">
              <w:rPr>
                <w:rFonts w:eastAsia="Calibri"/>
                <w:sz w:val="20"/>
              </w:rPr>
              <w:t>Beauce</w:t>
            </w:r>
            <w:proofErr w:type="spellEnd"/>
            <w:r w:rsidRPr="00342605">
              <w:rPr>
                <w:rFonts w:eastAsia="Calibri"/>
                <w:sz w:val="20"/>
              </w:rPr>
              <w:t xml:space="preserve"> region, which is affected more than others by impaired driving offences – Whether Court of Appeal erred in adopting inflexible range of sentences based on strict categories, one that if departed from in any way would result in non-deferential intervention – Whether Court of Appeal erred in refusing to admit fresh evidence filed by applicant.</w:t>
            </w:r>
          </w:p>
        </w:tc>
      </w:tr>
      <w:tr w:rsidR="00EC1039" w:rsidRPr="00342605" w:rsidTr="007D1B76">
        <w:tc>
          <w:tcPr>
            <w:tcW w:w="5000" w:type="pct"/>
            <w:gridSpan w:val="3"/>
          </w:tcPr>
          <w:p w:rsidR="00EC1039" w:rsidRPr="00342605" w:rsidRDefault="00EC1039" w:rsidP="007D1B76">
            <w:pPr>
              <w:jc w:val="both"/>
              <w:rPr>
                <w:rFonts w:eastAsia="Calibri"/>
                <w:sz w:val="20"/>
              </w:rPr>
            </w:pPr>
          </w:p>
        </w:tc>
      </w:tr>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The respondent, Tommy </w:t>
            </w:r>
            <w:proofErr w:type="spellStart"/>
            <w:r w:rsidRPr="00342605">
              <w:rPr>
                <w:rFonts w:eastAsia="Calibri"/>
                <w:sz w:val="20"/>
              </w:rPr>
              <w:t>Lacasse</w:t>
            </w:r>
            <w:proofErr w:type="spellEnd"/>
            <w:r w:rsidRPr="00342605">
              <w:rPr>
                <w:rFonts w:eastAsia="Calibri"/>
                <w:sz w:val="20"/>
              </w:rPr>
              <w:t>, pleaded guilty to two counts of impaired driving causing death.  On June 17, 2011, at about 4:00 a.m., the respondent, who was then 18 years old, was driving his car when it veered of the roadway on a curve at Sainte-</w:t>
            </w:r>
            <w:proofErr w:type="spellStart"/>
            <w:r w:rsidRPr="00342605">
              <w:rPr>
                <w:rFonts w:eastAsia="Calibri"/>
                <w:sz w:val="20"/>
              </w:rPr>
              <w:t>Aurélie</w:t>
            </w:r>
            <w:proofErr w:type="spellEnd"/>
            <w:r w:rsidRPr="00342605">
              <w:rPr>
                <w:rFonts w:eastAsia="Calibri"/>
                <w:sz w:val="20"/>
              </w:rPr>
              <w:t xml:space="preserve"> in the </w:t>
            </w:r>
            <w:proofErr w:type="spellStart"/>
            <w:r w:rsidRPr="00342605">
              <w:rPr>
                <w:rFonts w:eastAsia="Calibri"/>
                <w:sz w:val="20"/>
              </w:rPr>
              <w:t>Beauce</w:t>
            </w:r>
            <w:proofErr w:type="spellEnd"/>
            <w:r w:rsidRPr="00342605">
              <w:rPr>
                <w:rFonts w:eastAsia="Calibri"/>
                <w:sz w:val="20"/>
              </w:rPr>
              <w:t xml:space="preserve"> region.  Two passengers in the back seat, Nadia </w:t>
            </w:r>
            <w:proofErr w:type="spellStart"/>
            <w:r w:rsidRPr="00342605">
              <w:rPr>
                <w:rFonts w:eastAsia="Calibri"/>
                <w:sz w:val="20"/>
              </w:rPr>
              <w:t>Pruneau</w:t>
            </w:r>
            <w:proofErr w:type="spellEnd"/>
            <w:r w:rsidRPr="00342605">
              <w:rPr>
                <w:rFonts w:eastAsia="Calibri"/>
                <w:sz w:val="20"/>
              </w:rPr>
              <w:t>, who was celebrating her 18th birthday that night, and Caroline Fortier, 17, died instantly.  An agreed statement of facts filed for sentencing purposes showed that the respondent had drunk several beers as well as vodka that night before taking the wheel.  The collision investigation report showed that the respondent’s vehicle was travelling at 130 km/h when it entered the curve, whereas the recommended speed was 75 km/h.  The vehicle skidded, then spun in the air several times before striking the ground three times.</w:t>
            </w:r>
          </w:p>
          <w:p w:rsidR="00EC1039" w:rsidRPr="00342605" w:rsidRDefault="00EC1039" w:rsidP="007D1B76">
            <w:pPr>
              <w:jc w:val="both"/>
              <w:rPr>
                <w:rFonts w:eastAsia="Calibri"/>
                <w:sz w:val="20"/>
              </w:rPr>
            </w:pPr>
          </w:p>
          <w:p w:rsidR="00EC1039" w:rsidRPr="00342605" w:rsidRDefault="00EC1039" w:rsidP="007D1B76">
            <w:pPr>
              <w:jc w:val="both"/>
              <w:rPr>
                <w:rFonts w:eastAsia="Calibri"/>
                <w:sz w:val="20"/>
              </w:rPr>
            </w:pPr>
            <w:r w:rsidRPr="00342605">
              <w:rPr>
                <w:rFonts w:eastAsia="Calibri"/>
                <w:sz w:val="20"/>
              </w:rPr>
              <w:t xml:space="preserve">The respondent was sentenced to imprisonment for six years and six months, and to a prohibition from operating any motor vehicle in Canada for a period of eleven years.  The Court of Appeal allowed the respondent’s appeal, reducing the sentence to imprisonment for four years and a prohibition from operating a motor vehicle for four years after the period of imprisonment. </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October 4, 2013</w:t>
            </w:r>
          </w:p>
          <w:p w:rsidR="00EC1039" w:rsidRPr="00342605" w:rsidRDefault="00EC1039" w:rsidP="007D1B76">
            <w:pPr>
              <w:jc w:val="both"/>
              <w:rPr>
                <w:rFonts w:eastAsia="Calibri"/>
                <w:sz w:val="20"/>
              </w:rPr>
            </w:pPr>
            <w:r w:rsidRPr="00342605">
              <w:rPr>
                <w:rFonts w:eastAsia="Calibri"/>
                <w:sz w:val="20"/>
              </w:rPr>
              <w:t>Court of Québec</w:t>
            </w:r>
          </w:p>
          <w:p w:rsidR="00EC1039" w:rsidRPr="00342605" w:rsidRDefault="00EC1039" w:rsidP="007D1B76">
            <w:pPr>
              <w:jc w:val="both"/>
              <w:rPr>
                <w:rFonts w:eastAsia="Calibri"/>
                <w:sz w:val="20"/>
              </w:rPr>
            </w:pPr>
            <w:r w:rsidRPr="00342605">
              <w:rPr>
                <w:rFonts w:eastAsia="Calibri"/>
                <w:sz w:val="20"/>
              </w:rPr>
              <w:t>(Judge Couture)</w:t>
            </w:r>
          </w:p>
          <w:p w:rsidR="00EC1039" w:rsidRPr="00342605" w:rsidRDefault="007871B3" w:rsidP="007D1B76">
            <w:pPr>
              <w:jc w:val="both"/>
              <w:rPr>
                <w:rFonts w:eastAsia="Calibri"/>
                <w:sz w:val="20"/>
              </w:rPr>
            </w:pPr>
            <w:hyperlink r:id="rId40" w:history="1">
              <w:r w:rsidR="00EC1039" w:rsidRPr="00342605">
                <w:rPr>
                  <w:rFonts w:eastAsia="Calibri"/>
                  <w:color w:val="0000FF"/>
                  <w:sz w:val="20"/>
                  <w:u w:val="single"/>
                </w:rPr>
                <w:t>2013 QCCQ 11960</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Sentence: imprisonment for six years and six months, and prohibition from operating any motor vehicle in Canada for eleven years</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May 15, 2014</w:t>
            </w:r>
          </w:p>
          <w:p w:rsidR="00EC1039" w:rsidRPr="00342605" w:rsidRDefault="00EC1039" w:rsidP="007D1B76">
            <w:pPr>
              <w:jc w:val="both"/>
              <w:rPr>
                <w:rFonts w:eastAsia="Calibri"/>
                <w:sz w:val="20"/>
              </w:rPr>
            </w:pPr>
            <w:r w:rsidRPr="00342605">
              <w:rPr>
                <w:rFonts w:eastAsia="Calibri"/>
                <w:sz w:val="20"/>
              </w:rPr>
              <w:t>Quebec Court of Appeal (Québec)</w:t>
            </w:r>
          </w:p>
          <w:p w:rsidR="00EC1039" w:rsidRPr="00342605" w:rsidRDefault="00EC1039" w:rsidP="007D1B76">
            <w:pPr>
              <w:jc w:val="both"/>
              <w:rPr>
                <w:rFonts w:eastAsia="Calibri"/>
                <w:sz w:val="20"/>
                <w:lang w:val="fr-CA"/>
              </w:rPr>
            </w:pPr>
            <w:r w:rsidRPr="00342605">
              <w:rPr>
                <w:rFonts w:eastAsia="Calibri"/>
                <w:sz w:val="20"/>
                <w:lang w:val="fr-CA"/>
              </w:rPr>
              <w:t>(Morissette, Gagnon and Bélanger JJ.A.)</w:t>
            </w:r>
          </w:p>
          <w:p w:rsidR="00EC1039" w:rsidRPr="00342605" w:rsidRDefault="007871B3" w:rsidP="007D1B76">
            <w:pPr>
              <w:jc w:val="both"/>
              <w:rPr>
                <w:rFonts w:eastAsia="Calibri"/>
                <w:sz w:val="20"/>
              </w:rPr>
            </w:pPr>
            <w:hyperlink r:id="rId41" w:history="1">
              <w:r w:rsidR="00EC1039" w:rsidRPr="00342605">
                <w:rPr>
                  <w:rFonts w:eastAsia="Calibri"/>
                  <w:color w:val="0000FF"/>
                  <w:sz w:val="20"/>
                  <w:u w:val="single"/>
                </w:rPr>
                <w:t>2014 QCCA 1061</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Respondent’s motion for leave to appeal sentence granted; appeal allowed: sentence reduced to imprisonment for four years and prohibition from operating motor vehicle for four years after period of imprisonment</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August 13, 2014</w:t>
            </w:r>
          </w:p>
          <w:p w:rsidR="00EC1039" w:rsidRPr="00342605" w:rsidRDefault="00EC1039" w:rsidP="007D1B76">
            <w:pPr>
              <w:jc w:val="both"/>
              <w:rPr>
                <w:rFonts w:eastAsia="Calibri"/>
                <w:sz w:val="20"/>
              </w:rPr>
            </w:pPr>
            <w:r w:rsidRPr="00342605">
              <w:rPr>
                <w:rFonts w:eastAsia="Calibri"/>
                <w:sz w:val="20"/>
              </w:rPr>
              <w:t>Supreme Court of Canada</w:t>
            </w: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Application for leave to appeal filed</w:t>
            </w:r>
          </w:p>
          <w:p w:rsidR="00EC1039" w:rsidRPr="00342605" w:rsidRDefault="00EC1039"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53"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Droit criminel – Détermination de la peine – Facteurs devant être pris en considération – Conduite avec facultés affaiblies causant la mort – La Cour d’appel a-t-elle erré en faisant primer l’harmonisation des peines au détriment de la situation locale de la Beauce, qui est particulièrement touchée par les crimes de conduite avec capacités affaiblies? – La Cour d’appel a-t-elle erré en consacrant une fourchette de peines rigide comprenant des catégories strictes, pour laquelle toute dérogation entraînerait une intervention sans retenue? – La Cour d’appel a-t-elle erré en refusant de recevoir la preuve nouvelle déposée par la demanderesse?</w:t>
            </w:r>
          </w:p>
        </w:tc>
      </w:tr>
      <w:tr w:rsidR="00EC1039" w:rsidRPr="009723FD" w:rsidTr="007D1B76">
        <w:tc>
          <w:tcPr>
            <w:tcW w:w="5000" w:type="pct"/>
            <w:gridSpan w:val="3"/>
          </w:tcPr>
          <w:p w:rsidR="00EC1039" w:rsidRPr="00342605" w:rsidRDefault="00EC1039" w:rsidP="007D1B76">
            <w:pPr>
              <w:jc w:val="both"/>
              <w:rPr>
                <w:rFonts w:eastAsia="Calibri"/>
                <w:sz w:val="20"/>
                <w:lang w:val="fr-CA"/>
              </w:rPr>
            </w:pPr>
          </w:p>
        </w:tc>
      </w:tr>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L’intimé Tommy </w:t>
            </w:r>
            <w:proofErr w:type="spellStart"/>
            <w:r w:rsidRPr="00342605">
              <w:rPr>
                <w:rFonts w:eastAsia="Calibri"/>
                <w:sz w:val="20"/>
                <w:lang w:val="fr-CA"/>
              </w:rPr>
              <w:t>Lacasse</w:t>
            </w:r>
            <w:proofErr w:type="spellEnd"/>
            <w:r w:rsidRPr="00342605">
              <w:rPr>
                <w:rFonts w:eastAsia="Calibri"/>
                <w:sz w:val="20"/>
                <w:lang w:val="fr-CA"/>
              </w:rPr>
              <w:t xml:space="preserve"> a plaidé coupable à deux accusations de conduite avec capacités affaiblies par l’alcool causant la mort. Le 17 juin 2011 vers 4h du matin, l’intimé, alors âgé de 18 ans, est au volant de sa voiture lorsque celle-ci quitte la route dans une courbe, à Sainte-Aurélie en Beauce. Les deux passagères assises à l’arrière, Nadia Pruneau, qui célèbre cette nuit-là son 18</w:t>
            </w:r>
            <w:r w:rsidRPr="00342605">
              <w:rPr>
                <w:rFonts w:eastAsia="Calibri"/>
                <w:sz w:val="20"/>
                <w:vertAlign w:val="superscript"/>
                <w:lang w:val="fr-CA"/>
              </w:rPr>
              <w:t>e</w:t>
            </w:r>
            <w:r w:rsidRPr="00342605">
              <w:rPr>
                <w:rFonts w:eastAsia="Calibri"/>
                <w:sz w:val="20"/>
                <w:lang w:val="fr-CA"/>
              </w:rPr>
              <w:t> anniversaire, et Caroline Fortier, 17 ans, sont tuées sur le coup. L’énoncé conjoint des faits déposé pour les fins de la détermination de la peine révèle que l’intimé a consommé plusieurs bières et de la vodka durant la soirée avant de conduire. Le rapport d’enquête de collision révèle que la voiture de l’intimé a abordé la courbe à une vitesse de 130 km/h alors que la vitesse recommandée était de 75 km/h. La voiture a dérapé, puis a fait plusieurs tonneaux dans les airs avant de heurter le sol, et ce, à trois reprises.</w:t>
            </w:r>
          </w:p>
          <w:p w:rsidR="00EC1039" w:rsidRPr="00342605" w:rsidRDefault="00EC1039" w:rsidP="007D1B76">
            <w:pPr>
              <w:jc w:val="both"/>
              <w:rPr>
                <w:rFonts w:eastAsia="Calibri"/>
                <w:sz w:val="20"/>
                <w:lang w:val="fr-CA"/>
              </w:rPr>
            </w:pPr>
          </w:p>
          <w:p w:rsidR="00EC1039" w:rsidRPr="00342605" w:rsidRDefault="00EC1039" w:rsidP="007D1B76">
            <w:pPr>
              <w:jc w:val="both"/>
              <w:rPr>
                <w:rFonts w:eastAsia="Calibri"/>
                <w:sz w:val="20"/>
                <w:lang w:val="fr-CA"/>
              </w:rPr>
            </w:pPr>
            <w:r w:rsidRPr="00342605">
              <w:rPr>
                <w:rFonts w:eastAsia="Calibri"/>
                <w:sz w:val="20"/>
                <w:lang w:val="fr-CA"/>
              </w:rPr>
              <w:t xml:space="preserve">L’intimé est condamné à une peine d’emprisonnement de six ans et six mois ainsi qu’à une interdiction de conduire tout véhicule à moteur au Canada pendant une période de onze ans. La Cour d’appel accueille l’appel de l’intimé et réduit la </w:t>
            </w:r>
            <w:r w:rsidRPr="00342605">
              <w:rPr>
                <w:rFonts w:eastAsia="Calibri"/>
                <w:sz w:val="20"/>
                <w:lang w:val="fr-CA"/>
              </w:rPr>
              <w:lastRenderedPageBreak/>
              <w:t xml:space="preserve">sentence à une peine d’emprisonnement de quatre ans et à une interdiction de conduire de quatre ans suivant la période d’emprisonnement. </w:t>
            </w:r>
          </w:p>
          <w:p w:rsidR="00EC1039" w:rsidRPr="00342605" w:rsidRDefault="00EC1039" w:rsidP="007D1B76">
            <w:pPr>
              <w:jc w:val="both"/>
              <w:rPr>
                <w:rFonts w:eastAsia="Calibri"/>
                <w:sz w:val="20"/>
                <w:lang w:val="fr-CA"/>
              </w:rPr>
            </w:pPr>
          </w:p>
        </w:tc>
      </w:tr>
      <w:tr w:rsidR="00EC1039" w:rsidRPr="009723FD"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lastRenderedPageBreak/>
              <w:t>Le 4 octobre 2013</w:t>
            </w:r>
          </w:p>
          <w:p w:rsidR="00EC1039" w:rsidRPr="00342605" w:rsidRDefault="00EC1039" w:rsidP="007D1B76">
            <w:pPr>
              <w:jc w:val="both"/>
              <w:rPr>
                <w:rFonts w:eastAsia="Calibri"/>
                <w:sz w:val="20"/>
                <w:lang w:val="fr-CA"/>
              </w:rPr>
            </w:pPr>
            <w:r w:rsidRPr="00342605">
              <w:rPr>
                <w:rFonts w:eastAsia="Calibri"/>
                <w:sz w:val="20"/>
                <w:lang w:val="fr-CA"/>
              </w:rPr>
              <w:t>Cour du Québec</w:t>
            </w:r>
          </w:p>
          <w:p w:rsidR="00EC1039" w:rsidRPr="00342605" w:rsidRDefault="00EC1039" w:rsidP="007D1B76">
            <w:pPr>
              <w:jc w:val="both"/>
              <w:rPr>
                <w:rFonts w:eastAsia="Calibri"/>
                <w:sz w:val="20"/>
                <w:lang w:val="fr-CA"/>
              </w:rPr>
            </w:pPr>
            <w:r w:rsidRPr="00342605">
              <w:rPr>
                <w:rFonts w:eastAsia="Calibri"/>
                <w:sz w:val="20"/>
                <w:lang w:val="fr-CA"/>
              </w:rPr>
              <w:t>(Le juge Couture)</w:t>
            </w:r>
          </w:p>
          <w:p w:rsidR="00EC1039" w:rsidRPr="00342605" w:rsidRDefault="007871B3" w:rsidP="007D1B76">
            <w:pPr>
              <w:jc w:val="both"/>
              <w:rPr>
                <w:rFonts w:eastAsia="Calibri"/>
                <w:sz w:val="20"/>
                <w:lang w:val="fr-CA"/>
              </w:rPr>
            </w:pPr>
            <w:hyperlink r:id="rId42" w:history="1">
              <w:r w:rsidR="00EC1039" w:rsidRPr="00342605">
                <w:rPr>
                  <w:rFonts w:eastAsia="Calibri"/>
                  <w:color w:val="0000FF"/>
                  <w:sz w:val="20"/>
                  <w:u w:val="single"/>
                  <w:lang w:val="fr-CA"/>
                </w:rPr>
                <w:t>2013 QCCQ 11960</w:t>
              </w:r>
            </w:hyperlink>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Sentence : six ans et six mois d’emprisonnement et interdiction de conduire tout véhicule à moteur au Canada pendant onze ans</w:t>
            </w:r>
          </w:p>
          <w:p w:rsidR="00EC1039" w:rsidRPr="00342605" w:rsidRDefault="00EC1039" w:rsidP="007D1B76">
            <w:pPr>
              <w:jc w:val="both"/>
              <w:rPr>
                <w:rFonts w:eastAsia="Calibri"/>
                <w:sz w:val="20"/>
                <w:lang w:val="fr-CA"/>
              </w:rPr>
            </w:pPr>
          </w:p>
        </w:tc>
      </w:tr>
      <w:tr w:rsidR="00EC1039" w:rsidRPr="009723FD"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t>Le 15 mai 2014</w:t>
            </w:r>
          </w:p>
          <w:p w:rsidR="00EC1039" w:rsidRPr="00342605" w:rsidRDefault="00EC1039" w:rsidP="007D1B76">
            <w:pPr>
              <w:jc w:val="both"/>
              <w:rPr>
                <w:rFonts w:eastAsia="Calibri"/>
                <w:sz w:val="20"/>
                <w:lang w:val="fr-CA"/>
              </w:rPr>
            </w:pPr>
            <w:r w:rsidRPr="00342605">
              <w:rPr>
                <w:rFonts w:eastAsia="Calibri"/>
                <w:sz w:val="20"/>
                <w:lang w:val="fr-CA"/>
              </w:rPr>
              <w:t>Cour d’appel du Québec (Québec)</w:t>
            </w:r>
          </w:p>
          <w:p w:rsidR="00EC1039" w:rsidRPr="00342605" w:rsidRDefault="00EC1039" w:rsidP="007D1B76">
            <w:pPr>
              <w:jc w:val="both"/>
              <w:rPr>
                <w:rFonts w:eastAsia="Calibri"/>
                <w:sz w:val="20"/>
                <w:lang w:val="fr-CA"/>
              </w:rPr>
            </w:pPr>
            <w:r w:rsidRPr="00342605">
              <w:rPr>
                <w:rFonts w:eastAsia="Calibri"/>
                <w:sz w:val="20"/>
                <w:lang w:val="fr-CA"/>
              </w:rPr>
              <w:t>(Les juges Morissette, Gagnon et Bélanger)</w:t>
            </w:r>
          </w:p>
          <w:p w:rsidR="00EC1039" w:rsidRPr="00342605" w:rsidRDefault="007871B3" w:rsidP="007D1B76">
            <w:pPr>
              <w:jc w:val="both"/>
              <w:rPr>
                <w:rFonts w:eastAsia="Calibri"/>
                <w:sz w:val="20"/>
                <w:lang w:val="fr-CA"/>
              </w:rPr>
            </w:pPr>
            <w:hyperlink r:id="rId43" w:history="1">
              <w:r w:rsidR="00EC1039" w:rsidRPr="00342605">
                <w:rPr>
                  <w:rFonts w:eastAsia="Calibri"/>
                  <w:color w:val="0000FF"/>
                  <w:sz w:val="20"/>
                  <w:u w:val="single"/>
                  <w:lang w:val="fr-CA"/>
                </w:rPr>
                <w:t>2014 QCCA 1061</w:t>
              </w:r>
            </w:hyperlink>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Requête de l’intimé en permission d’appeler de la peine accueillie; appel accueilli : sentence réduite à quatre ans d’emprisonnement et à une interdiction de conduire pour quatre ans suivant la période d’emprisonnement</w:t>
            </w:r>
          </w:p>
          <w:p w:rsidR="00EC1039" w:rsidRPr="00342605" w:rsidRDefault="00EC1039" w:rsidP="007D1B76">
            <w:pPr>
              <w:jc w:val="both"/>
              <w:rPr>
                <w:rFonts w:eastAsia="Calibri"/>
                <w:sz w:val="20"/>
                <w:lang w:val="fr-CA"/>
              </w:rPr>
            </w:pPr>
          </w:p>
        </w:tc>
      </w:tr>
      <w:tr w:rsidR="00EC1039" w:rsidRPr="00342605"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t>Le 13 août 2014</w:t>
            </w:r>
          </w:p>
          <w:p w:rsidR="00EC1039" w:rsidRPr="00342605" w:rsidRDefault="00EC1039" w:rsidP="007D1B76">
            <w:pPr>
              <w:jc w:val="both"/>
              <w:rPr>
                <w:rFonts w:eastAsia="Calibri"/>
                <w:sz w:val="20"/>
                <w:lang w:val="fr-CA"/>
              </w:rPr>
            </w:pPr>
            <w:r w:rsidRPr="00342605">
              <w:rPr>
                <w:rFonts w:eastAsia="Calibri"/>
                <w:sz w:val="20"/>
                <w:lang w:val="fr-CA"/>
              </w:rPr>
              <w:t>Cour suprême du Canada</w:t>
            </w: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Demande d’autorisation d’appel déposée</w:t>
            </w:r>
          </w:p>
          <w:p w:rsidR="00EC1039" w:rsidRPr="00342605" w:rsidRDefault="00EC1039"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54"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011E" w:rsidRPr="00F842B1" w:rsidTr="00DC6331">
        <w:trPr>
          <w:cantSplit/>
        </w:trPr>
        <w:tc>
          <w:tcPr>
            <w:tcW w:w="1458" w:type="dxa"/>
          </w:tcPr>
          <w:p w:rsidR="00D9011E" w:rsidRPr="00F842B1" w:rsidRDefault="00D9011E" w:rsidP="00DC6331">
            <w:pPr>
              <w:rPr>
                <w:sz w:val="20"/>
                <w:szCs w:val="20"/>
              </w:rPr>
            </w:pPr>
            <w:r w:rsidRPr="00F842B1">
              <w:rPr>
                <w:rStyle w:val="SCCFileNumberChar"/>
                <w:sz w:val="20"/>
                <w:szCs w:val="20"/>
              </w:rPr>
              <w:t>36032</w:t>
            </w:r>
          </w:p>
          <w:p w:rsidR="00D9011E" w:rsidRPr="00F842B1" w:rsidRDefault="00D9011E" w:rsidP="00DC6331">
            <w:pPr>
              <w:rPr>
                <w:b/>
                <w:sz w:val="20"/>
                <w:szCs w:val="20"/>
                <w:lang w:val="fr-CA"/>
              </w:rPr>
            </w:pPr>
          </w:p>
        </w:tc>
        <w:tc>
          <w:tcPr>
            <w:tcW w:w="8118" w:type="dxa"/>
          </w:tcPr>
          <w:p w:rsidR="00D9011E" w:rsidRPr="00F842B1" w:rsidRDefault="00D9011E" w:rsidP="00D9011E">
            <w:pPr>
              <w:jc w:val="both"/>
              <w:rPr>
                <w:sz w:val="20"/>
                <w:szCs w:val="20"/>
              </w:rPr>
            </w:pPr>
            <w:r w:rsidRPr="00F842B1">
              <w:rPr>
                <w:rStyle w:val="SCCLsocChar"/>
                <w:sz w:val="20"/>
                <w:szCs w:val="20"/>
                <w:lang w:val="en-CA"/>
              </w:rPr>
              <w:t xml:space="preserve">Pakistan Steel Mills Corporation (Private) Limited v. </w:t>
            </w:r>
            <w:proofErr w:type="spellStart"/>
            <w:r w:rsidRPr="00F842B1">
              <w:rPr>
                <w:rStyle w:val="SCCLsocChar"/>
                <w:sz w:val="20"/>
                <w:szCs w:val="20"/>
                <w:lang w:val="en-CA"/>
              </w:rPr>
              <w:t>Sociedade</w:t>
            </w:r>
            <w:proofErr w:type="spellEnd"/>
            <w:r w:rsidRPr="00F842B1">
              <w:rPr>
                <w:rStyle w:val="SCCLsocChar"/>
                <w:sz w:val="20"/>
                <w:szCs w:val="20"/>
                <w:lang w:val="en-CA"/>
              </w:rPr>
              <w:t>-de-</w:t>
            </w:r>
            <w:proofErr w:type="spellStart"/>
            <w:r w:rsidRPr="00F842B1">
              <w:rPr>
                <w:rStyle w:val="SCCLsocChar"/>
                <w:sz w:val="20"/>
                <w:szCs w:val="20"/>
                <w:lang w:val="en-CA"/>
              </w:rPr>
              <w:t>Fomento</w:t>
            </w:r>
            <w:proofErr w:type="spellEnd"/>
            <w:r w:rsidRPr="00F842B1">
              <w:rPr>
                <w:rStyle w:val="SCCLsocChar"/>
                <w:sz w:val="20"/>
                <w:szCs w:val="20"/>
                <w:lang w:val="en-CA"/>
              </w:rPr>
              <w:t xml:space="preserve"> Industrial Private Limited</w:t>
            </w:r>
            <w:r w:rsidRPr="00F842B1">
              <w:rPr>
                <w:sz w:val="20"/>
                <w:szCs w:val="20"/>
              </w:rPr>
              <w:t xml:space="preserve"> (B.C.) (Civil) (By Leave)</w:t>
            </w:r>
          </w:p>
          <w:p w:rsidR="00D9011E" w:rsidRPr="00F842B1" w:rsidRDefault="00D9011E" w:rsidP="00D9011E">
            <w:pPr>
              <w:jc w:val="both"/>
              <w:rPr>
                <w:sz w:val="20"/>
                <w:szCs w:val="20"/>
              </w:rPr>
            </w:pPr>
          </w:p>
        </w:tc>
      </w:tr>
      <w:tr w:rsidR="00D9011E" w:rsidRPr="00F842B1" w:rsidTr="00DC6331">
        <w:trPr>
          <w:cantSplit/>
        </w:trPr>
        <w:tc>
          <w:tcPr>
            <w:tcW w:w="1458" w:type="dxa"/>
          </w:tcPr>
          <w:p w:rsidR="00D9011E" w:rsidRPr="00F842B1" w:rsidRDefault="00D9011E" w:rsidP="00DC6331">
            <w:pPr>
              <w:rPr>
                <w:sz w:val="20"/>
                <w:szCs w:val="20"/>
              </w:rPr>
            </w:pPr>
            <w:r w:rsidRPr="00F842B1">
              <w:rPr>
                <w:sz w:val="20"/>
                <w:szCs w:val="20"/>
              </w:rPr>
              <w:t>Coram :</w:t>
            </w:r>
          </w:p>
        </w:tc>
        <w:tc>
          <w:tcPr>
            <w:tcW w:w="8118" w:type="dxa"/>
          </w:tcPr>
          <w:p w:rsidR="00D9011E" w:rsidRPr="00F842B1" w:rsidRDefault="00D9011E" w:rsidP="00DC6331">
            <w:pPr>
              <w:rPr>
                <w:sz w:val="20"/>
                <w:szCs w:val="20"/>
              </w:rPr>
            </w:pPr>
            <w:proofErr w:type="spellStart"/>
            <w:r w:rsidRPr="00F842B1">
              <w:rPr>
                <w:rStyle w:val="SCCCoramChar"/>
                <w:sz w:val="20"/>
                <w:szCs w:val="20"/>
                <w:lang w:val="en-CA"/>
              </w:rPr>
              <w:t>Abella</w:t>
            </w:r>
            <w:proofErr w:type="spellEnd"/>
            <w:r w:rsidRPr="00F842B1">
              <w:rPr>
                <w:rStyle w:val="SCCCoramChar"/>
                <w:sz w:val="20"/>
                <w:szCs w:val="20"/>
                <w:lang w:val="en-CA"/>
              </w:rPr>
              <w:t xml:space="preserve">, Rothstein and </w:t>
            </w:r>
            <w:proofErr w:type="spellStart"/>
            <w:r w:rsidRPr="00F842B1">
              <w:rPr>
                <w:rStyle w:val="SCCCoramChar"/>
                <w:sz w:val="20"/>
                <w:szCs w:val="20"/>
                <w:lang w:val="en-CA"/>
              </w:rPr>
              <w:t>Moldaver</w:t>
            </w:r>
            <w:proofErr w:type="spellEnd"/>
            <w:r w:rsidRPr="00F842B1">
              <w:rPr>
                <w:rStyle w:val="SCCCoramChar"/>
                <w:sz w:val="20"/>
                <w:szCs w:val="20"/>
                <w:lang w:val="en-CA"/>
              </w:rPr>
              <w:t> JJ.</w:t>
            </w:r>
          </w:p>
          <w:p w:rsidR="00D9011E" w:rsidRPr="00F842B1" w:rsidRDefault="00D9011E" w:rsidP="00DC6331">
            <w:pPr>
              <w:rPr>
                <w:sz w:val="20"/>
                <w:szCs w:val="20"/>
                <w:u w:val="single"/>
              </w:rPr>
            </w:pPr>
          </w:p>
        </w:tc>
      </w:tr>
      <w:tr w:rsidR="00D9011E" w:rsidRPr="009723FD" w:rsidTr="00DC6331">
        <w:trPr>
          <w:cantSplit/>
        </w:trPr>
        <w:tc>
          <w:tcPr>
            <w:tcW w:w="9576" w:type="dxa"/>
            <w:gridSpan w:val="2"/>
          </w:tcPr>
          <w:p w:rsidR="00D9011E" w:rsidRPr="00F842B1" w:rsidRDefault="00D9011E" w:rsidP="00DC6331">
            <w:pPr>
              <w:pStyle w:val="SCCShortJudgment"/>
              <w:rPr>
                <w:szCs w:val="20"/>
              </w:rPr>
            </w:pPr>
            <w:r w:rsidRPr="00F842B1">
              <w:rPr>
                <w:szCs w:val="20"/>
              </w:rPr>
              <w:t>The application for leave to appeal from the judgment of the Court of Appeal for British Columbia (Vancouver), Number CA041130, 2014 BCCA 205, dated June 2, 2014, is dismissed with costs.</w:t>
            </w:r>
          </w:p>
          <w:p w:rsidR="00D9011E" w:rsidRPr="00F842B1" w:rsidRDefault="00D9011E" w:rsidP="00DC6331">
            <w:pPr>
              <w:pStyle w:val="SCCShortJudgment"/>
              <w:ind w:firstLine="0"/>
              <w:rPr>
                <w:szCs w:val="20"/>
              </w:rPr>
            </w:pPr>
          </w:p>
          <w:p w:rsidR="00D9011E" w:rsidRPr="00F842B1" w:rsidRDefault="00D9011E" w:rsidP="00D9011E">
            <w:pPr>
              <w:pStyle w:val="SCCShortJudgment"/>
              <w:rPr>
                <w:szCs w:val="20"/>
                <w:lang w:val="fr-CA"/>
              </w:rPr>
            </w:pPr>
            <w:r w:rsidRPr="00F842B1">
              <w:rPr>
                <w:szCs w:val="20"/>
                <w:lang w:val="fr-CA"/>
              </w:rPr>
              <w:t>La demande d’autorisation d’appel de l’arrêt de la Cour d’appel de la Colombie-Britannique (Vancouver), numéro CA041130, 2014 BCCA 205, daté du 2 juin 2014, est rejetée avec dépens.</w:t>
            </w:r>
          </w:p>
        </w:tc>
      </w:tr>
    </w:tbl>
    <w:p w:rsidR="00A325AC" w:rsidRPr="00D9011E"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Private international law – Arbitration – Courts – Enforcement of arbitration awards – Injunctions – Test for proper exercise of discretion to grant </w:t>
            </w:r>
            <w:proofErr w:type="spellStart"/>
            <w:r w:rsidRPr="00342605">
              <w:rPr>
                <w:rFonts w:eastAsia="Calibri"/>
                <w:i/>
                <w:sz w:val="20"/>
              </w:rPr>
              <w:t>Mareva</w:t>
            </w:r>
            <w:proofErr w:type="spellEnd"/>
            <w:r w:rsidRPr="00342605">
              <w:rPr>
                <w:rFonts w:eastAsia="Calibri"/>
                <w:sz w:val="20"/>
              </w:rPr>
              <w:t xml:space="preserve"> injunctions – Whether a </w:t>
            </w:r>
            <w:proofErr w:type="spellStart"/>
            <w:r w:rsidRPr="00342605">
              <w:rPr>
                <w:rFonts w:eastAsia="Calibri"/>
                <w:i/>
                <w:sz w:val="20"/>
              </w:rPr>
              <w:t>Mareva</w:t>
            </w:r>
            <w:proofErr w:type="spellEnd"/>
            <w:r w:rsidRPr="00342605">
              <w:rPr>
                <w:rFonts w:eastAsia="Calibri"/>
                <w:sz w:val="20"/>
              </w:rPr>
              <w:t xml:space="preserve"> injunction to secure an international arbitration award is properly granted where the parties have little connection to the jurisdiction and the award could be enforced in the debtor’s jurisdiction – Is a </w:t>
            </w:r>
            <w:proofErr w:type="spellStart"/>
            <w:r w:rsidRPr="00342605">
              <w:rPr>
                <w:rFonts w:eastAsia="Calibri"/>
                <w:i/>
                <w:sz w:val="20"/>
              </w:rPr>
              <w:t>Mareva</w:t>
            </w:r>
            <w:proofErr w:type="spellEnd"/>
            <w:r w:rsidRPr="00342605">
              <w:rPr>
                <w:rFonts w:eastAsia="Calibri"/>
                <w:sz w:val="20"/>
              </w:rPr>
              <w:t xml:space="preserve"> injunction a natural incident of a proceeding to enforce a foreign arbitral award, or an extraordinary order available only where justice requires – Should courts ignore the presence of foreign assets and the availability of foreign enforcement mechanisms in determining whether the balance of justice and convenience favours a </w:t>
            </w:r>
            <w:proofErr w:type="spellStart"/>
            <w:r w:rsidRPr="00342605">
              <w:rPr>
                <w:rFonts w:eastAsia="Calibri"/>
                <w:i/>
                <w:sz w:val="20"/>
              </w:rPr>
              <w:t>Mareva</w:t>
            </w:r>
            <w:proofErr w:type="spellEnd"/>
            <w:r w:rsidRPr="00342605">
              <w:rPr>
                <w:rFonts w:eastAsia="Calibri"/>
                <w:sz w:val="20"/>
              </w:rPr>
              <w:t xml:space="preserve"> injunction.</w:t>
            </w:r>
          </w:p>
        </w:tc>
      </w:tr>
      <w:tr w:rsidR="00EC1039" w:rsidRPr="00342605" w:rsidTr="007D1B76">
        <w:tc>
          <w:tcPr>
            <w:tcW w:w="5000" w:type="pct"/>
            <w:gridSpan w:val="3"/>
          </w:tcPr>
          <w:p w:rsidR="00EC1039" w:rsidRPr="00342605" w:rsidRDefault="00EC1039" w:rsidP="007D1B76">
            <w:pPr>
              <w:jc w:val="both"/>
              <w:rPr>
                <w:rFonts w:eastAsia="Calibri"/>
                <w:sz w:val="20"/>
              </w:rPr>
            </w:pPr>
          </w:p>
        </w:tc>
      </w:tr>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The respondent obtained a final arbitration award against the applicant from the International Chamber of Commerce International Court of Arbitration.  The respondent filed a petition with the Supreme Court of British Columbia for recognition and enforcement of the award and also sought and obtained security for it through an </w:t>
            </w:r>
            <w:r w:rsidRPr="00342605">
              <w:rPr>
                <w:rFonts w:eastAsia="Calibri"/>
                <w:i/>
                <w:sz w:val="20"/>
              </w:rPr>
              <w:t>ex parte</w:t>
            </w:r>
            <w:r w:rsidRPr="00342605">
              <w:rPr>
                <w:rFonts w:eastAsia="Calibri"/>
                <w:sz w:val="20"/>
              </w:rPr>
              <w:t xml:space="preserve"> </w:t>
            </w:r>
            <w:proofErr w:type="spellStart"/>
            <w:r w:rsidRPr="00342605">
              <w:rPr>
                <w:rFonts w:eastAsia="Calibri"/>
                <w:i/>
                <w:sz w:val="20"/>
              </w:rPr>
              <w:t>Mareva</w:t>
            </w:r>
            <w:proofErr w:type="spellEnd"/>
            <w:r w:rsidRPr="00342605">
              <w:rPr>
                <w:rFonts w:eastAsia="Calibri"/>
                <w:sz w:val="20"/>
              </w:rPr>
              <w:t xml:space="preserve"> injunction.  The injunction was used to prevent a shipment of coal purchased by the applicant FOB from leaving British Columbia by vessel.  The respondent agreed to indemnify the charterer.</w:t>
            </w:r>
          </w:p>
          <w:p w:rsidR="00EC1039" w:rsidRPr="00342605" w:rsidRDefault="00EC1039" w:rsidP="007D1B76">
            <w:pPr>
              <w:jc w:val="both"/>
              <w:rPr>
                <w:rFonts w:eastAsia="Calibri"/>
                <w:sz w:val="20"/>
              </w:rPr>
            </w:pPr>
          </w:p>
          <w:p w:rsidR="00EC1039" w:rsidRPr="00342605" w:rsidRDefault="00EC1039" w:rsidP="007D1B76">
            <w:pPr>
              <w:jc w:val="both"/>
              <w:rPr>
                <w:rFonts w:eastAsia="Calibri"/>
                <w:sz w:val="20"/>
              </w:rPr>
            </w:pPr>
            <w:r w:rsidRPr="00342605">
              <w:rPr>
                <w:rFonts w:eastAsia="Calibri"/>
                <w:sz w:val="20"/>
              </w:rPr>
              <w:t xml:space="preserve">The respondent then applied to the Supreme Court of British Columbia for an order </w:t>
            </w:r>
            <w:proofErr w:type="gramStart"/>
            <w:r w:rsidRPr="00342605">
              <w:rPr>
                <w:rFonts w:eastAsia="Calibri"/>
                <w:sz w:val="20"/>
              </w:rPr>
              <w:t>authorizing  recovery</w:t>
            </w:r>
            <w:proofErr w:type="gramEnd"/>
            <w:r w:rsidRPr="00342605">
              <w:rPr>
                <w:rFonts w:eastAsia="Calibri"/>
                <w:sz w:val="20"/>
              </w:rPr>
              <w:t xml:space="preserve"> of its expenses in enforcing the award, including the amounts it had paid to the charterer.  The applicant brought an application for a declaration that the respondent was liable for the applicant’s losses suffered from the </w:t>
            </w:r>
            <w:proofErr w:type="spellStart"/>
            <w:r w:rsidRPr="00342605">
              <w:rPr>
                <w:rFonts w:eastAsia="Calibri"/>
                <w:i/>
                <w:sz w:val="20"/>
              </w:rPr>
              <w:t>Mareva</w:t>
            </w:r>
            <w:proofErr w:type="spellEnd"/>
            <w:r w:rsidRPr="00342605">
              <w:rPr>
                <w:rFonts w:eastAsia="Calibri"/>
                <w:sz w:val="20"/>
              </w:rPr>
              <w:t xml:space="preserve"> injunction.  The chambers judge held that there was material non-disclosure by the respondent in the application for the </w:t>
            </w:r>
            <w:proofErr w:type="spellStart"/>
            <w:r w:rsidRPr="00342605">
              <w:rPr>
                <w:rFonts w:eastAsia="Calibri"/>
                <w:i/>
                <w:sz w:val="20"/>
              </w:rPr>
              <w:t>Mareva</w:t>
            </w:r>
            <w:proofErr w:type="spellEnd"/>
            <w:r w:rsidRPr="00342605">
              <w:rPr>
                <w:rFonts w:eastAsia="Calibri"/>
                <w:sz w:val="20"/>
              </w:rPr>
              <w:t xml:space="preserve"> injunction, through its failure to disclose to the granting judge its ability to enforce its award in Pakistan.  She also fund that many factors </w:t>
            </w:r>
            <w:r w:rsidRPr="00342605">
              <w:rPr>
                <w:rFonts w:eastAsia="Calibri"/>
                <w:sz w:val="20"/>
              </w:rPr>
              <w:lastRenderedPageBreak/>
              <w:t xml:space="preserve">weighed against granting such an injunction in this case.  She granted the application by the applicant and dismissed that of the respondent.  The Court of Appeal for British Columbia allowed the respondent’s appeal, holding that there had been no material non-disclosure and that the discretion to grant a </w:t>
            </w:r>
            <w:proofErr w:type="spellStart"/>
            <w:r w:rsidRPr="00342605">
              <w:rPr>
                <w:rFonts w:eastAsia="Calibri"/>
                <w:i/>
                <w:sz w:val="20"/>
              </w:rPr>
              <w:t>Mareva</w:t>
            </w:r>
            <w:proofErr w:type="spellEnd"/>
            <w:r w:rsidRPr="00342605">
              <w:rPr>
                <w:rFonts w:eastAsia="Calibri"/>
                <w:sz w:val="20"/>
              </w:rPr>
              <w:t xml:space="preserve"> injunction had been properly exercised.  The matter was remitted to the lower court for an assessment of expenses.</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lastRenderedPageBreak/>
              <w:t>July 22, 2013</w:t>
            </w:r>
          </w:p>
          <w:p w:rsidR="00EC1039" w:rsidRPr="00342605" w:rsidRDefault="00EC1039" w:rsidP="007D1B76">
            <w:pPr>
              <w:jc w:val="both"/>
              <w:rPr>
                <w:rFonts w:eastAsia="Calibri"/>
                <w:sz w:val="20"/>
              </w:rPr>
            </w:pPr>
            <w:r w:rsidRPr="00342605">
              <w:rPr>
                <w:rFonts w:eastAsia="Calibri"/>
                <w:sz w:val="20"/>
              </w:rPr>
              <w:t>Supreme Court of British Columbia</w:t>
            </w:r>
          </w:p>
          <w:p w:rsidR="00EC1039" w:rsidRPr="00342605" w:rsidRDefault="00EC1039" w:rsidP="007D1B76">
            <w:pPr>
              <w:jc w:val="both"/>
              <w:rPr>
                <w:rFonts w:eastAsia="Calibri"/>
                <w:sz w:val="20"/>
              </w:rPr>
            </w:pPr>
            <w:r w:rsidRPr="00342605">
              <w:rPr>
                <w:rFonts w:eastAsia="Calibri"/>
                <w:sz w:val="20"/>
              </w:rPr>
              <w:t>(Ross J.)</w:t>
            </w:r>
          </w:p>
          <w:p w:rsidR="00EC1039" w:rsidRPr="00342605" w:rsidRDefault="007871B3" w:rsidP="007D1B76">
            <w:pPr>
              <w:jc w:val="both"/>
              <w:rPr>
                <w:rFonts w:eastAsia="Calibri"/>
                <w:sz w:val="20"/>
              </w:rPr>
            </w:pPr>
            <w:hyperlink r:id="rId44" w:history="1">
              <w:r w:rsidR="00EC1039" w:rsidRPr="00342605">
                <w:rPr>
                  <w:rFonts w:eastAsia="Calibri"/>
                  <w:color w:val="0000FF"/>
                  <w:sz w:val="20"/>
                  <w:u w:val="single"/>
                </w:rPr>
                <w:t>2013 BCSC 1304</w:t>
              </w:r>
            </w:hyperlink>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 xml:space="preserve">Respondent’s application for an Order that the applicant reimburse its losses and expenses, dismissed; Applicant’s application for a declaration that the respondent must pay it damages resulting from the </w:t>
            </w:r>
            <w:proofErr w:type="spellStart"/>
            <w:r w:rsidRPr="00342605">
              <w:rPr>
                <w:rFonts w:eastAsia="Calibri"/>
                <w:i/>
                <w:sz w:val="20"/>
              </w:rPr>
              <w:t>Mareva</w:t>
            </w:r>
            <w:proofErr w:type="spellEnd"/>
            <w:r w:rsidRPr="00342605">
              <w:rPr>
                <w:rFonts w:eastAsia="Calibri"/>
                <w:sz w:val="20"/>
              </w:rPr>
              <w:t xml:space="preserve"> injunction, allowed</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June 2, 2014</w:t>
            </w:r>
          </w:p>
          <w:p w:rsidR="00EC1039" w:rsidRPr="00342605" w:rsidRDefault="00EC1039" w:rsidP="007D1B76">
            <w:pPr>
              <w:jc w:val="both"/>
              <w:rPr>
                <w:rFonts w:eastAsia="Calibri"/>
                <w:sz w:val="20"/>
              </w:rPr>
            </w:pPr>
            <w:r w:rsidRPr="00342605">
              <w:rPr>
                <w:rFonts w:eastAsia="Calibri"/>
                <w:sz w:val="20"/>
              </w:rPr>
              <w:t xml:space="preserve">Court of Appeal for British Columbia </w:t>
            </w:r>
          </w:p>
          <w:p w:rsidR="00EC1039" w:rsidRPr="00342605" w:rsidRDefault="00EC1039" w:rsidP="007D1B76">
            <w:pPr>
              <w:jc w:val="both"/>
              <w:rPr>
                <w:rFonts w:eastAsia="Calibri"/>
                <w:sz w:val="20"/>
              </w:rPr>
            </w:pPr>
            <w:r w:rsidRPr="00342605">
              <w:rPr>
                <w:rFonts w:eastAsia="Calibri"/>
                <w:sz w:val="20"/>
              </w:rPr>
              <w:t>(Vancouver)</w:t>
            </w:r>
          </w:p>
          <w:p w:rsidR="00EC1039" w:rsidRPr="00342605" w:rsidRDefault="00EC1039" w:rsidP="007D1B76">
            <w:pPr>
              <w:jc w:val="both"/>
              <w:rPr>
                <w:rFonts w:eastAsia="Calibri"/>
                <w:sz w:val="20"/>
              </w:rPr>
            </w:pPr>
            <w:r w:rsidRPr="00342605">
              <w:rPr>
                <w:rFonts w:eastAsia="Calibri"/>
                <w:sz w:val="20"/>
              </w:rPr>
              <w:t>(Levine, Neilson and Garson JJ.A.)</w:t>
            </w:r>
          </w:p>
          <w:p w:rsidR="00EC1039" w:rsidRPr="00342605" w:rsidRDefault="007871B3" w:rsidP="007D1B76">
            <w:pPr>
              <w:jc w:val="both"/>
              <w:rPr>
                <w:rFonts w:eastAsia="Calibri"/>
                <w:sz w:val="20"/>
              </w:rPr>
            </w:pPr>
            <w:hyperlink r:id="rId45" w:history="1">
              <w:r w:rsidR="00EC1039" w:rsidRPr="00342605">
                <w:rPr>
                  <w:rFonts w:eastAsia="Calibri"/>
                  <w:color w:val="0000FF"/>
                  <w:sz w:val="20"/>
                  <w:u w:val="single"/>
                </w:rPr>
                <w:t>2014 BCCA 205</w:t>
              </w:r>
            </w:hyperlink>
            <w:r w:rsidR="00EC1039" w:rsidRPr="00342605">
              <w:rPr>
                <w:rFonts w:eastAsia="Calibri"/>
                <w:sz w:val="20"/>
              </w:rPr>
              <w:t>; CA041130</w:t>
            </w:r>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Appeal allowed</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September 2, 2014</w:t>
            </w:r>
          </w:p>
          <w:p w:rsidR="00EC1039" w:rsidRPr="00342605" w:rsidRDefault="00EC1039" w:rsidP="007D1B76">
            <w:pPr>
              <w:jc w:val="both"/>
              <w:rPr>
                <w:rFonts w:eastAsia="Calibri"/>
                <w:sz w:val="20"/>
              </w:rPr>
            </w:pPr>
            <w:r w:rsidRPr="00342605">
              <w:rPr>
                <w:rFonts w:eastAsia="Calibri"/>
                <w:sz w:val="20"/>
              </w:rPr>
              <w:t>Supreme Court of Canada</w:t>
            </w: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Application for leave to appeal filed</w:t>
            </w: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55"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Droit international privé – Arbitrage – Tribunaux – Exécution de sentences arbitrales – Injonctions – Critère relatif à l’exercice approprié du pouvoir discrétionnaire de prononcer des injonctions </w:t>
            </w:r>
            <w:proofErr w:type="spellStart"/>
            <w:r w:rsidRPr="00342605">
              <w:rPr>
                <w:rFonts w:eastAsia="Calibri"/>
                <w:i/>
                <w:sz w:val="20"/>
                <w:lang w:val="fr-CA"/>
              </w:rPr>
              <w:t>Mareva</w:t>
            </w:r>
            <w:proofErr w:type="spellEnd"/>
            <w:r w:rsidRPr="00342605">
              <w:rPr>
                <w:rFonts w:eastAsia="Calibri"/>
                <w:sz w:val="20"/>
                <w:lang w:val="fr-CA"/>
              </w:rPr>
              <w:t xml:space="preserve"> – Peut-on à bon droit prononcer une injonction </w:t>
            </w:r>
            <w:proofErr w:type="spellStart"/>
            <w:r w:rsidRPr="00342605">
              <w:rPr>
                <w:rFonts w:eastAsia="Calibri"/>
                <w:i/>
                <w:sz w:val="20"/>
                <w:lang w:val="fr-CA"/>
              </w:rPr>
              <w:t>Mareva</w:t>
            </w:r>
            <w:proofErr w:type="spellEnd"/>
            <w:r w:rsidRPr="00342605">
              <w:rPr>
                <w:rFonts w:eastAsia="Calibri"/>
                <w:sz w:val="20"/>
                <w:lang w:val="fr-CA"/>
              </w:rPr>
              <w:t xml:space="preserve"> pour assurer l’exécution d’une sentence arbitrale internationale lorsque les parties ont peu de liens avec le ressort et que la sentence peut être exécutée dans le ressort du débiteur? – Une injonction </w:t>
            </w:r>
            <w:proofErr w:type="spellStart"/>
            <w:r w:rsidRPr="00342605">
              <w:rPr>
                <w:rFonts w:eastAsia="Calibri"/>
                <w:i/>
                <w:sz w:val="20"/>
                <w:lang w:val="fr-CA"/>
              </w:rPr>
              <w:t>Mareva</w:t>
            </w:r>
            <w:proofErr w:type="spellEnd"/>
            <w:r w:rsidRPr="00342605">
              <w:rPr>
                <w:rFonts w:eastAsia="Calibri"/>
                <w:sz w:val="20"/>
                <w:lang w:val="fr-CA"/>
              </w:rPr>
              <w:t xml:space="preserve"> est-elle un incident naturel d’une instance d’exécution d’une sentence arbitrale étrangère ou une ordonnance extraordinaire qui ne peut être prononcée que si la justice l’exige? – Les tribunaux doivent-ils faire abstraction de la présence de biens étrangers et de la disponibilité de mécanismes d’exécution étrangers pour déterminer si les intérêts de la justice et la prépondérance des inconvénients militent en faveur d’une injonction </w:t>
            </w:r>
            <w:proofErr w:type="spellStart"/>
            <w:r w:rsidRPr="00342605">
              <w:rPr>
                <w:rFonts w:eastAsia="Calibri"/>
                <w:i/>
                <w:sz w:val="20"/>
                <w:lang w:val="fr-CA"/>
              </w:rPr>
              <w:t>Mareva</w:t>
            </w:r>
            <w:proofErr w:type="spellEnd"/>
            <w:r w:rsidRPr="00342605">
              <w:rPr>
                <w:rFonts w:eastAsia="Calibri"/>
                <w:sz w:val="20"/>
                <w:lang w:val="fr-CA"/>
              </w:rPr>
              <w:t>?</w:t>
            </w:r>
          </w:p>
        </w:tc>
      </w:tr>
      <w:tr w:rsidR="00EC1039" w:rsidRPr="009723FD" w:rsidTr="007D1B76">
        <w:tc>
          <w:tcPr>
            <w:tcW w:w="5000" w:type="pct"/>
            <w:gridSpan w:val="3"/>
          </w:tcPr>
          <w:p w:rsidR="00EC1039" w:rsidRPr="00342605" w:rsidRDefault="00EC1039" w:rsidP="007D1B76">
            <w:pPr>
              <w:jc w:val="both"/>
              <w:rPr>
                <w:rFonts w:eastAsia="Calibri"/>
                <w:sz w:val="20"/>
                <w:lang w:val="fr-CA"/>
              </w:rPr>
            </w:pPr>
          </w:p>
        </w:tc>
      </w:tr>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L’intimée a obtenu contre la demanderesse une sentence arbitrale finale prononcée par la Cour internationale d’arbitrage de la Chambre de commerce internationale.  L’intimée a déposé une requête à la Cour suprême de la Colombie-Britannique pour la reconnaissance et l’exécution de la sentence et a demandé et obtenu une garantie d’exécution au moyen d’une injonction </w:t>
            </w:r>
            <w:proofErr w:type="spellStart"/>
            <w:r w:rsidRPr="00342605">
              <w:rPr>
                <w:rFonts w:eastAsia="Calibri"/>
                <w:i/>
                <w:sz w:val="20"/>
                <w:lang w:val="fr-CA"/>
              </w:rPr>
              <w:t>Mareva</w:t>
            </w:r>
            <w:proofErr w:type="spellEnd"/>
            <w:r w:rsidRPr="00342605">
              <w:rPr>
                <w:rFonts w:eastAsia="Calibri"/>
                <w:sz w:val="20"/>
                <w:lang w:val="fr-CA"/>
              </w:rPr>
              <w:t xml:space="preserve"> </w:t>
            </w:r>
            <w:r w:rsidRPr="00342605">
              <w:rPr>
                <w:rFonts w:eastAsia="Calibri"/>
                <w:i/>
                <w:sz w:val="20"/>
                <w:lang w:val="fr-CA"/>
              </w:rPr>
              <w:t>ex parte</w:t>
            </w:r>
            <w:r w:rsidRPr="00342605">
              <w:rPr>
                <w:rFonts w:eastAsia="Calibri"/>
                <w:sz w:val="20"/>
                <w:lang w:val="fr-CA"/>
              </w:rPr>
              <w:t>.  L’injonction a été utilisée pour empêcher une cargaison de charbon acheté FAB par la demanderesse de quitter la Colombie-Britannique par navire.  L’intimée a accepté d’indemniser l’affréteur.</w:t>
            </w:r>
          </w:p>
          <w:p w:rsidR="00EC1039" w:rsidRPr="00342605" w:rsidRDefault="00EC1039" w:rsidP="007D1B76">
            <w:pPr>
              <w:jc w:val="both"/>
              <w:rPr>
                <w:rFonts w:eastAsia="Calibri"/>
                <w:sz w:val="20"/>
                <w:lang w:val="fr-CA"/>
              </w:rPr>
            </w:pPr>
          </w:p>
          <w:p w:rsidR="00EC1039" w:rsidRPr="00342605" w:rsidRDefault="00EC1039" w:rsidP="007D1B76">
            <w:pPr>
              <w:jc w:val="both"/>
              <w:rPr>
                <w:rFonts w:eastAsia="Calibri"/>
                <w:sz w:val="20"/>
                <w:lang w:val="fr-CA"/>
              </w:rPr>
            </w:pPr>
            <w:r w:rsidRPr="00342605">
              <w:rPr>
                <w:rFonts w:eastAsia="Calibri"/>
                <w:sz w:val="20"/>
                <w:lang w:val="fr-CA"/>
              </w:rPr>
              <w:t xml:space="preserve">L’intimée a ensuite demandé à la Cour suprême de la Colombie-Britannique de prononcer une ordonnance autorisant la récupération de ses frais dans l’exécution de la sentence, y compris les montants qu’elle avait payés à l’affréteur.  La demanderesse a demandé un jugement déclarant que l’intimée était responsable des pertes subies par la demanderesse à la suite de l’injonction </w:t>
            </w:r>
            <w:proofErr w:type="spellStart"/>
            <w:r w:rsidRPr="00342605">
              <w:rPr>
                <w:rFonts w:eastAsia="Calibri"/>
                <w:i/>
                <w:sz w:val="20"/>
                <w:lang w:val="fr-CA"/>
              </w:rPr>
              <w:t>Mareva</w:t>
            </w:r>
            <w:proofErr w:type="spellEnd"/>
            <w:r w:rsidRPr="00342605">
              <w:rPr>
                <w:rFonts w:eastAsia="Calibri"/>
                <w:sz w:val="20"/>
                <w:lang w:val="fr-CA"/>
              </w:rPr>
              <w:t xml:space="preserve">.  La juge en son cabinet a statué que l’intimée avait omis de communiquer des renseignements importants dans la demande d’injonction </w:t>
            </w:r>
            <w:proofErr w:type="spellStart"/>
            <w:r w:rsidRPr="00342605">
              <w:rPr>
                <w:rFonts w:eastAsia="Calibri"/>
                <w:i/>
                <w:sz w:val="20"/>
                <w:lang w:val="fr-CA"/>
              </w:rPr>
              <w:t>Mareva</w:t>
            </w:r>
            <w:proofErr w:type="spellEnd"/>
            <w:r w:rsidRPr="00342605">
              <w:rPr>
                <w:rFonts w:eastAsia="Calibri"/>
                <w:sz w:val="20"/>
                <w:lang w:val="fr-CA"/>
              </w:rPr>
              <w:t xml:space="preserve">, en ayant omis de révéler au juge qui l’avait prononcée sa capacité d’exécuter sa sentence au Pakistan.  Elle a également conclu que plusieurs facteurs militaient contre l’octroi d’une telle injonction en l’espèce.  Elle a accueilli la demande de la demanderesse et rejetée celle de l’intimée.  La Cour d’appel de la Colombie-Britannique a accueilli l’appel de l’intimée, statuant qu’il n’y avait pas eu non-communication d’un renseignement important et que le juge avait exercé à bon droit son pouvoir discrétionnaire de prononcer une injonction </w:t>
            </w:r>
            <w:proofErr w:type="spellStart"/>
            <w:r w:rsidRPr="00342605">
              <w:rPr>
                <w:rFonts w:eastAsia="Calibri"/>
                <w:i/>
                <w:sz w:val="20"/>
                <w:lang w:val="fr-CA"/>
              </w:rPr>
              <w:t>Mareva</w:t>
            </w:r>
            <w:proofErr w:type="spellEnd"/>
            <w:r w:rsidRPr="00342605">
              <w:rPr>
                <w:rFonts w:eastAsia="Calibri"/>
                <w:sz w:val="20"/>
                <w:lang w:val="fr-CA"/>
              </w:rPr>
              <w:t>.  L’affaire a été renvoyée à la juridiction inférieure pour une évaluation des frais.</w:t>
            </w:r>
          </w:p>
          <w:p w:rsidR="00EC1039" w:rsidRPr="00342605" w:rsidRDefault="00EC1039" w:rsidP="007D1B76">
            <w:pPr>
              <w:jc w:val="both"/>
              <w:rPr>
                <w:rFonts w:eastAsia="Calibri"/>
                <w:sz w:val="20"/>
                <w:lang w:val="fr-CA"/>
              </w:rPr>
            </w:pPr>
          </w:p>
        </w:tc>
      </w:tr>
      <w:tr w:rsidR="00EC1039" w:rsidRPr="009723FD"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lastRenderedPageBreak/>
              <w:t>22 juillet 2013</w:t>
            </w:r>
          </w:p>
          <w:p w:rsidR="00EC1039" w:rsidRPr="00342605" w:rsidRDefault="00EC1039" w:rsidP="007D1B76">
            <w:pPr>
              <w:jc w:val="both"/>
              <w:rPr>
                <w:rFonts w:eastAsia="Calibri"/>
                <w:sz w:val="20"/>
                <w:lang w:val="fr-CA"/>
              </w:rPr>
            </w:pPr>
            <w:r w:rsidRPr="00342605">
              <w:rPr>
                <w:rFonts w:eastAsia="Calibri"/>
                <w:sz w:val="20"/>
                <w:lang w:val="fr-CA"/>
              </w:rPr>
              <w:t>Cour suprême de la Colombie-Britannique</w:t>
            </w:r>
          </w:p>
          <w:p w:rsidR="00EC1039" w:rsidRPr="00342605" w:rsidRDefault="00EC1039" w:rsidP="007D1B76">
            <w:pPr>
              <w:jc w:val="both"/>
              <w:rPr>
                <w:rFonts w:eastAsia="Calibri"/>
                <w:sz w:val="20"/>
                <w:lang w:val="fr-CA"/>
              </w:rPr>
            </w:pPr>
            <w:r w:rsidRPr="00342605">
              <w:rPr>
                <w:rFonts w:eastAsia="Calibri"/>
                <w:sz w:val="20"/>
                <w:lang w:val="fr-CA"/>
              </w:rPr>
              <w:t>(Juge Ross)</w:t>
            </w:r>
          </w:p>
          <w:p w:rsidR="00EC1039" w:rsidRPr="00342605" w:rsidRDefault="007871B3" w:rsidP="007D1B76">
            <w:pPr>
              <w:jc w:val="both"/>
              <w:rPr>
                <w:rFonts w:eastAsia="Calibri"/>
                <w:sz w:val="20"/>
                <w:lang w:val="fr-CA"/>
              </w:rPr>
            </w:pPr>
            <w:hyperlink r:id="rId46" w:history="1">
              <w:r w:rsidR="00EC1039" w:rsidRPr="00342605">
                <w:rPr>
                  <w:rFonts w:eastAsia="Calibri"/>
                  <w:color w:val="0000FF"/>
                  <w:sz w:val="20"/>
                  <w:u w:val="single"/>
                  <w:lang w:val="fr-CA"/>
                </w:rPr>
                <w:t>2013 BCSC 1304</w:t>
              </w:r>
            </w:hyperlink>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 xml:space="preserve">Demande de l’intimée visant à obtenir une ordonnance enjoignant à la demanderesse de lui rembourser ses pertes et ses frais, rejetée; demande de la demanderesse visant à obtenir un jugement déclarant que l’intimée doit lui payer les dommages subis à la suite de l’injonction </w:t>
            </w:r>
            <w:proofErr w:type="spellStart"/>
            <w:r w:rsidRPr="00342605">
              <w:rPr>
                <w:rFonts w:eastAsia="Calibri"/>
                <w:i/>
                <w:sz w:val="20"/>
                <w:lang w:val="fr-CA"/>
              </w:rPr>
              <w:t>Mareva</w:t>
            </w:r>
            <w:proofErr w:type="spellEnd"/>
            <w:r w:rsidRPr="00342605">
              <w:rPr>
                <w:rFonts w:eastAsia="Calibri"/>
                <w:sz w:val="20"/>
                <w:lang w:val="fr-CA"/>
              </w:rPr>
              <w:t>, accueillie</w:t>
            </w:r>
          </w:p>
          <w:p w:rsidR="00EC1039" w:rsidRPr="00342605" w:rsidRDefault="00EC1039" w:rsidP="007D1B76">
            <w:pPr>
              <w:jc w:val="both"/>
              <w:rPr>
                <w:rFonts w:eastAsia="Calibri"/>
                <w:sz w:val="20"/>
                <w:lang w:val="fr-CA"/>
              </w:rPr>
            </w:pPr>
          </w:p>
        </w:tc>
      </w:tr>
      <w:tr w:rsidR="00EC1039" w:rsidRPr="00342605"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t>2 juin 2014</w:t>
            </w:r>
          </w:p>
          <w:p w:rsidR="00EC1039" w:rsidRPr="00342605" w:rsidRDefault="00EC1039" w:rsidP="007D1B76">
            <w:pPr>
              <w:jc w:val="both"/>
              <w:rPr>
                <w:rFonts w:eastAsia="Calibri"/>
                <w:sz w:val="20"/>
                <w:lang w:val="fr-CA"/>
              </w:rPr>
            </w:pPr>
            <w:r w:rsidRPr="00342605">
              <w:rPr>
                <w:rFonts w:eastAsia="Calibri"/>
                <w:sz w:val="20"/>
                <w:lang w:val="fr-CA"/>
              </w:rPr>
              <w:t>Cour d’appel de la Colombie-Britannique</w:t>
            </w:r>
          </w:p>
          <w:p w:rsidR="00EC1039" w:rsidRPr="00342605" w:rsidRDefault="00EC1039" w:rsidP="007D1B76">
            <w:pPr>
              <w:jc w:val="both"/>
              <w:rPr>
                <w:rFonts w:eastAsia="Calibri"/>
                <w:sz w:val="20"/>
                <w:lang w:val="fr-CA"/>
              </w:rPr>
            </w:pPr>
            <w:r w:rsidRPr="00342605">
              <w:rPr>
                <w:rFonts w:eastAsia="Calibri"/>
                <w:sz w:val="20"/>
                <w:lang w:val="fr-CA"/>
              </w:rPr>
              <w:t>(Vancouver)</w:t>
            </w:r>
          </w:p>
          <w:p w:rsidR="00EC1039" w:rsidRPr="00342605" w:rsidRDefault="00EC1039" w:rsidP="007D1B76">
            <w:pPr>
              <w:jc w:val="both"/>
              <w:rPr>
                <w:rFonts w:eastAsia="Calibri"/>
                <w:sz w:val="20"/>
                <w:lang w:val="fr-CA"/>
              </w:rPr>
            </w:pPr>
            <w:r w:rsidRPr="00342605">
              <w:rPr>
                <w:rFonts w:eastAsia="Calibri"/>
                <w:sz w:val="20"/>
                <w:lang w:val="fr-CA"/>
              </w:rPr>
              <w:t xml:space="preserve">(Juges </w:t>
            </w:r>
            <w:proofErr w:type="spellStart"/>
            <w:r w:rsidRPr="00342605">
              <w:rPr>
                <w:rFonts w:eastAsia="Calibri"/>
                <w:sz w:val="20"/>
                <w:lang w:val="fr-CA"/>
              </w:rPr>
              <w:t>Levine</w:t>
            </w:r>
            <w:proofErr w:type="spellEnd"/>
            <w:r w:rsidRPr="00342605">
              <w:rPr>
                <w:rFonts w:eastAsia="Calibri"/>
                <w:sz w:val="20"/>
                <w:lang w:val="fr-CA"/>
              </w:rPr>
              <w:t xml:space="preserve">, </w:t>
            </w:r>
            <w:proofErr w:type="spellStart"/>
            <w:r w:rsidRPr="00342605">
              <w:rPr>
                <w:rFonts w:eastAsia="Calibri"/>
                <w:sz w:val="20"/>
                <w:lang w:val="fr-CA"/>
              </w:rPr>
              <w:t>Neilson</w:t>
            </w:r>
            <w:proofErr w:type="spellEnd"/>
            <w:r w:rsidRPr="00342605">
              <w:rPr>
                <w:rFonts w:eastAsia="Calibri"/>
                <w:sz w:val="20"/>
                <w:lang w:val="fr-CA"/>
              </w:rPr>
              <w:t xml:space="preserve"> et </w:t>
            </w:r>
            <w:proofErr w:type="spellStart"/>
            <w:r w:rsidRPr="00342605">
              <w:rPr>
                <w:rFonts w:eastAsia="Calibri"/>
                <w:sz w:val="20"/>
                <w:lang w:val="fr-CA"/>
              </w:rPr>
              <w:t>Garson</w:t>
            </w:r>
            <w:proofErr w:type="spellEnd"/>
            <w:r w:rsidRPr="00342605">
              <w:rPr>
                <w:rFonts w:eastAsia="Calibri"/>
                <w:sz w:val="20"/>
                <w:lang w:val="fr-CA"/>
              </w:rPr>
              <w:t>)</w:t>
            </w:r>
          </w:p>
          <w:p w:rsidR="00EC1039" w:rsidRPr="00342605" w:rsidRDefault="007871B3" w:rsidP="007D1B76">
            <w:pPr>
              <w:jc w:val="both"/>
              <w:rPr>
                <w:rFonts w:eastAsia="Calibri"/>
                <w:sz w:val="20"/>
                <w:lang w:val="fr-CA"/>
              </w:rPr>
            </w:pPr>
            <w:hyperlink r:id="rId47" w:history="1">
              <w:r w:rsidR="00EC1039" w:rsidRPr="00342605">
                <w:rPr>
                  <w:rFonts w:eastAsia="Calibri"/>
                  <w:color w:val="0000FF"/>
                  <w:sz w:val="20"/>
                  <w:u w:val="single"/>
                  <w:lang w:val="fr-CA"/>
                </w:rPr>
                <w:t>2014 BCCA 205</w:t>
              </w:r>
            </w:hyperlink>
            <w:r w:rsidR="00EC1039" w:rsidRPr="00342605">
              <w:rPr>
                <w:rFonts w:eastAsia="Calibri"/>
                <w:sz w:val="20"/>
                <w:lang w:val="fr-CA"/>
              </w:rPr>
              <w:t>; CA041130</w:t>
            </w:r>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Appel accueilli</w:t>
            </w:r>
          </w:p>
          <w:p w:rsidR="00EC1039" w:rsidRPr="00342605" w:rsidRDefault="00EC1039" w:rsidP="007D1B76">
            <w:pPr>
              <w:jc w:val="both"/>
              <w:rPr>
                <w:rFonts w:eastAsia="Calibri"/>
                <w:sz w:val="20"/>
                <w:lang w:val="fr-CA"/>
              </w:rPr>
            </w:pPr>
          </w:p>
        </w:tc>
      </w:tr>
      <w:tr w:rsidR="00EC1039" w:rsidRPr="00342605" w:rsidTr="00AD03B1">
        <w:trPr>
          <w:cantSplit/>
        </w:trPr>
        <w:tc>
          <w:tcPr>
            <w:tcW w:w="2427" w:type="pct"/>
          </w:tcPr>
          <w:p w:rsidR="00EC1039" w:rsidRPr="00342605" w:rsidRDefault="00EC1039" w:rsidP="007D1B76">
            <w:pPr>
              <w:jc w:val="both"/>
              <w:rPr>
                <w:rFonts w:eastAsia="Calibri"/>
                <w:sz w:val="20"/>
                <w:lang w:val="fr-CA"/>
              </w:rPr>
            </w:pPr>
            <w:r w:rsidRPr="00342605">
              <w:rPr>
                <w:rFonts w:eastAsia="Calibri"/>
                <w:sz w:val="20"/>
                <w:lang w:val="fr-CA"/>
              </w:rPr>
              <w:t>2 septembre 2014</w:t>
            </w:r>
          </w:p>
          <w:p w:rsidR="00EC1039" w:rsidRPr="00342605" w:rsidRDefault="00EC1039" w:rsidP="007D1B76">
            <w:pPr>
              <w:jc w:val="both"/>
              <w:rPr>
                <w:rFonts w:eastAsia="Calibri"/>
                <w:sz w:val="20"/>
                <w:lang w:val="fr-CA"/>
              </w:rPr>
            </w:pPr>
            <w:r w:rsidRPr="00342605">
              <w:rPr>
                <w:rFonts w:eastAsia="Calibri"/>
                <w:sz w:val="20"/>
                <w:lang w:val="fr-CA"/>
              </w:rPr>
              <w:t>Cour suprême du Canada</w:t>
            </w: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Demande d’autorisation d’appel, déposée</w:t>
            </w: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56"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62AC" w:rsidRPr="00512B3E" w:rsidTr="00DC6331">
        <w:trPr>
          <w:cantSplit/>
        </w:trPr>
        <w:tc>
          <w:tcPr>
            <w:tcW w:w="1458" w:type="dxa"/>
          </w:tcPr>
          <w:p w:rsidR="00EE62AC" w:rsidRPr="00512B3E" w:rsidRDefault="00EE62AC" w:rsidP="00DC6331">
            <w:pPr>
              <w:rPr>
                <w:sz w:val="20"/>
                <w:szCs w:val="20"/>
              </w:rPr>
            </w:pPr>
            <w:r w:rsidRPr="00512B3E">
              <w:rPr>
                <w:rStyle w:val="SCCFileNumberChar"/>
                <w:sz w:val="20"/>
                <w:szCs w:val="20"/>
              </w:rPr>
              <w:t>36042</w:t>
            </w:r>
          </w:p>
          <w:p w:rsidR="00EE62AC" w:rsidRPr="00512B3E" w:rsidRDefault="00EE62AC" w:rsidP="00DC6331">
            <w:pPr>
              <w:rPr>
                <w:b/>
                <w:sz w:val="20"/>
                <w:szCs w:val="20"/>
                <w:lang w:val="fr-CA"/>
              </w:rPr>
            </w:pPr>
          </w:p>
        </w:tc>
        <w:tc>
          <w:tcPr>
            <w:tcW w:w="8118" w:type="dxa"/>
          </w:tcPr>
          <w:p w:rsidR="00EE62AC" w:rsidRPr="00512B3E" w:rsidRDefault="00EE62AC" w:rsidP="00EE62AC">
            <w:pPr>
              <w:jc w:val="both"/>
              <w:rPr>
                <w:sz w:val="20"/>
                <w:szCs w:val="20"/>
              </w:rPr>
            </w:pPr>
            <w:r w:rsidRPr="00512B3E">
              <w:rPr>
                <w:rStyle w:val="SCCLsocChar"/>
                <w:sz w:val="20"/>
                <w:szCs w:val="20"/>
                <w:lang w:val="en-CA"/>
              </w:rPr>
              <w:t xml:space="preserve">Spencer Daniel </w:t>
            </w:r>
            <w:proofErr w:type="spellStart"/>
            <w:r w:rsidRPr="00512B3E">
              <w:rPr>
                <w:rStyle w:val="SCCLsocChar"/>
                <w:sz w:val="20"/>
                <w:szCs w:val="20"/>
                <w:lang w:val="en-CA"/>
              </w:rPr>
              <w:t>Sigouin</w:t>
            </w:r>
            <w:proofErr w:type="spellEnd"/>
            <w:r>
              <w:rPr>
                <w:rStyle w:val="SCCLsocChar"/>
                <w:sz w:val="20"/>
                <w:szCs w:val="20"/>
                <w:lang w:val="en-CA"/>
              </w:rPr>
              <w:t xml:space="preserve"> and</w:t>
            </w:r>
            <w:r w:rsidRPr="00512B3E">
              <w:rPr>
                <w:rStyle w:val="SCCLsocChar"/>
                <w:sz w:val="20"/>
                <w:szCs w:val="20"/>
                <w:lang w:val="en-CA"/>
              </w:rPr>
              <w:t xml:space="preserve"> Coastal Drain Cleaning Service v. Mark Edward </w:t>
            </w:r>
            <w:proofErr w:type="spellStart"/>
            <w:r w:rsidRPr="00512B3E">
              <w:rPr>
                <w:rStyle w:val="SCCLsocChar"/>
                <w:sz w:val="20"/>
                <w:szCs w:val="20"/>
                <w:lang w:val="en-CA"/>
              </w:rPr>
              <w:t>Maddex</w:t>
            </w:r>
            <w:proofErr w:type="spellEnd"/>
            <w:r w:rsidRPr="00512B3E">
              <w:rPr>
                <w:sz w:val="20"/>
                <w:szCs w:val="20"/>
              </w:rPr>
              <w:t xml:space="preserve"> (B.C.) (Civil) (By Leave)</w:t>
            </w:r>
          </w:p>
          <w:p w:rsidR="00EE62AC" w:rsidRPr="00512B3E" w:rsidRDefault="00EE62AC" w:rsidP="00EE62AC">
            <w:pPr>
              <w:jc w:val="both"/>
              <w:rPr>
                <w:sz w:val="20"/>
                <w:szCs w:val="20"/>
              </w:rPr>
            </w:pPr>
          </w:p>
        </w:tc>
      </w:tr>
      <w:tr w:rsidR="00EE62AC" w:rsidRPr="00512B3E" w:rsidTr="00DC6331">
        <w:trPr>
          <w:cantSplit/>
        </w:trPr>
        <w:tc>
          <w:tcPr>
            <w:tcW w:w="1458" w:type="dxa"/>
          </w:tcPr>
          <w:p w:rsidR="00EE62AC" w:rsidRPr="00512B3E" w:rsidRDefault="00EE62AC" w:rsidP="00DC6331">
            <w:pPr>
              <w:rPr>
                <w:sz w:val="20"/>
                <w:szCs w:val="20"/>
              </w:rPr>
            </w:pPr>
            <w:r w:rsidRPr="00512B3E">
              <w:rPr>
                <w:sz w:val="20"/>
                <w:szCs w:val="20"/>
              </w:rPr>
              <w:t>Coram :</w:t>
            </w:r>
          </w:p>
        </w:tc>
        <w:tc>
          <w:tcPr>
            <w:tcW w:w="8118" w:type="dxa"/>
          </w:tcPr>
          <w:p w:rsidR="00EE62AC" w:rsidRPr="00512B3E" w:rsidRDefault="00EE62AC" w:rsidP="00DC6331">
            <w:pPr>
              <w:rPr>
                <w:sz w:val="20"/>
                <w:szCs w:val="20"/>
              </w:rPr>
            </w:pPr>
            <w:proofErr w:type="spellStart"/>
            <w:r w:rsidRPr="00512B3E">
              <w:rPr>
                <w:rStyle w:val="SCCCoramChar"/>
                <w:sz w:val="20"/>
                <w:szCs w:val="20"/>
                <w:lang w:val="en-CA"/>
              </w:rPr>
              <w:t>Abella</w:t>
            </w:r>
            <w:proofErr w:type="spellEnd"/>
            <w:r w:rsidRPr="00512B3E">
              <w:rPr>
                <w:rStyle w:val="SCCCoramChar"/>
                <w:sz w:val="20"/>
                <w:szCs w:val="20"/>
                <w:lang w:val="en-CA"/>
              </w:rPr>
              <w:t xml:space="preserve">, Rothstein and </w:t>
            </w:r>
            <w:proofErr w:type="spellStart"/>
            <w:r w:rsidRPr="00512B3E">
              <w:rPr>
                <w:rStyle w:val="SCCCoramChar"/>
                <w:sz w:val="20"/>
                <w:szCs w:val="20"/>
                <w:lang w:val="en-CA"/>
              </w:rPr>
              <w:t>Moldaver</w:t>
            </w:r>
            <w:proofErr w:type="spellEnd"/>
            <w:r w:rsidRPr="00512B3E">
              <w:rPr>
                <w:rStyle w:val="SCCCoramChar"/>
                <w:sz w:val="20"/>
                <w:szCs w:val="20"/>
                <w:lang w:val="en-CA"/>
              </w:rPr>
              <w:t> JJ.</w:t>
            </w:r>
          </w:p>
          <w:p w:rsidR="00EE62AC" w:rsidRPr="00512B3E" w:rsidRDefault="00EE62AC" w:rsidP="00DC6331">
            <w:pPr>
              <w:rPr>
                <w:sz w:val="20"/>
                <w:szCs w:val="20"/>
                <w:u w:val="single"/>
              </w:rPr>
            </w:pPr>
          </w:p>
        </w:tc>
      </w:tr>
      <w:tr w:rsidR="00EE62AC" w:rsidRPr="009723FD" w:rsidTr="00DC6331">
        <w:trPr>
          <w:cantSplit/>
        </w:trPr>
        <w:tc>
          <w:tcPr>
            <w:tcW w:w="9576" w:type="dxa"/>
            <w:gridSpan w:val="2"/>
          </w:tcPr>
          <w:p w:rsidR="00EE62AC" w:rsidRPr="00512B3E" w:rsidRDefault="00EE62AC" w:rsidP="00DC6331">
            <w:pPr>
              <w:pStyle w:val="SCCShortJudgment"/>
              <w:rPr>
                <w:szCs w:val="20"/>
              </w:rPr>
            </w:pPr>
            <w:r w:rsidRPr="00512B3E">
              <w:rPr>
                <w:szCs w:val="20"/>
              </w:rPr>
              <w:t>The application for leave to appeal from the judgment of the Court of Appeal for British Columbia (Vancouver), Number CA041076, 2014 BCCA 213, dated June 5, 2014, is dismissed with costs.</w:t>
            </w:r>
          </w:p>
          <w:p w:rsidR="00EE62AC" w:rsidRPr="00512B3E" w:rsidRDefault="00EE62AC" w:rsidP="00DC6331">
            <w:pPr>
              <w:pStyle w:val="SCCShortJudgment"/>
              <w:ind w:firstLine="0"/>
              <w:rPr>
                <w:szCs w:val="20"/>
              </w:rPr>
            </w:pPr>
          </w:p>
          <w:p w:rsidR="00EE62AC" w:rsidRPr="00512B3E" w:rsidRDefault="00EE62AC" w:rsidP="00EE62AC">
            <w:pPr>
              <w:pStyle w:val="SCCShortJudgment"/>
              <w:rPr>
                <w:szCs w:val="20"/>
                <w:lang w:val="fr-CA"/>
              </w:rPr>
            </w:pPr>
            <w:r w:rsidRPr="00512B3E">
              <w:rPr>
                <w:szCs w:val="20"/>
                <w:lang w:val="fr-CA"/>
              </w:rPr>
              <w:t>La demande d’autorisation d’appel de l’arrêt de la Cour d’appel de la Colombie-Britannique (Vancouver), numéro CA041076, 2014 BCCA 213, daté du 5 juin 2014, est rejetée avec dépens.</w:t>
            </w:r>
          </w:p>
        </w:tc>
      </w:tr>
    </w:tbl>
    <w:p w:rsidR="00A325AC" w:rsidRPr="00EE62AC"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Torts – Motor Vehicles – Police – Whether lower appellate courts can substitute their own facts and inferences for those of a trial judge contrary to </w:t>
            </w:r>
            <w:r w:rsidRPr="00342605">
              <w:rPr>
                <w:rFonts w:eastAsia="Calibri"/>
                <w:i/>
                <w:sz w:val="20"/>
              </w:rPr>
              <w:t xml:space="preserve">House v. </w:t>
            </w:r>
            <w:proofErr w:type="spellStart"/>
            <w:r w:rsidRPr="00342605">
              <w:rPr>
                <w:rFonts w:eastAsia="Calibri"/>
                <w:i/>
                <w:sz w:val="20"/>
              </w:rPr>
              <w:t>Nikolaisen</w:t>
            </w:r>
            <w:proofErr w:type="spellEnd"/>
            <w:r w:rsidRPr="00342605">
              <w:rPr>
                <w:rFonts w:eastAsia="Calibri"/>
                <w:sz w:val="20"/>
              </w:rPr>
              <w:t xml:space="preserve">, 2002 SCC 33 – Does having privileges to break driving laws excuse a police officer from failing to keep the lookout of a reasonably prudent driver – Is it time that the Court gave guidance about pursuits, especially the construction of laws about them and the duties of police officers to activate sirens and keep a lookout? – </w:t>
            </w:r>
            <w:r w:rsidRPr="00342605">
              <w:rPr>
                <w:rFonts w:eastAsia="Calibri"/>
                <w:i/>
                <w:sz w:val="20"/>
              </w:rPr>
              <w:t>Motor Vehicle Act</w:t>
            </w:r>
            <w:r w:rsidRPr="00342605">
              <w:rPr>
                <w:rFonts w:eastAsia="Calibri"/>
                <w:sz w:val="20"/>
              </w:rPr>
              <w:t xml:space="preserve">, R.S.B.C. 1996, c. 318 – </w:t>
            </w:r>
            <w:r w:rsidRPr="00342605">
              <w:rPr>
                <w:rFonts w:eastAsia="Calibri"/>
                <w:i/>
                <w:sz w:val="20"/>
              </w:rPr>
              <w:t>Emergency Driving Regulation</w:t>
            </w:r>
            <w:r w:rsidRPr="00342605">
              <w:rPr>
                <w:rFonts w:eastAsia="Calibri"/>
                <w:sz w:val="20"/>
              </w:rPr>
              <w:t>, B.C. Reg. 133/98.</w:t>
            </w:r>
          </w:p>
        </w:tc>
      </w:tr>
      <w:tr w:rsidR="00EC1039" w:rsidRPr="00342605" w:rsidTr="007D1B76">
        <w:tc>
          <w:tcPr>
            <w:tcW w:w="5000" w:type="pct"/>
            <w:gridSpan w:val="3"/>
          </w:tcPr>
          <w:p w:rsidR="00EC1039" w:rsidRPr="00342605" w:rsidRDefault="00EC1039" w:rsidP="007D1B76">
            <w:pPr>
              <w:jc w:val="both"/>
              <w:rPr>
                <w:rFonts w:eastAsia="Calibri"/>
                <w:sz w:val="20"/>
              </w:rPr>
            </w:pPr>
          </w:p>
        </w:tc>
      </w:tr>
      <w:tr w:rsidR="00EC1039" w:rsidRPr="00342605" w:rsidTr="007D1B76">
        <w:tc>
          <w:tcPr>
            <w:tcW w:w="5000" w:type="pct"/>
            <w:gridSpan w:val="3"/>
          </w:tcPr>
          <w:p w:rsidR="00EC1039" w:rsidRPr="00342605" w:rsidRDefault="00EC1039" w:rsidP="007D1B76">
            <w:pPr>
              <w:jc w:val="both"/>
              <w:rPr>
                <w:rFonts w:eastAsia="Calibri"/>
                <w:sz w:val="20"/>
              </w:rPr>
            </w:pPr>
            <w:r w:rsidRPr="00342605">
              <w:rPr>
                <w:rFonts w:eastAsia="Calibri"/>
                <w:sz w:val="20"/>
              </w:rPr>
              <w:t xml:space="preserve">The Respondent, </w:t>
            </w:r>
            <w:proofErr w:type="spellStart"/>
            <w:r w:rsidRPr="00342605">
              <w:rPr>
                <w:rFonts w:eastAsia="Calibri"/>
                <w:sz w:val="20"/>
              </w:rPr>
              <w:t>Maddex</w:t>
            </w:r>
            <w:proofErr w:type="spellEnd"/>
            <w:r w:rsidRPr="00342605">
              <w:rPr>
                <w:rFonts w:eastAsia="Calibri"/>
                <w:sz w:val="20"/>
              </w:rPr>
              <w:t xml:space="preserve"> is a member of the RCMP.  On March 20, 2010, he was on duty and operating a marked RCMP vehicle, equipped with emergency lights and a siren.  While travelling southbound in the passing lane, </w:t>
            </w:r>
            <w:proofErr w:type="spellStart"/>
            <w:r w:rsidRPr="00342605">
              <w:rPr>
                <w:rFonts w:eastAsia="Calibri"/>
                <w:sz w:val="20"/>
              </w:rPr>
              <w:t>Maddex</w:t>
            </w:r>
            <w:proofErr w:type="spellEnd"/>
            <w:r w:rsidRPr="00342605">
              <w:rPr>
                <w:rFonts w:eastAsia="Calibri"/>
                <w:sz w:val="20"/>
              </w:rPr>
              <w:t xml:space="preserve"> had his radar set turned on such that he was able to monitor the speed of oncoming traffic.  </w:t>
            </w:r>
            <w:proofErr w:type="spellStart"/>
            <w:r w:rsidRPr="00342605">
              <w:rPr>
                <w:rFonts w:eastAsia="Calibri"/>
                <w:sz w:val="20"/>
              </w:rPr>
              <w:t>Maddex</w:t>
            </w:r>
            <w:proofErr w:type="spellEnd"/>
            <w:r w:rsidRPr="00342605">
              <w:rPr>
                <w:rFonts w:eastAsia="Calibri"/>
                <w:sz w:val="20"/>
              </w:rPr>
              <w:t xml:space="preserve"> believed that there was no traffic following behind him within 10 or 15 car lengths.  When he noted that an oncoming northbound pickup truck was passing another vehicle and travelling at 126 kilometres per hour, he decided to stop the speeding pickup truck.  He activated the emergency lights on his police vehicle.  He applied the brakes, slowing and preparing to make a U-turn so that he would be travelling northbound on the highway.</w:t>
            </w:r>
          </w:p>
          <w:p w:rsidR="00EC1039" w:rsidRPr="00342605" w:rsidRDefault="00EC1039" w:rsidP="007D1B76">
            <w:pPr>
              <w:jc w:val="both"/>
              <w:rPr>
                <w:rFonts w:eastAsia="Calibri"/>
                <w:sz w:val="20"/>
              </w:rPr>
            </w:pPr>
          </w:p>
          <w:p w:rsidR="00EC1039" w:rsidRPr="00342605" w:rsidRDefault="00EC1039" w:rsidP="007D1B76">
            <w:pPr>
              <w:jc w:val="both"/>
              <w:rPr>
                <w:rFonts w:eastAsia="Calibri"/>
                <w:sz w:val="20"/>
              </w:rPr>
            </w:pPr>
            <w:r w:rsidRPr="00342605">
              <w:rPr>
                <w:rFonts w:eastAsia="Calibri"/>
                <w:sz w:val="20"/>
              </w:rPr>
              <w:t xml:space="preserve">On the same date, the Applicant, </w:t>
            </w:r>
            <w:proofErr w:type="spellStart"/>
            <w:r w:rsidRPr="00342605">
              <w:rPr>
                <w:rFonts w:eastAsia="Calibri"/>
                <w:sz w:val="20"/>
              </w:rPr>
              <w:t>Siguoin</w:t>
            </w:r>
            <w:proofErr w:type="spellEnd"/>
            <w:r w:rsidRPr="00342605">
              <w:rPr>
                <w:rFonts w:eastAsia="Calibri"/>
                <w:sz w:val="20"/>
              </w:rPr>
              <w:t xml:space="preserve"> was travelling on the same highway returning from a service call.  He was driving a full-sized commercial van which was towing a trailer.  He was also travelling southbound, in the passing lane.  While the trailer was equipped with brakes, they were not connected or operational at the time.  </w:t>
            </w:r>
            <w:proofErr w:type="spellStart"/>
            <w:r w:rsidRPr="00342605">
              <w:rPr>
                <w:rFonts w:eastAsia="Calibri"/>
                <w:sz w:val="20"/>
              </w:rPr>
              <w:t>Sigouin</w:t>
            </w:r>
            <w:proofErr w:type="spellEnd"/>
            <w:r w:rsidRPr="00342605">
              <w:rPr>
                <w:rFonts w:eastAsia="Calibri"/>
                <w:sz w:val="20"/>
              </w:rPr>
              <w:t xml:space="preserve"> was travelling behind the police car driven by </w:t>
            </w:r>
            <w:proofErr w:type="spellStart"/>
            <w:r w:rsidRPr="00342605">
              <w:rPr>
                <w:rFonts w:eastAsia="Calibri"/>
                <w:sz w:val="20"/>
              </w:rPr>
              <w:t>Maddex</w:t>
            </w:r>
            <w:proofErr w:type="spellEnd"/>
            <w:r w:rsidRPr="00342605">
              <w:rPr>
                <w:rFonts w:eastAsia="Calibri"/>
                <w:sz w:val="20"/>
              </w:rPr>
              <w:t xml:space="preserve">.  At some point, </w:t>
            </w:r>
            <w:proofErr w:type="spellStart"/>
            <w:r w:rsidRPr="00342605">
              <w:rPr>
                <w:rFonts w:eastAsia="Calibri"/>
                <w:sz w:val="20"/>
              </w:rPr>
              <w:t>Sigouin</w:t>
            </w:r>
            <w:proofErr w:type="spellEnd"/>
            <w:r w:rsidRPr="00342605">
              <w:rPr>
                <w:rFonts w:eastAsia="Calibri"/>
                <w:sz w:val="20"/>
              </w:rPr>
              <w:t xml:space="preserve"> noticed that the police vehicle had activated its emergency lights and was braking.  He said that he was only approximately three car lengths behind and was too close </w:t>
            </w:r>
            <w:r w:rsidRPr="00342605">
              <w:rPr>
                <w:rFonts w:eastAsia="Calibri"/>
                <w:sz w:val="20"/>
              </w:rPr>
              <w:lastRenderedPageBreak/>
              <w:t xml:space="preserve">to be able to stop his vehicle without colliding with the rear of the police vehicle.  In order to avoid colliding with the police car, </w:t>
            </w:r>
            <w:proofErr w:type="spellStart"/>
            <w:r w:rsidRPr="00342605">
              <w:rPr>
                <w:rFonts w:eastAsia="Calibri"/>
                <w:sz w:val="20"/>
              </w:rPr>
              <w:t>Sigouin</w:t>
            </w:r>
            <w:proofErr w:type="spellEnd"/>
            <w:r w:rsidRPr="00342605">
              <w:rPr>
                <w:rFonts w:eastAsia="Calibri"/>
                <w:sz w:val="20"/>
              </w:rPr>
              <w:t xml:space="preserve"> swung his vehicle into the left-turn lane in an attempt to go around the left side of the police car.  As </w:t>
            </w:r>
            <w:proofErr w:type="spellStart"/>
            <w:r w:rsidRPr="00342605">
              <w:rPr>
                <w:rFonts w:eastAsia="Calibri"/>
                <w:sz w:val="20"/>
              </w:rPr>
              <w:t>Siguoin</w:t>
            </w:r>
            <w:proofErr w:type="spellEnd"/>
            <w:r w:rsidRPr="00342605">
              <w:rPr>
                <w:rFonts w:eastAsia="Calibri"/>
                <w:sz w:val="20"/>
              </w:rPr>
              <w:t xml:space="preserve"> pulled into that left-turn lane, </w:t>
            </w:r>
            <w:proofErr w:type="spellStart"/>
            <w:r w:rsidRPr="00342605">
              <w:rPr>
                <w:rFonts w:eastAsia="Calibri"/>
                <w:sz w:val="20"/>
              </w:rPr>
              <w:t>Maddex</w:t>
            </w:r>
            <w:proofErr w:type="spellEnd"/>
            <w:r w:rsidRPr="00342605">
              <w:rPr>
                <w:rFonts w:eastAsia="Calibri"/>
                <w:sz w:val="20"/>
              </w:rPr>
              <w:t xml:space="preserve"> initiated his left turn to effect his U-turn.  The van struck the driver’s side door of the police cruiser in the northbound left-turn lane of the highway.</w:t>
            </w:r>
          </w:p>
          <w:p w:rsidR="00EC1039" w:rsidRPr="00342605" w:rsidRDefault="00EC1039" w:rsidP="007D1B76">
            <w:pPr>
              <w:jc w:val="both"/>
              <w:rPr>
                <w:rFonts w:eastAsia="Calibri"/>
                <w:sz w:val="20"/>
              </w:rPr>
            </w:pPr>
          </w:p>
          <w:p w:rsidR="00EC1039" w:rsidRPr="00342605" w:rsidRDefault="00EC1039" w:rsidP="007D1B76">
            <w:pPr>
              <w:jc w:val="both"/>
              <w:rPr>
                <w:rFonts w:eastAsia="Calibri"/>
                <w:sz w:val="20"/>
              </w:rPr>
            </w:pPr>
            <w:r w:rsidRPr="00342605">
              <w:rPr>
                <w:rFonts w:eastAsia="Calibri"/>
                <w:sz w:val="20"/>
              </w:rPr>
              <w:t xml:space="preserve">At trial, each driver was found to be similarly responsible and liability was apportioned equally, that is, 50 percent for each of them.  The Court of Appeal however allowed the appeal, finding that </w:t>
            </w:r>
            <w:proofErr w:type="spellStart"/>
            <w:r w:rsidRPr="00342605">
              <w:rPr>
                <w:rFonts w:eastAsia="Calibri"/>
                <w:sz w:val="20"/>
              </w:rPr>
              <w:t>Sigouin</w:t>
            </w:r>
            <w:proofErr w:type="spellEnd"/>
            <w:r w:rsidRPr="00342605">
              <w:rPr>
                <w:rFonts w:eastAsia="Calibri"/>
                <w:sz w:val="20"/>
              </w:rPr>
              <w:t xml:space="preserve"> was solely liable for the injury </w:t>
            </w:r>
            <w:proofErr w:type="spellStart"/>
            <w:r w:rsidRPr="00342605">
              <w:rPr>
                <w:rFonts w:eastAsia="Calibri"/>
                <w:sz w:val="20"/>
              </w:rPr>
              <w:t>Maddex</w:t>
            </w:r>
            <w:proofErr w:type="spellEnd"/>
            <w:r w:rsidRPr="00342605">
              <w:rPr>
                <w:rFonts w:eastAsia="Calibri"/>
                <w:sz w:val="20"/>
              </w:rPr>
              <w:t xml:space="preserve"> suffered in the accident.</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lastRenderedPageBreak/>
              <w:t>July 4, 2013</w:t>
            </w:r>
          </w:p>
          <w:p w:rsidR="00EC1039" w:rsidRPr="00342605" w:rsidRDefault="00EC1039" w:rsidP="007D1B76">
            <w:pPr>
              <w:jc w:val="both"/>
              <w:rPr>
                <w:rFonts w:eastAsia="Calibri"/>
                <w:sz w:val="20"/>
              </w:rPr>
            </w:pPr>
            <w:r w:rsidRPr="00342605">
              <w:rPr>
                <w:rFonts w:eastAsia="Calibri"/>
                <w:sz w:val="20"/>
              </w:rPr>
              <w:t>Supreme Court of British Columbia</w:t>
            </w:r>
          </w:p>
          <w:p w:rsidR="00EC1039" w:rsidRPr="00342605" w:rsidRDefault="00EC1039" w:rsidP="007D1B76">
            <w:pPr>
              <w:jc w:val="both"/>
              <w:rPr>
                <w:rFonts w:eastAsia="Calibri"/>
                <w:sz w:val="20"/>
              </w:rPr>
            </w:pPr>
            <w:r w:rsidRPr="00342605">
              <w:rPr>
                <w:rFonts w:eastAsia="Calibri"/>
                <w:sz w:val="20"/>
              </w:rPr>
              <w:t>(Williams J.)</w:t>
            </w:r>
          </w:p>
          <w:p w:rsidR="00EC1039" w:rsidRPr="00342605" w:rsidRDefault="00EC1039" w:rsidP="007D1B76">
            <w:pPr>
              <w:jc w:val="both"/>
              <w:rPr>
                <w:rFonts w:eastAsia="Calibri"/>
                <w:sz w:val="20"/>
              </w:rPr>
            </w:pPr>
            <w:r w:rsidRPr="00342605">
              <w:rPr>
                <w:rFonts w:eastAsia="Calibri"/>
                <w:sz w:val="20"/>
              </w:rPr>
              <w:t xml:space="preserve">2013 BCSC 1338; </w:t>
            </w:r>
            <w:hyperlink r:id="rId48" w:history="1">
              <w:r w:rsidRPr="00342605">
                <w:rPr>
                  <w:rFonts w:eastAsia="Calibri"/>
                  <w:color w:val="0000FF"/>
                  <w:sz w:val="20"/>
                  <w:u w:val="single"/>
                </w:rPr>
                <w:t>http://canlii.ca/t/fzt3f</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Liability apportioned 50 percent to each driver</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June 5, 2014</w:t>
            </w:r>
          </w:p>
          <w:p w:rsidR="00EC1039" w:rsidRPr="00342605" w:rsidRDefault="00EC1039" w:rsidP="007D1B76">
            <w:pPr>
              <w:jc w:val="both"/>
              <w:rPr>
                <w:rFonts w:eastAsia="Calibri"/>
                <w:sz w:val="20"/>
              </w:rPr>
            </w:pPr>
            <w:r w:rsidRPr="00342605">
              <w:rPr>
                <w:rFonts w:eastAsia="Calibri"/>
                <w:sz w:val="20"/>
              </w:rPr>
              <w:t xml:space="preserve">Court of Appeal for British Columbia </w:t>
            </w:r>
          </w:p>
          <w:p w:rsidR="00EC1039" w:rsidRPr="00342605" w:rsidRDefault="00EC1039" w:rsidP="007D1B76">
            <w:pPr>
              <w:jc w:val="both"/>
              <w:rPr>
                <w:rFonts w:eastAsia="Calibri"/>
                <w:sz w:val="20"/>
              </w:rPr>
            </w:pPr>
            <w:r w:rsidRPr="00342605">
              <w:rPr>
                <w:rFonts w:eastAsia="Calibri"/>
                <w:sz w:val="20"/>
              </w:rPr>
              <w:t>(Vancouver)</w:t>
            </w:r>
          </w:p>
          <w:p w:rsidR="00EC1039" w:rsidRPr="00342605" w:rsidRDefault="00EC1039" w:rsidP="007D1B76">
            <w:pPr>
              <w:jc w:val="both"/>
              <w:rPr>
                <w:rFonts w:eastAsia="Calibri"/>
                <w:sz w:val="20"/>
              </w:rPr>
            </w:pPr>
            <w:r w:rsidRPr="00342605">
              <w:rPr>
                <w:rFonts w:eastAsia="Calibri"/>
                <w:sz w:val="20"/>
              </w:rPr>
              <w:t xml:space="preserve">(Lowry, Stromberg-Stein and </w:t>
            </w:r>
            <w:proofErr w:type="spellStart"/>
            <w:r w:rsidRPr="00342605">
              <w:rPr>
                <w:rFonts w:eastAsia="Calibri"/>
                <w:sz w:val="20"/>
              </w:rPr>
              <w:t>Willcock</w:t>
            </w:r>
            <w:proofErr w:type="spellEnd"/>
            <w:r w:rsidRPr="00342605">
              <w:rPr>
                <w:rFonts w:eastAsia="Calibri"/>
                <w:sz w:val="20"/>
              </w:rPr>
              <w:t xml:space="preserve"> JJ.A.)</w:t>
            </w:r>
          </w:p>
          <w:p w:rsidR="00EC1039" w:rsidRPr="00342605" w:rsidRDefault="00EC1039" w:rsidP="007D1B76">
            <w:pPr>
              <w:jc w:val="both"/>
              <w:rPr>
                <w:rFonts w:eastAsia="Calibri"/>
                <w:sz w:val="20"/>
              </w:rPr>
            </w:pPr>
            <w:r w:rsidRPr="00342605">
              <w:rPr>
                <w:rFonts w:eastAsia="Calibri"/>
                <w:sz w:val="20"/>
              </w:rPr>
              <w:t>2014 BCSC 213; CA0401076</w:t>
            </w:r>
          </w:p>
          <w:p w:rsidR="00EC1039" w:rsidRPr="00342605" w:rsidRDefault="007871B3" w:rsidP="007D1B76">
            <w:pPr>
              <w:jc w:val="both"/>
              <w:rPr>
                <w:rFonts w:eastAsia="Calibri"/>
                <w:sz w:val="20"/>
              </w:rPr>
            </w:pPr>
            <w:hyperlink r:id="rId49" w:history="1">
              <w:r w:rsidR="00EC1039" w:rsidRPr="00342605">
                <w:rPr>
                  <w:rFonts w:eastAsia="Calibri"/>
                  <w:color w:val="0000FF"/>
                  <w:sz w:val="20"/>
                  <w:u w:val="single"/>
                </w:rPr>
                <w:t>http://canlii.ca/t/g76mm</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Appeal allowed; Liability for the accident is 100% against the Applicant</w:t>
            </w:r>
          </w:p>
          <w:p w:rsidR="00EC1039" w:rsidRPr="00342605" w:rsidRDefault="00EC1039" w:rsidP="007D1B76">
            <w:pPr>
              <w:jc w:val="both"/>
              <w:rPr>
                <w:rFonts w:eastAsia="Calibri"/>
                <w:sz w:val="20"/>
              </w:rPr>
            </w:pPr>
          </w:p>
        </w:tc>
      </w:tr>
      <w:tr w:rsidR="00EC1039" w:rsidRPr="00342605" w:rsidTr="007D1B76">
        <w:tc>
          <w:tcPr>
            <w:tcW w:w="2427" w:type="pct"/>
          </w:tcPr>
          <w:p w:rsidR="00EC1039" w:rsidRPr="00342605" w:rsidRDefault="00EC1039" w:rsidP="007D1B76">
            <w:pPr>
              <w:jc w:val="both"/>
              <w:rPr>
                <w:rFonts w:eastAsia="Calibri"/>
                <w:sz w:val="20"/>
              </w:rPr>
            </w:pPr>
            <w:r w:rsidRPr="00342605">
              <w:rPr>
                <w:rFonts w:eastAsia="Calibri"/>
                <w:sz w:val="20"/>
              </w:rPr>
              <w:t>September 4, 2014</w:t>
            </w:r>
          </w:p>
          <w:p w:rsidR="00EC1039" w:rsidRPr="00342605" w:rsidRDefault="00EC1039" w:rsidP="007D1B76">
            <w:pPr>
              <w:jc w:val="both"/>
              <w:rPr>
                <w:rFonts w:eastAsia="Calibri"/>
                <w:sz w:val="20"/>
              </w:rPr>
            </w:pPr>
            <w:r w:rsidRPr="00342605">
              <w:rPr>
                <w:rFonts w:eastAsia="Calibri"/>
                <w:sz w:val="20"/>
              </w:rPr>
              <w:t>Supreme Court of Canada</w:t>
            </w: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rPr>
            </w:pPr>
            <w:r w:rsidRPr="00342605">
              <w:rPr>
                <w:rFonts w:eastAsia="Calibri"/>
                <w:sz w:val="20"/>
              </w:rPr>
              <w:t>Application for leave to appeal filed</w:t>
            </w:r>
          </w:p>
          <w:p w:rsidR="00EC1039" w:rsidRPr="00342605" w:rsidRDefault="00EC1039"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57"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Responsabilité délictuelle – Véhicules automobiles – Police – Les cours d’appel de juridiction inférieure peuvent-elles substituer leurs propres conclusions de fait et inférences à celles du juge de première instance contrairement à </w:t>
            </w:r>
            <w:r w:rsidRPr="00342605">
              <w:rPr>
                <w:rFonts w:eastAsia="Calibri"/>
                <w:i/>
                <w:sz w:val="20"/>
                <w:lang w:val="fr-CA"/>
              </w:rPr>
              <w:t xml:space="preserve">House c. </w:t>
            </w:r>
            <w:proofErr w:type="spellStart"/>
            <w:r w:rsidRPr="00342605">
              <w:rPr>
                <w:rFonts w:eastAsia="Calibri"/>
                <w:i/>
                <w:sz w:val="20"/>
                <w:lang w:val="fr-CA"/>
              </w:rPr>
              <w:t>Nikolaisen</w:t>
            </w:r>
            <w:proofErr w:type="spellEnd"/>
            <w:r w:rsidRPr="00342605">
              <w:rPr>
                <w:rFonts w:eastAsia="Calibri"/>
                <w:sz w:val="20"/>
                <w:lang w:val="fr-CA"/>
              </w:rPr>
              <w:t xml:space="preserve">, 2002 CSC 33? – Le fait de posséder le privilège de contrevenir à certaines dispositions du code de la route dispense-t-il un agent police de ne pas exercer la vigilance d’un conducteur raisonnablement prudent? – Est-il temps que la Cour donne des consignes sur les poursuites, surtout en ce qui concerne l’interprétation des lois à leur sujet et les obligations qui incombent aux policiers d’activer leur sirène et d’exercer de la vigilance? – </w:t>
            </w:r>
            <w:proofErr w:type="spellStart"/>
            <w:r w:rsidRPr="00342605">
              <w:rPr>
                <w:rFonts w:eastAsia="Calibri"/>
                <w:i/>
                <w:sz w:val="20"/>
                <w:lang w:val="fr-CA"/>
              </w:rPr>
              <w:t>Motor</w:t>
            </w:r>
            <w:proofErr w:type="spellEnd"/>
            <w:r w:rsidRPr="00342605">
              <w:rPr>
                <w:rFonts w:eastAsia="Calibri"/>
                <w:i/>
                <w:sz w:val="20"/>
                <w:lang w:val="fr-CA"/>
              </w:rPr>
              <w:t xml:space="preserve"> </w:t>
            </w:r>
            <w:proofErr w:type="spellStart"/>
            <w:r w:rsidRPr="00342605">
              <w:rPr>
                <w:rFonts w:eastAsia="Calibri"/>
                <w:i/>
                <w:sz w:val="20"/>
                <w:lang w:val="fr-CA"/>
              </w:rPr>
              <w:t>Vehicle</w:t>
            </w:r>
            <w:proofErr w:type="spellEnd"/>
            <w:r w:rsidRPr="00342605">
              <w:rPr>
                <w:rFonts w:eastAsia="Calibri"/>
                <w:i/>
                <w:sz w:val="20"/>
                <w:lang w:val="fr-CA"/>
              </w:rPr>
              <w:t xml:space="preserve"> </w:t>
            </w:r>
            <w:proofErr w:type="spellStart"/>
            <w:r w:rsidRPr="00342605">
              <w:rPr>
                <w:rFonts w:eastAsia="Calibri"/>
                <w:i/>
                <w:sz w:val="20"/>
                <w:lang w:val="fr-CA"/>
              </w:rPr>
              <w:t>Act</w:t>
            </w:r>
            <w:proofErr w:type="spellEnd"/>
            <w:r w:rsidRPr="00342605">
              <w:rPr>
                <w:rFonts w:eastAsia="Calibri"/>
                <w:sz w:val="20"/>
                <w:lang w:val="fr-CA"/>
              </w:rPr>
              <w:t xml:space="preserve">, R.S.B.C. 1996, ch. 318 – </w:t>
            </w:r>
            <w:r w:rsidRPr="00342605">
              <w:rPr>
                <w:rFonts w:eastAsia="Calibri"/>
                <w:i/>
                <w:sz w:val="20"/>
                <w:lang w:val="fr-CA"/>
              </w:rPr>
              <w:t xml:space="preserve">Emergency </w:t>
            </w:r>
            <w:proofErr w:type="spellStart"/>
            <w:r w:rsidRPr="00342605">
              <w:rPr>
                <w:rFonts w:eastAsia="Calibri"/>
                <w:i/>
                <w:sz w:val="20"/>
                <w:lang w:val="fr-CA"/>
              </w:rPr>
              <w:t>Driving</w:t>
            </w:r>
            <w:proofErr w:type="spellEnd"/>
            <w:r w:rsidRPr="00342605">
              <w:rPr>
                <w:rFonts w:eastAsia="Calibri"/>
                <w:i/>
                <w:sz w:val="20"/>
                <w:lang w:val="fr-CA"/>
              </w:rPr>
              <w:t xml:space="preserve"> </w:t>
            </w:r>
            <w:proofErr w:type="spellStart"/>
            <w:r w:rsidRPr="00342605">
              <w:rPr>
                <w:rFonts w:eastAsia="Calibri"/>
                <w:i/>
                <w:sz w:val="20"/>
                <w:lang w:val="fr-CA"/>
              </w:rPr>
              <w:t>Regulation</w:t>
            </w:r>
            <w:proofErr w:type="spellEnd"/>
            <w:r w:rsidRPr="00342605">
              <w:rPr>
                <w:rFonts w:eastAsia="Calibri"/>
                <w:sz w:val="20"/>
                <w:lang w:val="fr-CA"/>
              </w:rPr>
              <w:t>, B.C. Reg. 133/98.</w:t>
            </w:r>
          </w:p>
        </w:tc>
      </w:tr>
      <w:tr w:rsidR="00EC1039" w:rsidRPr="009723FD" w:rsidTr="007D1B76">
        <w:tc>
          <w:tcPr>
            <w:tcW w:w="5000" w:type="pct"/>
            <w:gridSpan w:val="3"/>
          </w:tcPr>
          <w:p w:rsidR="00EC1039" w:rsidRPr="00342605" w:rsidRDefault="00EC1039" w:rsidP="007D1B76">
            <w:pPr>
              <w:jc w:val="both"/>
              <w:rPr>
                <w:rFonts w:eastAsia="Calibri"/>
                <w:sz w:val="20"/>
                <w:lang w:val="fr-CA"/>
              </w:rPr>
            </w:pPr>
          </w:p>
        </w:tc>
      </w:tr>
      <w:tr w:rsidR="00EC1039" w:rsidRPr="009723FD" w:rsidTr="007D1B76">
        <w:tc>
          <w:tcPr>
            <w:tcW w:w="5000" w:type="pct"/>
            <w:gridSpan w:val="3"/>
          </w:tcPr>
          <w:p w:rsidR="00EC1039" w:rsidRPr="00342605" w:rsidRDefault="00EC1039" w:rsidP="007D1B76">
            <w:pPr>
              <w:jc w:val="both"/>
              <w:rPr>
                <w:rFonts w:eastAsia="Calibri"/>
                <w:sz w:val="20"/>
                <w:lang w:val="fr-CA"/>
              </w:rPr>
            </w:pPr>
            <w:r w:rsidRPr="00342605">
              <w:rPr>
                <w:rFonts w:eastAsia="Calibri"/>
                <w:sz w:val="20"/>
                <w:lang w:val="fr-CA"/>
              </w:rPr>
              <w:t xml:space="preserve">L’intimé, M. </w:t>
            </w:r>
            <w:proofErr w:type="spellStart"/>
            <w:r w:rsidRPr="00342605">
              <w:rPr>
                <w:rFonts w:eastAsia="Calibri"/>
                <w:sz w:val="20"/>
                <w:lang w:val="fr-CA"/>
              </w:rPr>
              <w:t>Maddex</w:t>
            </w:r>
            <w:proofErr w:type="spellEnd"/>
            <w:r w:rsidRPr="00342605">
              <w:rPr>
                <w:rFonts w:eastAsia="Calibri"/>
                <w:sz w:val="20"/>
                <w:lang w:val="fr-CA"/>
              </w:rPr>
              <w:t xml:space="preserve">, est un membre de la GRC.  Le 20 mars 2010, il était de service et conduisait un véhicule identifié de la GRC muni de gyrophares et d’une sirène.  Alors qu’il circulait en direction sud dans la voie de dépassement, M. </w:t>
            </w:r>
            <w:proofErr w:type="spellStart"/>
            <w:r w:rsidRPr="00342605">
              <w:rPr>
                <w:rFonts w:eastAsia="Calibri"/>
                <w:sz w:val="20"/>
                <w:lang w:val="fr-CA"/>
              </w:rPr>
              <w:t>Maddex</w:t>
            </w:r>
            <w:proofErr w:type="spellEnd"/>
            <w:r w:rsidRPr="00342605">
              <w:rPr>
                <w:rFonts w:eastAsia="Calibri"/>
                <w:sz w:val="20"/>
                <w:lang w:val="fr-CA"/>
              </w:rPr>
              <w:t xml:space="preserve"> avait son dispositif radar en marche de manière à pouvoir surveiller la vitesse des véhicules venant en sens inverse.  Monsieur </w:t>
            </w:r>
            <w:proofErr w:type="spellStart"/>
            <w:r w:rsidRPr="00342605">
              <w:rPr>
                <w:rFonts w:eastAsia="Calibri"/>
                <w:sz w:val="20"/>
                <w:lang w:val="fr-CA"/>
              </w:rPr>
              <w:t>Maddex</w:t>
            </w:r>
            <w:proofErr w:type="spellEnd"/>
            <w:r w:rsidRPr="00342605">
              <w:rPr>
                <w:rFonts w:eastAsia="Calibri"/>
                <w:sz w:val="20"/>
                <w:lang w:val="fr-CA"/>
              </w:rPr>
              <w:t xml:space="preserve"> croyait qu’il n’y avait aucun véhicule derrière lui sur une distance d’au moins 10 ou 15 longueurs de voiture.  Lorsqu’il s’est aperçu qu’une camionnette venant en sens inverse en direction nord doublait un autre véhicule et qu’il circulait à 126 km à l’heure, il a décidé d’intercepter la camionnette qui faisait de l’excès de vitesse.  Il a activé les gyrophares de son auto-patrouille.  Il a appliqué les freins, ralentissant et se préparant à faire demi-tour pour lui permettre de circuler en direction nord sur la route.  </w:t>
            </w:r>
          </w:p>
          <w:p w:rsidR="00EC1039" w:rsidRPr="00342605" w:rsidRDefault="00EC1039" w:rsidP="007D1B76">
            <w:pPr>
              <w:jc w:val="both"/>
              <w:rPr>
                <w:rFonts w:eastAsia="Calibri"/>
                <w:sz w:val="20"/>
                <w:lang w:val="fr-CA"/>
              </w:rPr>
            </w:pPr>
          </w:p>
          <w:p w:rsidR="00EC1039" w:rsidRPr="00342605" w:rsidRDefault="00EC1039" w:rsidP="007D1B76">
            <w:pPr>
              <w:jc w:val="both"/>
              <w:rPr>
                <w:rFonts w:eastAsia="Calibri"/>
                <w:sz w:val="20"/>
                <w:lang w:val="fr-CA"/>
              </w:rPr>
            </w:pPr>
            <w:r w:rsidRPr="00342605">
              <w:rPr>
                <w:rFonts w:eastAsia="Calibri"/>
                <w:sz w:val="20"/>
                <w:lang w:val="fr-CA"/>
              </w:rPr>
              <w:t>À la même date, le demandeur M. </w:t>
            </w:r>
            <w:proofErr w:type="spellStart"/>
            <w:r w:rsidRPr="00342605">
              <w:rPr>
                <w:rFonts w:eastAsia="Calibri"/>
                <w:sz w:val="20"/>
                <w:lang w:val="fr-CA"/>
              </w:rPr>
              <w:t>Sigouin</w:t>
            </w:r>
            <w:proofErr w:type="spellEnd"/>
            <w:r w:rsidRPr="00342605">
              <w:rPr>
                <w:rFonts w:eastAsia="Calibri"/>
                <w:sz w:val="20"/>
                <w:lang w:val="fr-CA"/>
              </w:rPr>
              <w:t xml:space="preserve"> circulait sur la même route, revenant d’un appel de service.  Il conduisait un camion commercial pleine grandeur qui tirait une remorque.  Il circulait lui-aussi en direction sud dans la voie de dépassement.  Même si la remorque était munie de freins, ils n’étaient pas raccordés ou fonctionnels à ce moment-là.  Monsieur </w:t>
            </w:r>
            <w:proofErr w:type="spellStart"/>
            <w:r w:rsidRPr="00342605">
              <w:rPr>
                <w:rFonts w:eastAsia="Calibri"/>
                <w:sz w:val="20"/>
                <w:lang w:val="fr-CA"/>
              </w:rPr>
              <w:t>Sigouin</w:t>
            </w:r>
            <w:proofErr w:type="spellEnd"/>
            <w:r w:rsidRPr="00342605">
              <w:rPr>
                <w:rFonts w:eastAsia="Calibri"/>
                <w:sz w:val="20"/>
                <w:lang w:val="fr-CA"/>
              </w:rPr>
              <w:t xml:space="preserve"> conduisait derrière l’auto-patrouille conduite par M. </w:t>
            </w:r>
            <w:proofErr w:type="spellStart"/>
            <w:r w:rsidRPr="00342605">
              <w:rPr>
                <w:rFonts w:eastAsia="Calibri"/>
                <w:sz w:val="20"/>
                <w:lang w:val="fr-CA"/>
              </w:rPr>
              <w:t>Maddex</w:t>
            </w:r>
            <w:proofErr w:type="spellEnd"/>
            <w:r w:rsidRPr="00342605">
              <w:rPr>
                <w:rFonts w:eastAsia="Calibri"/>
                <w:sz w:val="20"/>
                <w:lang w:val="fr-CA"/>
              </w:rPr>
              <w:t>.  À un moment donné, M. </w:t>
            </w:r>
            <w:proofErr w:type="spellStart"/>
            <w:r w:rsidRPr="00342605">
              <w:rPr>
                <w:rFonts w:eastAsia="Calibri"/>
                <w:sz w:val="20"/>
                <w:lang w:val="fr-CA"/>
              </w:rPr>
              <w:t>Sigouin</w:t>
            </w:r>
            <w:proofErr w:type="spellEnd"/>
            <w:r w:rsidRPr="00342605">
              <w:rPr>
                <w:rFonts w:eastAsia="Calibri"/>
                <w:sz w:val="20"/>
                <w:lang w:val="fr-CA"/>
              </w:rPr>
              <w:t xml:space="preserve"> a remarqué que l’auto-patrouille avait activé ses gyrophares et qu’elle freinait. Il a affirmé qu’il ne se trouvait qu’à trois longueurs de voiture derrière et qu’il était trop près pour pouvoir immobiliser son véhicule sans emboutir l’arrière de </w:t>
            </w:r>
            <w:r w:rsidRPr="00342605">
              <w:rPr>
                <w:rFonts w:eastAsia="Calibri"/>
                <w:sz w:val="20"/>
                <w:lang w:val="fr-CA"/>
              </w:rPr>
              <w:lastRenderedPageBreak/>
              <w:t>l’auto-patrouille. Pour éviter une collision avec l’auto-patrouille, M. </w:t>
            </w:r>
            <w:proofErr w:type="spellStart"/>
            <w:r w:rsidRPr="00342605">
              <w:rPr>
                <w:rFonts w:eastAsia="Calibri"/>
                <w:sz w:val="20"/>
                <w:lang w:val="fr-CA"/>
              </w:rPr>
              <w:t>Sigouin</w:t>
            </w:r>
            <w:proofErr w:type="spellEnd"/>
            <w:r w:rsidRPr="00342605">
              <w:rPr>
                <w:rFonts w:eastAsia="Calibri"/>
                <w:sz w:val="20"/>
                <w:lang w:val="fr-CA"/>
              </w:rPr>
              <w:t xml:space="preserve"> a dirigé son véhicule dans la voie de virage à gauche pour tenter de contourner le côté gauche de l’auto-patrouille.  Alors que M. </w:t>
            </w:r>
            <w:proofErr w:type="spellStart"/>
            <w:r w:rsidRPr="00342605">
              <w:rPr>
                <w:rFonts w:eastAsia="Calibri"/>
                <w:sz w:val="20"/>
                <w:lang w:val="fr-CA"/>
              </w:rPr>
              <w:t>Sigouin</w:t>
            </w:r>
            <w:proofErr w:type="spellEnd"/>
            <w:r w:rsidRPr="00342605">
              <w:rPr>
                <w:rFonts w:eastAsia="Calibri"/>
                <w:sz w:val="20"/>
                <w:lang w:val="fr-CA"/>
              </w:rPr>
              <w:t xml:space="preserve"> est entré dans cette voie de virage à gauche, M. </w:t>
            </w:r>
            <w:proofErr w:type="spellStart"/>
            <w:r w:rsidRPr="00342605">
              <w:rPr>
                <w:rFonts w:eastAsia="Calibri"/>
                <w:sz w:val="20"/>
                <w:lang w:val="fr-CA"/>
              </w:rPr>
              <w:t>Maddex</w:t>
            </w:r>
            <w:proofErr w:type="spellEnd"/>
            <w:r w:rsidRPr="00342605">
              <w:rPr>
                <w:rFonts w:eastAsia="Calibri"/>
                <w:sz w:val="20"/>
                <w:lang w:val="fr-CA"/>
              </w:rPr>
              <w:t xml:space="preserve"> a commencé son virage à gauche pour faire son demi-tour.  Le camion a heurté la portière côté conducteur de l’auto-patrouille dans la voie de virage à gauche en direction nord de la route.</w:t>
            </w:r>
          </w:p>
          <w:p w:rsidR="00EC1039" w:rsidRPr="00342605" w:rsidRDefault="00EC1039" w:rsidP="007D1B76">
            <w:pPr>
              <w:jc w:val="both"/>
              <w:rPr>
                <w:rFonts w:eastAsia="Calibri"/>
                <w:sz w:val="20"/>
                <w:lang w:val="fr-CA"/>
              </w:rPr>
            </w:pPr>
          </w:p>
          <w:p w:rsidR="00EC1039" w:rsidRPr="00342605" w:rsidRDefault="00EC1039" w:rsidP="007D1B76">
            <w:pPr>
              <w:jc w:val="both"/>
              <w:rPr>
                <w:rFonts w:eastAsia="Calibri"/>
                <w:sz w:val="20"/>
                <w:lang w:val="fr-CA"/>
              </w:rPr>
            </w:pPr>
            <w:r w:rsidRPr="00342605">
              <w:rPr>
                <w:rFonts w:eastAsia="Calibri"/>
                <w:sz w:val="20"/>
                <w:lang w:val="fr-CA"/>
              </w:rPr>
              <w:t>Au procès, chaque conducteur a été jugé similairement responsable et la responsabilité a été partagée à parts égales, c’est-à-dire 50 pour cent chacun.  Toutefois, la Cour d’appel a accueilli l’appel, concluant que M. </w:t>
            </w:r>
            <w:proofErr w:type="spellStart"/>
            <w:r w:rsidRPr="00342605">
              <w:rPr>
                <w:rFonts w:eastAsia="Calibri"/>
                <w:sz w:val="20"/>
                <w:lang w:val="fr-CA"/>
              </w:rPr>
              <w:t>Sigouin</w:t>
            </w:r>
            <w:proofErr w:type="spellEnd"/>
            <w:r w:rsidRPr="00342605">
              <w:rPr>
                <w:rFonts w:eastAsia="Calibri"/>
                <w:sz w:val="20"/>
                <w:lang w:val="fr-CA"/>
              </w:rPr>
              <w:t xml:space="preserve"> était l’unique responsable de la blessure que M. </w:t>
            </w:r>
            <w:proofErr w:type="spellStart"/>
            <w:r w:rsidRPr="00342605">
              <w:rPr>
                <w:rFonts w:eastAsia="Calibri"/>
                <w:sz w:val="20"/>
                <w:lang w:val="fr-CA"/>
              </w:rPr>
              <w:t>Maddex</w:t>
            </w:r>
            <w:proofErr w:type="spellEnd"/>
            <w:r w:rsidRPr="00342605">
              <w:rPr>
                <w:rFonts w:eastAsia="Calibri"/>
                <w:sz w:val="20"/>
                <w:lang w:val="fr-CA"/>
              </w:rPr>
              <w:t xml:space="preserve"> avait subie dans l’accident.</w:t>
            </w:r>
          </w:p>
          <w:p w:rsidR="00EC1039" w:rsidRPr="00342605" w:rsidRDefault="00EC1039" w:rsidP="007D1B76">
            <w:pPr>
              <w:jc w:val="both"/>
              <w:rPr>
                <w:rFonts w:eastAsia="Calibri"/>
                <w:sz w:val="20"/>
                <w:lang w:val="fr-CA"/>
              </w:rPr>
            </w:pPr>
          </w:p>
        </w:tc>
      </w:tr>
      <w:tr w:rsidR="00EC1039" w:rsidRPr="009723FD" w:rsidTr="007D1B76">
        <w:tc>
          <w:tcPr>
            <w:tcW w:w="2427" w:type="pct"/>
          </w:tcPr>
          <w:p w:rsidR="00EC1039" w:rsidRPr="00342605" w:rsidRDefault="00EC1039" w:rsidP="007D1B76">
            <w:pPr>
              <w:jc w:val="both"/>
              <w:rPr>
                <w:rFonts w:eastAsia="Calibri"/>
                <w:sz w:val="20"/>
                <w:lang w:val="fr-CA"/>
              </w:rPr>
            </w:pPr>
            <w:r w:rsidRPr="00342605">
              <w:rPr>
                <w:rFonts w:eastAsia="Calibri"/>
                <w:sz w:val="20"/>
                <w:lang w:val="fr-CA"/>
              </w:rPr>
              <w:lastRenderedPageBreak/>
              <w:t>4 juillet 2013</w:t>
            </w:r>
          </w:p>
          <w:p w:rsidR="00EC1039" w:rsidRPr="00342605" w:rsidRDefault="00EC1039" w:rsidP="007D1B76">
            <w:pPr>
              <w:jc w:val="both"/>
              <w:rPr>
                <w:rFonts w:eastAsia="Calibri"/>
                <w:sz w:val="20"/>
                <w:lang w:val="fr-CA"/>
              </w:rPr>
            </w:pPr>
            <w:r w:rsidRPr="00342605">
              <w:rPr>
                <w:rFonts w:eastAsia="Calibri"/>
                <w:sz w:val="20"/>
                <w:lang w:val="fr-CA"/>
              </w:rPr>
              <w:t xml:space="preserve">Cour suprême de la Colombie-Britannique </w:t>
            </w:r>
          </w:p>
          <w:p w:rsidR="00EC1039" w:rsidRPr="00342605" w:rsidRDefault="00EC1039" w:rsidP="007D1B76">
            <w:pPr>
              <w:jc w:val="both"/>
              <w:rPr>
                <w:rFonts w:eastAsia="Calibri"/>
                <w:sz w:val="20"/>
              </w:rPr>
            </w:pPr>
            <w:r w:rsidRPr="00342605">
              <w:rPr>
                <w:rFonts w:eastAsia="Calibri"/>
                <w:sz w:val="20"/>
              </w:rPr>
              <w:t>(</w:t>
            </w:r>
            <w:proofErr w:type="spellStart"/>
            <w:r w:rsidRPr="00342605">
              <w:rPr>
                <w:rFonts w:eastAsia="Calibri"/>
                <w:sz w:val="20"/>
              </w:rPr>
              <w:t>Juge</w:t>
            </w:r>
            <w:proofErr w:type="spellEnd"/>
            <w:r w:rsidRPr="00342605">
              <w:rPr>
                <w:rFonts w:eastAsia="Calibri"/>
                <w:sz w:val="20"/>
              </w:rPr>
              <w:t xml:space="preserve"> Williams)</w:t>
            </w:r>
          </w:p>
          <w:p w:rsidR="00EC1039" w:rsidRPr="00342605" w:rsidRDefault="00EC1039" w:rsidP="007D1B76">
            <w:pPr>
              <w:jc w:val="both"/>
              <w:rPr>
                <w:rFonts w:eastAsia="Calibri"/>
                <w:sz w:val="20"/>
              </w:rPr>
            </w:pPr>
            <w:r w:rsidRPr="00342605">
              <w:rPr>
                <w:rFonts w:eastAsia="Calibri"/>
                <w:sz w:val="20"/>
              </w:rPr>
              <w:t xml:space="preserve">2013 BCSC 1338; </w:t>
            </w:r>
            <w:hyperlink r:id="rId50" w:history="1">
              <w:r w:rsidRPr="00342605">
                <w:rPr>
                  <w:rFonts w:eastAsia="Calibri"/>
                  <w:color w:val="0000FF"/>
                  <w:sz w:val="20"/>
                  <w:u w:val="single"/>
                </w:rPr>
                <w:t>http://canlii.ca/t/fzt3f</w:t>
              </w:r>
            </w:hyperlink>
          </w:p>
          <w:p w:rsidR="00EC1039" w:rsidRPr="00342605" w:rsidRDefault="00EC1039" w:rsidP="007D1B76">
            <w:pPr>
              <w:jc w:val="both"/>
              <w:rPr>
                <w:rFonts w:eastAsia="Calibri"/>
                <w:sz w:val="20"/>
              </w:rPr>
            </w:pPr>
          </w:p>
        </w:tc>
        <w:tc>
          <w:tcPr>
            <w:tcW w:w="243" w:type="pct"/>
          </w:tcPr>
          <w:p w:rsidR="00EC1039" w:rsidRPr="00342605" w:rsidRDefault="00EC1039" w:rsidP="007D1B76">
            <w:pPr>
              <w:jc w:val="both"/>
              <w:rPr>
                <w:rFonts w:eastAsia="Calibri"/>
                <w:sz w:val="20"/>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Responsabilité partagée à 50 pour cent entre chaque conducteur</w:t>
            </w:r>
          </w:p>
          <w:p w:rsidR="00EC1039" w:rsidRPr="00342605" w:rsidRDefault="00EC1039" w:rsidP="007D1B76">
            <w:pPr>
              <w:jc w:val="both"/>
              <w:rPr>
                <w:rFonts w:eastAsia="Calibri"/>
                <w:sz w:val="20"/>
                <w:lang w:val="fr-CA"/>
              </w:rPr>
            </w:pPr>
          </w:p>
        </w:tc>
      </w:tr>
      <w:tr w:rsidR="00EC1039" w:rsidRPr="009723FD" w:rsidTr="007D1B76">
        <w:tc>
          <w:tcPr>
            <w:tcW w:w="2427" w:type="pct"/>
          </w:tcPr>
          <w:p w:rsidR="00EC1039" w:rsidRPr="00342605" w:rsidRDefault="00EC1039" w:rsidP="007D1B76">
            <w:pPr>
              <w:jc w:val="both"/>
              <w:rPr>
                <w:rFonts w:eastAsia="Calibri"/>
                <w:sz w:val="20"/>
                <w:lang w:val="fr-CA"/>
              </w:rPr>
            </w:pPr>
            <w:r w:rsidRPr="00342605">
              <w:rPr>
                <w:rFonts w:eastAsia="Calibri"/>
                <w:sz w:val="20"/>
                <w:lang w:val="fr-CA"/>
              </w:rPr>
              <w:t>5 juin 2014</w:t>
            </w:r>
          </w:p>
          <w:p w:rsidR="00EC1039" w:rsidRPr="00342605" w:rsidRDefault="00EC1039" w:rsidP="007D1B76">
            <w:pPr>
              <w:jc w:val="both"/>
              <w:rPr>
                <w:rFonts w:eastAsia="Calibri"/>
                <w:sz w:val="20"/>
                <w:lang w:val="fr-CA"/>
              </w:rPr>
            </w:pPr>
            <w:r w:rsidRPr="00342605">
              <w:rPr>
                <w:rFonts w:eastAsia="Calibri"/>
                <w:sz w:val="20"/>
                <w:lang w:val="fr-CA"/>
              </w:rPr>
              <w:t>Cour d’appel de la Colombie-Britannique</w:t>
            </w:r>
          </w:p>
          <w:p w:rsidR="00EC1039" w:rsidRPr="00342605" w:rsidRDefault="00EC1039" w:rsidP="007D1B76">
            <w:pPr>
              <w:jc w:val="both"/>
              <w:rPr>
                <w:rFonts w:eastAsia="Calibri"/>
                <w:sz w:val="20"/>
                <w:lang w:val="fr-CA"/>
              </w:rPr>
            </w:pPr>
            <w:r w:rsidRPr="00342605">
              <w:rPr>
                <w:rFonts w:eastAsia="Calibri"/>
                <w:sz w:val="20"/>
                <w:lang w:val="fr-CA"/>
              </w:rPr>
              <w:t>(Vancouver)</w:t>
            </w:r>
          </w:p>
          <w:p w:rsidR="00EC1039" w:rsidRPr="00342605" w:rsidRDefault="00EC1039" w:rsidP="007D1B76">
            <w:pPr>
              <w:jc w:val="both"/>
              <w:rPr>
                <w:rFonts w:eastAsia="Calibri"/>
                <w:sz w:val="20"/>
                <w:lang w:val="fr-CA"/>
              </w:rPr>
            </w:pPr>
            <w:r w:rsidRPr="00342605">
              <w:rPr>
                <w:rFonts w:eastAsia="Calibri"/>
                <w:sz w:val="20"/>
                <w:lang w:val="fr-CA"/>
              </w:rPr>
              <w:t xml:space="preserve">(Jugea Lowry, </w:t>
            </w:r>
            <w:proofErr w:type="spellStart"/>
            <w:r w:rsidRPr="00342605">
              <w:rPr>
                <w:rFonts w:eastAsia="Calibri"/>
                <w:sz w:val="20"/>
                <w:lang w:val="fr-CA"/>
              </w:rPr>
              <w:t>Stromberg</w:t>
            </w:r>
            <w:proofErr w:type="spellEnd"/>
            <w:r w:rsidRPr="00342605">
              <w:rPr>
                <w:rFonts w:eastAsia="Calibri"/>
                <w:sz w:val="20"/>
                <w:lang w:val="fr-CA"/>
              </w:rPr>
              <w:t xml:space="preserve">-Stein et </w:t>
            </w:r>
            <w:proofErr w:type="spellStart"/>
            <w:r w:rsidRPr="00342605">
              <w:rPr>
                <w:rFonts w:eastAsia="Calibri"/>
                <w:sz w:val="20"/>
                <w:lang w:val="fr-CA"/>
              </w:rPr>
              <w:t>Willcock</w:t>
            </w:r>
            <w:proofErr w:type="spellEnd"/>
            <w:r w:rsidRPr="00342605">
              <w:rPr>
                <w:rFonts w:eastAsia="Calibri"/>
                <w:sz w:val="20"/>
                <w:lang w:val="fr-CA"/>
              </w:rPr>
              <w:t>)</w:t>
            </w:r>
          </w:p>
          <w:p w:rsidR="00EC1039" w:rsidRPr="00342605" w:rsidRDefault="00EC1039" w:rsidP="007D1B76">
            <w:pPr>
              <w:jc w:val="both"/>
              <w:rPr>
                <w:rFonts w:eastAsia="Calibri"/>
                <w:sz w:val="20"/>
                <w:lang w:val="fr-CA"/>
              </w:rPr>
            </w:pPr>
            <w:r w:rsidRPr="00342605">
              <w:rPr>
                <w:rFonts w:eastAsia="Calibri"/>
                <w:sz w:val="20"/>
                <w:lang w:val="fr-CA"/>
              </w:rPr>
              <w:t>2014 BCSC 213; CA0401076</w:t>
            </w:r>
          </w:p>
          <w:p w:rsidR="00EC1039" w:rsidRPr="00342605" w:rsidRDefault="007871B3" w:rsidP="007D1B76">
            <w:pPr>
              <w:jc w:val="both"/>
              <w:rPr>
                <w:rFonts w:eastAsia="Calibri"/>
                <w:sz w:val="20"/>
                <w:lang w:val="fr-CA"/>
              </w:rPr>
            </w:pPr>
            <w:hyperlink r:id="rId51" w:history="1">
              <w:r w:rsidR="00EC1039" w:rsidRPr="00342605">
                <w:rPr>
                  <w:rFonts w:eastAsia="Calibri"/>
                  <w:color w:val="0000FF"/>
                  <w:sz w:val="20"/>
                  <w:u w:val="single"/>
                  <w:lang w:val="fr-CA"/>
                </w:rPr>
                <w:t>http://canlii.ca/t/g76mm</w:t>
              </w:r>
            </w:hyperlink>
          </w:p>
          <w:p w:rsidR="00EC1039" w:rsidRPr="00342605" w:rsidRDefault="00EC1039" w:rsidP="007D1B76">
            <w:pPr>
              <w:jc w:val="both"/>
              <w:rPr>
                <w:rFonts w:eastAsia="Calibri"/>
                <w:sz w:val="20"/>
                <w:lang w:val="fr-CA"/>
              </w:rPr>
            </w:pP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Appel accueilli; la responsabilité de l’accident est imputée à 100 pour cent au demandeur</w:t>
            </w:r>
          </w:p>
          <w:p w:rsidR="00EC1039" w:rsidRPr="00342605" w:rsidRDefault="00EC1039" w:rsidP="007D1B76">
            <w:pPr>
              <w:jc w:val="both"/>
              <w:rPr>
                <w:rFonts w:eastAsia="Calibri"/>
                <w:sz w:val="20"/>
                <w:lang w:val="fr-CA"/>
              </w:rPr>
            </w:pPr>
          </w:p>
        </w:tc>
      </w:tr>
      <w:tr w:rsidR="00EC1039" w:rsidRPr="00342605" w:rsidTr="007D1B76">
        <w:tc>
          <w:tcPr>
            <w:tcW w:w="2427" w:type="pct"/>
          </w:tcPr>
          <w:p w:rsidR="00EC1039" w:rsidRPr="00342605" w:rsidRDefault="00EC1039" w:rsidP="007D1B76">
            <w:pPr>
              <w:jc w:val="both"/>
              <w:rPr>
                <w:rFonts w:eastAsia="Calibri"/>
                <w:sz w:val="20"/>
                <w:lang w:val="fr-CA"/>
              </w:rPr>
            </w:pPr>
            <w:r w:rsidRPr="00342605">
              <w:rPr>
                <w:rFonts w:eastAsia="Calibri"/>
                <w:sz w:val="20"/>
                <w:lang w:val="fr-CA"/>
              </w:rPr>
              <w:t>4 septembre 2014</w:t>
            </w:r>
          </w:p>
          <w:p w:rsidR="00EC1039" w:rsidRPr="00342605" w:rsidRDefault="00EC1039" w:rsidP="007D1B76">
            <w:pPr>
              <w:jc w:val="both"/>
              <w:rPr>
                <w:rFonts w:eastAsia="Calibri"/>
                <w:sz w:val="20"/>
                <w:lang w:val="fr-CA"/>
              </w:rPr>
            </w:pPr>
            <w:r w:rsidRPr="00342605">
              <w:rPr>
                <w:rFonts w:eastAsia="Calibri"/>
                <w:sz w:val="20"/>
                <w:lang w:val="fr-CA"/>
              </w:rPr>
              <w:t>Cour suprême du Canada</w:t>
            </w:r>
          </w:p>
        </w:tc>
        <w:tc>
          <w:tcPr>
            <w:tcW w:w="243" w:type="pct"/>
          </w:tcPr>
          <w:p w:rsidR="00EC1039" w:rsidRPr="00342605" w:rsidRDefault="00EC1039" w:rsidP="007D1B76">
            <w:pPr>
              <w:jc w:val="both"/>
              <w:rPr>
                <w:rFonts w:eastAsia="Calibri"/>
                <w:sz w:val="20"/>
                <w:lang w:val="fr-CA"/>
              </w:rPr>
            </w:pPr>
          </w:p>
        </w:tc>
        <w:tc>
          <w:tcPr>
            <w:tcW w:w="2330" w:type="pct"/>
          </w:tcPr>
          <w:p w:rsidR="00EC1039" w:rsidRPr="00342605" w:rsidRDefault="00EC1039" w:rsidP="007D1B76">
            <w:pPr>
              <w:jc w:val="both"/>
              <w:rPr>
                <w:rFonts w:eastAsia="Calibri"/>
                <w:sz w:val="20"/>
                <w:lang w:val="fr-CA"/>
              </w:rPr>
            </w:pPr>
            <w:r w:rsidRPr="00342605">
              <w:rPr>
                <w:rFonts w:eastAsia="Calibri"/>
                <w:sz w:val="20"/>
                <w:lang w:val="fr-CA"/>
              </w:rPr>
              <w:t>Demande d’autorisation d’appel, déposée</w:t>
            </w:r>
          </w:p>
          <w:p w:rsidR="00EC1039" w:rsidRPr="00342605" w:rsidRDefault="00EC1039"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58"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9011E" w:rsidRPr="00F842B1" w:rsidTr="00DC6331">
        <w:trPr>
          <w:cantSplit/>
        </w:trPr>
        <w:tc>
          <w:tcPr>
            <w:tcW w:w="1458" w:type="dxa"/>
          </w:tcPr>
          <w:p w:rsidR="00D9011E" w:rsidRPr="00F842B1" w:rsidRDefault="00D9011E" w:rsidP="00DC6331">
            <w:pPr>
              <w:rPr>
                <w:sz w:val="20"/>
                <w:szCs w:val="20"/>
              </w:rPr>
            </w:pPr>
            <w:r w:rsidRPr="00F842B1">
              <w:rPr>
                <w:rStyle w:val="SCCFileNumberChar"/>
                <w:sz w:val="20"/>
                <w:szCs w:val="20"/>
              </w:rPr>
              <w:t>36046</w:t>
            </w:r>
          </w:p>
          <w:p w:rsidR="00D9011E" w:rsidRPr="00F842B1" w:rsidRDefault="00D9011E" w:rsidP="00DC6331">
            <w:pPr>
              <w:rPr>
                <w:b/>
                <w:sz w:val="20"/>
                <w:szCs w:val="20"/>
                <w:lang w:val="fr-CA"/>
              </w:rPr>
            </w:pPr>
          </w:p>
        </w:tc>
        <w:tc>
          <w:tcPr>
            <w:tcW w:w="8118" w:type="dxa"/>
          </w:tcPr>
          <w:p w:rsidR="00D9011E" w:rsidRPr="00F842B1" w:rsidRDefault="00D9011E" w:rsidP="00DC6331">
            <w:pPr>
              <w:rPr>
                <w:sz w:val="20"/>
                <w:szCs w:val="20"/>
              </w:rPr>
            </w:pPr>
            <w:r w:rsidRPr="00F842B1">
              <w:rPr>
                <w:rStyle w:val="SCCLsocChar"/>
                <w:sz w:val="20"/>
                <w:szCs w:val="20"/>
                <w:lang w:val="en-CA"/>
              </w:rPr>
              <w:t>Burg Properties Ltd. v. Her Majesty the Queen</w:t>
            </w:r>
            <w:r w:rsidRPr="00F842B1">
              <w:rPr>
                <w:sz w:val="20"/>
                <w:szCs w:val="20"/>
              </w:rPr>
              <w:t xml:space="preserve"> (F</w:t>
            </w:r>
            <w:r>
              <w:rPr>
                <w:sz w:val="20"/>
                <w:szCs w:val="20"/>
              </w:rPr>
              <w:t>.</w:t>
            </w:r>
            <w:r w:rsidRPr="00F842B1">
              <w:rPr>
                <w:sz w:val="20"/>
                <w:szCs w:val="20"/>
              </w:rPr>
              <w:t>C</w:t>
            </w:r>
            <w:r>
              <w:rPr>
                <w:sz w:val="20"/>
                <w:szCs w:val="20"/>
              </w:rPr>
              <w:t>.</w:t>
            </w:r>
            <w:r w:rsidRPr="00F842B1">
              <w:rPr>
                <w:sz w:val="20"/>
                <w:szCs w:val="20"/>
              </w:rPr>
              <w:t>) (Civil) (By Leave)</w:t>
            </w:r>
          </w:p>
          <w:p w:rsidR="00D9011E" w:rsidRPr="00F842B1" w:rsidRDefault="00D9011E" w:rsidP="00DC6331">
            <w:pPr>
              <w:rPr>
                <w:sz w:val="20"/>
                <w:szCs w:val="20"/>
              </w:rPr>
            </w:pPr>
          </w:p>
        </w:tc>
      </w:tr>
      <w:tr w:rsidR="00D9011E" w:rsidRPr="00F842B1" w:rsidTr="00DC6331">
        <w:trPr>
          <w:cantSplit/>
        </w:trPr>
        <w:tc>
          <w:tcPr>
            <w:tcW w:w="1458" w:type="dxa"/>
          </w:tcPr>
          <w:p w:rsidR="00D9011E" w:rsidRPr="00F842B1" w:rsidRDefault="00D9011E" w:rsidP="00DC6331">
            <w:pPr>
              <w:rPr>
                <w:sz w:val="20"/>
                <w:szCs w:val="20"/>
              </w:rPr>
            </w:pPr>
            <w:r w:rsidRPr="00F842B1">
              <w:rPr>
                <w:sz w:val="20"/>
                <w:szCs w:val="20"/>
              </w:rPr>
              <w:t>Coram :</w:t>
            </w:r>
          </w:p>
        </w:tc>
        <w:tc>
          <w:tcPr>
            <w:tcW w:w="8118" w:type="dxa"/>
          </w:tcPr>
          <w:p w:rsidR="00D9011E" w:rsidRPr="00F842B1" w:rsidRDefault="00D9011E" w:rsidP="00DC6331">
            <w:pPr>
              <w:rPr>
                <w:sz w:val="20"/>
                <w:szCs w:val="20"/>
              </w:rPr>
            </w:pPr>
            <w:proofErr w:type="spellStart"/>
            <w:r w:rsidRPr="00F842B1">
              <w:rPr>
                <w:rStyle w:val="SCCCoramChar"/>
                <w:sz w:val="20"/>
                <w:szCs w:val="20"/>
                <w:lang w:val="en-CA"/>
              </w:rPr>
              <w:t>Abella</w:t>
            </w:r>
            <w:proofErr w:type="spellEnd"/>
            <w:r w:rsidRPr="00F842B1">
              <w:rPr>
                <w:rStyle w:val="SCCCoramChar"/>
                <w:sz w:val="20"/>
                <w:szCs w:val="20"/>
                <w:lang w:val="en-CA"/>
              </w:rPr>
              <w:t xml:space="preserve">, Rothstein and </w:t>
            </w:r>
            <w:proofErr w:type="spellStart"/>
            <w:r w:rsidRPr="00F842B1">
              <w:rPr>
                <w:rStyle w:val="SCCCoramChar"/>
                <w:sz w:val="20"/>
                <w:szCs w:val="20"/>
                <w:lang w:val="en-CA"/>
              </w:rPr>
              <w:t>Moldaver</w:t>
            </w:r>
            <w:proofErr w:type="spellEnd"/>
            <w:r w:rsidRPr="00F842B1">
              <w:rPr>
                <w:rStyle w:val="SCCCoramChar"/>
                <w:sz w:val="20"/>
                <w:szCs w:val="20"/>
                <w:lang w:val="en-CA"/>
              </w:rPr>
              <w:t> JJ.</w:t>
            </w:r>
          </w:p>
          <w:p w:rsidR="00D9011E" w:rsidRPr="00F842B1" w:rsidRDefault="00D9011E" w:rsidP="00DC6331">
            <w:pPr>
              <w:rPr>
                <w:sz w:val="20"/>
                <w:szCs w:val="20"/>
                <w:u w:val="single"/>
              </w:rPr>
            </w:pPr>
          </w:p>
        </w:tc>
      </w:tr>
      <w:tr w:rsidR="00D9011E" w:rsidRPr="009723FD" w:rsidTr="00DC6331">
        <w:trPr>
          <w:cantSplit/>
        </w:trPr>
        <w:tc>
          <w:tcPr>
            <w:tcW w:w="9576" w:type="dxa"/>
            <w:gridSpan w:val="2"/>
          </w:tcPr>
          <w:p w:rsidR="00D9011E" w:rsidRPr="00F842B1" w:rsidRDefault="00D9011E" w:rsidP="00DC6331">
            <w:pPr>
              <w:pStyle w:val="SCCShortJudgment"/>
              <w:rPr>
                <w:szCs w:val="20"/>
              </w:rPr>
            </w:pPr>
            <w:r w:rsidRPr="00F842B1">
              <w:rPr>
                <w:szCs w:val="20"/>
              </w:rPr>
              <w:t>The application for leave to appeal from the judgment of the Federal Court of Appeal, Number A-313-13, 2014 FCA 154, dated June 10, 2014 is dismissed with costs.</w:t>
            </w:r>
          </w:p>
          <w:p w:rsidR="00D9011E" w:rsidRPr="00F842B1" w:rsidRDefault="00D9011E" w:rsidP="00DC6331">
            <w:pPr>
              <w:pStyle w:val="SCCShortJudgment"/>
              <w:ind w:firstLine="0"/>
              <w:rPr>
                <w:szCs w:val="20"/>
              </w:rPr>
            </w:pPr>
          </w:p>
          <w:p w:rsidR="00D9011E" w:rsidRPr="00F842B1" w:rsidRDefault="00D9011E" w:rsidP="00D9011E">
            <w:pPr>
              <w:pStyle w:val="SCCShortJudgment"/>
              <w:rPr>
                <w:szCs w:val="20"/>
                <w:lang w:val="fr-CA"/>
              </w:rPr>
            </w:pPr>
            <w:r w:rsidRPr="00F842B1">
              <w:rPr>
                <w:szCs w:val="20"/>
                <w:lang w:val="fr-CA"/>
              </w:rPr>
              <w:t>La demande d’autorisation d’appel de l’arrêt de la Cour d’appel fédérale, numéro  A-313-13, 2014 CAF 154, daté du 10 juin 2014, est rejetée avec dépens.</w:t>
            </w:r>
          </w:p>
        </w:tc>
      </w:tr>
    </w:tbl>
    <w:p w:rsidR="00A325AC" w:rsidRPr="00D9011E"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 xml:space="preserve">Taxation – Income tax – Goods and services tax – Contracts – Settlement agreement – Whether a settlement contract as to income tax and GST liability reached between the Canada Revenue Agency and a taxpayer is enforceable against the Canada Revenue Agency – How is such a contract to be interpreted – according to its own terms or according to the intentions of one of the parties only? – Whether property transfer tax, payable as a normal part of property purchase transactions in a number of Canadian jurisdictions, including British Columbia, is deductible in the year of purchase as an expense or whether it must be capitalized along with the purchase price – </w:t>
            </w:r>
            <w:r w:rsidRPr="00342605">
              <w:rPr>
                <w:rFonts w:eastAsia="Calibri"/>
                <w:i/>
                <w:sz w:val="20"/>
              </w:rPr>
              <w:t>Excise Tax Act</w:t>
            </w:r>
            <w:r w:rsidRPr="00342605">
              <w:rPr>
                <w:rFonts w:eastAsia="Calibri"/>
                <w:sz w:val="20"/>
              </w:rPr>
              <w:t xml:space="preserve">, R.S.C. 1985, c. E-15 – </w:t>
            </w:r>
            <w:r w:rsidRPr="00342605">
              <w:rPr>
                <w:rFonts w:eastAsia="Calibri"/>
                <w:i/>
                <w:sz w:val="20"/>
              </w:rPr>
              <w:t>Income Tax Act</w:t>
            </w:r>
            <w:r w:rsidRPr="00342605">
              <w:rPr>
                <w:rFonts w:eastAsia="Calibri"/>
                <w:sz w:val="20"/>
              </w:rPr>
              <w:t>, R.S.C. 1985, c. 1.</w:t>
            </w:r>
          </w:p>
        </w:tc>
      </w:tr>
      <w:tr w:rsidR="00ED6ADD" w:rsidRPr="00342605" w:rsidTr="007D1B76">
        <w:tc>
          <w:tcPr>
            <w:tcW w:w="5000" w:type="pct"/>
            <w:gridSpan w:val="3"/>
          </w:tcPr>
          <w:p w:rsidR="00ED6ADD" w:rsidRPr="00342605" w:rsidRDefault="00ED6ADD" w:rsidP="007D1B76">
            <w:pPr>
              <w:jc w:val="both"/>
              <w:rPr>
                <w:rFonts w:eastAsia="Calibri"/>
                <w:sz w:val="20"/>
              </w:rPr>
            </w:pPr>
          </w:p>
        </w:tc>
      </w:tr>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 xml:space="preserve">The applicant taxpayer and the Canada Revenue Agency entered into a settlement agreement whereby if the Minister of National Revenue reassessed the applicant in accordance with the terms of the settlement agreement, the taxpayer waived its rights of objection and appeal.  The settlement agreement did not set out the final amounts owing by the applicant, just how various amounts at issue were to be increased or decreased on final assessment.  Despite the waiver, the </w:t>
            </w:r>
            <w:r w:rsidRPr="00342605">
              <w:rPr>
                <w:rFonts w:eastAsia="Calibri"/>
                <w:sz w:val="20"/>
              </w:rPr>
              <w:lastRenderedPageBreak/>
              <w:t xml:space="preserve">applicant brought appeals against its reassessments made under the </w:t>
            </w:r>
            <w:r w:rsidRPr="00342605">
              <w:rPr>
                <w:rFonts w:eastAsia="Calibri"/>
                <w:i/>
                <w:sz w:val="20"/>
              </w:rPr>
              <w:t>Excise Tax Act</w:t>
            </w:r>
            <w:r w:rsidRPr="00342605">
              <w:rPr>
                <w:rFonts w:eastAsia="Calibri"/>
                <w:sz w:val="20"/>
              </w:rPr>
              <w:t xml:space="preserve"> for its reporting periods ending February 28, 2007; April 30, 2007 and April 30, 2008, and under the </w:t>
            </w:r>
            <w:r w:rsidRPr="00342605">
              <w:rPr>
                <w:rFonts w:eastAsia="Calibri"/>
                <w:i/>
                <w:sz w:val="20"/>
              </w:rPr>
              <w:t>Income Tax Act</w:t>
            </w:r>
            <w:r w:rsidRPr="00342605">
              <w:rPr>
                <w:rFonts w:eastAsia="Calibri"/>
                <w:sz w:val="20"/>
              </w:rPr>
              <w:t xml:space="preserve"> for its 2007, 2008 and 2009 taxation years.  The applicant argued that the settlement agreement contemplated adjustments to the amounts set out in the original and amended tax returns filed by the taxpayer, whereas the Canada Revenue Agency took the position that the adjustments were to the amounts in its reassessment of the taxpayer.</w:t>
            </w:r>
          </w:p>
          <w:p w:rsidR="00ED6ADD" w:rsidRPr="00342605" w:rsidRDefault="00ED6ADD" w:rsidP="007D1B76">
            <w:pPr>
              <w:jc w:val="both"/>
              <w:rPr>
                <w:rFonts w:eastAsia="Calibri"/>
                <w:sz w:val="20"/>
              </w:rPr>
            </w:pPr>
          </w:p>
          <w:p w:rsidR="00ED6ADD" w:rsidRPr="00342605" w:rsidRDefault="00ED6ADD" w:rsidP="007D1B76">
            <w:pPr>
              <w:jc w:val="both"/>
              <w:rPr>
                <w:rFonts w:eastAsia="Calibri"/>
                <w:sz w:val="20"/>
              </w:rPr>
            </w:pPr>
            <w:r w:rsidRPr="00342605">
              <w:rPr>
                <w:rFonts w:eastAsia="Calibri"/>
                <w:sz w:val="20"/>
              </w:rPr>
              <w:t>Motions brought by the respondent to quash the applicant’s appeals were granted by the Tax Court of Canada and an appeal by the applicant was dismissed by the Federal Court of Appeal.</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lastRenderedPageBreak/>
              <w:t>July 4, 2013</w:t>
            </w:r>
          </w:p>
          <w:p w:rsidR="00ED6ADD" w:rsidRPr="00342605" w:rsidRDefault="00ED6ADD" w:rsidP="007D1B76">
            <w:pPr>
              <w:jc w:val="both"/>
              <w:rPr>
                <w:rFonts w:eastAsia="Calibri"/>
                <w:sz w:val="20"/>
              </w:rPr>
            </w:pPr>
            <w:r w:rsidRPr="00342605">
              <w:rPr>
                <w:rFonts w:eastAsia="Calibri"/>
                <w:sz w:val="20"/>
              </w:rPr>
              <w:t>Tax Court of Canada</w:t>
            </w:r>
          </w:p>
          <w:p w:rsidR="00ED6ADD" w:rsidRPr="00342605" w:rsidRDefault="00ED6ADD" w:rsidP="007D1B76">
            <w:pPr>
              <w:jc w:val="both"/>
              <w:rPr>
                <w:rFonts w:eastAsia="Calibri"/>
                <w:sz w:val="20"/>
              </w:rPr>
            </w:pPr>
            <w:r w:rsidRPr="00342605">
              <w:rPr>
                <w:rFonts w:eastAsia="Calibri"/>
                <w:sz w:val="20"/>
              </w:rPr>
              <w:t>(</w:t>
            </w:r>
            <w:proofErr w:type="spellStart"/>
            <w:r w:rsidRPr="00342605">
              <w:rPr>
                <w:rFonts w:eastAsia="Calibri"/>
                <w:sz w:val="20"/>
              </w:rPr>
              <w:t>Pizzitelli</w:t>
            </w:r>
            <w:proofErr w:type="spellEnd"/>
            <w:r w:rsidRPr="00342605">
              <w:rPr>
                <w:rFonts w:eastAsia="Calibri"/>
                <w:sz w:val="20"/>
              </w:rPr>
              <w:t xml:space="preserve"> J.)</w:t>
            </w:r>
          </w:p>
          <w:p w:rsidR="00ED6ADD" w:rsidRDefault="00ED6ADD" w:rsidP="007D1B76">
            <w:pPr>
              <w:jc w:val="both"/>
              <w:rPr>
                <w:rFonts w:eastAsia="Calibri"/>
                <w:sz w:val="20"/>
              </w:rPr>
            </w:pPr>
            <w:r w:rsidRPr="00342605">
              <w:rPr>
                <w:rFonts w:eastAsia="Calibri"/>
                <w:sz w:val="20"/>
              </w:rPr>
              <w:t>2013-97(IT)G; 2011-2468(GST)G</w:t>
            </w:r>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 xml:space="preserve">Respondent’s motions for Orders quashing the applicant’s appeals from reassessments under the </w:t>
            </w:r>
            <w:r w:rsidRPr="00342605">
              <w:rPr>
                <w:rFonts w:eastAsia="Calibri"/>
                <w:i/>
                <w:sz w:val="20"/>
              </w:rPr>
              <w:t>Excise Tax Act</w:t>
            </w:r>
            <w:r w:rsidRPr="00342605">
              <w:rPr>
                <w:rFonts w:eastAsia="Calibri"/>
                <w:sz w:val="20"/>
              </w:rPr>
              <w:t xml:space="preserve"> and the </w:t>
            </w:r>
            <w:r w:rsidRPr="00342605">
              <w:rPr>
                <w:rFonts w:eastAsia="Calibri"/>
                <w:i/>
                <w:sz w:val="20"/>
              </w:rPr>
              <w:t>Income Tax Act</w:t>
            </w:r>
            <w:r w:rsidRPr="00342605">
              <w:rPr>
                <w:rFonts w:eastAsia="Calibri"/>
                <w:sz w:val="20"/>
              </w:rPr>
              <w:t>, granted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June 10, 2014</w:t>
            </w:r>
          </w:p>
          <w:p w:rsidR="00ED6ADD" w:rsidRPr="00342605" w:rsidRDefault="00ED6ADD" w:rsidP="007D1B76">
            <w:pPr>
              <w:jc w:val="both"/>
              <w:rPr>
                <w:rFonts w:eastAsia="Calibri"/>
                <w:sz w:val="20"/>
              </w:rPr>
            </w:pPr>
            <w:r w:rsidRPr="00342605">
              <w:rPr>
                <w:rFonts w:eastAsia="Calibri"/>
                <w:sz w:val="20"/>
              </w:rPr>
              <w:t>Federal Court of Appeal</w:t>
            </w:r>
          </w:p>
          <w:p w:rsidR="00ED6ADD" w:rsidRPr="00342605" w:rsidRDefault="00ED6ADD" w:rsidP="007D1B76">
            <w:pPr>
              <w:jc w:val="both"/>
              <w:rPr>
                <w:rFonts w:eastAsia="Calibri"/>
                <w:sz w:val="20"/>
              </w:rPr>
            </w:pPr>
            <w:r w:rsidRPr="00342605">
              <w:rPr>
                <w:rFonts w:eastAsia="Calibri"/>
                <w:sz w:val="20"/>
              </w:rPr>
              <w:t xml:space="preserve">(Dawson, </w:t>
            </w:r>
            <w:proofErr w:type="spellStart"/>
            <w:r w:rsidRPr="00342605">
              <w:rPr>
                <w:rFonts w:eastAsia="Calibri"/>
                <w:sz w:val="20"/>
              </w:rPr>
              <w:t>Trudel</w:t>
            </w:r>
            <w:proofErr w:type="spellEnd"/>
            <w:r w:rsidRPr="00342605">
              <w:rPr>
                <w:rFonts w:eastAsia="Calibri"/>
                <w:sz w:val="20"/>
              </w:rPr>
              <w:t xml:space="preserve"> and Near JJ.A.)</w:t>
            </w:r>
          </w:p>
          <w:p w:rsidR="00ED6ADD" w:rsidRPr="00342605" w:rsidRDefault="007871B3" w:rsidP="007D1B76">
            <w:pPr>
              <w:jc w:val="both"/>
              <w:rPr>
                <w:rFonts w:eastAsia="Calibri"/>
                <w:sz w:val="20"/>
              </w:rPr>
            </w:pPr>
            <w:hyperlink r:id="rId52" w:history="1">
              <w:r w:rsidR="00ED6ADD" w:rsidRPr="00342605">
                <w:rPr>
                  <w:rFonts w:eastAsia="Calibri"/>
                  <w:color w:val="0000FF"/>
                  <w:sz w:val="20"/>
                  <w:u w:val="single"/>
                </w:rPr>
                <w:t>2014 FCA 154</w:t>
              </w:r>
            </w:hyperlink>
            <w:r w:rsidR="00ED6ADD" w:rsidRPr="00342605">
              <w:rPr>
                <w:rFonts w:eastAsia="Calibri"/>
                <w:sz w:val="20"/>
              </w:rPr>
              <w:t>; A313-13</w:t>
            </w:r>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Appeal dismissed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September 8, 2014</w:t>
            </w:r>
          </w:p>
          <w:p w:rsidR="00ED6ADD" w:rsidRPr="00342605" w:rsidRDefault="00ED6ADD" w:rsidP="007D1B76">
            <w:pPr>
              <w:jc w:val="both"/>
              <w:rPr>
                <w:rFonts w:eastAsia="Calibri"/>
                <w:sz w:val="20"/>
              </w:rPr>
            </w:pPr>
            <w:r w:rsidRPr="00342605">
              <w:rPr>
                <w:rFonts w:eastAsia="Calibri"/>
                <w:sz w:val="20"/>
              </w:rPr>
              <w:t>Supreme Court of Canada</w:t>
            </w: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Application for leave to appeal filed</w:t>
            </w:r>
          </w:p>
          <w:p w:rsidR="00ED6ADD" w:rsidRPr="00342605" w:rsidRDefault="00ED6ADD"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59"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Droit fiscal – Impôt sur le revenu – Taxe sur les produits et services – Contrats – Accord de règlement – Le contrat de règlement portant sur une dette au titre de l’impôt sur le revenu et de la TPS conclu entre l’Agence du revenu du Canada et un contribuable est-il exécutoire contre l’Agence de revenu du Canada? – Comment faut-il interpréter un tel contrat : conformément à son libellé ou conformément aux intentions d’une des parties seulement? – Les droits de mutation immobilière, payables dans le cours normal des opérations d’achat de biens immobiliers dans plusieurs ressorts canadiens, y compris la Colombie-Britannique, sont-ils déductibles dans l’année d’achat en tant que dépense ou doivent-ils être incorporés au prix d’achat? – </w:t>
            </w:r>
            <w:r w:rsidRPr="00342605">
              <w:rPr>
                <w:rFonts w:eastAsia="Calibri"/>
                <w:i/>
                <w:sz w:val="20"/>
                <w:lang w:val="fr-CA"/>
              </w:rPr>
              <w:t>Loi sur la taxe d’accise</w:t>
            </w:r>
            <w:r w:rsidRPr="00342605">
              <w:rPr>
                <w:rFonts w:eastAsia="Calibri"/>
                <w:sz w:val="20"/>
                <w:lang w:val="fr-CA"/>
              </w:rPr>
              <w:t xml:space="preserve">, L.R.C. 1985, ch. E-15 – </w:t>
            </w:r>
            <w:r w:rsidRPr="00342605">
              <w:rPr>
                <w:rFonts w:eastAsia="Calibri"/>
                <w:i/>
                <w:sz w:val="20"/>
                <w:lang w:val="fr-CA"/>
              </w:rPr>
              <w:t>Loi de l’impôt sur le revenu</w:t>
            </w:r>
            <w:r w:rsidRPr="00342605">
              <w:rPr>
                <w:rFonts w:eastAsia="Calibri"/>
                <w:sz w:val="20"/>
                <w:lang w:val="fr-CA"/>
              </w:rPr>
              <w:t>, L.R.C. 1985, ch. 1.</w:t>
            </w:r>
          </w:p>
        </w:tc>
      </w:tr>
      <w:tr w:rsidR="00ED6ADD" w:rsidRPr="009723FD" w:rsidTr="007D1B76">
        <w:tc>
          <w:tcPr>
            <w:tcW w:w="5000" w:type="pct"/>
            <w:gridSpan w:val="3"/>
          </w:tcPr>
          <w:p w:rsidR="00ED6ADD" w:rsidRPr="00342605" w:rsidRDefault="00ED6ADD" w:rsidP="007D1B76">
            <w:pPr>
              <w:jc w:val="both"/>
              <w:rPr>
                <w:rFonts w:eastAsia="Calibri"/>
                <w:sz w:val="20"/>
                <w:lang w:val="fr-CA"/>
              </w:rPr>
            </w:pPr>
          </w:p>
        </w:tc>
      </w:tr>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La contribuable demanderesse et l’Agence du revenu du Canada ont conclu un accord de règlement en vertu duquel la contribuable renonçait à ses droits d’opposition et d’appel si le ministre du Revenu national établissait une nouvelle cotisation à son égard conformément aux dispositions de l’accord de règlement.  L’accord de règlement ne précisait pas les montants définitifs que devait la demanderesse, mais seulement la manière dont les divers montants en cause devaient être augmentés ou diminués dans la cotisation définitive.  Malgré la renonciation, la demanderesse a interjeté des appels à l’égard des nouvelles cotisations établies à son égard en application de la</w:t>
            </w:r>
            <w:r w:rsidRPr="00342605">
              <w:rPr>
                <w:rFonts w:eastAsia="Calibri"/>
                <w:i/>
                <w:sz w:val="20"/>
                <w:lang w:val="fr-CA"/>
              </w:rPr>
              <w:t xml:space="preserve"> Loi sur la taxe d’accise</w:t>
            </w:r>
            <w:r w:rsidRPr="00342605">
              <w:rPr>
                <w:rFonts w:eastAsia="Calibri"/>
                <w:sz w:val="20"/>
                <w:lang w:val="fr-CA"/>
              </w:rPr>
              <w:t xml:space="preserve"> pour ses périodes de déclaration prenant fin le 28 février 2007, le 30 avril 2007 et le 30 avril 2008 et en application de la</w:t>
            </w:r>
            <w:r w:rsidRPr="00342605">
              <w:rPr>
                <w:rFonts w:eastAsia="Calibri"/>
                <w:i/>
                <w:sz w:val="20"/>
                <w:lang w:val="fr-CA"/>
              </w:rPr>
              <w:t xml:space="preserve"> Loi de l’impôt sur le revenu </w:t>
            </w:r>
            <w:r w:rsidRPr="00342605">
              <w:rPr>
                <w:rFonts w:eastAsia="Calibri"/>
                <w:sz w:val="20"/>
                <w:lang w:val="fr-CA"/>
              </w:rPr>
              <w:t>pour ses années d’imposition 2007, 2008 et 2009.  La demanderesse a plaidé que l’accord de règlement prévoyait des ajustements aux montants inscrits dans les déclarations fiscales initiales et modifiées produites par le contribuable, alors que l’Agence du revenu du Canada faisait valoir que les ajustements devaient porter sur les montants inscrit dans les nouvelles cotisations qu’elle avait établies à l’égard du contribuable.</w:t>
            </w:r>
          </w:p>
          <w:p w:rsidR="00ED6ADD" w:rsidRPr="00342605" w:rsidRDefault="00ED6ADD" w:rsidP="007D1B76">
            <w:pPr>
              <w:jc w:val="both"/>
              <w:rPr>
                <w:rFonts w:eastAsia="Calibri"/>
                <w:sz w:val="20"/>
                <w:lang w:val="fr-CA"/>
              </w:rPr>
            </w:pPr>
          </w:p>
          <w:p w:rsidR="00ED6ADD" w:rsidRPr="00342605" w:rsidRDefault="00ED6ADD" w:rsidP="007D1B76">
            <w:pPr>
              <w:jc w:val="both"/>
              <w:rPr>
                <w:rFonts w:eastAsia="Calibri"/>
                <w:sz w:val="20"/>
                <w:lang w:val="fr-CA"/>
              </w:rPr>
            </w:pPr>
            <w:r w:rsidRPr="00342605">
              <w:rPr>
                <w:rFonts w:eastAsia="Calibri"/>
                <w:sz w:val="20"/>
                <w:lang w:val="fr-CA"/>
              </w:rPr>
              <w:t>La Cour canadienne de l’impôt a accueilli les requêtes présentées par l’intimée en vue d’annuler les appels de la demanderesse et la Cour d’appel fédérale a rejeté l’appel de la demanderesse.</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lastRenderedPageBreak/>
              <w:t>4 juillet 2013</w:t>
            </w:r>
          </w:p>
          <w:p w:rsidR="00ED6ADD" w:rsidRPr="00342605" w:rsidRDefault="00ED6ADD" w:rsidP="007D1B76">
            <w:pPr>
              <w:jc w:val="both"/>
              <w:rPr>
                <w:rFonts w:eastAsia="Calibri"/>
                <w:sz w:val="20"/>
                <w:lang w:val="fr-CA"/>
              </w:rPr>
            </w:pPr>
            <w:r w:rsidRPr="00342605">
              <w:rPr>
                <w:rFonts w:eastAsia="Calibri"/>
                <w:sz w:val="20"/>
                <w:lang w:val="fr-CA"/>
              </w:rPr>
              <w:t>Cour canadienne de l’impôt</w:t>
            </w:r>
          </w:p>
          <w:p w:rsidR="00ED6ADD" w:rsidRPr="00342605" w:rsidRDefault="00ED6ADD" w:rsidP="007D1B76">
            <w:pPr>
              <w:jc w:val="both"/>
              <w:rPr>
                <w:rFonts w:eastAsia="Calibri"/>
                <w:sz w:val="20"/>
                <w:lang w:val="fr-CA"/>
              </w:rPr>
            </w:pPr>
            <w:r w:rsidRPr="00342605">
              <w:rPr>
                <w:rFonts w:eastAsia="Calibri"/>
                <w:sz w:val="20"/>
                <w:lang w:val="fr-CA"/>
              </w:rPr>
              <w:t xml:space="preserve">(Juge </w:t>
            </w:r>
            <w:proofErr w:type="spellStart"/>
            <w:r w:rsidRPr="00342605">
              <w:rPr>
                <w:rFonts w:eastAsia="Calibri"/>
                <w:sz w:val="20"/>
                <w:lang w:val="fr-CA"/>
              </w:rPr>
              <w:t>Pizzitelli</w:t>
            </w:r>
            <w:proofErr w:type="spellEnd"/>
            <w:r w:rsidRPr="00342605">
              <w:rPr>
                <w:rFonts w:eastAsia="Calibri"/>
                <w:sz w:val="20"/>
                <w:lang w:val="fr-CA"/>
              </w:rPr>
              <w:t>)</w:t>
            </w:r>
          </w:p>
          <w:p w:rsidR="00ED6ADD" w:rsidRPr="00342605" w:rsidRDefault="00ED6ADD" w:rsidP="007D1B76">
            <w:pPr>
              <w:jc w:val="both"/>
              <w:rPr>
                <w:rFonts w:eastAsia="Calibri"/>
                <w:sz w:val="20"/>
                <w:lang w:val="fr-CA"/>
              </w:rPr>
            </w:pPr>
            <w:r w:rsidRPr="00342605">
              <w:rPr>
                <w:rFonts w:eastAsia="Calibri"/>
                <w:sz w:val="20"/>
                <w:lang w:val="fr-CA"/>
              </w:rPr>
              <w:t>2013-97(IT</w:t>
            </w:r>
            <w:proofErr w:type="gramStart"/>
            <w:r w:rsidRPr="00342605">
              <w:rPr>
                <w:rFonts w:eastAsia="Calibri"/>
                <w:sz w:val="20"/>
                <w:lang w:val="fr-CA"/>
              </w:rPr>
              <w:t>)G</w:t>
            </w:r>
            <w:proofErr w:type="gramEnd"/>
            <w:r w:rsidRPr="00342605">
              <w:rPr>
                <w:rFonts w:eastAsia="Calibri"/>
                <w:sz w:val="20"/>
                <w:lang w:val="fr-CA"/>
              </w:rPr>
              <w:t>; 2011-2468(GST)G</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Requêtes de l’intimée en vue d’obtenir des ordonnances annulant les appels de la demanderesse de nouvelles cotisations établies en application de la</w:t>
            </w:r>
            <w:r w:rsidRPr="00342605">
              <w:rPr>
                <w:rFonts w:eastAsia="Calibri"/>
                <w:i/>
                <w:sz w:val="20"/>
                <w:lang w:val="fr-CA"/>
              </w:rPr>
              <w:t xml:space="preserve"> Loi sur la taxe d’accise</w:t>
            </w:r>
            <w:r w:rsidRPr="00342605">
              <w:rPr>
                <w:rFonts w:eastAsia="Calibri"/>
                <w:sz w:val="20"/>
                <w:lang w:val="fr-CA"/>
              </w:rPr>
              <w:t xml:space="preserve"> et de la </w:t>
            </w:r>
            <w:r w:rsidRPr="00342605">
              <w:rPr>
                <w:rFonts w:eastAsia="Calibri"/>
                <w:i/>
                <w:sz w:val="20"/>
                <w:lang w:val="fr-CA"/>
              </w:rPr>
              <w:t>Loi de l’impôt sur le revenu</w:t>
            </w:r>
            <w:r w:rsidRPr="00342605">
              <w:rPr>
                <w:rFonts w:eastAsia="Calibri"/>
                <w:sz w:val="20"/>
                <w:lang w:val="fr-CA"/>
              </w:rPr>
              <w:t>, accueillies</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10 juin 2014</w:t>
            </w:r>
          </w:p>
          <w:p w:rsidR="00ED6ADD" w:rsidRPr="00342605" w:rsidRDefault="00ED6ADD" w:rsidP="007D1B76">
            <w:pPr>
              <w:jc w:val="both"/>
              <w:rPr>
                <w:rFonts w:eastAsia="Calibri"/>
                <w:sz w:val="20"/>
                <w:lang w:val="fr-CA"/>
              </w:rPr>
            </w:pPr>
            <w:r w:rsidRPr="00342605">
              <w:rPr>
                <w:rFonts w:eastAsia="Calibri"/>
                <w:sz w:val="20"/>
                <w:lang w:val="fr-CA"/>
              </w:rPr>
              <w:t xml:space="preserve">Cour d’appel fédérale </w:t>
            </w:r>
          </w:p>
          <w:p w:rsidR="00ED6ADD" w:rsidRPr="00342605" w:rsidRDefault="00ED6ADD" w:rsidP="007D1B76">
            <w:pPr>
              <w:jc w:val="both"/>
              <w:rPr>
                <w:rFonts w:eastAsia="Calibri"/>
                <w:sz w:val="20"/>
                <w:lang w:val="fr-CA"/>
              </w:rPr>
            </w:pPr>
            <w:r w:rsidRPr="00342605">
              <w:rPr>
                <w:rFonts w:eastAsia="Calibri"/>
                <w:sz w:val="20"/>
                <w:lang w:val="fr-CA"/>
              </w:rPr>
              <w:t>(Juges Dawson, Trudel et Near)</w:t>
            </w:r>
          </w:p>
          <w:p w:rsidR="00ED6ADD" w:rsidRPr="00342605" w:rsidRDefault="007871B3" w:rsidP="007D1B76">
            <w:pPr>
              <w:jc w:val="both"/>
              <w:rPr>
                <w:rFonts w:eastAsia="Calibri"/>
                <w:sz w:val="20"/>
                <w:lang w:val="fr-CA"/>
              </w:rPr>
            </w:pPr>
            <w:hyperlink r:id="rId53" w:history="1">
              <w:r w:rsidR="00ED6ADD" w:rsidRPr="00342605">
                <w:rPr>
                  <w:rFonts w:eastAsia="Calibri"/>
                  <w:color w:val="0000FF"/>
                  <w:sz w:val="20"/>
                  <w:u w:val="single"/>
                  <w:lang w:val="fr-CA"/>
                </w:rPr>
                <w:t>2014 FCA 154</w:t>
              </w:r>
            </w:hyperlink>
            <w:r w:rsidR="00ED6ADD" w:rsidRPr="00342605">
              <w:rPr>
                <w:rFonts w:eastAsia="Calibri"/>
                <w:sz w:val="20"/>
                <w:lang w:val="fr-CA"/>
              </w:rPr>
              <w:t>; A313-13</w:t>
            </w:r>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Appel rejeté</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8 septembre 2014</w:t>
            </w:r>
          </w:p>
          <w:p w:rsidR="00ED6ADD" w:rsidRPr="00342605" w:rsidRDefault="00ED6ADD" w:rsidP="007D1B76">
            <w:pPr>
              <w:jc w:val="both"/>
              <w:rPr>
                <w:rFonts w:eastAsia="Calibri"/>
                <w:sz w:val="20"/>
                <w:lang w:val="fr-CA"/>
              </w:rPr>
            </w:pPr>
            <w:r w:rsidRPr="00342605">
              <w:rPr>
                <w:rFonts w:eastAsia="Calibri"/>
                <w:sz w:val="20"/>
                <w:lang w:val="fr-CA"/>
              </w:rPr>
              <w:t>Cour suprême du Canada</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 d’autorisation d’appel, déposée</w:t>
            </w:r>
          </w:p>
          <w:p w:rsidR="00ED6ADD" w:rsidRPr="00342605" w:rsidRDefault="00ED6ADD"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60"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E62AC" w:rsidRPr="00512B3E" w:rsidTr="00DC6331">
        <w:trPr>
          <w:cantSplit/>
        </w:trPr>
        <w:tc>
          <w:tcPr>
            <w:tcW w:w="1458" w:type="dxa"/>
          </w:tcPr>
          <w:p w:rsidR="00EE62AC" w:rsidRPr="00512B3E" w:rsidRDefault="00EE62AC" w:rsidP="00DC6331">
            <w:pPr>
              <w:rPr>
                <w:sz w:val="20"/>
                <w:szCs w:val="20"/>
              </w:rPr>
            </w:pPr>
            <w:r w:rsidRPr="00512B3E">
              <w:rPr>
                <w:rStyle w:val="SCCFileNumberChar"/>
                <w:sz w:val="20"/>
                <w:szCs w:val="20"/>
              </w:rPr>
              <w:t>36066</w:t>
            </w:r>
          </w:p>
          <w:p w:rsidR="00EE62AC" w:rsidRPr="00512B3E" w:rsidRDefault="00EE62AC" w:rsidP="00DC6331">
            <w:pPr>
              <w:rPr>
                <w:b/>
                <w:sz w:val="20"/>
                <w:szCs w:val="20"/>
                <w:lang w:val="fr-CA"/>
              </w:rPr>
            </w:pPr>
          </w:p>
        </w:tc>
        <w:tc>
          <w:tcPr>
            <w:tcW w:w="8118" w:type="dxa"/>
          </w:tcPr>
          <w:p w:rsidR="00EE62AC" w:rsidRPr="00512B3E" w:rsidRDefault="00EE62AC" w:rsidP="00DC6331">
            <w:pPr>
              <w:rPr>
                <w:sz w:val="20"/>
                <w:szCs w:val="20"/>
              </w:rPr>
            </w:pPr>
            <w:proofErr w:type="spellStart"/>
            <w:r w:rsidRPr="00512B3E">
              <w:rPr>
                <w:rStyle w:val="SCCLsocChar"/>
                <w:sz w:val="20"/>
                <w:szCs w:val="20"/>
                <w:lang w:val="en-CA"/>
              </w:rPr>
              <w:t>Rajan</w:t>
            </w:r>
            <w:proofErr w:type="spellEnd"/>
            <w:r w:rsidRPr="00512B3E">
              <w:rPr>
                <w:rStyle w:val="SCCLsocChar"/>
                <w:sz w:val="20"/>
                <w:szCs w:val="20"/>
                <w:lang w:val="en-CA"/>
              </w:rPr>
              <w:t xml:space="preserve"> Singh Mann v. Her Majesty the Queen</w:t>
            </w:r>
            <w:r w:rsidRPr="00512B3E">
              <w:rPr>
                <w:sz w:val="20"/>
                <w:szCs w:val="20"/>
              </w:rPr>
              <w:t xml:space="preserve"> (B.C.) (Criminal) (By Leave)</w:t>
            </w:r>
          </w:p>
          <w:p w:rsidR="00EE62AC" w:rsidRPr="00512B3E" w:rsidRDefault="00EE62AC" w:rsidP="00DC6331">
            <w:pPr>
              <w:rPr>
                <w:sz w:val="20"/>
                <w:szCs w:val="20"/>
              </w:rPr>
            </w:pPr>
          </w:p>
        </w:tc>
      </w:tr>
      <w:tr w:rsidR="00EE62AC" w:rsidRPr="00512B3E" w:rsidTr="00DC6331">
        <w:trPr>
          <w:cantSplit/>
        </w:trPr>
        <w:tc>
          <w:tcPr>
            <w:tcW w:w="1458" w:type="dxa"/>
          </w:tcPr>
          <w:p w:rsidR="00EE62AC" w:rsidRPr="00512B3E" w:rsidRDefault="00EE62AC" w:rsidP="00DC6331">
            <w:pPr>
              <w:rPr>
                <w:sz w:val="20"/>
                <w:szCs w:val="20"/>
              </w:rPr>
            </w:pPr>
            <w:r w:rsidRPr="00512B3E">
              <w:rPr>
                <w:sz w:val="20"/>
                <w:szCs w:val="20"/>
              </w:rPr>
              <w:t>Coram :</w:t>
            </w:r>
          </w:p>
        </w:tc>
        <w:tc>
          <w:tcPr>
            <w:tcW w:w="8118" w:type="dxa"/>
          </w:tcPr>
          <w:p w:rsidR="00EE62AC" w:rsidRPr="00512B3E" w:rsidRDefault="00EE62AC" w:rsidP="00DC6331">
            <w:pPr>
              <w:rPr>
                <w:sz w:val="20"/>
                <w:szCs w:val="20"/>
              </w:rPr>
            </w:pPr>
            <w:proofErr w:type="spellStart"/>
            <w:r w:rsidRPr="00512B3E">
              <w:rPr>
                <w:rStyle w:val="SCCCoramChar"/>
                <w:sz w:val="20"/>
                <w:szCs w:val="20"/>
                <w:lang w:val="en-CA"/>
              </w:rPr>
              <w:t>Abella</w:t>
            </w:r>
            <w:proofErr w:type="spellEnd"/>
            <w:r w:rsidRPr="00512B3E">
              <w:rPr>
                <w:rStyle w:val="SCCCoramChar"/>
                <w:sz w:val="20"/>
                <w:szCs w:val="20"/>
                <w:lang w:val="en-CA"/>
              </w:rPr>
              <w:t xml:space="preserve">, Rothstein and </w:t>
            </w:r>
            <w:proofErr w:type="spellStart"/>
            <w:r w:rsidRPr="00512B3E">
              <w:rPr>
                <w:rStyle w:val="SCCCoramChar"/>
                <w:sz w:val="20"/>
                <w:szCs w:val="20"/>
                <w:lang w:val="en-CA"/>
              </w:rPr>
              <w:t>Moldaver</w:t>
            </w:r>
            <w:proofErr w:type="spellEnd"/>
            <w:r w:rsidRPr="00512B3E">
              <w:rPr>
                <w:rStyle w:val="SCCCoramChar"/>
                <w:sz w:val="20"/>
                <w:szCs w:val="20"/>
                <w:lang w:val="en-CA"/>
              </w:rPr>
              <w:t> JJ.</w:t>
            </w:r>
          </w:p>
          <w:p w:rsidR="00EE62AC" w:rsidRPr="00512B3E" w:rsidRDefault="00EE62AC" w:rsidP="00DC6331">
            <w:pPr>
              <w:rPr>
                <w:sz w:val="20"/>
                <w:szCs w:val="20"/>
                <w:u w:val="single"/>
              </w:rPr>
            </w:pPr>
          </w:p>
        </w:tc>
      </w:tr>
      <w:tr w:rsidR="00EE62AC" w:rsidRPr="009723FD" w:rsidTr="00DC6331">
        <w:trPr>
          <w:cantSplit/>
        </w:trPr>
        <w:tc>
          <w:tcPr>
            <w:tcW w:w="9576" w:type="dxa"/>
            <w:gridSpan w:val="2"/>
          </w:tcPr>
          <w:p w:rsidR="00EE62AC" w:rsidRPr="00512B3E" w:rsidRDefault="00EE62AC" w:rsidP="00DC6331">
            <w:pPr>
              <w:pStyle w:val="SCCShortJudgment"/>
              <w:rPr>
                <w:szCs w:val="20"/>
              </w:rPr>
            </w:pPr>
            <w:r w:rsidRPr="00512B3E">
              <w:rPr>
                <w:szCs w:val="20"/>
              </w:rPr>
              <w:t>The request for an oral hearing is dismissed. The application for leave to appeal from the judgment of the Court of Appeal for British Columbia (Vancouver), Number CA040090, 2014 BCCA 231, dated June 18, 2014, is dismissed without costs.</w:t>
            </w:r>
          </w:p>
          <w:p w:rsidR="00EE62AC" w:rsidRPr="00512B3E" w:rsidRDefault="00EE62AC" w:rsidP="00DC6331">
            <w:pPr>
              <w:pStyle w:val="SCCShortJudgment"/>
              <w:ind w:firstLine="0"/>
              <w:rPr>
                <w:szCs w:val="20"/>
              </w:rPr>
            </w:pPr>
          </w:p>
          <w:p w:rsidR="00EE62AC" w:rsidRPr="00512B3E" w:rsidRDefault="00EE62AC" w:rsidP="00DC6331">
            <w:pPr>
              <w:pStyle w:val="SCCShortJudgment"/>
              <w:rPr>
                <w:szCs w:val="20"/>
                <w:lang w:val="fr-CA"/>
              </w:rPr>
            </w:pPr>
            <w:r w:rsidRPr="00512B3E">
              <w:rPr>
                <w:szCs w:val="20"/>
                <w:lang w:val="fr-CA"/>
              </w:rPr>
              <w:t>La demande pour la tenue d’une audience est rejetée. La demande d’autorisation d’appel de l’arrêt de la Cour d’appel de la Colombie-Britannique (Vancouver), numéro CA040090, 2014 BCCA 231, daté du 18 juin 2014, est rejetée sans dépens.</w:t>
            </w:r>
          </w:p>
        </w:tc>
      </w:tr>
    </w:tbl>
    <w:p w:rsidR="00A325AC" w:rsidRPr="00EE62AC"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Criminal law – Procedure – Whether an accused has the right to a jury trial when a direct indictment is recommenced under s. 579(2) of the Criminal Code.</w:t>
            </w:r>
          </w:p>
          <w:p w:rsidR="00ED6ADD" w:rsidRPr="00342605" w:rsidRDefault="00ED6ADD" w:rsidP="007D1B76">
            <w:pPr>
              <w:jc w:val="both"/>
              <w:rPr>
                <w:rFonts w:eastAsia="Calibri"/>
                <w:sz w:val="20"/>
              </w:rPr>
            </w:pPr>
          </w:p>
        </w:tc>
      </w:tr>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In February 2007, the Crown preferred a direct indictment charging the applicant and others with kidnapping and related offences.  The accused elected trial by jury, but shortly before the trial was to begin; they re-elected to be tried by a judge sitting alone. A stay of proceedings was entered by the Crown.  The proceedings were recommenced within a year of the stay and a new trial date was set.  The Crown preferred a second direct indictment that was substantially the same as the first. When it became apparent that this indictment was a nullity because had there not been an election as to the mode of trial, the Crown opted to proceed on the first indictment.  On the first day of the trial, the defence made a preliminary objection to proceeding without a jury.  The objection was overruled and the trial proceeded before a judge sitting without a jury.  The applicant was convicted and his appeal was dismissed.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February 2, 2012</w:t>
            </w:r>
          </w:p>
          <w:p w:rsidR="00ED6ADD" w:rsidRPr="00342605" w:rsidRDefault="00ED6ADD" w:rsidP="007D1B76">
            <w:pPr>
              <w:jc w:val="both"/>
              <w:rPr>
                <w:rFonts w:eastAsia="Calibri"/>
                <w:sz w:val="20"/>
              </w:rPr>
            </w:pPr>
            <w:r w:rsidRPr="00342605">
              <w:rPr>
                <w:rFonts w:eastAsia="Calibri"/>
                <w:sz w:val="20"/>
              </w:rPr>
              <w:t>Supreme Court of British Columbia</w:t>
            </w:r>
          </w:p>
          <w:p w:rsidR="00ED6ADD" w:rsidRPr="00342605" w:rsidRDefault="00ED6ADD" w:rsidP="007D1B76">
            <w:pPr>
              <w:jc w:val="both"/>
              <w:rPr>
                <w:rFonts w:eastAsia="Calibri"/>
                <w:sz w:val="20"/>
              </w:rPr>
            </w:pPr>
            <w:r w:rsidRPr="00342605">
              <w:rPr>
                <w:rFonts w:eastAsia="Calibri"/>
                <w:sz w:val="20"/>
              </w:rPr>
              <w:t>(Bernard J.)</w:t>
            </w:r>
          </w:p>
          <w:p w:rsidR="00ED6ADD" w:rsidRPr="00342605" w:rsidRDefault="00ED6ADD" w:rsidP="007D1B76">
            <w:pPr>
              <w:jc w:val="both"/>
              <w:rPr>
                <w:rFonts w:eastAsia="Calibri"/>
                <w:sz w:val="20"/>
              </w:rPr>
            </w:pPr>
            <w:r w:rsidRPr="00342605">
              <w:rPr>
                <w:rFonts w:eastAsia="Calibri"/>
                <w:sz w:val="20"/>
              </w:rPr>
              <w:t xml:space="preserve">Neutral citation: </w:t>
            </w:r>
            <w:hyperlink r:id="rId54" w:history="1">
              <w:r w:rsidRPr="00342605">
                <w:rPr>
                  <w:rFonts w:eastAsia="Calibri"/>
                  <w:color w:val="0000FF"/>
                  <w:sz w:val="20"/>
                  <w:u w:val="single"/>
                </w:rPr>
                <w:t>2012 BCSC 1248</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Preliminary objection to proceeding without a jury overruled</w:t>
            </w:r>
          </w:p>
        </w:tc>
      </w:tr>
      <w:tr w:rsidR="00ED6ADD" w:rsidRPr="00342605" w:rsidTr="00AD03B1">
        <w:trPr>
          <w:cantSplit/>
        </w:trPr>
        <w:tc>
          <w:tcPr>
            <w:tcW w:w="2427" w:type="pct"/>
          </w:tcPr>
          <w:p w:rsidR="00ED6ADD" w:rsidRPr="00342605" w:rsidRDefault="00ED6ADD" w:rsidP="007D1B76">
            <w:pPr>
              <w:jc w:val="both"/>
              <w:rPr>
                <w:rFonts w:eastAsia="Calibri"/>
                <w:sz w:val="20"/>
              </w:rPr>
            </w:pPr>
            <w:r w:rsidRPr="00342605">
              <w:rPr>
                <w:rFonts w:eastAsia="Calibri"/>
                <w:sz w:val="20"/>
              </w:rPr>
              <w:lastRenderedPageBreak/>
              <w:t>May 11, 2012</w:t>
            </w:r>
          </w:p>
          <w:p w:rsidR="00ED6ADD" w:rsidRPr="00342605" w:rsidRDefault="00ED6ADD" w:rsidP="007D1B76">
            <w:pPr>
              <w:jc w:val="both"/>
              <w:rPr>
                <w:rFonts w:eastAsia="Calibri"/>
                <w:sz w:val="20"/>
              </w:rPr>
            </w:pPr>
            <w:r w:rsidRPr="00342605">
              <w:rPr>
                <w:rFonts w:eastAsia="Calibri"/>
                <w:sz w:val="20"/>
              </w:rPr>
              <w:t>Supreme Court of British Columbia</w:t>
            </w:r>
          </w:p>
          <w:p w:rsidR="00ED6ADD" w:rsidRPr="00342605" w:rsidRDefault="00ED6ADD" w:rsidP="007D1B76">
            <w:pPr>
              <w:jc w:val="both"/>
              <w:rPr>
                <w:rFonts w:eastAsia="Calibri"/>
                <w:sz w:val="20"/>
              </w:rPr>
            </w:pPr>
            <w:r w:rsidRPr="00342605">
              <w:rPr>
                <w:rFonts w:eastAsia="Calibri"/>
                <w:sz w:val="20"/>
              </w:rPr>
              <w:t>(Bernard J.)</w:t>
            </w:r>
          </w:p>
          <w:p w:rsidR="00ED6ADD" w:rsidRPr="00342605" w:rsidRDefault="00ED6ADD" w:rsidP="007D1B76">
            <w:pPr>
              <w:jc w:val="both"/>
              <w:rPr>
                <w:rFonts w:eastAsia="Calibri"/>
                <w:sz w:val="20"/>
              </w:rPr>
            </w:pPr>
            <w:r w:rsidRPr="00342605">
              <w:rPr>
                <w:rFonts w:eastAsia="Calibri"/>
                <w:sz w:val="20"/>
              </w:rPr>
              <w:t xml:space="preserve">Neutral citation: </w:t>
            </w:r>
            <w:hyperlink r:id="rId55" w:history="1">
              <w:r w:rsidRPr="00342605">
                <w:rPr>
                  <w:rFonts w:eastAsia="Calibri"/>
                  <w:color w:val="0000FF"/>
                  <w:sz w:val="20"/>
                  <w:u w:val="single"/>
                </w:rPr>
                <w:t>2012 BCSC 1265</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Convictions:  kidnapping with a firearm, theft over $5000, robbery with a firearm, forcible confinement, extortion and extortion using a firearm</w:t>
            </w:r>
          </w:p>
        </w:tc>
      </w:tr>
      <w:tr w:rsidR="00ED6ADD" w:rsidRPr="00342605" w:rsidTr="00AD03B1">
        <w:trPr>
          <w:cantSplit/>
        </w:trPr>
        <w:tc>
          <w:tcPr>
            <w:tcW w:w="2427" w:type="pct"/>
          </w:tcPr>
          <w:p w:rsidR="00ED6ADD" w:rsidRPr="00342605" w:rsidRDefault="00ED6ADD" w:rsidP="007D1B76">
            <w:pPr>
              <w:rPr>
                <w:rFonts w:eastAsia="Calibri"/>
                <w:sz w:val="20"/>
              </w:rPr>
            </w:pPr>
            <w:r w:rsidRPr="00342605">
              <w:rPr>
                <w:rFonts w:eastAsia="Calibri"/>
                <w:sz w:val="20"/>
              </w:rPr>
              <w:t>June 18, 2014</w:t>
            </w:r>
          </w:p>
          <w:p w:rsidR="00ED6ADD" w:rsidRPr="00342605" w:rsidRDefault="00ED6ADD" w:rsidP="007D1B76">
            <w:pPr>
              <w:rPr>
                <w:rFonts w:eastAsia="Calibri"/>
                <w:sz w:val="20"/>
              </w:rPr>
            </w:pPr>
            <w:r w:rsidRPr="00342605">
              <w:rPr>
                <w:rFonts w:eastAsia="Calibri"/>
                <w:sz w:val="20"/>
              </w:rPr>
              <w:t xml:space="preserve">Court of Appeal for British Columbia </w:t>
            </w:r>
          </w:p>
          <w:p w:rsidR="00ED6ADD" w:rsidRPr="00342605" w:rsidRDefault="00ED6ADD" w:rsidP="007D1B76">
            <w:pPr>
              <w:rPr>
                <w:rFonts w:eastAsia="Calibri"/>
                <w:sz w:val="20"/>
              </w:rPr>
            </w:pPr>
            <w:r w:rsidRPr="00342605">
              <w:rPr>
                <w:rFonts w:eastAsia="Calibri"/>
                <w:sz w:val="20"/>
              </w:rPr>
              <w:t>(Bauman C.J.B.C. and Levine and Neilson JJ.A.)</w:t>
            </w:r>
          </w:p>
          <w:p w:rsidR="00ED6ADD" w:rsidRPr="00342605" w:rsidRDefault="00ED6ADD" w:rsidP="007D1B76">
            <w:pPr>
              <w:jc w:val="both"/>
              <w:rPr>
                <w:rFonts w:eastAsia="Calibri"/>
                <w:sz w:val="20"/>
              </w:rPr>
            </w:pPr>
            <w:r w:rsidRPr="00342605">
              <w:rPr>
                <w:rFonts w:eastAsia="Calibri"/>
                <w:sz w:val="20"/>
              </w:rPr>
              <w:t xml:space="preserve">Neutral citation: </w:t>
            </w:r>
            <w:hyperlink r:id="rId56" w:history="1">
              <w:r w:rsidRPr="00342605">
                <w:rPr>
                  <w:rFonts w:eastAsia="Calibri"/>
                  <w:color w:val="0000FF"/>
                  <w:sz w:val="20"/>
                  <w:u w:val="single"/>
                </w:rPr>
                <w:t>2014 BCCA 231</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Appeal dismissed</w:t>
            </w:r>
          </w:p>
          <w:p w:rsidR="00ED6ADD" w:rsidRPr="00342605" w:rsidRDefault="00ED6ADD" w:rsidP="007D1B76">
            <w:pPr>
              <w:jc w:val="both"/>
              <w:rPr>
                <w:rFonts w:eastAsia="Calibri"/>
                <w:sz w:val="20"/>
              </w:rPr>
            </w:pPr>
          </w:p>
        </w:tc>
      </w:tr>
      <w:tr w:rsidR="00ED6ADD" w:rsidRPr="00342605" w:rsidTr="00AD03B1">
        <w:trPr>
          <w:cantSplit/>
        </w:trPr>
        <w:tc>
          <w:tcPr>
            <w:tcW w:w="2427" w:type="pct"/>
          </w:tcPr>
          <w:p w:rsidR="00ED6ADD" w:rsidRPr="00342605" w:rsidRDefault="00ED6ADD" w:rsidP="007D1B76">
            <w:pPr>
              <w:jc w:val="both"/>
              <w:rPr>
                <w:rFonts w:eastAsia="Calibri"/>
                <w:sz w:val="20"/>
              </w:rPr>
            </w:pPr>
            <w:r w:rsidRPr="00342605">
              <w:rPr>
                <w:rFonts w:eastAsia="Calibri"/>
                <w:sz w:val="20"/>
              </w:rPr>
              <w:t>September 16, 2014</w:t>
            </w:r>
          </w:p>
          <w:p w:rsidR="00ED6ADD" w:rsidRPr="00342605" w:rsidRDefault="00ED6ADD" w:rsidP="007D1B76">
            <w:pPr>
              <w:jc w:val="both"/>
              <w:rPr>
                <w:rFonts w:eastAsia="Calibri"/>
                <w:sz w:val="20"/>
              </w:rPr>
            </w:pPr>
            <w:r w:rsidRPr="00342605">
              <w:rPr>
                <w:rFonts w:eastAsia="Calibri"/>
                <w:sz w:val="20"/>
              </w:rPr>
              <w:t>Supreme Court of Canada</w:t>
            </w: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Application for leave to appeal filed</w:t>
            </w:r>
          </w:p>
          <w:p w:rsidR="00ED6ADD" w:rsidRPr="00342605" w:rsidRDefault="00ED6ADD"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61"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Droit criminel – Procédure – Un accusé </w:t>
            </w:r>
            <w:proofErr w:type="spellStart"/>
            <w:r w:rsidRPr="00342605">
              <w:rPr>
                <w:rFonts w:eastAsia="Calibri"/>
                <w:sz w:val="20"/>
                <w:lang w:val="fr-CA"/>
              </w:rPr>
              <w:t>a-t-il</w:t>
            </w:r>
            <w:proofErr w:type="spellEnd"/>
            <w:r w:rsidRPr="00342605">
              <w:rPr>
                <w:rFonts w:eastAsia="Calibri"/>
                <w:sz w:val="20"/>
                <w:lang w:val="fr-CA"/>
              </w:rPr>
              <w:t xml:space="preserve"> le droit à un procès devant jury lorsqu’une mise en accusation directe est recommencée en application du par. 579(2) du </w:t>
            </w:r>
            <w:r w:rsidRPr="00342605">
              <w:rPr>
                <w:rFonts w:eastAsia="Calibri"/>
                <w:i/>
                <w:sz w:val="20"/>
                <w:lang w:val="fr-CA"/>
              </w:rPr>
              <w:t>Code criminel</w:t>
            </w:r>
            <w:r w:rsidRPr="00342605">
              <w:rPr>
                <w:rFonts w:eastAsia="Calibri"/>
                <w:sz w:val="20"/>
                <w:lang w:val="fr-CA"/>
              </w:rPr>
              <w:t>?</w:t>
            </w:r>
          </w:p>
          <w:p w:rsidR="00ED6ADD" w:rsidRPr="00342605" w:rsidRDefault="00ED6ADD" w:rsidP="007D1B76">
            <w:pPr>
              <w:jc w:val="both"/>
              <w:rPr>
                <w:rFonts w:eastAsia="Calibri"/>
                <w:sz w:val="20"/>
                <w:lang w:val="fr-CA"/>
              </w:rPr>
            </w:pPr>
          </w:p>
        </w:tc>
      </w:tr>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En février 2007, le ministère public a déposé une mise en accusation directe, accusant le demandeur et d’autres d’enlèvement et d’infractions connexes.  Les accusés ont choisi de subir leur procès devant jury, mais peu de temps avant la date fixée pour le procès, ils ont choisi d’être jugés par un juge siégeant seul.  Le ministère public a inscrit un arrêt des procédures.  Les procédures ont été recommencées dans l’année qui a suivi l’arrêt des procédures et une nouvelle date de procès a été fixée.  Le ministère public a déposé une deuxième mise en accusation directe, sensiblement identique à la première.  Lorsqu’il est devenu apparent que cette mise en accusation était entachée de nullité parce qu’il n’y avait pas eu de choix quant au type de procès, le ministère public a choisi de procéder sur la première mise en accusation.  Au premier jour du procès, la défense a présenté une objection préliminaire à ce que le procès ne soit pas instruit devant jury.  L’objection a été rejetée et le procès a été instruit devant un juge siégeant sans jury.  Le demandeur a été déclaré coupable et son appel a été rejeté. </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2 février 2012</w:t>
            </w:r>
          </w:p>
          <w:p w:rsidR="00ED6ADD" w:rsidRPr="00342605" w:rsidRDefault="00ED6ADD" w:rsidP="007D1B76">
            <w:pPr>
              <w:jc w:val="both"/>
              <w:rPr>
                <w:rFonts w:eastAsia="Calibri"/>
                <w:sz w:val="20"/>
                <w:lang w:val="fr-CA"/>
              </w:rPr>
            </w:pPr>
            <w:r w:rsidRPr="00342605">
              <w:rPr>
                <w:rFonts w:eastAsia="Calibri"/>
                <w:sz w:val="20"/>
                <w:lang w:val="fr-CA"/>
              </w:rPr>
              <w:t>Cour suprême de la Colombie-Britannique</w:t>
            </w:r>
          </w:p>
          <w:p w:rsidR="00ED6ADD" w:rsidRPr="00342605" w:rsidRDefault="00ED6ADD" w:rsidP="007D1B76">
            <w:pPr>
              <w:jc w:val="both"/>
              <w:rPr>
                <w:rFonts w:eastAsia="Calibri"/>
                <w:sz w:val="20"/>
                <w:lang w:val="fr-CA"/>
              </w:rPr>
            </w:pPr>
            <w:r w:rsidRPr="00342605">
              <w:rPr>
                <w:rFonts w:eastAsia="Calibri"/>
                <w:sz w:val="20"/>
                <w:lang w:val="fr-CA"/>
              </w:rPr>
              <w:t>(Juge Bernard)</w:t>
            </w:r>
          </w:p>
          <w:p w:rsidR="00ED6ADD" w:rsidRPr="00342605" w:rsidRDefault="00ED6ADD" w:rsidP="007D1B76">
            <w:pPr>
              <w:jc w:val="both"/>
              <w:rPr>
                <w:rFonts w:eastAsia="Calibri"/>
                <w:sz w:val="20"/>
                <w:lang w:val="fr-CA"/>
              </w:rPr>
            </w:pPr>
            <w:r w:rsidRPr="00342605">
              <w:rPr>
                <w:rFonts w:eastAsia="Calibri"/>
                <w:sz w:val="20"/>
                <w:lang w:val="fr-CA"/>
              </w:rPr>
              <w:t xml:space="preserve">Référence neutre : </w:t>
            </w:r>
            <w:hyperlink r:id="rId57" w:history="1">
              <w:r w:rsidRPr="00342605">
                <w:rPr>
                  <w:rFonts w:eastAsia="Calibri"/>
                  <w:color w:val="0000FF"/>
                  <w:sz w:val="20"/>
                  <w:u w:val="single"/>
                  <w:lang w:val="fr-CA"/>
                </w:rPr>
                <w:t>2012 BCSC 1248</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Objection préliminaire à ce que le procès soit instruit sans jury, rejetée</w:t>
            </w: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11 mai 2012</w:t>
            </w:r>
          </w:p>
          <w:p w:rsidR="00ED6ADD" w:rsidRPr="00342605" w:rsidRDefault="00ED6ADD" w:rsidP="007D1B76">
            <w:pPr>
              <w:jc w:val="both"/>
              <w:rPr>
                <w:rFonts w:eastAsia="Calibri"/>
                <w:sz w:val="20"/>
                <w:lang w:val="fr-CA"/>
              </w:rPr>
            </w:pPr>
            <w:r w:rsidRPr="00342605">
              <w:rPr>
                <w:rFonts w:eastAsia="Calibri"/>
                <w:sz w:val="20"/>
                <w:lang w:val="fr-CA"/>
              </w:rPr>
              <w:t xml:space="preserve">Cour suprême de la Colombie-Britannique </w:t>
            </w:r>
          </w:p>
          <w:p w:rsidR="00ED6ADD" w:rsidRPr="00342605" w:rsidRDefault="00ED6ADD" w:rsidP="007D1B76">
            <w:pPr>
              <w:jc w:val="both"/>
              <w:rPr>
                <w:rFonts w:eastAsia="Calibri"/>
                <w:sz w:val="20"/>
                <w:lang w:val="fr-CA"/>
              </w:rPr>
            </w:pPr>
            <w:r w:rsidRPr="00342605">
              <w:rPr>
                <w:rFonts w:eastAsia="Calibri"/>
                <w:sz w:val="20"/>
                <w:lang w:val="fr-CA"/>
              </w:rPr>
              <w:t>(Juge Bernard)</w:t>
            </w:r>
          </w:p>
          <w:p w:rsidR="00ED6ADD" w:rsidRPr="00342605" w:rsidRDefault="00ED6ADD" w:rsidP="007D1B76">
            <w:pPr>
              <w:jc w:val="both"/>
              <w:rPr>
                <w:rFonts w:eastAsia="Calibri"/>
                <w:sz w:val="20"/>
                <w:lang w:val="fr-CA"/>
              </w:rPr>
            </w:pPr>
            <w:r w:rsidRPr="00342605">
              <w:rPr>
                <w:rFonts w:eastAsia="Calibri"/>
                <w:sz w:val="20"/>
                <w:lang w:val="fr-CA"/>
              </w:rPr>
              <w:t xml:space="preserve">Référence neutre : </w:t>
            </w:r>
            <w:hyperlink r:id="rId58" w:history="1">
              <w:r w:rsidRPr="00342605">
                <w:rPr>
                  <w:rFonts w:eastAsia="Calibri"/>
                  <w:color w:val="0000FF"/>
                  <w:sz w:val="20"/>
                  <w:u w:val="single"/>
                  <w:lang w:val="fr-CA"/>
                </w:rPr>
                <w:t>2012 BCSC 1265</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Déclaration de culpabilité : enlèvement perpétré avec une arme à feu, vol de plus de 5 000 $, vol qualifié perpétré avec une arme à feu, séquestration, extorsion et extorsion perpétrée avec une arme à feu</w:t>
            </w:r>
          </w:p>
          <w:p w:rsidR="00ED6ADD" w:rsidRPr="00342605" w:rsidRDefault="00ED6ADD" w:rsidP="007D1B76">
            <w:pPr>
              <w:jc w:val="both"/>
              <w:rPr>
                <w:rFonts w:eastAsia="Calibri"/>
                <w:sz w:val="20"/>
                <w:lang w:val="fr-CA"/>
              </w:rPr>
            </w:pPr>
            <w:r w:rsidRPr="00342605">
              <w:rPr>
                <w:rFonts w:eastAsia="Calibri"/>
                <w:sz w:val="20"/>
                <w:lang w:val="fr-CA"/>
              </w:rPr>
              <w:t xml:space="preserve"> </w:t>
            </w:r>
          </w:p>
        </w:tc>
      </w:tr>
      <w:tr w:rsidR="00ED6ADD" w:rsidRPr="00342605" w:rsidTr="007D1B76">
        <w:tc>
          <w:tcPr>
            <w:tcW w:w="2427" w:type="pct"/>
          </w:tcPr>
          <w:p w:rsidR="00ED6ADD" w:rsidRPr="00342605" w:rsidRDefault="00ED6ADD" w:rsidP="007D1B76">
            <w:pPr>
              <w:rPr>
                <w:rFonts w:eastAsia="Calibri"/>
                <w:sz w:val="20"/>
                <w:lang w:val="fr-CA"/>
              </w:rPr>
            </w:pPr>
            <w:r w:rsidRPr="00342605">
              <w:rPr>
                <w:rFonts w:eastAsia="Calibri"/>
                <w:sz w:val="20"/>
                <w:lang w:val="fr-CA"/>
              </w:rPr>
              <w:t>18 juin 2014</w:t>
            </w:r>
          </w:p>
          <w:p w:rsidR="00ED6ADD" w:rsidRPr="00342605" w:rsidRDefault="00ED6ADD" w:rsidP="007D1B76">
            <w:pPr>
              <w:rPr>
                <w:rFonts w:eastAsia="Calibri"/>
                <w:sz w:val="20"/>
                <w:lang w:val="fr-CA"/>
              </w:rPr>
            </w:pPr>
            <w:r w:rsidRPr="00342605">
              <w:rPr>
                <w:rFonts w:eastAsia="Calibri"/>
                <w:sz w:val="20"/>
                <w:lang w:val="fr-CA"/>
              </w:rPr>
              <w:t>Cour d’appel de la Colombie-Britannique</w:t>
            </w:r>
          </w:p>
          <w:p w:rsidR="00ED6ADD" w:rsidRPr="00342605" w:rsidRDefault="00ED6ADD" w:rsidP="007D1B76">
            <w:pPr>
              <w:rPr>
                <w:rFonts w:eastAsia="Calibri"/>
                <w:sz w:val="20"/>
                <w:lang w:val="fr-CA"/>
              </w:rPr>
            </w:pPr>
            <w:r w:rsidRPr="00342605">
              <w:rPr>
                <w:rFonts w:eastAsia="Calibri"/>
                <w:sz w:val="20"/>
                <w:lang w:val="fr-CA"/>
              </w:rPr>
              <w:t xml:space="preserve">(Juge en chef </w:t>
            </w:r>
            <w:proofErr w:type="spellStart"/>
            <w:r w:rsidRPr="00342605">
              <w:rPr>
                <w:rFonts w:eastAsia="Calibri"/>
                <w:sz w:val="20"/>
                <w:lang w:val="fr-CA"/>
              </w:rPr>
              <w:t>Bauman</w:t>
            </w:r>
            <w:proofErr w:type="spellEnd"/>
            <w:r w:rsidRPr="00342605">
              <w:rPr>
                <w:rFonts w:eastAsia="Calibri"/>
                <w:sz w:val="20"/>
                <w:lang w:val="fr-CA"/>
              </w:rPr>
              <w:t xml:space="preserve">, juges </w:t>
            </w:r>
            <w:proofErr w:type="spellStart"/>
            <w:r w:rsidRPr="00342605">
              <w:rPr>
                <w:rFonts w:eastAsia="Calibri"/>
                <w:sz w:val="20"/>
                <w:lang w:val="fr-CA"/>
              </w:rPr>
              <w:t>Levine</w:t>
            </w:r>
            <w:proofErr w:type="spellEnd"/>
            <w:r w:rsidRPr="00342605">
              <w:rPr>
                <w:rFonts w:eastAsia="Calibri"/>
                <w:sz w:val="20"/>
                <w:lang w:val="fr-CA"/>
              </w:rPr>
              <w:t xml:space="preserve"> et </w:t>
            </w:r>
            <w:proofErr w:type="spellStart"/>
            <w:r w:rsidRPr="00342605">
              <w:rPr>
                <w:rFonts w:eastAsia="Calibri"/>
                <w:sz w:val="20"/>
                <w:lang w:val="fr-CA"/>
              </w:rPr>
              <w:t>Neilson</w:t>
            </w:r>
            <w:proofErr w:type="spellEnd"/>
            <w:r w:rsidRPr="00342605">
              <w:rPr>
                <w:rFonts w:eastAsia="Calibri"/>
                <w:sz w:val="20"/>
                <w:lang w:val="fr-CA"/>
              </w:rPr>
              <w:t>)</w:t>
            </w:r>
          </w:p>
          <w:p w:rsidR="00ED6ADD" w:rsidRPr="00342605" w:rsidRDefault="00ED6ADD" w:rsidP="007D1B76">
            <w:pPr>
              <w:jc w:val="both"/>
              <w:rPr>
                <w:rFonts w:eastAsia="Calibri"/>
                <w:sz w:val="20"/>
                <w:lang w:val="fr-CA"/>
              </w:rPr>
            </w:pPr>
            <w:r w:rsidRPr="00342605">
              <w:rPr>
                <w:rFonts w:eastAsia="Calibri"/>
                <w:sz w:val="20"/>
                <w:lang w:val="fr-CA"/>
              </w:rPr>
              <w:t xml:space="preserve">Référence neutre : </w:t>
            </w:r>
            <w:hyperlink r:id="rId59" w:history="1">
              <w:r w:rsidRPr="00342605">
                <w:rPr>
                  <w:rFonts w:eastAsia="Calibri"/>
                  <w:color w:val="0000FF"/>
                  <w:sz w:val="20"/>
                  <w:u w:val="single"/>
                  <w:lang w:val="fr-CA"/>
                </w:rPr>
                <w:t>2014 BCCA 231</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Appel rejeté</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16 septembre 2014</w:t>
            </w:r>
          </w:p>
          <w:p w:rsidR="00ED6ADD" w:rsidRPr="00342605" w:rsidRDefault="00ED6ADD" w:rsidP="007D1B76">
            <w:pPr>
              <w:jc w:val="both"/>
              <w:rPr>
                <w:rFonts w:eastAsia="Calibri"/>
                <w:sz w:val="20"/>
                <w:lang w:val="fr-CA"/>
              </w:rPr>
            </w:pPr>
            <w:r w:rsidRPr="00342605">
              <w:rPr>
                <w:rFonts w:eastAsia="Calibri"/>
                <w:sz w:val="20"/>
                <w:lang w:val="fr-CA"/>
              </w:rPr>
              <w:t>Cour suprême du Canada</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 d’autorisation d’appel, déposée</w:t>
            </w:r>
          </w:p>
          <w:p w:rsidR="00ED6ADD" w:rsidRPr="00342605" w:rsidRDefault="00ED6ADD"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62"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7AFF" w:rsidRPr="009A7F72" w:rsidTr="00273F9F">
        <w:trPr>
          <w:cantSplit/>
        </w:trPr>
        <w:tc>
          <w:tcPr>
            <w:tcW w:w="1458" w:type="dxa"/>
          </w:tcPr>
          <w:p w:rsidR="00397AFF" w:rsidRPr="009A7F72" w:rsidRDefault="00397AFF" w:rsidP="00273F9F">
            <w:pPr>
              <w:rPr>
                <w:sz w:val="20"/>
                <w:szCs w:val="20"/>
              </w:rPr>
            </w:pPr>
            <w:r w:rsidRPr="009A7F72">
              <w:rPr>
                <w:rStyle w:val="SCCFileNumberChar"/>
                <w:sz w:val="20"/>
                <w:szCs w:val="20"/>
              </w:rPr>
              <w:t>36086</w:t>
            </w:r>
          </w:p>
          <w:p w:rsidR="00397AFF" w:rsidRPr="009A7F72" w:rsidRDefault="00397AFF" w:rsidP="00273F9F">
            <w:pPr>
              <w:rPr>
                <w:b/>
                <w:sz w:val="20"/>
                <w:szCs w:val="20"/>
                <w:lang w:val="fr-CA"/>
              </w:rPr>
            </w:pPr>
          </w:p>
        </w:tc>
        <w:tc>
          <w:tcPr>
            <w:tcW w:w="8118" w:type="dxa"/>
          </w:tcPr>
          <w:p w:rsidR="00397AFF" w:rsidRPr="009A7F72" w:rsidRDefault="00397AFF" w:rsidP="00273F9F">
            <w:pPr>
              <w:rPr>
                <w:sz w:val="20"/>
                <w:szCs w:val="20"/>
              </w:rPr>
            </w:pPr>
            <w:r w:rsidRPr="009A7F72">
              <w:rPr>
                <w:rStyle w:val="SCCLsocChar"/>
                <w:sz w:val="20"/>
                <w:szCs w:val="20"/>
                <w:lang w:val="en-CA"/>
              </w:rPr>
              <w:t xml:space="preserve">Robert </w:t>
            </w:r>
            <w:proofErr w:type="spellStart"/>
            <w:r w:rsidRPr="009A7F72">
              <w:rPr>
                <w:rStyle w:val="SCCLsocChar"/>
                <w:sz w:val="20"/>
                <w:szCs w:val="20"/>
                <w:lang w:val="en-CA"/>
              </w:rPr>
              <w:t>Shular</w:t>
            </w:r>
            <w:proofErr w:type="spellEnd"/>
            <w:r w:rsidRPr="009A7F72">
              <w:rPr>
                <w:rStyle w:val="SCCLsocChar"/>
                <w:sz w:val="20"/>
                <w:szCs w:val="20"/>
                <w:lang w:val="en-CA"/>
              </w:rPr>
              <w:t xml:space="preserve"> v. Her Majesty the Queen</w:t>
            </w:r>
            <w:r w:rsidRPr="009A7F72">
              <w:rPr>
                <w:sz w:val="20"/>
                <w:szCs w:val="20"/>
              </w:rPr>
              <w:t xml:space="preserve"> (Alta.) (Criminal) (By Leave)</w:t>
            </w:r>
          </w:p>
          <w:p w:rsidR="00397AFF" w:rsidRPr="009A7F72" w:rsidRDefault="00397AFF" w:rsidP="00273F9F">
            <w:pPr>
              <w:rPr>
                <w:sz w:val="20"/>
                <w:szCs w:val="20"/>
              </w:rPr>
            </w:pPr>
          </w:p>
        </w:tc>
      </w:tr>
      <w:tr w:rsidR="00397AFF" w:rsidRPr="009A7F72" w:rsidTr="00273F9F">
        <w:trPr>
          <w:cantSplit/>
        </w:trPr>
        <w:tc>
          <w:tcPr>
            <w:tcW w:w="1458" w:type="dxa"/>
          </w:tcPr>
          <w:p w:rsidR="00397AFF" w:rsidRPr="009A7F72" w:rsidRDefault="00397AFF" w:rsidP="00273F9F">
            <w:pPr>
              <w:rPr>
                <w:sz w:val="20"/>
                <w:szCs w:val="20"/>
              </w:rPr>
            </w:pPr>
            <w:r w:rsidRPr="009A7F72">
              <w:rPr>
                <w:sz w:val="20"/>
                <w:szCs w:val="20"/>
              </w:rPr>
              <w:t>Coram :</w:t>
            </w:r>
          </w:p>
        </w:tc>
        <w:tc>
          <w:tcPr>
            <w:tcW w:w="8118" w:type="dxa"/>
          </w:tcPr>
          <w:p w:rsidR="00397AFF" w:rsidRPr="009A7F72" w:rsidRDefault="00397AFF" w:rsidP="00273F9F">
            <w:pPr>
              <w:rPr>
                <w:sz w:val="20"/>
                <w:szCs w:val="20"/>
              </w:rPr>
            </w:pPr>
            <w:proofErr w:type="spellStart"/>
            <w:r w:rsidRPr="009A7F72">
              <w:rPr>
                <w:rStyle w:val="SCCCoramChar"/>
                <w:sz w:val="20"/>
                <w:szCs w:val="20"/>
                <w:lang w:val="en-CA"/>
              </w:rPr>
              <w:t>LeBel</w:t>
            </w:r>
            <w:proofErr w:type="spellEnd"/>
            <w:r w:rsidRPr="009A7F72">
              <w:rPr>
                <w:rStyle w:val="SCCCoramChar"/>
                <w:sz w:val="20"/>
                <w:szCs w:val="20"/>
                <w:lang w:val="en-CA"/>
              </w:rPr>
              <w:t xml:space="preserve">, </w:t>
            </w:r>
            <w:proofErr w:type="spellStart"/>
            <w:r w:rsidRPr="009A7F72">
              <w:rPr>
                <w:rStyle w:val="SCCCoramChar"/>
                <w:sz w:val="20"/>
                <w:szCs w:val="20"/>
                <w:lang w:val="en-CA"/>
              </w:rPr>
              <w:t>Karakatsanis</w:t>
            </w:r>
            <w:proofErr w:type="spellEnd"/>
            <w:r w:rsidRPr="009A7F72">
              <w:rPr>
                <w:rStyle w:val="SCCCoramChar"/>
                <w:sz w:val="20"/>
                <w:szCs w:val="20"/>
                <w:lang w:val="en-CA"/>
              </w:rPr>
              <w:t xml:space="preserve"> and </w:t>
            </w:r>
            <w:proofErr w:type="spellStart"/>
            <w:r w:rsidRPr="009A7F72">
              <w:rPr>
                <w:rStyle w:val="SCCCoramChar"/>
                <w:sz w:val="20"/>
                <w:szCs w:val="20"/>
                <w:lang w:val="en-CA"/>
              </w:rPr>
              <w:t>Gascon</w:t>
            </w:r>
            <w:proofErr w:type="spellEnd"/>
            <w:r w:rsidRPr="009A7F72">
              <w:rPr>
                <w:rStyle w:val="SCCCoramChar"/>
                <w:sz w:val="20"/>
                <w:szCs w:val="20"/>
                <w:lang w:val="en-CA"/>
              </w:rPr>
              <w:t> JJ.</w:t>
            </w:r>
          </w:p>
          <w:p w:rsidR="00397AFF" w:rsidRPr="009A7F72" w:rsidRDefault="00397AFF" w:rsidP="00273F9F">
            <w:pPr>
              <w:rPr>
                <w:sz w:val="20"/>
                <w:szCs w:val="20"/>
                <w:u w:val="single"/>
              </w:rPr>
            </w:pPr>
          </w:p>
        </w:tc>
      </w:tr>
      <w:tr w:rsidR="00397AFF" w:rsidRPr="009723FD" w:rsidTr="00273F9F">
        <w:trPr>
          <w:cantSplit/>
        </w:trPr>
        <w:tc>
          <w:tcPr>
            <w:tcW w:w="9576" w:type="dxa"/>
            <w:gridSpan w:val="2"/>
          </w:tcPr>
          <w:p w:rsidR="00397AFF" w:rsidRPr="009A7F72" w:rsidRDefault="00397AFF" w:rsidP="00273F9F">
            <w:pPr>
              <w:pStyle w:val="SCCShortJudgment"/>
              <w:rPr>
                <w:szCs w:val="20"/>
              </w:rPr>
            </w:pPr>
            <w:r w:rsidRPr="009A7F72">
              <w:rPr>
                <w:szCs w:val="20"/>
              </w:rPr>
              <w:t>The application for leave to appeal from the judgment of the Court of Appeal of Alberta (Edmonton), Number 1303-0273-A, 2014 ABCA 241, dated July 28, 2014, is dismissed without costs.</w:t>
            </w:r>
          </w:p>
          <w:p w:rsidR="00397AFF" w:rsidRPr="009A7F72" w:rsidRDefault="00397AFF" w:rsidP="00273F9F">
            <w:pPr>
              <w:pStyle w:val="SCCShortJudgment"/>
              <w:ind w:firstLine="0"/>
              <w:rPr>
                <w:szCs w:val="20"/>
              </w:rPr>
            </w:pPr>
          </w:p>
          <w:p w:rsidR="00397AFF" w:rsidRPr="009A7F72" w:rsidRDefault="00397AFF" w:rsidP="00273F9F">
            <w:pPr>
              <w:pStyle w:val="SCCShortJudgment"/>
              <w:rPr>
                <w:szCs w:val="20"/>
                <w:lang w:val="fr-CA"/>
              </w:rPr>
            </w:pPr>
            <w:r w:rsidRPr="009A7F72">
              <w:rPr>
                <w:szCs w:val="20"/>
                <w:lang w:val="fr-CA"/>
              </w:rPr>
              <w:t>La demande d’autorisation d’appel de l’arrêt de la Cour d’appel de l’Alberta (Edmonton), numéro 1303-0273-A, 2014 ABCA 241, daté du 28 juillet 2014, est rejetée sans dépens.</w:t>
            </w:r>
          </w:p>
        </w:tc>
      </w:tr>
    </w:tbl>
    <w:p w:rsidR="00A325AC" w:rsidRPr="00397AFF"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Criminal law – Sentencing – Considerations – Whether the Court of Appeal erred in law in allowing a joint submission to be rejected without sufficient consideration or reasons – Whether the Court of Appeal erred in law by assigning an inappropriate range of sentences to the offence based on a level of intention that had not been proven.</w:t>
            </w:r>
          </w:p>
        </w:tc>
      </w:tr>
      <w:tr w:rsidR="00ED6ADD" w:rsidRPr="00342605" w:rsidTr="007D1B76">
        <w:tc>
          <w:tcPr>
            <w:tcW w:w="5000" w:type="pct"/>
            <w:gridSpan w:val="3"/>
          </w:tcPr>
          <w:p w:rsidR="00ED6ADD" w:rsidRPr="00342605" w:rsidRDefault="00ED6ADD" w:rsidP="007D1B76">
            <w:pPr>
              <w:jc w:val="both"/>
              <w:rPr>
                <w:rFonts w:eastAsia="Calibri"/>
                <w:sz w:val="20"/>
              </w:rPr>
            </w:pPr>
          </w:p>
        </w:tc>
      </w:tr>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 xml:space="preserve">The applicant pled guilty to two counts of criminal negligence causing bodily harm and failing to stop at the scene of an accident.  Wheatley P.C.J. rejected a joint submission supporting two concurrent four-year prison sentences for criminal negligence causing bodily harm and a concurrent six-month prison sentence for leaving the scene of an accident.  Instead, Wheatley P.C.J. imposed a concurrent sentence of four and six years imprisonment for the two counts of criminal negligence causing bodily harm and a consecutive one-year term of imprisonment for leaving the scene of an accident.  The majority of the Court of Appeal allowed the appeal against sentence only to the extent that the global presentence custody credit was varied to 519 days. </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October 18, 2013</w:t>
            </w:r>
          </w:p>
          <w:p w:rsidR="00ED6ADD" w:rsidRPr="00342605" w:rsidRDefault="00ED6ADD" w:rsidP="007D1B76">
            <w:pPr>
              <w:jc w:val="both"/>
              <w:rPr>
                <w:rFonts w:eastAsia="Calibri"/>
                <w:sz w:val="20"/>
              </w:rPr>
            </w:pPr>
            <w:r w:rsidRPr="00342605">
              <w:rPr>
                <w:rFonts w:eastAsia="Calibri"/>
                <w:sz w:val="20"/>
              </w:rPr>
              <w:t>Provincial Court of Alberta</w:t>
            </w:r>
          </w:p>
          <w:p w:rsidR="00ED6ADD" w:rsidRPr="00342605" w:rsidRDefault="00ED6ADD" w:rsidP="007D1B76">
            <w:pPr>
              <w:jc w:val="both"/>
              <w:rPr>
                <w:rFonts w:eastAsia="Calibri"/>
                <w:sz w:val="20"/>
              </w:rPr>
            </w:pPr>
            <w:r w:rsidRPr="00342605">
              <w:rPr>
                <w:rFonts w:eastAsia="Calibri"/>
                <w:sz w:val="20"/>
              </w:rPr>
              <w:t>(Wheatley P.C.J.)</w:t>
            </w:r>
          </w:p>
          <w:p w:rsidR="00ED6ADD" w:rsidRPr="00342605" w:rsidRDefault="00ED6ADD" w:rsidP="007D1B76">
            <w:pPr>
              <w:jc w:val="both"/>
              <w:rPr>
                <w:rFonts w:eastAsia="Calibri"/>
                <w:sz w:val="20"/>
              </w:rPr>
            </w:pPr>
            <w:r w:rsidRPr="00342605">
              <w:rPr>
                <w:rFonts w:eastAsia="Calibri"/>
                <w:sz w:val="20"/>
              </w:rPr>
              <w:t>2013 ABPC 268</w:t>
            </w:r>
          </w:p>
          <w:p w:rsidR="00ED6ADD" w:rsidRPr="00342605" w:rsidRDefault="007871B3" w:rsidP="007D1B76">
            <w:pPr>
              <w:jc w:val="both"/>
              <w:rPr>
                <w:rFonts w:eastAsia="Calibri"/>
                <w:sz w:val="20"/>
              </w:rPr>
            </w:pPr>
            <w:hyperlink r:id="rId60" w:history="1">
              <w:r w:rsidR="00ED6ADD" w:rsidRPr="00342605">
                <w:rPr>
                  <w:rFonts w:eastAsia="Calibri"/>
                  <w:color w:val="0000FF"/>
                  <w:sz w:val="20"/>
                  <w:u w:val="single"/>
                </w:rPr>
                <w:t>http://canlii.ca/t/g1m9w</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Sentence imposed: 6 years and 19 days</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July 28, 2014</w:t>
            </w:r>
          </w:p>
          <w:p w:rsidR="00ED6ADD" w:rsidRPr="00342605" w:rsidRDefault="00ED6ADD" w:rsidP="007D1B76">
            <w:pPr>
              <w:jc w:val="both"/>
              <w:rPr>
                <w:rFonts w:eastAsia="Calibri"/>
                <w:sz w:val="20"/>
              </w:rPr>
            </w:pPr>
            <w:r w:rsidRPr="00342605">
              <w:rPr>
                <w:rFonts w:eastAsia="Calibri"/>
                <w:sz w:val="20"/>
              </w:rPr>
              <w:t>Court of Appeal of Alberta (Edmonton)</w:t>
            </w:r>
          </w:p>
          <w:p w:rsidR="00ED6ADD" w:rsidRPr="00342605" w:rsidRDefault="00ED6ADD" w:rsidP="007D1B76">
            <w:pPr>
              <w:jc w:val="both"/>
              <w:rPr>
                <w:rFonts w:eastAsia="Calibri"/>
                <w:sz w:val="20"/>
              </w:rPr>
            </w:pPr>
            <w:r w:rsidRPr="00342605">
              <w:rPr>
                <w:rFonts w:eastAsia="Calibri"/>
                <w:sz w:val="20"/>
              </w:rPr>
              <w:t>(</w:t>
            </w:r>
            <w:proofErr w:type="spellStart"/>
            <w:r w:rsidRPr="00342605">
              <w:rPr>
                <w:rFonts w:eastAsia="Calibri"/>
                <w:sz w:val="20"/>
              </w:rPr>
              <w:t>O'Ferrall</w:t>
            </w:r>
            <w:proofErr w:type="spellEnd"/>
            <w:r w:rsidRPr="00342605">
              <w:rPr>
                <w:rFonts w:eastAsia="Calibri"/>
                <w:sz w:val="20"/>
              </w:rPr>
              <w:t xml:space="preserve"> and </w:t>
            </w:r>
            <w:proofErr w:type="spellStart"/>
            <w:r w:rsidRPr="00342605">
              <w:rPr>
                <w:rFonts w:eastAsia="Calibri"/>
                <w:sz w:val="20"/>
              </w:rPr>
              <w:t>Wakeling</w:t>
            </w:r>
            <w:proofErr w:type="spellEnd"/>
            <w:r w:rsidRPr="00342605">
              <w:rPr>
                <w:rFonts w:eastAsia="Calibri"/>
                <w:sz w:val="20"/>
              </w:rPr>
              <w:t xml:space="preserve"> JJ.A., </w:t>
            </w:r>
            <w:proofErr w:type="gramStart"/>
            <w:r w:rsidRPr="00342605">
              <w:rPr>
                <w:rFonts w:eastAsia="Calibri"/>
                <w:sz w:val="20"/>
              </w:rPr>
              <w:t>and  Hunt</w:t>
            </w:r>
            <w:proofErr w:type="gramEnd"/>
            <w:r w:rsidRPr="00342605">
              <w:rPr>
                <w:rFonts w:eastAsia="Calibri"/>
                <w:sz w:val="20"/>
              </w:rPr>
              <w:t xml:space="preserve"> J.A. </w:t>
            </w:r>
          </w:p>
          <w:p w:rsidR="00ED6ADD" w:rsidRPr="00342605" w:rsidRDefault="00ED6ADD" w:rsidP="007D1B76">
            <w:pPr>
              <w:jc w:val="both"/>
              <w:rPr>
                <w:rFonts w:eastAsia="Calibri"/>
                <w:sz w:val="20"/>
              </w:rPr>
            </w:pPr>
            <w:r w:rsidRPr="00342605">
              <w:rPr>
                <w:rFonts w:eastAsia="Calibri"/>
                <w:sz w:val="20"/>
              </w:rPr>
              <w:t>(dissenting))</w:t>
            </w:r>
          </w:p>
          <w:p w:rsidR="00ED6ADD" w:rsidRPr="00342605" w:rsidRDefault="00ED6ADD" w:rsidP="007D1B76">
            <w:pPr>
              <w:jc w:val="both"/>
              <w:rPr>
                <w:rFonts w:eastAsia="Calibri"/>
                <w:sz w:val="20"/>
              </w:rPr>
            </w:pPr>
            <w:r w:rsidRPr="00342605">
              <w:rPr>
                <w:rFonts w:eastAsia="Calibri"/>
                <w:sz w:val="20"/>
              </w:rPr>
              <w:t>1303-0273A, 2014 ABCA 241</w:t>
            </w:r>
          </w:p>
          <w:p w:rsidR="00ED6ADD" w:rsidRPr="00342605" w:rsidRDefault="007871B3" w:rsidP="007D1B76">
            <w:pPr>
              <w:jc w:val="both"/>
              <w:rPr>
                <w:rFonts w:eastAsia="Calibri"/>
                <w:sz w:val="20"/>
              </w:rPr>
            </w:pPr>
            <w:hyperlink r:id="rId61" w:history="1">
              <w:r w:rsidR="00ED6ADD" w:rsidRPr="00342605">
                <w:rPr>
                  <w:rFonts w:eastAsia="Calibri"/>
                  <w:color w:val="0000FF"/>
                  <w:sz w:val="20"/>
                  <w:u w:val="single"/>
                </w:rPr>
                <w:t>http://canlii.ca/t/g8617</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Appeal against sentence allowed only to the extent that the global presentence custody credit is varied to 519 days</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September 26, 2014</w:t>
            </w:r>
          </w:p>
          <w:p w:rsidR="00ED6ADD" w:rsidRPr="00342605" w:rsidRDefault="00ED6ADD" w:rsidP="007D1B76">
            <w:pPr>
              <w:jc w:val="both"/>
              <w:rPr>
                <w:rFonts w:eastAsia="Calibri"/>
                <w:sz w:val="20"/>
              </w:rPr>
            </w:pPr>
            <w:r w:rsidRPr="00342605">
              <w:rPr>
                <w:rFonts w:eastAsia="Calibri"/>
                <w:sz w:val="20"/>
              </w:rPr>
              <w:t>Supreme Court of Canada</w:t>
            </w: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Application for leave to appeal filed</w:t>
            </w:r>
          </w:p>
          <w:p w:rsidR="00ED6ADD" w:rsidRPr="00342605" w:rsidRDefault="00ED6ADD"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63"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Droit criminel – Détermination de la peine – Considérations – La Cour d’appel a-t-elle commis une erreur de droit en permettant le rejet d’observations conjointes sans considération suffisante ni motifs? – La Cour d’appel a-t-elle commis une erreur de droit en attribuant une fourchette de peines non appropriée à l’infraction sur le fondement d’un degré d’intention qui n’avait pas été prouvé?</w:t>
            </w:r>
          </w:p>
        </w:tc>
      </w:tr>
      <w:tr w:rsidR="00ED6ADD" w:rsidRPr="009723FD" w:rsidTr="007D1B76">
        <w:tc>
          <w:tcPr>
            <w:tcW w:w="5000" w:type="pct"/>
            <w:gridSpan w:val="3"/>
          </w:tcPr>
          <w:p w:rsidR="00ED6ADD" w:rsidRPr="00342605" w:rsidRDefault="00ED6ADD" w:rsidP="007D1B76">
            <w:pPr>
              <w:jc w:val="both"/>
              <w:rPr>
                <w:rFonts w:eastAsia="Calibri"/>
                <w:sz w:val="20"/>
                <w:lang w:val="fr-CA"/>
              </w:rPr>
            </w:pPr>
          </w:p>
        </w:tc>
      </w:tr>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Le demandeur a plaidé coupable relativement à deux chefs de négligence criminelle ayant causé des lésions corporelles et de défaut de s’arrêter lors d’un accident.  Le juge </w:t>
            </w:r>
            <w:proofErr w:type="spellStart"/>
            <w:r w:rsidRPr="00342605">
              <w:rPr>
                <w:rFonts w:eastAsia="Calibri"/>
                <w:sz w:val="20"/>
                <w:lang w:val="fr-CA"/>
              </w:rPr>
              <w:t>Wheatley</w:t>
            </w:r>
            <w:proofErr w:type="spellEnd"/>
            <w:r w:rsidRPr="00342605">
              <w:rPr>
                <w:rFonts w:eastAsia="Calibri"/>
                <w:sz w:val="20"/>
                <w:lang w:val="fr-CA"/>
              </w:rPr>
              <w:t xml:space="preserve"> a rejeté des observations conjointes appuyant l’imposition de deux peines d’emprisonnement concurrentes de quatre ans pour négligence criminelle ayant causé des lésions corporelles et d’une peine d’emprisonnement concurrente de six mois pour avoir quitté la scène d’un accident. Le juge </w:t>
            </w:r>
            <w:proofErr w:type="spellStart"/>
            <w:r w:rsidRPr="00342605">
              <w:rPr>
                <w:rFonts w:eastAsia="Calibri"/>
                <w:sz w:val="20"/>
                <w:lang w:val="fr-CA"/>
              </w:rPr>
              <w:t>Wheatley</w:t>
            </w:r>
            <w:proofErr w:type="spellEnd"/>
            <w:r w:rsidRPr="00342605">
              <w:rPr>
                <w:rFonts w:eastAsia="Calibri"/>
                <w:sz w:val="20"/>
                <w:lang w:val="fr-CA"/>
              </w:rPr>
              <w:t xml:space="preserve"> a plutôt imposé une peine concurrente de quatre et de six ans d’emprisonnement relativement aux deux chefs de négligence criminelle ayant causé des lésions corporelles et une peine consécutive d’un an d’emprisonnement pour avoir quitté les lieux d’un accident.  Les juges majoritaires de la Cour d’appel ont accueilli l’appel de la peine seulement dans la mesure où le crédit global pour la détention </w:t>
            </w:r>
            <w:proofErr w:type="spellStart"/>
            <w:r w:rsidRPr="00342605">
              <w:rPr>
                <w:rFonts w:eastAsia="Calibri"/>
                <w:sz w:val="20"/>
                <w:lang w:val="fr-CA"/>
              </w:rPr>
              <w:t>présentencielle</w:t>
            </w:r>
            <w:proofErr w:type="spellEnd"/>
            <w:r w:rsidRPr="00342605">
              <w:rPr>
                <w:rFonts w:eastAsia="Calibri"/>
                <w:sz w:val="20"/>
                <w:lang w:val="fr-CA"/>
              </w:rPr>
              <w:t xml:space="preserve"> a été porté à 519 jours. </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18 octobre 2013</w:t>
            </w:r>
          </w:p>
          <w:p w:rsidR="00ED6ADD" w:rsidRPr="00342605" w:rsidRDefault="00ED6ADD" w:rsidP="007D1B76">
            <w:pPr>
              <w:jc w:val="both"/>
              <w:rPr>
                <w:rFonts w:eastAsia="Calibri"/>
                <w:sz w:val="20"/>
                <w:lang w:val="fr-CA"/>
              </w:rPr>
            </w:pPr>
            <w:r w:rsidRPr="00342605">
              <w:rPr>
                <w:rFonts w:eastAsia="Calibri"/>
                <w:sz w:val="20"/>
                <w:lang w:val="fr-CA"/>
              </w:rPr>
              <w:t>Cour provinciale de l’Alberta</w:t>
            </w:r>
          </w:p>
          <w:p w:rsidR="00ED6ADD" w:rsidRPr="00342605" w:rsidRDefault="00ED6ADD" w:rsidP="007D1B76">
            <w:pPr>
              <w:jc w:val="both"/>
              <w:rPr>
                <w:rFonts w:eastAsia="Calibri"/>
                <w:sz w:val="20"/>
                <w:lang w:val="fr-CA"/>
              </w:rPr>
            </w:pPr>
            <w:r w:rsidRPr="00342605">
              <w:rPr>
                <w:rFonts w:eastAsia="Calibri"/>
                <w:sz w:val="20"/>
                <w:lang w:val="fr-CA"/>
              </w:rPr>
              <w:t xml:space="preserve">(Juge </w:t>
            </w:r>
            <w:proofErr w:type="spellStart"/>
            <w:r w:rsidRPr="00342605">
              <w:rPr>
                <w:rFonts w:eastAsia="Calibri"/>
                <w:sz w:val="20"/>
                <w:lang w:val="fr-CA"/>
              </w:rPr>
              <w:t>Wheatley</w:t>
            </w:r>
            <w:proofErr w:type="spellEnd"/>
            <w:r w:rsidRPr="00342605">
              <w:rPr>
                <w:rFonts w:eastAsia="Calibri"/>
                <w:sz w:val="20"/>
                <w:lang w:val="fr-CA"/>
              </w:rPr>
              <w:t>)</w:t>
            </w:r>
          </w:p>
          <w:p w:rsidR="00ED6ADD" w:rsidRPr="00342605" w:rsidRDefault="00ED6ADD" w:rsidP="007D1B76">
            <w:pPr>
              <w:jc w:val="both"/>
              <w:rPr>
                <w:rFonts w:eastAsia="Calibri"/>
                <w:sz w:val="20"/>
              </w:rPr>
            </w:pPr>
            <w:r w:rsidRPr="00342605">
              <w:rPr>
                <w:rFonts w:eastAsia="Calibri"/>
                <w:sz w:val="20"/>
              </w:rPr>
              <w:t>2013 ABPC 268</w:t>
            </w:r>
          </w:p>
          <w:p w:rsidR="00ED6ADD" w:rsidRPr="00342605" w:rsidRDefault="007871B3" w:rsidP="007D1B76">
            <w:pPr>
              <w:jc w:val="both"/>
              <w:rPr>
                <w:rFonts w:eastAsia="Calibri"/>
                <w:sz w:val="20"/>
              </w:rPr>
            </w:pPr>
            <w:hyperlink r:id="rId62" w:history="1">
              <w:r w:rsidR="00ED6ADD" w:rsidRPr="00342605">
                <w:rPr>
                  <w:rFonts w:eastAsia="Calibri"/>
                  <w:color w:val="0000FF"/>
                  <w:sz w:val="20"/>
                  <w:u w:val="single"/>
                </w:rPr>
                <w:t>http://canlii.ca/t/g1m9w</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Peine imposée : 6 ans et 19 jours</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28 juillet 2014</w:t>
            </w:r>
          </w:p>
          <w:p w:rsidR="00ED6ADD" w:rsidRPr="00342605" w:rsidRDefault="00ED6ADD" w:rsidP="007D1B76">
            <w:pPr>
              <w:jc w:val="both"/>
              <w:rPr>
                <w:rFonts w:eastAsia="Calibri"/>
                <w:sz w:val="20"/>
                <w:lang w:val="fr-CA"/>
              </w:rPr>
            </w:pPr>
            <w:r w:rsidRPr="00342605">
              <w:rPr>
                <w:rFonts w:eastAsia="Calibri"/>
                <w:sz w:val="20"/>
                <w:lang w:val="fr-CA"/>
              </w:rPr>
              <w:t>Cour d’appel de l’Alberta (Edmonton)</w:t>
            </w:r>
          </w:p>
          <w:p w:rsidR="00ED6ADD" w:rsidRPr="00342605" w:rsidRDefault="00ED6ADD" w:rsidP="007D1B76">
            <w:pPr>
              <w:jc w:val="both"/>
              <w:rPr>
                <w:rFonts w:eastAsia="Calibri"/>
                <w:sz w:val="20"/>
                <w:lang w:val="fr-CA"/>
              </w:rPr>
            </w:pPr>
            <w:r w:rsidRPr="00342605">
              <w:rPr>
                <w:rFonts w:eastAsia="Calibri"/>
                <w:sz w:val="20"/>
                <w:lang w:val="fr-CA"/>
              </w:rPr>
              <w:t xml:space="preserve">(Juges </w:t>
            </w:r>
            <w:proofErr w:type="spellStart"/>
            <w:r w:rsidRPr="00342605">
              <w:rPr>
                <w:rFonts w:eastAsia="Calibri"/>
                <w:sz w:val="20"/>
                <w:lang w:val="fr-CA"/>
              </w:rPr>
              <w:t>O'Ferrall</w:t>
            </w:r>
            <w:proofErr w:type="spellEnd"/>
            <w:r w:rsidRPr="00342605">
              <w:rPr>
                <w:rFonts w:eastAsia="Calibri"/>
                <w:sz w:val="20"/>
                <w:lang w:val="fr-CA"/>
              </w:rPr>
              <w:t xml:space="preserve">, </w:t>
            </w:r>
            <w:proofErr w:type="spellStart"/>
            <w:r w:rsidRPr="00342605">
              <w:rPr>
                <w:rFonts w:eastAsia="Calibri"/>
                <w:sz w:val="20"/>
                <w:lang w:val="fr-CA"/>
              </w:rPr>
              <w:t>Wakeling</w:t>
            </w:r>
            <w:proofErr w:type="spellEnd"/>
            <w:r w:rsidRPr="00342605">
              <w:rPr>
                <w:rFonts w:eastAsia="Calibri"/>
                <w:sz w:val="20"/>
                <w:lang w:val="fr-CA"/>
              </w:rPr>
              <w:t xml:space="preserve"> et  Hunt </w:t>
            </w:r>
          </w:p>
          <w:p w:rsidR="00ED6ADD" w:rsidRPr="00342605" w:rsidRDefault="00ED6ADD" w:rsidP="007D1B76">
            <w:pPr>
              <w:jc w:val="both"/>
              <w:rPr>
                <w:rFonts w:eastAsia="Calibri"/>
                <w:sz w:val="20"/>
                <w:lang w:val="fr-CA"/>
              </w:rPr>
            </w:pPr>
            <w:r w:rsidRPr="00342605">
              <w:rPr>
                <w:rFonts w:eastAsia="Calibri"/>
                <w:sz w:val="20"/>
                <w:lang w:val="fr-CA"/>
              </w:rPr>
              <w:t>(dissidente))</w:t>
            </w:r>
          </w:p>
          <w:p w:rsidR="00ED6ADD" w:rsidRPr="00342605" w:rsidRDefault="00ED6ADD" w:rsidP="007D1B76">
            <w:pPr>
              <w:jc w:val="both"/>
              <w:rPr>
                <w:rFonts w:eastAsia="Calibri"/>
                <w:sz w:val="20"/>
                <w:lang w:val="fr-CA"/>
              </w:rPr>
            </w:pPr>
            <w:r w:rsidRPr="00342605">
              <w:rPr>
                <w:rFonts w:eastAsia="Calibri"/>
                <w:sz w:val="20"/>
                <w:lang w:val="fr-CA"/>
              </w:rPr>
              <w:t>1303-0273A, 2014 ABCA 241</w:t>
            </w:r>
          </w:p>
          <w:p w:rsidR="00ED6ADD" w:rsidRPr="00342605" w:rsidRDefault="007871B3" w:rsidP="007D1B76">
            <w:pPr>
              <w:jc w:val="both"/>
              <w:rPr>
                <w:rFonts w:eastAsia="Calibri"/>
                <w:sz w:val="20"/>
                <w:lang w:val="fr-CA"/>
              </w:rPr>
            </w:pPr>
            <w:hyperlink r:id="rId63" w:history="1">
              <w:r w:rsidR="00ED6ADD" w:rsidRPr="00342605">
                <w:rPr>
                  <w:rFonts w:eastAsia="Calibri"/>
                  <w:color w:val="0000FF"/>
                  <w:sz w:val="20"/>
                  <w:u w:val="single"/>
                  <w:lang w:val="fr-CA"/>
                </w:rPr>
                <w:t>http://canlii.ca/t/g8617</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 xml:space="preserve">Appel de la peine accueillie seulement dans la mesure où le crédit global pour la détention </w:t>
            </w:r>
            <w:proofErr w:type="spellStart"/>
            <w:r w:rsidRPr="00342605">
              <w:rPr>
                <w:rFonts w:eastAsia="Calibri"/>
                <w:sz w:val="20"/>
                <w:lang w:val="fr-CA"/>
              </w:rPr>
              <w:t>présentencielle</w:t>
            </w:r>
            <w:proofErr w:type="spellEnd"/>
            <w:r w:rsidRPr="00342605">
              <w:rPr>
                <w:rFonts w:eastAsia="Calibri"/>
                <w:sz w:val="20"/>
                <w:lang w:val="fr-CA"/>
              </w:rPr>
              <w:t xml:space="preserve"> a été porté à 519 jours</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26 septembre 2014</w:t>
            </w:r>
          </w:p>
          <w:p w:rsidR="00ED6ADD" w:rsidRPr="00342605" w:rsidRDefault="00ED6ADD" w:rsidP="007D1B76">
            <w:pPr>
              <w:jc w:val="both"/>
              <w:rPr>
                <w:rFonts w:eastAsia="Calibri"/>
                <w:sz w:val="20"/>
                <w:lang w:val="fr-CA"/>
              </w:rPr>
            </w:pPr>
            <w:r w:rsidRPr="00342605">
              <w:rPr>
                <w:rFonts w:eastAsia="Calibri"/>
                <w:sz w:val="20"/>
                <w:lang w:val="fr-CA"/>
              </w:rPr>
              <w:t>Cour suprême du Canada</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 d’autorisation d’appel, déposée</w:t>
            </w:r>
          </w:p>
          <w:p w:rsidR="00ED6ADD" w:rsidRPr="00342605" w:rsidRDefault="00ED6ADD"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64" style="width:2in;height:1pt" o:hrpct="0" o:hralign="center" o:hrstd="t" o:hrnoshade="t" o:hr="t" fillcolor="black [3213]" stroked="f"/>
        </w:pict>
      </w:r>
    </w:p>
    <w:p w:rsidR="00A325AC" w:rsidRDefault="00A325AC" w:rsidP="00A325AC">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7AFF" w:rsidRPr="009A7F72" w:rsidTr="00273F9F">
        <w:trPr>
          <w:cantSplit/>
        </w:trPr>
        <w:tc>
          <w:tcPr>
            <w:tcW w:w="1458" w:type="dxa"/>
          </w:tcPr>
          <w:p w:rsidR="00397AFF" w:rsidRPr="009A7F72" w:rsidRDefault="00397AFF" w:rsidP="00273F9F">
            <w:pPr>
              <w:rPr>
                <w:sz w:val="20"/>
                <w:szCs w:val="20"/>
              </w:rPr>
            </w:pPr>
            <w:r w:rsidRPr="009A7F72">
              <w:rPr>
                <w:rStyle w:val="SCCFileNumberChar"/>
                <w:sz w:val="20"/>
                <w:szCs w:val="20"/>
              </w:rPr>
              <w:t>36114</w:t>
            </w:r>
          </w:p>
          <w:p w:rsidR="00397AFF" w:rsidRPr="009A7F72" w:rsidRDefault="00397AFF" w:rsidP="00273F9F">
            <w:pPr>
              <w:rPr>
                <w:b/>
                <w:sz w:val="20"/>
                <w:szCs w:val="20"/>
                <w:lang w:val="fr-CA"/>
              </w:rPr>
            </w:pPr>
          </w:p>
        </w:tc>
        <w:tc>
          <w:tcPr>
            <w:tcW w:w="8118" w:type="dxa"/>
          </w:tcPr>
          <w:p w:rsidR="00397AFF" w:rsidRPr="009A7F72" w:rsidRDefault="00397AFF" w:rsidP="00273F9F">
            <w:pPr>
              <w:rPr>
                <w:sz w:val="20"/>
                <w:szCs w:val="20"/>
              </w:rPr>
            </w:pPr>
            <w:r w:rsidRPr="009A7F72">
              <w:rPr>
                <w:rStyle w:val="SCCLsocChar"/>
                <w:sz w:val="20"/>
                <w:szCs w:val="20"/>
                <w:lang w:val="en-CA"/>
              </w:rPr>
              <w:t xml:space="preserve">Sebastian </w:t>
            </w:r>
            <w:proofErr w:type="spellStart"/>
            <w:r w:rsidRPr="009A7F72">
              <w:rPr>
                <w:rStyle w:val="SCCLsocChar"/>
                <w:sz w:val="20"/>
                <w:szCs w:val="20"/>
                <w:lang w:val="en-CA"/>
              </w:rPr>
              <w:t>Miazga</w:t>
            </w:r>
            <w:proofErr w:type="spellEnd"/>
            <w:r w:rsidRPr="009A7F72">
              <w:rPr>
                <w:rStyle w:val="SCCLsocChar"/>
                <w:sz w:val="20"/>
                <w:szCs w:val="20"/>
                <w:lang w:val="en-CA"/>
              </w:rPr>
              <w:t xml:space="preserve"> v. Her Majesty the Queen</w:t>
            </w:r>
            <w:r w:rsidRPr="009A7F72">
              <w:rPr>
                <w:sz w:val="20"/>
                <w:szCs w:val="20"/>
              </w:rPr>
              <w:t xml:space="preserve"> (B.C.) (Criminal) (By Leave)</w:t>
            </w:r>
          </w:p>
          <w:p w:rsidR="00397AFF" w:rsidRPr="009A7F72" w:rsidRDefault="00397AFF" w:rsidP="00273F9F">
            <w:pPr>
              <w:rPr>
                <w:sz w:val="20"/>
                <w:szCs w:val="20"/>
              </w:rPr>
            </w:pPr>
          </w:p>
        </w:tc>
      </w:tr>
      <w:tr w:rsidR="00397AFF" w:rsidRPr="009A7F72" w:rsidTr="00273F9F">
        <w:trPr>
          <w:cantSplit/>
        </w:trPr>
        <w:tc>
          <w:tcPr>
            <w:tcW w:w="1458" w:type="dxa"/>
          </w:tcPr>
          <w:p w:rsidR="00397AFF" w:rsidRPr="009A7F72" w:rsidRDefault="00397AFF" w:rsidP="00273F9F">
            <w:pPr>
              <w:rPr>
                <w:sz w:val="20"/>
                <w:szCs w:val="20"/>
              </w:rPr>
            </w:pPr>
            <w:r w:rsidRPr="009A7F72">
              <w:rPr>
                <w:sz w:val="20"/>
                <w:szCs w:val="20"/>
              </w:rPr>
              <w:t>Coram :</w:t>
            </w:r>
          </w:p>
        </w:tc>
        <w:tc>
          <w:tcPr>
            <w:tcW w:w="8118" w:type="dxa"/>
          </w:tcPr>
          <w:p w:rsidR="00397AFF" w:rsidRPr="009A7F72" w:rsidRDefault="00397AFF" w:rsidP="00273F9F">
            <w:pPr>
              <w:rPr>
                <w:sz w:val="20"/>
                <w:szCs w:val="20"/>
              </w:rPr>
            </w:pPr>
            <w:proofErr w:type="spellStart"/>
            <w:r w:rsidRPr="009A7F72">
              <w:rPr>
                <w:rStyle w:val="SCCCoramChar"/>
                <w:sz w:val="20"/>
                <w:szCs w:val="20"/>
                <w:lang w:val="en-CA"/>
              </w:rPr>
              <w:t>McLachlin</w:t>
            </w:r>
            <w:proofErr w:type="spellEnd"/>
            <w:r w:rsidRPr="009A7F72">
              <w:rPr>
                <w:rStyle w:val="SCCCoramChar"/>
                <w:sz w:val="20"/>
                <w:szCs w:val="20"/>
                <w:lang w:val="en-CA"/>
              </w:rPr>
              <w:t> C.J. and Cromwell and Wagner JJ.</w:t>
            </w:r>
          </w:p>
          <w:p w:rsidR="00397AFF" w:rsidRPr="009A7F72" w:rsidRDefault="00397AFF" w:rsidP="00273F9F">
            <w:pPr>
              <w:rPr>
                <w:sz w:val="20"/>
                <w:szCs w:val="20"/>
                <w:u w:val="single"/>
              </w:rPr>
            </w:pPr>
          </w:p>
        </w:tc>
      </w:tr>
      <w:tr w:rsidR="00397AFF" w:rsidRPr="009723FD" w:rsidTr="00273F9F">
        <w:trPr>
          <w:cantSplit/>
        </w:trPr>
        <w:tc>
          <w:tcPr>
            <w:tcW w:w="9576" w:type="dxa"/>
            <w:gridSpan w:val="2"/>
          </w:tcPr>
          <w:p w:rsidR="00397AFF" w:rsidRPr="009A7F72" w:rsidRDefault="00397AFF" w:rsidP="00273F9F">
            <w:pPr>
              <w:pStyle w:val="SCCShortJudgment"/>
              <w:rPr>
                <w:szCs w:val="20"/>
              </w:rPr>
            </w:pPr>
            <w:r w:rsidRPr="009A7F72">
              <w:rPr>
                <w:szCs w:val="20"/>
              </w:rPr>
              <w:t>The application for leave to appeal from the judgment of the Court of Appeal for British Columbia (Vancouver), Number CA040498, 2014 BCCA 312, dated August 5, 2014, is dismissed without costs.</w:t>
            </w:r>
          </w:p>
          <w:p w:rsidR="00397AFF" w:rsidRPr="009A7F72" w:rsidRDefault="00397AFF" w:rsidP="00273F9F">
            <w:pPr>
              <w:pStyle w:val="SCCShortJudgment"/>
              <w:ind w:firstLine="0"/>
              <w:rPr>
                <w:szCs w:val="20"/>
              </w:rPr>
            </w:pPr>
          </w:p>
          <w:p w:rsidR="00397AFF" w:rsidRPr="009A7F72" w:rsidRDefault="00397AFF" w:rsidP="00273F9F">
            <w:pPr>
              <w:pStyle w:val="SCCShortJudgment"/>
              <w:rPr>
                <w:szCs w:val="20"/>
                <w:lang w:val="fr-CA"/>
              </w:rPr>
            </w:pPr>
            <w:r w:rsidRPr="009A7F72">
              <w:rPr>
                <w:szCs w:val="20"/>
                <w:lang w:val="fr-CA"/>
              </w:rPr>
              <w:t>La demande d’autorisation d’appel de l’arrêt de la Cour d’appel de la Colombie-Britannique (Vancouver), numéro CA040498, 2014 BCCA 312, daté du 5 août 2014, est rejetée sans dépens.</w:t>
            </w:r>
          </w:p>
        </w:tc>
      </w:tr>
    </w:tbl>
    <w:p w:rsidR="00A325AC" w:rsidRPr="00397AFF" w:rsidRDefault="00A325AC" w:rsidP="00A325AC">
      <w:pPr>
        <w:rPr>
          <w:sz w:val="20"/>
          <w:szCs w:val="20"/>
          <w:lang w:val="fr-CA"/>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 xml:space="preserve">Criminal law – Manslaughter – Elements of offence – Parties to offences – Did the Court of Appeal err in its interpretation of </w:t>
            </w:r>
            <w:r w:rsidRPr="00342605">
              <w:rPr>
                <w:rFonts w:eastAsia="Calibri"/>
                <w:i/>
                <w:sz w:val="20"/>
              </w:rPr>
              <w:t xml:space="preserve">R. v. </w:t>
            </w:r>
            <w:proofErr w:type="spellStart"/>
            <w:r w:rsidRPr="00342605">
              <w:rPr>
                <w:rFonts w:eastAsia="Calibri"/>
                <w:i/>
                <w:sz w:val="20"/>
              </w:rPr>
              <w:t>Maybin</w:t>
            </w:r>
            <w:proofErr w:type="spellEnd"/>
            <w:r w:rsidRPr="00342605">
              <w:rPr>
                <w:rFonts w:eastAsia="Calibri"/>
                <w:sz w:val="20"/>
              </w:rPr>
              <w:t>, 2012 SCC 24 – Did the Court of Appeal err in ruling that the stabbing which caused the death herein was not an intervening act?</w:t>
            </w:r>
          </w:p>
        </w:tc>
      </w:tr>
      <w:tr w:rsidR="00ED6ADD" w:rsidRPr="00342605" w:rsidTr="007D1B76">
        <w:tc>
          <w:tcPr>
            <w:tcW w:w="5000" w:type="pct"/>
            <w:gridSpan w:val="3"/>
          </w:tcPr>
          <w:p w:rsidR="00ED6ADD" w:rsidRPr="00342605" w:rsidRDefault="00ED6ADD" w:rsidP="007D1B76">
            <w:pPr>
              <w:jc w:val="both"/>
              <w:rPr>
                <w:rFonts w:eastAsia="Calibri"/>
                <w:sz w:val="20"/>
              </w:rPr>
            </w:pPr>
          </w:p>
        </w:tc>
      </w:tr>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The applicant and several other people attacked Tyson Edwards outside a nightclub in downtown Vancouver.  The attack lasted about one minute.  At some point during the attack, Mr. Edwards was stabbed in the chest with a knife.  The wounds were fatal and Mr. Edwards died.  It is unknown which of the attackers used the knife.  Four men, including the applicant, were charged with manslaughter.  One was acquitted because the Crown failed to prove he participated in the attack.  The other three were convicted of manslaughter.  The appeal was dismissed.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lastRenderedPageBreak/>
              <w:t>November 6, 2012</w:t>
            </w:r>
          </w:p>
          <w:p w:rsidR="00ED6ADD" w:rsidRPr="00342605" w:rsidRDefault="00ED6ADD" w:rsidP="007D1B76">
            <w:pPr>
              <w:jc w:val="both"/>
              <w:rPr>
                <w:rFonts w:eastAsia="Calibri"/>
                <w:sz w:val="20"/>
              </w:rPr>
            </w:pPr>
            <w:r w:rsidRPr="00342605">
              <w:rPr>
                <w:rFonts w:eastAsia="Calibri"/>
                <w:sz w:val="20"/>
              </w:rPr>
              <w:t>Supreme Court of British Columbia</w:t>
            </w:r>
          </w:p>
          <w:p w:rsidR="00ED6ADD" w:rsidRPr="00342605" w:rsidRDefault="00ED6ADD" w:rsidP="007D1B76">
            <w:pPr>
              <w:jc w:val="both"/>
              <w:rPr>
                <w:rFonts w:eastAsia="Calibri"/>
                <w:sz w:val="20"/>
              </w:rPr>
            </w:pPr>
            <w:r w:rsidRPr="00342605">
              <w:rPr>
                <w:rFonts w:eastAsia="Calibri"/>
                <w:sz w:val="20"/>
              </w:rPr>
              <w:t>(Curtis J.)</w:t>
            </w:r>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Applicant found guilty of manslaughter</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August 5, 2014</w:t>
            </w:r>
          </w:p>
          <w:p w:rsidR="00ED6ADD" w:rsidRPr="00342605" w:rsidRDefault="00ED6ADD" w:rsidP="007D1B76">
            <w:pPr>
              <w:jc w:val="both"/>
              <w:rPr>
                <w:rFonts w:eastAsia="Calibri"/>
                <w:sz w:val="20"/>
              </w:rPr>
            </w:pPr>
            <w:r w:rsidRPr="00342605">
              <w:rPr>
                <w:rFonts w:eastAsia="Calibri"/>
                <w:sz w:val="20"/>
              </w:rPr>
              <w:t xml:space="preserve">Court of Appeal for British Columbia </w:t>
            </w:r>
          </w:p>
          <w:p w:rsidR="00ED6ADD" w:rsidRPr="00342605" w:rsidRDefault="00ED6ADD" w:rsidP="007D1B76">
            <w:pPr>
              <w:jc w:val="both"/>
              <w:rPr>
                <w:rFonts w:eastAsia="Calibri"/>
                <w:sz w:val="20"/>
              </w:rPr>
            </w:pPr>
            <w:r w:rsidRPr="00342605">
              <w:rPr>
                <w:rFonts w:eastAsia="Calibri"/>
                <w:sz w:val="20"/>
              </w:rPr>
              <w:t>(Vancouver)</w:t>
            </w:r>
          </w:p>
          <w:p w:rsidR="00ED6ADD" w:rsidRPr="00342605" w:rsidRDefault="00ED6ADD" w:rsidP="007D1B76">
            <w:pPr>
              <w:jc w:val="both"/>
              <w:rPr>
                <w:rFonts w:eastAsia="Calibri"/>
                <w:sz w:val="20"/>
              </w:rPr>
            </w:pPr>
            <w:r w:rsidRPr="00342605">
              <w:rPr>
                <w:rFonts w:eastAsia="Calibri"/>
                <w:sz w:val="20"/>
              </w:rPr>
              <w:t xml:space="preserve">(Lowry, Frankel and </w:t>
            </w:r>
            <w:proofErr w:type="spellStart"/>
            <w:r w:rsidRPr="00342605">
              <w:rPr>
                <w:rFonts w:eastAsia="Calibri"/>
                <w:sz w:val="20"/>
              </w:rPr>
              <w:t>MacKenzie</w:t>
            </w:r>
            <w:proofErr w:type="spellEnd"/>
            <w:r w:rsidRPr="00342605">
              <w:rPr>
                <w:rFonts w:eastAsia="Calibri"/>
                <w:sz w:val="20"/>
              </w:rPr>
              <w:t xml:space="preserve"> JJ.A.)</w:t>
            </w:r>
          </w:p>
          <w:p w:rsidR="00ED6ADD" w:rsidRPr="00342605" w:rsidRDefault="00ED6ADD" w:rsidP="007D1B76">
            <w:pPr>
              <w:jc w:val="both"/>
              <w:rPr>
                <w:rFonts w:eastAsia="Calibri"/>
                <w:sz w:val="20"/>
              </w:rPr>
            </w:pPr>
            <w:r w:rsidRPr="00342605">
              <w:rPr>
                <w:rFonts w:eastAsia="Calibri"/>
                <w:sz w:val="20"/>
              </w:rPr>
              <w:t xml:space="preserve">Neutral citation: </w:t>
            </w:r>
            <w:hyperlink r:id="rId64" w:history="1">
              <w:r w:rsidRPr="00342605">
                <w:rPr>
                  <w:rFonts w:eastAsia="Calibri"/>
                  <w:color w:val="0000FF"/>
                  <w:sz w:val="20"/>
                  <w:u w:val="single"/>
                </w:rPr>
                <w:t>2014 BCCA 312</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Appeal dismissed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October 3, 2014</w:t>
            </w:r>
          </w:p>
          <w:p w:rsidR="00ED6ADD" w:rsidRPr="00342605" w:rsidRDefault="00ED6ADD" w:rsidP="007D1B76">
            <w:pPr>
              <w:jc w:val="both"/>
              <w:rPr>
                <w:rFonts w:eastAsia="Calibri"/>
                <w:sz w:val="20"/>
              </w:rPr>
            </w:pPr>
            <w:r w:rsidRPr="00342605">
              <w:rPr>
                <w:rFonts w:eastAsia="Calibri"/>
                <w:sz w:val="20"/>
              </w:rPr>
              <w:t>Supreme Court of Canada</w:t>
            </w: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Application for leave to appeal filed</w:t>
            </w:r>
          </w:p>
          <w:p w:rsidR="00ED6ADD" w:rsidRPr="00342605" w:rsidRDefault="00ED6ADD"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65"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Droit criminel – Homicide involontaire coupable – Éléments de l’infraction – Parties aux infractions – La Cour d’appel s’est-elle trompée dans son interprétation de </w:t>
            </w:r>
            <w:r w:rsidRPr="00342605">
              <w:rPr>
                <w:rFonts w:eastAsia="Calibri"/>
                <w:i/>
                <w:sz w:val="20"/>
                <w:lang w:val="fr-CA"/>
              </w:rPr>
              <w:t xml:space="preserve">R. c. </w:t>
            </w:r>
            <w:proofErr w:type="spellStart"/>
            <w:r w:rsidRPr="00342605">
              <w:rPr>
                <w:rFonts w:eastAsia="Calibri"/>
                <w:i/>
                <w:sz w:val="20"/>
                <w:lang w:val="fr-CA"/>
              </w:rPr>
              <w:t>Maybin</w:t>
            </w:r>
            <w:proofErr w:type="spellEnd"/>
            <w:r w:rsidRPr="00342605">
              <w:rPr>
                <w:rFonts w:eastAsia="Calibri"/>
                <w:sz w:val="20"/>
                <w:lang w:val="fr-CA"/>
              </w:rPr>
              <w:t>, 2012 CSC 24? – La Cour d’appel a-t-elle eu tort de statuer que le coup de couteau qui a causé la mort en l’espèce n’était pas un acte intermédiaire?</w:t>
            </w:r>
          </w:p>
        </w:tc>
      </w:tr>
      <w:tr w:rsidR="00ED6ADD" w:rsidRPr="009723FD" w:rsidTr="007D1B76">
        <w:tc>
          <w:tcPr>
            <w:tcW w:w="5000" w:type="pct"/>
            <w:gridSpan w:val="3"/>
          </w:tcPr>
          <w:p w:rsidR="00ED6ADD" w:rsidRPr="00342605" w:rsidRDefault="00ED6ADD" w:rsidP="007D1B76">
            <w:pPr>
              <w:jc w:val="both"/>
              <w:rPr>
                <w:rFonts w:eastAsia="Calibri"/>
                <w:sz w:val="20"/>
                <w:lang w:val="fr-CA"/>
              </w:rPr>
            </w:pPr>
          </w:p>
        </w:tc>
      </w:tr>
      <w:tr w:rsidR="00ED6ADD" w:rsidRPr="00342605"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 xml:space="preserve">Le demandeur et plusieurs autres personnes ont agressé </w:t>
            </w:r>
            <w:proofErr w:type="spellStart"/>
            <w:r w:rsidRPr="00342605">
              <w:rPr>
                <w:rFonts w:eastAsia="Calibri"/>
                <w:sz w:val="20"/>
                <w:lang w:val="fr-CA"/>
              </w:rPr>
              <w:t>Tyson</w:t>
            </w:r>
            <w:proofErr w:type="spellEnd"/>
            <w:r w:rsidRPr="00342605">
              <w:rPr>
                <w:rFonts w:eastAsia="Calibri"/>
                <w:sz w:val="20"/>
                <w:lang w:val="fr-CA"/>
              </w:rPr>
              <w:t xml:space="preserve"> Edwards à l’extérieur d’une boîte de nuit au centre-ville de Vancouver.  L’agression a duré environ une minute.  Pendant l’agression, M. Edwards a reçu un coup de couteau dans la poitrine.  Les blessures étaient mortelles et M. Edwards est décédé.  On ne sait pas quel agresseur a utilisé le couteau.  Quatre hommes, y compris le demandeur, ont été accusés d’homicide involontaire coupable.  Un des hommes a été acquitté parce que le ministère public n’avait pas prouvé qu’il </w:t>
            </w:r>
            <w:proofErr w:type="gramStart"/>
            <w:r w:rsidRPr="00342605">
              <w:rPr>
                <w:rFonts w:eastAsia="Calibri"/>
                <w:sz w:val="20"/>
                <w:lang w:val="fr-CA"/>
              </w:rPr>
              <w:t>avait</w:t>
            </w:r>
            <w:proofErr w:type="gramEnd"/>
            <w:r w:rsidRPr="00342605">
              <w:rPr>
                <w:rFonts w:eastAsia="Calibri"/>
                <w:sz w:val="20"/>
                <w:lang w:val="fr-CA"/>
              </w:rPr>
              <w:t xml:space="preserve"> participé à l’agression.  Les trois autres ont été déclarés coupables d’homicide involontaire coupable.  L’appel a été rejeté.</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6 novembre 2012</w:t>
            </w:r>
          </w:p>
          <w:p w:rsidR="00ED6ADD" w:rsidRPr="00342605" w:rsidRDefault="00ED6ADD" w:rsidP="007D1B76">
            <w:pPr>
              <w:jc w:val="both"/>
              <w:rPr>
                <w:rFonts w:eastAsia="Calibri"/>
                <w:sz w:val="20"/>
                <w:lang w:val="fr-CA"/>
              </w:rPr>
            </w:pPr>
            <w:r w:rsidRPr="00342605">
              <w:rPr>
                <w:rFonts w:eastAsia="Calibri"/>
                <w:sz w:val="20"/>
                <w:lang w:val="fr-CA"/>
              </w:rPr>
              <w:t>Cour suprême de la Colombie-Britannique</w:t>
            </w:r>
          </w:p>
          <w:p w:rsidR="00ED6ADD" w:rsidRPr="00342605" w:rsidRDefault="00ED6ADD" w:rsidP="007D1B76">
            <w:pPr>
              <w:jc w:val="both"/>
              <w:rPr>
                <w:rFonts w:eastAsia="Calibri"/>
                <w:sz w:val="20"/>
                <w:lang w:val="fr-CA"/>
              </w:rPr>
            </w:pPr>
            <w:r w:rsidRPr="00342605">
              <w:rPr>
                <w:rFonts w:eastAsia="Calibri"/>
                <w:sz w:val="20"/>
                <w:lang w:val="fr-CA"/>
              </w:rPr>
              <w:t>(Juge Curtis)</w:t>
            </w:r>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Demandeur déclaré coupable d’homicide involontaire coupable</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5 août 2014</w:t>
            </w:r>
          </w:p>
          <w:p w:rsidR="00ED6ADD" w:rsidRPr="00342605" w:rsidRDefault="00ED6ADD" w:rsidP="007D1B76">
            <w:pPr>
              <w:jc w:val="both"/>
              <w:rPr>
                <w:rFonts w:eastAsia="Calibri"/>
                <w:sz w:val="20"/>
                <w:lang w:val="fr-CA"/>
              </w:rPr>
            </w:pPr>
            <w:r w:rsidRPr="00342605">
              <w:rPr>
                <w:rFonts w:eastAsia="Calibri"/>
                <w:sz w:val="20"/>
                <w:lang w:val="fr-CA"/>
              </w:rPr>
              <w:t>Cour d’appel de la Colombie-Britannique</w:t>
            </w:r>
          </w:p>
          <w:p w:rsidR="00ED6ADD" w:rsidRPr="00342605" w:rsidRDefault="00ED6ADD" w:rsidP="007D1B76">
            <w:pPr>
              <w:jc w:val="both"/>
              <w:rPr>
                <w:rFonts w:eastAsia="Calibri"/>
                <w:sz w:val="20"/>
                <w:lang w:val="fr-CA"/>
              </w:rPr>
            </w:pPr>
            <w:r w:rsidRPr="00342605">
              <w:rPr>
                <w:rFonts w:eastAsia="Calibri"/>
                <w:sz w:val="20"/>
                <w:lang w:val="fr-CA"/>
              </w:rPr>
              <w:t>(Vancouver)</w:t>
            </w:r>
          </w:p>
          <w:p w:rsidR="00ED6ADD" w:rsidRPr="00342605" w:rsidRDefault="00ED6ADD" w:rsidP="007D1B76">
            <w:pPr>
              <w:jc w:val="both"/>
              <w:rPr>
                <w:rFonts w:eastAsia="Calibri"/>
                <w:sz w:val="20"/>
                <w:lang w:val="fr-CA"/>
              </w:rPr>
            </w:pPr>
            <w:r w:rsidRPr="00342605">
              <w:rPr>
                <w:rFonts w:eastAsia="Calibri"/>
                <w:sz w:val="20"/>
                <w:lang w:val="fr-CA"/>
              </w:rPr>
              <w:t xml:space="preserve">(Juges Lowry, </w:t>
            </w:r>
            <w:proofErr w:type="spellStart"/>
            <w:r w:rsidRPr="00342605">
              <w:rPr>
                <w:rFonts w:eastAsia="Calibri"/>
                <w:sz w:val="20"/>
                <w:lang w:val="fr-CA"/>
              </w:rPr>
              <w:t>Frankel</w:t>
            </w:r>
            <w:proofErr w:type="spellEnd"/>
            <w:r w:rsidRPr="00342605">
              <w:rPr>
                <w:rFonts w:eastAsia="Calibri"/>
                <w:sz w:val="20"/>
                <w:lang w:val="fr-CA"/>
              </w:rPr>
              <w:t xml:space="preserve"> et </w:t>
            </w:r>
            <w:proofErr w:type="spellStart"/>
            <w:r w:rsidRPr="00342605">
              <w:rPr>
                <w:rFonts w:eastAsia="Calibri"/>
                <w:sz w:val="20"/>
                <w:lang w:val="fr-CA"/>
              </w:rPr>
              <w:t>MacKenzie</w:t>
            </w:r>
            <w:proofErr w:type="spellEnd"/>
            <w:r w:rsidRPr="00342605">
              <w:rPr>
                <w:rFonts w:eastAsia="Calibri"/>
                <w:sz w:val="20"/>
                <w:lang w:val="fr-CA"/>
              </w:rPr>
              <w:t>)</w:t>
            </w:r>
          </w:p>
          <w:p w:rsidR="00ED6ADD" w:rsidRPr="00342605" w:rsidRDefault="00ED6ADD" w:rsidP="007D1B76">
            <w:pPr>
              <w:jc w:val="both"/>
              <w:rPr>
                <w:rFonts w:eastAsia="Calibri"/>
                <w:sz w:val="20"/>
                <w:lang w:val="fr-CA"/>
              </w:rPr>
            </w:pPr>
            <w:r w:rsidRPr="00342605">
              <w:rPr>
                <w:rFonts w:eastAsia="Calibri"/>
                <w:sz w:val="20"/>
                <w:lang w:val="fr-CA"/>
              </w:rPr>
              <w:t xml:space="preserve">Référence neutre : </w:t>
            </w:r>
            <w:hyperlink r:id="rId65" w:history="1">
              <w:r w:rsidRPr="00342605">
                <w:rPr>
                  <w:rFonts w:eastAsia="Calibri"/>
                  <w:color w:val="0000FF"/>
                  <w:sz w:val="20"/>
                  <w:u w:val="single"/>
                  <w:lang w:val="fr-CA"/>
                </w:rPr>
                <w:t>2014 BCCA 312</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Appel rejeté</w:t>
            </w:r>
          </w:p>
          <w:p w:rsidR="00ED6ADD" w:rsidRPr="00342605" w:rsidRDefault="00ED6ADD" w:rsidP="007D1B76">
            <w:pPr>
              <w:jc w:val="both"/>
              <w:rPr>
                <w:rFonts w:eastAsia="Calibri"/>
                <w:sz w:val="20"/>
                <w:lang w:val="fr-CA"/>
              </w:rPr>
            </w:pP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3 octobre 2014</w:t>
            </w:r>
          </w:p>
          <w:p w:rsidR="00ED6ADD" w:rsidRPr="00342605" w:rsidRDefault="00ED6ADD" w:rsidP="007D1B76">
            <w:pPr>
              <w:jc w:val="both"/>
              <w:rPr>
                <w:rFonts w:eastAsia="Calibri"/>
                <w:sz w:val="20"/>
                <w:lang w:val="fr-CA"/>
              </w:rPr>
            </w:pPr>
            <w:r w:rsidRPr="00342605">
              <w:rPr>
                <w:rFonts w:eastAsia="Calibri"/>
                <w:sz w:val="20"/>
                <w:lang w:val="fr-CA"/>
              </w:rPr>
              <w:t>Cour suprême du Canada</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 d’autorisation d’appel, déposée</w:t>
            </w:r>
          </w:p>
          <w:p w:rsidR="00ED6ADD" w:rsidRPr="00342605" w:rsidRDefault="00ED6ADD"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66" style="width:2in;height:1pt" o:hrpct="0" o:hralign="center" o:hrstd="t" o:hrnoshade="t" o:hr="t" fillcolor="black [3213]" stroked="f"/>
        </w:pict>
      </w:r>
    </w:p>
    <w:p w:rsidR="00B232DB" w:rsidRDefault="00B232DB">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54438" w:rsidRPr="009723FD" w:rsidTr="00154438">
        <w:trPr>
          <w:cantSplit/>
        </w:trPr>
        <w:tc>
          <w:tcPr>
            <w:tcW w:w="1458" w:type="dxa"/>
          </w:tcPr>
          <w:p w:rsidR="00154438" w:rsidRPr="00B75ABD" w:rsidRDefault="00154438" w:rsidP="00154438">
            <w:pPr>
              <w:rPr>
                <w:sz w:val="20"/>
                <w:szCs w:val="20"/>
              </w:rPr>
            </w:pPr>
            <w:r w:rsidRPr="00B75ABD">
              <w:rPr>
                <w:rStyle w:val="SCCFileNumberChar"/>
                <w:sz w:val="20"/>
                <w:szCs w:val="20"/>
              </w:rPr>
              <w:lastRenderedPageBreak/>
              <w:t>36116</w:t>
            </w:r>
          </w:p>
          <w:p w:rsidR="00154438" w:rsidRPr="00B75ABD" w:rsidRDefault="00154438" w:rsidP="00154438">
            <w:pPr>
              <w:rPr>
                <w:b/>
                <w:sz w:val="20"/>
                <w:szCs w:val="20"/>
                <w:lang w:val="fr-CA"/>
              </w:rPr>
            </w:pPr>
          </w:p>
        </w:tc>
        <w:tc>
          <w:tcPr>
            <w:tcW w:w="8118" w:type="dxa"/>
          </w:tcPr>
          <w:p w:rsidR="00154438" w:rsidRPr="00B75ABD" w:rsidRDefault="00154438" w:rsidP="00154438">
            <w:pPr>
              <w:jc w:val="both"/>
              <w:rPr>
                <w:sz w:val="20"/>
                <w:szCs w:val="20"/>
                <w:lang w:val="fr-CA"/>
              </w:rPr>
            </w:pPr>
            <w:proofErr w:type="spellStart"/>
            <w:r w:rsidRPr="00B75ABD">
              <w:rPr>
                <w:rStyle w:val="SCCLsocChar"/>
                <w:sz w:val="20"/>
                <w:szCs w:val="20"/>
              </w:rPr>
              <w:t>Chérita</w:t>
            </w:r>
            <w:proofErr w:type="spellEnd"/>
            <w:r w:rsidRPr="00B75ABD">
              <w:rPr>
                <w:rStyle w:val="SCCLsocChar"/>
                <w:sz w:val="20"/>
                <w:szCs w:val="20"/>
              </w:rPr>
              <w:t xml:space="preserve"> Johnson Richard c. </w:t>
            </w:r>
            <w:proofErr w:type="spellStart"/>
            <w:r w:rsidRPr="00B75ABD">
              <w:rPr>
                <w:rStyle w:val="SCCLsocChar"/>
                <w:sz w:val="20"/>
                <w:szCs w:val="20"/>
              </w:rPr>
              <w:t>Ionela</w:t>
            </w:r>
            <w:proofErr w:type="spellEnd"/>
            <w:r w:rsidRPr="00B75ABD">
              <w:rPr>
                <w:rStyle w:val="SCCLsocChar"/>
                <w:sz w:val="20"/>
                <w:szCs w:val="20"/>
              </w:rPr>
              <w:t xml:space="preserve"> </w:t>
            </w:r>
            <w:proofErr w:type="spellStart"/>
            <w:r w:rsidRPr="00B75ABD">
              <w:rPr>
                <w:rStyle w:val="SCCLsocChar"/>
                <w:sz w:val="20"/>
                <w:szCs w:val="20"/>
              </w:rPr>
              <w:t>Ariadna</w:t>
            </w:r>
            <w:proofErr w:type="spellEnd"/>
            <w:r w:rsidRPr="00B75ABD">
              <w:rPr>
                <w:rStyle w:val="SCCLsocChar"/>
                <w:sz w:val="20"/>
                <w:szCs w:val="20"/>
              </w:rPr>
              <w:t xml:space="preserve"> </w:t>
            </w:r>
            <w:proofErr w:type="spellStart"/>
            <w:r w:rsidRPr="00B75ABD">
              <w:rPr>
                <w:rStyle w:val="SCCLsocChar"/>
                <w:sz w:val="20"/>
                <w:szCs w:val="20"/>
              </w:rPr>
              <w:t>Chiriac</w:t>
            </w:r>
            <w:proofErr w:type="spellEnd"/>
            <w:r>
              <w:rPr>
                <w:rStyle w:val="SCCLsocChar"/>
                <w:sz w:val="20"/>
                <w:szCs w:val="20"/>
              </w:rPr>
              <w:t xml:space="preserve"> et</w:t>
            </w:r>
            <w:r w:rsidRPr="00B75ABD">
              <w:rPr>
                <w:rStyle w:val="SCCLsocChar"/>
                <w:sz w:val="20"/>
                <w:szCs w:val="20"/>
              </w:rPr>
              <w:t xml:space="preserve"> Sylvain Paquin</w:t>
            </w:r>
            <w:r w:rsidRPr="00B75ABD">
              <w:rPr>
                <w:sz w:val="20"/>
                <w:szCs w:val="20"/>
                <w:lang w:val="fr-CA"/>
              </w:rPr>
              <w:t xml:space="preserve"> (</w:t>
            </w:r>
            <w:proofErr w:type="spellStart"/>
            <w:r w:rsidRPr="00B75ABD">
              <w:rPr>
                <w:sz w:val="20"/>
                <w:szCs w:val="20"/>
                <w:lang w:val="fr-CA"/>
              </w:rPr>
              <w:t>Qc</w:t>
            </w:r>
            <w:proofErr w:type="spellEnd"/>
            <w:r w:rsidRPr="00B75ABD">
              <w:rPr>
                <w:sz w:val="20"/>
                <w:szCs w:val="20"/>
                <w:lang w:val="fr-CA"/>
              </w:rPr>
              <w:t>) (Civile) (Autorisation)</w:t>
            </w:r>
          </w:p>
          <w:p w:rsidR="00154438" w:rsidRPr="00B75ABD" w:rsidRDefault="00154438" w:rsidP="00154438">
            <w:pPr>
              <w:jc w:val="both"/>
              <w:rPr>
                <w:sz w:val="20"/>
                <w:szCs w:val="20"/>
                <w:lang w:val="fr-CA"/>
              </w:rPr>
            </w:pPr>
          </w:p>
        </w:tc>
      </w:tr>
      <w:tr w:rsidR="00154438" w:rsidRPr="009723FD" w:rsidTr="00154438">
        <w:trPr>
          <w:cantSplit/>
        </w:trPr>
        <w:tc>
          <w:tcPr>
            <w:tcW w:w="1458" w:type="dxa"/>
          </w:tcPr>
          <w:p w:rsidR="00154438" w:rsidRPr="00B75ABD" w:rsidRDefault="00154438" w:rsidP="00154438">
            <w:pPr>
              <w:rPr>
                <w:sz w:val="20"/>
                <w:szCs w:val="20"/>
              </w:rPr>
            </w:pPr>
            <w:r w:rsidRPr="00B75ABD">
              <w:rPr>
                <w:sz w:val="20"/>
                <w:szCs w:val="20"/>
              </w:rPr>
              <w:t>Coram :</w:t>
            </w:r>
          </w:p>
        </w:tc>
        <w:tc>
          <w:tcPr>
            <w:tcW w:w="8118" w:type="dxa"/>
          </w:tcPr>
          <w:p w:rsidR="00154438" w:rsidRPr="00B75ABD" w:rsidRDefault="00154438" w:rsidP="00154438">
            <w:pPr>
              <w:rPr>
                <w:sz w:val="20"/>
                <w:szCs w:val="20"/>
                <w:lang w:val="fr-CA"/>
              </w:rPr>
            </w:pPr>
            <w:r w:rsidRPr="00B75ABD">
              <w:rPr>
                <w:rStyle w:val="SCCCoramChar"/>
                <w:sz w:val="20"/>
                <w:szCs w:val="20"/>
              </w:rPr>
              <w:t xml:space="preserve">Les juges </w:t>
            </w:r>
            <w:proofErr w:type="spellStart"/>
            <w:r w:rsidRPr="00B75ABD">
              <w:rPr>
                <w:rStyle w:val="SCCCoramChar"/>
                <w:sz w:val="20"/>
                <w:szCs w:val="20"/>
              </w:rPr>
              <w:t>LeBel</w:t>
            </w:r>
            <w:proofErr w:type="spellEnd"/>
            <w:r w:rsidRPr="00B75ABD">
              <w:rPr>
                <w:rStyle w:val="SCCCoramChar"/>
                <w:sz w:val="20"/>
                <w:szCs w:val="20"/>
              </w:rPr>
              <w:t xml:space="preserve">, </w:t>
            </w:r>
            <w:proofErr w:type="spellStart"/>
            <w:r w:rsidRPr="00B75ABD">
              <w:rPr>
                <w:rStyle w:val="SCCCoramChar"/>
                <w:sz w:val="20"/>
                <w:szCs w:val="20"/>
              </w:rPr>
              <w:t>Karakatsanis</w:t>
            </w:r>
            <w:proofErr w:type="spellEnd"/>
            <w:r w:rsidRPr="00B75ABD">
              <w:rPr>
                <w:rStyle w:val="SCCCoramChar"/>
                <w:sz w:val="20"/>
                <w:szCs w:val="20"/>
              </w:rPr>
              <w:t xml:space="preserve"> et Gascon</w:t>
            </w:r>
          </w:p>
          <w:p w:rsidR="00154438" w:rsidRPr="00B75ABD" w:rsidRDefault="00154438" w:rsidP="00154438">
            <w:pPr>
              <w:rPr>
                <w:sz w:val="20"/>
                <w:szCs w:val="20"/>
                <w:u w:val="single"/>
                <w:lang w:val="fr-CA"/>
              </w:rPr>
            </w:pPr>
          </w:p>
        </w:tc>
      </w:tr>
      <w:tr w:rsidR="00154438" w:rsidRPr="00B75ABD" w:rsidTr="00154438">
        <w:trPr>
          <w:cantSplit/>
        </w:trPr>
        <w:tc>
          <w:tcPr>
            <w:tcW w:w="9576" w:type="dxa"/>
            <w:gridSpan w:val="2"/>
          </w:tcPr>
          <w:p w:rsidR="00154438" w:rsidRPr="00B75ABD" w:rsidRDefault="00154438" w:rsidP="00154438">
            <w:pPr>
              <w:pStyle w:val="SCCShortJudgment"/>
              <w:rPr>
                <w:szCs w:val="20"/>
                <w:lang w:val="fr-CA"/>
              </w:rPr>
            </w:pPr>
            <w:r w:rsidRPr="00B75ABD">
              <w:rPr>
                <w:szCs w:val="20"/>
                <w:lang w:val="fr-CA"/>
              </w:rPr>
              <w:t>La demande d’autorisation d’appel de l’arrêt de la Cour d’appel du Québec (Montréal), numéros 500-09-024464-141 et 500-09-024465-148, 2014 QCCA 1527, daté du 6 août 2014, est rejetée sans dépens.</w:t>
            </w:r>
          </w:p>
          <w:p w:rsidR="00154438" w:rsidRPr="00B75ABD" w:rsidRDefault="00154438" w:rsidP="00154438">
            <w:pPr>
              <w:pStyle w:val="SCCShortJudgment"/>
              <w:ind w:firstLine="0"/>
              <w:rPr>
                <w:szCs w:val="20"/>
                <w:lang w:val="fr-CA"/>
              </w:rPr>
            </w:pPr>
          </w:p>
          <w:p w:rsidR="00154438" w:rsidRPr="00B75ABD" w:rsidRDefault="00154438" w:rsidP="00154438">
            <w:pPr>
              <w:pStyle w:val="SCCShortJudgment"/>
              <w:rPr>
                <w:szCs w:val="20"/>
              </w:rPr>
            </w:pPr>
            <w:r w:rsidRPr="00B75ABD">
              <w:rPr>
                <w:szCs w:val="20"/>
              </w:rPr>
              <w:t>The application for leave to appeal from the judgment of the Court of Appeal of Quebec (Montréal), Numbers 500-09-024464-141 and 500-09-024465-148, 2014 QCCA 1527, dated August 6, 2014, is dismissed without costs.</w:t>
            </w:r>
          </w:p>
        </w:tc>
      </w:tr>
    </w:tbl>
    <w:p w:rsidR="00A325AC" w:rsidRDefault="00A325AC" w:rsidP="00A325AC">
      <w:pPr>
        <w:rPr>
          <w:sz w:val="20"/>
          <w:szCs w:val="20"/>
        </w:rPr>
      </w:pPr>
    </w:p>
    <w:p w:rsidR="00A325AC" w:rsidRPr="001B157C" w:rsidRDefault="00A325AC" w:rsidP="00A325AC">
      <w:pPr>
        <w:rPr>
          <w:sz w:val="20"/>
          <w:szCs w:val="20"/>
          <w:u w:val="single"/>
        </w:rPr>
      </w:pPr>
      <w:r w:rsidRPr="001B157C">
        <w:rPr>
          <w:sz w:val="20"/>
          <w:szCs w:val="20"/>
          <w:u w:val="single"/>
        </w:rPr>
        <w:t>CASE SUMMARY</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Civil procedure – Action in damages dismissed in preliminary proceeding because it was considered to be improper – Motion for leave to appeal dismissed – Whether lower courts committed errors.</w:t>
            </w:r>
          </w:p>
        </w:tc>
      </w:tr>
      <w:tr w:rsidR="00ED6ADD" w:rsidRPr="00342605" w:rsidTr="007D1B76">
        <w:tc>
          <w:tcPr>
            <w:tcW w:w="5000" w:type="pct"/>
            <w:gridSpan w:val="3"/>
          </w:tcPr>
          <w:p w:rsidR="00ED6ADD" w:rsidRPr="00342605" w:rsidRDefault="00ED6ADD" w:rsidP="007D1B76">
            <w:pPr>
              <w:jc w:val="both"/>
              <w:rPr>
                <w:rFonts w:eastAsia="Calibri"/>
                <w:sz w:val="20"/>
              </w:rPr>
            </w:pPr>
          </w:p>
        </w:tc>
      </w:tr>
      <w:tr w:rsidR="00ED6ADD" w:rsidRPr="00342605" w:rsidTr="007D1B76">
        <w:tc>
          <w:tcPr>
            <w:tcW w:w="5000" w:type="pct"/>
            <w:gridSpan w:val="3"/>
          </w:tcPr>
          <w:p w:rsidR="00ED6ADD" w:rsidRPr="00342605" w:rsidRDefault="00ED6ADD" w:rsidP="007D1B76">
            <w:pPr>
              <w:jc w:val="both"/>
              <w:rPr>
                <w:rFonts w:eastAsia="Calibri"/>
                <w:sz w:val="20"/>
              </w:rPr>
            </w:pPr>
            <w:r w:rsidRPr="00342605">
              <w:rPr>
                <w:rFonts w:eastAsia="Calibri"/>
                <w:sz w:val="20"/>
              </w:rPr>
              <w:t>The applicant brought an action in damages against the respondents.  She alleged that they had failed to comply with a court order ratifying an agreement with respect to a DNA test and had given false testimony in that regard.  She asked that a new test be conducted and claimed damages.</w:t>
            </w:r>
          </w:p>
          <w:p w:rsidR="00ED6ADD" w:rsidRPr="00342605" w:rsidRDefault="00ED6ADD" w:rsidP="007D1B76">
            <w:pPr>
              <w:jc w:val="both"/>
              <w:rPr>
                <w:rFonts w:eastAsia="Calibri"/>
                <w:sz w:val="20"/>
              </w:rPr>
            </w:pPr>
          </w:p>
          <w:p w:rsidR="00ED6ADD" w:rsidRPr="00342605" w:rsidRDefault="00ED6ADD" w:rsidP="007D1B76">
            <w:pPr>
              <w:jc w:val="both"/>
              <w:rPr>
                <w:rFonts w:eastAsia="Calibri"/>
                <w:sz w:val="20"/>
              </w:rPr>
            </w:pPr>
            <w:r w:rsidRPr="00342605">
              <w:rPr>
                <w:rFonts w:eastAsia="Calibri"/>
                <w:sz w:val="20"/>
              </w:rPr>
              <w:t>Emery J. dismissed the action in a preliminary proceeding on the basis that it was ill-advised and improper.  The Court of Appeal began by dismissing the appeal in the preliminary proceeding on the basis that it had been brought irregularly.  However, the court granted the applicant permission to apply orally for leave to appeal out of time.  But the Court of Appeal refused that leave because, in its opinion, the applicant had failed to show that it had been impossible for her to act and, in any event, the appeal had no reasonable chance of success.</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April 25, 2014</w:t>
            </w:r>
          </w:p>
          <w:p w:rsidR="00ED6ADD" w:rsidRPr="00342605" w:rsidRDefault="00ED6ADD" w:rsidP="007D1B76">
            <w:pPr>
              <w:jc w:val="both"/>
              <w:rPr>
                <w:rFonts w:eastAsia="Calibri"/>
                <w:sz w:val="20"/>
              </w:rPr>
            </w:pPr>
            <w:r w:rsidRPr="00342605">
              <w:rPr>
                <w:rFonts w:eastAsia="Calibri"/>
                <w:sz w:val="20"/>
              </w:rPr>
              <w:t>Quebec Superior Court</w:t>
            </w:r>
          </w:p>
          <w:p w:rsidR="00ED6ADD" w:rsidRPr="00342605" w:rsidRDefault="00ED6ADD" w:rsidP="007D1B76">
            <w:pPr>
              <w:jc w:val="both"/>
              <w:rPr>
                <w:rFonts w:eastAsia="Calibri"/>
                <w:sz w:val="20"/>
              </w:rPr>
            </w:pPr>
            <w:r w:rsidRPr="00342605">
              <w:rPr>
                <w:rFonts w:eastAsia="Calibri"/>
                <w:sz w:val="20"/>
              </w:rPr>
              <w:t>(Emery J.)</w:t>
            </w:r>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Motions to dismiss (art. 54.1 C.C.P.) granted; Action in damages dismissed</w:t>
            </w:r>
          </w:p>
          <w:p w:rsidR="00ED6ADD" w:rsidRPr="00342605" w:rsidRDefault="00ED6ADD" w:rsidP="007D1B76">
            <w:pPr>
              <w:jc w:val="both"/>
              <w:rPr>
                <w:rFonts w:eastAsia="Calibri"/>
                <w:sz w:val="20"/>
              </w:rPr>
            </w:pP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August 6, 2014</w:t>
            </w:r>
          </w:p>
          <w:p w:rsidR="00ED6ADD" w:rsidRPr="00342605" w:rsidRDefault="00ED6ADD" w:rsidP="007D1B76">
            <w:pPr>
              <w:jc w:val="both"/>
              <w:rPr>
                <w:rFonts w:eastAsia="Calibri"/>
                <w:sz w:val="20"/>
              </w:rPr>
            </w:pPr>
            <w:r w:rsidRPr="00342605">
              <w:rPr>
                <w:rFonts w:eastAsia="Calibri"/>
                <w:sz w:val="20"/>
              </w:rPr>
              <w:t>Quebec Court of Appeal (Montréal)</w:t>
            </w:r>
          </w:p>
          <w:p w:rsidR="00ED6ADD" w:rsidRPr="00342605" w:rsidRDefault="00ED6ADD" w:rsidP="007D1B76">
            <w:pPr>
              <w:jc w:val="both"/>
              <w:rPr>
                <w:rFonts w:eastAsia="Calibri"/>
                <w:sz w:val="20"/>
              </w:rPr>
            </w:pPr>
            <w:r w:rsidRPr="00342605">
              <w:rPr>
                <w:rFonts w:eastAsia="Calibri"/>
                <w:sz w:val="20"/>
              </w:rPr>
              <w:t>(</w:t>
            </w:r>
            <w:proofErr w:type="spellStart"/>
            <w:r w:rsidRPr="00342605">
              <w:rPr>
                <w:rFonts w:eastAsia="Calibri"/>
                <w:sz w:val="20"/>
              </w:rPr>
              <w:t>Vauclair</w:t>
            </w:r>
            <w:proofErr w:type="spellEnd"/>
            <w:r w:rsidRPr="00342605">
              <w:rPr>
                <w:rFonts w:eastAsia="Calibri"/>
                <w:sz w:val="20"/>
              </w:rPr>
              <w:t>, Marcotte and Schrager JJ.A.)</w:t>
            </w:r>
          </w:p>
          <w:p w:rsidR="00ED6ADD" w:rsidRPr="00342605" w:rsidRDefault="00ED6ADD" w:rsidP="007D1B76">
            <w:pPr>
              <w:jc w:val="both"/>
              <w:rPr>
                <w:rFonts w:eastAsia="Calibri"/>
                <w:sz w:val="20"/>
              </w:rPr>
            </w:pPr>
            <w:r w:rsidRPr="00342605">
              <w:rPr>
                <w:rFonts w:eastAsia="Calibri"/>
                <w:sz w:val="20"/>
              </w:rPr>
              <w:t xml:space="preserve">500-09-024464-141; </w:t>
            </w:r>
            <w:hyperlink r:id="rId66" w:history="1">
              <w:r w:rsidRPr="00342605">
                <w:rPr>
                  <w:rFonts w:eastAsia="Calibri"/>
                  <w:color w:val="0000FF"/>
                  <w:sz w:val="20"/>
                  <w:u w:val="single"/>
                </w:rPr>
                <w:t>2014 QCCA 1527</w:t>
              </w:r>
            </w:hyperlink>
          </w:p>
          <w:p w:rsidR="00ED6ADD" w:rsidRPr="00342605" w:rsidRDefault="00ED6ADD" w:rsidP="007D1B76">
            <w:pPr>
              <w:jc w:val="both"/>
              <w:rPr>
                <w:rFonts w:eastAsia="Calibri"/>
                <w:sz w:val="20"/>
              </w:rPr>
            </w:pP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Motion for leave to appeal dismissed</w:t>
            </w:r>
          </w:p>
        </w:tc>
      </w:tr>
      <w:tr w:rsidR="00ED6ADD" w:rsidRPr="00342605" w:rsidTr="007D1B76">
        <w:tc>
          <w:tcPr>
            <w:tcW w:w="2427" w:type="pct"/>
          </w:tcPr>
          <w:p w:rsidR="00ED6ADD" w:rsidRPr="00342605" w:rsidRDefault="00ED6ADD" w:rsidP="007D1B76">
            <w:pPr>
              <w:jc w:val="both"/>
              <w:rPr>
                <w:rFonts w:eastAsia="Calibri"/>
                <w:sz w:val="20"/>
              </w:rPr>
            </w:pPr>
            <w:r w:rsidRPr="00342605">
              <w:rPr>
                <w:rFonts w:eastAsia="Calibri"/>
                <w:sz w:val="20"/>
              </w:rPr>
              <w:t>October 6, 2014</w:t>
            </w:r>
          </w:p>
          <w:p w:rsidR="00ED6ADD" w:rsidRPr="00342605" w:rsidRDefault="00ED6ADD" w:rsidP="007D1B76">
            <w:pPr>
              <w:jc w:val="both"/>
              <w:rPr>
                <w:rFonts w:eastAsia="Calibri"/>
                <w:sz w:val="20"/>
              </w:rPr>
            </w:pPr>
            <w:r w:rsidRPr="00342605">
              <w:rPr>
                <w:rFonts w:eastAsia="Calibri"/>
                <w:sz w:val="20"/>
              </w:rPr>
              <w:t>Supreme Court of Canada</w:t>
            </w:r>
          </w:p>
        </w:tc>
        <w:tc>
          <w:tcPr>
            <w:tcW w:w="243" w:type="pct"/>
          </w:tcPr>
          <w:p w:rsidR="00ED6ADD" w:rsidRPr="00342605" w:rsidRDefault="00ED6ADD" w:rsidP="007D1B76">
            <w:pPr>
              <w:jc w:val="both"/>
              <w:rPr>
                <w:rFonts w:eastAsia="Calibri"/>
                <w:sz w:val="20"/>
              </w:rPr>
            </w:pPr>
          </w:p>
        </w:tc>
        <w:tc>
          <w:tcPr>
            <w:tcW w:w="2330" w:type="pct"/>
          </w:tcPr>
          <w:p w:rsidR="00ED6ADD" w:rsidRPr="00342605" w:rsidRDefault="00ED6ADD" w:rsidP="007D1B76">
            <w:pPr>
              <w:jc w:val="both"/>
              <w:rPr>
                <w:rFonts w:eastAsia="Calibri"/>
                <w:sz w:val="20"/>
              </w:rPr>
            </w:pPr>
            <w:r w:rsidRPr="00342605">
              <w:rPr>
                <w:rFonts w:eastAsia="Calibri"/>
                <w:sz w:val="20"/>
              </w:rPr>
              <w:t>Application for leave to appeal filed</w:t>
            </w:r>
          </w:p>
          <w:p w:rsidR="00ED6ADD" w:rsidRPr="00342605" w:rsidRDefault="00ED6ADD" w:rsidP="007D1B76">
            <w:pPr>
              <w:jc w:val="both"/>
              <w:rPr>
                <w:rFonts w:eastAsia="Calibri"/>
                <w:sz w:val="20"/>
              </w:rPr>
            </w:pPr>
          </w:p>
        </w:tc>
      </w:tr>
    </w:tbl>
    <w:p w:rsidR="00A325AC" w:rsidRDefault="00A325AC" w:rsidP="00A325AC">
      <w:pPr>
        <w:rPr>
          <w:sz w:val="20"/>
          <w:szCs w:val="20"/>
        </w:rPr>
      </w:pPr>
    </w:p>
    <w:p w:rsidR="00A325AC" w:rsidRPr="00C50A5C" w:rsidRDefault="007871B3" w:rsidP="00A325AC">
      <w:pPr>
        <w:rPr>
          <w:sz w:val="20"/>
          <w:szCs w:val="20"/>
        </w:rPr>
      </w:pPr>
      <w:r>
        <w:rPr>
          <w:sz w:val="20"/>
          <w:szCs w:val="20"/>
          <w:lang w:val="fr-CA"/>
        </w:rPr>
        <w:pict>
          <v:rect id="_x0000_i1067" style="width:2in;height:1pt" o:hrpct="0" o:hralign="center" o:hrstd="t" o:hrnoshade="t" o:hr="t" fillcolor="black [3213]" stroked="f"/>
        </w:pict>
      </w:r>
    </w:p>
    <w:p w:rsidR="00A325AC" w:rsidRDefault="00A325AC" w:rsidP="00A325AC">
      <w:pPr>
        <w:rPr>
          <w:sz w:val="20"/>
          <w:szCs w:val="20"/>
        </w:rPr>
      </w:pPr>
    </w:p>
    <w:p w:rsidR="00A325AC" w:rsidRPr="001B157C" w:rsidRDefault="00A325AC" w:rsidP="00A325AC">
      <w:pPr>
        <w:rPr>
          <w:sz w:val="20"/>
          <w:szCs w:val="20"/>
          <w:u w:val="single"/>
          <w:lang w:val="fr-CA"/>
        </w:rPr>
      </w:pPr>
      <w:r w:rsidRPr="001B157C">
        <w:rPr>
          <w:sz w:val="20"/>
          <w:szCs w:val="20"/>
          <w:u w:val="single"/>
          <w:lang w:val="fr-CA"/>
        </w:rPr>
        <w:t>RÉSUMÉ DE L’AFFAIRE</w:t>
      </w:r>
    </w:p>
    <w:p w:rsidR="00A325AC" w:rsidRDefault="00A325AC" w:rsidP="00A325AC">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D6ADD" w:rsidRPr="009723FD" w:rsidTr="007D1B76">
        <w:tc>
          <w:tcPr>
            <w:tcW w:w="5000" w:type="pct"/>
            <w:gridSpan w:val="3"/>
          </w:tcPr>
          <w:p w:rsidR="00ED6ADD" w:rsidRPr="00342605" w:rsidRDefault="00ED6ADD" w:rsidP="007D1B76">
            <w:pPr>
              <w:jc w:val="both"/>
              <w:rPr>
                <w:rFonts w:eastAsia="Calibri"/>
                <w:sz w:val="20"/>
                <w:lang w:val="fr-CA"/>
              </w:rPr>
            </w:pPr>
            <w:r w:rsidRPr="00342605">
              <w:rPr>
                <w:rFonts w:eastAsia="Calibri"/>
                <w:sz w:val="20"/>
                <w:lang w:val="fr-CA"/>
              </w:rPr>
              <w:t>Procédure civile – Action en dommages-intérêts rejetée au stade préliminaire parce que jugée abusive – Requête pour permission d’appeler rejetée – Les tribunaux des instances inférieures ont-ils commis des erreurs?</w:t>
            </w:r>
          </w:p>
        </w:tc>
      </w:tr>
      <w:tr w:rsidR="00ED6ADD" w:rsidRPr="009723FD" w:rsidTr="007D1B76">
        <w:tc>
          <w:tcPr>
            <w:tcW w:w="5000" w:type="pct"/>
            <w:gridSpan w:val="3"/>
          </w:tcPr>
          <w:p w:rsidR="00ED6ADD" w:rsidRPr="00342605" w:rsidRDefault="00ED6ADD" w:rsidP="007D1B76">
            <w:pPr>
              <w:jc w:val="both"/>
              <w:rPr>
                <w:rFonts w:eastAsia="Calibri"/>
                <w:sz w:val="20"/>
                <w:lang w:val="fr-CA"/>
              </w:rPr>
            </w:pPr>
          </w:p>
        </w:tc>
      </w:tr>
      <w:tr w:rsidR="00ED6ADD" w:rsidRPr="009723FD" w:rsidTr="007D1B76">
        <w:tc>
          <w:tcPr>
            <w:tcW w:w="5000" w:type="pct"/>
            <w:gridSpan w:val="3"/>
          </w:tcPr>
          <w:p w:rsidR="00ED6ADD" w:rsidRDefault="00ED6ADD" w:rsidP="007D1B76">
            <w:pPr>
              <w:jc w:val="both"/>
              <w:rPr>
                <w:rFonts w:eastAsia="Calibri"/>
                <w:sz w:val="20"/>
                <w:lang w:val="fr-CA"/>
              </w:rPr>
            </w:pPr>
            <w:r w:rsidRPr="00342605">
              <w:rPr>
                <w:rFonts w:eastAsia="Calibri"/>
                <w:sz w:val="20"/>
                <w:lang w:val="fr-CA"/>
              </w:rPr>
              <w:t>La demanderesse a intenté une action en dommages-intérêts contre les intimés.  Elle leur reproche de ne pas avoir respecté une ordonnance d’un tribunal entérinant une entente relative à un test d’ADN et d’avoir livré de faux témoignages à cet égard.  Elle demande qu’un nouveau test soit effectué et réclame des dommages-intérêts.</w:t>
            </w:r>
          </w:p>
          <w:p w:rsidR="00ED6ADD" w:rsidRPr="00342605" w:rsidRDefault="00ED6ADD" w:rsidP="007D1B76">
            <w:pPr>
              <w:jc w:val="both"/>
              <w:rPr>
                <w:rFonts w:eastAsia="Calibri"/>
                <w:sz w:val="20"/>
                <w:lang w:val="fr-CA"/>
              </w:rPr>
            </w:pPr>
          </w:p>
          <w:p w:rsidR="00ED6ADD" w:rsidRPr="00342605" w:rsidRDefault="00ED6ADD" w:rsidP="007D1B76">
            <w:pPr>
              <w:jc w:val="both"/>
              <w:rPr>
                <w:rFonts w:eastAsia="Calibri"/>
                <w:sz w:val="20"/>
                <w:lang w:val="fr-CA"/>
              </w:rPr>
            </w:pPr>
            <w:r w:rsidRPr="00342605">
              <w:rPr>
                <w:rFonts w:eastAsia="Calibri"/>
                <w:sz w:val="20"/>
                <w:lang w:val="fr-CA"/>
              </w:rPr>
              <w:lastRenderedPageBreak/>
              <w:t>Le juge Emery rejette le recours au stade préliminaire au motif que l’action est téméraire et abusive.  La Cour d’appel rejette d’abord l’appel au stade préliminaire parce qu’irrégulièrement formé.  Elle accorde toutefois à la demanderesse la permission de demander oralement la permission d’appeler hors délai.  La Cour d’appel refuse toutefois cette permission d’appeler, car, selon elle, la demanderesse n’a pas su démontrer qu’elle était dans l’impossibilité d’agir et, à tout événement, l’appel n’a aucune chance raisonnable de succès.</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lastRenderedPageBreak/>
              <w:t>Le 25 avril 2014</w:t>
            </w:r>
          </w:p>
          <w:p w:rsidR="00ED6ADD" w:rsidRPr="00342605" w:rsidRDefault="00ED6ADD" w:rsidP="007D1B76">
            <w:pPr>
              <w:jc w:val="both"/>
              <w:rPr>
                <w:rFonts w:eastAsia="Calibri"/>
                <w:sz w:val="20"/>
                <w:lang w:val="fr-CA"/>
              </w:rPr>
            </w:pPr>
            <w:r w:rsidRPr="00342605">
              <w:rPr>
                <w:rFonts w:eastAsia="Calibri"/>
                <w:sz w:val="20"/>
                <w:lang w:val="fr-CA"/>
              </w:rPr>
              <w:t>Cour supérieure du Québec</w:t>
            </w:r>
          </w:p>
          <w:p w:rsidR="00ED6ADD" w:rsidRPr="00342605" w:rsidRDefault="00ED6ADD" w:rsidP="007D1B76">
            <w:pPr>
              <w:jc w:val="both"/>
              <w:rPr>
                <w:rFonts w:eastAsia="Calibri"/>
                <w:sz w:val="20"/>
                <w:lang w:val="fr-CA"/>
              </w:rPr>
            </w:pPr>
            <w:r w:rsidRPr="00342605">
              <w:rPr>
                <w:rFonts w:eastAsia="Calibri"/>
                <w:sz w:val="20"/>
                <w:lang w:val="fr-CA"/>
              </w:rPr>
              <w:t>(Le juge Emery)</w:t>
            </w:r>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 xml:space="preserve">Requêtes en rejet (art. 54.1 </w:t>
            </w:r>
            <w:proofErr w:type="spellStart"/>
            <w:r w:rsidRPr="00342605">
              <w:rPr>
                <w:rFonts w:eastAsia="Calibri"/>
                <w:sz w:val="20"/>
                <w:lang w:val="fr-CA"/>
              </w:rPr>
              <w:t>C.p.c</w:t>
            </w:r>
            <w:proofErr w:type="spellEnd"/>
            <w:r w:rsidRPr="00342605">
              <w:rPr>
                <w:rFonts w:eastAsia="Calibri"/>
                <w:sz w:val="20"/>
                <w:lang w:val="fr-CA"/>
              </w:rPr>
              <w:t>.) accueillies; Action en dommages-intérêts rejetée</w:t>
            </w:r>
          </w:p>
          <w:p w:rsidR="00ED6ADD" w:rsidRPr="00342605" w:rsidRDefault="00ED6ADD" w:rsidP="007D1B76">
            <w:pPr>
              <w:jc w:val="both"/>
              <w:rPr>
                <w:rFonts w:eastAsia="Calibri"/>
                <w:sz w:val="20"/>
                <w:lang w:val="fr-CA"/>
              </w:rPr>
            </w:pPr>
          </w:p>
        </w:tc>
      </w:tr>
      <w:tr w:rsidR="00ED6ADD" w:rsidRPr="009723FD"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Le 6 août 2014</w:t>
            </w:r>
          </w:p>
          <w:p w:rsidR="00ED6ADD" w:rsidRPr="00342605" w:rsidRDefault="00ED6ADD" w:rsidP="007D1B76">
            <w:pPr>
              <w:jc w:val="both"/>
              <w:rPr>
                <w:rFonts w:eastAsia="Calibri"/>
                <w:sz w:val="20"/>
                <w:lang w:val="fr-CA"/>
              </w:rPr>
            </w:pPr>
            <w:r w:rsidRPr="00342605">
              <w:rPr>
                <w:rFonts w:eastAsia="Calibri"/>
                <w:sz w:val="20"/>
                <w:lang w:val="fr-CA"/>
              </w:rPr>
              <w:t>Cour d’appel du Québec (Montréal)</w:t>
            </w:r>
          </w:p>
          <w:p w:rsidR="00ED6ADD" w:rsidRPr="00342605" w:rsidRDefault="00ED6ADD" w:rsidP="007D1B76">
            <w:pPr>
              <w:jc w:val="both"/>
              <w:rPr>
                <w:rFonts w:eastAsia="Calibri"/>
                <w:sz w:val="20"/>
                <w:lang w:val="fr-CA"/>
              </w:rPr>
            </w:pPr>
            <w:r w:rsidRPr="00342605">
              <w:rPr>
                <w:rFonts w:eastAsia="Calibri"/>
                <w:sz w:val="20"/>
                <w:lang w:val="fr-CA"/>
              </w:rPr>
              <w:t xml:space="preserve">(Les juges </w:t>
            </w:r>
            <w:proofErr w:type="spellStart"/>
            <w:r w:rsidRPr="00342605">
              <w:rPr>
                <w:rFonts w:eastAsia="Calibri"/>
                <w:sz w:val="20"/>
                <w:lang w:val="fr-CA"/>
              </w:rPr>
              <w:t>Vauclair</w:t>
            </w:r>
            <w:proofErr w:type="spellEnd"/>
            <w:r w:rsidRPr="00342605">
              <w:rPr>
                <w:rFonts w:eastAsia="Calibri"/>
                <w:sz w:val="20"/>
                <w:lang w:val="fr-CA"/>
              </w:rPr>
              <w:t xml:space="preserve">, Marcotte et </w:t>
            </w:r>
            <w:proofErr w:type="spellStart"/>
            <w:r w:rsidRPr="00342605">
              <w:rPr>
                <w:rFonts w:eastAsia="Calibri"/>
                <w:sz w:val="20"/>
                <w:lang w:val="fr-CA"/>
              </w:rPr>
              <w:t>Schrager</w:t>
            </w:r>
            <w:proofErr w:type="spellEnd"/>
            <w:r w:rsidRPr="00342605">
              <w:rPr>
                <w:rFonts w:eastAsia="Calibri"/>
                <w:sz w:val="20"/>
                <w:lang w:val="fr-CA"/>
              </w:rPr>
              <w:t>)</w:t>
            </w:r>
          </w:p>
          <w:p w:rsidR="00ED6ADD" w:rsidRPr="00342605" w:rsidRDefault="00ED6ADD" w:rsidP="007D1B76">
            <w:pPr>
              <w:jc w:val="both"/>
              <w:rPr>
                <w:rFonts w:eastAsia="Calibri"/>
                <w:sz w:val="20"/>
                <w:lang w:val="fr-CA"/>
              </w:rPr>
            </w:pPr>
            <w:r w:rsidRPr="00342605">
              <w:rPr>
                <w:rFonts w:eastAsia="Calibri"/>
                <w:sz w:val="20"/>
                <w:lang w:val="fr-CA"/>
              </w:rPr>
              <w:t xml:space="preserve">500-09-024464-141; </w:t>
            </w:r>
            <w:hyperlink r:id="rId67" w:history="1">
              <w:r w:rsidRPr="00342605">
                <w:rPr>
                  <w:rFonts w:eastAsia="Calibri"/>
                  <w:color w:val="0000FF"/>
                  <w:sz w:val="20"/>
                  <w:u w:val="single"/>
                  <w:lang w:val="fr-CA"/>
                </w:rPr>
                <w:t>2014 QCCA 1527</w:t>
              </w:r>
            </w:hyperlink>
          </w:p>
          <w:p w:rsidR="00ED6ADD" w:rsidRPr="00342605" w:rsidRDefault="00ED6ADD" w:rsidP="007D1B76">
            <w:pPr>
              <w:jc w:val="both"/>
              <w:rPr>
                <w:rFonts w:eastAsia="Calibri"/>
                <w:sz w:val="20"/>
                <w:lang w:val="fr-CA"/>
              </w:rPr>
            </w:pP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Requête pour permission d’appeler rejetée</w:t>
            </w:r>
          </w:p>
        </w:tc>
      </w:tr>
      <w:tr w:rsidR="00ED6ADD" w:rsidRPr="00342605" w:rsidTr="007D1B76">
        <w:tc>
          <w:tcPr>
            <w:tcW w:w="2427" w:type="pct"/>
          </w:tcPr>
          <w:p w:rsidR="00ED6ADD" w:rsidRPr="00342605" w:rsidRDefault="00ED6ADD" w:rsidP="007D1B76">
            <w:pPr>
              <w:jc w:val="both"/>
              <w:rPr>
                <w:rFonts w:eastAsia="Calibri"/>
                <w:sz w:val="20"/>
                <w:lang w:val="fr-CA"/>
              </w:rPr>
            </w:pPr>
            <w:r w:rsidRPr="00342605">
              <w:rPr>
                <w:rFonts w:eastAsia="Calibri"/>
                <w:sz w:val="20"/>
                <w:lang w:val="fr-CA"/>
              </w:rPr>
              <w:t>Le 6 octobre 2014</w:t>
            </w:r>
          </w:p>
          <w:p w:rsidR="00ED6ADD" w:rsidRPr="00342605" w:rsidRDefault="00ED6ADD" w:rsidP="007D1B76">
            <w:pPr>
              <w:jc w:val="both"/>
              <w:rPr>
                <w:rFonts w:eastAsia="Calibri"/>
                <w:sz w:val="20"/>
                <w:lang w:val="fr-CA"/>
              </w:rPr>
            </w:pPr>
            <w:r w:rsidRPr="00342605">
              <w:rPr>
                <w:rFonts w:eastAsia="Calibri"/>
                <w:sz w:val="20"/>
                <w:lang w:val="fr-CA"/>
              </w:rPr>
              <w:t>Cour suprême du Canada</w:t>
            </w:r>
          </w:p>
        </w:tc>
        <w:tc>
          <w:tcPr>
            <w:tcW w:w="243" w:type="pct"/>
          </w:tcPr>
          <w:p w:rsidR="00ED6ADD" w:rsidRPr="00342605" w:rsidRDefault="00ED6ADD" w:rsidP="007D1B76">
            <w:pPr>
              <w:jc w:val="both"/>
              <w:rPr>
                <w:rFonts w:eastAsia="Calibri"/>
                <w:sz w:val="20"/>
                <w:lang w:val="fr-CA"/>
              </w:rPr>
            </w:pPr>
          </w:p>
        </w:tc>
        <w:tc>
          <w:tcPr>
            <w:tcW w:w="2330" w:type="pct"/>
          </w:tcPr>
          <w:p w:rsidR="00ED6ADD" w:rsidRPr="00342605" w:rsidRDefault="00ED6ADD" w:rsidP="007D1B76">
            <w:pPr>
              <w:jc w:val="both"/>
              <w:rPr>
                <w:rFonts w:eastAsia="Calibri"/>
                <w:sz w:val="20"/>
                <w:lang w:val="fr-CA"/>
              </w:rPr>
            </w:pPr>
            <w:r w:rsidRPr="00342605">
              <w:rPr>
                <w:rFonts w:eastAsia="Calibri"/>
                <w:sz w:val="20"/>
                <w:lang w:val="fr-CA"/>
              </w:rPr>
              <w:t>Demande d’autorisation d’appel déposée</w:t>
            </w:r>
          </w:p>
          <w:p w:rsidR="00ED6ADD" w:rsidRPr="00342605" w:rsidRDefault="00ED6ADD" w:rsidP="007D1B76">
            <w:pPr>
              <w:jc w:val="both"/>
              <w:rPr>
                <w:rFonts w:eastAsia="Calibri"/>
                <w:sz w:val="20"/>
                <w:lang w:val="fr-CA"/>
              </w:rPr>
            </w:pPr>
          </w:p>
        </w:tc>
      </w:tr>
    </w:tbl>
    <w:p w:rsidR="00A325AC" w:rsidRDefault="00A325AC" w:rsidP="00A325AC">
      <w:pPr>
        <w:rPr>
          <w:sz w:val="20"/>
          <w:szCs w:val="20"/>
        </w:rPr>
      </w:pPr>
    </w:p>
    <w:p w:rsidR="00A325AC" w:rsidRDefault="007871B3" w:rsidP="00A325AC">
      <w:pPr>
        <w:rPr>
          <w:sz w:val="20"/>
          <w:szCs w:val="20"/>
        </w:rPr>
      </w:pPr>
      <w:r>
        <w:rPr>
          <w:sz w:val="20"/>
          <w:szCs w:val="20"/>
          <w:lang w:val="fr-CA"/>
        </w:rPr>
        <w:pict>
          <v:rect id="_x0000_i1068" style="width:2in;height:1pt" o:hrpct="0" o:hralign="center" o:hrstd="t" o:hrnoshade="t" o:hr="t" fillcolor="black [3213]" stroked="f"/>
        </w:pict>
      </w:r>
    </w:p>
    <w:p w:rsidR="000F7E6D" w:rsidRDefault="000F7E6D" w:rsidP="00A325AC">
      <w:pPr>
        <w:rPr>
          <w:sz w:val="20"/>
          <w:szCs w:val="20"/>
        </w:rPr>
        <w:sectPr w:rsidR="000F7E6D" w:rsidSect="008D292F">
          <w:headerReference w:type="even" r:id="rId68"/>
          <w:headerReference w:type="default" r:id="rId69"/>
          <w:footerReference w:type="even" r:id="rId70"/>
          <w:footerReference w:type="default" r:id="rId71"/>
          <w:headerReference w:type="first" r:id="rId72"/>
          <w:footerReference w:type="first" r:id="rId73"/>
          <w:pgSz w:w="12240" w:h="15840"/>
          <w:pgMar w:top="720" w:right="965" w:bottom="1080" w:left="1656" w:header="720" w:footer="965" w:gutter="0"/>
          <w:cols w:space="720"/>
          <w:titlePg/>
          <w:docGrid w:linePitch="326"/>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F7E6D" w:rsidRPr="002D72EB" w:rsidTr="00F57CDB">
        <w:tc>
          <w:tcPr>
            <w:tcW w:w="4200" w:type="dxa"/>
            <w:shd w:val="clear" w:color="auto" w:fill="auto"/>
            <w:tcMar>
              <w:left w:w="0" w:type="dxa"/>
              <w:right w:w="0" w:type="dxa"/>
            </w:tcMar>
          </w:tcPr>
          <w:p w:rsidR="000F7E6D" w:rsidRPr="002D72EB" w:rsidRDefault="000F7E6D" w:rsidP="00F57CDB">
            <w:pPr>
              <w:keepNext/>
              <w:keepLines/>
              <w:jc w:val="both"/>
              <w:rPr>
                <w:szCs w:val="24"/>
              </w:rPr>
            </w:pPr>
            <w:r w:rsidRPr="002D72EB">
              <w:rPr>
                <w:b/>
                <w:szCs w:val="24"/>
              </w:rPr>
              <w:lastRenderedPageBreak/>
              <w:t>TAXATION OF COSTS</w:t>
            </w:r>
          </w:p>
        </w:tc>
        <w:tc>
          <w:tcPr>
            <w:tcW w:w="1200" w:type="dxa"/>
            <w:shd w:val="clear" w:color="auto" w:fill="auto"/>
            <w:tcMar>
              <w:left w:w="0" w:type="dxa"/>
              <w:right w:w="0" w:type="dxa"/>
            </w:tcMar>
          </w:tcPr>
          <w:p w:rsidR="000F7E6D" w:rsidRPr="002D72EB" w:rsidRDefault="000F7E6D" w:rsidP="00F57CDB">
            <w:pPr>
              <w:keepNext/>
              <w:keepLines/>
              <w:jc w:val="center"/>
              <w:rPr>
                <w:szCs w:val="24"/>
              </w:rPr>
            </w:pPr>
          </w:p>
          <w:p w:rsidR="000F7E6D" w:rsidRPr="002D72EB" w:rsidRDefault="000F7E6D" w:rsidP="00F57CDB">
            <w:pPr>
              <w:keepNext/>
              <w:keepLines/>
              <w:jc w:val="center"/>
              <w:rPr>
                <w:szCs w:val="24"/>
              </w:rPr>
            </w:pPr>
          </w:p>
        </w:tc>
        <w:tc>
          <w:tcPr>
            <w:tcW w:w="4230" w:type="dxa"/>
            <w:shd w:val="clear" w:color="auto" w:fill="auto"/>
            <w:tcMar>
              <w:left w:w="0" w:type="dxa"/>
              <w:right w:w="0" w:type="dxa"/>
            </w:tcMar>
          </w:tcPr>
          <w:p w:rsidR="000F7E6D" w:rsidRPr="00BA6468" w:rsidRDefault="000F7E6D" w:rsidP="00F57CDB">
            <w:pPr>
              <w:keepNext/>
              <w:keepLines/>
              <w:rPr>
                <w:szCs w:val="24"/>
                <w:lang w:val="fr-CA"/>
              </w:rPr>
            </w:pPr>
            <w:r w:rsidRPr="00BA6468">
              <w:rPr>
                <w:b/>
                <w:szCs w:val="24"/>
                <w:lang w:val="fr-CA"/>
              </w:rPr>
              <w:t>TAXATION DES DÉPENS</w:t>
            </w:r>
          </w:p>
        </w:tc>
      </w:tr>
    </w:tbl>
    <w:p w:rsidR="000F7E6D" w:rsidRPr="00C50A5C" w:rsidRDefault="000F7E6D" w:rsidP="000F7E6D">
      <w:pPr>
        <w:tabs>
          <w:tab w:val="left" w:pos="-1440"/>
          <w:tab w:val="left" w:pos="-720"/>
        </w:tabs>
        <w:jc w:val="both"/>
        <w:rPr>
          <w:sz w:val="20"/>
          <w:szCs w:val="20"/>
        </w:rPr>
      </w:pPr>
    </w:p>
    <w:p w:rsidR="000F7E6D" w:rsidRPr="00C50A5C" w:rsidRDefault="000F7E6D" w:rsidP="000F7E6D">
      <w:pPr>
        <w:tabs>
          <w:tab w:val="left" w:pos="-1440"/>
          <w:tab w:val="left" w:pos="-720"/>
        </w:tabs>
        <w:jc w:val="both"/>
        <w:rPr>
          <w:sz w:val="20"/>
          <w:szCs w:val="20"/>
        </w:rPr>
      </w:pPr>
      <w:r>
        <w:rPr>
          <w:sz w:val="20"/>
          <w:szCs w:val="20"/>
        </w:rPr>
        <w:t>17.12.2014</w:t>
      </w:r>
    </w:p>
    <w:p w:rsidR="000F7E6D" w:rsidRPr="00C50A5C" w:rsidRDefault="000F7E6D" w:rsidP="000F7E6D">
      <w:pPr>
        <w:tabs>
          <w:tab w:val="left" w:pos="-1440"/>
          <w:tab w:val="left" w:pos="-720"/>
        </w:tabs>
        <w:jc w:val="both"/>
        <w:rPr>
          <w:sz w:val="20"/>
          <w:szCs w:val="20"/>
        </w:rPr>
      </w:pPr>
    </w:p>
    <w:p w:rsidR="000F7E6D" w:rsidRPr="00C50A5C" w:rsidRDefault="000F7E6D" w:rsidP="000F7E6D">
      <w:pPr>
        <w:tabs>
          <w:tab w:val="left" w:pos="-1440"/>
          <w:tab w:val="left" w:pos="-720"/>
        </w:tabs>
        <w:jc w:val="both"/>
        <w:rPr>
          <w:sz w:val="20"/>
          <w:szCs w:val="20"/>
        </w:rPr>
      </w:pPr>
      <w:r w:rsidRPr="00C50A5C">
        <w:rPr>
          <w:sz w:val="20"/>
          <w:szCs w:val="20"/>
        </w:rPr>
        <w:t xml:space="preserve">Before / </w:t>
      </w:r>
      <w:proofErr w:type="spellStart"/>
      <w:r w:rsidRPr="00C50A5C">
        <w:rPr>
          <w:sz w:val="20"/>
          <w:szCs w:val="20"/>
        </w:rPr>
        <w:t>Devant</w:t>
      </w:r>
      <w:proofErr w:type="spellEnd"/>
      <w:r w:rsidRPr="00C50A5C">
        <w:rPr>
          <w:sz w:val="20"/>
          <w:szCs w:val="20"/>
        </w:rPr>
        <w:t>:   THE REGISTRAR</w:t>
      </w:r>
    </w:p>
    <w:p w:rsidR="000F7E6D" w:rsidRPr="00C50A5C" w:rsidRDefault="000F7E6D" w:rsidP="000F7E6D">
      <w:pPr>
        <w:tabs>
          <w:tab w:val="left" w:pos="-1440"/>
          <w:tab w:val="left" w:pos="-720"/>
        </w:tabs>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1160"/>
        <w:gridCol w:w="4154"/>
      </w:tblGrid>
      <w:tr w:rsidR="000F7E6D" w:rsidRPr="00E1784F" w:rsidTr="00F57CDB">
        <w:tc>
          <w:tcPr>
            <w:tcW w:w="4338" w:type="dxa"/>
            <w:shd w:val="clear" w:color="auto" w:fill="auto"/>
          </w:tcPr>
          <w:p w:rsidR="00E1784F" w:rsidRDefault="00E1784F" w:rsidP="00F57CDB">
            <w:pPr>
              <w:tabs>
                <w:tab w:val="left" w:pos="-1440"/>
                <w:tab w:val="left" w:pos="-720"/>
              </w:tabs>
              <w:jc w:val="both"/>
              <w:rPr>
                <w:b/>
                <w:sz w:val="20"/>
                <w:szCs w:val="20"/>
              </w:rPr>
            </w:pPr>
            <w:r w:rsidRPr="00E1784F">
              <w:rPr>
                <w:b/>
                <w:sz w:val="20"/>
                <w:szCs w:val="20"/>
              </w:rPr>
              <w:t>Taxation of the bill of costs</w:t>
            </w:r>
          </w:p>
          <w:p w:rsidR="00E1784F" w:rsidRDefault="00E1784F" w:rsidP="00F57CDB">
            <w:pPr>
              <w:tabs>
                <w:tab w:val="left" w:pos="-1440"/>
                <w:tab w:val="left" w:pos="-720"/>
              </w:tabs>
              <w:jc w:val="both"/>
              <w:rPr>
                <w:b/>
                <w:sz w:val="20"/>
                <w:szCs w:val="20"/>
              </w:rPr>
            </w:pPr>
          </w:p>
          <w:p w:rsidR="000F7E6D" w:rsidRPr="00E1784F" w:rsidRDefault="000F7E6D" w:rsidP="00F57CDB">
            <w:pPr>
              <w:tabs>
                <w:tab w:val="left" w:pos="-1440"/>
                <w:tab w:val="left" w:pos="-720"/>
              </w:tabs>
              <w:jc w:val="both"/>
              <w:rPr>
                <w:b/>
                <w:sz w:val="20"/>
                <w:szCs w:val="20"/>
                <w:lang w:val="fr-CA"/>
              </w:rPr>
            </w:pPr>
            <w:r w:rsidRPr="00E1784F">
              <w:rPr>
                <w:b/>
                <w:sz w:val="20"/>
                <w:szCs w:val="20"/>
                <w:lang w:val="fr-CA"/>
              </w:rPr>
              <w:t xml:space="preserve">Mitra </w:t>
            </w:r>
            <w:proofErr w:type="spellStart"/>
            <w:r w:rsidRPr="00E1784F">
              <w:rPr>
                <w:b/>
                <w:sz w:val="20"/>
                <w:szCs w:val="20"/>
                <w:lang w:val="fr-CA"/>
              </w:rPr>
              <w:t>Javanmardi</w:t>
            </w:r>
            <w:proofErr w:type="spellEnd"/>
            <w:r w:rsidRPr="00E1784F">
              <w:rPr>
                <w:b/>
                <w:sz w:val="20"/>
                <w:szCs w:val="20"/>
                <w:lang w:val="fr-CA"/>
              </w:rPr>
              <w:t xml:space="preserve"> </w:t>
            </w:r>
          </w:p>
          <w:p w:rsidR="000F7E6D" w:rsidRPr="00E1784F" w:rsidRDefault="000F7E6D" w:rsidP="00F57CDB">
            <w:pPr>
              <w:tabs>
                <w:tab w:val="left" w:pos="-1440"/>
                <w:tab w:val="left" w:pos="-720"/>
              </w:tabs>
              <w:jc w:val="both"/>
              <w:rPr>
                <w:b/>
                <w:sz w:val="20"/>
                <w:szCs w:val="20"/>
                <w:lang w:val="fr-CA"/>
              </w:rPr>
            </w:pPr>
          </w:p>
          <w:p w:rsidR="000F7E6D" w:rsidRPr="002D72EB" w:rsidRDefault="000F7E6D" w:rsidP="00F57CDB">
            <w:pPr>
              <w:tabs>
                <w:tab w:val="left" w:pos="-1440"/>
                <w:tab w:val="left" w:pos="-720"/>
              </w:tabs>
              <w:jc w:val="both"/>
              <w:rPr>
                <w:b/>
                <w:sz w:val="20"/>
                <w:szCs w:val="20"/>
                <w:lang w:val="fr-CA"/>
              </w:rPr>
            </w:pPr>
            <w:r w:rsidRPr="00E1784F">
              <w:rPr>
                <w:b/>
                <w:sz w:val="20"/>
                <w:szCs w:val="20"/>
                <w:lang w:val="fr-CA"/>
              </w:rPr>
              <w:tab/>
            </w:r>
            <w:r w:rsidRPr="002D72EB">
              <w:rPr>
                <w:b/>
                <w:sz w:val="20"/>
                <w:szCs w:val="20"/>
                <w:lang w:val="fr-CA"/>
              </w:rPr>
              <w:t>v. (3</w:t>
            </w:r>
            <w:r>
              <w:rPr>
                <w:b/>
                <w:sz w:val="20"/>
                <w:szCs w:val="20"/>
                <w:lang w:val="fr-CA"/>
              </w:rPr>
              <w:t>5325</w:t>
            </w:r>
            <w:r w:rsidRPr="002D72EB">
              <w:rPr>
                <w:b/>
                <w:sz w:val="20"/>
                <w:szCs w:val="20"/>
                <w:lang w:val="fr-CA"/>
              </w:rPr>
              <w:t>)</w:t>
            </w:r>
          </w:p>
          <w:p w:rsidR="000F7E6D" w:rsidRPr="002D72EB" w:rsidRDefault="000F7E6D" w:rsidP="00F57CDB">
            <w:pPr>
              <w:tabs>
                <w:tab w:val="left" w:pos="-1440"/>
                <w:tab w:val="left" w:pos="-720"/>
              </w:tabs>
              <w:jc w:val="both"/>
              <w:rPr>
                <w:b/>
                <w:sz w:val="20"/>
                <w:szCs w:val="20"/>
                <w:lang w:val="fr-CA"/>
              </w:rPr>
            </w:pPr>
          </w:p>
          <w:p w:rsidR="000F7E6D" w:rsidRPr="00C50A5C" w:rsidRDefault="000F7E6D" w:rsidP="000F7E6D">
            <w:pPr>
              <w:tabs>
                <w:tab w:val="left" w:pos="-1440"/>
                <w:tab w:val="left" w:pos="-720"/>
              </w:tabs>
              <w:jc w:val="both"/>
              <w:rPr>
                <w:sz w:val="20"/>
                <w:szCs w:val="20"/>
                <w:lang w:val="fr-CA"/>
              </w:rPr>
            </w:pPr>
            <w:r w:rsidRPr="000F7E6D">
              <w:rPr>
                <w:b/>
                <w:sz w:val="20"/>
                <w:szCs w:val="20"/>
                <w:lang w:val="fr-CA"/>
              </w:rPr>
              <w:t xml:space="preserve">Collège des médecins du Québec </w:t>
            </w:r>
            <w:r>
              <w:rPr>
                <w:b/>
                <w:sz w:val="20"/>
                <w:szCs w:val="20"/>
                <w:lang w:val="fr-CA"/>
              </w:rPr>
              <w:t>(</w:t>
            </w:r>
            <w:proofErr w:type="spellStart"/>
            <w:r>
              <w:rPr>
                <w:b/>
                <w:sz w:val="20"/>
                <w:szCs w:val="20"/>
                <w:lang w:val="fr-CA"/>
              </w:rPr>
              <w:t>Qc</w:t>
            </w:r>
            <w:proofErr w:type="spellEnd"/>
            <w:r w:rsidRPr="002D72EB">
              <w:rPr>
                <w:b/>
                <w:sz w:val="20"/>
                <w:szCs w:val="20"/>
                <w:lang w:val="fr-CA"/>
              </w:rPr>
              <w:t>)</w:t>
            </w:r>
          </w:p>
        </w:tc>
        <w:tc>
          <w:tcPr>
            <w:tcW w:w="1170" w:type="dxa"/>
            <w:shd w:val="clear" w:color="auto" w:fill="auto"/>
          </w:tcPr>
          <w:p w:rsidR="000F7E6D" w:rsidRPr="000F7E6D" w:rsidRDefault="000F7E6D" w:rsidP="00F57CDB">
            <w:pPr>
              <w:tabs>
                <w:tab w:val="left" w:pos="-1440"/>
                <w:tab w:val="left" w:pos="-720"/>
              </w:tabs>
              <w:jc w:val="both"/>
              <w:rPr>
                <w:sz w:val="20"/>
                <w:szCs w:val="20"/>
                <w:lang w:val="fr-CA"/>
              </w:rPr>
            </w:pPr>
          </w:p>
        </w:tc>
        <w:tc>
          <w:tcPr>
            <w:tcW w:w="4188" w:type="dxa"/>
            <w:shd w:val="clear" w:color="auto" w:fill="auto"/>
          </w:tcPr>
          <w:p w:rsidR="000F7E6D" w:rsidRPr="00E1784F" w:rsidRDefault="00E1784F" w:rsidP="00F57CDB">
            <w:pPr>
              <w:tabs>
                <w:tab w:val="left" w:pos="-1440"/>
                <w:tab w:val="left" w:pos="-720"/>
              </w:tabs>
              <w:jc w:val="both"/>
              <w:rPr>
                <w:b/>
                <w:sz w:val="20"/>
                <w:szCs w:val="20"/>
                <w:lang w:val="fr-CA"/>
              </w:rPr>
            </w:pPr>
            <w:r w:rsidRPr="00E1784F">
              <w:rPr>
                <w:b/>
                <w:sz w:val="20"/>
                <w:szCs w:val="20"/>
              </w:rPr>
              <w:t>Taxation des d</w:t>
            </w:r>
            <w:proofErr w:type="spellStart"/>
            <w:r w:rsidRPr="00E1784F">
              <w:rPr>
                <w:b/>
                <w:sz w:val="20"/>
                <w:szCs w:val="20"/>
                <w:lang w:val="fr-CA"/>
              </w:rPr>
              <w:t>épens</w:t>
            </w:r>
            <w:proofErr w:type="spellEnd"/>
          </w:p>
        </w:tc>
      </w:tr>
    </w:tbl>
    <w:p w:rsidR="000F7E6D" w:rsidRPr="00E1784F" w:rsidRDefault="000F7E6D" w:rsidP="000F7E6D">
      <w:pPr>
        <w:tabs>
          <w:tab w:val="left" w:pos="-1440"/>
          <w:tab w:val="left" w:pos="-720"/>
        </w:tabs>
        <w:jc w:val="both"/>
        <w:rPr>
          <w:sz w:val="20"/>
          <w:szCs w:val="20"/>
          <w:lang w:val="en-US"/>
        </w:rPr>
      </w:pPr>
    </w:p>
    <w:p w:rsidR="000F7E6D" w:rsidRPr="000F7E6D" w:rsidRDefault="000F7E6D" w:rsidP="000F7E6D">
      <w:pPr>
        <w:contextualSpacing/>
        <w:rPr>
          <w:b/>
          <w:sz w:val="20"/>
          <w:szCs w:val="20"/>
        </w:rPr>
      </w:pPr>
      <w:r w:rsidRPr="000F7E6D">
        <w:rPr>
          <w:b/>
          <w:sz w:val="20"/>
          <w:szCs w:val="20"/>
        </w:rPr>
        <w:t>Background</w:t>
      </w:r>
    </w:p>
    <w:p w:rsidR="000F7E6D" w:rsidRPr="000F7E6D" w:rsidRDefault="000F7E6D" w:rsidP="000F7E6D">
      <w:pPr>
        <w:contextualSpacing/>
        <w:rPr>
          <w:sz w:val="20"/>
          <w:szCs w:val="20"/>
        </w:rPr>
      </w:pPr>
    </w:p>
    <w:p w:rsidR="000F7E6D" w:rsidRPr="000F7E6D" w:rsidRDefault="000F7E6D" w:rsidP="000F7E6D">
      <w:pPr>
        <w:rPr>
          <w:sz w:val="20"/>
          <w:szCs w:val="20"/>
        </w:rPr>
      </w:pPr>
      <w:r w:rsidRPr="000F7E6D">
        <w:rPr>
          <w:sz w:val="20"/>
          <w:szCs w:val="20"/>
        </w:rPr>
        <w:t xml:space="preserve">On July 11, 2013, the Court dismissed the leave application filed by the applicant with costs. The case involved a dispute between the applicant, </w:t>
      </w:r>
      <w:proofErr w:type="spellStart"/>
      <w:r w:rsidRPr="000F7E6D">
        <w:rPr>
          <w:sz w:val="20"/>
          <w:szCs w:val="20"/>
        </w:rPr>
        <w:t>Mitra</w:t>
      </w:r>
      <w:proofErr w:type="spellEnd"/>
      <w:r w:rsidRPr="000F7E6D">
        <w:rPr>
          <w:sz w:val="20"/>
          <w:szCs w:val="20"/>
        </w:rPr>
        <w:t xml:space="preserve"> </w:t>
      </w:r>
      <w:proofErr w:type="spellStart"/>
      <w:r w:rsidRPr="000F7E6D">
        <w:rPr>
          <w:sz w:val="20"/>
          <w:szCs w:val="20"/>
        </w:rPr>
        <w:t>Javanmardi</w:t>
      </w:r>
      <w:proofErr w:type="spellEnd"/>
      <w:r w:rsidRPr="000F7E6D">
        <w:rPr>
          <w:sz w:val="20"/>
          <w:szCs w:val="20"/>
        </w:rPr>
        <w:t xml:space="preserve">, and the respondent, the </w:t>
      </w:r>
      <w:proofErr w:type="spellStart"/>
      <w:r w:rsidRPr="000F7E6D">
        <w:rPr>
          <w:sz w:val="20"/>
          <w:szCs w:val="20"/>
        </w:rPr>
        <w:t>Collège</w:t>
      </w:r>
      <w:proofErr w:type="spellEnd"/>
      <w:r w:rsidRPr="000F7E6D">
        <w:rPr>
          <w:sz w:val="20"/>
          <w:szCs w:val="20"/>
        </w:rPr>
        <w:t xml:space="preserve"> des </w:t>
      </w:r>
      <w:proofErr w:type="spellStart"/>
      <w:r w:rsidRPr="000F7E6D">
        <w:rPr>
          <w:sz w:val="20"/>
          <w:szCs w:val="20"/>
        </w:rPr>
        <w:t>médecins</w:t>
      </w:r>
      <w:proofErr w:type="spellEnd"/>
      <w:r w:rsidRPr="000F7E6D">
        <w:rPr>
          <w:sz w:val="20"/>
          <w:szCs w:val="20"/>
        </w:rPr>
        <w:t xml:space="preserve"> du Québec </w:t>
      </w:r>
      <w:proofErr w:type="gramStart"/>
      <w:r w:rsidRPr="000F7E6D">
        <w:rPr>
          <w:sz w:val="20"/>
          <w:szCs w:val="20"/>
        </w:rPr>
        <w:t>( “</w:t>
      </w:r>
      <w:proofErr w:type="spellStart"/>
      <w:proofErr w:type="gramEnd"/>
      <w:r w:rsidRPr="000F7E6D">
        <w:rPr>
          <w:sz w:val="20"/>
          <w:szCs w:val="20"/>
        </w:rPr>
        <w:t>Collège</w:t>
      </w:r>
      <w:proofErr w:type="spellEnd"/>
      <w:r w:rsidRPr="000F7E6D">
        <w:rPr>
          <w:sz w:val="20"/>
          <w:szCs w:val="20"/>
        </w:rPr>
        <w:t xml:space="preserve">”). </w:t>
      </w: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 xml:space="preserve">The applicant is a naturopath who operates a clinic in Montréal. In 2008, the </w:t>
      </w:r>
      <w:proofErr w:type="spellStart"/>
      <w:r w:rsidRPr="000F7E6D">
        <w:rPr>
          <w:sz w:val="20"/>
          <w:szCs w:val="20"/>
        </w:rPr>
        <w:t>Collège</w:t>
      </w:r>
      <w:proofErr w:type="spellEnd"/>
      <w:r w:rsidRPr="000F7E6D">
        <w:rPr>
          <w:sz w:val="20"/>
          <w:szCs w:val="20"/>
        </w:rPr>
        <w:t xml:space="preserve"> obtained an injunction enjoining her from performing acts reserved to physicians, from leading others to believe she was authorized to practise the medical profession and from possessing prescription medication other than medication prescribed for her or a member of her family, until such time as the penal proceedings instituted against her had been resolved. Following an investigation by the </w:t>
      </w:r>
      <w:proofErr w:type="spellStart"/>
      <w:r w:rsidRPr="000F7E6D">
        <w:rPr>
          <w:sz w:val="20"/>
          <w:szCs w:val="20"/>
        </w:rPr>
        <w:t>Collège</w:t>
      </w:r>
      <w:proofErr w:type="spellEnd"/>
      <w:r w:rsidRPr="000F7E6D">
        <w:rPr>
          <w:sz w:val="20"/>
          <w:szCs w:val="20"/>
        </w:rPr>
        <w:t xml:space="preserve"> in 2009, proceedings were brought against the applicant alleging that she had contravened the injunction and was guilty of contempt of court. </w:t>
      </w:r>
    </w:p>
    <w:p w:rsidR="000F7E6D" w:rsidRPr="000F7E6D" w:rsidRDefault="000F7E6D" w:rsidP="000F7E6D">
      <w:pPr>
        <w:rPr>
          <w:sz w:val="20"/>
          <w:szCs w:val="20"/>
        </w:rPr>
      </w:pPr>
    </w:p>
    <w:p w:rsidR="000F7E6D" w:rsidRPr="000F7E6D" w:rsidRDefault="000F7E6D" w:rsidP="000F7E6D">
      <w:pPr>
        <w:keepNext/>
        <w:rPr>
          <w:sz w:val="20"/>
          <w:szCs w:val="20"/>
        </w:rPr>
      </w:pPr>
      <w:r w:rsidRPr="000F7E6D">
        <w:rPr>
          <w:sz w:val="20"/>
          <w:szCs w:val="20"/>
        </w:rPr>
        <w:t xml:space="preserve">The issues the applicant wished to bring before this Court were as follows: </w:t>
      </w:r>
    </w:p>
    <w:p w:rsidR="000F7E6D" w:rsidRPr="000F7E6D" w:rsidRDefault="000F7E6D" w:rsidP="000F7E6D">
      <w:pPr>
        <w:pStyle w:val="ListParagraph"/>
        <w:numPr>
          <w:ilvl w:val="0"/>
          <w:numId w:val="7"/>
        </w:numPr>
        <w:ind w:left="1418" w:hanging="709"/>
        <w:jc w:val="both"/>
        <w:rPr>
          <w:sz w:val="20"/>
          <w:szCs w:val="20"/>
        </w:rPr>
      </w:pPr>
      <w:r w:rsidRPr="000F7E6D">
        <w:rPr>
          <w:sz w:val="20"/>
          <w:szCs w:val="20"/>
        </w:rPr>
        <w:t xml:space="preserve">Does writing the name of a substance that is available without a prescription constitute the act of issuing a prescription, which is reserved exclusively to physicians? </w:t>
      </w:r>
    </w:p>
    <w:p w:rsidR="000F7E6D" w:rsidRPr="000F7E6D" w:rsidRDefault="000F7E6D" w:rsidP="000F7E6D">
      <w:pPr>
        <w:pStyle w:val="ListParagraph"/>
        <w:numPr>
          <w:ilvl w:val="0"/>
          <w:numId w:val="7"/>
        </w:numPr>
        <w:ind w:left="1418" w:hanging="709"/>
        <w:jc w:val="both"/>
        <w:rPr>
          <w:sz w:val="20"/>
          <w:szCs w:val="20"/>
        </w:rPr>
      </w:pPr>
      <w:r w:rsidRPr="000F7E6D">
        <w:rPr>
          <w:sz w:val="20"/>
          <w:szCs w:val="20"/>
        </w:rPr>
        <w:t>Can the courts infer from the writing of the name of a substance that there was a prescription and a diagnosis?</w:t>
      </w:r>
    </w:p>
    <w:p w:rsidR="000F7E6D" w:rsidRPr="000F7E6D" w:rsidRDefault="000F7E6D" w:rsidP="000F7E6D">
      <w:pPr>
        <w:rPr>
          <w:sz w:val="20"/>
          <w:szCs w:val="20"/>
        </w:rPr>
      </w:pP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The issue in this taxation is whether disbursements claimed by the respondent for the reproduction of its response (to the applicant’s leave application) and its book of authorities are excessive and unjustifiable.</w:t>
      </w:r>
    </w:p>
    <w:p w:rsidR="000F7E6D" w:rsidRPr="000F7E6D" w:rsidRDefault="000F7E6D" w:rsidP="000F7E6D">
      <w:pPr>
        <w:rPr>
          <w:sz w:val="20"/>
          <w:szCs w:val="20"/>
        </w:rPr>
      </w:pPr>
    </w:p>
    <w:p w:rsidR="000F7E6D" w:rsidRPr="000F7E6D" w:rsidRDefault="000F7E6D" w:rsidP="000F7E6D">
      <w:pPr>
        <w:rPr>
          <w:b/>
          <w:sz w:val="20"/>
          <w:szCs w:val="20"/>
        </w:rPr>
      </w:pPr>
      <w:r w:rsidRPr="000F7E6D">
        <w:rPr>
          <w:b/>
          <w:sz w:val="20"/>
          <w:szCs w:val="20"/>
        </w:rPr>
        <w:t>Fees and disbursements claimed by the respondent</w:t>
      </w: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 xml:space="preserve">In its bill of costs, the respondent claims $1,047.60 in fees for the preparation of the first copy of its response to the leave application. This amounts to $1.35 per page for a total of 776 pages. It also claims $5,301.12 in disbursements and tax for the reproduction of its response and book of authorities. In addition to these requests for taxation, the respondent claims $75.00 in disbursements and applicable tax for the notice of taxation and $800.00 in fees for the preparation of the response to the leave application.  </w:t>
      </w: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The total claimed for taxation purposes is $7,223.72.</w:t>
      </w:r>
    </w:p>
    <w:p w:rsidR="000F7E6D" w:rsidRPr="000F7E6D" w:rsidRDefault="000F7E6D" w:rsidP="000F7E6D">
      <w:pPr>
        <w:rPr>
          <w:sz w:val="20"/>
          <w:szCs w:val="20"/>
        </w:rPr>
      </w:pPr>
    </w:p>
    <w:p w:rsidR="000F7E6D" w:rsidRPr="000F7E6D" w:rsidRDefault="000F7E6D" w:rsidP="000F7E6D">
      <w:pPr>
        <w:rPr>
          <w:sz w:val="20"/>
          <w:szCs w:val="20"/>
        </w:rPr>
      </w:pPr>
    </w:p>
    <w:p w:rsidR="000F7E6D" w:rsidRPr="000F7E6D" w:rsidRDefault="000F7E6D" w:rsidP="000F7E6D">
      <w:pPr>
        <w:rPr>
          <w:b/>
          <w:sz w:val="20"/>
          <w:szCs w:val="20"/>
        </w:rPr>
      </w:pPr>
      <w:r w:rsidRPr="000F7E6D">
        <w:rPr>
          <w:b/>
          <w:sz w:val="20"/>
          <w:szCs w:val="20"/>
        </w:rPr>
        <w:t>Applicant’s objections to the disbursements claimed by the respondent</w:t>
      </w:r>
    </w:p>
    <w:p w:rsidR="000F7E6D" w:rsidRPr="000F7E6D" w:rsidRDefault="000F7E6D" w:rsidP="000F7E6D">
      <w:pPr>
        <w:rPr>
          <w:b/>
          <w:sz w:val="20"/>
          <w:szCs w:val="20"/>
        </w:rPr>
      </w:pPr>
    </w:p>
    <w:p w:rsidR="000F7E6D" w:rsidRPr="000F7E6D" w:rsidRDefault="000F7E6D" w:rsidP="000F7E6D">
      <w:pPr>
        <w:rPr>
          <w:sz w:val="20"/>
          <w:szCs w:val="20"/>
        </w:rPr>
      </w:pPr>
      <w:r w:rsidRPr="000F7E6D">
        <w:rPr>
          <w:sz w:val="20"/>
          <w:szCs w:val="20"/>
        </w:rPr>
        <w:t>The applicant does not dispute the respondent’s claim for $1,847.60 in fees, that is, $800.00 for the preparation of the response and $1,047.60 for the preparation of the first copy of the response. Rather, she disputes the claim for $5,301.12 in disbursements and applicable tax for the reproduction of the response and book of authorities that had to be filed with this Court. According to the applicant:</w:t>
      </w:r>
    </w:p>
    <w:p w:rsidR="000F7E6D" w:rsidRPr="000F7E6D" w:rsidRDefault="000F7E6D" w:rsidP="000F7E6D">
      <w:pPr>
        <w:rPr>
          <w:sz w:val="20"/>
          <w:szCs w:val="20"/>
        </w:rPr>
      </w:pPr>
    </w:p>
    <w:p w:rsidR="000F7E6D" w:rsidRPr="000F7E6D" w:rsidRDefault="000F7E6D" w:rsidP="000F7E6D">
      <w:pPr>
        <w:ind w:left="993" w:right="855"/>
        <w:rPr>
          <w:sz w:val="20"/>
          <w:szCs w:val="20"/>
        </w:rPr>
      </w:pPr>
      <w:r w:rsidRPr="000F7E6D">
        <w:rPr>
          <w:sz w:val="20"/>
          <w:szCs w:val="20"/>
        </w:rPr>
        <w:lastRenderedPageBreak/>
        <w:t xml:space="preserve">. . . </w:t>
      </w:r>
      <w:proofErr w:type="gramStart"/>
      <w:r w:rsidRPr="000F7E6D">
        <w:rPr>
          <w:sz w:val="20"/>
          <w:szCs w:val="20"/>
        </w:rPr>
        <w:t>the</w:t>
      </w:r>
      <w:proofErr w:type="gramEnd"/>
      <w:r w:rsidRPr="000F7E6D">
        <w:rPr>
          <w:sz w:val="20"/>
          <w:szCs w:val="20"/>
        </w:rPr>
        <w:t xml:space="preserve"> photocopying charges claimed are excessive and unjustifiable. They were in no way necessary to the questions submitted in the application. Applicant argued that the action taken by her could not amount to prescription or diagnosis for reasons of </w:t>
      </w:r>
      <w:r w:rsidRPr="000F7E6D">
        <w:rPr>
          <w:sz w:val="20"/>
          <w:szCs w:val="20"/>
          <w:u w:val="single"/>
        </w:rPr>
        <w:t>law</w:t>
      </w:r>
      <w:r w:rsidRPr="000F7E6D">
        <w:rPr>
          <w:sz w:val="20"/>
          <w:szCs w:val="20"/>
        </w:rPr>
        <w:t xml:space="preserve">. It was completely gratuitous for Respondent to submit the entire record at this time. It is obvious too, from Respondent’s argument that this record was not needed and that the argument did not depend on it. </w:t>
      </w:r>
    </w:p>
    <w:p w:rsidR="000F7E6D" w:rsidRPr="000F7E6D" w:rsidRDefault="000F7E6D" w:rsidP="000F7E6D">
      <w:pPr>
        <w:ind w:left="993" w:right="855"/>
        <w:rPr>
          <w:sz w:val="20"/>
          <w:szCs w:val="20"/>
        </w:rPr>
      </w:pPr>
    </w:p>
    <w:p w:rsidR="000F7E6D" w:rsidRPr="000F7E6D" w:rsidRDefault="000F7E6D" w:rsidP="000F7E6D">
      <w:pPr>
        <w:ind w:left="993" w:right="855"/>
        <w:rPr>
          <w:sz w:val="20"/>
          <w:szCs w:val="20"/>
        </w:rPr>
      </w:pPr>
      <w:r w:rsidRPr="000F7E6D">
        <w:rPr>
          <w:sz w:val="20"/>
          <w:szCs w:val="20"/>
        </w:rPr>
        <w:t>The result is to make the costs three times more expensive than in most applications. . . .</w:t>
      </w:r>
    </w:p>
    <w:p w:rsidR="000F7E6D" w:rsidRPr="000F7E6D" w:rsidRDefault="000F7E6D" w:rsidP="000F7E6D">
      <w:pPr>
        <w:ind w:right="-432"/>
        <w:rPr>
          <w:sz w:val="20"/>
          <w:szCs w:val="20"/>
        </w:rPr>
      </w:pPr>
    </w:p>
    <w:p w:rsidR="000F7E6D" w:rsidRPr="000F7E6D" w:rsidRDefault="000F7E6D" w:rsidP="000F7E6D">
      <w:pPr>
        <w:rPr>
          <w:sz w:val="20"/>
          <w:szCs w:val="20"/>
        </w:rPr>
      </w:pPr>
      <w:r w:rsidRPr="000F7E6D">
        <w:rPr>
          <w:sz w:val="20"/>
          <w:szCs w:val="20"/>
        </w:rPr>
        <w:t>In reply to this objection, the respondent submits that the documents included in its response were necessary not only to the adjudication of a possible appeal on its merits, but also to the adjudication of the application for leave to appeal. These essential documents had to be filed because of the fact that the applicant chose not to include them in her record, especially given that the issues raised by the applicant were issues of mixed fact and law that necessitated a careful review of the documents in evidence before the Quebec Court of Appeal. According to the respondent, it was only by examining the files of the patients concerned and the applicant’s handwritten notes that this Court could determine whether the Quebec Court of Appeal had committed an error of law that warranted granting leave to appeal. Therefore, the respondent submits, it would be unfair to deny it the taxation of the disbursements it incurred for copying these documents.</w:t>
      </w: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In her sur-reply, the applicant argues that, while a respondent may file excerpts from the evidentiary record in order to address certain issues, the excerpts must still be relevant to the arguments raised by either of the parties. The applicant submits that there is no need to file the entire evidentiary record on an application for leave to appeal. She writes:</w:t>
      </w:r>
    </w:p>
    <w:p w:rsidR="000F7E6D" w:rsidRPr="000F7E6D" w:rsidRDefault="000F7E6D" w:rsidP="000F7E6D">
      <w:pPr>
        <w:rPr>
          <w:sz w:val="20"/>
          <w:szCs w:val="20"/>
        </w:rPr>
      </w:pPr>
    </w:p>
    <w:p w:rsidR="000F7E6D" w:rsidRPr="000F7E6D" w:rsidRDefault="000F7E6D" w:rsidP="000F7E6D">
      <w:pPr>
        <w:ind w:left="993" w:right="855"/>
        <w:rPr>
          <w:sz w:val="20"/>
          <w:szCs w:val="20"/>
        </w:rPr>
      </w:pPr>
      <w:r w:rsidRPr="000F7E6D">
        <w:rPr>
          <w:sz w:val="20"/>
          <w:szCs w:val="20"/>
        </w:rPr>
        <w:t xml:space="preserve">It is our belief that the intention of the legislator was to permit a swift determination of those issues where leave should be granted, without the massive reproduction of lower court records or transcripts, but only the very pertinent short extracts. </w:t>
      </w:r>
    </w:p>
    <w:p w:rsidR="000F7E6D" w:rsidRPr="000F7E6D" w:rsidRDefault="000F7E6D" w:rsidP="000F7E6D">
      <w:pPr>
        <w:rPr>
          <w:sz w:val="20"/>
          <w:szCs w:val="20"/>
        </w:rPr>
      </w:pPr>
    </w:p>
    <w:p w:rsidR="000F7E6D" w:rsidRPr="000F7E6D" w:rsidRDefault="000F7E6D" w:rsidP="000F7E6D">
      <w:pPr>
        <w:contextualSpacing/>
        <w:rPr>
          <w:sz w:val="20"/>
          <w:szCs w:val="20"/>
        </w:rPr>
      </w:pPr>
    </w:p>
    <w:p w:rsidR="000F7E6D" w:rsidRPr="000F7E6D" w:rsidRDefault="000F7E6D" w:rsidP="000F7E6D">
      <w:pPr>
        <w:contextualSpacing/>
        <w:rPr>
          <w:b/>
          <w:sz w:val="20"/>
          <w:szCs w:val="20"/>
        </w:rPr>
      </w:pPr>
      <w:r w:rsidRPr="000F7E6D">
        <w:rPr>
          <w:b/>
          <w:sz w:val="20"/>
          <w:szCs w:val="20"/>
        </w:rPr>
        <w:t>Analysis</w:t>
      </w:r>
    </w:p>
    <w:p w:rsidR="000F7E6D" w:rsidRPr="000F7E6D" w:rsidRDefault="000F7E6D" w:rsidP="000F7E6D">
      <w:pPr>
        <w:contextualSpacing/>
        <w:rPr>
          <w:b/>
          <w:sz w:val="20"/>
          <w:szCs w:val="20"/>
        </w:rPr>
      </w:pPr>
    </w:p>
    <w:p w:rsidR="000F7E6D" w:rsidRPr="000F7E6D" w:rsidRDefault="000F7E6D" w:rsidP="000F7E6D">
      <w:pPr>
        <w:contextualSpacing/>
        <w:rPr>
          <w:sz w:val="20"/>
          <w:szCs w:val="20"/>
        </w:rPr>
      </w:pPr>
      <w:r w:rsidRPr="000F7E6D">
        <w:rPr>
          <w:sz w:val="20"/>
          <w:szCs w:val="20"/>
        </w:rPr>
        <w:t xml:space="preserve">It is a well-established principle that the parties must “do their utmost to minimize costs”: see the taxation decision dated March 16, 2000 in </w:t>
      </w:r>
      <w:r w:rsidRPr="000F7E6D">
        <w:rPr>
          <w:i/>
          <w:sz w:val="20"/>
          <w:szCs w:val="20"/>
        </w:rPr>
        <w:t xml:space="preserve">156036 Canada Inc. v. Les </w:t>
      </w:r>
      <w:proofErr w:type="spellStart"/>
      <w:r w:rsidRPr="000F7E6D">
        <w:rPr>
          <w:i/>
          <w:sz w:val="20"/>
          <w:szCs w:val="20"/>
        </w:rPr>
        <w:t>Pétroles</w:t>
      </w:r>
      <w:proofErr w:type="spellEnd"/>
      <w:r w:rsidRPr="000F7E6D">
        <w:rPr>
          <w:i/>
          <w:sz w:val="20"/>
          <w:szCs w:val="20"/>
        </w:rPr>
        <w:t xml:space="preserve"> Therrien Inc.</w:t>
      </w:r>
      <w:r w:rsidRPr="000F7E6D">
        <w:rPr>
          <w:sz w:val="20"/>
          <w:szCs w:val="20"/>
        </w:rPr>
        <w:t xml:space="preserve"> (Bulletin of Proceedings of the Supreme Court of Canada, 2000, at p. 621). Rules 25(1</w:t>
      </w:r>
      <w:proofErr w:type="gramStart"/>
      <w:r w:rsidRPr="000F7E6D">
        <w:rPr>
          <w:sz w:val="20"/>
          <w:szCs w:val="20"/>
        </w:rPr>
        <w:t>)(</w:t>
      </w:r>
      <w:proofErr w:type="gramEnd"/>
      <w:r w:rsidRPr="000F7E6D">
        <w:rPr>
          <w:i/>
          <w:sz w:val="20"/>
          <w:szCs w:val="20"/>
        </w:rPr>
        <w:t>d</w:t>
      </w:r>
      <w:r w:rsidRPr="000F7E6D">
        <w:rPr>
          <w:sz w:val="20"/>
          <w:szCs w:val="20"/>
        </w:rPr>
        <w:t>), 25(3) and 27(2)(</w:t>
      </w:r>
      <w:r w:rsidRPr="000F7E6D">
        <w:rPr>
          <w:i/>
          <w:sz w:val="20"/>
          <w:szCs w:val="20"/>
        </w:rPr>
        <w:t>b</w:t>
      </w:r>
      <w:r w:rsidRPr="000F7E6D">
        <w:rPr>
          <w:sz w:val="20"/>
          <w:szCs w:val="20"/>
        </w:rPr>
        <w:t xml:space="preserve">) of the </w:t>
      </w:r>
      <w:r w:rsidRPr="000F7E6D">
        <w:rPr>
          <w:i/>
          <w:sz w:val="20"/>
          <w:szCs w:val="20"/>
        </w:rPr>
        <w:t>Rules of the Supreme Court of Canada</w:t>
      </w:r>
      <w:r w:rsidRPr="000F7E6D">
        <w:rPr>
          <w:sz w:val="20"/>
          <w:szCs w:val="20"/>
        </w:rPr>
        <w:t>, SOR/2002-156, also seek to reiterate this principle in the context of applications for leave to appeal. Just as an applicant must be sure to file only the excerpts from the record that are relevant to the determination of whether to grant leave to appeal, a respondent must do the same in preparing a response.</w:t>
      </w:r>
    </w:p>
    <w:p w:rsidR="000F7E6D" w:rsidRPr="000F7E6D" w:rsidRDefault="000F7E6D" w:rsidP="000F7E6D">
      <w:pPr>
        <w:contextualSpacing/>
        <w:rPr>
          <w:b/>
          <w:sz w:val="20"/>
          <w:szCs w:val="20"/>
        </w:rPr>
      </w:pPr>
    </w:p>
    <w:p w:rsidR="000F7E6D" w:rsidRPr="000F7E6D" w:rsidRDefault="000F7E6D" w:rsidP="000F7E6D">
      <w:pPr>
        <w:contextualSpacing/>
        <w:rPr>
          <w:sz w:val="20"/>
          <w:szCs w:val="20"/>
        </w:rPr>
      </w:pPr>
      <w:r w:rsidRPr="000F7E6D">
        <w:rPr>
          <w:sz w:val="20"/>
          <w:szCs w:val="20"/>
        </w:rPr>
        <w:t xml:space="preserve">As stated in </w:t>
      </w:r>
      <w:r w:rsidRPr="000F7E6D">
        <w:rPr>
          <w:i/>
          <w:sz w:val="20"/>
          <w:szCs w:val="20"/>
        </w:rPr>
        <w:t xml:space="preserve">156036 Canada Inc. v. Les </w:t>
      </w:r>
      <w:proofErr w:type="spellStart"/>
      <w:r w:rsidRPr="000F7E6D">
        <w:rPr>
          <w:i/>
          <w:sz w:val="20"/>
          <w:szCs w:val="20"/>
        </w:rPr>
        <w:t>Pétroles</w:t>
      </w:r>
      <w:proofErr w:type="spellEnd"/>
      <w:r w:rsidRPr="000F7E6D">
        <w:rPr>
          <w:i/>
          <w:sz w:val="20"/>
          <w:szCs w:val="20"/>
        </w:rPr>
        <w:t xml:space="preserve"> Therrien Inc. </w:t>
      </w:r>
      <w:r w:rsidRPr="000F7E6D">
        <w:rPr>
          <w:sz w:val="20"/>
          <w:szCs w:val="20"/>
        </w:rPr>
        <w:t xml:space="preserve">(Que.), 27158 (Bulletin of Proceedings of the Supreme Court of Canada, April 7, 2000), and </w:t>
      </w:r>
      <w:proofErr w:type="spellStart"/>
      <w:r w:rsidRPr="000F7E6D">
        <w:rPr>
          <w:i/>
          <w:sz w:val="20"/>
          <w:szCs w:val="20"/>
        </w:rPr>
        <w:t>Ouimette</w:t>
      </w:r>
      <w:proofErr w:type="spellEnd"/>
      <w:r w:rsidRPr="000F7E6D">
        <w:rPr>
          <w:i/>
          <w:sz w:val="20"/>
          <w:szCs w:val="20"/>
        </w:rPr>
        <w:t xml:space="preserve"> v. A.G. Quebec</w:t>
      </w:r>
      <w:r w:rsidRPr="000F7E6D">
        <w:rPr>
          <w:sz w:val="20"/>
          <w:szCs w:val="20"/>
        </w:rPr>
        <w:t xml:space="preserve">, 29279 (Bulletin of Proceedings of the Supreme Court of Canada, September 12, 2003), the parties must do their utmost to minimize costs, in particular with regard to the extensive reproduction of testimony, case law and other authorities.  </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r w:rsidRPr="000F7E6D">
        <w:rPr>
          <w:sz w:val="20"/>
          <w:szCs w:val="20"/>
        </w:rPr>
        <w:t xml:space="preserve">A party to an application for leave to appeal should include in its application or response only short excerpts from the documents and evidence that are relevant to what the Court must assess under s. 40(1) of the </w:t>
      </w:r>
      <w:r w:rsidRPr="000F7E6D">
        <w:rPr>
          <w:i/>
          <w:sz w:val="20"/>
          <w:szCs w:val="20"/>
        </w:rPr>
        <w:t>Supreme Court Act</w:t>
      </w:r>
      <w:r w:rsidRPr="000F7E6D">
        <w:rPr>
          <w:sz w:val="20"/>
          <w:szCs w:val="20"/>
        </w:rPr>
        <w:t xml:space="preserve">, R.S.C. 1985, c. S-26, namely whether any question involved in the case is, by reason of its public importance or the importance of any issue of law or any issue of mixed law and fact involved in that question, one that ought to be decided by the Supreme Court or is, for any other reason, of such a nature or significance as to warrant decision by it. While a fuller record is appropriate in an appeal, rarely will a complete or nearly complete evidentiary record be necessary or relevant to the analysis to be conducted at the application for leave to appeal stage. </w:t>
      </w:r>
    </w:p>
    <w:p w:rsidR="000F7E6D" w:rsidRPr="000F7E6D" w:rsidRDefault="000F7E6D" w:rsidP="000F7E6D">
      <w:pPr>
        <w:contextualSpacing/>
        <w:rPr>
          <w:b/>
          <w:sz w:val="20"/>
          <w:szCs w:val="20"/>
        </w:rPr>
      </w:pPr>
    </w:p>
    <w:p w:rsidR="000F7E6D" w:rsidRPr="000F7E6D" w:rsidRDefault="000F7E6D" w:rsidP="000F7E6D">
      <w:pPr>
        <w:contextualSpacing/>
        <w:rPr>
          <w:sz w:val="20"/>
          <w:szCs w:val="20"/>
        </w:rPr>
      </w:pPr>
      <w:r w:rsidRPr="000F7E6D">
        <w:rPr>
          <w:sz w:val="20"/>
          <w:szCs w:val="20"/>
        </w:rPr>
        <w:t xml:space="preserve">Having examined the respondent’s response to the leave application and bill of costs, I note that the response has four volumes and a total of 776 pages per copy. The response includes many affidavits, exhibits in support of the </w:t>
      </w:r>
      <w:proofErr w:type="spellStart"/>
      <w:r w:rsidRPr="000F7E6D">
        <w:rPr>
          <w:sz w:val="20"/>
          <w:szCs w:val="20"/>
        </w:rPr>
        <w:t>Collège’s</w:t>
      </w:r>
      <w:proofErr w:type="spellEnd"/>
      <w:r w:rsidRPr="000F7E6D">
        <w:rPr>
          <w:sz w:val="20"/>
          <w:szCs w:val="20"/>
        </w:rPr>
        <w:t xml:space="preserve"> motion to institute proceedings for an injunction against the applicant, and the files of the patients concerned by the </w:t>
      </w:r>
      <w:r w:rsidRPr="000F7E6D">
        <w:rPr>
          <w:sz w:val="20"/>
          <w:szCs w:val="20"/>
        </w:rPr>
        <w:lastRenderedPageBreak/>
        <w:t xml:space="preserve">contempt offences alleged against the applicant, including the applicant’s handwritten consultation notes. The respondent’s book of authorities has a total of 379 pages per copy, including 17 cases reproduced in full.  </w:t>
      </w:r>
    </w:p>
    <w:p w:rsidR="000F7E6D" w:rsidRPr="000F7E6D" w:rsidRDefault="000F7E6D" w:rsidP="000F7E6D">
      <w:pPr>
        <w:contextualSpacing/>
        <w:rPr>
          <w:sz w:val="20"/>
          <w:szCs w:val="20"/>
        </w:rPr>
      </w:pPr>
    </w:p>
    <w:p w:rsidR="000F7E6D" w:rsidRPr="000F7E6D" w:rsidRDefault="000F7E6D" w:rsidP="000F7E6D">
      <w:pPr>
        <w:rPr>
          <w:sz w:val="20"/>
          <w:szCs w:val="20"/>
        </w:rPr>
      </w:pPr>
      <w:r w:rsidRPr="000F7E6D">
        <w:rPr>
          <w:sz w:val="20"/>
          <w:szCs w:val="20"/>
        </w:rPr>
        <w:t xml:space="preserve">In my view, the disbursements claimed by the respondent for the reproduction of its response and book of authorities are excessive and unjustifiable in light of the record. It is clear that not all of the documents included in both the response and the book of authorities were necessary to the respondent’s task of establishing that the leave application filed by the applicant did not raise a question of such significance as to warrant decision by the Court. The respondent seems to have prepared its response as though the Court were going to adjudicate the case on its merits, without regard for the nature of the specific exercise the Court must undertake at the application for leave to appeal stage. </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r w:rsidRPr="000F7E6D">
        <w:rPr>
          <w:sz w:val="20"/>
          <w:szCs w:val="20"/>
        </w:rPr>
        <w:t xml:space="preserve">Having found that a claim for disbursements is unreasonable, I must decide on an appropriate reduction to determine the amount to be taxed. Since the total claim for disbursements is so high, a significant reduction is required to bring the taxed amount within the range of what could be considered reasonable. As in </w:t>
      </w:r>
      <w:proofErr w:type="spellStart"/>
      <w:r w:rsidRPr="000F7E6D">
        <w:rPr>
          <w:i/>
          <w:sz w:val="20"/>
          <w:szCs w:val="20"/>
        </w:rPr>
        <w:t>Jaremko</w:t>
      </w:r>
      <w:proofErr w:type="spellEnd"/>
      <w:r w:rsidRPr="000F7E6D">
        <w:rPr>
          <w:i/>
          <w:sz w:val="20"/>
          <w:szCs w:val="20"/>
        </w:rPr>
        <w:t xml:space="preserve"> v. Metropolitan Toronto Condominium Corporation No. 875</w:t>
      </w:r>
      <w:r w:rsidRPr="000F7E6D">
        <w:rPr>
          <w:sz w:val="20"/>
          <w:szCs w:val="20"/>
        </w:rPr>
        <w:t xml:space="preserve">, S.C.C., 26714, June 8, 1999 (published in the Bulletin of Proceedings of the Supreme Court of Canada, 1999, at p. 996), I would reduce the disbursements claimed for the reproduction of the respondent’s response and book of authorities by half.  </w:t>
      </w:r>
    </w:p>
    <w:p w:rsidR="000F7E6D" w:rsidRPr="000F7E6D" w:rsidRDefault="000F7E6D" w:rsidP="000F7E6D">
      <w:pPr>
        <w:contextualSpacing/>
        <w:rPr>
          <w:b/>
          <w:sz w:val="20"/>
          <w:szCs w:val="20"/>
        </w:rPr>
      </w:pPr>
    </w:p>
    <w:p w:rsidR="000F7E6D" w:rsidRPr="000F7E6D" w:rsidRDefault="000F7E6D" w:rsidP="000F7E6D">
      <w:pPr>
        <w:rPr>
          <w:sz w:val="20"/>
          <w:szCs w:val="20"/>
        </w:rPr>
      </w:pPr>
      <w:r w:rsidRPr="000F7E6D">
        <w:rPr>
          <w:sz w:val="20"/>
          <w:szCs w:val="20"/>
        </w:rPr>
        <w:t xml:space="preserve">Although the fees claimed by the respondent for the preparation of its response appear to me to be higher than necessary, the applicant has not objected to them. For this reason, these fees will not be reduced. </w:t>
      </w:r>
    </w:p>
    <w:p w:rsidR="000F7E6D" w:rsidRPr="000F7E6D" w:rsidRDefault="000F7E6D" w:rsidP="000F7E6D">
      <w:pPr>
        <w:contextualSpacing/>
        <w:rPr>
          <w:sz w:val="20"/>
          <w:szCs w:val="20"/>
        </w:rPr>
      </w:pPr>
    </w:p>
    <w:p w:rsidR="000F7E6D" w:rsidRPr="000F7E6D" w:rsidRDefault="000F7E6D" w:rsidP="000F7E6D">
      <w:pPr>
        <w:contextualSpacing/>
        <w:rPr>
          <w:b/>
          <w:sz w:val="20"/>
          <w:szCs w:val="20"/>
        </w:rPr>
      </w:pPr>
    </w:p>
    <w:p w:rsidR="000F7E6D" w:rsidRPr="000F7E6D" w:rsidRDefault="000F7E6D" w:rsidP="000F7E6D">
      <w:pPr>
        <w:contextualSpacing/>
        <w:rPr>
          <w:b/>
          <w:sz w:val="20"/>
          <w:szCs w:val="20"/>
        </w:rPr>
      </w:pPr>
      <w:r w:rsidRPr="000F7E6D">
        <w:rPr>
          <w:b/>
          <w:sz w:val="20"/>
          <w:szCs w:val="20"/>
        </w:rPr>
        <w:t xml:space="preserve">Conclusion </w:t>
      </w:r>
    </w:p>
    <w:p w:rsidR="000F7E6D" w:rsidRPr="000F7E6D" w:rsidRDefault="000F7E6D" w:rsidP="000F7E6D">
      <w:pPr>
        <w:contextualSpacing/>
        <w:rPr>
          <w:b/>
          <w:sz w:val="20"/>
          <w:szCs w:val="20"/>
        </w:rPr>
      </w:pPr>
    </w:p>
    <w:p w:rsidR="000F7E6D" w:rsidRPr="000F7E6D" w:rsidRDefault="000F7E6D" w:rsidP="000F7E6D">
      <w:pPr>
        <w:contextualSpacing/>
        <w:rPr>
          <w:sz w:val="20"/>
          <w:szCs w:val="20"/>
        </w:rPr>
      </w:pPr>
      <w:r w:rsidRPr="000F7E6D">
        <w:rPr>
          <w:sz w:val="20"/>
          <w:szCs w:val="20"/>
        </w:rPr>
        <w:t>For the reasons given above, the disbursements claimed by the respondent in its bill of costs are reduced as follows:</w:t>
      </w:r>
    </w:p>
    <w:p w:rsidR="000F7E6D" w:rsidRPr="000F7E6D" w:rsidRDefault="000F7E6D" w:rsidP="000F7E6D">
      <w:pPr>
        <w:contextualSpacing/>
        <w:rPr>
          <w:b/>
          <w:sz w:val="20"/>
          <w:szCs w:val="20"/>
        </w:rPr>
      </w:pPr>
      <w:r w:rsidRPr="000F7E6D">
        <w:rPr>
          <w:b/>
          <w:sz w:val="20"/>
          <w:szCs w:val="20"/>
        </w:rPr>
        <w:tab/>
      </w:r>
    </w:p>
    <w:p w:rsidR="000F7E6D" w:rsidRPr="000F7E6D" w:rsidRDefault="000F7E6D" w:rsidP="000F7E6D">
      <w:pPr>
        <w:ind w:left="720" w:hanging="363"/>
        <w:contextualSpacing/>
        <w:rPr>
          <w:sz w:val="20"/>
          <w:szCs w:val="20"/>
        </w:rPr>
      </w:pPr>
      <w:r w:rsidRPr="000F7E6D">
        <w:rPr>
          <w:sz w:val="20"/>
          <w:szCs w:val="20"/>
        </w:rPr>
        <w:tab/>
        <w:t>50% reduction in the cost of reproducing the response and book of authorities: $2,650.56</w:t>
      </w:r>
    </w:p>
    <w:p w:rsidR="000F7E6D" w:rsidRPr="000F7E6D" w:rsidRDefault="000F7E6D" w:rsidP="000F7E6D">
      <w:pPr>
        <w:contextualSpacing/>
        <w:rPr>
          <w:b/>
          <w:sz w:val="20"/>
          <w:szCs w:val="20"/>
        </w:rPr>
      </w:pPr>
    </w:p>
    <w:p w:rsidR="000F7E6D" w:rsidRPr="000F7E6D" w:rsidRDefault="000F7E6D" w:rsidP="000F7E6D">
      <w:pPr>
        <w:contextualSpacing/>
        <w:rPr>
          <w:b/>
          <w:sz w:val="20"/>
          <w:szCs w:val="20"/>
        </w:rPr>
      </w:pPr>
    </w:p>
    <w:p w:rsidR="000F7E6D" w:rsidRPr="000F7E6D" w:rsidRDefault="000F7E6D" w:rsidP="000F7E6D">
      <w:pPr>
        <w:contextualSpacing/>
        <w:rPr>
          <w:sz w:val="20"/>
          <w:szCs w:val="20"/>
        </w:rPr>
      </w:pPr>
      <w:r w:rsidRPr="000F7E6D">
        <w:rPr>
          <w:sz w:val="20"/>
          <w:szCs w:val="20"/>
        </w:rPr>
        <w:t xml:space="preserve">Total reduction in disbursements: </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r w:rsidRPr="000F7E6D">
        <w:rPr>
          <w:sz w:val="20"/>
          <w:szCs w:val="20"/>
        </w:rPr>
        <w:t>$5,376.12</w:t>
      </w:r>
      <w:r w:rsidRPr="000F7E6D">
        <w:rPr>
          <w:sz w:val="20"/>
          <w:szCs w:val="20"/>
        </w:rPr>
        <w:tab/>
      </w:r>
      <w:r w:rsidRPr="000F7E6D">
        <w:rPr>
          <w:sz w:val="20"/>
          <w:szCs w:val="20"/>
        </w:rPr>
        <w:tab/>
        <w:t>Original claim for disbursements (including tax)</w:t>
      </w:r>
    </w:p>
    <w:p w:rsidR="000F7E6D" w:rsidRPr="000F7E6D" w:rsidRDefault="000F7E6D" w:rsidP="000F7E6D">
      <w:pPr>
        <w:ind w:left="2160" w:hanging="1800"/>
        <w:contextualSpacing/>
        <w:rPr>
          <w:sz w:val="20"/>
          <w:szCs w:val="20"/>
        </w:rPr>
      </w:pPr>
      <w:r w:rsidRPr="000F7E6D">
        <w:rPr>
          <w:sz w:val="20"/>
          <w:szCs w:val="20"/>
        </w:rPr>
        <w:t xml:space="preserve">-$2,650.56 </w:t>
      </w:r>
      <w:r w:rsidRPr="000F7E6D">
        <w:rPr>
          <w:sz w:val="20"/>
          <w:szCs w:val="20"/>
        </w:rPr>
        <w:tab/>
        <w:t xml:space="preserve">50% reduction in disbursements for the reproduction of the response </w:t>
      </w:r>
    </w:p>
    <w:p w:rsidR="000F7E6D" w:rsidRPr="000F7E6D" w:rsidRDefault="000F7E6D" w:rsidP="000F7E6D">
      <w:pPr>
        <w:ind w:left="2880"/>
        <w:contextualSpacing/>
        <w:rPr>
          <w:sz w:val="20"/>
          <w:szCs w:val="20"/>
        </w:rPr>
      </w:pPr>
      <w:proofErr w:type="gramStart"/>
      <w:r w:rsidRPr="000F7E6D">
        <w:rPr>
          <w:sz w:val="20"/>
          <w:szCs w:val="20"/>
        </w:rPr>
        <w:t>and</w:t>
      </w:r>
      <w:proofErr w:type="gramEnd"/>
      <w:r w:rsidRPr="000F7E6D">
        <w:rPr>
          <w:sz w:val="20"/>
          <w:szCs w:val="20"/>
        </w:rPr>
        <w:t xml:space="preserve"> book of authorities</w:t>
      </w:r>
    </w:p>
    <w:p w:rsidR="000F7E6D" w:rsidRPr="000F7E6D" w:rsidRDefault="000F7E6D" w:rsidP="000F7E6D">
      <w:pPr>
        <w:contextualSpacing/>
        <w:rPr>
          <w:sz w:val="20"/>
          <w:szCs w:val="20"/>
        </w:rPr>
      </w:pPr>
      <w:r w:rsidRPr="000F7E6D">
        <w:rPr>
          <w:sz w:val="20"/>
          <w:szCs w:val="20"/>
        </w:rPr>
        <w:t xml:space="preserve">$2,725.56 </w:t>
      </w:r>
      <w:r w:rsidRPr="000F7E6D">
        <w:rPr>
          <w:sz w:val="20"/>
          <w:szCs w:val="20"/>
        </w:rPr>
        <w:tab/>
      </w:r>
      <w:r w:rsidRPr="000F7E6D">
        <w:rPr>
          <w:sz w:val="20"/>
          <w:szCs w:val="20"/>
        </w:rPr>
        <w:tab/>
        <w:t>Total allowable disbursements (including tax)</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p>
    <w:p w:rsidR="000F7E6D" w:rsidRPr="000F7E6D" w:rsidRDefault="000F7E6D" w:rsidP="000F7E6D">
      <w:pPr>
        <w:keepNext/>
        <w:contextualSpacing/>
        <w:rPr>
          <w:sz w:val="20"/>
          <w:szCs w:val="20"/>
        </w:rPr>
      </w:pPr>
      <w:r w:rsidRPr="000F7E6D">
        <w:rPr>
          <w:sz w:val="20"/>
          <w:szCs w:val="20"/>
        </w:rPr>
        <w:t>TOTALS</w:t>
      </w:r>
    </w:p>
    <w:p w:rsidR="000F7E6D" w:rsidRPr="000F7E6D" w:rsidRDefault="000F7E6D" w:rsidP="000F7E6D">
      <w:pPr>
        <w:keepNext/>
        <w:contextualSpacing/>
        <w:rPr>
          <w:b/>
          <w:sz w:val="20"/>
          <w:szCs w:val="20"/>
        </w:rPr>
      </w:pPr>
    </w:p>
    <w:p w:rsidR="000F7E6D" w:rsidRPr="000F7E6D" w:rsidRDefault="000F7E6D" w:rsidP="000F7E6D">
      <w:pPr>
        <w:contextualSpacing/>
        <w:rPr>
          <w:sz w:val="20"/>
          <w:szCs w:val="20"/>
        </w:rPr>
      </w:pPr>
      <w:r w:rsidRPr="000F7E6D">
        <w:rPr>
          <w:sz w:val="20"/>
          <w:szCs w:val="20"/>
        </w:rPr>
        <w:t>In accordance with the above, the respondent’s bill of costs is taxed as follows:</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r w:rsidRPr="000F7E6D">
        <w:rPr>
          <w:sz w:val="20"/>
          <w:szCs w:val="20"/>
        </w:rPr>
        <w:t xml:space="preserve">$1,847.60 </w:t>
      </w:r>
      <w:r w:rsidRPr="000F7E6D">
        <w:rPr>
          <w:sz w:val="20"/>
          <w:szCs w:val="20"/>
        </w:rPr>
        <w:tab/>
      </w:r>
      <w:r w:rsidRPr="000F7E6D">
        <w:rPr>
          <w:sz w:val="20"/>
          <w:szCs w:val="20"/>
        </w:rPr>
        <w:tab/>
        <w:t>Total fees, including applicable tax</w:t>
      </w:r>
    </w:p>
    <w:p w:rsidR="000F7E6D" w:rsidRPr="000F7E6D" w:rsidRDefault="000F7E6D" w:rsidP="000F7E6D">
      <w:pPr>
        <w:contextualSpacing/>
        <w:rPr>
          <w:sz w:val="20"/>
          <w:szCs w:val="20"/>
        </w:rPr>
      </w:pPr>
      <w:r w:rsidRPr="000F7E6D">
        <w:rPr>
          <w:sz w:val="20"/>
          <w:szCs w:val="20"/>
          <w:u w:val="single"/>
        </w:rPr>
        <w:t>$2,725.56</w:t>
      </w:r>
      <w:r w:rsidRPr="000F7E6D">
        <w:rPr>
          <w:sz w:val="20"/>
          <w:szCs w:val="20"/>
        </w:rPr>
        <w:tab/>
      </w:r>
      <w:r w:rsidRPr="000F7E6D">
        <w:rPr>
          <w:sz w:val="20"/>
          <w:szCs w:val="20"/>
        </w:rPr>
        <w:tab/>
        <w:t>Total disbursements after reduction, including applicable tax</w:t>
      </w:r>
    </w:p>
    <w:p w:rsidR="000F7E6D" w:rsidRPr="000F7E6D" w:rsidRDefault="000F7E6D" w:rsidP="000F7E6D">
      <w:pPr>
        <w:contextualSpacing/>
        <w:rPr>
          <w:sz w:val="20"/>
          <w:szCs w:val="20"/>
        </w:rPr>
      </w:pPr>
      <w:r w:rsidRPr="000F7E6D">
        <w:rPr>
          <w:sz w:val="20"/>
          <w:szCs w:val="20"/>
        </w:rPr>
        <w:t xml:space="preserve">$4,573.16  </w:t>
      </w:r>
      <w:r w:rsidRPr="000F7E6D">
        <w:rPr>
          <w:sz w:val="20"/>
          <w:szCs w:val="20"/>
        </w:rPr>
        <w:tab/>
      </w:r>
      <w:r w:rsidRPr="000F7E6D">
        <w:rPr>
          <w:sz w:val="20"/>
          <w:szCs w:val="20"/>
        </w:rPr>
        <w:tab/>
        <w:t>Grand total</w:t>
      </w:r>
    </w:p>
    <w:p w:rsidR="000F7E6D" w:rsidRPr="000F7E6D" w:rsidRDefault="000F7E6D" w:rsidP="000F7E6D">
      <w:pPr>
        <w:contextualSpacing/>
        <w:rPr>
          <w:b/>
          <w:sz w:val="20"/>
          <w:szCs w:val="20"/>
        </w:rPr>
      </w:pPr>
    </w:p>
    <w:p w:rsidR="000F7E6D" w:rsidRPr="000F7E6D" w:rsidRDefault="000F7E6D" w:rsidP="000F7E6D">
      <w:pPr>
        <w:rPr>
          <w:sz w:val="20"/>
          <w:szCs w:val="20"/>
        </w:rPr>
      </w:pPr>
    </w:p>
    <w:p w:rsidR="000F7E6D" w:rsidRPr="000F7E6D" w:rsidRDefault="000F7E6D" w:rsidP="000F7E6D">
      <w:pPr>
        <w:rPr>
          <w:sz w:val="20"/>
          <w:szCs w:val="20"/>
        </w:rPr>
      </w:pPr>
      <w:r w:rsidRPr="000F7E6D">
        <w:rPr>
          <w:sz w:val="20"/>
          <w:szCs w:val="20"/>
        </w:rPr>
        <w:t>In conclusion, I wish to thank all counsel for their helpful submissions.</w:t>
      </w:r>
    </w:p>
    <w:p w:rsidR="000F7E6D" w:rsidRPr="000F7E6D" w:rsidRDefault="000F7E6D" w:rsidP="000F7E6D">
      <w:pPr>
        <w:contextualSpacing/>
        <w:rPr>
          <w:sz w:val="20"/>
          <w:szCs w:val="20"/>
        </w:rPr>
      </w:pPr>
    </w:p>
    <w:p w:rsidR="000F7E6D" w:rsidRPr="000F7E6D" w:rsidRDefault="000F7E6D" w:rsidP="000F7E6D">
      <w:pPr>
        <w:ind w:firstLine="357"/>
        <w:contextualSpacing/>
        <w:rPr>
          <w:sz w:val="20"/>
          <w:szCs w:val="20"/>
        </w:rPr>
      </w:pPr>
      <w:r w:rsidRPr="000F7E6D">
        <w:rPr>
          <w:sz w:val="20"/>
          <w:szCs w:val="20"/>
        </w:rPr>
        <w:t>Ottawa, December 17, 2014</w:t>
      </w:r>
    </w:p>
    <w:p w:rsidR="000F7E6D" w:rsidRPr="000F7E6D" w:rsidRDefault="000F7E6D" w:rsidP="000F7E6D">
      <w:pPr>
        <w:contextualSpacing/>
        <w:rPr>
          <w:sz w:val="20"/>
          <w:szCs w:val="20"/>
        </w:rPr>
      </w:pPr>
    </w:p>
    <w:p w:rsidR="000F7E6D" w:rsidRPr="000F7E6D" w:rsidRDefault="000F7E6D" w:rsidP="000F7E6D">
      <w:pPr>
        <w:contextualSpacing/>
        <w:rPr>
          <w:sz w:val="20"/>
          <w:szCs w:val="20"/>
        </w:rPr>
      </w:pPr>
    </w:p>
    <w:p w:rsidR="000F7E6D" w:rsidRPr="000F7E6D" w:rsidRDefault="000F7E6D" w:rsidP="000F7E6D">
      <w:pPr>
        <w:contextualSpacing/>
        <w:rPr>
          <w:sz w:val="20"/>
          <w:szCs w:val="20"/>
        </w:rPr>
      </w:pPr>
    </w:p>
    <w:p w:rsidR="000F7E6D" w:rsidRPr="000F7E6D" w:rsidRDefault="000F7E6D" w:rsidP="000F7E6D">
      <w:pPr>
        <w:contextualSpacing/>
        <w:rPr>
          <w:sz w:val="20"/>
          <w:szCs w:val="20"/>
        </w:rPr>
      </w:pPr>
    </w:p>
    <w:p w:rsidR="000F7E6D" w:rsidRPr="000F7E6D" w:rsidRDefault="000F7E6D" w:rsidP="000F7E6D">
      <w:pPr>
        <w:contextualSpacing/>
        <w:rPr>
          <w:sz w:val="20"/>
          <w:szCs w:val="20"/>
        </w:rPr>
      </w:pPr>
      <w:r w:rsidRPr="000F7E6D">
        <w:rPr>
          <w:sz w:val="20"/>
          <w:szCs w:val="20"/>
        </w:rPr>
        <w:t>Roger Bilodeau, Q.C.</w:t>
      </w:r>
    </w:p>
    <w:p w:rsidR="000F7E6D" w:rsidRPr="000F7E6D" w:rsidRDefault="000F7E6D" w:rsidP="000F7E6D">
      <w:pPr>
        <w:contextualSpacing/>
        <w:rPr>
          <w:sz w:val="20"/>
          <w:szCs w:val="20"/>
          <w:lang w:val="fr-CA"/>
        </w:rPr>
      </w:pPr>
      <w:proofErr w:type="spellStart"/>
      <w:r w:rsidRPr="000F7E6D">
        <w:rPr>
          <w:sz w:val="20"/>
          <w:szCs w:val="20"/>
          <w:lang w:val="fr-CA"/>
        </w:rPr>
        <w:t>Registrar</w:t>
      </w:r>
      <w:proofErr w:type="spellEnd"/>
      <w:r w:rsidRPr="000F7E6D">
        <w:rPr>
          <w:sz w:val="20"/>
          <w:szCs w:val="20"/>
          <w:lang w:val="fr-CA"/>
        </w:rPr>
        <w:t xml:space="preserve"> </w:t>
      </w:r>
    </w:p>
    <w:p w:rsidR="000F7E6D" w:rsidRPr="000F7E6D" w:rsidRDefault="000F7E6D" w:rsidP="000F7E6D">
      <w:pPr>
        <w:contextualSpacing/>
        <w:rPr>
          <w:b/>
          <w:sz w:val="20"/>
          <w:szCs w:val="20"/>
          <w:lang w:val="fr-CA"/>
        </w:rPr>
      </w:pPr>
      <w:r w:rsidRPr="000F7E6D">
        <w:rPr>
          <w:b/>
          <w:sz w:val="20"/>
          <w:szCs w:val="20"/>
          <w:lang w:val="fr-CA"/>
        </w:rPr>
        <w:lastRenderedPageBreak/>
        <w:t>Contexte</w:t>
      </w:r>
    </w:p>
    <w:p w:rsidR="000F7E6D" w:rsidRPr="000F7E6D" w:rsidRDefault="000F7E6D" w:rsidP="000F7E6D">
      <w:pPr>
        <w:contextualSpacing/>
        <w:rPr>
          <w:sz w:val="20"/>
          <w:szCs w:val="20"/>
          <w:lang w:val="fr-CA"/>
        </w:rPr>
      </w:pPr>
    </w:p>
    <w:p w:rsidR="000F7E6D" w:rsidRPr="000F7E6D" w:rsidRDefault="000F7E6D" w:rsidP="000F7E6D">
      <w:pPr>
        <w:rPr>
          <w:sz w:val="20"/>
          <w:szCs w:val="20"/>
          <w:lang w:val="fr-FR"/>
        </w:rPr>
      </w:pPr>
      <w:r w:rsidRPr="000F7E6D">
        <w:rPr>
          <w:sz w:val="20"/>
          <w:szCs w:val="20"/>
          <w:lang w:val="fr-FR"/>
        </w:rPr>
        <w:t xml:space="preserve">Le 11 juillet 2013, la Cour a rejeté la demande d’autorisation déposée par la demanderesse, avec dépens.  Il s’agissait d’une affaire opposant la demanderesse Mitra </w:t>
      </w:r>
      <w:proofErr w:type="spellStart"/>
      <w:r w:rsidRPr="000F7E6D">
        <w:rPr>
          <w:sz w:val="20"/>
          <w:szCs w:val="20"/>
          <w:lang w:val="fr-FR"/>
        </w:rPr>
        <w:t>Javanmardi</w:t>
      </w:r>
      <w:proofErr w:type="spellEnd"/>
      <w:r w:rsidRPr="000F7E6D">
        <w:rPr>
          <w:sz w:val="20"/>
          <w:szCs w:val="20"/>
          <w:lang w:val="fr-FR"/>
        </w:rPr>
        <w:t xml:space="preserve"> à l’intimé le Collège des médecins du Québec (le « Collège »). </w:t>
      </w:r>
    </w:p>
    <w:p w:rsidR="000F7E6D" w:rsidRPr="000F7E6D" w:rsidRDefault="000F7E6D" w:rsidP="000F7E6D">
      <w:pPr>
        <w:rPr>
          <w:sz w:val="20"/>
          <w:szCs w:val="20"/>
          <w:lang w:val="fr-FR"/>
        </w:rPr>
      </w:pPr>
    </w:p>
    <w:p w:rsidR="000F7E6D" w:rsidRPr="000F7E6D" w:rsidRDefault="000F7E6D" w:rsidP="000F7E6D">
      <w:pPr>
        <w:rPr>
          <w:sz w:val="20"/>
          <w:szCs w:val="20"/>
          <w:lang w:val="fr-CA"/>
        </w:rPr>
      </w:pPr>
      <w:r w:rsidRPr="000F7E6D">
        <w:rPr>
          <w:sz w:val="20"/>
          <w:szCs w:val="20"/>
          <w:lang w:val="fr-FR"/>
        </w:rPr>
        <w:t xml:space="preserve">La demanderesse est naturopathe qui exploite une clinique à Montréal.  En 2008, le Collège a obtenu une injonction lui interdisant de poser des actes réservés aux médecins, de donner lieu à croire qu'elle est autorisée à exercer la profession de médecin et de posséder des médicaments à prescription, sauf pour des médicaments qu'elle ou des membres de sa famille se sont fait prescrire, tant que la poursuite pénale dirigée contre elle n'a pas été réglée.  À la suite d'une enquête du Collège en 2009, une instance a été introduite contre la demanderesse, alléguant qu'elle avait contrevenu à l'injonction et qu'elle était coupable d'outrage au tribunal. </w:t>
      </w:r>
    </w:p>
    <w:p w:rsidR="000F7E6D" w:rsidRPr="000F7E6D" w:rsidRDefault="000F7E6D" w:rsidP="000F7E6D">
      <w:pPr>
        <w:rPr>
          <w:sz w:val="20"/>
          <w:szCs w:val="20"/>
          <w:lang w:val="fr-CA"/>
        </w:rPr>
      </w:pPr>
    </w:p>
    <w:p w:rsidR="000F7E6D" w:rsidRPr="000F7E6D" w:rsidRDefault="000F7E6D" w:rsidP="000F7E6D">
      <w:pPr>
        <w:rPr>
          <w:sz w:val="20"/>
          <w:szCs w:val="20"/>
          <w:lang w:val="fr-FR"/>
        </w:rPr>
      </w:pPr>
      <w:r w:rsidRPr="000F7E6D">
        <w:rPr>
          <w:sz w:val="20"/>
          <w:szCs w:val="20"/>
          <w:lang w:val="fr-FR"/>
        </w:rPr>
        <w:t xml:space="preserve">Les questions en litige dont la demanderesse désirait saisir cette Cour étaient les suivantes : </w:t>
      </w:r>
    </w:p>
    <w:p w:rsidR="000F7E6D" w:rsidRPr="000F7E6D" w:rsidRDefault="000F7E6D" w:rsidP="000F7E6D">
      <w:pPr>
        <w:pStyle w:val="ListParagraph"/>
        <w:numPr>
          <w:ilvl w:val="0"/>
          <w:numId w:val="8"/>
        </w:numPr>
        <w:jc w:val="both"/>
        <w:rPr>
          <w:sz w:val="20"/>
          <w:szCs w:val="20"/>
          <w:lang w:val="fr-FR"/>
        </w:rPr>
      </w:pPr>
      <w:r w:rsidRPr="000F7E6D">
        <w:rPr>
          <w:sz w:val="20"/>
          <w:szCs w:val="20"/>
          <w:lang w:val="fr-FR"/>
        </w:rPr>
        <w:t xml:space="preserve">Le fait d’écrire le nom d'une substance qui peut être obtenue sans ordonnance constitue-t-il l'acte de délivrer une ordonnance réservé exclusivement aux médecins? </w:t>
      </w:r>
    </w:p>
    <w:p w:rsidR="000F7E6D" w:rsidRPr="000F7E6D" w:rsidRDefault="000F7E6D" w:rsidP="000F7E6D">
      <w:pPr>
        <w:pStyle w:val="ListParagraph"/>
        <w:numPr>
          <w:ilvl w:val="0"/>
          <w:numId w:val="8"/>
        </w:numPr>
        <w:ind w:left="1418" w:hanging="709"/>
        <w:jc w:val="both"/>
        <w:rPr>
          <w:sz w:val="20"/>
          <w:szCs w:val="20"/>
          <w:lang w:val="fr-FR"/>
        </w:rPr>
      </w:pPr>
      <w:r w:rsidRPr="000F7E6D">
        <w:rPr>
          <w:sz w:val="20"/>
          <w:szCs w:val="20"/>
          <w:lang w:val="fr-FR"/>
        </w:rPr>
        <w:t>Les tribunaux peuvent-ils inférer de la rédaction du nom d'une substance qu'il y a eu prescription et diagnostic?</w:t>
      </w:r>
    </w:p>
    <w:p w:rsidR="000F7E6D" w:rsidRPr="000F7E6D" w:rsidRDefault="000F7E6D" w:rsidP="000F7E6D">
      <w:pPr>
        <w:rPr>
          <w:sz w:val="20"/>
          <w:szCs w:val="20"/>
          <w:lang w:val="fr-FR"/>
        </w:rPr>
      </w:pPr>
    </w:p>
    <w:p w:rsidR="000F7E6D" w:rsidRPr="000F7E6D" w:rsidRDefault="000F7E6D" w:rsidP="000F7E6D">
      <w:pPr>
        <w:rPr>
          <w:sz w:val="20"/>
          <w:szCs w:val="20"/>
          <w:lang w:val="fr-FR"/>
        </w:rPr>
      </w:pPr>
    </w:p>
    <w:p w:rsidR="000F7E6D" w:rsidRPr="000F7E6D" w:rsidRDefault="000F7E6D" w:rsidP="000F7E6D">
      <w:pPr>
        <w:rPr>
          <w:sz w:val="20"/>
          <w:szCs w:val="20"/>
          <w:lang w:val="fr-FR"/>
        </w:rPr>
      </w:pPr>
      <w:r w:rsidRPr="000F7E6D">
        <w:rPr>
          <w:sz w:val="20"/>
          <w:szCs w:val="20"/>
          <w:lang w:val="fr-FR"/>
        </w:rPr>
        <w:t>La présente taxation soulève une question visant à déterminer si des débours réclamés par l’intimé sont excessifs et injustifiés en lien avec la reproduction de sa réponse (à la demande d’autorisation de la demanderesse) et de son recueil des sources.</w:t>
      </w:r>
    </w:p>
    <w:p w:rsidR="000F7E6D" w:rsidRPr="000F7E6D" w:rsidRDefault="000F7E6D" w:rsidP="000F7E6D">
      <w:pPr>
        <w:rPr>
          <w:sz w:val="20"/>
          <w:szCs w:val="20"/>
          <w:lang w:val="fr-FR"/>
        </w:rPr>
      </w:pPr>
    </w:p>
    <w:p w:rsidR="000F7E6D" w:rsidRPr="000F7E6D" w:rsidRDefault="000F7E6D" w:rsidP="000F7E6D">
      <w:pPr>
        <w:rPr>
          <w:b/>
          <w:sz w:val="20"/>
          <w:szCs w:val="20"/>
          <w:lang w:val="fr-FR"/>
        </w:rPr>
      </w:pPr>
      <w:r w:rsidRPr="000F7E6D">
        <w:rPr>
          <w:b/>
          <w:sz w:val="20"/>
          <w:szCs w:val="20"/>
          <w:lang w:val="fr-FR"/>
        </w:rPr>
        <w:t xml:space="preserve">Honoraires et débours réclamés par l’intimé </w:t>
      </w:r>
    </w:p>
    <w:p w:rsidR="000F7E6D" w:rsidRPr="000F7E6D" w:rsidRDefault="000F7E6D" w:rsidP="000F7E6D">
      <w:pPr>
        <w:rPr>
          <w:sz w:val="20"/>
          <w:szCs w:val="20"/>
          <w:lang w:val="fr-FR"/>
        </w:rPr>
      </w:pPr>
    </w:p>
    <w:p w:rsidR="000F7E6D" w:rsidRPr="000F7E6D" w:rsidRDefault="000F7E6D" w:rsidP="000F7E6D">
      <w:pPr>
        <w:rPr>
          <w:sz w:val="20"/>
          <w:szCs w:val="20"/>
          <w:lang w:val="fr-FR"/>
        </w:rPr>
      </w:pPr>
      <w:r w:rsidRPr="000F7E6D">
        <w:rPr>
          <w:sz w:val="20"/>
          <w:szCs w:val="20"/>
          <w:lang w:val="fr-FR"/>
        </w:rPr>
        <w:t xml:space="preserve">Dans son mémoire de frais, l’intimé réclame des honoraires de 1 047,60$ pour la rédaction du premier exemplaire de sa réponse à la demande d’autorisation.  Ce total correspond à une somme de 1,35$ par page, pour un total de 776 pages.  De plus, celui-ci réclame 5 301,12$ en débours et taxes pour la reproduction de sa réponse et recueil de sources. À ces demandes de taxation s’ajoute une réclamation pour des débours et taxes applicables d’un montant de 75,00$ en lien avec l’avis de taxation ainsi que des honoraires de 800,00$ pour la rédaction de la réponse à la demande d’autorisation.  </w:t>
      </w:r>
    </w:p>
    <w:p w:rsidR="000F7E6D" w:rsidRPr="000F7E6D" w:rsidRDefault="000F7E6D" w:rsidP="000F7E6D">
      <w:pPr>
        <w:rPr>
          <w:sz w:val="20"/>
          <w:szCs w:val="20"/>
          <w:lang w:val="fr-FR"/>
        </w:rPr>
      </w:pPr>
    </w:p>
    <w:p w:rsidR="000F7E6D" w:rsidRPr="000F7E6D" w:rsidRDefault="000F7E6D" w:rsidP="000F7E6D">
      <w:pPr>
        <w:rPr>
          <w:sz w:val="20"/>
          <w:szCs w:val="20"/>
          <w:lang w:val="fr-FR"/>
        </w:rPr>
      </w:pPr>
      <w:r w:rsidRPr="000F7E6D">
        <w:rPr>
          <w:sz w:val="20"/>
          <w:szCs w:val="20"/>
          <w:lang w:val="fr-FR"/>
        </w:rPr>
        <w:t>Le total réclamé aux fins de la taxation est de 7 223,72$.</w:t>
      </w:r>
    </w:p>
    <w:p w:rsidR="000F7E6D" w:rsidRPr="000F7E6D" w:rsidRDefault="000F7E6D" w:rsidP="000F7E6D">
      <w:pPr>
        <w:rPr>
          <w:sz w:val="20"/>
          <w:szCs w:val="20"/>
          <w:lang w:val="fr-FR"/>
        </w:rPr>
      </w:pPr>
    </w:p>
    <w:p w:rsidR="000F7E6D" w:rsidRPr="000F7E6D" w:rsidRDefault="000F7E6D" w:rsidP="000F7E6D">
      <w:pPr>
        <w:rPr>
          <w:sz w:val="20"/>
          <w:szCs w:val="20"/>
          <w:lang w:val="fr-FR"/>
        </w:rPr>
      </w:pPr>
    </w:p>
    <w:p w:rsidR="000F7E6D" w:rsidRPr="000F7E6D" w:rsidRDefault="000F7E6D" w:rsidP="000F7E6D">
      <w:pPr>
        <w:rPr>
          <w:b/>
          <w:sz w:val="20"/>
          <w:szCs w:val="20"/>
          <w:lang w:val="fr-FR"/>
        </w:rPr>
      </w:pPr>
      <w:r w:rsidRPr="000F7E6D">
        <w:rPr>
          <w:b/>
          <w:sz w:val="20"/>
          <w:szCs w:val="20"/>
          <w:lang w:val="fr-FR"/>
        </w:rPr>
        <w:t>Objections de la demanderesse relativement aux débours réclamés par l’intimé</w:t>
      </w:r>
    </w:p>
    <w:p w:rsidR="000F7E6D" w:rsidRPr="000F7E6D" w:rsidRDefault="000F7E6D" w:rsidP="000F7E6D">
      <w:pPr>
        <w:rPr>
          <w:b/>
          <w:sz w:val="20"/>
          <w:szCs w:val="20"/>
          <w:lang w:val="fr-FR"/>
        </w:rPr>
      </w:pPr>
    </w:p>
    <w:p w:rsidR="000F7E6D" w:rsidRPr="000F7E6D" w:rsidRDefault="000F7E6D" w:rsidP="000F7E6D">
      <w:pPr>
        <w:rPr>
          <w:sz w:val="20"/>
          <w:szCs w:val="20"/>
        </w:rPr>
      </w:pPr>
      <w:r w:rsidRPr="000F7E6D">
        <w:rPr>
          <w:sz w:val="20"/>
          <w:szCs w:val="20"/>
          <w:lang w:val="fr-FR"/>
        </w:rPr>
        <w:t xml:space="preserve">La demanderesse ne conteste pas la réclamation de 1 847,60$ en honoraires de la part de l’intimé: c’est-à-dire des honoraires de 800,00$ réclamés pour la rédaction de la réponse et de 1 047,60$ pour la rédaction du premier exemplaire de la réponse. Plutôt, celle-ci conteste le montant de 5 301,12$ réclamé à titre de débours et taxes applicables pour la reproduction de la réponse et recueil des sources devant être déposé en cette Cour.  </w:t>
      </w:r>
      <w:proofErr w:type="spellStart"/>
      <w:r w:rsidRPr="000F7E6D">
        <w:rPr>
          <w:sz w:val="20"/>
          <w:szCs w:val="20"/>
        </w:rPr>
        <w:t>Selon</w:t>
      </w:r>
      <w:proofErr w:type="spellEnd"/>
      <w:r w:rsidRPr="000F7E6D">
        <w:rPr>
          <w:sz w:val="20"/>
          <w:szCs w:val="20"/>
        </w:rPr>
        <w:t xml:space="preserve"> la </w:t>
      </w:r>
      <w:proofErr w:type="spellStart"/>
      <w:r w:rsidRPr="000F7E6D">
        <w:rPr>
          <w:sz w:val="20"/>
          <w:szCs w:val="20"/>
        </w:rPr>
        <w:t>demanderesse</w:t>
      </w:r>
      <w:proofErr w:type="spellEnd"/>
      <w:r w:rsidRPr="000F7E6D">
        <w:rPr>
          <w:sz w:val="20"/>
          <w:szCs w:val="20"/>
        </w:rPr>
        <w:t>:</w:t>
      </w:r>
    </w:p>
    <w:p w:rsidR="000F7E6D" w:rsidRPr="000F7E6D" w:rsidRDefault="000F7E6D" w:rsidP="000F7E6D">
      <w:pPr>
        <w:rPr>
          <w:sz w:val="20"/>
          <w:szCs w:val="20"/>
        </w:rPr>
      </w:pPr>
    </w:p>
    <w:p w:rsidR="000F7E6D" w:rsidRPr="000F7E6D" w:rsidRDefault="000F7E6D" w:rsidP="000F7E6D">
      <w:pPr>
        <w:ind w:left="993" w:right="855"/>
        <w:rPr>
          <w:sz w:val="20"/>
          <w:szCs w:val="20"/>
        </w:rPr>
      </w:pPr>
      <w:r w:rsidRPr="000F7E6D">
        <w:rPr>
          <w:sz w:val="20"/>
          <w:szCs w:val="20"/>
        </w:rPr>
        <w:t xml:space="preserve">. . . </w:t>
      </w:r>
      <w:proofErr w:type="gramStart"/>
      <w:r w:rsidRPr="000F7E6D">
        <w:rPr>
          <w:sz w:val="20"/>
          <w:szCs w:val="20"/>
        </w:rPr>
        <w:t>the</w:t>
      </w:r>
      <w:proofErr w:type="gramEnd"/>
      <w:r w:rsidRPr="000F7E6D">
        <w:rPr>
          <w:sz w:val="20"/>
          <w:szCs w:val="20"/>
        </w:rPr>
        <w:t xml:space="preserve"> photocopying charges claimed are excessive and unjustifiable.  They were in no way necessary to the questions submitted in the application.  Applicant argued that the action taken by her could not amount to prescription or diagnosis for reasons of </w:t>
      </w:r>
      <w:r w:rsidRPr="000F7E6D">
        <w:rPr>
          <w:sz w:val="20"/>
          <w:szCs w:val="20"/>
          <w:u w:val="single"/>
        </w:rPr>
        <w:t>law</w:t>
      </w:r>
      <w:r w:rsidRPr="000F7E6D">
        <w:rPr>
          <w:sz w:val="20"/>
          <w:szCs w:val="20"/>
        </w:rPr>
        <w:t xml:space="preserve">.  It was completely gratuitous for Respondent to submit the entire record at this time.  It is obvious too, from Respondent’s argument that this record was not needed and that the argument did not depend on it. </w:t>
      </w:r>
    </w:p>
    <w:p w:rsidR="000F7E6D" w:rsidRPr="000F7E6D" w:rsidRDefault="000F7E6D" w:rsidP="000F7E6D">
      <w:pPr>
        <w:ind w:left="993" w:right="855"/>
        <w:rPr>
          <w:sz w:val="20"/>
          <w:szCs w:val="20"/>
        </w:rPr>
      </w:pPr>
    </w:p>
    <w:p w:rsidR="000F7E6D" w:rsidRPr="000F7E6D" w:rsidRDefault="000F7E6D" w:rsidP="000F7E6D">
      <w:pPr>
        <w:ind w:left="993" w:right="855"/>
        <w:rPr>
          <w:sz w:val="20"/>
          <w:szCs w:val="20"/>
        </w:rPr>
      </w:pPr>
      <w:r w:rsidRPr="000F7E6D">
        <w:rPr>
          <w:sz w:val="20"/>
          <w:szCs w:val="20"/>
        </w:rPr>
        <w:t>The result is to make the costs three times more expensive than in most applications. . . .</w:t>
      </w:r>
    </w:p>
    <w:p w:rsidR="000F7E6D" w:rsidRPr="000F7E6D" w:rsidRDefault="000F7E6D" w:rsidP="000F7E6D">
      <w:pPr>
        <w:ind w:right="-432"/>
        <w:rPr>
          <w:sz w:val="20"/>
          <w:szCs w:val="20"/>
          <w:lang w:val="en-US"/>
        </w:rPr>
      </w:pPr>
    </w:p>
    <w:p w:rsidR="000F7E6D" w:rsidRPr="000F7E6D" w:rsidRDefault="000F7E6D" w:rsidP="000F7E6D">
      <w:pPr>
        <w:ind w:right="-432"/>
        <w:rPr>
          <w:sz w:val="20"/>
          <w:szCs w:val="20"/>
          <w:lang w:val="fr-FR"/>
        </w:rPr>
      </w:pPr>
      <w:r w:rsidRPr="000F7E6D">
        <w:rPr>
          <w:sz w:val="20"/>
          <w:szCs w:val="20"/>
          <w:lang w:val="fr-FR"/>
        </w:rPr>
        <w:t xml:space="preserve">En réaction à cette objection, l’intimé soutient que les documents inclus à sa réponse étaient nécessaires à la fois à l’adjudication sur le fond d’un éventuel appel, mais également à l’adjudication de la demande d’autorisation d’en appeler. Leur dépôt s’avérait nécessaire en raison du fait que la demanderesse a choisi de ne pas inclure ces documents essentiels </w:t>
      </w:r>
      <w:r w:rsidRPr="000F7E6D">
        <w:rPr>
          <w:sz w:val="20"/>
          <w:szCs w:val="20"/>
          <w:lang w:val="fr-FR"/>
        </w:rPr>
        <w:lastRenderedPageBreak/>
        <w:t>dans son dossier. D’autant plus selon l’intimé, les questions soulevées par la demanderesse étaient des questions mixtes de faits et de droit qui nécessitaient un examen attentif des documents mis en preuve devant la Cour d’appel du Québec. Selon l’intimé, ce n’est qu’à la lumière des dossiers des patients concernés et des notes manuscrites de la demanderesse que cette Cour pouvait être en mesure de déterminer si la Cour d’appel du Québec avait commis une erreur de droit de nature à justifier l’octroi de l’autorisation d’en appeler.  Ainsi, l’intimé soutient qu’il serait injuste de le priver de la taxation des débours correspondant aux frais de reprographie de ces documents.</w:t>
      </w:r>
    </w:p>
    <w:p w:rsidR="000F7E6D" w:rsidRPr="000F7E6D" w:rsidRDefault="000F7E6D" w:rsidP="000F7E6D">
      <w:pPr>
        <w:rPr>
          <w:sz w:val="20"/>
          <w:szCs w:val="20"/>
          <w:lang w:val="fr-FR"/>
        </w:rPr>
      </w:pPr>
    </w:p>
    <w:p w:rsidR="000F7E6D" w:rsidRPr="000F7E6D" w:rsidRDefault="000F7E6D" w:rsidP="000F7E6D">
      <w:pPr>
        <w:rPr>
          <w:sz w:val="20"/>
          <w:szCs w:val="20"/>
          <w:lang w:val="en-US"/>
        </w:rPr>
      </w:pPr>
      <w:r w:rsidRPr="000F7E6D">
        <w:rPr>
          <w:sz w:val="20"/>
          <w:szCs w:val="20"/>
          <w:lang w:val="fr-FR"/>
        </w:rPr>
        <w:t xml:space="preserve">Dans sa </w:t>
      </w:r>
      <w:proofErr w:type="spellStart"/>
      <w:r w:rsidRPr="000F7E6D">
        <w:rPr>
          <w:sz w:val="20"/>
          <w:szCs w:val="20"/>
          <w:lang w:val="fr-FR"/>
        </w:rPr>
        <w:t>surréplique</w:t>
      </w:r>
      <w:proofErr w:type="spellEnd"/>
      <w:r w:rsidRPr="000F7E6D">
        <w:rPr>
          <w:sz w:val="20"/>
          <w:szCs w:val="20"/>
          <w:lang w:val="fr-FR"/>
        </w:rPr>
        <w:t xml:space="preserve">, la demanderesse fait valoir que, bien qu’un intimé puisse déposer des extraits du dossier de preuve lui permettant d’aborder certaines questions, ces extraits doivent néanmoins être pertinents aux arguments soulevés par l’une ou l’autre des parties. Relativement à une demande d’autorisation d’appel, la demanderesse soutient qu’il n’est pas nécessaire de déposer l’ensemble du dossier de preuve.  </w:t>
      </w:r>
      <w:r w:rsidRPr="000F7E6D">
        <w:rPr>
          <w:sz w:val="20"/>
          <w:szCs w:val="20"/>
          <w:lang w:val="en-US"/>
        </w:rPr>
        <w:t xml:space="preserve">Elle </w:t>
      </w:r>
      <w:proofErr w:type="spellStart"/>
      <w:proofErr w:type="gramStart"/>
      <w:r w:rsidRPr="000F7E6D">
        <w:rPr>
          <w:sz w:val="20"/>
          <w:szCs w:val="20"/>
          <w:lang w:val="en-US"/>
        </w:rPr>
        <w:t>écrit</w:t>
      </w:r>
      <w:proofErr w:type="spellEnd"/>
      <w:r w:rsidRPr="000F7E6D">
        <w:rPr>
          <w:sz w:val="20"/>
          <w:szCs w:val="20"/>
          <w:lang w:val="en-US"/>
        </w:rPr>
        <w:t> :</w:t>
      </w:r>
      <w:proofErr w:type="gramEnd"/>
      <w:r w:rsidRPr="000F7E6D">
        <w:rPr>
          <w:sz w:val="20"/>
          <w:szCs w:val="20"/>
          <w:lang w:val="en-US"/>
        </w:rPr>
        <w:t xml:space="preserve"> </w:t>
      </w:r>
    </w:p>
    <w:p w:rsidR="000F7E6D" w:rsidRPr="000F7E6D" w:rsidRDefault="000F7E6D" w:rsidP="000F7E6D">
      <w:pPr>
        <w:rPr>
          <w:sz w:val="20"/>
          <w:szCs w:val="20"/>
          <w:lang w:val="en-US"/>
        </w:rPr>
      </w:pPr>
    </w:p>
    <w:p w:rsidR="000F7E6D" w:rsidRPr="000F7E6D" w:rsidRDefault="000F7E6D" w:rsidP="000F7E6D">
      <w:pPr>
        <w:ind w:left="993" w:right="855"/>
        <w:rPr>
          <w:sz w:val="20"/>
          <w:szCs w:val="20"/>
          <w:lang w:val="en-US"/>
        </w:rPr>
      </w:pPr>
      <w:r w:rsidRPr="000F7E6D">
        <w:rPr>
          <w:sz w:val="20"/>
          <w:szCs w:val="20"/>
          <w:lang w:val="en-US"/>
        </w:rPr>
        <w:t xml:space="preserve">It is our belief that the intention of the legislator was to permit a swift determination of those issues where leave should be granted, without the massive reproduction of lower court records or transcripts, but only the very pertinent short extracts. </w:t>
      </w:r>
    </w:p>
    <w:p w:rsidR="000F7E6D" w:rsidRPr="000F7E6D" w:rsidRDefault="000F7E6D" w:rsidP="000F7E6D">
      <w:pPr>
        <w:rPr>
          <w:sz w:val="20"/>
          <w:szCs w:val="20"/>
          <w:lang w:val="en-US"/>
        </w:rPr>
      </w:pPr>
    </w:p>
    <w:p w:rsidR="000F7E6D" w:rsidRPr="000F7E6D" w:rsidRDefault="000F7E6D" w:rsidP="000F7E6D">
      <w:pPr>
        <w:contextualSpacing/>
        <w:rPr>
          <w:sz w:val="20"/>
          <w:szCs w:val="20"/>
        </w:rPr>
      </w:pPr>
    </w:p>
    <w:p w:rsidR="000F7E6D" w:rsidRPr="000F7E6D" w:rsidRDefault="000F7E6D" w:rsidP="000F7E6D">
      <w:pPr>
        <w:contextualSpacing/>
        <w:rPr>
          <w:b/>
          <w:sz w:val="20"/>
          <w:szCs w:val="20"/>
          <w:lang w:val="fr-CA"/>
        </w:rPr>
      </w:pPr>
      <w:r w:rsidRPr="000F7E6D">
        <w:rPr>
          <w:b/>
          <w:sz w:val="20"/>
          <w:szCs w:val="20"/>
          <w:lang w:val="fr-CA"/>
        </w:rPr>
        <w:t>Analyse</w:t>
      </w: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CA"/>
        </w:rPr>
      </w:pPr>
      <w:r w:rsidRPr="000F7E6D">
        <w:rPr>
          <w:sz w:val="20"/>
          <w:szCs w:val="20"/>
          <w:lang w:val="fr-CA"/>
        </w:rPr>
        <w:t xml:space="preserve">C’est un principe bien établi que les parties doivent « minimiser les frais dans toute la mesure du possible » : voir la décision rendue le 16 mars 2000 en matière de taxation dans </w:t>
      </w:r>
      <w:r w:rsidRPr="000F7E6D">
        <w:rPr>
          <w:i/>
          <w:sz w:val="20"/>
          <w:szCs w:val="20"/>
          <w:lang w:val="fr-CA"/>
        </w:rPr>
        <w:t>Pétroles Therrien Inc. c. 156 036 Canada Inc.</w:t>
      </w:r>
      <w:r w:rsidRPr="000F7E6D">
        <w:rPr>
          <w:sz w:val="20"/>
          <w:szCs w:val="20"/>
          <w:lang w:val="fr-CA"/>
        </w:rPr>
        <w:t xml:space="preserve"> (Bulletin de la CSC, 2000, p. 620).  Les règles 25(1)</w:t>
      </w:r>
      <w:r w:rsidRPr="000F7E6D">
        <w:rPr>
          <w:i/>
          <w:sz w:val="20"/>
          <w:szCs w:val="20"/>
          <w:lang w:val="fr-CA"/>
        </w:rPr>
        <w:t>d)</w:t>
      </w:r>
      <w:r w:rsidRPr="000F7E6D">
        <w:rPr>
          <w:sz w:val="20"/>
          <w:szCs w:val="20"/>
          <w:lang w:val="fr-CA"/>
        </w:rPr>
        <w:t>, 25(3) et 27(2)</w:t>
      </w:r>
      <w:r w:rsidRPr="000F7E6D">
        <w:rPr>
          <w:i/>
          <w:sz w:val="20"/>
          <w:szCs w:val="20"/>
          <w:lang w:val="fr-CA"/>
        </w:rPr>
        <w:t>b)</w:t>
      </w:r>
      <w:r w:rsidRPr="000F7E6D">
        <w:rPr>
          <w:sz w:val="20"/>
          <w:szCs w:val="20"/>
          <w:lang w:val="fr-CA"/>
        </w:rPr>
        <w:t xml:space="preserve"> des </w:t>
      </w:r>
      <w:r w:rsidRPr="000F7E6D">
        <w:rPr>
          <w:i/>
          <w:sz w:val="20"/>
          <w:szCs w:val="20"/>
          <w:lang w:val="fr-CA"/>
        </w:rPr>
        <w:t>Règles de la Cour suprême</w:t>
      </w:r>
      <w:r w:rsidRPr="000F7E6D">
        <w:rPr>
          <w:sz w:val="20"/>
          <w:szCs w:val="20"/>
          <w:lang w:val="fr-CA"/>
        </w:rPr>
        <w:t xml:space="preserve"> </w:t>
      </w:r>
      <w:r w:rsidRPr="000F7E6D">
        <w:rPr>
          <w:i/>
          <w:sz w:val="20"/>
          <w:szCs w:val="20"/>
          <w:lang w:val="fr-CA"/>
        </w:rPr>
        <w:t>du Canada</w:t>
      </w:r>
      <w:r w:rsidRPr="000F7E6D">
        <w:rPr>
          <w:sz w:val="20"/>
          <w:szCs w:val="20"/>
          <w:lang w:val="fr-CA"/>
        </w:rPr>
        <w:t xml:space="preserve">, DORS/2002-156 visent également à réitérer ce principe dans le contexte de demandes d’autorisation d’en appeler.  Toute comme une partie demanderesse doit veiller à ne déposer que les extraits du dossier pertinents à la détermination de l’octroi ou non de l’autorisation d’en appeler, l’intimé doit également faire ainsi dans la préparation de sa réponse. </w:t>
      </w: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CA"/>
        </w:rPr>
      </w:pPr>
      <w:r w:rsidRPr="000F7E6D">
        <w:rPr>
          <w:sz w:val="20"/>
          <w:szCs w:val="20"/>
          <w:lang w:val="fr-CA"/>
        </w:rPr>
        <w:t xml:space="preserve">Tel qu’énoncé dans les affaires </w:t>
      </w:r>
      <w:r w:rsidRPr="000F7E6D">
        <w:rPr>
          <w:i/>
          <w:sz w:val="20"/>
          <w:szCs w:val="20"/>
          <w:lang w:val="fr-CA"/>
        </w:rPr>
        <w:t>1560036 Canada Inc. c. Les Pétroles Therrien Inc.  (</w:t>
      </w:r>
      <w:proofErr w:type="spellStart"/>
      <w:r w:rsidRPr="000F7E6D">
        <w:rPr>
          <w:i/>
          <w:sz w:val="20"/>
          <w:szCs w:val="20"/>
          <w:lang w:val="fr-CA"/>
        </w:rPr>
        <w:t>Qué</w:t>
      </w:r>
      <w:proofErr w:type="spellEnd"/>
      <w:r w:rsidRPr="000F7E6D">
        <w:rPr>
          <w:i/>
          <w:sz w:val="20"/>
          <w:szCs w:val="20"/>
          <w:lang w:val="fr-CA"/>
        </w:rPr>
        <w:t>.)</w:t>
      </w:r>
      <w:r w:rsidRPr="000F7E6D">
        <w:rPr>
          <w:sz w:val="20"/>
          <w:szCs w:val="20"/>
          <w:lang w:val="fr-CA"/>
        </w:rPr>
        <w:t xml:space="preserve">  27158, Bulletin des procédures de la Cour suprême du Canada, 7 avril 2000 et </w:t>
      </w:r>
      <w:proofErr w:type="spellStart"/>
      <w:r w:rsidRPr="000F7E6D">
        <w:rPr>
          <w:i/>
          <w:sz w:val="20"/>
          <w:szCs w:val="20"/>
          <w:lang w:val="fr-CA"/>
        </w:rPr>
        <w:t>Ouimette</w:t>
      </w:r>
      <w:proofErr w:type="spellEnd"/>
      <w:r w:rsidRPr="000F7E6D">
        <w:rPr>
          <w:i/>
          <w:sz w:val="20"/>
          <w:szCs w:val="20"/>
          <w:lang w:val="fr-CA"/>
        </w:rPr>
        <w:t xml:space="preserve"> c. P.G. Québec</w:t>
      </w:r>
      <w:r w:rsidRPr="000F7E6D">
        <w:rPr>
          <w:sz w:val="20"/>
          <w:szCs w:val="20"/>
          <w:lang w:val="fr-CA"/>
        </w:rPr>
        <w:t xml:space="preserve">, 29279, Bulletin des procédures de la Cour suprême du Canada, 12 septembre 2003, les parties doivent minimiser les frais dans toute la mesure du possible, en particulier en ce qui a trait à la reproduction extensive des témoignages, de la jurisprudence et d’autres autorités.  </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 xml:space="preserve">Une partie à une demande d’autorisation d’en appeler ne devrait inclure dans sa demande ou sa réponse que de courts extraits des documents et éléments de preuve pertinents à l’évaluation que doit effectuer la Cour en vertu du paragraphe 40(1) de la </w:t>
      </w:r>
      <w:r w:rsidRPr="000F7E6D">
        <w:rPr>
          <w:i/>
          <w:sz w:val="20"/>
          <w:szCs w:val="20"/>
          <w:lang w:val="fr-CA"/>
        </w:rPr>
        <w:t>Loi sur la Cour suprême</w:t>
      </w:r>
      <w:r w:rsidRPr="000F7E6D">
        <w:rPr>
          <w:sz w:val="20"/>
          <w:szCs w:val="20"/>
          <w:lang w:val="fr-CA"/>
        </w:rPr>
        <w:t xml:space="preserve">, L.R.C. (1985), ch. S-26, c’est-à-dire l’évaluation visant à déterminer si, compte tenu de l’importance de l’affaire pour le public, ou de l’importance des questions de droit ou des questions mixtes de droit et de fait qu’elle comporte, ou de sa nature ou importance à tout égard, qu’elle devrait en être saisie.  Bien qu’un dossier plus étoffé est de mise sur appel, rares seraient les demandes d’autorisation d’appel dans lesquelles le dépôt d’un dossier de preuve complet ou quasi complet serait nécessaire ou pertinent à l’analyse qui s’impose à ce stade des procédures. </w:t>
      </w: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FR"/>
        </w:rPr>
      </w:pPr>
      <w:r w:rsidRPr="000F7E6D">
        <w:rPr>
          <w:sz w:val="20"/>
          <w:szCs w:val="20"/>
          <w:lang w:val="fr-CA"/>
        </w:rPr>
        <w:t xml:space="preserve">Ayant examiné la réponse à la demande d’autorisation et le mémoire de frais de l’intimé, je constate que la réponse comprend quatre volumes </w:t>
      </w:r>
      <w:r w:rsidRPr="000F7E6D">
        <w:rPr>
          <w:sz w:val="20"/>
          <w:szCs w:val="20"/>
          <w:lang w:val="fr-FR"/>
        </w:rPr>
        <w:t xml:space="preserve">et un total de 776 pages par exemplaire. La réponse incluait, entre autres, de nombreux affidavits, des pièces au soutien de la requête introductive d’instance du Collège visant à obtenir une injonction contre la demanderesse, les dossiers des patients concernés par les infractions d’outrage au tribunal reprochées à la demanderesse, y inclus les notes manuscrites de consultation de cette dernière.  Le recueil de sources de l’intimé, quant à lui, comptait un total de 379 pages par exemplaire, dont dix-sept causes reproduites intégralement.  </w:t>
      </w:r>
    </w:p>
    <w:p w:rsidR="000F7E6D" w:rsidRPr="000F7E6D" w:rsidRDefault="000F7E6D" w:rsidP="000F7E6D">
      <w:pPr>
        <w:contextualSpacing/>
        <w:rPr>
          <w:sz w:val="20"/>
          <w:szCs w:val="20"/>
          <w:lang w:val="fr-FR"/>
        </w:rPr>
      </w:pPr>
    </w:p>
    <w:p w:rsidR="000F7E6D" w:rsidRPr="000F7E6D" w:rsidRDefault="000F7E6D" w:rsidP="000F7E6D">
      <w:pPr>
        <w:rPr>
          <w:sz w:val="20"/>
          <w:szCs w:val="20"/>
          <w:lang w:val="fr-CA"/>
        </w:rPr>
      </w:pPr>
      <w:r w:rsidRPr="000F7E6D">
        <w:rPr>
          <w:sz w:val="20"/>
          <w:szCs w:val="20"/>
          <w:lang w:val="fr-FR"/>
        </w:rPr>
        <w:t xml:space="preserve">Je suis d’avis que les débours réclamés par l’intimé en lien avec la reproduction de sa réponse et de son recueil des sources sont excessifs et injustifiés à la lumière du dossier.  </w:t>
      </w:r>
      <w:r w:rsidRPr="000F7E6D">
        <w:rPr>
          <w:sz w:val="20"/>
          <w:szCs w:val="20"/>
          <w:lang w:val="fr-CA"/>
        </w:rPr>
        <w:t xml:space="preserve">Il est manifeste que les documents inclus à la fois à la réponse et au recueil des sources n’étaient pas tous nécessaires à l’exercice à laquelle l’intimé devrait se prêter : démontrer que la demande d’autorisation déposée par la demanderesse ne soulevait pas une question d’une telle importance que la Cour devrait en être saisie.  Or, l’intimé semble avoir préparé sa réponse comme si la Cour allait </w:t>
      </w:r>
      <w:r w:rsidRPr="000F7E6D">
        <w:rPr>
          <w:sz w:val="20"/>
          <w:szCs w:val="20"/>
          <w:lang w:val="fr-CA"/>
        </w:rPr>
        <w:lastRenderedPageBreak/>
        <w:t xml:space="preserve">procéder à l’adjudication sur le fond de l’affaire, sans égard à la nature de l’exercice particulier auquel la Cour doit se livrer à l’étape de la demande d’autorisation d’en appeler. </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Ayant conclu qu’une réclamation de débours est déraisonnable, il importe de décider d’une réduction du montant approprié pour fixer la somme à taxer.  La réclamation totale de débours étant si élevée, il est nécessaire d’y appliquer une réduction importante pour que le montant taxé soit ramené dans l’éventail de ce qui pourrait être jugé raisonnable.</w:t>
      </w:r>
      <w:r w:rsidRPr="000F7E6D">
        <w:rPr>
          <w:b/>
          <w:sz w:val="20"/>
          <w:szCs w:val="20"/>
          <w:lang w:val="fr-CA"/>
        </w:rPr>
        <w:t xml:space="preserve">  </w:t>
      </w:r>
      <w:r w:rsidRPr="000F7E6D">
        <w:rPr>
          <w:sz w:val="20"/>
          <w:szCs w:val="20"/>
          <w:lang w:val="fr-CA"/>
        </w:rPr>
        <w:t xml:space="preserve">Tout comme dans l’affaire </w:t>
      </w:r>
      <w:proofErr w:type="spellStart"/>
      <w:r w:rsidRPr="000F7E6D">
        <w:rPr>
          <w:i/>
          <w:sz w:val="20"/>
          <w:szCs w:val="20"/>
          <w:lang w:val="fr-CA"/>
        </w:rPr>
        <w:t>Jaremko</w:t>
      </w:r>
      <w:proofErr w:type="spellEnd"/>
      <w:r w:rsidRPr="000F7E6D">
        <w:rPr>
          <w:i/>
          <w:sz w:val="20"/>
          <w:szCs w:val="20"/>
          <w:lang w:val="fr-CA"/>
        </w:rPr>
        <w:t xml:space="preserve"> c. </w:t>
      </w:r>
      <w:proofErr w:type="spellStart"/>
      <w:r w:rsidRPr="000F7E6D">
        <w:rPr>
          <w:i/>
          <w:sz w:val="20"/>
          <w:szCs w:val="20"/>
          <w:lang w:val="fr-CA"/>
        </w:rPr>
        <w:t>Metropolitan</w:t>
      </w:r>
      <w:proofErr w:type="spellEnd"/>
      <w:r w:rsidRPr="000F7E6D">
        <w:rPr>
          <w:i/>
          <w:sz w:val="20"/>
          <w:szCs w:val="20"/>
          <w:lang w:val="fr-CA"/>
        </w:rPr>
        <w:t xml:space="preserve"> Toronto Condominium Corp. No. 875</w:t>
      </w:r>
      <w:r w:rsidRPr="000F7E6D">
        <w:rPr>
          <w:sz w:val="20"/>
          <w:szCs w:val="20"/>
          <w:lang w:val="fr-CA"/>
        </w:rPr>
        <w:t xml:space="preserve">, C.S.C., no 26714, 8 juin 1999 (publié dans le Bulletin des procédures de la Cour suprême du Canada, 1999, à la p. 995), je réduirais de moitié les débours demandés au titre de la reproduction de la réponse et du recueil des sources de l’intimé.  </w:t>
      </w:r>
    </w:p>
    <w:p w:rsidR="000F7E6D" w:rsidRPr="000F7E6D" w:rsidRDefault="000F7E6D" w:rsidP="000F7E6D">
      <w:pPr>
        <w:contextualSpacing/>
        <w:rPr>
          <w:b/>
          <w:sz w:val="20"/>
          <w:szCs w:val="20"/>
          <w:lang w:val="fr-CA"/>
        </w:rPr>
      </w:pPr>
    </w:p>
    <w:p w:rsidR="000F7E6D" w:rsidRPr="000F7E6D" w:rsidRDefault="000F7E6D" w:rsidP="000F7E6D">
      <w:pPr>
        <w:rPr>
          <w:sz w:val="20"/>
          <w:szCs w:val="20"/>
          <w:lang w:val="fr-CA"/>
        </w:rPr>
      </w:pPr>
      <w:r w:rsidRPr="000F7E6D">
        <w:rPr>
          <w:sz w:val="20"/>
          <w:szCs w:val="20"/>
          <w:lang w:val="fr-CA"/>
        </w:rPr>
        <w:t>Malgré que les honoraires réclamés par l’intimé pour la rédaction de sa réponse me paraissent plus élevés que nécessaire, la demanderesse n’a formulé aucune objection à ce sujet.  Pour cette raison, ces honoraires ne seront pas réduits.</w:t>
      </w:r>
    </w:p>
    <w:p w:rsidR="000F7E6D" w:rsidRPr="000F7E6D" w:rsidRDefault="000F7E6D" w:rsidP="000F7E6D">
      <w:pPr>
        <w:contextualSpacing/>
        <w:rPr>
          <w:sz w:val="20"/>
          <w:szCs w:val="20"/>
          <w:lang w:val="fr-CA"/>
        </w:rPr>
      </w:pPr>
    </w:p>
    <w:p w:rsidR="000F7E6D" w:rsidRPr="000F7E6D" w:rsidRDefault="000F7E6D" w:rsidP="000F7E6D">
      <w:pPr>
        <w:contextualSpacing/>
        <w:rPr>
          <w:b/>
          <w:sz w:val="20"/>
          <w:szCs w:val="20"/>
          <w:lang w:val="fr-CA"/>
        </w:rPr>
      </w:pPr>
    </w:p>
    <w:p w:rsidR="000F7E6D" w:rsidRPr="000F7E6D" w:rsidRDefault="000F7E6D" w:rsidP="000F7E6D">
      <w:pPr>
        <w:contextualSpacing/>
        <w:rPr>
          <w:b/>
          <w:sz w:val="20"/>
          <w:szCs w:val="20"/>
          <w:lang w:val="fr-CA"/>
        </w:rPr>
      </w:pPr>
      <w:r w:rsidRPr="000F7E6D">
        <w:rPr>
          <w:b/>
          <w:sz w:val="20"/>
          <w:szCs w:val="20"/>
          <w:lang w:val="fr-CA"/>
        </w:rPr>
        <w:t xml:space="preserve">Conclusion </w:t>
      </w: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CA"/>
        </w:rPr>
      </w:pPr>
      <w:r w:rsidRPr="000F7E6D">
        <w:rPr>
          <w:sz w:val="20"/>
          <w:szCs w:val="20"/>
          <w:lang w:val="fr-CA"/>
        </w:rPr>
        <w:t>Pour les motifs exposés précédemment, les débours réclamés par l’intimé dans son mémoire de frais sont réduits selon les modalités suivantes :</w:t>
      </w:r>
    </w:p>
    <w:p w:rsidR="000F7E6D" w:rsidRPr="000F7E6D" w:rsidRDefault="000F7E6D" w:rsidP="000F7E6D">
      <w:pPr>
        <w:contextualSpacing/>
        <w:rPr>
          <w:b/>
          <w:sz w:val="20"/>
          <w:szCs w:val="20"/>
          <w:lang w:val="fr-CA"/>
        </w:rPr>
      </w:pPr>
      <w:r w:rsidRPr="000F7E6D">
        <w:rPr>
          <w:b/>
          <w:sz w:val="20"/>
          <w:szCs w:val="20"/>
          <w:lang w:val="fr-CA"/>
        </w:rPr>
        <w:tab/>
      </w:r>
    </w:p>
    <w:p w:rsidR="000F7E6D" w:rsidRPr="000F7E6D" w:rsidRDefault="000F7E6D" w:rsidP="000F7E6D">
      <w:pPr>
        <w:contextualSpacing/>
        <w:rPr>
          <w:sz w:val="20"/>
          <w:szCs w:val="20"/>
          <w:lang w:val="fr-CA"/>
        </w:rPr>
      </w:pPr>
      <w:r w:rsidRPr="000F7E6D">
        <w:rPr>
          <w:sz w:val="20"/>
          <w:szCs w:val="20"/>
          <w:lang w:val="fr-CA"/>
        </w:rPr>
        <w:tab/>
        <w:t xml:space="preserve">Réduction de 50 p. cent des frais de reproduction de la réponse et le recueil des </w:t>
      </w:r>
      <w:r w:rsidRPr="000F7E6D">
        <w:rPr>
          <w:sz w:val="20"/>
          <w:szCs w:val="20"/>
          <w:lang w:val="fr-CA"/>
        </w:rPr>
        <w:tab/>
        <w:t>sources: 2 650,56$</w:t>
      </w:r>
    </w:p>
    <w:p w:rsidR="000F7E6D" w:rsidRPr="000F7E6D" w:rsidRDefault="000F7E6D" w:rsidP="000F7E6D">
      <w:pPr>
        <w:contextualSpacing/>
        <w:rPr>
          <w:b/>
          <w:sz w:val="20"/>
          <w:szCs w:val="20"/>
          <w:lang w:val="fr-CA"/>
        </w:rPr>
      </w:pP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CA"/>
        </w:rPr>
      </w:pPr>
      <w:r w:rsidRPr="000F7E6D">
        <w:rPr>
          <w:sz w:val="20"/>
          <w:szCs w:val="20"/>
          <w:lang w:val="fr-CA"/>
        </w:rPr>
        <w:t xml:space="preserve">Réduction totale des débours : </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5376,12 $</w:t>
      </w:r>
      <w:r w:rsidRPr="000F7E6D">
        <w:rPr>
          <w:sz w:val="20"/>
          <w:szCs w:val="20"/>
          <w:lang w:val="fr-CA"/>
        </w:rPr>
        <w:tab/>
      </w:r>
      <w:r w:rsidRPr="000F7E6D">
        <w:rPr>
          <w:sz w:val="20"/>
          <w:szCs w:val="20"/>
          <w:lang w:val="fr-CA"/>
        </w:rPr>
        <w:tab/>
        <w:t>Réclamation initiale au titre des débours (taxes incluses)</w:t>
      </w:r>
    </w:p>
    <w:p w:rsidR="000F7E6D" w:rsidRPr="000F7E6D" w:rsidRDefault="000F7E6D" w:rsidP="000F7E6D">
      <w:pPr>
        <w:contextualSpacing/>
        <w:rPr>
          <w:sz w:val="20"/>
          <w:szCs w:val="20"/>
          <w:lang w:val="fr-CA"/>
        </w:rPr>
      </w:pPr>
      <w:r w:rsidRPr="000F7E6D">
        <w:rPr>
          <w:sz w:val="20"/>
          <w:szCs w:val="20"/>
          <w:lang w:val="fr-CA"/>
        </w:rPr>
        <w:t xml:space="preserve"> -2 650,56 $ </w:t>
      </w:r>
      <w:r w:rsidRPr="000F7E6D">
        <w:rPr>
          <w:sz w:val="20"/>
          <w:szCs w:val="20"/>
          <w:lang w:val="fr-CA"/>
        </w:rPr>
        <w:tab/>
        <w:t xml:space="preserve">Réduction de 50% des débours associés à la reproduction de la réponse et </w:t>
      </w:r>
      <w:r w:rsidRPr="000F7E6D">
        <w:rPr>
          <w:sz w:val="20"/>
          <w:szCs w:val="20"/>
          <w:lang w:val="fr-CA"/>
        </w:rPr>
        <w:tab/>
      </w:r>
      <w:r w:rsidRPr="00E1784F">
        <w:rPr>
          <w:sz w:val="20"/>
          <w:szCs w:val="20"/>
          <w:lang w:val="fr-CA"/>
        </w:rPr>
        <w:tab/>
      </w:r>
      <w:r w:rsidRPr="00E1784F">
        <w:rPr>
          <w:sz w:val="20"/>
          <w:szCs w:val="20"/>
          <w:lang w:val="fr-CA"/>
        </w:rPr>
        <w:tab/>
      </w:r>
      <w:r w:rsidRPr="000F7E6D">
        <w:rPr>
          <w:sz w:val="20"/>
          <w:szCs w:val="20"/>
          <w:lang w:val="fr-CA"/>
        </w:rPr>
        <w:tab/>
      </w:r>
      <w:r w:rsidRPr="000F7E6D">
        <w:rPr>
          <w:sz w:val="20"/>
          <w:szCs w:val="20"/>
          <w:lang w:val="fr-CA"/>
        </w:rPr>
        <w:tab/>
        <w:t>du recueil des sources</w:t>
      </w:r>
    </w:p>
    <w:p w:rsidR="000F7E6D" w:rsidRPr="000F7E6D" w:rsidRDefault="000F7E6D" w:rsidP="000F7E6D">
      <w:pPr>
        <w:contextualSpacing/>
        <w:rPr>
          <w:sz w:val="20"/>
          <w:szCs w:val="20"/>
          <w:lang w:val="fr-CA"/>
        </w:rPr>
      </w:pPr>
      <w:r w:rsidRPr="000F7E6D">
        <w:rPr>
          <w:sz w:val="20"/>
          <w:szCs w:val="20"/>
          <w:lang w:val="fr-CA"/>
        </w:rPr>
        <w:t>2 725,56 $</w:t>
      </w:r>
      <w:r w:rsidRPr="000F7E6D">
        <w:rPr>
          <w:sz w:val="20"/>
          <w:szCs w:val="20"/>
          <w:lang w:val="fr-CA"/>
        </w:rPr>
        <w:tab/>
      </w:r>
      <w:r w:rsidRPr="000F7E6D">
        <w:rPr>
          <w:sz w:val="20"/>
          <w:szCs w:val="20"/>
          <w:lang w:val="fr-CA"/>
        </w:rPr>
        <w:tab/>
        <w:t>Total des débours admissibles (taxes incluses)</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TOTAUX</w:t>
      </w:r>
    </w:p>
    <w:p w:rsidR="000F7E6D" w:rsidRPr="000F7E6D" w:rsidRDefault="000F7E6D" w:rsidP="000F7E6D">
      <w:pPr>
        <w:contextualSpacing/>
        <w:rPr>
          <w:b/>
          <w:sz w:val="20"/>
          <w:szCs w:val="20"/>
          <w:lang w:val="fr-CA"/>
        </w:rPr>
      </w:pPr>
    </w:p>
    <w:p w:rsidR="000F7E6D" w:rsidRPr="000F7E6D" w:rsidRDefault="000F7E6D" w:rsidP="000F7E6D">
      <w:pPr>
        <w:contextualSpacing/>
        <w:rPr>
          <w:sz w:val="20"/>
          <w:szCs w:val="20"/>
          <w:lang w:val="fr-CA"/>
        </w:rPr>
      </w:pPr>
      <w:r w:rsidRPr="000F7E6D">
        <w:rPr>
          <w:sz w:val="20"/>
          <w:szCs w:val="20"/>
          <w:lang w:val="fr-CA"/>
        </w:rPr>
        <w:t>Conformément à ce qui précède, le mémoire de frais de l’intimé est taxé de la manière suivante :</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1 847,60 $</w:t>
      </w:r>
      <w:r w:rsidRPr="000F7E6D">
        <w:rPr>
          <w:sz w:val="20"/>
          <w:szCs w:val="20"/>
          <w:lang w:val="fr-CA"/>
        </w:rPr>
        <w:tab/>
      </w:r>
      <w:r w:rsidRPr="000F7E6D">
        <w:rPr>
          <w:sz w:val="20"/>
          <w:szCs w:val="20"/>
          <w:lang w:val="fr-CA"/>
        </w:rPr>
        <w:tab/>
        <w:t xml:space="preserve">Total des honoraires, taxes applicables incluses </w:t>
      </w:r>
    </w:p>
    <w:p w:rsidR="000F7E6D" w:rsidRPr="000F7E6D" w:rsidRDefault="000F7E6D" w:rsidP="000F7E6D">
      <w:pPr>
        <w:contextualSpacing/>
        <w:rPr>
          <w:sz w:val="20"/>
          <w:szCs w:val="20"/>
          <w:lang w:val="fr-CA"/>
        </w:rPr>
      </w:pPr>
      <w:r w:rsidRPr="000F7E6D">
        <w:rPr>
          <w:sz w:val="20"/>
          <w:szCs w:val="20"/>
          <w:u w:val="single"/>
          <w:lang w:val="fr-CA"/>
        </w:rPr>
        <w:t>2 725,56 $</w:t>
      </w:r>
      <w:r w:rsidRPr="000F7E6D">
        <w:rPr>
          <w:sz w:val="20"/>
          <w:szCs w:val="20"/>
          <w:lang w:val="fr-CA"/>
        </w:rPr>
        <w:tab/>
      </w:r>
      <w:r w:rsidRPr="000F7E6D">
        <w:rPr>
          <w:sz w:val="20"/>
          <w:szCs w:val="20"/>
          <w:lang w:val="fr-CA"/>
        </w:rPr>
        <w:tab/>
        <w:t>Total des débours après réduction,  taxes applicables incluses</w:t>
      </w:r>
    </w:p>
    <w:p w:rsidR="000F7E6D" w:rsidRPr="000F7E6D" w:rsidRDefault="000F7E6D" w:rsidP="000F7E6D">
      <w:pPr>
        <w:contextualSpacing/>
        <w:rPr>
          <w:sz w:val="20"/>
          <w:szCs w:val="20"/>
          <w:lang w:val="fr-CA"/>
        </w:rPr>
      </w:pPr>
      <w:r w:rsidRPr="000F7E6D">
        <w:rPr>
          <w:sz w:val="20"/>
          <w:szCs w:val="20"/>
          <w:lang w:val="fr-CA"/>
        </w:rPr>
        <w:t xml:space="preserve">4573,16 $ </w:t>
      </w:r>
      <w:r w:rsidRPr="000F7E6D">
        <w:rPr>
          <w:sz w:val="20"/>
          <w:szCs w:val="20"/>
          <w:lang w:val="fr-CA"/>
        </w:rPr>
        <w:tab/>
      </w:r>
      <w:r w:rsidRPr="000F7E6D">
        <w:rPr>
          <w:sz w:val="20"/>
          <w:szCs w:val="20"/>
          <w:lang w:val="fr-CA"/>
        </w:rPr>
        <w:tab/>
        <w:t>Grand total</w:t>
      </w:r>
    </w:p>
    <w:p w:rsidR="000F7E6D" w:rsidRPr="000F7E6D" w:rsidRDefault="000F7E6D" w:rsidP="000F7E6D">
      <w:pPr>
        <w:contextualSpacing/>
        <w:rPr>
          <w:b/>
          <w:sz w:val="20"/>
          <w:szCs w:val="20"/>
          <w:lang w:val="fr-CA"/>
        </w:rPr>
      </w:pPr>
    </w:p>
    <w:p w:rsidR="000F7E6D" w:rsidRPr="000F7E6D" w:rsidRDefault="000F7E6D" w:rsidP="000F7E6D">
      <w:pPr>
        <w:rPr>
          <w:sz w:val="20"/>
          <w:szCs w:val="20"/>
          <w:lang w:val="fr-FR"/>
        </w:rPr>
      </w:pPr>
    </w:p>
    <w:p w:rsidR="000F7E6D" w:rsidRPr="000F7E6D" w:rsidRDefault="000F7E6D" w:rsidP="000F7E6D">
      <w:pPr>
        <w:rPr>
          <w:sz w:val="20"/>
          <w:szCs w:val="20"/>
          <w:lang w:val="fr-FR"/>
        </w:rPr>
      </w:pPr>
      <w:r w:rsidRPr="000F7E6D">
        <w:rPr>
          <w:sz w:val="20"/>
          <w:szCs w:val="20"/>
          <w:lang w:val="fr-FR"/>
        </w:rPr>
        <w:t>Pour conclure, je remercie tous les avocats de leurs observations utiles.</w:t>
      </w:r>
    </w:p>
    <w:p w:rsidR="000F7E6D" w:rsidRPr="000F7E6D" w:rsidRDefault="000F7E6D" w:rsidP="000F7E6D">
      <w:pPr>
        <w:contextualSpacing/>
        <w:rPr>
          <w:sz w:val="20"/>
          <w:szCs w:val="20"/>
          <w:lang w:val="fr-CA"/>
        </w:rPr>
      </w:pPr>
    </w:p>
    <w:p w:rsidR="000F7E6D" w:rsidRPr="000F7E6D" w:rsidRDefault="000F7E6D" w:rsidP="000F7E6D">
      <w:pPr>
        <w:ind w:firstLine="357"/>
        <w:contextualSpacing/>
        <w:rPr>
          <w:sz w:val="20"/>
          <w:szCs w:val="20"/>
          <w:lang w:val="fr-CA"/>
        </w:rPr>
      </w:pPr>
      <w:r w:rsidRPr="000F7E6D">
        <w:rPr>
          <w:sz w:val="20"/>
          <w:szCs w:val="20"/>
          <w:lang w:val="fr-CA"/>
        </w:rPr>
        <w:t>Ottawa, le 17 décembre 2014</w:t>
      </w: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p>
    <w:p w:rsidR="000F7E6D" w:rsidRPr="000F7E6D" w:rsidRDefault="000F7E6D" w:rsidP="000F7E6D">
      <w:pPr>
        <w:contextualSpacing/>
        <w:rPr>
          <w:sz w:val="20"/>
          <w:szCs w:val="20"/>
          <w:lang w:val="fr-CA"/>
        </w:rPr>
      </w:pPr>
      <w:r w:rsidRPr="000F7E6D">
        <w:rPr>
          <w:sz w:val="20"/>
          <w:szCs w:val="20"/>
          <w:lang w:val="fr-CA"/>
        </w:rPr>
        <w:t xml:space="preserve">Roger Bilodeau, </w:t>
      </w:r>
      <w:proofErr w:type="spellStart"/>
      <w:r w:rsidRPr="000F7E6D">
        <w:rPr>
          <w:sz w:val="20"/>
          <w:szCs w:val="20"/>
          <w:lang w:val="fr-CA"/>
        </w:rPr>
        <w:t>c.r</w:t>
      </w:r>
      <w:proofErr w:type="spellEnd"/>
      <w:r w:rsidRPr="000F7E6D">
        <w:rPr>
          <w:sz w:val="20"/>
          <w:szCs w:val="20"/>
          <w:lang w:val="fr-CA"/>
        </w:rPr>
        <w:t>.</w:t>
      </w:r>
    </w:p>
    <w:p w:rsidR="000F7E6D" w:rsidRDefault="000F7E6D" w:rsidP="008D292F">
      <w:pPr>
        <w:contextualSpacing/>
        <w:rPr>
          <w:b/>
          <w:sz w:val="20"/>
          <w:szCs w:val="20"/>
          <w:lang w:val="fr-CA"/>
        </w:rPr>
      </w:pPr>
      <w:r w:rsidRPr="000F7E6D">
        <w:rPr>
          <w:sz w:val="20"/>
          <w:szCs w:val="20"/>
          <w:lang w:val="fr-CA"/>
        </w:rPr>
        <w:t xml:space="preserve">Registraire </w:t>
      </w:r>
    </w:p>
    <w:p w:rsidR="000F7E6D" w:rsidRDefault="000F7E6D" w:rsidP="008D292F">
      <w:pPr>
        <w:rPr>
          <w:b/>
          <w:sz w:val="20"/>
          <w:szCs w:val="20"/>
          <w:lang w:val="fr-CA"/>
        </w:rPr>
      </w:pPr>
    </w:p>
    <w:p w:rsidR="000F7E6D" w:rsidRDefault="000F7E6D" w:rsidP="008D292F">
      <w:pPr>
        <w:rPr>
          <w:b/>
          <w:sz w:val="20"/>
          <w:szCs w:val="20"/>
          <w:lang w:val="fr-CA"/>
        </w:rPr>
      </w:pPr>
    </w:p>
    <w:p w:rsidR="000F7E6D" w:rsidRDefault="007871B3" w:rsidP="008D292F">
      <w:pPr>
        <w:rPr>
          <w:b/>
          <w:sz w:val="20"/>
          <w:szCs w:val="20"/>
          <w:lang w:val="fr-CA"/>
        </w:rPr>
      </w:pPr>
      <w:r>
        <w:rPr>
          <w:sz w:val="20"/>
          <w:szCs w:val="20"/>
          <w:lang w:val="fr-CA"/>
        </w:rPr>
        <w:pict>
          <v:rect id="_x0000_i1071" style="width:2in;height:1pt" o:hrpct="0" o:hralign="center" o:hrstd="t" o:hrnoshade="t" o:hr="t" fillcolor="black [3213]" stroked="f"/>
        </w:pict>
      </w:r>
    </w:p>
    <w:p w:rsidR="000F7E6D" w:rsidRDefault="000F7E6D" w:rsidP="008D292F">
      <w:pPr>
        <w:rPr>
          <w:b/>
          <w:sz w:val="20"/>
          <w:szCs w:val="20"/>
          <w:lang w:val="fr-CA"/>
        </w:rPr>
      </w:pPr>
    </w:p>
    <w:p w:rsidR="000F7E6D" w:rsidRDefault="000F7E6D" w:rsidP="008D292F">
      <w:pPr>
        <w:rPr>
          <w:b/>
          <w:sz w:val="20"/>
          <w:szCs w:val="20"/>
          <w:lang w:val="fr-CA"/>
        </w:rPr>
      </w:pPr>
    </w:p>
    <w:p w:rsidR="000F7E6D" w:rsidRPr="00C50A5C" w:rsidRDefault="000F7E6D" w:rsidP="008D292F">
      <w:pPr>
        <w:rPr>
          <w:b/>
          <w:sz w:val="20"/>
          <w:szCs w:val="20"/>
          <w:lang w:val="fr-CA"/>
        </w:rPr>
        <w:sectPr w:rsidR="000F7E6D" w:rsidRPr="00C50A5C" w:rsidSect="008D292F">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9723FD"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933467" w:rsidRPr="00982EDD" w:rsidRDefault="00933467" w:rsidP="00933467">
      <w:pPr>
        <w:widowControl w:val="0"/>
        <w:rPr>
          <w:sz w:val="20"/>
          <w:szCs w:val="20"/>
        </w:rPr>
      </w:pPr>
      <w:r w:rsidRPr="00982EDD">
        <w:rPr>
          <w:sz w:val="20"/>
          <w:szCs w:val="20"/>
        </w:rPr>
        <w:t>10.11.2014</w:t>
      </w:r>
    </w:p>
    <w:p w:rsidR="00933467" w:rsidRDefault="00933467" w:rsidP="00933467">
      <w:pPr>
        <w:widowControl w:val="0"/>
        <w:rPr>
          <w:sz w:val="20"/>
          <w:szCs w:val="20"/>
        </w:rPr>
      </w:pPr>
    </w:p>
    <w:p w:rsidR="00933467" w:rsidRPr="00EE7A6D" w:rsidRDefault="00933467" w:rsidP="00933467">
      <w:pPr>
        <w:widowControl w:val="0"/>
        <w:ind w:left="720" w:hanging="720"/>
        <w:rPr>
          <w:sz w:val="20"/>
          <w:szCs w:val="20"/>
          <w:u w:val="single"/>
        </w:rPr>
      </w:pPr>
      <w:r w:rsidRPr="00EE7A6D">
        <w:rPr>
          <w:sz w:val="20"/>
          <w:szCs w:val="20"/>
        </w:rPr>
        <w:t xml:space="preserve">Coram: </w:t>
      </w:r>
      <w:r w:rsidRPr="00EE7A6D">
        <w:rPr>
          <w:sz w:val="20"/>
          <w:szCs w:val="20"/>
        </w:rPr>
        <w:tab/>
      </w:r>
      <w:proofErr w:type="spellStart"/>
      <w:r w:rsidRPr="00EE7A6D">
        <w:rPr>
          <w:sz w:val="20"/>
          <w:szCs w:val="20"/>
          <w:u w:val="single"/>
        </w:rPr>
        <w:t>Abella</w:t>
      </w:r>
      <w:proofErr w:type="spellEnd"/>
      <w:r w:rsidRPr="00EE7A6D">
        <w:rPr>
          <w:sz w:val="20"/>
          <w:szCs w:val="20"/>
          <w:u w:val="single"/>
        </w:rPr>
        <w:t xml:space="preserve">, Cromwell, </w:t>
      </w:r>
      <w:proofErr w:type="spellStart"/>
      <w:r w:rsidRPr="00EE7A6D">
        <w:rPr>
          <w:sz w:val="20"/>
          <w:szCs w:val="20"/>
          <w:u w:val="single"/>
        </w:rPr>
        <w:t>Moldaver</w:t>
      </w:r>
      <w:proofErr w:type="spellEnd"/>
      <w:r w:rsidRPr="00EE7A6D">
        <w:rPr>
          <w:sz w:val="20"/>
          <w:szCs w:val="20"/>
          <w:u w:val="single"/>
        </w:rPr>
        <w:t xml:space="preserve">, Wagner and </w:t>
      </w:r>
      <w:proofErr w:type="spellStart"/>
      <w:r w:rsidRPr="00EE7A6D">
        <w:rPr>
          <w:sz w:val="20"/>
          <w:szCs w:val="20"/>
          <w:u w:val="single"/>
        </w:rPr>
        <w:t>Gascon</w:t>
      </w:r>
      <w:proofErr w:type="spellEnd"/>
      <w:r w:rsidRPr="00EE7A6D">
        <w:rPr>
          <w:sz w:val="20"/>
          <w:szCs w:val="20"/>
          <w:u w:val="single"/>
        </w:rPr>
        <w:t xml:space="preserve"> JJ.</w:t>
      </w:r>
    </w:p>
    <w:p w:rsidR="00933467" w:rsidRPr="00982EDD" w:rsidRDefault="00933467" w:rsidP="00933467">
      <w:pPr>
        <w:widowControl w:val="0"/>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33467" w:rsidRPr="00982EDD" w:rsidTr="002F70A3">
        <w:tc>
          <w:tcPr>
            <w:tcW w:w="4380" w:type="dxa"/>
            <w:tcMar>
              <w:left w:w="0" w:type="dxa"/>
              <w:right w:w="0" w:type="dxa"/>
            </w:tcMar>
          </w:tcPr>
          <w:p w:rsidR="00933467" w:rsidRDefault="00933467" w:rsidP="002F70A3">
            <w:pPr>
              <w:rPr>
                <w:b/>
                <w:iCs/>
                <w:sz w:val="20"/>
                <w:szCs w:val="20"/>
              </w:rPr>
            </w:pPr>
            <w:r w:rsidRPr="00EE7A6D">
              <w:rPr>
                <w:b/>
                <w:iCs/>
                <w:sz w:val="20"/>
                <w:szCs w:val="20"/>
              </w:rPr>
              <w:t xml:space="preserve">Her Majesty the Queen </w:t>
            </w:r>
          </w:p>
          <w:p w:rsidR="00933467" w:rsidRDefault="00933467" w:rsidP="002F70A3">
            <w:pPr>
              <w:rPr>
                <w:b/>
                <w:iCs/>
                <w:sz w:val="20"/>
                <w:szCs w:val="20"/>
              </w:rPr>
            </w:pPr>
          </w:p>
          <w:p w:rsidR="00933467" w:rsidRDefault="00933467" w:rsidP="002F70A3">
            <w:pPr>
              <w:rPr>
                <w:b/>
                <w:iCs/>
                <w:sz w:val="20"/>
                <w:szCs w:val="20"/>
              </w:rPr>
            </w:pPr>
            <w:r>
              <w:rPr>
                <w:b/>
                <w:iCs/>
                <w:sz w:val="20"/>
                <w:szCs w:val="20"/>
              </w:rPr>
              <w:tab/>
            </w:r>
            <w:r w:rsidRPr="00EE7A6D">
              <w:rPr>
                <w:b/>
                <w:iCs/>
                <w:sz w:val="20"/>
                <w:szCs w:val="20"/>
              </w:rPr>
              <w:t xml:space="preserve">v. </w:t>
            </w:r>
            <w:r w:rsidRPr="00EE7A6D">
              <w:rPr>
                <w:sz w:val="20"/>
                <w:szCs w:val="20"/>
              </w:rPr>
              <w:t>(</w:t>
            </w:r>
            <w:hyperlink r:id="rId74" w:history="1">
              <w:r w:rsidRPr="00EE7A6D">
                <w:rPr>
                  <w:rStyle w:val="Hyperlink"/>
                  <w:sz w:val="20"/>
                  <w:szCs w:val="20"/>
                </w:rPr>
                <w:t>35957</w:t>
              </w:r>
            </w:hyperlink>
            <w:r w:rsidRPr="00EE7A6D">
              <w:rPr>
                <w:sz w:val="20"/>
                <w:szCs w:val="20"/>
              </w:rPr>
              <w:t>)</w:t>
            </w:r>
          </w:p>
          <w:p w:rsidR="00933467" w:rsidRDefault="00933467" w:rsidP="002F70A3">
            <w:pPr>
              <w:rPr>
                <w:b/>
                <w:iCs/>
                <w:sz w:val="20"/>
                <w:szCs w:val="20"/>
              </w:rPr>
            </w:pPr>
          </w:p>
          <w:p w:rsidR="00933467" w:rsidRPr="00982EDD" w:rsidRDefault="00933467" w:rsidP="002F70A3">
            <w:pPr>
              <w:rPr>
                <w:sz w:val="20"/>
                <w:szCs w:val="20"/>
              </w:rPr>
            </w:pPr>
            <w:r w:rsidRPr="00EE7A6D">
              <w:rPr>
                <w:b/>
                <w:iCs/>
                <w:sz w:val="20"/>
                <w:szCs w:val="20"/>
              </w:rPr>
              <w:t>Clarence Michael MacLeod</w:t>
            </w:r>
            <w:r w:rsidRPr="00EE7A6D">
              <w:rPr>
                <w:iCs/>
                <w:sz w:val="20"/>
                <w:szCs w:val="20"/>
              </w:rPr>
              <w:t xml:space="preserve"> </w:t>
            </w:r>
            <w:r w:rsidRPr="00982EDD">
              <w:rPr>
                <w:b/>
                <w:sz w:val="20"/>
                <w:szCs w:val="20"/>
              </w:rPr>
              <w:t>(N.S.) (Criminal) (As of Right)</w:t>
            </w:r>
            <w:r w:rsidRPr="00EE7A6D">
              <w:rPr>
                <w:sz w:val="20"/>
                <w:szCs w:val="20"/>
              </w:rPr>
              <w:t xml:space="preserve"> </w:t>
            </w:r>
            <w:r w:rsidRPr="00982EDD">
              <w:rPr>
                <w:sz w:val="20"/>
                <w:szCs w:val="20"/>
              </w:rPr>
              <w:t xml:space="preserve"> </w:t>
            </w:r>
          </w:p>
        </w:tc>
        <w:tc>
          <w:tcPr>
            <w:tcW w:w="720" w:type="dxa"/>
            <w:tcMar>
              <w:left w:w="0" w:type="dxa"/>
              <w:right w:w="0" w:type="dxa"/>
            </w:tcMar>
          </w:tcPr>
          <w:p w:rsidR="00933467" w:rsidRPr="00982EDD" w:rsidRDefault="00933467" w:rsidP="002F70A3">
            <w:pPr>
              <w:widowControl w:val="0"/>
              <w:jc w:val="center"/>
              <w:rPr>
                <w:sz w:val="20"/>
                <w:szCs w:val="20"/>
              </w:rPr>
            </w:pPr>
          </w:p>
        </w:tc>
        <w:tc>
          <w:tcPr>
            <w:tcW w:w="4380" w:type="dxa"/>
            <w:tcMar>
              <w:left w:w="0" w:type="dxa"/>
              <w:right w:w="0" w:type="dxa"/>
            </w:tcMar>
          </w:tcPr>
          <w:p w:rsidR="00933467" w:rsidRPr="00023DDB" w:rsidRDefault="00933467" w:rsidP="002F70A3">
            <w:pPr>
              <w:rPr>
                <w:sz w:val="20"/>
                <w:szCs w:val="20"/>
              </w:rPr>
            </w:pPr>
            <w:r w:rsidRPr="00023DDB">
              <w:rPr>
                <w:sz w:val="20"/>
                <w:szCs w:val="20"/>
              </w:rPr>
              <w:t>Mark A. Scott</w:t>
            </w:r>
            <w:r>
              <w:rPr>
                <w:sz w:val="20"/>
                <w:szCs w:val="20"/>
              </w:rPr>
              <w:t xml:space="preserve"> and </w:t>
            </w:r>
            <w:r w:rsidRPr="00023DDB">
              <w:rPr>
                <w:sz w:val="20"/>
                <w:szCs w:val="20"/>
              </w:rPr>
              <w:t>Marian Fortune-Stone, Q.C</w:t>
            </w:r>
            <w:r>
              <w:rPr>
                <w:sz w:val="20"/>
                <w:szCs w:val="20"/>
              </w:rPr>
              <w:t xml:space="preserve"> f</w:t>
            </w:r>
            <w:r w:rsidRPr="00023DDB">
              <w:rPr>
                <w:sz w:val="20"/>
                <w:szCs w:val="20"/>
              </w:rPr>
              <w:t xml:space="preserve">or the </w:t>
            </w:r>
            <w:r>
              <w:rPr>
                <w:sz w:val="20"/>
                <w:szCs w:val="20"/>
              </w:rPr>
              <w:t>a</w:t>
            </w:r>
            <w:r w:rsidRPr="00023DDB">
              <w:rPr>
                <w:sz w:val="20"/>
                <w:szCs w:val="20"/>
              </w:rPr>
              <w:t>ppellant</w:t>
            </w:r>
            <w:r>
              <w:rPr>
                <w:sz w:val="20"/>
                <w:szCs w:val="20"/>
              </w:rPr>
              <w:t>.</w:t>
            </w:r>
          </w:p>
          <w:p w:rsidR="00933467" w:rsidRPr="00023DDB" w:rsidRDefault="00933467" w:rsidP="002F70A3">
            <w:pPr>
              <w:rPr>
                <w:sz w:val="20"/>
                <w:szCs w:val="20"/>
              </w:rPr>
            </w:pPr>
          </w:p>
          <w:p w:rsidR="00933467" w:rsidRPr="00982EDD" w:rsidRDefault="00933467" w:rsidP="002F70A3">
            <w:pPr>
              <w:widowControl w:val="0"/>
              <w:jc w:val="both"/>
              <w:rPr>
                <w:sz w:val="20"/>
                <w:szCs w:val="20"/>
              </w:rPr>
            </w:pPr>
            <w:r w:rsidRPr="00023DDB">
              <w:rPr>
                <w:sz w:val="20"/>
                <w:szCs w:val="20"/>
              </w:rPr>
              <w:t>Roger A. Burrill</w:t>
            </w:r>
            <w:r>
              <w:rPr>
                <w:sz w:val="20"/>
                <w:szCs w:val="20"/>
              </w:rPr>
              <w:t xml:space="preserve"> f</w:t>
            </w:r>
            <w:r w:rsidRPr="00023DDB">
              <w:rPr>
                <w:sz w:val="20"/>
                <w:szCs w:val="20"/>
              </w:rPr>
              <w:t xml:space="preserve">or the </w:t>
            </w:r>
            <w:r>
              <w:rPr>
                <w:sz w:val="20"/>
                <w:szCs w:val="20"/>
              </w:rPr>
              <w:t>r</w:t>
            </w:r>
            <w:r w:rsidRPr="00023DDB">
              <w:rPr>
                <w:sz w:val="20"/>
                <w:szCs w:val="20"/>
              </w:rPr>
              <w:t>espondent.</w:t>
            </w:r>
          </w:p>
        </w:tc>
      </w:tr>
    </w:tbl>
    <w:p w:rsidR="00933467" w:rsidRPr="00982EDD" w:rsidRDefault="00933467" w:rsidP="00933467">
      <w:pPr>
        <w:widowControl w:val="0"/>
        <w:rPr>
          <w:sz w:val="20"/>
          <w:szCs w:val="20"/>
        </w:rPr>
      </w:pPr>
    </w:p>
    <w:p w:rsidR="00933467" w:rsidRPr="009C66DC" w:rsidRDefault="00933467" w:rsidP="00933467">
      <w:pPr>
        <w:rPr>
          <w:rFonts w:eastAsia="Calibri" w:cs="Times New Roman"/>
          <w:b/>
          <w:iCs/>
          <w:sz w:val="20"/>
          <w:szCs w:val="20"/>
          <w:lang w:val="fr-CA"/>
        </w:rPr>
      </w:pPr>
      <w:r w:rsidRPr="009C66DC">
        <w:rPr>
          <w:rFonts w:eastAsia="Calibri" w:cs="Times New Roman"/>
          <w:b/>
          <w:iCs/>
          <w:sz w:val="20"/>
          <w:szCs w:val="20"/>
          <w:lang w:val="fr-CA"/>
        </w:rPr>
        <w:t>2014 SCC 76 / 2014 CSC 76</w:t>
      </w:r>
    </w:p>
    <w:p w:rsidR="00933467" w:rsidRPr="00FF0954" w:rsidRDefault="00933467" w:rsidP="00933467">
      <w:pPr>
        <w:widowControl w:val="0"/>
        <w:rPr>
          <w:sz w:val="20"/>
          <w:szCs w:val="20"/>
        </w:rPr>
      </w:pPr>
    </w:p>
    <w:p w:rsidR="00933467" w:rsidRPr="0085476B" w:rsidRDefault="00933467" w:rsidP="00933467">
      <w:pPr>
        <w:widowControl w:val="0"/>
        <w:rPr>
          <w:sz w:val="20"/>
          <w:szCs w:val="20"/>
        </w:rPr>
      </w:pPr>
      <w:r>
        <w:rPr>
          <w:b/>
          <w:sz w:val="20"/>
          <w:szCs w:val="20"/>
        </w:rPr>
        <w:t>DISMISS</w:t>
      </w:r>
      <w:r w:rsidRPr="0085476B">
        <w:rPr>
          <w:b/>
          <w:sz w:val="20"/>
          <w:szCs w:val="20"/>
        </w:rPr>
        <w:t xml:space="preserve">ED / </w:t>
      </w:r>
      <w:r>
        <w:rPr>
          <w:b/>
          <w:sz w:val="20"/>
          <w:szCs w:val="20"/>
        </w:rPr>
        <w:t>REJ</w:t>
      </w:r>
      <w:r w:rsidRPr="008A444A">
        <w:rPr>
          <w:b/>
          <w:sz w:val="20"/>
          <w:szCs w:val="20"/>
        </w:rPr>
        <w:t>ETÉ</w:t>
      </w:r>
    </w:p>
    <w:p w:rsidR="00933467" w:rsidRDefault="00933467" w:rsidP="00933467">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33467" w:rsidRPr="002B4021" w:rsidTr="002F70A3">
        <w:tc>
          <w:tcPr>
            <w:tcW w:w="4380" w:type="dxa"/>
            <w:tcMar>
              <w:left w:w="0" w:type="dxa"/>
              <w:right w:w="0" w:type="dxa"/>
            </w:tcMar>
          </w:tcPr>
          <w:p w:rsidR="00933467" w:rsidRPr="00CC4D84" w:rsidRDefault="00933467" w:rsidP="002F70A3">
            <w:pPr>
              <w:widowControl w:val="0"/>
              <w:jc w:val="both"/>
              <w:rPr>
                <w:b/>
                <w:sz w:val="20"/>
                <w:szCs w:val="20"/>
                <w:u w:val="single"/>
              </w:rPr>
            </w:pPr>
            <w:r>
              <w:rPr>
                <w:b/>
                <w:sz w:val="20"/>
                <w:szCs w:val="20"/>
                <w:u w:val="single"/>
              </w:rPr>
              <w:t>JUDGMENT</w:t>
            </w:r>
            <w:r w:rsidRPr="00CC4D84">
              <w:rPr>
                <w:b/>
                <w:sz w:val="20"/>
                <w:szCs w:val="20"/>
                <w:u w:val="single"/>
              </w:rPr>
              <w:t>:</w:t>
            </w:r>
          </w:p>
          <w:p w:rsidR="00933467" w:rsidRPr="001A663B" w:rsidRDefault="00933467" w:rsidP="002F70A3">
            <w:pPr>
              <w:widowControl w:val="0"/>
              <w:jc w:val="both"/>
              <w:rPr>
                <w:b/>
                <w:sz w:val="20"/>
                <w:szCs w:val="20"/>
              </w:rPr>
            </w:pPr>
          </w:p>
          <w:p w:rsidR="000716E5" w:rsidRPr="009D33ED" w:rsidRDefault="000716E5" w:rsidP="000716E5">
            <w:pPr>
              <w:jc w:val="both"/>
              <w:rPr>
                <w:sz w:val="20"/>
                <w:szCs w:val="20"/>
              </w:rPr>
            </w:pPr>
            <w:r w:rsidRPr="009D33ED">
              <w:rPr>
                <w:sz w:val="20"/>
                <w:szCs w:val="20"/>
              </w:rPr>
              <w:t xml:space="preserve">The appeal from the judgment of the Nova Scotia Court of Appeal, Number CAC 410405, 2014 NSCA 63, dated June 13, 2014, was heard on December 10, 2014, and the Court on that day delivered the following judgment orally: </w:t>
            </w:r>
          </w:p>
          <w:p w:rsidR="000716E5" w:rsidRPr="009D33ED" w:rsidRDefault="000716E5" w:rsidP="000716E5">
            <w:pPr>
              <w:jc w:val="both"/>
              <w:rPr>
                <w:sz w:val="20"/>
                <w:szCs w:val="20"/>
              </w:rPr>
            </w:pPr>
          </w:p>
          <w:p w:rsidR="000716E5" w:rsidRPr="009D33ED" w:rsidRDefault="000716E5" w:rsidP="000716E5">
            <w:pPr>
              <w:jc w:val="both"/>
              <w:rPr>
                <w:sz w:val="20"/>
                <w:szCs w:val="20"/>
              </w:rPr>
            </w:pPr>
          </w:p>
          <w:p w:rsidR="00933467" w:rsidRPr="00C1697B" w:rsidRDefault="000716E5" w:rsidP="000716E5">
            <w:pPr>
              <w:jc w:val="both"/>
              <w:rPr>
                <w:b/>
                <w:sz w:val="20"/>
                <w:szCs w:val="20"/>
              </w:rPr>
            </w:pPr>
            <w:r w:rsidRPr="009D33ED">
              <w:rPr>
                <w:smallCaps/>
                <w:sz w:val="20"/>
                <w:szCs w:val="20"/>
              </w:rPr>
              <w:t>Cromwell J.</w:t>
            </w:r>
            <w:r w:rsidRPr="009D33ED">
              <w:rPr>
                <w:sz w:val="20"/>
                <w:szCs w:val="20"/>
              </w:rPr>
              <w:t xml:space="preserve"> </w:t>
            </w:r>
            <w:r w:rsidRPr="009D33ED">
              <w:rPr>
                <w:rFonts w:cs="Times New Roman"/>
                <w:sz w:val="20"/>
                <w:szCs w:val="20"/>
              </w:rPr>
              <w:t xml:space="preserve">― </w:t>
            </w:r>
            <w:r w:rsidRPr="009D33ED">
              <w:rPr>
                <w:sz w:val="20"/>
                <w:szCs w:val="20"/>
                <w:lang w:val="en-US"/>
              </w:rPr>
              <w:t xml:space="preserve">In our view, it was an error of law in this case not to leave manslaughter with the jury notwithstanding the position of the </w:t>
            </w:r>
            <w:proofErr w:type="spellStart"/>
            <w:r w:rsidRPr="009D33ED">
              <w:rPr>
                <w:sz w:val="20"/>
                <w:szCs w:val="20"/>
                <w:lang w:val="en-US"/>
              </w:rPr>
              <w:t>defence</w:t>
            </w:r>
            <w:proofErr w:type="spellEnd"/>
            <w:r w:rsidRPr="009D33ED">
              <w:rPr>
                <w:sz w:val="20"/>
                <w:szCs w:val="20"/>
                <w:lang w:val="en-US"/>
              </w:rPr>
              <w:t xml:space="preserve"> at trial.  The appeal is dismissed.</w:t>
            </w:r>
          </w:p>
        </w:tc>
        <w:tc>
          <w:tcPr>
            <w:tcW w:w="720" w:type="dxa"/>
            <w:tcMar>
              <w:left w:w="0" w:type="dxa"/>
              <w:right w:w="0" w:type="dxa"/>
            </w:tcMar>
          </w:tcPr>
          <w:p w:rsidR="00933467" w:rsidRPr="00C1697B" w:rsidRDefault="00933467" w:rsidP="002F70A3">
            <w:pPr>
              <w:widowControl w:val="0"/>
              <w:jc w:val="center"/>
              <w:rPr>
                <w:sz w:val="20"/>
                <w:szCs w:val="20"/>
              </w:rPr>
            </w:pPr>
          </w:p>
        </w:tc>
        <w:tc>
          <w:tcPr>
            <w:tcW w:w="4380" w:type="dxa"/>
            <w:tcMar>
              <w:left w:w="0" w:type="dxa"/>
              <w:right w:w="0" w:type="dxa"/>
            </w:tcMar>
          </w:tcPr>
          <w:p w:rsidR="00933467" w:rsidRPr="00CC4D84" w:rsidRDefault="00933467" w:rsidP="002F70A3">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933467" w:rsidRPr="00C1697B" w:rsidRDefault="00933467" w:rsidP="002F70A3">
            <w:pPr>
              <w:widowControl w:val="0"/>
              <w:jc w:val="both"/>
              <w:rPr>
                <w:sz w:val="20"/>
                <w:szCs w:val="20"/>
                <w:lang w:val="fr-CA"/>
              </w:rPr>
            </w:pPr>
          </w:p>
          <w:p w:rsidR="000716E5" w:rsidRPr="009D33ED" w:rsidRDefault="000716E5" w:rsidP="000716E5">
            <w:pPr>
              <w:jc w:val="both"/>
              <w:rPr>
                <w:sz w:val="20"/>
                <w:szCs w:val="20"/>
                <w:lang w:val="fr-CA"/>
              </w:rPr>
            </w:pPr>
            <w:r w:rsidRPr="009D33ED">
              <w:rPr>
                <w:sz w:val="20"/>
                <w:szCs w:val="20"/>
                <w:lang w:val="fr-CA"/>
              </w:rPr>
              <w:t>L’appel interjeté contre l’arrêt de la Cour d’appel de la Nouvelle-Écosse, numéro CAC 410405, 2014 NSCA 63, daté du 13 juin 2014, a été entendu le 10 décembre 2014, et la Cour a prononcé oralement le même jour le jugement suivant :</w:t>
            </w:r>
          </w:p>
          <w:p w:rsidR="000716E5" w:rsidRPr="009D33ED" w:rsidRDefault="000716E5" w:rsidP="000716E5">
            <w:pPr>
              <w:jc w:val="both"/>
              <w:rPr>
                <w:sz w:val="20"/>
                <w:szCs w:val="20"/>
                <w:lang w:val="fr-CA"/>
              </w:rPr>
            </w:pPr>
          </w:p>
          <w:p w:rsidR="000716E5" w:rsidRPr="009D33ED" w:rsidRDefault="000716E5" w:rsidP="000716E5">
            <w:pPr>
              <w:jc w:val="both"/>
              <w:rPr>
                <w:sz w:val="20"/>
                <w:szCs w:val="20"/>
                <w:lang w:val="fr-CA"/>
              </w:rPr>
            </w:pPr>
            <w:r w:rsidRPr="009D33ED">
              <w:rPr>
                <w:sz w:val="20"/>
                <w:szCs w:val="20"/>
                <w:lang w:val="fr-CA"/>
              </w:rPr>
              <w:t>[</w:t>
            </w:r>
            <w:r w:rsidRPr="009D33ED">
              <w:rPr>
                <w:smallCaps/>
                <w:sz w:val="20"/>
                <w:szCs w:val="20"/>
                <w:lang w:val="fr-CA"/>
              </w:rPr>
              <w:t>traduction</w:t>
            </w:r>
            <w:r w:rsidRPr="009D33ED">
              <w:rPr>
                <w:sz w:val="20"/>
                <w:szCs w:val="20"/>
                <w:lang w:val="fr-CA"/>
              </w:rPr>
              <w:t>]</w:t>
            </w:r>
          </w:p>
          <w:p w:rsidR="00933467" w:rsidRPr="00C1697B" w:rsidRDefault="000716E5" w:rsidP="000716E5">
            <w:pPr>
              <w:jc w:val="both"/>
              <w:rPr>
                <w:sz w:val="20"/>
                <w:szCs w:val="20"/>
                <w:lang w:val="fr-CA"/>
              </w:rPr>
            </w:pPr>
            <w:r w:rsidRPr="009D33ED">
              <w:rPr>
                <w:smallCaps/>
                <w:sz w:val="20"/>
                <w:szCs w:val="20"/>
                <w:lang w:val="fr-CA"/>
              </w:rPr>
              <w:t>Le juge Cromwell</w:t>
            </w:r>
            <w:r w:rsidRPr="009D33ED">
              <w:rPr>
                <w:sz w:val="20"/>
                <w:szCs w:val="20"/>
                <w:lang w:val="fr-CA"/>
              </w:rPr>
              <w:t xml:space="preserve"> </w:t>
            </w:r>
            <w:r w:rsidRPr="009D33ED">
              <w:rPr>
                <w:rFonts w:cs="Times New Roman"/>
                <w:sz w:val="20"/>
                <w:szCs w:val="20"/>
                <w:lang w:val="fr-CA"/>
              </w:rPr>
              <w:t>― Nous sommes d’avis que le fait de ne pas laisser le jury considérer  l’homicide involontaire coupable, en dépit de la thèse de la défense au procès, constituait une erreur de droit.  L’appel est rejeté.</w:t>
            </w:r>
          </w:p>
        </w:tc>
      </w:tr>
    </w:tbl>
    <w:p w:rsidR="00933467" w:rsidRDefault="00933467" w:rsidP="00933467">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933467" w:rsidRPr="009723FD" w:rsidTr="002F70A3">
        <w:tc>
          <w:tcPr>
            <w:tcW w:w="4380" w:type="dxa"/>
            <w:tcMar>
              <w:left w:w="0" w:type="dxa"/>
              <w:right w:w="0" w:type="dxa"/>
            </w:tcMar>
          </w:tcPr>
          <w:p w:rsidR="00933467" w:rsidRPr="00CC4D84" w:rsidRDefault="00933467" w:rsidP="002F70A3">
            <w:pPr>
              <w:widowControl w:val="0"/>
              <w:jc w:val="both"/>
              <w:rPr>
                <w:b/>
                <w:sz w:val="20"/>
                <w:szCs w:val="20"/>
                <w:u w:val="single"/>
              </w:rPr>
            </w:pPr>
            <w:r w:rsidRPr="00CC4D84">
              <w:rPr>
                <w:b/>
                <w:sz w:val="20"/>
                <w:szCs w:val="20"/>
                <w:u w:val="single"/>
              </w:rPr>
              <w:t>Nature of the case:</w:t>
            </w:r>
          </w:p>
          <w:p w:rsidR="00933467" w:rsidRPr="001A663B" w:rsidRDefault="00933467" w:rsidP="002F70A3">
            <w:pPr>
              <w:widowControl w:val="0"/>
              <w:jc w:val="both"/>
              <w:rPr>
                <w:b/>
                <w:sz w:val="20"/>
                <w:szCs w:val="20"/>
              </w:rPr>
            </w:pPr>
          </w:p>
          <w:p w:rsidR="00933467" w:rsidRPr="00C1697B" w:rsidRDefault="00933467" w:rsidP="002F70A3">
            <w:pPr>
              <w:widowControl w:val="0"/>
              <w:jc w:val="both"/>
              <w:rPr>
                <w:b/>
                <w:sz w:val="20"/>
                <w:szCs w:val="20"/>
              </w:rPr>
            </w:pPr>
            <w:r w:rsidRPr="00CD1E47">
              <w:rPr>
                <w:sz w:val="20"/>
                <w:szCs w:val="20"/>
              </w:rPr>
              <w:t>Criminal law - Murder - Charge to jury - Lesser verdict of manslaughter - Air of reality - Whether the trial judge erred by refusing to charge the jury on the lesser verdict of manslaughter - To what extent are defence counsel’s express wishes and the strategies adopted at trial to be considered when deciding to charge a jury on a defence or lesser alternative verdict, particularly where such an alternative would be completely inconsistent and incompatible with the position taken by the accused in answer to the charge?</w:t>
            </w:r>
          </w:p>
        </w:tc>
        <w:tc>
          <w:tcPr>
            <w:tcW w:w="720" w:type="dxa"/>
            <w:tcMar>
              <w:left w:w="0" w:type="dxa"/>
              <w:right w:w="0" w:type="dxa"/>
            </w:tcMar>
          </w:tcPr>
          <w:p w:rsidR="00933467" w:rsidRPr="00C1697B" w:rsidRDefault="00933467" w:rsidP="002F70A3">
            <w:pPr>
              <w:widowControl w:val="0"/>
              <w:jc w:val="center"/>
              <w:rPr>
                <w:sz w:val="20"/>
                <w:szCs w:val="20"/>
              </w:rPr>
            </w:pPr>
          </w:p>
        </w:tc>
        <w:tc>
          <w:tcPr>
            <w:tcW w:w="4380" w:type="dxa"/>
            <w:tcMar>
              <w:left w:w="0" w:type="dxa"/>
              <w:right w:w="0" w:type="dxa"/>
            </w:tcMar>
          </w:tcPr>
          <w:p w:rsidR="00933467" w:rsidRPr="00CC4D84" w:rsidRDefault="00933467" w:rsidP="002F70A3">
            <w:pPr>
              <w:widowControl w:val="0"/>
              <w:jc w:val="both"/>
              <w:rPr>
                <w:b/>
                <w:sz w:val="20"/>
                <w:szCs w:val="20"/>
                <w:u w:val="single"/>
                <w:lang w:val="fr-CA"/>
              </w:rPr>
            </w:pPr>
            <w:r w:rsidRPr="00CC4D84">
              <w:rPr>
                <w:b/>
                <w:sz w:val="20"/>
                <w:szCs w:val="20"/>
                <w:u w:val="single"/>
                <w:lang w:val="fr-CA"/>
              </w:rPr>
              <w:t>Nature de la cause :</w:t>
            </w:r>
          </w:p>
          <w:p w:rsidR="00933467" w:rsidRPr="00C1697B" w:rsidRDefault="00933467" w:rsidP="002F70A3">
            <w:pPr>
              <w:widowControl w:val="0"/>
              <w:jc w:val="both"/>
              <w:rPr>
                <w:sz w:val="20"/>
                <w:szCs w:val="20"/>
                <w:lang w:val="fr-CA"/>
              </w:rPr>
            </w:pPr>
          </w:p>
          <w:p w:rsidR="00933467" w:rsidRPr="00C1697B" w:rsidRDefault="00933467" w:rsidP="002F70A3">
            <w:pPr>
              <w:widowControl w:val="0"/>
              <w:jc w:val="both"/>
              <w:rPr>
                <w:sz w:val="20"/>
                <w:szCs w:val="20"/>
                <w:lang w:val="fr-CA"/>
              </w:rPr>
            </w:pPr>
            <w:r w:rsidRPr="00451F33">
              <w:rPr>
                <w:sz w:val="20"/>
                <w:szCs w:val="20"/>
                <w:lang w:val="fr-CA"/>
              </w:rPr>
              <w:t xml:space="preserve">Droit criminel - Meurtre - Exposé au jury - Verdict pour l’infraction moindre d’homicide involontaire coupable - Vraisemblance - Le juge du procès </w:t>
            </w:r>
            <w:proofErr w:type="spellStart"/>
            <w:r w:rsidRPr="00451F33">
              <w:rPr>
                <w:sz w:val="20"/>
                <w:szCs w:val="20"/>
                <w:lang w:val="fr-CA"/>
              </w:rPr>
              <w:t>a-t-il</w:t>
            </w:r>
            <w:proofErr w:type="spellEnd"/>
            <w:r w:rsidRPr="00451F33">
              <w:rPr>
                <w:sz w:val="20"/>
                <w:szCs w:val="20"/>
                <w:lang w:val="fr-CA"/>
              </w:rPr>
              <w:t xml:space="preserve"> commis une erreur en refusant de donner au jury des directives quant à la possibilité d’un verdict pour l’infraction moindre d’homicide involontaire coupable? - Dans quelle mesure les souhaits exprès de l’avocat de la défense et les stratégies adoptées durant le procès doivent-ils être pris en compte lorsqu’il s’agit de décider d’instruire un jury relativement à un moyen de défense ou à la possibilité de rendre un verdict quant à une infraction moindre, notamment lorsqu’une telle possibilité serait totalement incohérente et incompatible avec la position qu’a prise l’accusé en réponse à l’exposé au jury?</w:t>
            </w:r>
          </w:p>
        </w:tc>
      </w:tr>
    </w:tbl>
    <w:p w:rsidR="00933467" w:rsidRDefault="00933467" w:rsidP="00933467">
      <w:pPr>
        <w:widowControl w:val="0"/>
        <w:rPr>
          <w:sz w:val="20"/>
          <w:szCs w:val="20"/>
          <w:lang w:val="fr-CA"/>
        </w:rPr>
      </w:pPr>
    </w:p>
    <w:p w:rsidR="00933467" w:rsidRDefault="007871B3" w:rsidP="00933467">
      <w:pPr>
        <w:widowControl w:val="0"/>
        <w:rPr>
          <w:sz w:val="20"/>
          <w:szCs w:val="20"/>
        </w:rPr>
      </w:pPr>
      <w:r>
        <w:rPr>
          <w:sz w:val="20"/>
          <w:szCs w:val="20"/>
          <w:lang w:val="fr-CA"/>
        </w:rPr>
        <w:pict>
          <v:rect id="_x0000_i1072" style="width:2in;height:1pt" o:hrpct="0" o:hralign="center" o:hrstd="t" o:hrnoshade="t" o:hr="t" fillcolor="black [3213]" stroked="f"/>
        </w:pict>
      </w:r>
    </w:p>
    <w:p w:rsidR="00933467" w:rsidRDefault="00933467" w:rsidP="00933467">
      <w:pPr>
        <w:widowControl w:val="0"/>
        <w:rPr>
          <w:sz w:val="20"/>
          <w:szCs w:val="20"/>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75"/>
          <w:headerReference w:type="default" r:id="rId76"/>
          <w:footerReference w:type="even" r:id="rId77"/>
          <w:footerReference w:type="default" r:id="rId78"/>
          <w:headerReference w:type="first" r:id="rId79"/>
          <w:footerReference w:type="first" r:id="rId80"/>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C44DB8">
            <w:pPr>
              <w:keepNext/>
              <w:keepLines/>
              <w:rPr>
                <w:b/>
                <w:szCs w:val="24"/>
              </w:rPr>
            </w:pPr>
            <w:r w:rsidRPr="00C50A5C">
              <w:rPr>
                <w:b/>
                <w:szCs w:val="24"/>
              </w:rPr>
              <w:lastRenderedPageBreak/>
              <w:t xml:space="preserve">AGENDA FOR </w:t>
            </w:r>
            <w:r w:rsidR="00C44DB8">
              <w:rPr>
                <w:b/>
                <w:szCs w:val="24"/>
              </w:rPr>
              <w:t>J</w:t>
            </w:r>
            <w:r w:rsidR="005F1ED8">
              <w:rPr>
                <w:b/>
                <w:szCs w:val="24"/>
              </w:rPr>
              <w:t>A</w:t>
            </w:r>
            <w:r w:rsidR="00C44DB8">
              <w:rPr>
                <w:b/>
                <w:szCs w:val="24"/>
              </w:rPr>
              <w:t>NUA</w:t>
            </w:r>
            <w:r w:rsidR="005F1ED8">
              <w:rPr>
                <w:b/>
                <w:szCs w:val="24"/>
              </w:rPr>
              <w:t>R</w:t>
            </w:r>
            <w:r w:rsidR="00C44DB8">
              <w:rPr>
                <w:b/>
                <w:szCs w:val="24"/>
              </w:rPr>
              <w:t>Y</w:t>
            </w:r>
            <w:r w:rsidR="005F1ED8">
              <w:rPr>
                <w:b/>
                <w:szCs w:val="24"/>
              </w:rPr>
              <w:t xml:space="preserve"> 201</w:t>
            </w:r>
            <w:r w:rsidR="00C44DB8">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C44DB8">
            <w:pPr>
              <w:keepNext/>
              <w:keepLines/>
              <w:rPr>
                <w:b/>
                <w:szCs w:val="24"/>
                <w:lang w:val="fr-CA"/>
              </w:rPr>
            </w:pPr>
            <w:r w:rsidRPr="00C50A5C">
              <w:rPr>
                <w:b/>
                <w:szCs w:val="24"/>
                <w:lang w:val="fr-CA"/>
              </w:rPr>
              <w:t>CALENDRIER D</w:t>
            </w:r>
            <w:r w:rsidR="00C44DB8">
              <w:rPr>
                <w:b/>
                <w:szCs w:val="24"/>
                <w:lang w:val="fr-CA"/>
              </w:rPr>
              <w:t>E J</w:t>
            </w:r>
            <w:r w:rsidR="005F1ED8">
              <w:rPr>
                <w:b/>
                <w:szCs w:val="24"/>
                <w:lang w:val="fr-CA"/>
              </w:rPr>
              <w:t>A</w:t>
            </w:r>
            <w:r w:rsidR="00C44DB8">
              <w:rPr>
                <w:b/>
                <w:szCs w:val="24"/>
                <w:lang w:val="fr-CA"/>
              </w:rPr>
              <w:t>N</w:t>
            </w:r>
            <w:r w:rsidR="005F1ED8">
              <w:rPr>
                <w:b/>
                <w:szCs w:val="24"/>
                <w:lang w:val="fr-CA"/>
              </w:rPr>
              <w:t>V</w:t>
            </w:r>
            <w:r w:rsidR="00C44DB8">
              <w:rPr>
                <w:b/>
                <w:szCs w:val="24"/>
                <w:lang w:val="fr-CA"/>
              </w:rPr>
              <w:t>IE</w:t>
            </w:r>
            <w:r w:rsidRPr="00C50A5C">
              <w:rPr>
                <w:b/>
                <w:szCs w:val="24"/>
                <w:lang w:val="fr-CA"/>
              </w:rPr>
              <w:t xml:space="preserve">R </w:t>
            </w:r>
            <w:r w:rsidR="005F1ED8">
              <w:rPr>
                <w:b/>
                <w:szCs w:val="24"/>
                <w:lang w:val="fr-CA"/>
              </w:rPr>
              <w:t>201</w:t>
            </w:r>
            <w:r w:rsidR="00C44DB8">
              <w:rPr>
                <w:b/>
                <w:szCs w:val="24"/>
                <w:lang w:val="fr-CA"/>
              </w:rPr>
              <w:t>5</w:t>
            </w:r>
          </w:p>
        </w:tc>
      </w:tr>
    </w:tbl>
    <w:p w:rsidR="004B66B4" w:rsidRPr="00DD0B49" w:rsidRDefault="004B66B4" w:rsidP="004B66B4">
      <w:pPr>
        <w:rPr>
          <w:b/>
          <w:sz w:val="20"/>
          <w:szCs w:val="20"/>
        </w:rPr>
      </w:pPr>
    </w:p>
    <w:p w:rsidR="00C44DB8" w:rsidRDefault="00C44DB8" w:rsidP="00C44DB8">
      <w:pPr>
        <w:rPr>
          <w:sz w:val="20"/>
          <w:szCs w:val="20"/>
        </w:rPr>
      </w:pPr>
      <w:r>
        <w:rPr>
          <w:sz w:val="20"/>
          <w:szCs w:val="20"/>
        </w:rPr>
        <w:t>The next session of the Supreme Court of Canada commences on January 12, 2015.</w:t>
      </w:r>
    </w:p>
    <w:p w:rsidR="00C44DB8" w:rsidRDefault="00C44DB8" w:rsidP="00C44DB8">
      <w:pPr>
        <w:rPr>
          <w:sz w:val="20"/>
          <w:szCs w:val="20"/>
          <w:lang w:val="fr-CA"/>
        </w:rPr>
      </w:pPr>
      <w:r w:rsidRPr="00455913">
        <w:rPr>
          <w:sz w:val="20"/>
          <w:szCs w:val="20"/>
          <w:lang w:val="fr-CA"/>
        </w:rPr>
        <w:t>La prochaine session de la Cour supr</w:t>
      </w:r>
      <w:r>
        <w:rPr>
          <w:sz w:val="20"/>
          <w:szCs w:val="20"/>
          <w:lang w:val="fr-CA"/>
        </w:rPr>
        <w:t>ême du Canada débute le 12 janvier 2015.</w:t>
      </w:r>
    </w:p>
    <w:p w:rsidR="00C44DB8" w:rsidRPr="00455913" w:rsidRDefault="00C44DB8" w:rsidP="00C44DB8">
      <w:pPr>
        <w:rPr>
          <w:sz w:val="20"/>
          <w:szCs w:val="20"/>
          <w:lang w:val="fr-CA"/>
        </w:rPr>
      </w:pPr>
    </w:p>
    <w:p w:rsidR="00C44DB8" w:rsidRPr="00DD0B49" w:rsidRDefault="00C44DB8" w:rsidP="00C44DB8">
      <w:pPr>
        <w:rPr>
          <w:b/>
          <w:sz w:val="20"/>
          <w:szCs w:val="20"/>
        </w:rPr>
      </w:pPr>
      <w:r>
        <w:rPr>
          <w:b/>
          <w:sz w:val="20"/>
          <w:szCs w:val="20"/>
        </w:rPr>
        <w:t>The next Bulletin of Proceedings will be published on January 9, 2015</w:t>
      </w:r>
      <w:r w:rsidRPr="00DD0B49">
        <w:rPr>
          <w:b/>
          <w:sz w:val="20"/>
          <w:szCs w:val="20"/>
        </w:rPr>
        <w:t>.</w:t>
      </w:r>
    </w:p>
    <w:p w:rsidR="00C44DB8" w:rsidRDefault="00C44DB8" w:rsidP="00C44DB8">
      <w:pPr>
        <w:rPr>
          <w:b/>
          <w:sz w:val="20"/>
          <w:szCs w:val="20"/>
          <w:lang w:val="fr-CA"/>
        </w:rPr>
      </w:pPr>
      <w:r w:rsidRPr="00455913">
        <w:rPr>
          <w:b/>
          <w:sz w:val="20"/>
          <w:szCs w:val="20"/>
          <w:lang w:val="fr-CA"/>
        </w:rPr>
        <w:t>L</w:t>
      </w:r>
      <w:r w:rsidR="007C4CC4">
        <w:rPr>
          <w:b/>
          <w:sz w:val="20"/>
          <w:szCs w:val="20"/>
          <w:lang w:val="fr-CA"/>
        </w:rPr>
        <w:t>e</w:t>
      </w:r>
      <w:r w:rsidRPr="00455913">
        <w:rPr>
          <w:b/>
          <w:sz w:val="20"/>
          <w:szCs w:val="20"/>
          <w:lang w:val="fr-CA"/>
        </w:rPr>
        <w:t xml:space="preserve"> prochain Bulletin des proc</w:t>
      </w:r>
      <w:r>
        <w:rPr>
          <w:b/>
          <w:sz w:val="20"/>
          <w:szCs w:val="20"/>
          <w:lang w:val="fr-CA"/>
        </w:rPr>
        <w:t>é</w:t>
      </w:r>
      <w:r w:rsidRPr="00455913">
        <w:rPr>
          <w:b/>
          <w:sz w:val="20"/>
          <w:szCs w:val="20"/>
          <w:lang w:val="fr-CA"/>
        </w:rPr>
        <w:t xml:space="preserve">dures sera publié le </w:t>
      </w:r>
      <w:r>
        <w:rPr>
          <w:b/>
          <w:sz w:val="20"/>
          <w:szCs w:val="20"/>
          <w:lang w:val="fr-CA"/>
        </w:rPr>
        <w:t>9</w:t>
      </w:r>
      <w:r w:rsidRPr="00455913">
        <w:rPr>
          <w:b/>
          <w:sz w:val="20"/>
          <w:szCs w:val="20"/>
          <w:lang w:val="fr-CA"/>
        </w:rPr>
        <w:t xml:space="preserve"> janvier </w:t>
      </w:r>
      <w:r w:rsidRPr="00DD0B49">
        <w:rPr>
          <w:b/>
          <w:sz w:val="20"/>
          <w:szCs w:val="20"/>
          <w:lang w:val="fr-CA"/>
        </w:rPr>
        <w:t>201</w:t>
      </w:r>
      <w:r>
        <w:rPr>
          <w:b/>
          <w:sz w:val="20"/>
          <w:szCs w:val="20"/>
          <w:lang w:val="fr-CA"/>
        </w:rPr>
        <w:t>5</w:t>
      </w:r>
      <w:r w:rsidRPr="00DD0B49">
        <w:rPr>
          <w:b/>
          <w:sz w:val="20"/>
          <w:szCs w:val="20"/>
          <w:lang w:val="fr-CA"/>
        </w:rPr>
        <w:t>.</w:t>
      </w: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Default="00C44DB8" w:rsidP="00C44DB8">
      <w:pPr>
        <w:rPr>
          <w:b/>
          <w:sz w:val="20"/>
          <w:szCs w:val="20"/>
          <w:lang w:val="fr-CA"/>
        </w:rPr>
      </w:pPr>
    </w:p>
    <w:p w:rsidR="00C44DB8" w:rsidRPr="00C44DB8" w:rsidRDefault="00C44DB8" w:rsidP="00C44DB8">
      <w:pPr>
        <w:jc w:val="center"/>
        <w:rPr>
          <w:b/>
          <w:sz w:val="60"/>
          <w:szCs w:val="60"/>
        </w:rPr>
      </w:pPr>
      <w:r w:rsidRPr="00C44DB8">
        <w:rPr>
          <w:b/>
          <w:sz w:val="60"/>
          <w:szCs w:val="60"/>
        </w:rPr>
        <w:t>SEASON’S GREETINGS!</w:t>
      </w:r>
    </w:p>
    <w:p w:rsidR="00C44DB8" w:rsidRPr="00C44DB8" w:rsidRDefault="00C44DB8" w:rsidP="00C44DB8">
      <w:pPr>
        <w:rPr>
          <w:b/>
          <w:sz w:val="60"/>
          <w:szCs w:val="60"/>
        </w:rPr>
      </w:pPr>
    </w:p>
    <w:p w:rsidR="00C44DB8" w:rsidRPr="00C44DB8" w:rsidRDefault="00C44DB8" w:rsidP="00C44DB8">
      <w:pPr>
        <w:jc w:val="center"/>
        <w:rPr>
          <w:b/>
          <w:sz w:val="60"/>
          <w:szCs w:val="60"/>
        </w:rPr>
      </w:pPr>
      <w:r w:rsidRPr="00C44DB8">
        <w:rPr>
          <w:b/>
          <w:sz w:val="60"/>
          <w:szCs w:val="60"/>
        </w:rPr>
        <w:t xml:space="preserve">MEILLEURS </w:t>
      </w:r>
      <w:proofErr w:type="gramStart"/>
      <w:r w:rsidRPr="00C44DB8">
        <w:rPr>
          <w:b/>
          <w:sz w:val="60"/>
          <w:szCs w:val="60"/>
        </w:rPr>
        <w:t>VOEUX !</w:t>
      </w:r>
      <w:proofErr w:type="gramEnd"/>
    </w:p>
    <w:p w:rsidR="00C44DB8" w:rsidRPr="00C44DB8" w:rsidRDefault="00C44DB8" w:rsidP="00C44DB8">
      <w:pPr>
        <w:rPr>
          <w:b/>
          <w:sz w:val="20"/>
          <w:szCs w:val="20"/>
        </w:rPr>
      </w:pPr>
    </w:p>
    <w:p w:rsidR="00C44DB8" w:rsidRDefault="00C44DB8">
      <w:pPr>
        <w:rPr>
          <w:b/>
          <w:sz w:val="20"/>
          <w:szCs w:val="20"/>
        </w:rPr>
      </w:pPr>
    </w:p>
    <w:p w:rsidR="00C44DB8" w:rsidRDefault="00C44DB8">
      <w:pPr>
        <w:rPr>
          <w:b/>
          <w:sz w:val="20"/>
          <w:szCs w:val="20"/>
        </w:rPr>
      </w:pPr>
      <w:r>
        <w:rPr>
          <w:b/>
          <w:sz w:val="20"/>
          <w:szCs w:val="20"/>
        </w:rPr>
        <w:br w:type="page"/>
      </w:r>
    </w:p>
    <w:p w:rsidR="005F1ED8" w:rsidRPr="00C44DB8" w:rsidRDefault="005F1ED8" w:rsidP="005F1ED8">
      <w:pPr>
        <w:rPr>
          <w:b/>
          <w:sz w:val="20"/>
          <w:szCs w:val="20"/>
        </w:rPr>
      </w:pPr>
      <w:r w:rsidRPr="00C44DB8">
        <w:rPr>
          <w:b/>
          <w:sz w:val="20"/>
          <w:szCs w:val="20"/>
        </w:rPr>
        <w:lastRenderedPageBreak/>
        <w:t xml:space="preserve">AGENDA for the weeks of </w:t>
      </w:r>
      <w:r w:rsidR="00C44DB8">
        <w:rPr>
          <w:b/>
          <w:sz w:val="20"/>
          <w:szCs w:val="20"/>
        </w:rPr>
        <w:t>January</w:t>
      </w:r>
      <w:r w:rsidRPr="00C44DB8">
        <w:rPr>
          <w:b/>
          <w:sz w:val="20"/>
          <w:szCs w:val="20"/>
        </w:rPr>
        <w:t xml:space="preserve"> 1</w:t>
      </w:r>
      <w:r w:rsidR="00C44DB8">
        <w:rPr>
          <w:b/>
          <w:sz w:val="20"/>
          <w:szCs w:val="20"/>
        </w:rPr>
        <w:t>2</w:t>
      </w:r>
      <w:r w:rsidRPr="00C44DB8">
        <w:rPr>
          <w:b/>
          <w:sz w:val="20"/>
          <w:szCs w:val="20"/>
        </w:rPr>
        <w:t xml:space="preserve"> and 1</w:t>
      </w:r>
      <w:r w:rsidR="00C44DB8">
        <w:rPr>
          <w:b/>
          <w:sz w:val="20"/>
          <w:szCs w:val="20"/>
        </w:rPr>
        <w:t>9</w:t>
      </w:r>
      <w:r w:rsidRPr="00C44DB8">
        <w:rPr>
          <w:b/>
          <w:sz w:val="20"/>
          <w:szCs w:val="20"/>
        </w:rPr>
        <w:t>, 201</w:t>
      </w:r>
      <w:r w:rsidR="00C44DB8">
        <w:rPr>
          <w:b/>
          <w:sz w:val="20"/>
          <w:szCs w:val="20"/>
        </w:rPr>
        <w:t>5</w:t>
      </w:r>
      <w:r w:rsidRPr="00C44DB8">
        <w:rPr>
          <w:b/>
          <w:sz w:val="20"/>
          <w:szCs w:val="20"/>
        </w:rPr>
        <w:t>.</w:t>
      </w:r>
    </w:p>
    <w:p w:rsidR="005F1ED8" w:rsidRPr="00DD0B49" w:rsidRDefault="005F1ED8" w:rsidP="005F1ED8">
      <w:pPr>
        <w:rPr>
          <w:sz w:val="20"/>
          <w:szCs w:val="20"/>
          <w:lang w:val="fr-CA"/>
        </w:rPr>
      </w:pPr>
      <w:r w:rsidRPr="00DD0B49">
        <w:rPr>
          <w:b/>
          <w:sz w:val="20"/>
          <w:szCs w:val="20"/>
          <w:lang w:val="fr-CA"/>
        </w:rPr>
        <w:t>CALENDRIER de la semaine du 1</w:t>
      </w:r>
      <w:r w:rsidR="00C44DB8">
        <w:rPr>
          <w:b/>
          <w:sz w:val="20"/>
          <w:szCs w:val="20"/>
          <w:lang w:val="fr-CA"/>
        </w:rPr>
        <w:t>2</w:t>
      </w:r>
      <w:r>
        <w:rPr>
          <w:b/>
          <w:sz w:val="20"/>
          <w:szCs w:val="20"/>
          <w:lang w:val="fr-CA"/>
        </w:rPr>
        <w:t xml:space="preserve"> </w:t>
      </w:r>
      <w:r w:rsidR="00C44DB8">
        <w:rPr>
          <w:b/>
          <w:sz w:val="20"/>
          <w:szCs w:val="20"/>
          <w:lang w:val="fr-CA"/>
        </w:rPr>
        <w:t>j</w:t>
      </w:r>
      <w:r>
        <w:rPr>
          <w:b/>
          <w:sz w:val="20"/>
          <w:szCs w:val="20"/>
          <w:lang w:val="fr-CA"/>
        </w:rPr>
        <w:t>a</w:t>
      </w:r>
      <w:r w:rsidR="00C44DB8">
        <w:rPr>
          <w:b/>
          <w:sz w:val="20"/>
          <w:szCs w:val="20"/>
          <w:lang w:val="fr-CA"/>
        </w:rPr>
        <w:t>n</w:t>
      </w:r>
      <w:r>
        <w:rPr>
          <w:b/>
          <w:sz w:val="20"/>
          <w:szCs w:val="20"/>
          <w:lang w:val="fr-CA"/>
        </w:rPr>
        <w:t>v</w:t>
      </w:r>
      <w:r w:rsidR="00C44DB8">
        <w:rPr>
          <w:b/>
          <w:sz w:val="20"/>
          <w:szCs w:val="20"/>
          <w:lang w:val="fr-CA"/>
        </w:rPr>
        <w:t>ie</w:t>
      </w:r>
      <w:r>
        <w:rPr>
          <w:b/>
          <w:sz w:val="20"/>
          <w:szCs w:val="20"/>
          <w:lang w:val="fr-CA"/>
        </w:rPr>
        <w:t xml:space="preserve">r </w:t>
      </w:r>
      <w:r w:rsidRPr="00DD0B49">
        <w:rPr>
          <w:b/>
          <w:sz w:val="20"/>
          <w:szCs w:val="20"/>
          <w:lang w:val="fr-CA"/>
        </w:rPr>
        <w:t xml:space="preserve">et celle du </w:t>
      </w:r>
      <w:r>
        <w:rPr>
          <w:b/>
          <w:sz w:val="20"/>
          <w:szCs w:val="20"/>
          <w:lang w:val="fr-CA"/>
        </w:rPr>
        <w:t>1</w:t>
      </w:r>
      <w:r w:rsidR="00C44DB8">
        <w:rPr>
          <w:b/>
          <w:sz w:val="20"/>
          <w:szCs w:val="20"/>
          <w:lang w:val="fr-CA"/>
        </w:rPr>
        <w:t>9</w:t>
      </w:r>
      <w:r w:rsidRPr="00DD0B49">
        <w:rPr>
          <w:b/>
          <w:sz w:val="20"/>
          <w:szCs w:val="20"/>
          <w:lang w:val="fr-CA"/>
        </w:rPr>
        <w:t xml:space="preserve"> </w:t>
      </w:r>
      <w:r w:rsidR="00C44DB8">
        <w:rPr>
          <w:b/>
          <w:sz w:val="20"/>
          <w:szCs w:val="20"/>
          <w:lang w:val="fr-CA"/>
        </w:rPr>
        <w:t>j</w:t>
      </w:r>
      <w:r>
        <w:rPr>
          <w:b/>
          <w:sz w:val="20"/>
          <w:szCs w:val="20"/>
          <w:lang w:val="fr-CA"/>
        </w:rPr>
        <w:t>a</w:t>
      </w:r>
      <w:r w:rsidR="00C44DB8">
        <w:rPr>
          <w:b/>
          <w:sz w:val="20"/>
          <w:szCs w:val="20"/>
          <w:lang w:val="fr-CA"/>
        </w:rPr>
        <w:t>n</w:t>
      </w:r>
      <w:r w:rsidRPr="00DD0B49">
        <w:rPr>
          <w:b/>
          <w:sz w:val="20"/>
          <w:szCs w:val="20"/>
          <w:lang w:val="fr-CA"/>
        </w:rPr>
        <w:t>v</w:t>
      </w:r>
      <w:r>
        <w:rPr>
          <w:b/>
          <w:sz w:val="20"/>
          <w:szCs w:val="20"/>
          <w:lang w:val="fr-CA"/>
        </w:rPr>
        <w:t>i</w:t>
      </w:r>
      <w:r w:rsidR="00C44DB8">
        <w:rPr>
          <w:b/>
          <w:sz w:val="20"/>
          <w:szCs w:val="20"/>
          <w:lang w:val="fr-CA"/>
        </w:rPr>
        <w:t>er</w:t>
      </w:r>
      <w:r w:rsidRPr="00DD0B49">
        <w:rPr>
          <w:b/>
          <w:sz w:val="20"/>
          <w:szCs w:val="20"/>
          <w:lang w:val="fr-CA"/>
        </w:rPr>
        <w:t xml:space="preserve"> 201</w:t>
      </w:r>
      <w:r w:rsidR="00C44DB8">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C44DB8">
        <w:rPr>
          <w:sz w:val="20"/>
          <w:szCs w:val="20"/>
        </w:rPr>
        <w:t>January</w:t>
      </w:r>
      <w:r>
        <w:rPr>
          <w:sz w:val="20"/>
          <w:szCs w:val="20"/>
        </w:rPr>
        <w:t xml:space="preserve"> </w:t>
      </w:r>
      <w:r w:rsidR="00C44DB8">
        <w:rPr>
          <w:sz w:val="20"/>
          <w:szCs w:val="20"/>
        </w:rPr>
        <w:t>5</w:t>
      </w:r>
      <w:r w:rsidRPr="00DD0B49">
        <w:rPr>
          <w:sz w:val="20"/>
          <w:szCs w:val="20"/>
        </w:rPr>
        <w:t xml:space="preserve"> and 2</w:t>
      </w:r>
      <w:r w:rsidR="00C44DB8">
        <w:rPr>
          <w:sz w:val="20"/>
          <w:szCs w:val="20"/>
        </w:rPr>
        <w:t>6</w:t>
      </w:r>
      <w:r w:rsidRPr="00DD0B49">
        <w:rPr>
          <w:sz w:val="20"/>
          <w:szCs w:val="20"/>
        </w:rPr>
        <w:t>, 201</w:t>
      </w:r>
      <w:r w:rsidR="00C44DB8">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C44DB8">
        <w:rPr>
          <w:sz w:val="20"/>
          <w:szCs w:val="20"/>
          <w:lang w:val="fr-CA"/>
        </w:rPr>
        <w:t>5</w:t>
      </w:r>
      <w:r w:rsidRPr="00DD0B49">
        <w:rPr>
          <w:sz w:val="20"/>
          <w:szCs w:val="20"/>
          <w:lang w:val="fr-CA"/>
        </w:rPr>
        <w:t xml:space="preserve"> et du 2</w:t>
      </w:r>
      <w:r w:rsidR="00C44DB8">
        <w:rPr>
          <w:sz w:val="20"/>
          <w:szCs w:val="20"/>
          <w:lang w:val="fr-CA"/>
        </w:rPr>
        <w:t>6</w:t>
      </w:r>
      <w:r w:rsidRPr="00DD0B49">
        <w:rPr>
          <w:sz w:val="20"/>
          <w:szCs w:val="20"/>
          <w:lang w:val="fr-CA"/>
        </w:rPr>
        <w:t xml:space="preserve"> </w:t>
      </w:r>
      <w:r w:rsidR="00C44DB8">
        <w:rPr>
          <w:sz w:val="20"/>
          <w:szCs w:val="20"/>
          <w:lang w:val="fr-CA"/>
        </w:rPr>
        <w:t>j</w:t>
      </w:r>
      <w:r>
        <w:rPr>
          <w:sz w:val="20"/>
          <w:szCs w:val="20"/>
          <w:lang w:val="fr-CA"/>
        </w:rPr>
        <w:t>a</w:t>
      </w:r>
      <w:r w:rsidR="00C44DB8">
        <w:rPr>
          <w:sz w:val="20"/>
          <w:szCs w:val="20"/>
          <w:lang w:val="fr-CA"/>
        </w:rPr>
        <w:t>n</w:t>
      </w:r>
      <w:r w:rsidRPr="00DD0B49">
        <w:rPr>
          <w:sz w:val="20"/>
          <w:szCs w:val="20"/>
          <w:lang w:val="fr-CA"/>
        </w:rPr>
        <w:t>v</w:t>
      </w:r>
      <w:r>
        <w:rPr>
          <w:sz w:val="20"/>
          <w:szCs w:val="20"/>
          <w:lang w:val="fr-CA"/>
        </w:rPr>
        <w:t>i</w:t>
      </w:r>
      <w:r w:rsidR="00C44DB8">
        <w:rPr>
          <w:sz w:val="20"/>
          <w:szCs w:val="20"/>
          <w:lang w:val="fr-CA"/>
        </w:rPr>
        <w:t>er</w:t>
      </w:r>
      <w:r w:rsidRPr="00DD0B49">
        <w:rPr>
          <w:sz w:val="20"/>
          <w:szCs w:val="20"/>
          <w:lang w:val="fr-CA"/>
        </w:rPr>
        <w:t xml:space="preserve"> 201</w:t>
      </w:r>
      <w:r w:rsidR="00C44DB8">
        <w:rPr>
          <w:sz w:val="20"/>
          <w:szCs w:val="20"/>
          <w:lang w:val="fr-CA"/>
        </w:rPr>
        <w:t>5</w:t>
      </w:r>
      <w:r w:rsidRPr="00DD0B49">
        <w:rPr>
          <w:sz w:val="20"/>
          <w:szCs w:val="20"/>
          <w:lang w:val="fr-CA"/>
        </w:rPr>
        <w:t>.</w:t>
      </w:r>
    </w:p>
    <w:p w:rsidR="004B66B4" w:rsidRPr="00DD0B49" w:rsidRDefault="007871B3" w:rsidP="004B66B4">
      <w:pPr>
        <w:rPr>
          <w:sz w:val="20"/>
          <w:szCs w:val="20"/>
        </w:rPr>
      </w:pPr>
      <w:r>
        <w:rPr>
          <w:sz w:val="20"/>
          <w:szCs w:val="20"/>
        </w:rPr>
        <w:pict>
          <v:rect id="_x0000_i1075"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9723FD"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1C757A" w:rsidRPr="009723FD" w:rsidTr="002F70A3">
        <w:trPr>
          <w:cantSplit/>
          <w:trHeight w:hRule="exact" w:val="576"/>
        </w:trPr>
        <w:tc>
          <w:tcPr>
            <w:tcW w:w="2398" w:type="dxa"/>
          </w:tcPr>
          <w:p w:rsidR="001C757A" w:rsidRPr="003A74F5" w:rsidRDefault="001C757A" w:rsidP="001B7CE9">
            <w:pPr>
              <w:rPr>
                <w:rFonts w:eastAsia="Calibri" w:cs="Times New Roman"/>
                <w:sz w:val="20"/>
                <w:szCs w:val="20"/>
              </w:rPr>
            </w:pPr>
            <w:r>
              <w:rPr>
                <w:rFonts w:eastAsia="Calibri" w:cs="Times New Roman"/>
                <w:sz w:val="20"/>
                <w:szCs w:val="20"/>
              </w:rPr>
              <w:t>201</w:t>
            </w:r>
            <w:r w:rsidR="001B7CE9">
              <w:rPr>
                <w:rFonts w:eastAsia="Calibri" w:cs="Times New Roman"/>
                <w:sz w:val="20"/>
                <w:szCs w:val="20"/>
              </w:rPr>
              <w:t>5</w:t>
            </w:r>
            <w:r w:rsidRPr="003A74F5">
              <w:rPr>
                <w:rFonts w:eastAsia="Calibri" w:cs="Times New Roman"/>
                <w:sz w:val="20"/>
                <w:szCs w:val="20"/>
              </w:rPr>
              <w:t>-</w:t>
            </w:r>
            <w:r>
              <w:rPr>
                <w:rFonts w:eastAsia="Calibri" w:cs="Times New Roman"/>
                <w:sz w:val="20"/>
                <w:szCs w:val="20"/>
              </w:rPr>
              <w:t>0</w:t>
            </w:r>
            <w:r w:rsidR="001B7CE9">
              <w:rPr>
                <w:rFonts w:eastAsia="Calibri" w:cs="Times New Roman"/>
                <w:sz w:val="20"/>
                <w:szCs w:val="20"/>
              </w:rPr>
              <w:t>1</w:t>
            </w:r>
            <w:r w:rsidRPr="003A74F5">
              <w:rPr>
                <w:rFonts w:eastAsia="Calibri" w:cs="Times New Roman"/>
                <w:sz w:val="20"/>
                <w:szCs w:val="20"/>
              </w:rPr>
              <w:t>-</w:t>
            </w:r>
            <w:r>
              <w:rPr>
                <w:rFonts w:eastAsia="Calibri" w:cs="Times New Roman"/>
                <w:sz w:val="20"/>
                <w:szCs w:val="20"/>
              </w:rPr>
              <w:t>1</w:t>
            </w:r>
            <w:r w:rsidR="001B7CE9">
              <w:rPr>
                <w:rFonts w:eastAsia="Calibri" w:cs="Times New Roman"/>
                <w:sz w:val="20"/>
                <w:szCs w:val="20"/>
              </w:rPr>
              <w:t>3</w:t>
            </w:r>
          </w:p>
        </w:tc>
        <w:tc>
          <w:tcPr>
            <w:tcW w:w="7178" w:type="dxa"/>
          </w:tcPr>
          <w:p w:rsidR="001C757A" w:rsidRPr="00A708C5" w:rsidRDefault="002F70A3" w:rsidP="002F70A3">
            <w:pPr>
              <w:jc w:val="both"/>
              <w:rPr>
                <w:rFonts w:eastAsia="Calibri" w:cs="Times New Roman"/>
                <w:i/>
                <w:sz w:val="20"/>
                <w:szCs w:val="20"/>
                <w:lang w:val="fr-CA"/>
              </w:rPr>
            </w:pPr>
            <w:r>
              <w:rPr>
                <w:rFonts w:eastAsia="Calibri" w:cs="Times New Roman"/>
                <w:i/>
                <w:sz w:val="20"/>
                <w:szCs w:val="20"/>
                <w:lang w:val="fr-CA"/>
              </w:rPr>
              <w:t>Dav</w:t>
            </w:r>
            <w:r w:rsidR="001C757A" w:rsidRPr="00A708C5">
              <w:rPr>
                <w:rFonts w:eastAsia="Calibri" w:cs="Times New Roman"/>
                <w:i/>
                <w:sz w:val="20"/>
                <w:szCs w:val="20"/>
                <w:lang w:val="fr-CA"/>
              </w:rPr>
              <w:t>i</w:t>
            </w:r>
            <w:r>
              <w:rPr>
                <w:rFonts w:eastAsia="Calibri" w:cs="Times New Roman"/>
                <w:i/>
                <w:sz w:val="20"/>
                <w:szCs w:val="20"/>
                <w:lang w:val="fr-CA"/>
              </w:rPr>
              <w:t xml:space="preserve">d </w:t>
            </w:r>
            <w:proofErr w:type="spellStart"/>
            <w:r>
              <w:rPr>
                <w:rFonts w:eastAsia="Calibri" w:cs="Times New Roman"/>
                <w:i/>
                <w:sz w:val="20"/>
                <w:szCs w:val="20"/>
                <w:lang w:val="fr-CA"/>
              </w:rPr>
              <w:t>Caplin</w:t>
            </w:r>
            <w:proofErr w:type="spellEnd"/>
            <w:r w:rsidR="001C757A" w:rsidRPr="00A708C5">
              <w:rPr>
                <w:rFonts w:eastAsia="Calibri" w:cs="Times New Roman"/>
                <w:i/>
                <w:sz w:val="20"/>
                <w:szCs w:val="20"/>
                <w:lang w:val="fr-CA"/>
              </w:rPr>
              <w:t xml:space="preserve"> c. </w:t>
            </w:r>
            <w:r>
              <w:rPr>
                <w:rFonts w:eastAsia="Calibri" w:cs="Times New Roman"/>
                <w:i/>
                <w:sz w:val="20"/>
                <w:szCs w:val="20"/>
                <w:lang w:val="fr-CA"/>
              </w:rPr>
              <w:t>M</w:t>
            </w:r>
            <w:r w:rsidR="001C757A" w:rsidRPr="00A708C5">
              <w:rPr>
                <w:rFonts w:eastAsia="Calibri" w:cs="Times New Roman"/>
                <w:i/>
                <w:sz w:val="20"/>
                <w:szCs w:val="20"/>
                <w:lang w:val="fr-CA"/>
              </w:rPr>
              <w:t>in</w:t>
            </w:r>
            <w:r>
              <w:rPr>
                <w:rFonts w:eastAsia="Calibri" w:cs="Times New Roman"/>
                <w:i/>
                <w:sz w:val="20"/>
                <w:szCs w:val="20"/>
                <w:lang w:val="fr-CA"/>
              </w:rPr>
              <w:t>istre de la justice du Canada</w:t>
            </w:r>
            <w:r w:rsidR="001C757A" w:rsidRPr="00A708C5">
              <w:rPr>
                <w:rFonts w:eastAsia="Calibri" w:cs="Times New Roman"/>
                <w:i/>
                <w:sz w:val="20"/>
                <w:szCs w:val="20"/>
                <w:lang w:val="fr-CA"/>
              </w:rPr>
              <w:t xml:space="preserve"> </w:t>
            </w:r>
            <w:r w:rsidR="001C757A" w:rsidRPr="00A708C5">
              <w:rPr>
                <w:rFonts w:eastAsia="Calibri" w:cs="Times New Roman"/>
                <w:sz w:val="20"/>
                <w:szCs w:val="20"/>
                <w:lang w:val="fr-CA"/>
              </w:rPr>
              <w:t>(</w:t>
            </w:r>
            <w:proofErr w:type="spellStart"/>
            <w:r w:rsidR="001C757A" w:rsidRPr="00A708C5">
              <w:rPr>
                <w:rFonts w:eastAsia="Calibri" w:cs="Times New Roman"/>
                <w:sz w:val="20"/>
                <w:szCs w:val="20"/>
                <w:lang w:val="fr-CA"/>
              </w:rPr>
              <w:t>Qc</w:t>
            </w:r>
            <w:proofErr w:type="spellEnd"/>
            <w:r w:rsidR="001C757A" w:rsidRPr="00A708C5">
              <w:rPr>
                <w:rFonts w:eastAsia="Calibri" w:cs="Times New Roman"/>
                <w:sz w:val="20"/>
                <w:szCs w:val="20"/>
                <w:lang w:val="fr-CA"/>
              </w:rPr>
              <w:t>) (C</w:t>
            </w:r>
            <w:r>
              <w:rPr>
                <w:rFonts w:eastAsia="Calibri" w:cs="Times New Roman"/>
                <w:sz w:val="20"/>
                <w:szCs w:val="20"/>
                <w:lang w:val="fr-CA"/>
              </w:rPr>
              <w:t>r</w:t>
            </w:r>
            <w:r w:rsidR="001C757A" w:rsidRPr="00A708C5">
              <w:rPr>
                <w:rFonts w:eastAsia="Calibri" w:cs="Times New Roman"/>
                <w:sz w:val="20"/>
                <w:szCs w:val="20"/>
                <w:lang w:val="fr-CA"/>
              </w:rPr>
              <w:t>i</w:t>
            </w:r>
            <w:r>
              <w:rPr>
                <w:rFonts w:eastAsia="Calibri" w:cs="Times New Roman"/>
                <w:sz w:val="20"/>
                <w:szCs w:val="20"/>
                <w:lang w:val="fr-CA"/>
              </w:rPr>
              <w:t>m</w:t>
            </w:r>
            <w:r w:rsidR="001C757A" w:rsidRPr="00A708C5">
              <w:rPr>
                <w:rFonts w:eastAsia="Calibri" w:cs="Times New Roman"/>
                <w:sz w:val="20"/>
                <w:szCs w:val="20"/>
                <w:lang w:val="fr-CA"/>
              </w:rPr>
              <w:t>i</w:t>
            </w:r>
            <w:r>
              <w:rPr>
                <w:rFonts w:eastAsia="Calibri" w:cs="Times New Roman"/>
                <w:sz w:val="20"/>
                <w:szCs w:val="20"/>
                <w:lang w:val="fr-CA"/>
              </w:rPr>
              <w:t>nel</w:t>
            </w:r>
            <w:r w:rsidR="001C757A" w:rsidRPr="00A708C5">
              <w:rPr>
                <w:rFonts w:eastAsia="Calibri" w:cs="Times New Roman"/>
                <w:sz w:val="20"/>
                <w:szCs w:val="20"/>
                <w:lang w:val="fr-CA"/>
              </w:rPr>
              <w:t>le) (Autorisation) (35</w:t>
            </w:r>
            <w:r>
              <w:rPr>
                <w:rFonts w:eastAsia="Calibri" w:cs="Times New Roman"/>
                <w:sz w:val="20"/>
                <w:szCs w:val="20"/>
                <w:lang w:val="fr-CA"/>
              </w:rPr>
              <w:t>5</w:t>
            </w:r>
            <w:r w:rsidR="001C757A">
              <w:rPr>
                <w:rFonts w:eastAsia="Calibri" w:cs="Times New Roman"/>
                <w:sz w:val="20"/>
                <w:szCs w:val="20"/>
                <w:lang w:val="fr-CA"/>
              </w:rPr>
              <w:t>2</w:t>
            </w:r>
            <w:r>
              <w:rPr>
                <w:rFonts w:eastAsia="Calibri" w:cs="Times New Roman"/>
                <w:sz w:val="20"/>
                <w:szCs w:val="20"/>
                <w:lang w:val="fr-CA"/>
              </w:rPr>
              <w:t>7</w:t>
            </w:r>
            <w:r w:rsidR="001C757A" w:rsidRPr="00A708C5">
              <w:rPr>
                <w:rFonts w:eastAsia="Calibri" w:cs="Times New Roman"/>
                <w:sz w:val="20"/>
                <w:szCs w:val="20"/>
                <w:lang w:val="fr-CA"/>
              </w:rPr>
              <w:t>)</w:t>
            </w:r>
          </w:p>
        </w:tc>
      </w:tr>
      <w:tr w:rsidR="001C757A" w:rsidRPr="001C757A" w:rsidTr="002F70A3">
        <w:trPr>
          <w:cantSplit/>
          <w:trHeight w:hRule="exact" w:val="360"/>
        </w:trPr>
        <w:tc>
          <w:tcPr>
            <w:tcW w:w="2398" w:type="dxa"/>
          </w:tcPr>
          <w:p w:rsidR="001C757A" w:rsidRPr="001C757A" w:rsidRDefault="001B7CE9" w:rsidP="005F1ED8">
            <w:pPr>
              <w:rPr>
                <w:rFonts w:eastAsia="Calibri" w:cs="Times New Roman"/>
                <w:sz w:val="20"/>
                <w:szCs w:val="20"/>
                <w:lang w:val="fr-CA"/>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13</w:t>
            </w:r>
          </w:p>
        </w:tc>
        <w:tc>
          <w:tcPr>
            <w:tcW w:w="7178" w:type="dxa"/>
          </w:tcPr>
          <w:p w:rsidR="001C757A" w:rsidRPr="002F70A3" w:rsidRDefault="002F70A3" w:rsidP="002F70A3">
            <w:pPr>
              <w:jc w:val="both"/>
              <w:rPr>
                <w:rFonts w:eastAsia="Calibri" w:cs="Times New Roman"/>
                <w:sz w:val="20"/>
                <w:szCs w:val="20"/>
              </w:rPr>
            </w:pPr>
            <w:r>
              <w:rPr>
                <w:rFonts w:eastAsia="Calibri" w:cs="Times New Roman"/>
                <w:i/>
                <w:sz w:val="20"/>
                <w:szCs w:val="20"/>
              </w:rPr>
              <w:t>Attorney G</w:t>
            </w:r>
            <w:r w:rsidR="001C757A" w:rsidRPr="003B7455">
              <w:rPr>
                <w:rFonts w:eastAsia="Calibri" w:cs="Times New Roman"/>
                <w:i/>
                <w:sz w:val="20"/>
                <w:szCs w:val="20"/>
              </w:rPr>
              <w:t>e</w:t>
            </w:r>
            <w:r>
              <w:rPr>
                <w:rFonts w:eastAsia="Calibri" w:cs="Times New Roman"/>
                <w:i/>
                <w:sz w:val="20"/>
                <w:szCs w:val="20"/>
              </w:rPr>
              <w:t>n</w:t>
            </w:r>
            <w:r w:rsidR="001C757A" w:rsidRPr="003B7455">
              <w:rPr>
                <w:rFonts w:eastAsia="Calibri" w:cs="Times New Roman"/>
                <w:i/>
                <w:sz w:val="20"/>
                <w:szCs w:val="20"/>
              </w:rPr>
              <w:t>er</w:t>
            </w:r>
            <w:r>
              <w:rPr>
                <w:rFonts w:eastAsia="Calibri" w:cs="Times New Roman"/>
                <w:i/>
                <w:sz w:val="20"/>
                <w:szCs w:val="20"/>
              </w:rPr>
              <w:t>al of Canada</w:t>
            </w:r>
            <w:r w:rsidR="001C757A" w:rsidRPr="003B7455">
              <w:rPr>
                <w:rFonts w:eastAsia="Calibri" w:cs="Times New Roman"/>
                <w:i/>
                <w:sz w:val="20"/>
                <w:szCs w:val="20"/>
              </w:rPr>
              <w:t xml:space="preserve"> v. </w:t>
            </w:r>
            <w:r>
              <w:rPr>
                <w:rFonts w:eastAsia="Calibri" w:cs="Times New Roman"/>
                <w:i/>
                <w:sz w:val="20"/>
                <w:szCs w:val="20"/>
              </w:rPr>
              <w:t>Anthon</w:t>
            </w:r>
            <w:r w:rsidR="001C757A" w:rsidRPr="003B7455">
              <w:rPr>
                <w:rFonts w:eastAsia="Calibri" w:cs="Times New Roman"/>
                <w:i/>
                <w:sz w:val="20"/>
                <w:szCs w:val="20"/>
              </w:rPr>
              <w:t xml:space="preserve">y </w:t>
            </w:r>
            <w:r>
              <w:rPr>
                <w:rFonts w:eastAsia="Calibri" w:cs="Times New Roman"/>
                <w:i/>
                <w:sz w:val="20"/>
                <w:szCs w:val="20"/>
              </w:rPr>
              <w:t>Bar</w:t>
            </w:r>
            <w:r w:rsidR="001C757A" w:rsidRPr="003B7455">
              <w:rPr>
                <w:rFonts w:eastAsia="Calibri" w:cs="Times New Roman"/>
                <w:i/>
                <w:sz w:val="20"/>
                <w:szCs w:val="20"/>
              </w:rPr>
              <w:t>n</w:t>
            </w:r>
            <w:r>
              <w:rPr>
                <w:rFonts w:eastAsia="Calibri" w:cs="Times New Roman"/>
                <w:i/>
                <w:sz w:val="20"/>
                <w:szCs w:val="20"/>
              </w:rPr>
              <w:t>aby</w:t>
            </w:r>
            <w:r w:rsidR="001C757A" w:rsidRPr="003B7455">
              <w:rPr>
                <w:rFonts w:eastAsia="Calibri" w:cs="Times New Roman"/>
                <w:i/>
                <w:sz w:val="20"/>
                <w:szCs w:val="20"/>
              </w:rPr>
              <w:t xml:space="preserve"> </w:t>
            </w:r>
            <w:r w:rsidR="001C757A" w:rsidRPr="003B7455">
              <w:rPr>
                <w:rFonts w:eastAsia="Calibri" w:cs="Times New Roman"/>
                <w:sz w:val="20"/>
                <w:szCs w:val="20"/>
              </w:rPr>
              <w:t>(</w:t>
            </w:r>
            <w:r>
              <w:rPr>
                <w:rFonts w:eastAsia="Calibri" w:cs="Times New Roman"/>
                <w:sz w:val="20"/>
                <w:szCs w:val="20"/>
              </w:rPr>
              <w:t>Que</w:t>
            </w:r>
            <w:r w:rsidR="001C757A" w:rsidRPr="003B7455">
              <w:rPr>
                <w:rFonts w:eastAsia="Calibri" w:cs="Times New Roman"/>
                <w:sz w:val="20"/>
                <w:szCs w:val="20"/>
              </w:rPr>
              <w:t xml:space="preserve">.) </w:t>
            </w:r>
            <w:r w:rsidR="001C757A" w:rsidRPr="002F70A3">
              <w:rPr>
                <w:rFonts w:eastAsia="Calibri" w:cs="Times New Roman"/>
                <w:sz w:val="20"/>
                <w:szCs w:val="20"/>
              </w:rPr>
              <w:t>(Criminal) (By Leave) (35</w:t>
            </w:r>
            <w:r>
              <w:rPr>
                <w:rFonts w:eastAsia="Calibri" w:cs="Times New Roman"/>
                <w:sz w:val="20"/>
                <w:szCs w:val="20"/>
              </w:rPr>
              <w:t>548</w:t>
            </w:r>
            <w:r w:rsidR="001C757A" w:rsidRPr="002F70A3">
              <w:rPr>
                <w:rFonts w:eastAsia="Calibri" w:cs="Times New Roman"/>
                <w:sz w:val="20"/>
                <w:szCs w:val="20"/>
              </w:rPr>
              <w:t>)</w:t>
            </w:r>
          </w:p>
        </w:tc>
      </w:tr>
      <w:tr w:rsidR="001C757A" w:rsidRPr="003A74F5" w:rsidTr="002F70A3">
        <w:trPr>
          <w:cantSplit/>
          <w:trHeight w:hRule="exact" w:val="360"/>
        </w:trPr>
        <w:tc>
          <w:tcPr>
            <w:tcW w:w="2398" w:type="dxa"/>
          </w:tcPr>
          <w:p w:rsidR="001C757A" w:rsidRPr="003A74F5" w:rsidRDefault="001B7CE9"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14</w:t>
            </w:r>
          </w:p>
        </w:tc>
        <w:tc>
          <w:tcPr>
            <w:tcW w:w="7178" w:type="dxa"/>
          </w:tcPr>
          <w:p w:rsidR="001C757A" w:rsidRPr="003A74F5" w:rsidRDefault="002F70A3" w:rsidP="002F70A3">
            <w:pPr>
              <w:jc w:val="both"/>
              <w:rPr>
                <w:rFonts w:eastAsia="Calibri" w:cs="Times New Roman"/>
                <w:sz w:val="20"/>
                <w:szCs w:val="20"/>
              </w:rPr>
            </w:pPr>
            <w:r w:rsidRPr="003B7455">
              <w:rPr>
                <w:rFonts w:eastAsia="Calibri" w:cs="Times New Roman"/>
                <w:i/>
                <w:sz w:val="20"/>
                <w:szCs w:val="20"/>
              </w:rPr>
              <w:t xml:space="preserve">Her Majesty the Queen v. </w:t>
            </w:r>
            <w:r>
              <w:rPr>
                <w:rFonts w:eastAsia="Calibri" w:cs="Times New Roman"/>
                <w:i/>
                <w:sz w:val="20"/>
                <w:szCs w:val="20"/>
              </w:rPr>
              <w:t>J</w:t>
            </w:r>
            <w:r w:rsidRPr="003B7455">
              <w:rPr>
                <w:rFonts w:eastAsia="Calibri" w:cs="Times New Roman"/>
                <w:i/>
                <w:sz w:val="20"/>
                <w:szCs w:val="20"/>
              </w:rPr>
              <w:t>as</w:t>
            </w:r>
            <w:r>
              <w:rPr>
                <w:rFonts w:eastAsia="Calibri" w:cs="Times New Roman"/>
                <w:i/>
                <w:sz w:val="20"/>
                <w:szCs w:val="20"/>
              </w:rPr>
              <w:t xml:space="preserve">on </w:t>
            </w:r>
            <w:proofErr w:type="spellStart"/>
            <w:r>
              <w:rPr>
                <w:rFonts w:eastAsia="Calibri" w:cs="Times New Roman"/>
                <w:i/>
                <w:sz w:val="20"/>
                <w:szCs w:val="20"/>
              </w:rPr>
              <w:t>Rodgerson</w:t>
            </w:r>
            <w:proofErr w:type="spellEnd"/>
            <w:r>
              <w:rPr>
                <w:rFonts w:eastAsia="Calibri" w:cs="Times New Roman"/>
                <w:i/>
                <w:sz w:val="20"/>
                <w:szCs w:val="20"/>
              </w:rPr>
              <w:t xml:space="preserve"> </w:t>
            </w:r>
            <w:r w:rsidRPr="003B7455">
              <w:rPr>
                <w:rFonts w:eastAsia="Calibri" w:cs="Times New Roman"/>
                <w:sz w:val="20"/>
                <w:szCs w:val="20"/>
              </w:rPr>
              <w:t xml:space="preserve">(Ont.) </w:t>
            </w:r>
            <w:r w:rsidRPr="002F70A3">
              <w:rPr>
                <w:rFonts w:eastAsia="Calibri" w:cs="Times New Roman"/>
                <w:sz w:val="20"/>
                <w:szCs w:val="20"/>
              </w:rPr>
              <w:t>(Criminal) (</w:t>
            </w:r>
            <w:r>
              <w:rPr>
                <w:rFonts w:eastAsia="Calibri" w:cs="Times New Roman"/>
                <w:sz w:val="20"/>
                <w:szCs w:val="20"/>
              </w:rPr>
              <w:t>As of Right</w:t>
            </w:r>
            <w:r w:rsidRPr="002F70A3">
              <w:rPr>
                <w:rFonts w:eastAsia="Calibri" w:cs="Times New Roman"/>
                <w:sz w:val="20"/>
                <w:szCs w:val="20"/>
              </w:rPr>
              <w:t>) (35</w:t>
            </w:r>
            <w:r>
              <w:rPr>
                <w:rFonts w:eastAsia="Calibri" w:cs="Times New Roman"/>
                <w:sz w:val="20"/>
                <w:szCs w:val="20"/>
              </w:rPr>
              <w:t>947</w:t>
            </w:r>
            <w:r w:rsidRPr="002F70A3">
              <w:rPr>
                <w:rFonts w:eastAsia="Calibri" w:cs="Times New Roman"/>
                <w:sz w:val="20"/>
                <w:szCs w:val="20"/>
              </w:rPr>
              <w:t>)</w:t>
            </w:r>
          </w:p>
        </w:tc>
      </w:tr>
      <w:tr w:rsidR="002F70A3" w:rsidRPr="00C5600D" w:rsidTr="007521B9">
        <w:trPr>
          <w:cantSplit/>
          <w:trHeight w:hRule="exact" w:val="821"/>
        </w:trPr>
        <w:tc>
          <w:tcPr>
            <w:tcW w:w="2398" w:type="dxa"/>
          </w:tcPr>
          <w:p w:rsidR="002F70A3" w:rsidRPr="003A74F5"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15</w:t>
            </w:r>
          </w:p>
        </w:tc>
        <w:tc>
          <w:tcPr>
            <w:tcW w:w="7178" w:type="dxa"/>
          </w:tcPr>
          <w:p w:rsidR="002F70A3" w:rsidRDefault="002F70A3" w:rsidP="002F70A3">
            <w:pPr>
              <w:jc w:val="both"/>
              <w:rPr>
                <w:rFonts w:eastAsia="Calibri" w:cs="Times New Roman"/>
                <w:sz w:val="20"/>
                <w:szCs w:val="20"/>
              </w:rPr>
            </w:pPr>
            <w:r>
              <w:rPr>
                <w:rFonts w:eastAsia="Calibri" w:cs="Times New Roman"/>
                <w:i/>
                <w:sz w:val="20"/>
                <w:szCs w:val="20"/>
              </w:rPr>
              <w:t>407 ETR Concession Company Limited</w:t>
            </w:r>
            <w:r w:rsidRPr="003B7455">
              <w:rPr>
                <w:rFonts w:eastAsia="Calibri" w:cs="Times New Roman"/>
                <w:i/>
                <w:sz w:val="20"/>
                <w:szCs w:val="20"/>
              </w:rPr>
              <w:t xml:space="preserve"> v. </w:t>
            </w:r>
            <w:r>
              <w:rPr>
                <w:rFonts w:eastAsia="Calibri" w:cs="Times New Roman"/>
                <w:i/>
                <w:sz w:val="20"/>
                <w:szCs w:val="20"/>
              </w:rPr>
              <w:t>Supe</w:t>
            </w:r>
            <w:r w:rsidRPr="003B7455">
              <w:rPr>
                <w:rFonts w:eastAsia="Calibri" w:cs="Times New Roman"/>
                <w:i/>
                <w:sz w:val="20"/>
                <w:szCs w:val="20"/>
              </w:rPr>
              <w:t>r</w:t>
            </w:r>
            <w:r>
              <w:rPr>
                <w:rFonts w:eastAsia="Calibri" w:cs="Times New Roman"/>
                <w:i/>
                <w:sz w:val="20"/>
                <w:szCs w:val="20"/>
              </w:rPr>
              <w:t>in</w:t>
            </w:r>
            <w:r w:rsidRPr="003B7455">
              <w:rPr>
                <w:rFonts w:eastAsia="Calibri" w:cs="Times New Roman"/>
                <w:i/>
                <w:sz w:val="20"/>
                <w:szCs w:val="20"/>
              </w:rPr>
              <w:t>t</w:t>
            </w:r>
            <w:r>
              <w:rPr>
                <w:rFonts w:eastAsia="Calibri" w:cs="Times New Roman"/>
                <w:i/>
                <w:sz w:val="20"/>
                <w:szCs w:val="20"/>
              </w:rPr>
              <w:t>endent of Bankruptcy</w:t>
            </w:r>
            <w:r w:rsidRPr="003B7455">
              <w:rPr>
                <w:rFonts w:eastAsia="Calibri" w:cs="Times New Roman"/>
                <w:i/>
                <w:sz w:val="20"/>
                <w:szCs w:val="20"/>
              </w:rPr>
              <w:t xml:space="preserve"> </w:t>
            </w:r>
            <w:r w:rsidRPr="003B7455">
              <w:rPr>
                <w:rFonts w:eastAsia="Calibri" w:cs="Times New Roman"/>
                <w:sz w:val="20"/>
                <w:szCs w:val="20"/>
              </w:rPr>
              <w:t xml:space="preserve">(Ont.) </w:t>
            </w:r>
            <w:r w:rsidRPr="002F70A3">
              <w:rPr>
                <w:rFonts w:eastAsia="Calibri" w:cs="Times New Roman"/>
                <w:sz w:val="20"/>
                <w:szCs w:val="20"/>
              </w:rPr>
              <w:t>(Ci</w:t>
            </w:r>
            <w:r>
              <w:rPr>
                <w:rFonts w:eastAsia="Calibri" w:cs="Times New Roman"/>
                <w:sz w:val="20"/>
                <w:szCs w:val="20"/>
              </w:rPr>
              <w:t>v</w:t>
            </w:r>
            <w:r w:rsidRPr="002F70A3">
              <w:rPr>
                <w:rFonts w:eastAsia="Calibri" w:cs="Times New Roman"/>
                <w:sz w:val="20"/>
                <w:szCs w:val="20"/>
              </w:rPr>
              <w:t>il) (By Leave) (35</w:t>
            </w:r>
            <w:r>
              <w:rPr>
                <w:rFonts w:eastAsia="Calibri" w:cs="Times New Roman"/>
                <w:sz w:val="20"/>
                <w:szCs w:val="20"/>
              </w:rPr>
              <w:t>696</w:t>
            </w:r>
            <w:r w:rsidRPr="002F70A3">
              <w:rPr>
                <w:rFonts w:eastAsia="Calibri" w:cs="Times New Roman"/>
                <w:sz w:val="20"/>
                <w:szCs w:val="20"/>
              </w:rPr>
              <w:t>)</w:t>
            </w:r>
          </w:p>
          <w:p w:rsidR="007521B9" w:rsidRPr="003A74F5" w:rsidRDefault="007521B9" w:rsidP="002F70A3">
            <w:pPr>
              <w:jc w:val="both"/>
              <w:rPr>
                <w:rFonts w:eastAsia="Calibri" w:cs="Times New Roman"/>
                <w:sz w:val="20"/>
                <w:szCs w:val="20"/>
              </w:rPr>
            </w:pPr>
            <w:r w:rsidRPr="00CF582C">
              <w:rPr>
                <w:rFonts w:eastAsia="Calibri" w:cs="Times New Roman"/>
                <w:sz w:val="20"/>
                <w:szCs w:val="20"/>
              </w:rPr>
              <w:t xml:space="preserve">(Early start time: 9:00 a.m. </w:t>
            </w:r>
            <w:r>
              <w:rPr>
                <w:rFonts w:eastAsia="Calibri" w:cs="Times New Roman"/>
                <w:sz w:val="20"/>
                <w:szCs w:val="20"/>
              </w:rPr>
              <w:t xml:space="preserve">/ </w:t>
            </w:r>
            <w:proofErr w:type="spellStart"/>
            <w:r>
              <w:rPr>
                <w:rFonts w:eastAsia="Calibri" w:cs="Times New Roman"/>
                <w:sz w:val="20"/>
                <w:szCs w:val="20"/>
              </w:rPr>
              <w:t>Horaire</w:t>
            </w:r>
            <w:proofErr w:type="spellEnd"/>
            <w:r>
              <w:rPr>
                <w:rFonts w:eastAsia="Calibri" w:cs="Times New Roman"/>
                <w:sz w:val="20"/>
                <w:szCs w:val="20"/>
              </w:rPr>
              <w:t xml:space="preserve"> </w:t>
            </w:r>
            <w:proofErr w:type="spellStart"/>
            <w:r>
              <w:rPr>
                <w:rFonts w:eastAsia="Calibri" w:cs="Times New Roman"/>
                <w:sz w:val="20"/>
                <w:szCs w:val="20"/>
              </w:rPr>
              <w:t>modifié</w:t>
            </w:r>
            <w:proofErr w:type="spellEnd"/>
            <w:r>
              <w:rPr>
                <w:rFonts w:eastAsia="Calibri" w:cs="Times New Roman"/>
                <w:sz w:val="20"/>
                <w:szCs w:val="20"/>
              </w:rPr>
              <w:t xml:space="preserve"> : audience debutant à 9 h)</w:t>
            </w:r>
          </w:p>
        </w:tc>
      </w:tr>
      <w:tr w:rsidR="002F70A3" w:rsidRPr="00C5600D" w:rsidTr="002F70A3">
        <w:trPr>
          <w:cantSplit/>
          <w:trHeight w:hRule="exact" w:val="576"/>
        </w:trPr>
        <w:tc>
          <w:tcPr>
            <w:tcW w:w="2398" w:type="dxa"/>
          </w:tcPr>
          <w:p w:rsidR="002F70A3" w:rsidRPr="00216AEB" w:rsidRDefault="002F70A3" w:rsidP="005F1ED8">
            <w:pPr>
              <w:rPr>
                <w:rFonts w:eastAsia="Calibri" w:cs="Times New Roman"/>
                <w:sz w:val="20"/>
                <w:szCs w:val="20"/>
                <w:lang w:val="fr-CA"/>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15</w:t>
            </w:r>
          </w:p>
        </w:tc>
        <w:tc>
          <w:tcPr>
            <w:tcW w:w="7178" w:type="dxa"/>
          </w:tcPr>
          <w:p w:rsidR="002F70A3" w:rsidRPr="003A74F5" w:rsidRDefault="002F70A3" w:rsidP="002F70A3">
            <w:pPr>
              <w:jc w:val="both"/>
              <w:rPr>
                <w:rFonts w:eastAsia="Calibri" w:cs="Times New Roman"/>
                <w:sz w:val="20"/>
                <w:szCs w:val="20"/>
              </w:rPr>
            </w:pPr>
            <w:r>
              <w:rPr>
                <w:rFonts w:eastAsia="Calibri" w:cs="Times New Roman"/>
                <w:i/>
                <w:sz w:val="20"/>
                <w:szCs w:val="20"/>
              </w:rPr>
              <w:t>Atto</w:t>
            </w:r>
            <w:r w:rsidRPr="003B7455">
              <w:rPr>
                <w:rFonts w:eastAsia="Calibri" w:cs="Times New Roman"/>
                <w:i/>
                <w:sz w:val="20"/>
                <w:szCs w:val="20"/>
              </w:rPr>
              <w:t>r</w:t>
            </w:r>
            <w:r>
              <w:rPr>
                <w:rFonts w:eastAsia="Calibri" w:cs="Times New Roman"/>
                <w:i/>
                <w:sz w:val="20"/>
                <w:szCs w:val="20"/>
              </w:rPr>
              <w:t>n</w:t>
            </w:r>
            <w:r w:rsidRPr="003B7455">
              <w:rPr>
                <w:rFonts w:eastAsia="Calibri" w:cs="Times New Roman"/>
                <w:i/>
                <w:sz w:val="20"/>
                <w:szCs w:val="20"/>
              </w:rPr>
              <w:t xml:space="preserve">ey </w:t>
            </w:r>
            <w:r>
              <w:rPr>
                <w:rFonts w:eastAsia="Calibri" w:cs="Times New Roman"/>
                <w:i/>
                <w:sz w:val="20"/>
                <w:szCs w:val="20"/>
              </w:rPr>
              <w:t>G</w:t>
            </w:r>
            <w:r w:rsidRPr="003B7455">
              <w:rPr>
                <w:rFonts w:eastAsia="Calibri" w:cs="Times New Roman"/>
                <w:i/>
                <w:sz w:val="20"/>
                <w:szCs w:val="20"/>
              </w:rPr>
              <w:t>en</w:t>
            </w:r>
            <w:r>
              <w:rPr>
                <w:rFonts w:eastAsia="Calibri" w:cs="Times New Roman"/>
                <w:i/>
                <w:sz w:val="20"/>
                <w:szCs w:val="20"/>
              </w:rPr>
              <w:t>eral of Alberta</w:t>
            </w:r>
            <w:r w:rsidRPr="003B7455">
              <w:rPr>
                <w:rFonts w:eastAsia="Calibri" w:cs="Times New Roman"/>
                <w:i/>
                <w:sz w:val="20"/>
                <w:szCs w:val="20"/>
              </w:rPr>
              <w:t xml:space="preserve"> v. </w:t>
            </w:r>
            <w:r>
              <w:rPr>
                <w:rFonts w:eastAsia="Calibri" w:cs="Times New Roman"/>
                <w:i/>
                <w:sz w:val="20"/>
                <w:szCs w:val="20"/>
              </w:rPr>
              <w:t xml:space="preserve">Joseph William </w:t>
            </w:r>
            <w:proofErr w:type="spellStart"/>
            <w:r>
              <w:rPr>
                <w:rFonts w:eastAsia="Calibri" w:cs="Times New Roman"/>
                <w:i/>
                <w:sz w:val="20"/>
                <w:szCs w:val="20"/>
              </w:rPr>
              <w:t>Molon</w:t>
            </w:r>
            <w:r w:rsidRPr="003B7455">
              <w:rPr>
                <w:rFonts w:eastAsia="Calibri" w:cs="Times New Roman"/>
                <w:i/>
                <w:sz w:val="20"/>
                <w:szCs w:val="20"/>
              </w:rPr>
              <w:t>ey</w:t>
            </w:r>
            <w:proofErr w:type="spellEnd"/>
            <w:r w:rsidRPr="003B7455">
              <w:rPr>
                <w:rFonts w:eastAsia="Calibri" w:cs="Times New Roman"/>
                <w:i/>
                <w:sz w:val="20"/>
                <w:szCs w:val="20"/>
              </w:rPr>
              <w:t xml:space="preserve"> </w:t>
            </w:r>
            <w:r w:rsidRPr="003B7455">
              <w:rPr>
                <w:rFonts w:eastAsia="Calibri" w:cs="Times New Roman"/>
                <w:sz w:val="20"/>
                <w:szCs w:val="20"/>
              </w:rPr>
              <w:t>(</w:t>
            </w:r>
            <w:r>
              <w:rPr>
                <w:rFonts w:eastAsia="Calibri" w:cs="Times New Roman"/>
                <w:sz w:val="20"/>
                <w:szCs w:val="20"/>
              </w:rPr>
              <w:t>Al</w:t>
            </w:r>
            <w:r w:rsidRPr="003B7455">
              <w:rPr>
                <w:rFonts w:eastAsia="Calibri" w:cs="Times New Roman"/>
                <w:sz w:val="20"/>
                <w:szCs w:val="20"/>
              </w:rPr>
              <w:t>t</w:t>
            </w:r>
            <w:r>
              <w:rPr>
                <w:rFonts w:eastAsia="Calibri" w:cs="Times New Roman"/>
                <w:sz w:val="20"/>
                <w:szCs w:val="20"/>
              </w:rPr>
              <w:t>a</w:t>
            </w:r>
            <w:r w:rsidRPr="003B7455">
              <w:rPr>
                <w:rFonts w:eastAsia="Calibri" w:cs="Times New Roman"/>
                <w:sz w:val="20"/>
                <w:szCs w:val="20"/>
              </w:rPr>
              <w:t xml:space="preserve">.) </w:t>
            </w:r>
            <w:r w:rsidRPr="002F70A3">
              <w:rPr>
                <w:rFonts w:eastAsia="Calibri" w:cs="Times New Roman"/>
                <w:sz w:val="20"/>
                <w:szCs w:val="20"/>
              </w:rPr>
              <w:t>(Ci</w:t>
            </w:r>
            <w:r>
              <w:rPr>
                <w:rFonts w:eastAsia="Calibri" w:cs="Times New Roman"/>
                <w:sz w:val="20"/>
                <w:szCs w:val="20"/>
              </w:rPr>
              <w:t>vi</w:t>
            </w:r>
            <w:r w:rsidRPr="002F70A3">
              <w:rPr>
                <w:rFonts w:eastAsia="Calibri" w:cs="Times New Roman"/>
                <w:sz w:val="20"/>
                <w:szCs w:val="20"/>
              </w:rPr>
              <w:t>l) (By Leave) (3</w:t>
            </w:r>
            <w:r>
              <w:rPr>
                <w:rFonts w:eastAsia="Calibri" w:cs="Times New Roman"/>
                <w:sz w:val="20"/>
                <w:szCs w:val="20"/>
              </w:rPr>
              <w:t>582</w:t>
            </w:r>
            <w:r w:rsidRPr="002F70A3">
              <w:rPr>
                <w:rFonts w:eastAsia="Calibri" w:cs="Times New Roman"/>
                <w:sz w:val="20"/>
                <w:szCs w:val="20"/>
              </w:rPr>
              <w:t>0)</w:t>
            </w:r>
          </w:p>
        </w:tc>
      </w:tr>
      <w:tr w:rsidR="0098513A" w:rsidRPr="00216AEB" w:rsidTr="0098513A">
        <w:trPr>
          <w:cantSplit/>
          <w:trHeight w:hRule="exact" w:val="576"/>
        </w:trPr>
        <w:tc>
          <w:tcPr>
            <w:tcW w:w="2398" w:type="dxa"/>
          </w:tcPr>
          <w:p w:rsidR="0098513A" w:rsidRPr="00216AEB" w:rsidRDefault="0098513A" w:rsidP="005F1ED8">
            <w:pPr>
              <w:rPr>
                <w:rFonts w:eastAsia="Calibri" w:cs="Times New Roman"/>
                <w:sz w:val="20"/>
                <w:szCs w:val="20"/>
                <w:lang w:val="fr-CA"/>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16</w:t>
            </w:r>
          </w:p>
        </w:tc>
        <w:tc>
          <w:tcPr>
            <w:tcW w:w="7178" w:type="dxa"/>
          </w:tcPr>
          <w:p w:rsidR="0098513A" w:rsidRPr="003A74F5" w:rsidRDefault="0098513A" w:rsidP="007521B9">
            <w:pPr>
              <w:jc w:val="both"/>
              <w:rPr>
                <w:rFonts w:eastAsia="Calibri" w:cs="Times New Roman"/>
                <w:sz w:val="20"/>
                <w:szCs w:val="20"/>
              </w:rPr>
            </w:pPr>
            <w:r>
              <w:rPr>
                <w:rFonts w:eastAsia="Calibri" w:cs="Times New Roman"/>
                <w:i/>
                <w:sz w:val="20"/>
                <w:szCs w:val="20"/>
              </w:rPr>
              <w:t xml:space="preserve">Donald Jerry </w:t>
            </w:r>
            <w:proofErr w:type="spellStart"/>
            <w:r>
              <w:rPr>
                <w:rFonts w:eastAsia="Calibri" w:cs="Times New Roman"/>
                <w:i/>
                <w:sz w:val="20"/>
                <w:szCs w:val="20"/>
              </w:rPr>
              <w:t>Barabash</w:t>
            </w:r>
            <w:proofErr w:type="spellEnd"/>
            <w:r w:rsidRPr="003B7455">
              <w:rPr>
                <w:rFonts w:eastAsia="Calibri" w:cs="Times New Roman"/>
                <w:i/>
                <w:sz w:val="20"/>
                <w:szCs w:val="20"/>
              </w:rPr>
              <w:t xml:space="preserve"> v. Her Majesty the Queen </w:t>
            </w:r>
            <w:r w:rsidRPr="003B7455">
              <w:rPr>
                <w:rFonts w:eastAsia="Calibri" w:cs="Times New Roman"/>
                <w:sz w:val="20"/>
                <w:szCs w:val="20"/>
              </w:rPr>
              <w:t>(</w:t>
            </w:r>
            <w:r>
              <w:rPr>
                <w:rFonts w:eastAsia="Calibri" w:cs="Times New Roman"/>
                <w:sz w:val="20"/>
                <w:szCs w:val="20"/>
              </w:rPr>
              <w:t>Al</w:t>
            </w:r>
            <w:r w:rsidRPr="003B7455">
              <w:rPr>
                <w:rFonts w:eastAsia="Calibri" w:cs="Times New Roman"/>
                <w:sz w:val="20"/>
                <w:szCs w:val="20"/>
              </w:rPr>
              <w:t>t</w:t>
            </w:r>
            <w:r>
              <w:rPr>
                <w:rFonts w:eastAsia="Calibri" w:cs="Times New Roman"/>
                <w:sz w:val="20"/>
                <w:szCs w:val="20"/>
              </w:rPr>
              <w:t>a</w:t>
            </w:r>
            <w:r w:rsidRPr="003B7455">
              <w:rPr>
                <w:rFonts w:eastAsia="Calibri" w:cs="Times New Roman"/>
                <w:sz w:val="20"/>
                <w:szCs w:val="20"/>
              </w:rPr>
              <w:t xml:space="preserve">.) </w:t>
            </w:r>
            <w:r w:rsidRPr="002F70A3">
              <w:rPr>
                <w:rFonts w:eastAsia="Calibri" w:cs="Times New Roman"/>
                <w:sz w:val="20"/>
                <w:szCs w:val="20"/>
              </w:rPr>
              <w:t>(Criminal) (</w:t>
            </w:r>
            <w:r>
              <w:rPr>
                <w:rFonts w:eastAsia="Calibri" w:cs="Times New Roman"/>
                <w:sz w:val="20"/>
                <w:szCs w:val="20"/>
              </w:rPr>
              <w:t>As of Right</w:t>
            </w:r>
            <w:r w:rsidRPr="002F70A3">
              <w:rPr>
                <w:rFonts w:eastAsia="Calibri" w:cs="Times New Roman"/>
                <w:sz w:val="20"/>
                <w:szCs w:val="20"/>
              </w:rPr>
              <w:t>) (35</w:t>
            </w:r>
            <w:r>
              <w:rPr>
                <w:rFonts w:eastAsia="Calibri" w:cs="Times New Roman"/>
                <w:sz w:val="20"/>
                <w:szCs w:val="20"/>
              </w:rPr>
              <w:t>977</w:t>
            </w:r>
            <w:r w:rsidRPr="002F70A3">
              <w:rPr>
                <w:rFonts w:eastAsia="Calibri" w:cs="Times New Roman"/>
                <w:sz w:val="20"/>
                <w:szCs w:val="20"/>
              </w:rPr>
              <w:t>)</w:t>
            </w:r>
          </w:p>
        </w:tc>
      </w:tr>
      <w:tr w:rsidR="002F70A3" w:rsidRPr="003A74F5" w:rsidTr="000F040D">
        <w:trPr>
          <w:cantSplit/>
          <w:trHeight w:hRule="exact" w:val="576"/>
        </w:trPr>
        <w:tc>
          <w:tcPr>
            <w:tcW w:w="2398" w:type="dxa"/>
          </w:tcPr>
          <w:p w:rsidR="002F70A3" w:rsidRPr="003A74F5"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16</w:t>
            </w:r>
          </w:p>
        </w:tc>
        <w:tc>
          <w:tcPr>
            <w:tcW w:w="7178" w:type="dxa"/>
          </w:tcPr>
          <w:p w:rsidR="002F70A3" w:rsidRPr="003A74F5" w:rsidRDefault="0098513A" w:rsidP="0098513A">
            <w:pPr>
              <w:jc w:val="both"/>
              <w:rPr>
                <w:rFonts w:eastAsia="Calibri" w:cs="Times New Roman"/>
                <w:sz w:val="20"/>
                <w:szCs w:val="20"/>
              </w:rPr>
            </w:pPr>
            <w:r>
              <w:rPr>
                <w:rFonts w:eastAsia="Calibri" w:cs="Times New Roman"/>
                <w:i/>
                <w:sz w:val="20"/>
                <w:szCs w:val="20"/>
              </w:rPr>
              <w:t xml:space="preserve">Shane Gordon </w:t>
            </w:r>
            <w:proofErr w:type="spellStart"/>
            <w:r>
              <w:rPr>
                <w:rFonts w:eastAsia="Calibri" w:cs="Times New Roman"/>
                <w:i/>
                <w:sz w:val="20"/>
                <w:szCs w:val="20"/>
              </w:rPr>
              <w:t>Rollison</w:t>
            </w:r>
            <w:proofErr w:type="spellEnd"/>
            <w:r w:rsidRPr="003B7455">
              <w:rPr>
                <w:rFonts w:eastAsia="Calibri" w:cs="Times New Roman"/>
                <w:i/>
                <w:sz w:val="20"/>
                <w:szCs w:val="20"/>
              </w:rPr>
              <w:t xml:space="preserve"> v. Her Majesty the Queen </w:t>
            </w:r>
            <w:r w:rsidRPr="003B7455">
              <w:rPr>
                <w:rFonts w:eastAsia="Calibri" w:cs="Times New Roman"/>
                <w:sz w:val="20"/>
                <w:szCs w:val="20"/>
              </w:rPr>
              <w:t>(</w:t>
            </w:r>
            <w:r>
              <w:rPr>
                <w:rFonts w:eastAsia="Calibri" w:cs="Times New Roman"/>
                <w:sz w:val="20"/>
                <w:szCs w:val="20"/>
              </w:rPr>
              <w:t>Al</w:t>
            </w:r>
            <w:r w:rsidRPr="003B7455">
              <w:rPr>
                <w:rFonts w:eastAsia="Calibri" w:cs="Times New Roman"/>
                <w:sz w:val="20"/>
                <w:szCs w:val="20"/>
              </w:rPr>
              <w:t>t</w:t>
            </w:r>
            <w:r>
              <w:rPr>
                <w:rFonts w:eastAsia="Calibri" w:cs="Times New Roman"/>
                <w:sz w:val="20"/>
                <w:szCs w:val="20"/>
              </w:rPr>
              <w:t>a</w:t>
            </w:r>
            <w:r w:rsidRPr="003B7455">
              <w:rPr>
                <w:rFonts w:eastAsia="Calibri" w:cs="Times New Roman"/>
                <w:sz w:val="20"/>
                <w:szCs w:val="20"/>
              </w:rPr>
              <w:t xml:space="preserve">.) </w:t>
            </w:r>
            <w:r w:rsidRPr="002F70A3">
              <w:rPr>
                <w:rFonts w:eastAsia="Calibri" w:cs="Times New Roman"/>
                <w:sz w:val="20"/>
                <w:szCs w:val="20"/>
              </w:rPr>
              <w:t>(Criminal) (</w:t>
            </w:r>
            <w:r>
              <w:rPr>
                <w:rFonts w:eastAsia="Calibri" w:cs="Times New Roman"/>
                <w:sz w:val="20"/>
                <w:szCs w:val="20"/>
              </w:rPr>
              <w:t>As of Right</w:t>
            </w:r>
            <w:r w:rsidRPr="002F70A3">
              <w:rPr>
                <w:rFonts w:eastAsia="Calibri" w:cs="Times New Roman"/>
                <w:sz w:val="20"/>
                <w:szCs w:val="20"/>
              </w:rPr>
              <w:t>) (3</w:t>
            </w:r>
            <w:r>
              <w:rPr>
                <w:rFonts w:eastAsia="Calibri" w:cs="Times New Roman"/>
                <w:sz w:val="20"/>
                <w:szCs w:val="20"/>
              </w:rPr>
              <w:t>6064</w:t>
            </w:r>
            <w:r w:rsidRPr="002F70A3">
              <w:rPr>
                <w:rFonts w:eastAsia="Calibri" w:cs="Times New Roman"/>
                <w:sz w:val="20"/>
                <w:szCs w:val="20"/>
              </w:rPr>
              <w:t>)</w:t>
            </w:r>
          </w:p>
        </w:tc>
      </w:tr>
      <w:tr w:rsidR="002F70A3" w:rsidRPr="003A74F5" w:rsidTr="007521B9">
        <w:trPr>
          <w:cantSplit/>
          <w:trHeight w:hRule="exact" w:val="821"/>
        </w:trPr>
        <w:tc>
          <w:tcPr>
            <w:tcW w:w="2398" w:type="dxa"/>
          </w:tcPr>
          <w:p w:rsidR="002F70A3"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19</w:t>
            </w:r>
          </w:p>
        </w:tc>
        <w:tc>
          <w:tcPr>
            <w:tcW w:w="7178" w:type="dxa"/>
          </w:tcPr>
          <w:p w:rsidR="002F70A3" w:rsidRPr="003A74F5" w:rsidRDefault="0098513A" w:rsidP="007521B9">
            <w:pPr>
              <w:jc w:val="both"/>
              <w:rPr>
                <w:rFonts w:eastAsia="Calibri" w:cs="Times New Roman"/>
                <w:sz w:val="20"/>
                <w:szCs w:val="20"/>
              </w:rPr>
            </w:pPr>
            <w:r>
              <w:rPr>
                <w:rFonts w:eastAsia="Calibri" w:cs="Times New Roman"/>
                <w:i/>
                <w:sz w:val="20"/>
                <w:szCs w:val="20"/>
              </w:rPr>
              <w:t>Stuart Olson Dominion Construction Ltd, formerly known as Dominion Construction</w:t>
            </w:r>
            <w:r w:rsidR="002F70A3" w:rsidRPr="003B7455">
              <w:rPr>
                <w:rFonts w:eastAsia="Calibri" w:cs="Times New Roman"/>
                <w:i/>
                <w:sz w:val="20"/>
                <w:szCs w:val="20"/>
              </w:rPr>
              <w:t xml:space="preserve"> </w:t>
            </w:r>
            <w:r w:rsidR="000716E5">
              <w:rPr>
                <w:rFonts w:eastAsia="Calibri" w:cs="Times New Roman"/>
                <w:i/>
                <w:sz w:val="20"/>
                <w:szCs w:val="20"/>
              </w:rPr>
              <w:t>Company I</w:t>
            </w:r>
            <w:r w:rsidR="002F70A3" w:rsidRPr="003B7455">
              <w:rPr>
                <w:rFonts w:eastAsia="Calibri" w:cs="Times New Roman"/>
                <w:i/>
                <w:sz w:val="20"/>
                <w:szCs w:val="20"/>
              </w:rPr>
              <w:t>n</w:t>
            </w:r>
            <w:r w:rsidR="000716E5">
              <w:rPr>
                <w:rFonts w:eastAsia="Calibri" w:cs="Times New Roman"/>
                <w:i/>
                <w:sz w:val="20"/>
                <w:szCs w:val="20"/>
              </w:rPr>
              <w:t>c.</w:t>
            </w:r>
            <w:r w:rsidR="002F70A3" w:rsidRPr="003B7455">
              <w:rPr>
                <w:rFonts w:eastAsia="Calibri" w:cs="Times New Roman"/>
                <w:i/>
                <w:sz w:val="20"/>
                <w:szCs w:val="20"/>
              </w:rPr>
              <w:t xml:space="preserve"> v. </w:t>
            </w:r>
            <w:proofErr w:type="spellStart"/>
            <w:r w:rsidR="000716E5">
              <w:rPr>
                <w:rFonts w:eastAsia="Calibri" w:cs="Times New Roman"/>
                <w:i/>
                <w:sz w:val="20"/>
                <w:szCs w:val="20"/>
              </w:rPr>
              <w:t>St</w:t>
            </w:r>
            <w:r w:rsidR="002F70A3" w:rsidRPr="003B7455">
              <w:rPr>
                <w:rFonts w:eastAsia="Calibri" w:cs="Times New Roman"/>
                <w:i/>
                <w:sz w:val="20"/>
                <w:szCs w:val="20"/>
              </w:rPr>
              <w:t>r</w:t>
            </w:r>
            <w:r w:rsidR="000716E5">
              <w:rPr>
                <w:rFonts w:eastAsia="Calibri" w:cs="Times New Roman"/>
                <w:i/>
                <w:sz w:val="20"/>
                <w:szCs w:val="20"/>
              </w:rPr>
              <w:t>uct</w:t>
            </w:r>
            <w:r w:rsidR="002F70A3" w:rsidRPr="003B7455">
              <w:rPr>
                <w:rFonts w:eastAsia="Calibri" w:cs="Times New Roman"/>
                <w:i/>
                <w:sz w:val="20"/>
                <w:szCs w:val="20"/>
              </w:rPr>
              <w:t>a</w:t>
            </w:r>
            <w:r w:rsidR="000716E5">
              <w:rPr>
                <w:rFonts w:eastAsia="Calibri" w:cs="Times New Roman"/>
                <w:i/>
                <w:sz w:val="20"/>
                <w:szCs w:val="20"/>
              </w:rPr>
              <w:t>l</w:t>
            </w:r>
            <w:proofErr w:type="spellEnd"/>
            <w:r w:rsidR="000716E5">
              <w:rPr>
                <w:rFonts w:eastAsia="Calibri" w:cs="Times New Roman"/>
                <w:i/>
                <w:sz w:val="20"/>
                <w:szCs w:val="20"/>
              </w:rPr>
              <w:t xml:space="preserve"> H</w:t>
            </w:r>
            <w:r w:rsidR="002F70A3" w:rsidRPr="003B7455">
              <w:rPr>
                <w:rFonts w:eastAsia="Calibri" w:cs="Times New Roman"/>
                <w:i/>
                <w:sz w:val="20"/>
                <w:szCs w:val="20"/>
              </w:rPr>
              <w:t>e</w:t>
            </w:r>
            <w:r w:rsidR="000716E5">
              <w:rPr>
                <w:rFonts w:eastAsia="Calibri" w:cs="Times New Roman"/>
                <w:i/>
                <w:sz w:val="20"/>
                <w:szCs w:val="20"/>
              </w:rPr>
              <w:t>av</w:t>
            </w:r>
            <w:r w:rsidR="002F70A3" w:rsidRPr="003B7455">
              <w:rPr>
                <w:rFonts w:eastAsia="Calibri" w:cs="Times New Roman"/>
                <w:i/>
                <w:sz w:val="20"/>
                <w:szCs w:val="20"/>
              </w:rPr>
              <w:t xml:space="preserve">y </w:t>
            </w:r>
            <w:r w:rsidR="000716E5">
              <w:rPr>
                <w:rFonts w:eastAsia="Calibri" w:cs="Times New Roman"/>
                <w:i/>
                <w:sz w:val="20"/>
                <w:szCs w:val="20"/>
              </w:rPr>
              <w:t>S</w:t>
            </w:r>
            <w:r w:rsidR="002F70A3" w:rsidRPr="003B7455">
              <w:rPr>
                <w:rFonts w:eastAsia="Calibri" w:cs="Times New Roman"/>
                <w:i/>
                <w:sz w:val="20"/>
                <w:szCs w:val="20"/>
              </w:rPr>
              <w:t>te</w:t>
            </w:r>
            <w:r w:rsidR="000716E5">
              <w:rPr>
                <w:rFonts w:eastAsia="Calibri" w:cs="Times New Roman"/>
                <w:i/>
                <w:sz w:val="20"/>
                <w:szCs w:val="20"/>
              </w:rPr>
              <w:t xml:space="preserve">el, A Division of </w:t>
            </w:r>
            <w:proofErr w:type="spellStart"/>
            <w:r w:rsidR="000716E5">
              <w:rPr>
                <w:rFonts w:eastAsia="Calibri" w:cs="Times New Roman"/>
                <w:i/>
                <w:sz w:val="20"/>
                <w:szCs w:val="20"/>
              </w:rPr>
              <w:t>Canam</w:t>
            </w:r>
            <w:proofErr w:type="spellEnd"/>
            <w:r w:rsidR="000716E5">
              <w:rPr>
                <w:rFonts w:eastAsia="Calibri" w:cs="Times New Roman"/>
                <w:i/>
                <w:sz w:val="20"/>
                <w:szCs w:val="20"/>
              </w:rPr>
              <w:t xml:space="preserve"> Group Inc.</w:t>
            </w:r>
            <w:r w:rsidR="002F70A3" w:rsidRPr="003B7455">
              <w:rPr>
                <w:rFonts w:eastAsia="Calibri" w:cs="Times New Roman"/>
                <w:i/>
                <w:sz w:val="20"/>
                <w:szCs w:val="20"/>
              </w:rPr>
              <w:t xml:space="preserve"> </w:t>
            </w:r>
            <w:r w:rsidR="002F70A3" w:rsidRPr="003B7455">
              <w:rPr>
                <w:rFonts w:eastAsia="Calibri" w:cs="Times New Roman"/>
                <w:sz w:val="20"/>
                <w:szCs w:val="20"/>
              </w:rPr>
              <w:t>(</w:t>
            </w:r>
            <w:r w:rsidR="007521B9">
              <w:rPr>
                <w:rFonts w:eastAsia="Calibri" w:cs="Times New Roman"/>
                <w:sz w:val="20"/>
                <w:szCs w:val="20"/>
              </w:rPr>
              <w:t>Man</w:t>
            </w:r>
            <w:r w:rsidR="002F70A3" w:rsidRPr="003B7455">
              <w:rPr>
                <w:rFonts w:eastAsia="Calibri" w:cs="Times New Roman"/>
                <w:sz w:val="20"/>
                <w:szCs w:val="20"/>
              </w:rPr>
              <w:t xml:space="preserve">.) </w:t>
            </w:r>
            <w:r w:rsidR="002F70A3" w:rsidRPr="002F70A3">
              <w:rPr>
                <w:rFonts w:eastAsia="Calibri" w:cs="Times New Roman"/>
                <w:sz w:val="20"/>
                <w:szCs w:val="20"/>
              </w:rPr>
              <w:t>(Ci</w:t>
            </w:r>
            <w:r w:rsidR="007521B9">
              <w:rPr>
                <w:rFonts w:eastAsia="Calibri" w:cs="Times New Roman"/>
                <w:sz w:val="20"/>
                <w:szCs w:val="20"/>
              </w:rPr>
              <w:t>v</w:t>
            </w:r>
            <w:r w:rsidR="002F70A3" w:rsidRPr="002F70A3">
              <w:rPr>
                <w:rFonts w:eastAsia="Calibri" w:cs="Times New Roman"/>
                <w:sz w:val="20"/>
                <w:szCs w:val="20"/>
              </w:rPr>
              <w:t>il) (By Leave) (35</w:t>
            </w:r>
            <w:r>
              <w:rPr>
                <w:rFonts w:eastAsia="Calibri" w:cs="Times New Roman"/>
                <w:sz w:val="20"/>
                <w:szCs w:val="20"/>
              </w:rPr>
              <w:t>777</w:t>
            </w:r>
            <w:r w:rsidR="002F70A3" w:rsidRPr="002F70A3">
              <w:rPr>
                <w:rFonts w:eastAsia="Calibri" w:cs="Times New Roman"/>
                <w:sz w:val="20"/>
                <w:szCs w:val="20"/>
              </w:rPr>
              <w:t>)</w:t>
            </w:r>
          </w:p>
        </w:tc>
      </w:tr>
      <w:tr w:rsidR="002F70A3" w:rsidRPr="003A74F5" w:rsidTr="007521B9">
        <w:trPr>
          <w:cantSplit/>
          <w:trHeight w:hRule="exact" w:val="576"/>
        </w:trPr>
        <w:tc>
          <w:tcPr>
            <w:tcW w:w="2398" w:type="dxa"/>
          </w:tcPr>
          <w:p w:rsidR="002F70A3"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20</w:t>
            </w:r>
          </w:p>
        </w:tc>
        <w:tc>
          <w:tcPr>
            <w:tcW w:w="7178" w:type="dxa"/>
          </w:tcPr>
          <w:p w:rsidR="002F70A3" w:rsidRPr="003A74F5" w:rsidRDefault="007521B9" w:rsidP="007521B9">
            <w:pPr>
              <w:jc w:val="both"/>
              <w:rPr>
                <w:rFonts w:eastAsia="Calibri" w:cs="Times New Roman"/>
                <w:sz w:val="20"/>
                <w:szCs w:val="20"/>
              </w:rPr>
            </w:pPr>
            <w:r w:rsidRPr="007521B9">
              <w:rPr>
                <w:rFonts w:eastAsia="Calibri" w:cs="Times New Roman"/>
                <w:i/>
                <w:sz w:val="20"/>
                <w:szCs w:val="20"/>
              </w:rPr>
              <w:t>Rob</w:t>
            </w:r>
            <w:r w:rsidR="002F70A3" w:rsidRPr="007521B9">
              <w:rPr>
                <w:rFonts w:eastAsia="Calibri" w:cs="Times New Roman"/>
                <w:i/>
                <w:sz w:val="20"/>
                <w:szCs w:val="20"/>
              </w:rPr>
              <w:t>er</w:t>
            </w:r>
            <w:r w:rsidRPr="007521B9">
              <w:rPr>
                <w:rFonts w:eastAsia="Calibri" w:cs="Times New Roman"/>
                <w:i/>
                <w:sz w:val="20"/>
                <w:szCs w:val="20"/>
              </w:rPr>
              <w:t>t</w:t>
            </w:r>
            <w:r w:rsidR="002F70A3" w:rsidRPr="007521B9">
              <w:rPr>
                <w:rFonts w:eastAsia="Calibri" w:cs="Times New Roman"/>
                <w:i/>
                <w:sz w:val="20"/>
                <w:szCs w:val="20"/>
              </w:rPr>
              <w:t xml:space="preserve"> </w:t>
            </w:r>
            <w:r w:rsidRPr="007521B9">
              <w:rPr>
                <w:rFonts w:eastAsia="Calibri" w:cs="Times New Roman"/>
                <w:i/>
                <w:sz w:val="20"/>
                <w:szCs w:val="20"/>
              </w:rPr>
              <w:t>T. S</w:t>
            </w:r>
            <w:r w:rsidR="002F70A3" w:rsidRPr="007521B9">
              <w:rPr>
                <w:rFonts w:eastAsia="Calibri" w:cs="Times New Roman"/>
                <w:i/>
                <w:sz w:val="20"/>
                <w:szCs w:val="20"/>
              </w:rPr>
              <w:t>t</w:t>
            </w:r>
            <w:r w:rsidRPr="007521B9">
              <w:rPr>
                <w:rFonts w:eastAsia="Calibri" w:cs="Times New Roman"/>
                <w:i/>
                <w:sz w:val="20"/>
                <w:szCs w:val="20"/>
              </w:rPr>
              <w:t>rickland</w:t>
            </w:r>
            <w:r w:rsidR="002F70A3" w:rsidRPr="007521B9">
              <w:rPr>
                <w:rFonts w:eastAsia="Calibri" w:cs="Times New Roman"/>
                <w:i/>
                <w:sz w:val="20"/>
                <w:szCs w:val="20"/>
              </w:rPr>
              <w:t xml:space="preserve"> </w:t>
            </w:r>
            <w:r w:rsidRPr="007521B9">
              <w:rPr>
                <w:rFonts w:eastAsia="Calibri" w:cs="Times New Roman"/>
                <w:i/>
                <w:sz w:val="20"/>
                <w:szCs w:val="20"/>
              </w:rPr>
              <w:t>et al.</w:t>
            </w:r>
            <w:r w:rsidR="002F70A3" w:rsidRPr="003B7455">
              <w:rPr>
                <w:rFonts w:eastAsia="Calibri" w:cs="Times New Roman"/>
                <w:i/>
                <w:sz w:val="20"/>
                <w:szCs w:val="20"/>
              </w:rPr>
              <w:t xml:space="preserve"> v. </w:t>
            </w:r>
            <w:r>
              <w:rPr>
                <w:rFonts w:eastAsia="Calibri" w:cs="Times New Roman"/>
                <w:i/>
                <w:sz w:val="20"/>
                <w:szCs w:val="20"/>
              </w:rPr>
              <w:t>Atto</w:t>
            </w:r>
            <w:r w:rsidR="002F70A3" w:rsidRPr="003B7455">
              <w:rPr>
                <w:rFonts w:eastAsia="Calibri" w:cs="Times New Roman"/>
                <w:i/>
                <w:sz w:val="20"/>
                <w:szCs w:val="20"/>
              </w:rPr>
              <w:t>r</w:t>
            </w:r>
            <w:r>
              <w:rPr>
                <w:rFonts w:eastAsia="Calibri" w:cs="Times New Roman"/>
                <w:i/>
                <w:sz w:val="20"/>
                <w:szCs w:val="20"/>
              </w:rPr>
              <w:t>ney General of Canada</w:t>
            </w:r>
            <w:r w:rsidR="002F70A3" w:rsidRPr="003B7455">
              <w:rPr>
                <w:rFonts w:eastAsia="Calibri" w:cs="Times New Roman"/>
                <w:i/>
                <w:sz w:val="20"/>
                <w:szCs w:val="20"/>
              </w:rPr>
              <w:t xml:space="preserve"> </w:t>
            </w:r>
            <w:r w:rsidR="002F70A3" w:rsidRPr="003B7455">
              <w:rPr>
                <w:rFonts w:eastAsia="Calibri" w:cs="Times New Roman"/>
                <w:sz w:val="20"/>
                <w:szCs w:val="20"/>
              </w:rPr>
              <w:t>(</w:t>
            </w:r>
            <w:r>
              <w:rPr>
                <w:rFonts w:eastAsia="Calibri" w:cs="Times New Roman"/>
                <w:sz w:val="20"/>
                <w:szCs w:val="20"/>
              </w:rPr>
              <w:t>F.C</w:t>
            </w:r>
            <w:r w:rsidR="002F70A3" w:rsidRPr="003B7455">
              <w:rPr>
                <w:rFonts w:eastAsia="Calibri" w:cs="Times New Roman"/>
                <w:sz w:val="20"/>
                <w:szCs w:val="20"/>
              </w:rPr>
              <w:t xml:space="preserve">.) </w:t>
            </w:r>
            <w:r w:rsidR="002F70A3" w:rsidRPr="002F70A3">
              <w:rPr>
                <w:rFonts w:eastAsia="Calibri" w:cs="Times New Roman"/>
                <w:sz w:val="20"/>
                <w:szCs w:val="20"/>
              </w:rPr>
              <w:t>(Ci</w:t>
            </w:r>
            <w:r>
              <w:rPr>
                <w:rFonts w:eastAsia="Calibri" w:cs="Times New Roman"/>
                <w:sz w:val="20"/>
                <w:szCs w:val="20"/>
              </w:rPr>
              <w:t>v</w:t>
            </w:r>
            <w:r w:rsidR="002F70A3" w:rsidRPr="002F70A3">
              <w:rPr>
                <w:rFonts w:eastAsia="Calibri" w:cs="Times New Roman"/>
                <w:sz w:val="20"/>
                <w:szCs w:val="20"/>
              </w:rPr>
              <w:t>il) (By Leave) (35</w:t>
            </w:r>
            <w:r w:rsidR="0098513A">
              <w:rPr>
                <w:rFonts w:eastAsia="Calibri" w:cs="Times New Roman"/>
                <w:sz w:val="20"/>
                <w:szCs w:val="20"/>
              </w:rPr>
              <w:t>808</w:t>
            </w:r>
            <w:r w:rsidR="002F70A3" w:rsidRPr="002F70A3">
              <w:rPr>
                <w:rFonts w:eastAsia="Calibri" w:cs="Times New Roman"/>
                <w:sz w:val="20"/>
                <w:szCs w:val="20"/>
              </w:rPr>
              <w:t>)</w:t>
            </w:r>
          </w:p>
        </w:tc>
      </w:tr>
      <w:tr w:rsidR="002F70A3" w:rsidRPr="002F70A3" w:rsidTr="007521B9">
        <w:trPr>
          <w:cantSplit/>
          <w:trHeight w:hRule="exact" w:val="821"/>
        </w:trPr>
        <w:tc>
          <w:tcPr>
            <w:tcW w:w="2398" w:type="dxa"/>
          </w:tcPr>
          <w:p w:rsidR="002F70A3"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21</w:t>
            </w:r>
          </w:p>
        </w:tc>
        <w:tc>
          <w:tcPr>
            <w:tcW w:w="7178" w:type="dxa"/>
          </w:tcPr>
          <w:p w:rsidR="002F70A3" w:rsidRDefault="007521B9" w:rsidP="007521B9">
            <w:pPr>
              <w:jc w:val="both"/>
              <w:rPr>
                <w:rFonts w:eastAsia="Calibri" w:cs="Times New Roman"/>
                <w:sz w:val="20"/>
                <w:szCs w:val="20"/>
                <w:lang w:val="fr-CA"/>
              </w:rPr>
            </w:pPr>
            <w:r w:rsidRPr="007521B9">
              <w:rPr>
                <w:rFonts w:eastAsia="Calibri" w:cs="Times New Roman"/>
                <w:i/>
                <w:sz w:val="20"/>
                <w:szCs w:val="20"/>
                <w:lang w:val="fr-CA"/>
              </w:rPr>
              <w:t>C</w:t>
            </w:r>
            <w:r w:rsidR="002F70A3" w:rsidRPr="007521B9">
              <w:rPr>
                <w:rFonts w:eastAsia="Calibri" w:cs="Times New Roman"/>
                <w:i/>
                <w:sz w:val="20"/>
                <w:szCs w:val="20"/>
                <w:lang w:val="fr-CA"/>
              </w:rPr>
              <w:t>o</w:t>
            </w:r>
            <w:r w:rsidRPr="007521B9">
              <w:rPr>
                <w:rFonts w:eastAsia="Calibri" w:cs="Times New Roman"/>
                <w:i/>
                <w:sz w:val="20"/>
                <w:szCs w:val="20"/>
                <w:lang w:val="fr-CA"/>
              </w:rPr>
              <w:t>mm</w:t>
            </w:r>
            <w:r w:rsidR="002F70A3" w:rsidRPr="007521B9">
              <w:rPr>
                <w:rFonts w:eastAsia="Calibri" w:cs="Times New Roman"/>
                <w:i/>
                <w:sz w:val="20"/>
                <w:szCs w:val="20"/>
                <w:lang w:val="fr-CA"/>
              </w:rPr>
              <w:t>i</w:t>
            </w:r>
            <w:r w:rsidRPr="007521B9">
              <w:rPr>
                <w:rFonts w:eastAsia="Calibri" w:cs="Times New Roman"/>
                <w:i/>
                <w:sz w:val="20"/>
                <w:szCs w:val="20"/>
                <w:lang w:val="fr-CA"/>
              </w:rPr>
              <w:t>ssion scolaire francophone du Yukon, district scolai</w:t>
            </w:r>
            <w:r w:rsidR="002F70A3" w:rsidRPr="007521B9">
              <w:rPr>
                <w:rFonts w:eastAsia="Calibri" w:cs="Times New Roman"/>
                <w:i/>
                <w:sz w:val="20"/>
                <w:szCs w:val="20"/>
                <w:lang w:val="fr-CA"/>
              </w:rPr>
              <w:t xml:space="preserve">re </w:t>
            </w:r>
            <w:r w:rsidRPr="007521B9">
              <w:rPr>
                <w:rFonts w:eastAsia="Calibri" w:cs="Times New Roman"/>
                <w:i/>
                <w:sz w:val="20"/>
                <w:szCs w:val="20"/>
                <w:lang w:val="fr-CA"/>
              </w:rPr>
              <w:t>#23</w:t>
            </w:r>
            <w:r w:rsidR="002F70A3" w:rsidRPr="00A708C5">
              <w:rPr>
                <w:rFonts w:eastAsia="Calibri" w:cs="Times New Roman"/>
                <w:i/>
                <w:sz w:val="20"/>
                <w:szCs w:val="20"/>
                <w:lang w:val="fr-CA"/>
              </w:rPr>
              <w:t xml:space="preserve"> c. </w:t>
            </w:r>
            <w:r>
              <w:rPr>
                <w:rFonts w:eastAsia="Calibri" w:cs="Times New Roman"/>
                <w:i/>
                <w:sz w:val="20"/>
                <w:szCs w:val="20"/>
                <w:lang w:val="fr-CA"/>
              </w:rPr>
              <w:t>Pr</w:t>
            </w:r>
            <w:r w:rsidR="002F70A3" w:rsidRPr="00A708C5">
              <w:rPr>
                <w:rFonts w:eastAsia="Calibri" w:cs="Times New Roman"/>
                <w:i/>
                <w:sz w:val="20"/>
                <w:szCs w:val="20"/>
                <w:lang w:val="fr-CA"/>
              </w:rPr>
              <w:t>o</w:t>
            </w:r>
            <w:r>
              <w:rPr>
                <w:rFonts w:eastAsia="Calibri" w:cs="Times New Roman"/>
                <w:i/>
                <w:sz w:val="20"/>
                <w:szCs w:val="20"/>
                <w:lang w:val="fr-CA"/>
              </w:rPr>
              <w:t>cureur gé</w:t>
            </w:r>
            <w:r w:rsidR="002F70A3" w:rsidRPr="00A708C5">
              <w:rPr>
                <w:rFonts w:eastAsia="Calibri" w:cs="Times New Roman"/>
                <w:i/>
                <w:sz w:val="20"/>
                <w:szCs w:val="20"/>
                <w:lang w:val="fr-CA"/>
              </w:rPr>
              <w:t>n</w:t>
            </w:r>
            <w:r>
              <w:rPr>
                <w:rFonts w:eastAsia="Calibri" w:cs="Times New Roman"/>
                <w:i/>
                <w:sz w:val="20"/>
                <w:szCs w:val="20"/>
                <w:lang w:val="fr-CA"/>
              </w:rPr>
              <w:t>ér</w:t>
            </w:r>
            <w:r w:rsidR="002F70A3" w:rsidRPr="00A708C5">
              <w:rPr>
                <w:rFonts w:eastAsia="Calibri" w:cs="Times New Roman"/>
                <w:i/>
                <w:sz w:val="20"/>
                <w:szCs w:val="20"/>
                <w:lang w:val="fr-CA"/>
              </w:rPr>
              <w:t>a</w:t>
            </w:r>
            <w:r>
              <w:rPr>
                <w:rFonts w:eastAsia="Calibri" w:cs="Times New Roman"/>
                <w:i/>
                <w:sz w:val="20"/>
                <w:szCs w:val="20"/>
                <w:lang w:val="fr-CA"/>
              </w:rPr>
              <w:t>l</w:t>
            </w:r>
            <w:r w:rsidR="002F70A3" w:rsidRPr="00A708C5">
              <w:rPr>
                <w:rFonts w:eastAsia="Calibri" w:cs="Times New Roman"/>
                <w:i/>
                <w:sz w:val="20"/>
                <w:szCs w:val="20"/>
                <w:lang w:val="fr-CA"/>
              </w:rPr>
              <w:t>e</w:t>
            </w:r>
            <w:r>
              <w:rPr>
                <w:rFonts w:eastAsia="Calibri" w:cs="Times New Roman"/>
                <w:i/>
                <w:sz w:val="20"/>
                <w:szCs w:val="20"/>
                <w:lang w:val="fr-CA"/>
              </w:rPr>
              <w:t xml:space="preserve"> d</w:t>
            </w:r>
            <w:r w:rsidR="002F70A3" w:rsidRPr="00A708C5">
              <w:rPr>
                <w:rFonts w:eastAsia="Calibri" w:cs="Times New Roman"/>
                <w:i/>
                <w:sz w:val="20"/>
                <w:szCs w:val="20"/>
                <w:lang w:val="fr-CA"/>
              </w:rPr>
              <w:t>u</w:t>
            </w:r>
            <w:r>
              <w:rPr>
                <w:rFonts w:eastAsia="Calibri" w:cs="Times New Roman"/>
                <w:i/>
                <w:sz w:val="20"/>
                <w:szCs w:val="20"/>
                <w:lang w:val="fr-CA"/>
              </w:rPr>
              <w:t xml:space="preserve"> Te</w:t>
            </w:r>
            <w:r w:rsidR="002F70A3" w:rsidRPr="00A708C5">
              <w:rPr>
                <w:rFonts w:eastAsia="Calibri" w:cs="Times New Roman"/>
                <w:i/>
                <w:sz w:val="20"/>
                <w:szCs w:val="20"/>
                <w:lang w:val="fr-CA"/>
              </w:rPr>
              <w:t>r</w:t>
            </w:r>
            <w:r>
              <w:rPr>
                <w:rFonts w:eastAsia="Calibri" w:cs="Times New Roman"/>
                <w:i/>
                <w:sz w:val="20"/>
                <w:szCs w:val="20"/>
                <w:lang w:val="fr-CA"/>
              </w:rPr>
              <w:t>ritoire du Yukon</w:t>
            </w:r>
            <w:r w:rsidR="002F70A3" w:rsidRPr="00A708C5">
              <w:rPr>
                <w:rFonts w:eastAsia="Calibri" w:cs="Times New Roman"/>
                <w:i/>
                <w:sz w:val="20"/>
                <w:szCs w:val="20"/>
                <w:lang w:val="fr-CA"/>
              </w:rPr>
              <w:t xml:space="preserve"> </w:t>
            </w:r>
            <w:r w:rsidR="002F70A3" w:rsidRPr="00A708C5">
              <w:rPr>
                <w:rFonts w:eastAsia="Calibri" w:cs="Times New Roman"/>
                <w:sz w:val="20"/>
                <w:szCs w:val="20"/>
                <w:lang w:val="fr-CA"/>
              </w:rPr>
              <w:t>(</w:t>
            </w:r>
            <w:proofErr w:type="spellStart"/>
            <w:r>
              <w:rPr>
                <w:rFonts w:eastAsia="Calibri" w:cs="Times New Roman"/>
                <w:sz w:val="20"/>
                <w:szCs w:val="20"/>
                <w:lang w:val="fr-CA"/>
              </w:rPr>
              <w:t>Yn</w:t>
            </w:r>
            <w:proofErr w:type="spellEnd"/>
            <w:r w:rsidR="002F70A3" w:rsidRPr="00A708C5">
              <w:rPr>
                <w:rFonts w:eastAsia="Calibri" w:cs="Times New Roman"/>
                <w:sz w:val="20"/>
                <w:szCs w:val="20"/>
                <w:lang w:val="fr-CA"/>
              </w:rPr>
              <w:t>) (Civile) (Autorisation) (35</w:t>
            </w:r>
            <w:r w:rsidR="0098513A">
              <w:rPr>
                <w:rFonts w:eastAsia="Calibri" w:cs="Times New Roman"/>
                <w:sz w:val="20"/>
                <w:szCs w:val="20"/>
                <w:lang w:val="fr-CA"/>
              </w:rPr>
              <w:t>8</w:t>
            </w:r>
            <w:r w:rsidR="002F70A3" w:rsidRPr="00A708C5">
              <w:rPr>
                <w:rFonts w:eastAsia="Calibri" w:cs="Times New Roman"/>
                <w:sz w:val="20"/>
                <w:szCs w:val="20"/>
                <w:lang w:val="fr-CA"/>
              </w:rPr>
              <w:t>2</w:t>
            </w:r>
            <w:r w:rsidR="0098513A">
              <w:rPr>
                <w:rFonts w:eastAsia="Calibri" w:cs="Times New Roman"/>
                <w:sz w:val="20"/>
                <w:szCs w:val="20"/>
                <w:lang w:val="fr-CA"/>
              </w:rPr>
              <w:t>3</w:t>
            </w:r>
            <w:r w:rsidR="002F70A3" w:rsidRPr="00A708C5">
              <w:rPr>
                <w:rFonts w:eastAsia="Calibri" w:cs="Times New Roman"/>
                <w:sz w:val="20"/>
                <w:szCs w:val="20"/>
                <w:lang w:val="fr-CA"/>
              </w:rPr>
              <w:t>)</w:t>
            </w:r>
          </w:p>
          <w:p w:rsidR="007521B9" w:rsidRPr="00A708C5" w:rsidRDefault="007521B9" w:rsidP="007521B9">
            <w:pPr>
              <w:jc w:val="both"/>
              <w:rPr>
                <w:rFonts w:eastAsia="Calibri" w:cs="Times New Roman"/>
                <w:i/>
                <w:sz w:val="20"/>
                <w:szCs w:val="20"/>
                <w:lang w:val="fr-CA"/>
              </w:rPr>
            </w:pPr>
            <w:r w:rsidRPr="00CF582C">
              <w:rPr>
                <w:rFonts w:eastAsia="Calibri" w:cs="Times New Roman"/>
                <w:sz w:val="20"/>
                <w:szCs w:val="20"/>
              </w:rPr>
              <w:t xml:space="preserve">(Early start time: 9:00 a.m. </w:t>
            </w:r>
            <w:r>
              <w:rPr>
                <w:rFonts w:eastAsia="Calibri" w:cs="Times New Roman"/>
                <w:sz w:val="20"/>
                <w:szCs w:val="20"/>
              </w:rPr>
              <w:t xml:space="preserve">/ </w:t>
            </w:r>
            <w:proofErr w:type="spellStart"/>
            <w:r>
              <w:rPr>
                <w:rFonts w:eastAsia="Calibri" w:cs="Times New Roman"/>
                <w:sz w:val="20"/>
                <w:szCs w:val="20"/>
              </w:rPr>
              <w:t>Horaire</w:t>
            </w:r>
            <w:proofErr w:type="spellEnd"/>
            <w:r>
              <w:rPr>
                <w:rFonts w:eastAsia="Calibri" w:cs="Times New Roman"/>
                <w:sz w:val="20"/>
                <w:szCs w:val="20"/>
              </w:rPr>
              <w:t xml:space="preserve"> </w:t>
            </w:r>
            <w:proofErr w:type="spellStart"/>
            <w:r>
              <w:rPr>
                <w:rFonts w:eastAsia="Calibri" w:cs="Times New Roman"/>
                <w:sz w:val="20"/>
                <w:szCs w:val="20"/>
              </w:rPr>
              <w:t>modifié</w:t>
            </w:r>
            <w:proofErr w:type="spellEnd"/>
            <w:r>
              <w:rPr>
                <w:rFonts w:eastAsia="Calibri" w:cs="Times New Roman"/>
                <w:sz w:val="20"/>
                <w:szCs w:val="20"/>
              </w:rPr>
              <w:t xml:space="preserve"> : audience debutant à 9 h)</w:t>
            </w:r>
          </w:p>
        </w:tc>
      </w:tr>
      <w:tr w:rsidR="002F70A3" w:rsidRPr="009723FD" w:rsidTr="00D668B7">
        <w:trPr>
          <w:cantSplit/>
          <w:trHeight w:hRule="exact" w:val="720"/>
        </w:trPr>
        <w:tc>
          <w:tcPr>
            <w:tcW w:w="2398" w:type="dxa"/>
          </w:tcPr>
          <w:p w:rsidR="002F70A3" w:rsidRDefault="002F70A3" w:rsidP="005F1ED8">
            <w:pPr>
              <w:rPr>
                <w:rFonts w:eastAsia="Calibri" w:cs="Times New Roman"/>
                <w:sz w:val="20"/>
                <w:szCs w:val="20"/>
              </w:rPr>
            </w:pPr>
            <w:r>
              <w:rPr>
                <w:rFonts w:eastAsia="Calibri" w:cs="Times New Roman"/>
                <w:sz w:val="20"/>
                <w:szCs w:val="20"/>
              </w:rPr>
              <w:t>2015</w:t>
            </w:r>
            <w:r w:rsidRPr="003A74F5">
              <w:rPr>
                <w:rFonts w:eastAsia="Calibri" w:cs="Times New Roman"/>
                <w:sz w:val="20"/>
                <w:szCs w:val="20"/>
              </w:rPr>
              <w:t>-</w:t>
            </w:r>
            <w:r>
              <w:rPr>
                <w:rFonts w:eastAsia="Calibri" w:cs="Times New Roman"/>
                <w:sz w:val="20"/>
                <w:szCs w:val="20"/>
              </w:rPr>
              <w:t>01</w:t>
            </w:r>
            <w:r w:rsidRPr="003A74F5">
              <w:rPr>
                <w:rFonts w:eastAsia="Calibri" w:cs="Times New Roman"/>
                <w:sz w:val="20"/>
                <w:szCs w:val="20"/>
              </w:rPr>
              <w:t>-</w:t>
            </w:r>
            <w:r>
              <w:rPr>
                <w:rFonts w:eastAsia="Calibri" w:cs="Times New Roman"/>
                <w:sz w:val="20"/>
                <w:szCs w:val="20"/>
              </w:rPr>
              <w:t>23</w:t>
            </w:r>
          </w:p>
        </w:tc>
        <w:tc>
          <w:tcPr>
            <w:tcW w:w="7178" w:type="dxa"/>
          </w:tcPr>
          <w:p w:rsidR="002F70A3" w:rsidRPr="00A708C5" w:rsidRDefault="007521B9" w:rsidP="000F040D">
            <w:pPr>
              <w:jc w:val="both"/>
              <w:rPr>
                <w:rFonts w:eastAsia="Calibri" w:cs="Times New Roman"/>
                <w:i/>
                <w:sz w:val="20"/>
                <w:szCs w:val="20"/>
                <w:lang w:val="fr-CA"/>
              </w:rPr>
            </w:pPr>
            <w:r w:rsidRPr="007521B9">
              <w:rPr>
                <w:rFonts w:eastAsia="Calibri" w:cs="Times New Roman"/>
                <w:i/>
                <w:sz w:val="20"/>
                <w:szCs w:val="20"/>
                <w:lang w:val="fr-CA"/>
              </w:rPr>
              <w:t>Commission</w:t>
            </w:r>
            <w:r w:rsidRPr="00A708C5">
              <w:rPr>
                <w:rFonts w:eastAsia="Calibri" w:cs="Times New Roman"/>
                <w:i/>
                <w:sz w:val="20"/>
                <w:szCs w:val="20"/>
                <w:lang w:val="fr-CA"/>
              </w:rPr>
              <w:t xml:space="preserve"> </w:t>
            </w:r>
            <w:r>
              <w:rPr>
                <w:rFonts w:eastAsia="Calibri" w:cs="Times New Roman"/>
                <w:i/>
                <w:sz w:val="20"/>
                <w:szCs w:val="20"/>
                <w:lang w:val="fr-CA"/>
              </w:rPr>
              <w:t>des droits de la personne et des droits de la jeunesse et</w:t>
            </w:r>
            <w:r w:rsidR="000F040D">
              <w:rPr>
                <w:rFonts w:eastAsia="Calibri" w:cs="Times New Roman"/>
                <w:i/>
                <w:sz w:val="20"/>
                <w:szCs w:val="20"/>
                <w:lang w:val="fr-CA"/>
              </w:rPr>
              <w:t> </w:t>
            </w:r>
            <w:r>
              <w:rPr>
                <w:rFonts w:eastAsia="Calibri" w:cs="Times New Roman"/>
                <w:i/>
                <w:sz w:val="20"/>
                <w:szCs w:val="20"/>
                <w:lang w:val="fr-CA"/>
              </w:rPr>
              <w:t xml:space="preserve">autre </w:t>
            </w:r>
            <w:r w:rsidR="002F70A3" w:rsidRPr="00A708C5">
              <w:rPr>
                <w:rFonts w:eastAsia="Calibri" w:cs="Times New Roman"/>
                <w:i/>
                <w:sz w:val="20"/>
                <w:szCs w:val="20"/>
                <w:lang w:val="fr-CA"/>
              </w:rPr>
              <w:t xml:space="preserve">c. </w:t>
            </w:r>
            <w:r>
              <w:rPr>
                <w:rFonts w:eastAsia="Calibri" w:cs="Times New Roman"/>
                <w:i/>
                <w:sz w:val="20"/>
                <w:szCs w:val="20"/>
                <w:lang w:val="fr-CA"/>
              </w:rPr>
              <w:t>B</w:t>
            </w:r>
            <w:r w:rsidR="002F70A3" w:rsidRPr="00A708C5">
              <w:rPr>
                <w:rFonts w:eastAsia="Calibri" w:cs="Times New Roman"/>
                <w:i/>
                <w:sz w:val="20"/>
                <w:szCs w:val="20"/>
                <w:lang w:val="fr-CA"/>
              </w:rPr>
              <w:t>o</w:t>
            </w:r>
            <w:r>
              <w:rPr>
                <w:rFonts w:eastAsia="Calibri" w:cs="Times New Roman"/>
                <w:i/>
                <w:sz w:val="20"/>
                <w:szCs w:val="20"/>
                <w:lang w:val="fr-CA"/>
              </w:rPr>
              <w:t xml:space="preserve">mbardier </w:t>
            </w:r>
            <w:proofErr w:type="spellStart"/>
            <w:r>
              <w:rPr>
                <w:rFonts w:eastAsia="Calibri" w:cs="Times New Roman"/>
                <w:i/>
                <w:sz w:val="20"/>
                <w:szCs w:val="20"/>
                <w:lang w:val="fr-CA"/>
              </w:rPr>
              <w:t>i</w:t>
            </w:r>
            <w:r w:rsidR="002F70A3" w:rsidRPr="00A708C5">
              <w:rPr>
                <w:rFonts w:eastAsia="Calibri" w:cs="Times New Roman"/>
                <w:i/>
                <w:sz w:val="20"/>
                <w:szCs w:val="20"/>
                <w:lang w:val="fr-CA"/>
              </w:rPr>
              <w:t>nc</w:t>
            </w:r>
            <w:r>
              <w:rPr>
                <w:rFonts w:eastAsia="Calibri" w:cs="Times New Roman"/>
                <w:i/>
                <w:sz w:val="20"/>
                <w:szCs w:val="20"/>
                <w:lang w:val="fr-CA"/>
              </w:rPr>
              <w:t>.</w:t>
            </w:r>
            <w:proofErr w:type="spellEnd"/>
            <w:r>
              <w:rPr>
                <w:rFonts w:eastAsia="Calibri" w:cs="Times New Roman"/>
                <w:i/>
                <w:sz w:val="20"/>
                <w:szCs w:val="20"/>
                <w:lang w:val="fr-CA"/>
              </w:rPr>
              <w:t xml:space="preserve"> (Bombardi</w:t>
            </w:r>
            <w:r w:rsidR="002F70A3" w:rsidRPr="00A708C5">
              <w:rPr>
                <w:rFonts w:eastAsia="Calibri" w:cs="Times New Roman"/>
                <w:i/>
                <w:sz w:val="20"/>
                <w:szCs w:val="20"/>
                <w:lang w:val="fr-CA"/>
              </w:rPr>
              <w:t>e</w:t>
            </w:r>
            <w:r>
              <w:rPr>
                <w:rFonts w:eastAsia="Calibri" w:cs="Times New Roman"/>
                <w:i/>
                <w:sz w:val="20"/>
                <w:szCs w:val="20"/>
                <w:lang w:val="fr-CA"/>
              </w:rPr>
              <w:t xml:space="preserve">r Aéronautique Centre de formation) </w:t>
            </w:r>
            <w:r w:rsidR="002F70A3" w:rsidRPr="00A708C5">
              <w:rPr>
                <w:rFonts w:eastAsia="Calibri" w:cs="Times New Roman"/>
                <w:i/>
                <w:sz w:val="20"/>
                <w:szCs w:val="20"/>
                <w:lang w:val="fr-CA"/>
              </w:rPr>
              <w:t xml:space="preserve">et autres </w:t>
            </w:r>
            <w:r w:rsidR="002F70A3" w:rsidRPr="00A708C5">
              <w:rPr>
                <w:rFonts w:eastAsia="Calibri" w:cs="Times New Roman"/>
                <w:sz w:val="20"/>
                <w:szCs w:val="20"/>
                <w:lang w:val="fr-CA"/>
              </w:rPr>
              <w:t>(</w:t>
            </w:r>
            <w:proofErr w:type="spellStart"/>
            <w:r w:rsidR="002F70A3" w:rsidRPr="00A708C5">
              <w:rPr>
                <w:rFonts w:eastAsia="Calibri" w:cs="Times New Roman"/>
                <w:sz w:val="20"/>
                <w:szCs w:val="20"/>
                <w:lang w:val="fr-CA"/>
              </w:rPr>
              <w:t>Qc</w:t>
            </w:r>
            <w:proofErr w:type="spellEnd"/>
            <w:r w:rsidR="002F70A3" w:rsidRPr="00A708C5">
              <w:rPr>
                <w:rFonts w:eastAsia="Calibri" w:cs="Times New Roman"/>
                <w:sz w:val="20"/>
                <w:szCs w:val="20"/>
                <w:lang w:val="fr-CA"/>
              </w:rPr>
              <w:t>) (Civile) (Autorisation) (35</w:t>
            </w:r>
            <w:r w:rsidR="0098513A">
              <w:rPr>
                <w:rFonts w:eastAsia="Calibri" w:cs="Times New Roman"/>
                <w:sz w:val="20"/>
                <w:szCs w:val="20"/>
                <w:lang w:val="fr-CA"/>
              </w:rPr>
              <w:t>6</w:t>
            </w:r>
            <w:r w:rsidR="002F70A3" w:rsidRPr="00A708C5">
              <w:rPr>
                <w:rFonts w:eastAsia="Calibri" w:cs="Times New Roman"/>
                <w:sz w:val="20"/>
                <w:szCs w:val="20"/>
                <w:lang w:val="fr-CA"/>
              </w:rPr>
              <w:t>2</w:t>
            </w:r>
            <w:r w:rsidR="0098513A">
              <w:rPr>
                <w:rFonts w:eastAsia="Calibri" w:cs="Times New Roman"/>
                <w:sz w:val="20"/>
                <w:szCs w:val="20"/>
                <w:lang w:val="fr-CA"/>
              </w:rPr>
              <w:t>5</w:t>
            </w:r>
            <w:r w:rsidR="002F70A3" w:rsidRPr="00A708C5">
              <w:rPr>
                <w:rFonts w:eastAsia="Calibri" w:cs="Times New Roman"/>
                <w:sz w:val="20"/>
                <w:szCs w:val="20"/>
                <w:lang w:val="fr-CA"/>
              </w:rPr>
              <w:t>)</w:t>
            </w:r>
          </w:p>
        </w:tc>
      </w:tr>
    </w:tbl>
    <w:p w:rsidR="005F1ED8" w:rsidRDefault="005F1ED8" w:rsidP="004B66B4">
      <w:pPr>
        <w:rPr>
          <w:sz w:val="20"/>
          <w:szCs w:val="20"/>
          <w:lang w:val="fr-CA"/>
        </w:rPr>
      </w:pPr>
    </w:p>
    <w:p w:rsidR="004B66B4" w:rsidRPr="007521B9" w:rsidRDefault="007871B3" w:rsidP="002868D0">
      <w:pPr>
        <w:jc w:val="both"/>
        <w:rPr>
          <w:sz w:val="20"/>
          <w:szCs w:val="20"/>
          <w:lang w:val="fr-CA"/>
        </w:rPr>
      </w:pPr>
      <w:r>
        <w:rPr>
          <w:sz w:val="20"/>
          <w:szCs w:val="20"/>
          <w:lang w:val="fr-CA"/>
        </w:rPr>
        <w:pict>
          <v:rect id="_x0000_i1076" style="width:2in;height:1pt" o:hrpct="0" o:hralign="center" o:hrstd="t" o:hrnoshade="t" o:hr="t" fillcolor="black [3213]" stroked="f"/>
        </w:pict>
      </w:r>
    </w:p>
    <w:p w:rsidR="004B66B4" w:rsidRPr="007521B9" w:rsidRDefault="004B66B4" w:rsidP="004B66B4">
      <w:pPr>
        <w:tabs>
          <w:tab w:val="left" w:pos="1980"/>
        </w:tabs>
        <w:jc w:val="both"/>
        <w:rPr>
          <w:sz w:val="20"/>
          <w:szCs w:val="20"/>
          <w:lang w:val="fr-CA"/>
        </w:rPr>
      </w:pPr>
    </w:p>
    <w:p w:rsidR="004B66B4" w:rsidRPr="00DD0B49" w:rsidRDefault="004B66B4" w:rsidP="004B66B4">
      <w:pPr>
        <w:jc w:val="both"/>
        <w:rPr>
          <w:sz w:val="20"/>
          <w:szCs w:val="20"/>
        </w:rPr>
      </w:pPr>
      <w:r w:rsidRPr="00165B36">
        <w:rPr>
          <w:b/>
          <w:sz w:val="20"/>
          <w:szCs w:val="20"/>
        </w:rPr>
        <w:t>NOTE:</w:t>
      </w:r>
      <w:r w:rsidRPr="00165B36">
        <w:rPr>
          <w:sz w:val="20"/>
          <w:szCs w:val="20"/>
        </w:rPr>
        <w:t xml:space="preserve"> This agenda is subject to change. Hearings normally commence at 9:30 a.m.; however, cases with multiple parties oft</w:t>
      </w:r>
      <w:r w:rsidRPr="00DD0B49">
        <w:rPr>
          <w:sz w:val="20"/>
          <w:szCs w:val="20"/>
        </w:rPr>
        <w: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102926" w:rsidRPr="00C50A5C" w:rsidRDefault="004B66B4" w:rsidP="00782AE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22323B" w:rsidRPr="00C50A5C" w:rsidRDefault="0022323B" w:rsidP="00782AE4">
      <w:pPr>
        <w:jc w:val="both"/>
        <w:rPr>
          <w:sz w:val="20"/>
          <w:szCs w:val="20"/>
          <w:lang w:val="fr-CA"/>
        </w:rPr>
        <w:sectPr w:rsidR="0022323B" w:rsidRPr="00C50A5C" w:rsidSect="0022323B">
          <w:headerReference w:type="even" r:id="rId81"/>
          <w:headerReference w:type="default" r:id="rId82"/>
          <w:footerReference w:type="even" r:id="rId83"/>
          <w:footerReference w:type="default" r:id="rId84"/>
          <w:headerReference w:type="first" r:id="rId85"/>
          <w:footerReference w:type="first" r:id="rId8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Pr="00C50A5C" w:rsidRDefault="005F263E" w:rsidP="005F263E">
      <w:pPr>
        <w:tabs>
          <w:tab w:val="left" w:pos="-1440"/>
          <w:tab w:val="left" w:pos="-720"/>
        </w:tabs>
        <w:ind w:left="720" w:hanging="720"/>
        <w:jc w:val="both"/>
        <w:rPr>
          <w:b/>
          <w:sz w:val="20"/>
          <w:szCs w:val="20"/>
        </w:rPr>
      </w:pPr>
    </w:p>
    <w:bookmarkStart w:id="2" w:name="1"/>
    <w:bookmarkEnd w:id="2"/>
    <w:p w:rsidR="000867FD" w:rsidRPr="000867FD" w:rsidRDefault="00BD696F" w:rsidP="000867FD">
      <w:pPr>
        <w:widowControl w:val="0"/>
        <w:ind w:left="720" w:hanging="720"/>
        <w:jc w:val="both"/>
        <w:rPr>
          <w:rFonts w:eastAsia="Times New Roman" w:cs="Times New Roman"/>
          <w:sz w:val="20"/>
          <w:szCs w:val="20"/>
          <w:lang w:eastAsia="en-CA"/>
        </w:rPr>
      </w:pPr>
      <w:r w:rsidRPr="000867FD">
        <w:rPr>
          <w:rFonts w:eastAsia="Times New Roman" w:cs="Times New Roman"/>
          <w:b/>
          <w:sz w:val="20"/>
          <w:szCs w:val="20"/>
          <w:lang w:eastAsia="en-CA"/>
        </w:rPr>
        <w:fldChar w:fldCharType="begin"/>
      </w:r>
      <w:r w:rsidR="000867FD" w:rsidRPr="000867FD">
        <w:rPr>
          <w:rFonts w:eastAsia="Times New Roman" w:cs="Times New Roman"/>
          <w:b/>
          <w:sz w:val="20"/>
          <w:szCs w:val="20"/>
          <w:lang w:val="en-US" w:eastAsia="en-CA"/>
        </w:rPr>
        <w:instrText xml:space="preserve"> SEQ CHAPTER \h \r 1</w:instrText>
      </w:r>
      <w:r w:rsidRPr="000867FD">
        <w:rPr>
          <w:rFonts w:eastAsia="Times New Roman" w:cs="Times New Roman"/>
          <w:b/>
          <w:sz w:val="20"/>
          <w:szCs w:val="20"/>
          <w:lang w:val="en-US" w:eastAsia="en-CA"/>
        </w:rPr>
        <w:fldChar w:fldCharType="end"/>
      </w:r>
      <w:r w:rsidR="000867FD" w:rsidRPr="000867FD">
        <w:rPr>
          <w:rFonts w:eastAsia="Times New Roman" w:cs="Times New Roman"/>
          <w:b/>
          <w:sz w:val="20"/>
          <w:szCs w:val="20"/>
          <w:lang w:eastAsia="en-CA"/>
        </w:rPr>
        <w:t>35527</w:t>
      </w:r>
      <w:r w:rsidR="000867FD" w:rsidRPr="000867FD">
        <w:rPr>
          <w:rFonts w:eastAsia="Times New Roman" w:cs="Times New Roman"/>
          <w:sz w:val="20"/>
          <w:szCs w:val="20"/>
          <w:lang w:eastAsia="en-CA"/>
        </w:rPr>
        <w:tab/>
      </w:r>
      <w:bookmarkStart w:id="3" w:name="3"/>
      <w:bookmarkEnd w:id="3"/>
      <w:r w:rsidR="000867FD" w:rsidRPr="000867FD">
        <w:rPr>
          <w:rFonts w:eastAsia="Times New Roman" w:cs="Times New Roman"/>
          <w:b/>
          <w:i/>
          <w:sz w:val="20"/>
          <w:szCs w:val="20"/>
          <w:lang w:val="en-US" w:eastAsia="en-CA"/>
        </w:rPr>
        <w:t>David</w:t>
      </w:r>
      <w:r w:rsidR="000867FD" w:rsidRPr="000867FD">
        <w:rPr>
          <w:rFonts w:eastAsia="Times New Roman" w:cs="Times New Roman"/>
          <w:b/>
          <w:i/>
          <w:sz w:val="20"/>
          <w:szCs w:val="20"/>
          <w:lang w:eastAsia="en-CA"/>
        </w:rPr>
        <w:t xml:space="preserve"> </w:t>
      </w:r>
      <w:proofErr w:type="spellStart"/>
      <w:r w:rsidR="000867FD" w:rsidRPr="000867FD">
        <w:rPr>
          <w:rFonts w:eastAsia="Times New Roman" w:cs="Times New Roman"/>
          <w:b/>
          <w:i/>
          <w:sz w:val="20"/>
          <w:szCs w:val="20"/>
          <w:lang w:eastAsia="en-CA"/>
        </w:rPr>
        <w:t>Caplin</w:t>
      </w:r>
      <w:proofErr w:type="spellEnd"/>
      <w:r w:rsidR="000867FD" w:rsidRPr="000867FD">
        <w:rPr>
          <w:rFonts w:eastAsia="Times New Roman" w:cs="Times New Roman"/>
          <w:b/>
          <w:i/>
          <w:sz w:val="20"/>
          <w:szCs w:val="20"/>
          <w:lang w:eastAsia="en-CA"/>
        </w:rPr>
        <w:t xml:space="preserve"> v. Minister of Justice of Canada</w:t>
      </w:r>
    </w:p>
    <w:p w:rsidR="000867FD" w:rsidRPr="000867FD" w:rsidRDefault="000867FD" w:rsidP="000867FD">
      <w:pPr>
        <w:widowControl w:val="0"/>
        <w:jc w:val="both"/>
        <w:rPr>
          <w:rFonts w:eastAsia="Times New Roman" w:cs="Times New Roman"/>
          <w:sz w:val="20"/>
          <w:szCs w:val="20"/>
          <w:lang w:eastAsia="en-CA"/>
        </w:rPr>
      </w:pPr>
    </w:p>
    <w:p w:rsidR="000867FD" w:rsidRPr="000867FD" w:rsidRDefault="000867FD" w:rsidP="000867FD">
      <w:pPr>
        <w:jc w:val="both"/>
        <w:rPr>
          <w:rFonts w:eastAsia="Times New Roman" w:cs="Times New Roman"/>
          <w:sz w:val="20"/>
          <w:szCs w:val="20"/>
          <w:lang w:val="en-US" w:eastAsia="en-CA"/>
        </w:rPr>
      </w:pPr>
      <w:r w:rsidRPr="000867FD">
        <w:rPr>
          <w:rFonts w:eastAsia="Times New Roman" w:cs="Times New Roman"/>
          <w:sz w:val="20"/>
          <w:szCs w:val="20"/>
          <w:lang w:val="en-US" w:eastAsia="en-CA"/>
        </w:rPr>
        <w:t>Extradition - Criminal law - Surrender order - Judicial review - Whether the Court of Appeal erred in its interpretation of new evidence - Whether the Court of Appeal erred in law in failing to declare that there was an abuse of process in this matter.</w:t>
      </w:r>
    </w:p>
    <w:p w:rsidR="000867FD" w:rsidRPr="000867FD" w:rsidRDefault="000867FD" w:rsidP="000867FD">
      <w:pPr>
        <w:widowControl w:val="0"/>
        <w:jc w:val="both"/>
        <w:rPr>
          <w:rFonts w:eastAsia="Times New Roman" w:cs="Times New Roman"/>
          <w:sz w:val="20"/>
          <w:szCs w:val="20"/>
          <w:lang w:val="en-US" w:eastAsia="en-CA"/>
        </w:rPr>
      </w:pPr>
    </w:p>
    <w:p w:rsidR="000867FD" w:rsidRPr="000867FD" w:rsidRDefault="000867FD" w:rsidP="000867FD">
      <w:pPr>
        <w:jc w:val="both"/>
        <w:rPr>
          <w:rFonts w:eastAsia="Times New Roman" w:cs="Times New Roman"/>
          <w:sz w:val="20"/>
          <w:szCs w:val="20"/>
          <w:lang w:val="en-US" w:eastAsia="en-CA"/>
        </w:rPr>
      </w:pPr>
      <w:r w:rsidRPr="000867FD">
        <w:rPr>
          <w:rFonts w:eastAsia="Times New Roman" w:cs="Times New Roman"/>
          <w:sz w:val="20"/>
          <w:szCs w:val="20"/>
          <w:lang w:val="en-US" w:eastAsia="en-CA"/>
        </w:rPr>
        <w:t xml:space="preserve">The United States of America request the extradition of the appellant to stand trial in the State of New Hampshire. The appellant and an accomplice, Anthony Barnaby, are accused of the first and second degree murders of Charlene </w:t>
      </w:r>
      <w:proofErr w:type="spellStart"/>
      <w:r w:rsidRPr="000867FD">
        <w:rPr>
          <w:rFonts w:eastAsia="Times New Roman" w:cs="Times New Roman"/>
          <w:sz w:val="20"/>
          <w:szCs w:val="20"/>
          <w:lang w:val="en-US" w:eastAsia="en-CA"/>
        </w:rPr>
        <w:t>Ranstrom</w:t>
      </w:r>
      <w:proofErr w:type="spellEnd"/>
      <w:r w:rsidRPr="000867FD">
        <w:rPr>
          <w:rFonts w:eastAsia="Times New Roman" w:cs="Times New Roman"/>
          <w:sz w:val="20"/>
          <w:szCs w:val="20"/>
          <w:lang w:val="en-US" w:eastAsia="en-CA"/>
        </w:rPr>
        <w:t xml:space="preserve"> and Brenda Warner. Both women were stabbed to death in their apartment on the night of October 2-3, 1988 in Nashua, New Hampshire.</w:t>
      </w:r>
    </w:p>
    <w:p w:rsidR="000867FD" w:rsidRPr="000867FD" w:rsidRDefault="000867FD" w:rsidP="000867FD">
      <w:pPr>
        <w:jc w:val="both"/>
        <w:rPr>
          <w:rFonts w:eastAsia="Times New Roman" w:cs="Times New Roman"/>
          <w:sz w:val="20"/>
          <w:szCs w:val="20"/>
          <w:lang w:val="en-US" w:eastAsia="en-CA"/>
        </w:rPr>
      </w:pPr>
    </w:p>
    <w:p w:rsidR="000867FD" w:rsidRPr="000867FD" w:rsidRDefault="000867FD" w:rsidP="000867FD">
      <w:pPr>
        <w:jc w:val="both"/>
        <w:rPr>
          <w:rFonts w:eastAsia="Times New Roman" w:cs="Times New Roman"/>
          <w:sz w:val="20"/>
          <w:szCs w:val="20"/>
          <w:lang w:val="en-US" w:eastAsia="en-CA"/>
        </w:rPr>
      </w:pPr>
      <w:r w:rsidRPr="000867FD">
        <w:rPr>
          <w:rFonts w:eastAsia="Times New Roman" w:cs="Times New Roman"/>
          <w:sz w:val="20"/>
          <w:szCs w:val="20"/>
          <w:lang w:val="en-US" w:eastAsia="en-CA"/>
        </w:rPr>
        <w:t xml:space="preserve">The appellant was charged with those offences in 1990 but prior to his trial, </w:t>
      </w:r>
      <w:proofErr w:type="spellStart"/>
      <w:r w:rsidRPr="000867FD">
        <w:rPr>
          <w:rFonts w:eastAsia="Times New Roman" w:cs="Times New Roman"/>
          <w:sz w:val="20"/>
          <w:szCs w:val="20"/>
          <w:lang w:val="en-US" w:eastAsia="en-CA"/>
        </w:rPr>
        <w:t>defence</w:t>
      </w:r>
      <w:proofErr w:type="spellEnd"/>
      <w:r w:rsidRPr="000867FD">
        <w:rPr>
          <w:rFonts w:eastAsia="Times New Roman" w:cs="Times New Roman"/>
          <w:sz w:val="20"/>
          <w:szCs w:val="20"/>
          <w:lang w:val="en-US" w:eastAsia="en-CA"/>
        </w:rPr>
        <w:t xml:space="preserve"> motions to exclude evidence were granted and were upheld on appeal. As a result, the prosecution entered a </w:t>
      </w:r>
      <w:proofErr w:type="spellStart"/>
      <w:r w:rsidRPr="000867FD">
        <w:rPr>
          <w:rFonts w:eastAsia="Times New Roman" w:cs="Times New Roman"/>
          <w:i/>
          <w:sz w:val="20"/>
          <w:szCs w:val="20"/>
          <w:lang w:val="en-US" w:eastAsia="en-CA"/>
        </w:rPr>
        <w:t>nolle</w:t>
      </w:r>
      <w:proofErr w:type="spellEnd"/>
      <w:r w:rsidRPr="000867FD">
        <w:rPr>
          <w:rFonts w:eastAsia="Times New Roman" w:cs="Times New Roman"/>
          <w:i/>
          <w:sz w:val="20"/>
          <w:szCs w:val="20"/>
          <w:lang w:val="en-US" w:eastAsia="en-CA"/>
        </w:rPr>
        <w:t xml:space="preserve"> </w:t>
      </w:r>
      <w:proofErr w:type="spellStart"/>
      <w:r w:rsidRPr="000867FD">
        <w:rPr>
          <w:rFonts w:eastAsia="Times New Roman" w:cs="Times New Roman"/>
          <w:i/>
          <w:sz w:val="20"/>
          <w:szCs w:val="20"/>
          <w:lang w:val="en-US" w:eastAsia="en-CA"/>
        </w:rPr>
        <w:t>prosequi</w:t>
      </w:r>
      <w:proofErr w:type="spellEnd"/>
      <w:r w:rsidRPr="000867FD">
        <w:rPr>
          <w:rFonts w:eastAsia="Times New Roman" w:cs="Times New Roman"/>
          <w:sz w:val="20"/>
          <w:szCs w:val="20"/>
          <w:lang w:val="en-US" w:eastAsia="en-CA"/>
        </w:rPr>
        <w:t xml:space="preserve"> against the appellant and the charges were dismissed.</w:t>
      </w:r>
    </w:p>
    <w:p w:rsidR="000867FD" w:rsidRPr="000867FD" w:rsidRDefault="000867FD" w:rsidP="000867FD">
      <w:pPr>
        <w:jc w:val="both"/>
        <w:rPr>
          <w:rFonts w:eastAsia="Times New Roman" w:cs="Times New Roman"/>
          <w:sz w:val="20"/>
          <w:szCs w:val="20"/>
          <w:lang w:val="en-US" w:eastAsia="en-CA"/>
        </w:rPr>
      </w:pPr>
    </w:p>
    <w:p w:rsidR="000867FD" w:rsidRPr="000867FD" w:rsidRDefault="000867FD" w:rsidP="000867FD">
      <w:pPr>
        <w:jc w:val="both"/>
        <w:rPr>
          <w:rFonts w:eastAsia="Times New Roman" w:cs="Times New Roman"/>
          <w:sz w:val="20"/>
          <w:szCs w:val="20"/>
          <w:lang w:val="en-US" w:eastAsia="en-CA"/>
        </w:rPr>
      </w:pPr>
      <w:r w:rsidRPr="000867FD">
        <w:rPr>
          <w:rFonts w:eastAsia="Times New Roman" w:cs="Times New Roman"/>
          <w:sz w:val="20"/>
          <w:szCs w:val="20"/>
          <w:lang w:val="en-US" w:eastAsia="en-CA"/>
        </w:rPr>
        <w:t xml:space="preserve">In 2010, the New Hampshire State authorities reopened their investigation and in 2011, evidence seized from the crime scene was submitted for DNA testing not available at the time of the initial investigation. The profile of the appellant was identified. Witnesses were again contacted and provided additional information. A new warrant was obtained for the appellant’s arrest. </w:t>
      </w:r>
    </w:p>
    <w:p w:rsidR="000867FD" w:rsidRPr="000867FD" w:rsidRDefault="000867FD" w:rsidP="000867FD">
      <w:pPr>
        <w:jc w:val="both"/>
        <w:rPr>
          <w:rFonts w:eastAsia="Times New Roman" w:cs="Times New Roman"/>
          <w:sz w:val="20"/>
          <w:szCs w:val="20"/>
          <w:lang w:val="en-US" w:eastAsia="en-CA"/>
        </w:rPr>
      </w:pPr>
    </w:p>
    <w:p w:rsidR="000867FD" w:rsidRPr="000867FD" w:rsidRDefault="000867FD" w:rsidP="000867FD">
      <w:pPr>
        <w:jc w:val="both"/>
        <w:rPr>
          <w:rFonts w:eastAsia="Times New Roman" w:cs="Times New Roman"/>
          <w:sz w:val="20"/>
          <w:szCs w:val="20"/>
          <w:lang w:val="en-US" w:eastAsia="en-CA"/>
        </w:rPr>
      </w:pPr>
      <w:r w:rsidRPr="000867FD">
        <w:rPr>
          <w:rFonts w:eastAsia="Times New Roman" w:cs="Times New Roman"/>
          <w:sz w:val="20"/>
          <w:szCs w:val="20"/>
          <w:lang w:val="en-US" w:eastAsia="en-CA"/>
        </w:rPr>
        <w:t xml:space="preserve">In June 2011, an Authority to </w:t>
      </w:r>
      <w:proofErr w:type="gramStart"/>
      <w:r w:rsidRPr="000867FD">
        <w:rPr>
          <w:rFonts w:eastAsia="Times New Roman" w:cs="Times New Roman"/>
          <w:sz w:val="20"/>
          <w:szCs w:val="20"/>
          <w:lang w:val="en-US" w:eastAsia="en-CA"/>
        </w:rPr>
        <w:t>Proceed</w:t>
      </w:r>
      <w:proofErr w:type="gramEnd"/>
      <w:r w:rsidRPr="000867FD">
        <w:rPr>
          <w:rFonts w:eastAsia="Times New Roman" w:cs="Times New Roman"/>
          <w:sz w:val="20"/>
          <w:szCs w:val="20"/>
          <w:lang w:val="en-US" w:eastAsia="en-CA"/>
        </w:rPr>
        <w:t xml:space="preserve"> was issued pursuant to the </w:t>
      </w:r>
      <w:r w:rsidRPr="000867FD">
        <w:rPr>
          <w:rFonts w:eastAsia="Times New Roman" w:cs="Times New Roman"/>
          <w:i/>
          <w:sz w:val="20"/>
          <w:szCs w:val="20"/>
          <w:lang w:val="en-US" w:eastAsia="en-CA"/>
        </w:rPr>
        <w:t>Extradition Act</w:t>
      </w:r>
      <w:r w:rsidRPr="000867FD">
        <w:rPr>
          <w:rFonts w:eastAsia="Times New Roman" w:cs="Times New Roman"/>
          <w:sz w:val="20"/>
          <w:szCs w:val="20"/>
          <w:lang w:val="en-US" w:eastAsia="en-CA"/>
        </w:rPr>
        <w:t>, S.C. 1999, c. 18, authorizing extradition proceedings against the appellant before the Superior Court of Quebec. In September 2011, that court held that there was sufficient evidence to commit the appellant. In March 2012, the Minister of Justice signed an extradition order ordering the surrender of the appellant to the United States. In July 2013, the Court of Appeal of Quebec dismissed the appellant’s application for judicial review of the Minister’s decision.</w:t>
      </w:r>
    </w:p>
    <w:p w:rsidR="000867FD" w:rsidRPr="000867FD" w:rsidRDefault="000867FD" w:rsidP="000867FD">
      <w:pPr>
        <w:widowControl w:val="0"/>
        <w:jc w:val="both"/>
        <w:rPr>
          <w:rFonts w:eastAsia="Times New Roman" w:cs="Times New Roman"/>
          <w:sz w:val="20"/>
          <w:szCs w:val="20"/>
          <w:lang w:eastAsia="en-CA"/>
        </w:rPr>
      </w:pPr>
    </w:p>
    <w:p w:rsidR="000867FD" w:rsidRPr="000867FD" w:rsidRDefault="000867FD" w:rsidP="000867FD">
      <w:pPr>
        <w:widowControl w:val="0"/>
        <w:jc w:val="both"/>
        <w:rPr>
          <w:rFonts w:eastAsia="Times New Roman" w:cs="Times New Roman"/>
          <w:sz w:val="20"/>
          <w:szCs w:val="20"/>
          <w:lang w:eastAsia="en-CA"/>
        </w:rPr>
      </w:pPr>
    </w:p>
    <w:p w:rsidR="000867FD" w:rsidRPr="000867FD" w:rsidRDefault="000867FD" w:rsidP="000867FD">
      <w:pPr>
        <w:widowControl w:val="0"/>
        <w:ind w:left="2880" w:hanging="2880"/>
        <w:jc w:val="both"/>
        <w:rPr>
          <w:rFonts w:eastAsia="Times New Roman" w:cs="Times New Roman"/>
          <w:sz w:val="20"/>
          <w:szCs w:val="20"/>
          <w:lang w:eastAsia="en-CA"/>
        </w:rPr>
      </w:pPr>
      <w:r w:rsidRPr="000867FD">
        <w:rPr>
          <w:rFonts w:eastAsia="Times New Roman" w:cs="Times New Roman"/>
          <w:sz w:val="20"/>
          <w:szCs w:val="20"/>
          <w:lang w:eastAsia="en-CA"/>
        </w:rPr>
        <w:t>Origin of the case:</w:t>
      </w:r>
      <w:r w:rsidRPr="000867FD">
        <w:rPr>
          <w:rFonts w:eastAsia="Times New Roman" w:cs="Times New Roman"/>
          <w:sz w:val="20"/>
          <w:szCs w:val="20"/>
          <w:lang w:eastAsia="en-CA"/>
        </w:rPr>
        <w:tab/>
      </w:r>
      <w:bookmarkStart w:id="4" w:name="4"/>
      <w:bookmarkEnd w:id="4"/>
      <w:r w:rsidRPr="000867FD">
        <w:rPr>
          <w:rFonts w:eastAsia="Times New Roman" w:cs="Times New Roman"/>
          <w:sz w:val="20"/>
          <w:szCs w:val="20"/>
          <w:lang w:eastAsia="en-CA"/>
        </w:rPr>
        <w:t>Quebec</w:t>
      </w:r>
    </w:p>
    <w:p w:rsidR="000867FD" w:rsidRPr="000867FD" w:rsidRDefault="000867FD" w:rsidP="000867FD">
      <w:pPr>
        <w:widowControl w:val="0"/>
        <w:ind w:left="2880" w:hanging="2880"/>
        <w:jc w:val="both"/>
        <w:rPr>
          <w:rFonts w:eastAsia="Times New Roman" w:cs="Times New Roman"/>
          <w:sz w:val="20"/>
          <w:szCs w:val="20"/>
          <w:lang w:eastAsia="en-CA"/>
        </w:rPr>
      </w:pPr>
    </w:p>
    <w:p w:rsidR="000867FD" w:rsidRPr="000867FD" w:rsidRDefault="000867FD" w:rsidP="000867FD">
      <w:pPr>
        <w:widowControl w:val="0"/>
        <w:ind w:left="2880" w:hanging="2880"/>
        <w:jc w:val="both"/>
        <w:rPr>
          <w:rFonts w:eastAsia="Times New Roman" w:cs="Times New Roman"/>
          <w:sz w:val="20"/>
          <w:szCs w:val="20"/>
          <w:lang w:eastAsia="en-CA"/>
        </w:rPr>
      </w:pPr>
      <w:r w:rsidRPr="000867FD">
        <w:rPr>
          <w:rFonts w:eastAsia="Times New Roman" w:cs="Times New Roman"/>
          <w:sz w:val="20"/>
          <w:szCs w:val="20"/>
          <w:lang w:eastAsia="en-CA"/>
        </w:rPr>
        <w:t>File No.:</w:t>
      </w:r>
      <w:r w:rsidRPr="000867FD">
        <w:rPr>
          <w:rFonts w:eastAsia="Times New Roman" w:cs="Times New Roman"/>
          <w:sz w:val="20"/>
          <w:szCs w:val="20"/>
          <w:lang w:eastAsia="en-CA"/>
        </w:rPr>
        <w:tab/>
      </w:r>
      <w:bookmarkStart w:id="5" w:name="2"/>
      <w:bookmarkEnd w:id="5"/>
      <w:r w:rsidRPr="000867FD">
        <w:rPr>
          <w:rFonts w:eastAsia="Times New Roman" w:cs="Times New Roman"/>
          <w:sz w:val="20"/>
          <w:szCs w:val="20"/>
          <w:lang w:eastAsia="en-CA"/>
        </w:rPr>
        <w:t>35527</w:t>
      </w:r>
    </w:p>
    <w:p w:rsidR="000867FD" w:rsidRPr="000867FD" w:rsidRDefault="000867FD" w:rsidP="000867FD">
      <w:pPr>
        <w:widowControl w:val="0"/>
        <w:ind w:left="2880" w:hanging="2880"/>
        <w:jc w:val="both"/>
        <w:rPr>
          <w:rFonts w:eastAsia="Times New Roman" w:cs="Times New Roman"/>
          <w:sz w:val="20"/>
          <w:szCs w:val="20"/>
          <w:lang w:eastAsia="en-CA"/>
        </w:rPr>
      </w:pPr>
    </w:p>
    <w:p w:rsidR="000867FD" w:rsidRPr="000867FD" w:rsidRDefault="000867FD" w:rsidP="000867FD">
      <w:pPr>
        <w:widowControl w:val="0"/>
        <w:ind w:left="2880" w:hanging="2880"/>
        <w:jc w:val="both"/>
        <w:rPr>
          <w:rFonts w:eastAsia="Times New Roman" w:cs="Times New Roman"/>
          <w:sz w:val="20"/>
          <w:szCs w:val="20"/>
          <w:lang w:eastAsia="en-CA"/>
        </w:rPr>
      </w:pPr>
      <w:r w:rsidRPr="000867FD">
        <w:rPr>
          <w:rFonts w:eastAsia="Times New Roman" w:cs="Times New Roman"/>
          <w:sz w:val="20"/>
          <w:szCs w:val="20"/>
          <w:lang w:eastAsia="en-CA"/>
        </w:rPr>
        <w:t>Judgment of the Court of Appeal:</w:t>
      </w:r>
      <w:r w:rsidRPr="000867FD">
        <w:rPr>
          <w:rFonts w:eastAsia="Times New Roman" w:cs="Times New Roman"/>
          <w:sz w:val="20"/>
          <w:szCs w:val="20"/>
          <w:lang w:eastAsia="en-CA"/>
        </w:rPr>
        <w:tab/>
      </w:r>
      <w:bookmarkStart w:id="6" w:name="5"/>
      <w:bookmarkEnd w:id="6"/>
      <w:r w:rsidRPr="000867FD">
        <w:rPr>
          <w:rFonts w:eastAsia="Times New Roman" w:cs="Times New Roman"/>
          <w:sz w:val="20"/>
          <w:szCs w:val="20"/>
          <w:lang w:eastAsia="en-CA"/>
        </w:rPr>
        <w:t>July 31, 2013</w:t>
      </w:r>
    </w:p>
    <w:p w:rsidR="000867FD" w:rsidRPr="000867FD" w:rsidRDefault="000867FD" w:rsidP="000867FD">
      <w:pPr>
        <w:widowControl w:val="0"/>
        <w:ind w:left="2880" w:hanging="2880"/>
        <w:jc w:val="both"/>
        <w:rPr>
          <w:rFonts w:eastAsia="Times New Roman" w:cs="Times New Roman"/>
          <w:sz w:val="20"/>
          <w:szCs w:val="20"/>
          <w:lang w:eastAsia="en-CA"/>
        </w:rPr>
      </w:pPr>
    </w:p>
    <w:p w:rsidR="000867FD" w:rsidRPr="000867FD" w:rsidRDefault="000867FD" w:rsidP="000867FD">
      <w:pPr>
        <w:widowControl w:val="0"/>
        <w:ind w:left="2880" w:hanging="2880"/>
        <w:jc w:val="both"/>
        <w:rPr>
          <w:rFonts w:eastAsia="Times New Roman" w:cs="Times New Roman"/>
          <w:sz w:val="20"/>
          <w:szCs w:val="20"/>
          <w:lang w:eastAsia="en-CA"/>
        </w:rPr>
      </w:pPr>
      <w:r w:rsidRPr="000867FD">
        <w:rPr>
          <w:rFonts w:eastAsia="Times New Roman" w:cs="Times New Roman"/>
          <w:sz w:val="20"/>
          <w:szCs w:val="20"/>
          <w:lang w:eastAsia="en-CA"/>
        </w:rPr>
        <w:t>Counsel:</w:t>
      </w:r>
      <w:r w:rsidRPr="000867FD">
        <w:rPr>
          <w:rFonts w:eastAsia="Times New Roman" w:cs="Times New Roman"/>
          <w:sz w:val="20"/>
          <w:szCs w:val="20"/>
          <w:lang w:eastAsia="en-CA"/>
        </w:rPr>
        <w:tab/>
      </w:r>
      <w:bookmarkStart w:id="7" w:name="6"/>
      <w:bookmarkEnd w:id="7"/>
      <w:r w:rsidRPr="000867FD">
        <w:rPr>
          <w:rFonts w:eastAsia="Times New Roman" w:cs="Times New Roman"/>
          <w:sz w:val="20"/>
          <w:szCs w:val="20"/>
          <w:lang w:eastAsia="en-CA"/>
        </w:rPr>
        <w:t>V</w:t>
      </w:r>
      <w:proofErr w:type="spellStart"/>
      <w:r w:rsidRPr="000867FD">
        <w:rPr>
          <w:rFonts w:eastAsia="Times New Roman" w:cs="Times New Roman"/>
          <w:sz w:val="20"/>
          <w:szCs w:val="20"/>
          <w:lang w:val="en-US" w:eastAsia="en-CA"/>
        </w:rPr>
        <w:t>éronique</w:t>
      </w:r>
      <w:proofErr w:type="spellEnd"/>
      <w:r w:rsidRPr="000867FD">
        <w:rPr>
          <w:rFonts w:eastAsia="Times New Roman" w:cs="Times New Roman"/>
          <w:sz w:val="20"/>
          <w:szCs w:val="20"/>
          <w:lang w:val="en-US" w:eastAsia="en-CA"/>
        </w:rPr>
        <w:t xml:space="preserve"> </w:t>
      </w:r>
      <w:proofErr w:type="spellStart"/>
      <w:r w:rsidRPr="000867FD">
        <w:rPr>
          <w:rFonts w:eastAsia="Times New Roman" w:cs="Times New Roman"/>
          <w:sz w:val="20"/>
          <w:szCs w:val="20"/>
          <w:lang w:val="en-US" w:eastAsia="en-CA"/>
        </w:rPr>
        <w:t>Courtecuisse</w:t>
      </w:r>
      <w:proofErr w:type="spellEnd"/>
      <w:r w:rsidRPr="000867FD">
        <w:rPr>
          <w:rFonts w:eastAsia="Times New Roman" w:cs="Times New Roman"/>
          <w:sz w:val="20"/>
          <w:szCs w:val="20"/>
          <w:lang w:val="en-US" w:eastAsia="en-CA"/>
        </w:rPr>
        <w:t xml:space="preserve"> </w:t>
      </w:r>
      <w:r w:rsidRPr="000867FD">
        <w:rPr>
          <w:rFonts w:eastAsia="Times New Roman" w:cs="Times New Roman"/>
          <w:sz w:val="20"/>
          <w:szCs w:val="20"/>
          <w:lang w:eastAsia="en-CA"/>
        </w:rPr>
        <w:t>for the appellant</w:t>
      </w:r>
    </w:p>
    <w:p w:rsidR="000867FD" w:rsidRPr="000867FD" w:rsidRDefault="000867FD" w:rsidP="000867FD">
      <w:pPr>
        <w:widowControl w:val="0"/>
        <w:ind w:left="2880" w:hanging="2880"/>
        <w:jc w:val="both"/>
        <w:rPr>
          <w:rFonts w:eastAsia="Times New Roman" w:cs="Times New Roman"/>
          <w:sz w:val="20"/>
          <w:szCs w:val="20"/>
          <w:lang w:eastAsia="en-CA"/>
        </w:rPr>
      </w:pPr>
      <w:r w:rsidRPr="000867FD">
        <w:rPr>
          <w:rFonts w:eastAsia="Times New Roman" w:cs="Times New Roman"/>
          <w:sz w:val="20"/>
          <w:szCs w:val="20"/>
          <w:lang w:eastAsia="en-CA"/>
        </w:rPr>
        <w:tab/>
      </w:r>
      <w:bookmarkStart w:id="8" w:name="7"/>
      <w:bookmarkEnd w:id="8"/>
      <w:r w:rsidRPr="000867FD">
        <w:rPr>
          <w:rFonts w:eastAsia="Times New Roman" w:cs="Times New Roman"/>
          <w:sz w:val="20"/>
          <w:szCs w:val="20"/>
          <w:lang w:eastAsia="en-CA"/>
        </w:rPr>
        <w:t xml:space="preserve">Ginette </w:t>
      </w:r>
      <w:proofErr w:type="spellStart"/>
      <w:r w:rsidRPr="000867FD">
        <w:rPr>
          <w:rFonts w:eastAsia="Times New Roman" w:cs="Times New Roman"/>
          <w:sz w:val="20"/>
          <w:szCs w:val="20"/>
          <w:lang w:eastAsia="en-CA"/>
        </w:rPr>
        <w:t>Gobeil</w:t>
      </w:r>
      <w:proofErr w:type="spellEnd"/>
      <w:r w:rsidRPr="000867FD">
        <w:rPr>
          <w:rFonts w:eastAsia="Times New Roman" w:cs="Times New Roman"/>
          <w:sz w:val="20"/>
          <w:szCs w:val="20"/>
          <w:lang w:eastAsia="en-CA"/>
        </w:rPr>
        <w:t xml:space="preserve"> and Marc Ribeiro for the respondent</w:t>
      </w:r>
    </w:p>
    <w:p w:rsidR="000B3C9A" w:rsidRPr="005F1ED8" w:rsidRDefault="000B3C9A" w:rsidP="000B3C9A">
      <w:pPr>
        <w:tabs>
          <w:tab w:val="left" w:pos="-1440"/>
          <w:tab w:val="left" w:pos="-720"/>
        </w:tabs>
        <w:ind w:left="720" w:hanging="720"/>
        <w:jc w:val="both"/>
        <w:rPr>
          <w:sz w:val="20"/>
          <w:szCs w:val="20"/>
        </w:rPr>
      </w:pPr>
    </w:p>
    <w:p w:rsidR="000B3C9A" w:rsidRPr="00DD0B49" w:rsidRDefault="007871B3" w:rsidP="000B3C9A">
      <w:pPr>
        <w:tabs>
          <w:tab w:val="left" w:pos="-1440"/>
          <w:tab w:val="left" w:pos="-720"/>
        </w:tabs>
        <w:ind w:left="720" w:hanging="720"/>
        <w:jc w:val="both"/>
        <w:rPr>
          <w:sz w:val="20"/>
          <w:szCs w:val="20"/>
          <w:lang w:val="fr-CA"/>
        </w:rPr>
      </w:pPr>
      <w:r>
        <w:rPr>
          <w:sz w:val="20"/>
          <w:szCs w:val="20"/>
          <w:lang w:val="fr-CA"/>
        </w:rPr>
        <w:pict>
          <v:rect id="_x0000_i1079" style="width:2in;height:1pt" o:hrpct="0" o:hralign="center" o:hrstd="t" o:hrnoshade="t" o:hr="t" fillcolor="black [3213]" stroked="f"/>
        </w:pict>
      </w:r>
    </w:p>
    <w:p w:rsidR="000B3C9A" w:rsidRDefault="000B3C9A" w:rsidP="000B3C9A">
      <w:pPr>
        <w:tabs>
          <w:tab w:val="left" w:pos="-1440"/>
          <w:tab w:val="left" w:pos="-720"/>
        </w:tabs>
        <w:ind w:left="720" w:hanging="720"/>
        <w:jc w:val="both"/>
        <w:rPr>
          <w:lang w:val="fr-CA"/>
        </w:rPr>
      </w:pPr>
      <w:r>
        <w:rPr>
          <w:lang w:val="fr-CA"/>
        </w:rPr>
        <w:br w:type="page"/>
      </w:r>
    </w:p>
    <w:p w:rsidR="000867FD" w:rsidRPr="000867FD" w:rsidRDefault="00BD696F" w:rsidP="000867FD">
      <w:pPr>
        <w:widowControl w:val="0"/>
        <w:ind w:left="720" w:hanging="720"/>
        <w:jc w:val="both"/>
        <w:rPr>
          <w:rFonts w:eastAsia="Times New Roman" w:cs="Times New Roman"/>
          <w:sz w:val="20"/>
          <w:szCs w:val="20"/>
          <w:lang w:val="fr-CA" w:eastAsia="en-CA"/>
        </w:rPr>
      </w:pPr>
      <w:r w:rsidRPr="000867FD">
        <w:rPr>
          <w:rFonts w:eastAsia="Times New Roman" w:cs="Times New Roman"/>
          <w:b/>
          <w:sz w:val="20"/>
          <w:szCs w:val="20"/>
          <w:lang w:val="fr-CA" w:eastAsia="en-CA"/>
        </w:rPr>
        <w:lastRenderedPageBreak/>
        <w:fldChar w:fldCharType="begin"/>
      </w:r>
      <w:r w:rsidR="000867FD" w:rsidRPr="000867FD">
        <w:rPr>
          <w:rFonts w:eastAsia="Times New Roman" w:cs="Times New Roman"/>
          <w:b/>
          <w:sz w:val="20"/>
          <w:szCs w:val="20"/>
          <w:lang w:val="fr-CA" w:eastAsia="en-CA"/>
        </w:rPr>
        <w:instrText xml:space="preserve"> SEQ CHAPTER \h \r 1</w:instrText>
      </w:r>
      <w:r w:rsidRPr="000867FD">
        <w:rPr>
          <w:rFonts w:eastAsia="Times New Roman" w:cs="Times New Roman"/>
          <w:b/>
          <w:sz w:val="20"/>
          <w:szCs w:val="20"/>
          <w:lang w:val="fr-CA" w:eastAsia="en-CA"/>
        </w:rPr>
        <w:fldChar w:fldCharType="end"/>
      </w:r>
      <w:r w:rsidR="000867FD" w:rsidRPr="000867FD">
        <w:rPr>
          <w:rFonts w:eastAsia="Times New Roman" w:cs="Times New Roman"/>
          <w:b/>
          <w:sz w:val="20"/>
          <w:szCs w:val="20"/>
          <w:lang w:val="fr-CA" w:eastAsia="en-CA"/>
        </w:rPr>
        <w:t>35527</w:t>
      </w:r>
      <w:r w:rsidR="000867FD" w:rsidRPr="000867FD">
        <w:rPr>
          <w:rFonts w:eastAsia="Times New Roman" w:cs="Times New Roman"/>
          <w:sz w:val="20"/>
          <w:szCs w:val="20"/>
          <w:lang w:val="fr-CA" w:eastAsia="en-CA"/>
        </w:rPr>
        <w:tab/>
      </w:r>
      <w:r w:rsidR="000867FD" w:rsidRPr="000867FD">
        <w:rPr>
          <w:rFonts w:eastAsia="Times New Roman" w:cs="Times New Roman"/>
          <w:b/>
          <w:i/>
          <w:sz w:val="20"/>
          <w:szCs w:val="20"/>
          <w:lang w:val="fr-CA" w:eastAsia="en-CA"/>
        </w:rPr>
        <w:t xml:space="preserve">David </w:t>
      </w:r>
      <w:proofErr w:type="spellStart"/>
      <w:r w:rsidR="000867FD" w:rsidRPr="000867FD">
        <w:rPr>
          <w:rFonts w:eastAsia="Times New Roman" w:cs="Times New Roman"/>
          <w:b/>
          <w:i/>
          <w:sz w:val="20"/>
          <w:szCs w:val="20"/>
          <w:lang w:val="fr-CA" w:eastAsia="en-CA"/>
        </w:rPr>
        <w:t>Caplin</w:t>
      </w:r>
      <w:proofErr w:type="spellEnd"/>
      <w:r w:rsidR="000867FD" w:rsidRPr="000867FD">
        <w:rPr>
          <w:rFonts w:eastAsia="Times New Roman" w:cs="Times New Roman"/>
          <w:b/>
          <w:i/>
          <w:sz w:val="20"/>
          <w:szCs w:val="20"/>
          <w:lang w:val="fr-CA" w:eastAsia="en-CA"/>
        </w:rPr>
        <w:t xml:space="preserve"> c. Ministre de la Justice du Canada</w:t>
      </w:r>
    </w:p>
    <w:p w:rsidR="000867FD" w:rsidRPr="000867FD" w:rsidRDefault="000867FD" w:rsidP="000867FD">
      <w:pPr>
        <w:widowControl w:val="0"/>
        <w:jc w:val="both"/>
        <w:rPr>
          <w:rFonts w:eastAsia="Times New Roman" w:cs="Times New Roman"/>
          <w:sz w:val="20"/>
          <w:szCs w:val="20"/>
          <w:lang w:val="fr-CA" w:eastAsia="en-CA"/>
        </w:rPr>
      </w:pPr>
    </w:p>
    <w:p w:rsidR="000867FD" w:rsidRPr="000867FD" w:rsidRDefault="000867FD" w:rsidP="000867FD">
      <w:pPr>
        <w:jc w:val="both"/>
        <w:rPr>
          <w:rFonts w:eastAsia="Times New Roman" w:cs="Times New Roman"/>
          <w:sz w:val="20"/>
          <w:szCs w:val="20"/>
          <w:lang w:val="fr-CA" w:eastAsia="en-CA"/>
        </w:rPr>
      </w:pPr>
      <w:r w:rsidRPr="000867FD">
        <w:rPr>
          <w:rFonts w:eastAsia="Times New Roman" w:cs="Times New Roman"/>
          <w:sz w:val="20"/>
          <w:szCs w:val="20"/>
          <w:lang w:val="fr-CA" w:eastAsia="en-CA"/>
        </w:rPr>
        <w:t xml:space="preserve">Extradition - Droit criminel - Arrêté d’extradition - Contrôle judiciaire - La Cour d’appel a-t-elle mal interprété les nouveaux éléments de preuve? - La Cour d’appel a-t-elle commis une erreur de droit en ne déclarant pas qu’il y avait eu abus de procédure en l’espèce? </w:t>
      </w:r>
    </w:p>
    <w:p w:rsidR="000867FD" w:rsidRPr="000867FD" w:rsidRDefault="000867FD" w:rsidP="000867FD">
      <w:pPr>
        <w:widowControl w:val="0"/>
        <w:jc w:val="both"/>
        <w:rPr>
          <w:rFonts w:eastAsia="Times New Roman" w:cs="Times New Roman"/>
          <w:sz w:val="20"/>
          <w:szCs w:val="20"/>
          <w:lang w:val="fr-CA" w:eastAsia="en-CA"/>
        </w:rPr>
      </w:pPr>
    </w:p>
    <w:p w:rsidR="000867FD" w:rsidRPr="000867FD" w:rsidRDefault="000867FD" w:rsidP="000867FD">
      <w:pPr>
        <w:jc w:val="both"/>
        <w:rPr>
          <w:rFonts w:eastAsia="Times New Roman" w:cs="Times New Roman"/>
          <w:sz w:val="20"/>
          <w:szCs w:val="20"/>
          <w:lang w:val="fr-CA" w:eastAsia="en-CA"/>
        </w:rPr>
      </w:pPr>
      <w:r w:rsidRPr="000867FD">
        <w:rPr>
          <w:rFonts w:eastAsia="Times New Roman" w:cs="Times New Roman"/>
          <w:sz w:val="20"/>
          <w:szCs w:val="20"/>
          <w:lang w:val="fr-CA" w:eastAsia="en-CA"/>
        </w:rPr>
        <w:t xml:space="preserve">Les États-Unis d’Amérique demandent l’extradition de l’appelant pour qu’il soit traduit en justice dans l’État du New Hampshire. L’appelant et un complice, Anthony Barnaby, sont accusés des meurtres aux premier et deuxième degrés de Charlene </w:t>
      </w:r>
      <w:proofErr w:type="spellStart"/>
      <w:r w:rsidRPr="000867FD">
        <w:rPr>
          <w:rFonts w:eastAsia="Times New Roman" w:cs="Times New Roman"/>
          <w:sz w:val="20"/>
          <w:szCs w:val="20"/>
          <w:lang w:val="fr-CA" w:eastAsia="en-CA"/>
        </w:rPr>
        <w:t>Ranstrom</w:t>
      </w:r>
      <w:proofErr w:type="spellEnd"/>
      <w:r w:rsidRPr="000867FD">
        <w:rPr>
          <w:rFonts w:eastAsia="Times New Roman" w:cs="Times New Roman"/>
          <w:sz w:val="20"/>
          <w:szCs w:val="20"/>
          <w:lang w:val="fr-CA" w:eastAsia="en-CA"/>
        </w:rPr>
        <w:t xml:space="preserve"> et de Brenda Warner, qui ont toutes deux été poignardées à mort dans leur appartement durant la nuit du 2 au 3 octobre, 1988 à Nashua (New Hampshire).</w:t>
      </w:r>
    </w:p>
    <w:p w:rsidR="000867FD" w:rsidRPr="000867FD" w:rsidRDefault="000867FD" w:rsidP="000867FD">
      <w:pPr>
        <w:jc w:val="both"/>
        <w:rPr>
          <w:rFonts w:eastAsia="Times New Roman" w:cs="Times New Roman"/>
          <w:sz w:val="20"/>
          <w:szCs w:val="20"/>
          <w:lang w:val="fr-CA" w:eastAsia="en-CA"/>
        </w:rPr>
      </w:pPr>
    </w:p>
    <w:p w:rsidR="000867FD" w:rsidRPr="000867FD" w:rsidRDefault="000867FD" w:rsidP="000867FD">
      <w:pPr>
        <w:jc w:val="both"/>
        <w:rPr>
          <w:rFonts w:eastAsia="Times New Roman" w:cs="Times New Roman"/>
          <w:sz w:val="20"/>
          <w:szCs w:val="20"/>
          <w:lang w:val="fr-CA" w:eastAsia="en-CA"/>
        </w:rPr>
      </w:pPr>
      <w:r w:rsidRPr="000867FD">
        <w:rPr>
          <w:rFonts w:eastAsia="Times New Roman" w:cs="Times New Roman"/>
          <w:sz w:val="20"/>
          <w:szCs w:val="20"/>
          <w:lang w:val="fr-CA" w:eastAsia="en-CA"/>
        </w:rPr>
        <w:t>L’appelant a été inculpé de ces infractions en 1990, mais avant son procès, des requêtes présentées par la défense pour faire exclure des éléments de preuve furent accueillies, puis confirmées en appel. En conséquence, la poursuite a inscrit un refus de poursuivre contre l’appelant et les accusations ont été rejetées.</w:t>
      </w:r>
    </w:p>
    <w:p w:rsidR="000867FD" w:rsidRPr="000867FD" w:rsidRDefault="000867FD" w:rsidP="000867FD">
      <w:pPr>
        <w:jc w:val="both"/>
        <w:rPr>
          <w:rFonts w:eastAsia="Times New Roman" w:cs="Times New Roman"/>
          <w:sz w:val="20"/>
          <w:szCs w:val="20"/>
          <w:lang w:val="fr-CA" w:eastAsia="en-CA"/>
        </w:rPr>
      </w:pPr>
    </w:p>
    <w:p w:rsidR="000867FD" w:rsidRPr="000867FD" w:rsidRDefault="000867FD" w:rsidP="000867FD">
      <w:pPr>
        <w:jc w:val="both"/>
        <w:rPr>
          <w:rFonts w:eastAsia="Times New Roman" w:cs="Times New Roman"/>
          <w:sz w:val="20"/>
          <w:szCs w:val="20"/>
          <w:lang w:val="fr-CA" w:eastAsia="en-CA"/>
        </w:rPr>
      </w:pPr>
      <w:r w:rsidRPr="000867FD">
        <w:rPr>
          <w:rFonts w:eastAsia="Times New Roman" w:cs="Times New Roman"/>
          <w:sz w:val="20"/>
          <w:szCs w:val="20"/>
          <w:lang w:val="fr-CA" w:eastAsia="en-CA"/>
        </w:rPr>
        <w:t xml:space="preserve">En 2010, les autorités du New Hampshire ont rouvert leur enquête et, en 2011, des éléments de preuve provenant des lieux du crime ont été soumis pour analyses génétiques qui n’étaient pas disponibles à l’époque de l’enquête initiale. Le profil de l’appelant a été identifié. Les témoins ont été joints de nouveau et ils ont fourni des renseignements supplémentaires. Un nouveau mandat d’arrêt contre l’appelant a été obtenu. </w:t>
      </w:r>
    </w:p>
    <w:p w:rsidR="000867FD" w:rsidRPr="000867FD" w:rsidRDefault="000867FD" w:rsidP="000867FD">
      <w:pPr>
        <w:jc w:val="both"/>
        <w:rPr>
          <w:rFonts w:eastAsia="Times New Roman" w:cs="Times New Roman"/>
          <w:sz w:val="20"/>
          <w:szCs w:val="20"/>
          <w:lang w:val="fr-CA" w:eastAsia="en-CA"/>
        </w:rPr>
      </w:pPr>
    </w:p>
    <w:p w:rsidR="000867FD" w:rsidRPr="000867FD" w:rsidRDefault="000867FD" w:rsidP="000867FD">
      <w:pPr>
        <w:jc w:val="both"/>
        <w:rPr>
          <w:rFonts w:eastAsia="Times New Roman" w:cs="Times New Roman"/>
          <w:sz w:val="20"/>
          <w:szCs w:val="20"/>
          <w:lang w:val="fr-CA" w:eastAsia="en-CA"/>
        </w:rPr>
      </w:pPr>
      <w:r w:rsidRPr="000867FD">
        <w:rPr>
          <w:rFonts w:eastAsia="Times New Roman" w:cs="Times New Roman"/>
          <w:sz w:val="20"/>
          <w:szCs w:val="20"/>
          <w:lang w:val="fr-CA" w:eastAsia="en-CA"/>
        </w:rPr>
        <w:t xml:space="preserve">En juin 2011, un arrêté introductif d’instance a été pris en application de la </w:t>
      </w:r>
      <w:r w:rsidRPr="000867FD">
        <w:rPr>
          <w:rFonts w:eastAsia="Times New Roman" w:cs="Times New Roman"/>
          <w:i/>
          <w:sz w:val="20"/>
          <w:szCs w:val="20"/>
          <w:lang w:val="fr-CA" w:eastAsia="en-CA"/>
        </w:rPr>
        <w:t>Loi sur l’extradition</w:t>
      </w:r>
      <w:r w:rsidRPr="000867FD">
        <w:rPr>
          <w:rFonts w:eastAsia="Times New Roman" w:cs="Times New Roman"/>
          <w:sz w:val="20"/>
          <w:szCs w:val="20"/>
          <w:lang w:val="fr-CA" w:eastAsia="en-CA"/>
        </w:rPr>
        <w:t>, L.C. 1999, ch. 18, autorisant l’introduction de la procédure d’extradition en Cour supérieure du Québec. En septembre 2011, cette cour a jugé qu’il y avait suffisamment d’éléments de preuve pour incarcérer l’appelant. En mars 2012, le ministre de la Justice a signé un arrêt d’extradition de l’appelant vers les États-Unis. En juillet 2013, la Cour d’appel du Québec a rejeté la demande de contrôle judiciaire de la décision du ministre présentée par l’appelant.</w:t>
      </w:r>
    </w:p>
    <w:p w:rsidR="000867FD" w:rsidRPr="000867FD" w:rsidRDefault="000867FD" w:rsidP="000867FD">
      <w:pPr>
        <w:widowControl w:val="0"/>
        <w:jc w:val="both"/>
        <w:rPr>
          <w:rFonts w:eastAsia="Times New Roman" w:cs="Times New Roman"/>
          <w:sz w:val="20"/>
          <w:szCs w:val="20"/>
          <w:lang w:val="fr-CA" w:eastAsia="en-CA"/>
        </w:rPr>
      </w:pPr>
    </w:p>
    <w:p w:rsidR="000867FD" w:rsidRPr="000867FD" w:rsidRDefault="000867FD" w:rsidP="000867FD">
      <w:pPr>
        <w:widowControl w:val="0"/>
        <w:jc w:val="both"/>
        <w:rPr>
          <w:rFonts w:eastAsia="Times New Roman" w:cs="Times New Roman"/>
          <w:sz w:val="20"/>
          <w:szCs w:val="20"/>
          <w:lang w:val="fr-CA" w:eastAsia="en-CA"/>
        </w:rPr>
      </w:pPr>
    </w:p>
    <w:p w:rsidR="000867FD" w:rsidRPr="000867FD" w:rsidRDefault="000867FD" w:rsidP="000867FD">
      <w:pPr>
        <w:widowControl w:val="0"/>
        <w:ind w:left="2880" w:hanging="2880"/>
        <w:jc w:val="both"/>
        <w:rPr>
          <w:rFonts w:eastAsia="Times New Roman" w:cs="Times New Roman"/>
          <w:sz w:val="20"/>
          <w:szCs w:val="20"/>
          <w:lang w:val="fr-CA" w:eastAsia="en-CA"/>
        </w:rPr>
      </w:pPr>
      <w:r w:rsidRPr="000867FD">
        <w:rPr>
          <w:rFonts w:eastAsia="Times New Roman" w:cs="Times New Roman"/>
          <w:sz w:val="20"/>
          <w:szCs w:val="20"/>
          <w:lang w:val="fr-CA" w:eastAsia="en-CA"/>
        </w:rPr>
        <w:t>Origine :</w:t>
      </w:r>
      <w:r w:rsidRPr="000867FD">
        <w:rPr>
          <w:rFonts w:eastAsia="Times New Roman" w:cs="Times New Roman"/>
          <w:sz w:val="20"/>
          <w:szCs w:val="20"/>
          <w:lang w:val="fr-CA" w:eastAsia="en-CA"/>
        </w:rPr>
        <w:tab/>
        <w:t>Québec</w:t>
      </w:r>
    </w:p>
    <w:p w:rsidR="000867FD" w:rsidRPr="000867FD" w:rsidRDefault="000867FD" w:rsidP="000867FD">
      <w:pPr>
        <w:widowControl w:val="0"/>
        <w:ind w:left="2880" w:hanging="2880"/>
        <w:jc w:val="both"/>
        <w:rPr>
          <w:rFonts w:eastAsia="Times New Roman" w:cs="Times New Roman"/>
          <w:sz w:val="20"/>
          <w:szCs w:val="20"/>
          <w:lang w:val="fr-CA" w:eastAsia="en-CA"/>
        </w:rPr>
      </w:pPr>
    </w:p>
    <w:p w:rsidR="000867FD" w:rsidRPr="000867FD" w:rsidRDefault="000867FD" w:rsidP="000867FD">
      <w:pPr>
        <w:widowControl w:val="0"/>
        <w:ind w:left="2880" w:hanging="2880"/>
        <w:jc w:val="both"/>
        <w:rPr>
          <w:rFonts w:eastAsia="Times New Roman" w:cs="Times New Roman"/>
          <w:sz w:val="20"/>
          <w:szCs w:val="20"/>
          <w:lang w:val="fr-CA" w:eastAsia="en-CA"/>
        </w:rPr>
      </w:pPr>
      <w:r w:rsidRPr="000867FD">
        <w:rPr>
          <w:rFonts w:eastAsia="Times New Roman" w:cs="Times New Roman"/>
          <w:sz w:val="20"/>
          <w:szCs w:val="20"/>
          <w:lang w:val="fr-CA" w:eastAsia="en-CA"/>
        </w:rPr>
        <w:t>N</w:t>
      </w:r>
      <w:r w:rsidRPr="000867FD">
        <w:rPr>
          <w:rFonts w:eastAsia="Times New Roman" w:cs="Times New Roman"/>
          <w:sz w:val="20"/>
          <w:szCs w:val="20"/>
          <w:vertAlign w:val="superscript"/>
          <w:lang w:val="fr-CA" w:eastAsia="en-CA"/>
        </w:rPr>
        <w:t>o</w:t>
      </w:r>
      <w:r w:rsidRPr="000867FD">
        <w:rPr>
          <w:rFonts w:eastAsia="Times New Roman" w:cs="Times New Roman"/>
          <w:sz w:val="20"/>
          <w:szCs w:val="20"/>
          <w:lang w:val="fr-CA" w:eastAsia="en-CA"/>
        </w:rPr>
        <w:t xml:space="preserve"> du greffe :</w:t>
      </w:r>
      <w:r w:rsidRPr="000867FD">
        <w:rPr>
          <w:rFonts w:eastAsia="Times New Roman" w:cs="Times New Roman"/>
          <w:sz w:val="20"/>
          <w:szCs w:val="20"/>
          <w:lang w:val="fr-CA" w:eastAsia="en-CA"/>
        </w:rPr>
        <w:tab/>
        <w:t>35527</w:t>
      </w:r>
    </w:p>
    <w:p w:rsidR="000867FD" w:rsidRPr="000867FD" w:rsidRDefault="000867FD" w:rsidP="000867FD">
      <w:pPr>
        <w:widowControl w:val="0"/>
        <w:ind w:left="2880" w:hanging="2880"/>
        <w:jc w:val="both"/>
        <w:rPr>
          <w:rFonts w:eastAsia="Times New Roman" w:cs="Times New Roman"/>
          <w:sz w:val="20"/>
          <w:szCs w:val="20"/>
          <w:lang w:val="fr-CA" w:eastAsia="en-CA"/>
        </w:rPr>
      </w:pPr>
    </w:p>
    <w:p w:rsidR="000867FD" w:rsidRPr="000867FD" w:rsidRDefault="000867FD" w:rsidP="000867FD">
      <w:pPr>
        <w:widowControl w:val="0"/>
        <w:ind w:left="2880" w:hanging="2880"/>
        <w:jc w:val="both"/>
        <w:rPr>
          <w:rFonts w:eastAsia="Times New Roman" w:cs="Times New Roman"/>
          <w:sz w:val="20"/>
          <w:szCs w:val="20"/>
          <w:lang w:val="fr-CA" w:eastAsia="en-CA"/>
        </w:rPr>
      </w:pPr>
      <w:r w:rsidRPr="000867FD">
        <w:rPr>
          <w:rFonts w:eastAsia="Times New Roman" w:cs="Times New Roman"/>
          <w:sz w:val="20"/>
          <w:szCs w:val="20"/>
          <w:lang w:val="fr-CA" w:eastAsia="en-CA"/>
        </w:rPr>
        <w:t>Arrêt de la Cour d’appel :</w:t>
      </w:r>
      <w:r w:rsidRPr="000867FD">
        <w:rPr>
          <w:rFonts w:eastAsia="Times New Roman" w:cs="Times New Roman"/>
          <w:sz w:val="20"/>
          <w:szCs w:val="20"/>
          <w:lang w:val="fr-CA" w:eastAsia="en-CA"/>
        </w:rPr>
        <w:tab/>
        <w:t>le 31 juillet 2013</w:t>
      </w:r>
    </w:p>
    <w:p w:rsidR="000867FD" w:rsidRPr="000867FD" w:rsidRDefault="000867FD" w:rsidP="000867FD">
      <w:pPr>
        <w:widowControl w:val="0"/>
        <w:ind w:left="2880" w:hanging="2880"/>
        <w:jc w:val="both"/>
        <w:rPr>
          <w:rFonts w:eastAsia="Times New Roman" w:cs="Times New Roman"/>
          <w:sz w:val="20"/>
          <w:szCs w:val="20"/>
          <w:lang w:val="fr-CA" w:eastAsia="en-CA"/>
        </w:rPr>
      </w:pPr>
    </w:p>
    <w:p w:rsidR="000867FD" w:rsidRPr="000867FD" w:rsidRDefault="000867FD" w:rsidP="000867FD">
      <w:pPr>
        <w:widowControl w:val="0"/>
        <w:ind w:left="2880" w:hanging="2880"/>
        <w:jc w:val="both"/>
        <w:rPr>
          <w:rFonts w:eastAsia="Times New Roman" w:cs="Times New Roman"/>
          <w:sz w:val="20"/>
          <w:szCs w:val="20"/>
          <w:lang w:val="fr-CA" w:eastAsia="en-CA"/>
        </w:rPr>
      </w:pPr>
      <w:r w:rsidRPr="000867FD">
        <w:rPr>
          <w:rFonts w:eastAsia="Times New Roman" w:cs="Times New Roman"/>
          <w:sz w:val="20"/>
          <w:szCs w:val="20"/>
          <w:lang w:val="fr-CA" w:eastAsia="en-CA"/>
        </w:rPr>
        <w:t>Avocats :</w:t>
      </w:r>
      <w:r w:rsidRPr="000867FD">
        <w:rPr>
          <w:rFonts w:eastAsia="Times New Roman" w:cs="Times New Roman"/>
          <w:sz w:val="20"/>
          <w:szCs w:val="20"/>
          <w:lang w:val="fr-CA" w:eastAsia="en-CA"/>
        </w:rPr>
        <w:tab/>
        <w:t xml:space="preserve">Véronique </w:t>
      </w:r>
      <w:proofErr w:type="spellStart"/>
      <w:r w:rsidRPr="000867FD">
        <w:rPr>
          <w:rFonts w:eastAsia="Times New Roman" w:cs="Times New Roman"/>
          <w:sz w:val="20"/>
          <w:szCs w:val="20"/>
          <w:lang w:val="fr-CA" w:eastAsia="en-CA"/>
        </w:rPr>
        <w:t>Courtecuisse</w:t>
      </w:r>
      <w:proofErr w:type="spellEnd"/>
      <w:r w:rsidRPr="000867FD">
        <w:rPr>
          <w:rFonts w:eastAsia="Times New Roman" w:cs="Times New Roman"/>
          <w:sz w:val="20"/>
          <w:szCs w:val="20"/>
          <w:lang w:val="fr-CA" w:eastAsia="en-CA"/>
        </w:rPr>
        <w:t xml:space="preserve"> pour l’appelant</w:t>
      </w:r>
    </w:p>
    <w:p w:rsidR="000867FD" w:rsidRPr="000867FD" w:rsidRDefault="000867FD" w:rsidP="000867FD">
      <w:pPr>
        <w:widowControl w:val="0"/>
        <w:ind w:left="2880" w:hanging="2880"/>
        <w:jc w:val="both"/>
        <w:rPr>
          <w:rFonts w:eastAsia="Times New Roman" w:cs="Times New Roman"/>
          <w:sz w:val="20"/>
          <w:szCs w:val="20"/>
          <w:lang w:val="fr-CA" w:eastAsia="en-CA"/>
        </w:rPr>
      </w:pPr>
      <w:r w:rsidRPr="000867FD">
        <w:rPr>
          <w:rFonts w:eastAsia="Times New Roman" w:cs="Times New Roman"/>
          <w:sz w:val="20"/>
          <w:szCs w:val="20"/>
          <w:lang w:val="fr-CA" w:eastAsia="en-CA"/>
        </w:rPr>
        <w:tab/>
        <w:t xml:space="preserve">Ginette </w:t>
      </w:r>
      <w:proofErr w:type="spellStart"/>
      <w:r w:rsidRPr="000867FD">
        <w:rPr>
          <w:rFonts w:eastAsia="Times New Roman" w:cs="Times New Roman"/>
          <w:sz w:val="20"/>
          <w:szCs w:val="20"/>
          <w:lang w:val="fr-CA" w:eastAsia="en-CA"/>
        </w:rPr>
        <w:t>Gobeil</w:t>
      </w:r>
      <w:proofErr w:type="spellEnd"/>
      <w:r w:rsidRPr="000867FD">
        <w:rPr>
          <w:rFonts w:eastAsia="Times New Roman" w:cs="Times New Roman"/>
          <w:sz w:val="20"/>
          <w:szCs w:val="20"/>
          <w:lang w:val="fr-CA" w:eastAsia="en-CA"/>
        </w:rPr>
        <w:t xml:space="preserve"> et Marc Ribeiro pour l’intimé</w:t>
      </w:r>
    </w:p>
    <w:p w:rsidR="000B3C9A" w:rsidRPr="00DD0B49" w:rsidRDefault="000B3C9A" w:rsidP="000B3C9A">
      <w:pPr>
        <w:tabs>
          <w:tab w:val="left" w:pos="-1440"/>
          <w:tab w:val="left" w:pos="-720"/>
        </w:tabs>
        <w:jc w:val="both"/>
        <w:rPr>
          <w:sz w:val="20"/>
          <w:szCs w:val="20"/>
          <w:lang w:val="fr-CA"/>
        </w:rPr>
      </w:pPr>
    </w:p>
    <w:p w:rsidR="000B3C9A" w:rsidRDefault="007871B3" w:rsidP="000B3C9A">
      <w:pPr>
        <w:tabs>
          <w:tab w:val="left" w:pos="-1440"/>
          <w:tab w:val="left" w:pos="-720"/>
        </w:tabs>
        <w:jc w:val="both"/>
        <w:rPr>
          <w:sz w:val="20"/>
          <w:szCs w:val="20"/>
          <w:lang w:val="fr-CA"/>
        </w:rPr>
      </w:pPr>
      <w:r>
        <w:rPr>
          <w:sz w:val="20"/>
          <w:szCs w:val="20"/>
          <w:lang w:val="fr-CA"/>
        </w:rPr>
        <w:pict>
          <v:rect id="_x0000_i1080" style="width:2in;height:1pt" o:hrpct="0" o:hralign="center" o:hrstd="t" o:hrnoshade="t" o:hr="t" fillcolor="black [3213]" stroked="f"/>
        </w:pict>
      </w:r>
    </w:p>
    <w:p w:rsidR="00CC3535" w:rsidRDefault="00CC3535" w:rsidP="000B3C9A">
      <w:pPr>
        <w:tabs>
          <w:tab w:val="left" w:pos="-1440"/>
          <w:tab w:val="left" w:pos="-720"/>
        </w:tabs>
        <w:jc w:val="both"/>
        <w:rPr>
          <w:sz w:val="20"/>
          <w:szCs w:val="20"/>
          <w:lang w:val="fr-CA"/>
        </w:rPr>
      </w:pPr>
    </w:p>
    <w:p w:rsidR="00CC3535" w:rsidRDefault="00CC3535" w:rsidP="000B3C9A">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920628" w:rsidRPr="00920628" w:rsidRDefault="00BD696F" w:rsidP="00920628">
      <w:pPr>
        <w:widowControl w:val="0"/>
        <w:ind w:left="720" w:hanging="720"/>
        <w:jc w:val="both"/>
        <w:rPr>
          <w:rFonts w:eastAsia="Times New Roman" w:cs="Times New Roman"/>
          <w:sz w:val="20"/>
          <w:szCs w:val="20"/>
          <w:lang w:eastAsia="en-CA"/>
        </w:rPr>
      </w:pPr>
      <w:r w:rsidRPr="00920628">
        <w:rPr>
          <w:rFonts w:eastAsia="Times New Roman" w:cs="Times New Roman"/>
          <w:b/>
          <w:sz w:val="20"/>
          <w:szCs w:val="20"/>
          <w:lang w:eastAsia="en-CA"/>
        </w:rPr>
        <w:lastRenderedPageBreak/>
        <w:fldChar w:fldCharType="begin"/>
      </w:r>
      <w:r w:rsidR="00920628" w:rsidRPr="00920628">
        <w:rPr>
          <w:rFonts w:eastAsia="Times New Roman" w:cs="Times New Roman"/>
          <w:b/>
          <w:sz w:val="20"/>
          <w:szCs w:val="20"/>
          <w:lang w:val="en-US" w:eastAsia="en-CA"/>
        </w:rPr>
        <w:instrText xml:space="preserve"> SEQ CHAPTER \h \r 1</w:instrText>
      </w:r>
      <w:r w:rsidRPr="00920628">
        <w:rPr>
          <w:rFonts w:eastAsia="Times New Roman" w:cs="Times New Roman"/>
          <w:b/>
          <w:sz w:val="20"/>
          <w:szCs w:val="20"/>
          <w:lang w:val="en-US" w:eastAsia="en-CA"/>
        </w:rPr>
        <w:fldChar w:fldCharType="end"/>
      </w:r>
      <w:r w:rsidR="00920628" w:rsidRPr="00920628">
        <w:rPr>
          <w:rFonts w:eastAsia="Times New Roman" w:cs="Times New Roman"/>
          <w:b/>
          <w:sz w:val="20"/>
          <w:szCs w:val="20"/>
          <w:lang w:eastAsia="en-CA"/>
        </w:rPr>
        <w:t>35548</w:t>
      </w:r>
      <w:r w:rsidR="00920628" w:rsidRPr="00920628">
        <w:rPr>
          <w:rFonts w:eastAsia="Times New Roman" w:cs="Times New Roman"/>
          <w:sz w:val="20"/>
          <w:szCs w:val="20"/>
          <w:lang w:eastAsia="en-CA"/>
        </w:rPr>
        <w:tab/>
      </w:r>
      <w:r w:rsidR="00920628" w:rsidRPr="00920628">
        <w:rPr>
          <w:rFonts w:eastAsia="Times New Roman" w:cs="Times New Roman"/>
          <w:b/>
          <w:i/>
          <w:sz w:val="20"/>
          <w:szCs w:val="20"/>
          <w:lang w:val="en-US" w:eastAsia="en-CA"/>
        </w:rPr>
        <w:t>Attorney</w:t>
      </w:r>
      <w:r w:rsidR="00920628" w:rsidRPr="00920628">
        <w:rPr>
          <w:rFonts w:eastAsia="Times New Roman" w:cs="Times New Roman"/>
          <w:b/>
          <w:i/>
          <w:sz w:val="20"/>
          <w:szCs w:val="20"/>
          <w:lang w:eastAsia="en-CA"/>
        </w:rPr>
        <w:t xml:space="preserve"> General of Canada v. Anthony Barnaby</w:t>
      </w:r>
    </w:p>
    <w:p w:rsidR="00920628" w:rsidRPr="00920628" w:rsidRDefault="00920628" w:rsidP="00920628">
      <w:pPr>
        <w:widowControl w:val="0"/>
        <w:jc w:val="both"/>
        <w:rPr>
          <w:rFonts w:eastAsia="Times New Roman" w:cs="Times New Roman"/>
          <w:sz w:val="20"/>
          <w:szCs w:val="20"/>
          <w:lang w:eastAsia="en-CA"/>
        </w:rPr>
      </w:pPr>
    </w:p>
    <w:p w:rsidR="00920628" w:rsidRPr="00920628" w:rsidRDefault="00920628" w:rsidP="00920628">
      <w:pPr>
        <w:jc w:val="both"/>
        <w:rPr>
          <w:rFonts w:eastAsia="Times New Roman" w:cs="Times New Roman"/>
          <w:sz w:val="20"/>
          <w:szCs w:val="20"/>
          <w:lang w:val="en-US" w:eastAsia="en-CA"/>
        </w:rPr>
      </w:pPr>
      <w:r w:rsidRPr="00920628">
        <w:rPr>
          <w:rFonts w:eastAsia="Times New Roman" w:cs="Times New Roman"/>
          <w:sz w:val="20"/>
          <w:szCs w:val="20"/>
          <w:lang w:val="en-US" w:eastAsia="en-CA"/>
        </w:rPr>
        <w:t>Extradition - Criminal law - Surrender order - Judicial review - Whether the Court of Appeal erred in finding that the order surrendering the respondent to the United States of America was unreasonable.</w:t>
      </w:r>
    </w:p>
    <w:p w:rsidR="00920628" w:rsidRPr="00920628" w:rsidRDefault="00920628" w:rsidP="00920628">
      <w:pPr>
        <w:widowControl w:val="0"/>
        <w:jc w:val="both"/>
        <w:rPr>
          <w:rFonts w:eastAsia="Times New Roman" w:cs="Times New Roman"/>
          <w:sz w:val="20"/>
          <w:szCs w:val="20"/>
          <w:lang w:val="en-US" w:eastAsia="en-CA"/>
        </w:rPr>
      </w:pPr>
    </w:p>
    <w:p w:rsidR="00920628" w:rsidRPr="00920628" w:rsidRDefault="00920628" w:rsidP="00920628">
      <w:pPr>
        <w:jc w:val="both"/>
        <w:rPr>
          <w:rFonts w:eastAsia="Times New Roman" w:cs="Times New Roman"/>
          <w:sz w:val="20"/>
          <w:szCs w:val="20"/>
          <w:lang w:val="en-US" w:eastAsia="en-CA"/>
        </w:rPr>
      </w:pPr>
      <w:r w:rsidRPr="00920628">
        <w:rPr>
          <w:rFonts w:eastAsia="Times New Roman" w:cs="Times New Roman"/>
          <w:sz w:val="20"/>
          <w:szCs w:val="20"/>
          <w:lang w:val="en-US" w:eastAsia="en-CA"/>
        </w:rPr>
        <w:t xml:space="preserve">The United States of America request the extradition of the respondent to stand trial in the State of New Hampshire. The respondent and an accomplice, David </w:t>
      </w:r>
      <w:proofErr w:type="spellStart"/>
      <w:r w:rsidRPr="00920628">
        <w:rPr>
          <w:rFonts w:eastAsia="Times New Roman" w:cs="Times New Roman"/>
          <w:sz w:val="20"/>
          <w:szCs w:val="20"/>
          <w:lang w:val="en-US" w:eastAsia="en-CA"/>
        </w:rPr>
        <w:t>Caplin</w:t>
      </w:r>
      <w:proofErr w:type="spellEnd"/>
      <w:r w:rsidRPr="00920628">
        <w:rPr>
          <w:rFonts w:eastAsia="Times New Roman" w:cs="Times New Roman"/>
          <w:sz w:val="20"/>
          <w:szCs w:val="20"/>
          <w:lang w:val="en-US" w:eastAsia="en-CA"/>
        </w:rPr>
        <w:t xml:space="preserve">, are accused of the first and second degree murders of Charlene </w:t>
      </w:r>
      <w:proofErr w:type="spellStart"/>
      <w:r w:rsidRPr="00920628">
        <w:rPr>
          <w:rFonts w:eastAsia="Times New Roman" w:cs="Times New Roman"/>
          <w:sz w:val="20"/>
          <w:szCs w:val="20"/>
          <w:lang w:val="en-US" w:eastAsia="en-CA"/>
        </w:rPr>
        <w:t>Ranstrom</w:t>
      </w:r>
      <w:proofErr w:type="spellEnd"/>
      <w:r w:rsidRPr="00920628">
        <w:rPr>
          <w:rFonts w:eastAsia="Times New Roman" w:cs="Times New Roman"/>
          <w:sz w:val="20"/>
          <w:szCs w:val="20"/>
          <w:lang w:val="en-US" w:eastAsia="en-CA"/>
        </w:rPr>
        <w:t xml:space="preserve"> and Brenda Warner. Both women were stabbed to death in their apartment on the night of October 2-3, 1988 in Nashua, New Hampshire.</w:t>
      </w:r>
    </w:p>
    <w:p w:rsidR="00920628" w:rsidRPr="00920628" w:rsidRDefault="00920628" w:rsidP="00920628">
      <w:pPr>
        <w:jc w:val="both"/>
        <w:rPr>
          <w:rFonts w:eastAsia="Times New Roman" w:cs="Times New Roman"/>
          <w:sz w:val="20"/>
          <w:szCs w:val="20"/>
          <w:lang w:val="en-US" w:eastAsia="en-CA"/>
        </w:rPr>
      </w:pPr>
    </w:p>
    <w:p w:rsidR="00920628" w:rsidRPr="00920628" w:rsidRDefault="00920628" w:rsidP="00920628">
      <w:pPr>
        <w:jc w:val="both"/>
        <w:rPr>
          <w:rFonts w:eastAsia="Times New Roman" w:cs="Times New Roman"/>
          <w:sz w:val="20"/>
          <w:szCs w:val="20"/>
          <w:lang w:val="en-US" w:eastAsia="en-CA"/>
        </w:rPr>
      </w:pPr>
      <w:r w:rsidRPr="00920628">
        <w:rPr>
          <w:rFonts w:eastAsia="Times New Roman" w:cs="Times New Roman"/>
          <w:sz w:val="20"/>
          <w:szCs w:val="20"/>
          <w:lang w:val="en-US" w:eastAsia="en-CA"/>
        </w:rPr>
        <w:t xml:space="preserve">In 1989, the respondent was indicted on two counts of first degree murder. He proceeded to trial on three occasions, in 1989 and 1990. Each trial ended in a hung jury, as a unanimous verdict could not be reached. At the conclusion of the third trial, the prosecution entered a </w:t>
      </w:r>
      <w:proofErr w:type="spellStart"/>
      <w:r w:rsidRPr="00920628">
        <w:rPr>
          <w:rFonts w:eastAsia="Times New Roman" w:cs="Times New Roman"/>
          <w:i/>
          <w:sz w:val="20"/>
          <w:szCs w:val="20"/>
          <w:lang w:val="en-US" w:eastAsia="en-CA"/>
        </w:rPr>
        <w:t>nolle</w:t>
      </w:r>
      <w:proofErr w:type="spellEnd"/>
      <w:r w:rsidRPr="00920628">
        <w:rPr>
          <w:rFonts w:eastAsia="Times New Roman" w:cs="Times New Roman"/>
          <w:i/>
          <w:sz w:val="20"/>
          <w:szCs w:val="20"/>
          <w:lang w:val="en-US" w:eastAsia="en-CA"/>
        </w:rPr>
        <w:t xml:space="preserve"> </w:t>
      </w:r>
      <w:proofErr w:type="spellStart"/>
      <w:r w:rsidRPr="00920628">
        <w:rPr>
          <w:rFonts w:eastAsia="Times New Roman" w:cs="Times New Roman"/>
          <w:i/>
          <w:sz w:val="20"/>
          <w:szCs w:val="20"/>
          <w:lang w:val="en-US" w:eastAsia="en-CA"/>
        </w:rPr>
        <w:t>prosequi</w:t>
      </w:r>
      <w:proofErr w:type="spellEnd"/>
      <w:r w:rsidRPr="00920628">
        <w:rPr>
          <w:rFonts w:eastAsia="Times New Roman" w:cs="Times New Roman"/>
          <w:sz w:val="20"/>
          <w:szCs w:val="20"/>
          <w:lang w:val="en-US" w:eastAsia="en-CA"/>
        </w:rPr>
        <w:t>, a dismissal of charges, against the respondent.</w:t>
      </w:r>
    </w:p>
    <w:p w:rsidR="00920628" w:rsidRPr="00920628" w:rsidRDefault="00920628" w:rsidP="00920628">
      <w:pPr>
        <w:jc w:val="both"/>
        <w:rPr>
          <w:rFonts w:eastAsia="Times New Roman" w:cs="Times New Roman"/>
          <w:sz w:val="20"/>
          <w:szCs w:val="20"/>
          <w:lang w:val="en-US" w:eastAsia="en-CA"/>
        </w:rPr>
      </w:pPr>
    </w:p>
    <w:p w:rsidR="00920628" w:rsidRPr="00920628" w:rsidRDefault="00920628" w:rsidP="00920628">
      <w:pPr>
        <w:jc w:val="both"/>
        <w:rPr>
          <w:rFonts w:eastAsia="Times New Roman" w:cs="Times New Roman"/>
          <w:sz w:val="20"/>
          <w:szCs w:val="20"/>
          <w:lang w:val="en-US" w:eastAsia="en-CA"/>
        </w:rPr>
      </w:pPr>
      <w:r w:rsidRPr="00920628">
        <w:rPr>
          <w:rFonts w:eastAsia="Times New Roman" w:cs="Times New Roman"/>
          <w:sz w:val="20"/>
          <w:szCs w:val="20"/>
          <w:lang w:val="en-US" w:eastAsia="en-CA"/>
        </w:rPr>
        <w:t xml:space="preserve">In 2010, the New Hampshire State authorities reopened their investigation and in 2011, evidence seized from the crime scene was submitted for DNA testing not available at the time of the initial investigation. The profile of the respondent’s accomplice, Mr. </w:t>
      </w:r>
      <w:proofErr w:type="spellStart"/>
      <w:r w:rsidRPr="00920628">
        <w:rPr>
          <w:rFonts w:eastAsia="Times New Roman" w:cs="Times New Roman"/>
          <w:sz w:val="20"/>
          <w:szCs w:val="20"/>
          <w:lang w:val="en-US" w:eastAsia="en-CA"/>
        </w:rPr>
        <w:t>Caplin</w:t>
      </w:r>
      <w:proofErr w:type="spellEnd"/>
      <w:r w:rsidRPr="00920628">
        <w:rPr>
          <w:rFonts w:eastAsia="Times New Roman" w:cs="Times New Roman"/>
          <w:sz w:val="20"/>
          <w:szCs w:val="20"/>
          <w:lang w:val="en-US" w:eastAsia="en-CA"/>
        </w:rPr>
        <w:t xml:space="preserve">, was identified. Witnesses were again contacted and provided additional information. A new warrant was obtained for the respondent’s arrest. </w:t>
      </w:r>
    </w:p>
    <w:p w:rsidR="00920628" w:rsidRPr="00920628" w:rsidRDefault="00920628" w:rsidP="00920628">
      <w:pPr>
        <w:jc w:val="both"/>
        <w:rPr>
          <w:rFonts w:eastAsia="Times New Roman" w:cs="Times New Roman"/>
          <w:sz w:val="20"/>
          <w:szCs w:val="20"/>
          <w:lang w:val="en-US" w:eastAsia="en-CA"/>
        </w:rPr>
      </w:pPr>
    </w:p>
    <w:p w:rsidR="00920628" w:rsidRPr="00920628" w:rsidRDefault="00920628" w:rsidP="00920628">
      <w:pPr>
        <w:jc w:val="both"/>
        <w:rPr>
          <w:rFonts w:eastAsia="Times New Roman" w:cs="Times New Roman"/>
          <w:sz w:val="20"/>
          <w:szCs w:val="20"/>
          <w:lang w:val="en-US" w:eastAsia="en-CA"/>
        </w:rPr>
      </w:pPr>
      <w:r w:rsidRPr="00920628">
        <w:rPr>
          <w:rFonts w:eastAsia="Times New Roman" w:cs="Times New Roman"/>
          <w:sz w:val="20"/>
          <w:szCs w:val="20"/>
          <w:lang w:val="en-US" w:eastAsia="en-CA"/>
        </w:rPr>
        <w:t xml:space="preserve">In June 2011, an Authority to </w:t>
      </w:r>
      <w:proofErr w:type="gramStart"/>
      <w:r w:rsidRPr="00920628">
        <w:rPr>
          <w:rFonts w:eastAsia="Times New Roman" w:cs="Times New Roman"/>
          <w:sz w:val="20"/>
          <w:szCs w:val="20"/>
          <w:lang w:val="en-US" w:eastAsia="en-CA"/>
        </w:rPr>
        <w:t>Proceed</w:t>
      </w:r>
      <w:proofErr w:type="gramEnd"/>
      <w:r w:rsidRPr="00920628">
        <w:rPr>
          <w:rFonts w:eastAsia="Times New Roman" w:cs="Times New Roman"/>
          <w:sz w:val="20"/>
          <w:szCs w:val="20"/>
          <w:lang w:val="en-US" w:eastAsia="en-CA"/>
        </w:rPr>
        <w:t xml:space="preserve"> was issued pursuant to the </w:t>
      </w:r>
      <w:r w:rsidRPr="00920628">
        <w:rPr>
          <w:rFonts w:eastAsia="Times New Roman" w:cs="Times New Roman"/>
          <w:i/>
          <w:sz w:val="20"/>
          <w:szCs w:val="20"/>
          <w:lang w:val="en-US" w:eastAsia="en-CA"/>
        </w:rPr>
        <w:t>Extradition Act</w:t>
      </w:r>
      <w:r w:rsidRPr="00920628">
        <w:rPr>
          <w:rFonts w:eastAsia="Times New Roman" w:cs="Times New Roman"/>
          <w:sz w:val="20"/>
          <w:szCs w:val="20"/>
          <w:lang w:val="en-US" w:eastAsia="en-CA"/>
        </w:rPr>
        <w:t>, S.C. 1999, c. 18, authorizing extradition proceedings against the respondent before the Superior Court of Quebec. In September 2011, that court held that there was sufficient evidence to commit the respondent. In March 2012, the Minister of Justice signed an extradition order ordering the surrender of the respondent to the United States. In July 2013, the Court of Appeal of Quebec allowed the respondent’s application for judicial review of the Minister’s decision and quashed the surrender order.</w:t>
      </w:r>
    </w:p>
    <w:p w:rsidR="00920628" w:rsidRPr="00920628" w:rsidRDefault="00920628" w:rsidP="00920628">
      <w:pPr>
        <w:widowControl w:val="0"/>
        <w:jc w:val="both"/>
        <w:rPr>
          <w:rFonts w:eastAsia="Times New Roman" w:cs="Times New Roman"/>
          <w:sz w:val="20"/>
          <w:szCs w:val="20"/>
          <w:lang w:val="en-US" w:eastAsia="en-CA"/>
        </w:rPr>
      </w:pPr>
    </w:p>
    <w:p w:rsidR="00920628" w:rsidRPr="00920628" w:rsidRDefault="00920628" w:rsidP="00920628">
      <w:pPr>
        <w:widowControl w:val="0"/>
        <w:jc w:val="both"/>
        <w:rPr>
          <w:rFonts w:eastAsia="Times New Roman" w:cs="Times New Roman"/>
          <w:sz w:val="20"/>
          <w:szCs w:val="20"/>
          <w:lang w:eastAsia="en-CA"/>
        </w:rPr>
      </w:pPr>
    </w:p>
    <w:p w:rsidR="00920628" w:rsidRPr="00920628" w:rsidRDefault="00920628" w:rsidP="00920628">
      <w:pPr>
        <w:widowControl w:val="0"/>
        <w:ind w:left="2880" w:hanging="2880"/>
        <w:jc w:val="both"/>
        <w:rPr>
          <w:rFonts w:eastAsia="Times New Roman" w:cs="Times New Roman"/>
          <w:sz w:val="20"/>
          <w:szCs w:val="20"/>
          <w:lang w:eastAsia="en-CA"/>
        </w:rPr>
      </w:pPr>
      <w:r w:rsidRPr="00920628">
        <w:rPr>
          <w:rFonts w:eastAsia="Times New Roman" w:cs="Times New Roman"/>
          <w:sz w:val="20"/>
          <w:szCs w:val="20"/>
          <w:lang w:eastAsia="en-CA"/>
        </w:rPr>
        <w:t>Origin of the case:</w:t>
      </w:r>
      <w:r w:rsidRPr="00920628">
        <w:rPr>
          <w:rFonts w:eastAsia="Times New Roman" w:cs="Times New Roman"/>
          <w:sz w:val="20"/>
          <w:szCs w:val="20"/>
          <w:lang w:eastAsia="en-CA"/>
        </w:rPr>
        <w:tab/>
        <w:t>Quebec</w:t>
      </w:r>
    </w:p>
    <w:p w:rsidR="00920628" w:rsidRPr="00920628" w:rsidRDefault="00920628" w:rsidP="00920628">
      <w:pPr>
        <w:widowControl w:val="0"/>
        <w:ind w:left="2880" w:hanging="2880"/>
        <w:jc w:val="both"/>
        <w:rPr>
          <w:rFonts w:eastAsia="Times New Roman" w:cs="Times New Roman"/>
          <w:sz w:val="20"/>
          <w:szCs w:val="20"/>
          <w:lang w:eastAsia="en-CA"/>
        </w:rPr>
      </w:pPr>
    </w:p>
    <w:p w:rsidR="00920628" w:rsidRPr="00920628" w:rsidRDefault="00920628" w:rsidP="00920628">
      <w:pPr>
        <w:widowControl w:val="0"/>
        <w:ind w:left="2880" w:hanging="2880"/>
        <w:jc w:val="both"/>
        <w:rPr>
          <w:rFonts w:eastAsia="Times New Roman" w:cs="Times New Roman"/>
          <w:sz w:val="20"/>
          <w:szCs w:val="20"/>
          <w:lang w:eastAsia="en-CA"/>
        </w:rPr>
      </w:pPr>
      <w:r w:rsidRPr="00920628">
        <w:rPr>
          <w:rFonts w:eastAsia="Times New Roman" w:cs="Times New Roman"/>
          <w:sz w:val="20"/>
          <w:szCs w:val="20"/>
          <w:lang w:eastAsia="en-CA"/>
        </w:rPr>
        <w:t>File No.:</w:t>
      </w:r>
      <w:r w:rsidRPr="00920628">
        <w:rPr>
          <w:rFonts w:eastAsia="Times New Roman" w:cs="Times New Roman"/>
          <w:sz w:val="20"/>
          <w:szCs w:val="20"/>
          <w:lang w:eastAsia="en-CA"/>
        </w:rPr>
        <w:tab/>
        <w:t>35548</w:t>
      </w:r>
    </w:p>
    <w:p w:rsidR="00920628" w:rsidRPr="00920628" w:rsidRDefault="00920628" w:rsidP="00920628">
      <w:pPr>
        <w:widowControl w:val="0"/>
        <w:ind w:left="2880" w:hanging="2880"/>
        <w:jc w:val="both"/>
        <w:rPr>
          <w:rFonts w:eastAsia="Times New Roman" w:cs="Times New Roman"/>
          <w:sz w:val="20"/>
          <w:szCs w:val="20"/>
          <w:lang w:eastAsia="en-CA"/>
        </w:rPr>
      </w:pPr>
    </w:p>
    <w:p w:rsidR="00920628" w:rsidRPr="00920628" w:rsidRDefault="00920628" w:rsidP="00920628">
      <w:pPr>
        <w:widowControl w:val="0"/>
        <w:ind w:left="2880" w:hanging="2880"/>
        <w:jc w:val="both"/>
        <w:rPr>
          <w:rFonts w:eastAsia="Times New Roman" w:cs="Times New Roman"/>
          <w:sz w:val="20"/>
          <w:szCs w:val="20"/>
          <w:lang w:eastAsia="en-CA"/>
        </w:rPr>
      </w:pPr>
      <w:r w:rsidRPr="00920628">
        <w:rPr>
          <w:rFonts w:eastAsia="Times New Roman" w:cs="Times New Roman"/>
          <w:sz w:val="20"/>
          <w:szCs w:val="20"/>
          <w:lang w:eastAsia="en-CA"/>
        </w:rPr>
        <w:t>Judgment of the Court of Appeal:</w:t>
      </w:r>
      <w:r w:rsidRPr="00920628">
        <w:rPr>
          <w:rFonts w:eastAsia="Times New Roman" w:cs="Times New Roman"/>
          <w:sz w:val="20"/>
          <w:szCs w:val="20"/>
          <w:lang w:eastAsia="en-CA"/>
        </w:rPr>
        <w:tab/>
        <w:t>July 31, 2013</w:t>
      </w:r>
    </w:p>
    <w:p w:rsidR="00920628" w:rsidRPr="00920628" w:rsidRDefault="00920628" w:rsidP="00920628">
      <w:pPr>
        <w:widowControl w:val="0"/>
        <w:ind w:left="2880" w:hanging="2880"/>
        <w:jc w:val="both"/>
        <w:rPr>
          <w:rFonts w:eastAsia="Times New Roman" w:cs="Times New Roman"/>
          <w:sz w:val="20"/>
          <w:szCs w:val="20"/>
          <w:lang w:eastAsia="en-CA"/>
        </w:rPr>
      </w:pPr>
    </w:p>
    <w:p w:rsidR="00920628" w:rsidRPr="00920628" w:rsidRDefault="00920628" w:rsidP="00920628">
      <w:pPr>
        <w:widowControl w:val="0"/>
        <w:ind w:left="2880" w:hanging="2880"/>
        <w:jc w:val="both"/>
        <w:rPr>
          <w:rFonts w:eastAsia="Times New Roman" w:cs="Times New Roman"/>
          <w:sz w:val="20"/>
          <w:szCs w:val="20"/>
          <w:lang w:eastAsia="en-CA"/>
        </w:rPr>
      </w:pPr>
      <w:r w:rsidRPr="00920628">
        <w:rPr>
          <w:rFonts w:eastAsia="Times New Roman" w:cs="Times New Roman"/>
          <w:sz w:val="20"/>
          <w:szCs w:val="20"/>
          <w:lang w:eastAsia="en-CA"/>
        </w:rPr>
        <w:t>Counsel:</w:t>
      </w:r>
      <w:r w:rsidRPr="00920628">
        <w:rPr>
          <w:rFonts w:eastAsia="Times New Roman" w:cs="Times New Roman"/>
          <w:sz w:val="20"/>
          <w:szCs w:val="20"/>
          <w:lang w:eastAsia="en-CA"/>
        </w:rPr>
        <w:tab/>
        <w:t xml:space="preserve">Ginette </w:t>
      </w:r>
      <w:proofErr w:type="spellStart"/>
      <w:r w:rsidRPr="00920628">
        <w:rPr>
          <w:rFonts w:eastAsia="Times New Roman" w:cs="Times New Roman"/>
          <w:sz w:val="20"/>
          <w:szCs w:val="20"/>
          <w:lang w:eastAsia="en-CA"/>
        </w:rPr>
        <w:t>Gobeil</w:t>
      </w:r>
      <w:proofErr w:type="spellEnd"/>
      <w:r w:rsidRPr="00920628">
        <w:rPr>
          <w:rFonts w:eastAsia="Times New Roman" w:cs="Times New Roman"/>
          <w:sz w:val="20"/>
          <w:szCs w:val="20"/>
          <w:lang w:eastAsia="en-CA"/>
        </w:rPr>
        <w:t xml:space="preserve"> and Marc Ribeiro for the appellant</w:t>
      </w:r>
    </w:p>
    <w:p w:rsidR="00920628" w:rsidRPr="00920628" w:rsidRDefault="00920628" w:rsidP="00920628">
      <w:pPr>
        <w:widowControl w:val="0"/>
        <w:ind w:left="2880" w:hanging="2880"/>
        <w:jc w:val="both"/>
        <w:rPr>
          <w:rFonts w:eastAsia="Times New Roman" w:cs="Times New Roman"/>
          <w:sz w:val="20"/>
          <w:szCs w:val="20"/>
          <w:lang w:eastAsia="en-CA"/>
        </w:rPr>
      </w:pPr>
      <w:r w:rsidRPr="00920628">
        <w:rPr>
          <w:rFonts w:eastAsia="Times New Roman" w:cs="Times New Roman"/>
          <w:sz w:val="20"/>
          <w:szCs w:val="20"/>
          <w:lang w:eastAsia="en-CA"/>
        </w:rPr>
        <w:tab/>
        <w:t xml:space="preserve">Clemente </w:t>
      </w:r>
      <w:proofErr w:type="spellStart"/>
      <w:r w:rsidRPr="00920628">
        <w:rPr>
          <w:rFonts w:eastAsia="Times New Roman" w:cs="Times New Roman"/>
          <w:sz w:val="20"/>
          <w:szCs w:val="20"/>
          <w:lang w:eastAsia="en-CA"/>
        </w:rPr>
        <w:t>Monterosso</w:t>
      </w:r>
      <w:proofErr w:type="spellEnd"/>
      <w:r w:rsidRPr="00920628">
        <w:rPr>
          <w:rFonts w:eastAsia="Times New Roman" w:cs="Times New Roman"/>
          <w:sz w:val="20"/>
          <w:szCs w:val="20"/>
          <w:lang w:eastAsia="en-CA"/>
        </w:rPr>
        <w:t xml:space="preserve"> for the respondent</w:t>
      </w:r>
    </w:p>
    <w:p w:rsidR="00CC3535" w:rsidRPr="00920628"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81"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920628" w:rsidRPr="00920628" w:rsidRDefault="00BD696F" w:rsidP="00920628">
      <w:pPr>
        <w:widowControl w:val="0"/>
        <w:ind w:left="720" w:hanging="720"/>
        <w:jc w:val="both"/>
        <w:rPr>
          <w:rFonts w:eastAsia="Times New Roman" w:cs="Times New Roman"/>
          <w:sz w:val="20"/>
          <w:szCs w:val="20"/>
          <w:lang w:val="fr-CA" w:eastAsia="en-CA"/>
        </w:rPr>
      </w:pPr>
      <w:r w:rsidRPr="00920628">
        <w:rPr>
          <w:rFonts w:eastAsia="Times New Roman" w:cs="Times New Roman"/>
          <w:b/>
          <w:sz w:val="20"/>
          <w:szCs w:val="20"/>
          <w:lang w:val="fr-CA" w:eastAsia="en-CA"/>
        </w:rPr>
        <w:lastRenderedPageBreak/>
        <w:fldChar w:fldCharType="begin"/>
      </w:r>
      <w:r w:rsidR="00920628" w:rsidRPr="00920628">
        <w:rPr>
          <w:rFonts w:eastAsia="Times New Roman" w:cs="Times New Roman"/>
          <w:b/>
          <w:sz w:val="20"/>
          <w:szCs w:val="20"/>
          <w:lang w:val="fr-CA" w:eastAsia="en-CA"/>
        </w:rPr>
        <w:instrText xml:space="preserve"> SEQ CHAPTER \h \r 1</w:instrText>
      </w:r>
      <w:r w:rsidRPr="00920628">
        <w:rPr>
          <w:rFonts w:eastAsia="Times New Roman" w:cs="Times New Roman"/>
          <w:b/>
          <w:sz w:val="20"/>
          <w:szCs w:val="20"/>
          <w:lang w:val="fr-CA" w:eastAsia="en-CA"/>
        </w:rPr>
        <w:fldChar w:fldCharType="end"/>
      </w:r>
      <w:r w:rsidR="00920628" w:rsidRPr="00920628">
        <w:rPr>
          <w:rFonts w:eastAsia="Times New Roman" w:cs="Times New Roman"/>
          <w:b/>
          <w:sz w:val="20"/>
          <w:szCs w:val="20"/>
          <w:lang w:val="fr-CA" w:eastAsia="en-CA"/>
        </w:rPr>
        <w:t>35548</w:t>
      </w:r>
      <w:r w:rsidR="00920628" w:rsidRPr="00920628">
        <w:rPr>
          <w:rFonts w:eastAsia="Times New Roman" w:cs="Times New Roman"/>
          <w:sz w:val="20"/>
          <w:szCs w:val="20"/>
          <w:lang w:val="fr-CA" w:eastAsia="en-CA"/>
        </w:rPr>
        <w:tab/>
      </w:r>
      <w:r w:rsidR="00920628" w:rsidRPr="00920628">
        <w:rPr>
          <w:rFonts w:eastAsia="Times New Roman" w:cs="Times New Roman"/>
          <w:b/>
          <w:i/>
          <w:sz w:val="20"/>
          <w:szCs w:val="20"/>
          <w:lang w:val="fr-CA" w:eastAsia="en-CA"/>
        </w:rPr>
        <w:t>Procureur général du Canada c. Anthony Barnaby</w:t>
      </w:r>
    </w:p>
    <w:p w:rsidR="00920628" w:rsidRPr="00920628" w:rsidRDefault="00920628" w:rsidP="00920628">
      <w:pPr>
        <w:widowControl w:val="0"/>
        <w:jc w:val="both"/>
        <w:rPr>
          <w:rFonts w:eastAsia="Times New Roman" w:cs="Times New Roman"/>
          <w:sz w:val="20"/>
          <w:szCs w:val="20"/>
          <w:lang w:val="fr-CA" w:eastAsia="en-CA"/>
        </w:rPr>
      </w:pPr>
    </w:p>
    <w:p w:rsidR="00920628" w:rsidRPr="00920628" w:rsidRDefault="00920628" w:rsidP="00920628">
      <w:pPr>
        <w:jc w:val="both"/>
        <w:rPr>
          <w:rFonts w:eastAsia="Times New Roman" w:cs="Times New Roman"/>
          <w:sz w:val="20"/>
          <w:szCs w:val="20"/>
          <w:lang w:val="fr-CA" w:eastAsia="en-CA"/>
        </w:rPr>
      </w:pPr>
      <w:r w:rsidRPr="00920628">
        <w:rPr>
          <w:rFonts w:eastAsia="Times New Roman" w:cs="Times New Roman"/>
          <w:sz w:val="20"/>
          <w:szCs w:val="20"/>
          <w:lang w:val="fr-CA" w:eastAsia="en-CA"/>
        </w:rPr>
        <w:t xml:space="preserve">Extradition - Droit criminel - Arrêté d’extradition - Contrôle judiciaire - La Cour d’appel a-t-elle mal interprété les nouveaux éléments de preuve? - La Cour d’appel a-t-elle eu tort de conclure que l’arrêt d’extradition de l’intimé aux États-Unis était déraisonnable? </w:t>
      </w:r>
    </w:p>
    <w:p w:rsidR="00920628" w:rsidRPr="00920628" w:rsidRDefault="00920628" w:rsidP="00920628">
      <w:pPr>
        <w:widowControl w:val="0"/>
        <w:jc w:val="both"/>
        <w:rPr>
          <w:rFonts w:eastAsia="Times New Roman" w:cs="Times New Roman"/>
          <w:sz w:val="20"/>
          <w:szCs w:val="20"/>
          <w:lang w:val="fr-CA" w:eastAsia="en-CA"/>
        </w:rPr>
      </w:pPr>
    </w:p>
    <w:p w:rsidR="00920628" w:rsidRPr="00920628" w:rsidRDefault="00920628" w:rsidP="00920628">
      <w:pPr>
        <w:jc w:val="both"/>
        <w:rPr>
          <w:rFonts w:eastAsia="Times New Roman" w:cs="Times New Roman"/>
          <w:sz w:val="20"/>
          <w:szCs w:val="20"/>
          <w:lang w:val="fr-CA" w:eastAsia="en-CA"/>
        </w:rPr>
      </w:pPr>
      <w:r w:rsidRPr="00920628">
        <w:rPr>
          <w:rFonts w:eastAsia="Times New Roman" w:cs="Times New Roman"/>
          <w:sz w:val="20"/>
          <w:szCs w:val="20"/>
          <w:lang w:val="fr-CA" w:eastAsia="en-CA"/>
        </w:rPr>
        <w:t xml:space="preserve">Les États-Unis d’Amérique demandent l’extradition de l’intimé pour qu’il soit traduit en justice dans l’État du New Hampshire. L’intimé et un complice, David </w:t>
      </w:r>
      <w:proofErr w:type="spellStart"/>
      <w:r w:rsidRPr="00920628">
        <w:rPr>
          <w:rFonts w:eastAsia="Times New Roman" w:cs="Times New Roman"/>
          <w:sz w:val="20"/>
          <w:szCs w:val="20"/>
          <w:lang w:val="fr-CA" w:eastAsia="en-CA"/>
        </w:rPr>
        <w:t>Caplin</w:t>
      </w:r>
      <w:proofErr w:type="spellEnd"/>
      <w:r w:rsidRPr="00920628">
        <w:rPr>
          <w:rFonts w:eastAsia="Times New Roman" w:cs="Times New Roman"/>
          <w:sz w:val="20"/>
          <w:szCs w:val="20"/>
          <w:lang w:val="fr-CA" w:eastAsia="en-CA"/>
        </w:rPr>
        <w:t xml:space="preserve">, sont accusés des meurtres aux premier et deuxième degrés de Charlene </w:t>
      </w:r>
      <w:proofErr w:type="spellStart"/>
      <w:r w:rsidRPr="00920628">
        <w:rPr>
          <w:rFonts w:eastAsia="Times New Roman" w:cs="Times New Roman"/>
          <w:sz w:val="20"/>
          <w:szCs w:val="20"/>
          <w:lang w:val="fr-CA" w:eastAsia="en-CA"/>
        </w:rPr>
        <w:t>Ranstrom</w:t>
      </w:r>
      <w:proofErr w:type="spellEnd"/>
      <w:r w:rsidRPr="00920628">
        <w:rPr>
          <w:rFonts w:eastAsia="Times New Roman" w:cs="Times New Roman"/>
          <w:sz w:val="20"/>
          <w:szCs w:val="20"/>
          <w:lang w:val="fr-CA" w:eastAsia="en-CA"/>
        </w:rPr>
        <w:t xml:space="preserve"> et de Brenda Warner, qui ont toutes deux été poignardées à mort dans leur appartement durant la nuit du 2 au 3 octobre, 1988 à Nashua (New Hampshire).</w:t>
      </w:r>
    </w:p>
    <w:p w:rsidR="00920628" w:rsidRPr="00920628" w:rsidRDefault="00920628" w:rsidP="00920628">
      <w:pPr>
        <w:jc w:val="both"/>
        <w:rPr>
          <w:rFonts w:eastAsia="Times New Roman" w:cs="Times New Roman"/>
          <w:sz w:val="20"/>
          <w:szCs w:val="20"/>
          <w:lang w:val="fr-CA" w:eastAsia="en-CA"/>
        </w:rPr>
      </w:pPr>
    </w:p>
    <w:p w:rsidR="00920628" w:rsidRPr="00920628" w:rsidRDefault="00920628" w:rsidP="00920628">
      <w:pPr>
        <w:jc w:val="both"/>
        <w:rPr>
          <w:rFonts w:eastAsia="Times New Roman" w:cs="Times New Roman"/>
          <w:sz w:val="20"/>
          <w:szCs w:val="20"/>
          <w:lang w:val="fr-CA" w:eastAsia="en-CA"/>
        </w:rPr>
      </w:pPr>
      <w:r w:rsidRPr="00920628">
        <w:rPr>
          <w:rFonts w:eastAsia="Times New Roman" w:cs="Times New Roman"/>
          <w:sz w:val="20"/>
          <w:szCs w:val="20"/>
          <w:lang w:val="fr-CA" w:eastAsia="en-CA"/>
        </w:rPr>
        <w:t>En 1989, l’intimé a été formellement accusé sous deux chefs de meurtre au premier degré. Il a subi trois procès, en 1989 et en 1990. Au terme de chacun des procès, le jury s’est retrouvé dans une impasse, faute de verdict unanime. Au terme du troisième procès, la poursuite a inscrit un refus de poursuivre, abandonnant les accusations portées contre l’intimé.</w:t>
      </w:r>
    </w:p>
    <w:p w:rsidR="00920628" w:rsidRPr="00920628" w:rsidRDefault="00920628" w:rsidP="00920628">
      <w:pPr>
        <w:jc w:val="both"/>
        <w:rPr>
          <w:rFonts w:eastAsia="Times New Roman" w:cs="Times New Roman"/>
          <w:sz w:val="20"/>
          <w:szCs w:val="20"/>
          <w:lang w:val="fr-CA" w:eastAsia="en-CA"/>
        </w:rPr>
      </w:pPr>
    </w:p>
    <w:p w:rsidR="00920628" w:rsidRPr="00920628" w:rsidRDefault="00920628" w:rsidP="00920628">
      <w:pPr>
        <w:jc w:val="both"/>
        <w:rPr>
          <w:rFonts w:eastAsia="Times New Roman" w:cs="Times New Roman"/>
          <w:sz w:val="20"/>
          <w:szCs w:val="20"/>
          <w:lang w:val="fr-CA" w:eastAsia="en-CA"/>
        </w:rPr>
      </w:pPr>
      <w:r w:rsidRPr="00920628">
        <w:rPr>
          <w:rFonts w:eastAsia="Times New Roman" w:cs="Times New Roman"/>
          <w:sz w:val="20"/>
          <w:szCs w:val="20"/>
          <w:lang w:val="fr-CA" w:eastAsia="en-CA"/>
        </w:rPr>
        <w:t xml:space="preserve">En 2010, les autorités du New Hampshire ont rouvert leur enquête et, en 2011, des éléments de preuve provenant des lieux du crime ont été soumis pour analyses génétiques qui n’étaient pas disponibles à l’époque de l’enquête initiale. Le profil du complice de l’intimé, M. </w:t>
      </w:r>
      <w:proofErr w:type="spellStart"/>
      <w:r w:rsidRPr="00920628">
        <w:rPr>
          <w:rFonts w:eastAsia="Times New Roman" w:cs="Times New Roman"/>
          <w:sz w:val="20"/>
          <w:szCs w:val="20"/>
          <w:lang w:val="fr-CA" w:eastAsia="en-CA"/>
        </w:rPr>
        <w:t>Caplin</w:t>
      </w:r>
      <w:proofErr w:type="spellEnd"/>
      <w:r w:rsidRPr="00920628">
        <w:rPr>
          <w:rFonts w:eastAsia="Times New Roman" w:cs="Times New Roman"/>
          <w:sz w:val="20"/>
          <w:szCs w:val="20"/>
          <w:lang w:val="fr-CA" w:eastAsia="en-CA"/>
        </w:rPr>
        <w:t xml:space="preserve">, a été identifié. Les témoins ont été joints de nouveau et ils ont fourni des renseignements supplémentaires. Un nouveau mandat d’arrêt contre l’intimé a été obtenu. </w:t>
      </w:r>
    </w:p>
    <w:p w:rsidR="00920628" w:rsidRPr="00920628" w:rsidRDefault="00920628" w:rsidP="00920628">
      <w:pPr>
        <w:jc w:val="both"/>
        <w:rPr>
          <w:rFonts w:eastAsia="Times New Roman" w:cs="Times New Roman"/>
          <w:sz w:val="20"/>
          <w:szCs w:val="20"/>
          <w:lang w:val="fr-CA" w:eastAsia="en-CA"/>
        </w:rPr>
      </w:pPr>
    </w:p>
    <w:p w:rsidR="00920628" w:rsidRPr="00920628" w:rsidRDefault="00920628" w:rsidP="00920628">
      <w:pPr>
        <w:jc w:val="both"/>
        <w:rPr>
          <w:rFonts w:eastAsia="Times New Roman" w:cs="Times New Roman"/>
          <w:sz w:val="20"/>
          <w:szCs w:val="20"/>
          <w:lang w:val="fr-CA" w:eastAsia="en-CA"/>
        </w:rPr>
      </w:pPr>
      <w:r w:rsidRPr="00920628">
        <w:rPr>
          <w:rFonts w:eastAsia="Times New Roman" w:cs="Times New Roman"/>
          <w:sz w:val="20"/>
          <w:szCs w:val="20"/>
          <w:lang w:val="fr-CA" w:eastAsia="en-CA"/>
        </w:rPr>
        <w:t xml:space="preserve">En juin 2011, un arrêté introductif d’instance a été pris en application de la </w:t>
      </w:r>
      <w:r w:rsidRPr="00920628">
        <w:rPr>
          <w:rFonts w:eastAsia="Times New Roman" w:cs="Times New Roman"/>
          <w:i/>
          <w:sz w:val="20"/>
          <w:szCs w:val="20"/>
          <w:lang w:val="fr-CA" w:eastAsia="en-CA"/>
        </w:rPr>
        <w:t>Loi sur l’extradition</w:t>
      </w:r>
      <w:r w:rsidRPr="00920628">
        <w:rPr>
          <w:rFonts w:eastAsia="Times New Roman" w:cs="Times New Roman"/>
          <w:sz w:val="20"/>
          <w:szCs w:val="20"/>
          <w:lang w:val="fr-CA" w:eastAsia="en-CA"/>
        </w:rPr>
        <w:t>, L.C. 1999, ch. 18, autorisant l’introduction de la procédure d’extradition de l’intimé en Cour supérieure du Québec. En septembre 2011, cette cour a jugé qu’il y avait suffisamment d’éléments de preuve pour incarcérer l’intimé. En mars 2012, le ministre de la Justice a signé un arrêt d’extradition de l’intimé vers les États-Unis. En juillet 2013, la Cour d’appel du Québec a accueilli la demande de contrôle judiciaire de la décision du ministre présentée par l’intimé et a annulé l’arrêt d’extradition.</w:t>
      </w:r>
    </w:p>
    <w:p w:rsidR="00920628" w:rsidRPr="00920628" w:rsidRDefault="00920628" w:rsidP="00920628">
      <w:pPr>
        <w:widowControl w:val="0"/>
        <w:jc w:val="both"/>
        <w:rPr>
          <w:rFonts w:eastAsia="Times New Roman" w:cs="Times New Roman"/>
          <w:sz w:val="20"/>
          <w:szCs w:val="20"/>
          <w:lang w:val="fr-CA" w:eastAsia="en-CA"/>
        </w:rPr>
      </w:pPr>
    </w:p>
    <w:p w:rsidR="00920628" w:rsidRPr="00920628" w:rsidRDefault="00920628" w:rsidP="00920628">
      <w:pPr>
        <w:widowControl w:val="0"/>
        <w:jc w:val="both"/>
        <w:rPr>
          <w:rFonts w:eastAsia="Times New Roman" w:cs="Times New Roman"/>
          <w:sz w:val="20"/>
          <w:szCs w:val="20"/>
          <w:lang w:val="fr-CA" w:eastAsia="en-CA"/>
        </w:rPr>
      </w:pPr>
    </w:p>
    <w:p w:rsidR="00920628" w:rsidRPr="00920628" w:rsidRDefault="00920628" w:rsidP="00920628">
      <w:pPr>
        <w:widowControl w:val="0"/>
        <w:ind w:left="2880" w:hanging="2880"/>
        <w:jc w:val="both"/>
        <w:rPr>
          <w:rFonts w:eastAsia="Times New Roman" w:cs="Times New Roman"/>
          <w:sz w:val="20"/>
          <w:szCs w:val="20"/>
          <w:lang w:val="fr-CA" w:eastAsia="en-CA"/>
        </w:rPr>
      </w:pPr>
      <w:r w:rsidRPr="00920628">
        <w:rPr>
          <w:rFonts w:eastAsia="Times New Roman" w:cs="Times New Roman"/>
          <w:sz w:val="20"/>
          <w:szCs w:val="20"/>
          <w:lang w:val="fr-CA" w:eastAsia="en-CA"/>
        </w:rPr>
        <w:t>Origine :</w:t>
      </w:r>
      <w:r w:rsidRPr="00920628">
        <w:rPr>
          <w:rFonts w:eastAsia="Times New Roman" w:cs="Times New Roman"/>
          <w:sz w:val="20"/>
          <w:szCs w:val="20"/>
          <w:lang w:val="fr-CA" w:eastAsia="en-CA"/>
        </w:rPr>
        <w:tab/>
        <w:t>Québec</w:t>
      </w:r>
    </w:p>
    <w:p w:rsidR="00920628" w:rsidRPr="00920628" w:rsidRDefault="00920628" w:rsidP="00920628">
      <w:pPr>
        <w:widowControl w:val="0"/>
        <w:ind w:left="2880" w:hanging="2880"/>
        <w:jc w:val="both"/>
        <w:rPr>
          <w:rFonts w:eastAsia="Times New Roman" w:cs="Times New Roman"/>
          <w:sz w:val="20"/>
          <w:szCs w:val="20"/>
          <w:lang w:val="fr-CA" w:eastAsia="en-CA"/>
        </w:rPr>
      </w:pPr>
    </w:p>
    <w:p w:rsidR="00920628" w:rsidRPr="00920628" w:rsidRDefault="00920628" w:rsidP="00920628">
      <w:pPr>
        <w:widowControl w:val="0"/>
        <w:ind w:left="2880" w:hanging="2880"/>
        <w:jc w:val="both"/>
        <w:rPr>
          <w:rFonts w:eastAsia="Times New Roman" w:cs="Times New Roman"/>
          <w:sz w:val="20"/>
          <w:szCs w:val="20"/>
          <w:lang w:val="fr-CA" w:eastAsia="en-CA"/>
        </w:rPr>
      </w:pPr>
      <w:r w:rsidRPr="00920628">
        <w:rPr>
          <w:rFonts w:eastAsia="Times New Roman" w:cs="Times New Roman"/>
          <w:sz w:val="20"/>
          <w:szCs w:val="20"/>
          <w:lang w:val="fr-CA" w:eastAsia="en-CA"/>
        </w:rPr>
        <w:t>N</w:t>
      </w:r>
      <w:r w:rsidRPr="00920628">
        <w:rPr>
          <w:rFonts w:eastAsia="Times New Roman" w:cs="Times New Roman"/>
          <w:sz w:val="20"/>
          <w:szCs w:val="20"/>
          <w:vertAlign w:val="superscript"/>
          <w:lang w:val="fr-CA" w:eastAsia="en-CA"/>
        </w:rPr>
        <w:t>o</w:t>
      </w:r>
      <w:r w:rsidRPr="00920628">
        <w:rPr>
          <w:rFonts w:eastAsia="Times New Roman" w:cs="Times New Roman"/>
          <w:sz w:val="20"/>
          <w:szCs w:val="20"/>
          <w:lang w:val="fr-CA" w:eastAsia="en-CA"/>
        </w:rPr>
        <w:t xml:space="preserve"> du greffe :</w:t>
      </w:r>
      <w:r w:rsidRPr="00920628">
        <w:rPr>
          <w:rFonts w:eastAsia="Times New Roman" w:cs="Times New Roman"/>
          <w:sz w:val="20"/>
          <w:szCs w:val="20"/>
          <w:lang w:val="fr-CA" w:eastAsia="en-CA"/>
        </w:rPr>
        <w:tab/>
        <w:t>35548</w:t>
      </w:r>
    </w:p>
    <w:p w:rsidR="00920628" w:rsidRPr="00920628" w:rsidRDefault="00920628" w:rsidP="00920628">
      <w:pPr>
        <w:widowControl w:val="0"/>
        <w:ind w:left="2880" w:hanging="2880"/>
        <w:jc w:val="both"/>
        <w:rPr>
          <w:rFonts w:eastAsia="Times New Roman" w:cs="Times New Roman"/>
          <w:sz w:val="20"/>
          <w:szCs w:val="20"/>
          <w:lang w:val="fr-CA" w:eastAsia="en-CA"/>
        </w:rPr>
      </w:pPr>
    </w:p>
    <w:p w:rsidR="00920628" w:rsidRPr="00920628" w:rsidRDefault="00920628" w:rsidP="00920628">
      <w:pPr>
        <w:widowControl w:val="0"/>
        <w:ind w:left="2880" w:hanging="2880"/>
        <w:jc w:val="both"/>
        <w:rPr>
          <w:rFonts w:eastAsia="Times New Roman" w:cs="Times New Roman"/>
          <w:sz w:val="20"/>
          <w:szCs w:val="20"/>
          <w:lang w:val="fr-CA" w:eastAsia="en-CA"/>
        </w:rPr>
      </w:pPr>
      <w:r w:rsidRPr="00920628">
        <w:rPr>
          <w:rFonts w:eastAsia="Times New Roman" w:cs="Times New Roman"/>
          <w:sz w:val="20"/>
          <w:szCs w:val="20"/>
          <w:lang w:val="fr-CA" w:eastAsia="en-CA"/>
        </w:rPr>
        <w:t>Arrêt de la Cour d’appel :</w:t>
      </w:r>
      <w:r w:rsidRPr="00920628">
        <w:rPr>
          <w:rFonts w:eastAsia="Times New Roman" w:cs="Times New Roman"/>
          <w:sz w:val="20"/>
          <w:szCs w:val="20"/>
          <w:lang w:val="fr-CA" w:eastAsia="en-CA"/>
        </w:rPr>
        <w:tab/>
        <w:t>le 31 juillet 2013</w:t>
      </w:r>
    </w:p>
    <w:p w:rsidR="00920628" w:rsidRPr="00920628" w:rsidRDefault="00920628" w:rsidP="00920628">
      <w:pPr>
        <w:widowControl w:val="0"/>
        <w:ind w:left="2880" w:hanging="2880"/>
        <w:jc w:val="both"/>
        <w:rPr>
          <w:rFonts w:eastAsia="Times New Roman" w:cs="Times New Roman"/>
          <w:sz w:val="20"/>
          <w:szCs w:val="20"/>
          <w:lang w:val="fr-CA" w:eastAsia="en-CA"/>
        </w:rPr>
      </w:pPr>
    </w:p>
    <w:p w:rsidR="00920628" w:rsidRPr="00920628" w:rsidRDefault="00920628" w:rsidP="00920628">
      <w:pPr>
        <w:widowControl w:val="0"/>
        <w:ind w:left="2880" w:hanging="2880"/>
        <w:jc w:val="both"/>
        <w:rPr>
          <w:rFonts w:eastAsia="Times New Roman" w:cs="Times New Roman"/>
          <w:sz w:val="20"/>
          <w:szCs w:val="20"/>
          <w:lang w:val="fr-CA" w:eastAsia="en-CA"/>
        </w:rPr>
      </w:pPr>
      <w:r w:rsidRPr="00920628">
        <w:rPr>
          <w:rFonts w:eastAsia="Times New Roman" w:cs="Times New Roman"/>
          <w:sz w:val="20"/>
          <w:szCs w:val="20"/>
          <w:lang w:val="fr-CA" w:eastAsia="en-CA"/>
        </w:rPr>
        <w:t>Avocats :</w:t>
      </w:r>
      <w:r w:rsidRPr="00920628">
        <w:rPr>
          <w:rFonts w:eastAsia="Times New Roman" w:cs="Times New Roman"/>
          <w:sz w:val="20"/>
          <w:szCs w:val="20"/>
          <w:lang w:val="fr-CA" w:eastAsia="en-CA"/>
        </w:rPr>
        <w:tab/>
        <w:t xml:space="preserve">Ginette </w:t>
      </w:r>
      <w:proofErr w:type="spellStart"/>
      <w:r w:rsidRPr="00920628">
        <w:rPr>
          <w:rFonts w:eastAsia="Times New Roman" w:cs="Times New Roman"/>
          <w:sz w:val="20"/>
          <w:szCs w:val="20"/>
          <w:lang w:val="fr-CA" w:eastAsia="en-CA"/>
        </w:rPr>
        <w:t>Gobeil</w:t>
      </w:r>
      <w:proofErr w:type="spellEnd"/>
      <w:r w:rsidRPr="00920628">
        <w:rPr>
          <w:rFonts w:eastAsia="Times New Roman" w:cs="Times New Roman"/>
          <w:sz w:val="20"/>
          <w:szCs w:val="20"/>
          <w:lang w:val="fr-CA" w:eastAsia="en-CA"/>
        </w:rPr>
        <w:t xml:space="preserve"> et Marc Ribeiro pour l’appelant</w:t>
      </w:r>
    </w:p>
    <w:p w:rsidR="00920628" w:rsidRPr="00920628" w:rsidRDefault="00920628" w:rsidP="00920628">
      <w:pPr>
        <w:widowControl w:val="0"/>
        <w:ind w:left="2880" w:hanging="2880"/>
        <w:jc w:val="both"/>
        <w:rPr>
          <w:rFonts w:eastAsia="Times New Roman" w:cs="Times New Roman"/>
          <w:sz w:val="20"/>
          <w:szCs w:val="20"/>
          <w:lang w:val="fr-CA" w:eastAsia="en-CA"/>
        </w:rPr>
      </w:pPr>
      <w:r w:rsidRPr="00920628">
        <w:rPr>
          <w:rFonts w:eastAsia="Times New Roman" w:cs="Times New Roman"/>
          <w:sz w:val="20"/>
          <w:szCs w:val="20"/>
          <w:lang w:val="fr-CA" w:eastAsia="en-CA"/>
        </w:rPr>
        <w:tab/>
      </w:r>
      <w:proofErr w:type="spellStart"/>
      <w:r w:rsidRPr="00920628">
        <w:rPr>
          <w:rFonts w:eastAsia="Times New Roman" w:cs="Times New Roman"/>
          <w:sz w:val="20"/>
          <w:szCs w:val="20"/>
          <w:lang w:val="fr-CA" w:eastAsia="en-CA"/>
        </w:rPr>
        <w:t>Clemente</w:t>
      </w:r>
      <w:proofErr w:type="spellEnd"/>
      <w:r w:rsidRPr="00920628">
        <w:rPr>
          <w:rFonts w:eastAsia="Times New Roman" w:cs="Times New Roman"/>
          <w:sz w:val="20"/>
          <w:szCs w:val="20"/>
          <w:lang w:val="fr-CA" w:eastAsia="en-CA"/>
        </w:rPr>
        <w:t xml:space="preserve"> </w:t>
      </w:r>
      <w:proofErr w:type="spellStart"/>
      <w:r w:rsidRPr="00920628">
        <w:rPr>
          <w:rFonts w:eastAsia="Times New Roman" w:cs="Times New Roman"/>
          <w:sz w:val="20"/>
          <w:szCs w:val="20"/>
          <w:lang w:val="fr-CA" w:eastAsia="en-CA"/>
        </w:rPr>
        <w:t>Monterosso</w:t>
      </w:r>
      <w:proofErr w:type="spellEnd"/>
      <w:r w:rsidRPr="00920628">
        <w:rPr>
          <w:rFonts w:eastAsia="Times New Roman" w:cs="Times New Roman"/>
          <w:sz w:val="20"/>
          <w:szCs w:val="20"/>
          <w:lang w:val="fr-CA" w:eastAsia="en-CA"/>
        </w:rPr>
        <w:t xml:space="preserve"> pour 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82"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9B30A7" w:rsidRPr="009B30A7" w:rsidRDefault="00BD696F" w:rsidP="009B30A7">
      <w:pPr>
        <w:widowControl w:val="0"/>
        <w:ind w:left="720" w:hanging="720"/>
        <w:jc w:val="both"/>
        <w:rPr>
          <w:rFonts w:eastAsia="Times New Roman" w:cs="Times New Roman"/>
          <w:sz w:val="20"/>
          <w:szCs w:val="20"/>
          <w:lang w:eastAsia="en-CA"/>
        </w:rPr>
      </w:pPr>
      <w:r w:rsidRPr="009B30A7">
        <w:rPr>
          <w:rFonts w:eastAsia="Times New Roman" w:cs="Times New Roman"/>
          <w:b/>
          <w:sz w:val="20"/>
          <w:szCs w:val="20"/>
          <w:lang w:eastAsia="en-CA"/>
        </w:rPr>
        <w:lastRenderedPageBreak/>
        <w:fldChar w:fldCharType="begin"/>
      </w:r>
      <w:r w:rsidR="009B30A7" w:rsidRPr="009B30A7">
        <w:rPr>
          <w:rFonts w:eastAsia="Times New Roman" w:cs="Times New Roman"/>
          <w:b/>
          <w:sz w:val="20"/>
          <w:szCs w:val="20"/>
          <w:lang w:val="en-US" w:eastAsia="en-CA"/>
        </w:rPr>
        <w:instrText xml:space="preserve"> SEQ CHAPTER \h \r 1</w:instrText>
      </w:r>
      <w:r w:rsidRPr="009B30A7">
        <w:rPr>
          <w:rFonts w:eastAsia="Times New Roman" w:cs="Times New Roman"/>
          <w:b/>
          <w:sz w:val="20"/>
          <w:szCs w:val="20"/>
          <w:lang w:val="en-US" w:eastAsia="en-CA"/>
        </w:rPr>
        <w:fldChar w:fldCharType="end"/>
      </w:r>
      <w:r w:rsidR="009B30A7" w:rsidRPr="009B30A7">
        <w:rPr>
          <w:rFonts w:eastAsia="Times New Roman" w:cs="Times New Roman"/>
          <w:b/>
          <w:sz w:val="20"/>
          <w:szCs w:val="20"/>
          <w:lang w:eastAsia="en-CA"/>
        </w:rPr>
        <w:t>35947</w:t>
      </w:r>
      <w:r w:rsidR="009B30A7" w:rsidRPr="009B30A7">
        <w:rPr>
          <w:rFonts w:eastAsia="Times New Roman" w:cs="Times New Roman"/>
          <w:sz w:val="20"/>
          <w:szCs w:val="20"/>
          <w:lang w:eastAsia="en-CA"/>
        </w:rPr>
        <w:tab/>
      </w:r>
      <w:r w:rsidR="009B30A7" w:rsidRPr="009B30A7">
        <w:rPr>
          <w:rFonts w:eastAsia="Times New Roman" w:cs="Times New Roman"/>
          <w:b/>
          <w:i/>
          <w:sz w:val="20"/>
          <w:szCs w:val="20"/>
          <w:lang w:eastAsia="en-CA"/>
        </w:rPr>
        <w:t xml:space="preserve">Her Majesty the Queen v. Jason </w:t>
      </w:r>
      <w:proofErr w:type="spellStart"/>
      <w:r w:rsidR="009B30A7" w:rsidRPr="009B30A7">
        <w:rPr>
          <w:rFonts w:eastAsia="Times New Roman" w:cs="Times New Roman"/>
          <w:b/>
          <w:i/>
          <w:sz w:val="20"/>
          <w:szCs w:val="20"/>
          <w:lang w:eastAsia="en-CA"/>
        </w:rPr>
        <w:t>Rodgerson</w:t>
      </w:r>
      <w:proofErr w:type="spellEnd"/>
    </w:p>
    <w:p w:rsidR="009B30A7" w:rsidRPr="009B30A7" w:rsidRDefault="009B30A7" w:rsidP="009B30A7">
      <w:pPr>
        <w:widowControl w:val="0"/>
        <w:jc w:val="both"/>
        <w:rPr>
          <w:rFonts w:eastAsia="Times New Roman" w:cs="Times New Roman"/>
          <w:sz w:val="20"/>
          <w:szCs w:val="20"/>
          <w:lang w:eastAsia="en-CA"/>
        </w:rPr>
      </w:pPr>
    </w:p>
    <w:p w:rsidR="009B30A7" w:rsidRPr="009B30A7" w:rsidRDefault="009B30A7" w:rsidP="009B30A7">
      <w:pPr>
        <w:widowControl w:val="0"/>
        <w:jc w:val="both"/>
        <w:rPr>
          <w:rFonts w:eastAsia="Times New Roman" w:cs="Times New Roman"/>
          <w:sz w:val="20"/>
          <w:szCs w:val="20"/>
          <w:lang w:eastAsia="en-CA"/>
        </w:rPr>
      </w:pPr>
      <w:r w:rsidRPr="009B30A7">
        <w:rPr>
          <w:rFonts w:eastAsia="Times New Roman" w:cs="Times New Roman"/>
          <w:sz w:val="20"/>
          <w:szCs w:val="20"/>
          <w:lang w:eastAsia="en-CA"/>
        </w:rPr>
        <w:t xml:space="preserve">Criminal law - Evidence - Post-offence conduct - Curative proviso - Whether the majority of the Court of Appeal erred in law by finding reversible error in the jury charge because the judge failed to explain to the jury the mandatory reasoning process through which it could consider the relevant post-offence conduct in assessing the issue of intent for murder - Whether the majority erred in law by failing to apply the curative proviso in s. 686(1)(b)(iii) of the </w:t>
      </w:r>
      <w:r w:rsidRPr="009B30A7">
        <w:rPr>
          <w:rFonts w:eastAsia="Times New Roman" w:cs="Times New Roman"/>
          <w:i/>
          <w:sz w:val="20"/>
          <w:szCs w:val="20"/>
          <w:lang w:eastAsia="en-CA"/>
        </w:rPr>
        <w:t>Criminal Code</w:t>
      </w:r>
      <w:r w:rsidRPr="009B30A7">
        <w:rPr>
          <w:rFonts w:eastAsia="Times New Roman" w:cs="Times New Roman"/>
          <w:sz w:val="20"/>
          <w:szCs w:val="20"/>
          <w:lang w:eastAsia="en-CA"/>
        </w:rPr>
        <w:t xml:space="preserve">, R.S.C. 1985, c. C-46. </w:t>
      </w:r>
    </w:p>
    <w:p w:rsidR="009B30A7" w:rsidRPr="009B30A7" w:rsidRDefault="009B30A7" w:rsidP="009B30A7">
      <w:pPr>
        <w:widowControl w:val="0"/>
        <w:jc w:val="both"/>
        <w:rPr>
          <w:rFonts w:eastAsia="Times New Roman" w:cs="Times New Roman"/>
          <w:sz w:val="20"/>
          <w:szCs w:val="20"/>
          <w:lang w:eastAsia="en-CA"/>
        </w:rPr>
      </w:pPr>
    </w:p>
    <w:p w:rsidR="009B30A7" w:rsidRPr="009B30A7" w:rsidRDefault="009B30A7" w:rsidP="009B30A7">
      <w:pPr>
        <w:widowControl w:val="0"/>
        <w:jc w:val="both"/>
        <w:rPr>
          <w:rFonts w:eastAsia="Times New Roman" w:cs="Times New Roman"/>
          <w:sz w:val="20"/>
          <w:szCs w:val="20"/>
          <w:lang w:eastAsia="en-CA"/>
        </w:rPr>
      </w:pPr>
      <w:r w:rsidRPr="009B30A7">
        <w:rPr>
          <w:rFonts w:eastAsia="Times New Roman" w:cs="Times New Roman"/>
          <w:sz w:val="20"/>
          <w:szCs w:val="20"/>
          <w:lang w:eastAsia="en-CA"/>
        </w:rPr>
        <w:t xml:space="preserve">The respondent was convicted of second degree murder.  He killed a woman he met at a bar and buried her body outside in a shallow grave behind his garage.  At trial, the respondent argued that the forensic evidence supported his version of the events which was that a short altercation occurred in the bedroom, during which he was attacked and stabbed by the victim.  The respondent argued that in an attempt to defend himself, he inadvertently smothered the victim by placing his arm across her nose and mouth.  A majority of the Court of Appeal allowed the respondent’s appeal from conviction and ordered a new trial.  In its view, the trial judge committed two errors.  First, he misdirected the jury to consider the respondent’s flight and lies to police on the issue of intent for murder.  Second, while the respondent’s efforts to bury the body and clean up the scene were potentially probative of the respondent’s state of mind at the time he killed the victim, the trial judge failed to adequately instruct the jury on how that evidence could be used. MacPherson J.A., dissenting, would have dismissed the appeal. </w:t>
      </w:r>
    </w:p>
    <w:p w:rsidR="009B30A7" w:rsidRPr="009B30A7" w:rsidRDefault="009B30A7" w:rsidP="009B30A7">
      <w:pPr>
        <w:widowControl w:val="0"/>
        <w:jc w:val="both"/>
        <w:rPr>
          <w:rFonts w:eastAsia="Times New Roman" w:cs="Times New Roman"/>
          <w:sz w:val="20"/>
          <w:szCs w:val="20"/>
          <w:lang w:eastAsia="en-CA"/>
        </w:rPr>
      </w:pPr>
    </w:p>
    <w:p w:rsidR="009B30A7" w:rsidRPr="009B30A7" w:rsidRDefault="009B30A7" w:rsidP="009B30A7">
      <w:pPr>
        <w:widowControl w:val="0"/>
        <w:jc w:val="both"/>
        <w:rPr>
          <w:rFonts w:eastAsia="Times New Roman" w:cs="Times New Roman"/>
          <w:sz w:val="20"/>
          <w:szCs w:val="20"/>
          <w:lang w:eastAsia="en-CA"/>
        </w:rPr>
      </w:pPr>
    </w:p>
    <w:p w:rsidR="009B30A7" w:rsidRPr="009B30A7" w:rsidRDefault="009B30A7" w:rsidP="009B30A7">
      <w:pPr>
        <w:widowControl w:val="0"/>
        <w:ind w:left="2880" w:hanging="2880"/>
        <w:jc w:val="both"/>
        <w:rPr>
          <w:rFonts w:eastAsia="Times New Roman" w:cs="Times New Roman"/>
          <w:sz w:val="20"/>
          <w:szCs w:val="20"/>
          <w:lang w:eastAsia="en-CA"/>
        </w:rPr>
      </w:pPr>
      <w:r w:rsidRPr="009B30A7">
        <w:rPr>
          <w:rFonts w:eastAsia="Times New Roman" w:cs="Times New Roman"/>
          <w:sz w:val="20"/>
          <w:szCs w:val="20"/>
          <w:lang w:eastAsia="en-CA"/>
        </w:rPr>
        <w:t>Origin of the case:</w:t>
      </w:r>
      <w:r w:rsidRPr="009B30A7">
        <w:rPr>
          <w:rFonts w:eastAsia="Times New Roman" w:cs="Times New Roman"/>
          <w:sz w:val="20"/>
          <w:szCs w:val="20"/>
          <w:lang w:eastAsia="en-CA"/>
        </w:rPr>
        <w:tab/>
        <w:t>Ontario</w:t>
      </w:r>
    </w:p>
    <w:p w:rsidR="009B30A7" w:rsidRPr="009B30A7" w:rsidRDefault="009B30A7" w:rsidP="009B30A7">
      <w:pPr>
        <w:widowControl w:val="0"/>
        <w:ind w:left="2880" w:hanging="2880"/>
        <w:jc w:val="both"/>
        <w:rPr>
          <w:rFonts w:eastAsia="Times New Roman" w:cs="Times New Roman"/>
          <w:sz w:val="20"/>
          <w:szCs w:val="20"/>
          <w:lang w:eastAsia="en-CA"/>
        </w:rPr>
      </w:pPr>
    </w:p>
    <w:p w:rsidR="009B30A7" w:rsidRPr="009B30A7" w:rsidRDefault="009B30A7" w:rsidP="009B30A7">
      <w:pPr>
        <w:widowControl w:val="0"/>
        <w:ind w:left="2880" w:hanging="2880"/>
        <w:jc w:val="both"/>
        <w:rPr>
          <w:rFonts w:eastAsia="Times New Roman" w:cs="Times New Roman"/>
          <w:sz w:val="20"/>
          <w:szCs w:val="20"/>
          <w:lang w:eastAsia="en-CA"/>
        </w:rPr>
      </w:pPr>
      <w:r w:rsidRPr="009B30A7">
        <w:rPr>
          <w:rFonts w:eastAsia="Times New Roman" w:cs="Times New Roman"/>
          <w:sz w:val="20"/>
          <w:szCs w:val="20"/>
          <w:lang w:eastAsia="en-CA"/>
        </w:rPr>
        <w:t>File No.:</w:t>
      </w:r>
      <w:r w:rsidRPr="009B30A7">
        <w:rPr>
          <w:rFonts w:eastAsia="Times New Roman" w:cs="Times New Roman"/>
          <w:sz w:val="20"/>
          <w:szCs w:val="20"/>
          <w:lang w:eastAsia="en-CA"/>
        </w:rPr>
        <w:tab/>
        <w:t>35947</w:t>
      </w:r>
    </w:p>
    <w:p w:rsidR="009B30A7" w:rsidRPr="009B30A7" w:rsidRDefault="009B30A7" w:rsidP="009B30A7">
      <w:pPr>
        <w:widowControl w:val="0"/>
        <w:ind w:left="2880" w:hanging="2880"/>
        <w:jc w:val="both"/>
        <w:rPr>
          <w:rFonts w:eastAsia="Times New Roman" w:cs="Times New Roman"/>
          <w:sz w:val="20"/>
          <w:szCs w:val="20"/>
          <w:lang w:eastAsia="en-CA"/>
        </w:rPr>
      </w:pPr>
    </w:p>
    <w:p w:rsidR="009B30A7" w:rsidRPr="009B30A7" w:rsidRDefault="009B30A7" w:rsidP="009B30A7">
      <w:pPr>
        <w:widowControl w:val="0"/>
        <w:ind w:left="2880" w:hanging="2880"/>
        <w:jc w:val="both"/>
        <w:rPr>
          <w:rFonts w:eastAsia="Times New Roman" w:cs="Times New Roman"/>
          <w:sz w:val="20"/>
          <w:szCs w:val="20"/>
          <w:lang w:eastAsia="en-CA"/>
        </w:rPr>
      </w:pPr>
      <w:r w:rsidRPr="009B30A7">
        <w:rPr>
          <w:rFonts w:eastAsia="Times New Roman" w:cs="Times New Roman"/>
          <w:sz w:val="20"/>
          <w:szCs w:val="20"/>
          <w:lang w:eastAsia="en-CA"/>
        </w:rPr>
        <w:t>Judgment of the Court of Appeal:</w:t>
      </w:r>
      <w:r w:rsidRPr="009B30A7">
        <w:rPr>
          <w:rFonts w:eastAsia="Times New Roman" w:cs="Times New Roman"/>
          <w:sz w:val="20"/>
          <w:szCs w:val="20"/>
          <w:lang w:eastAsia="en-CA"/>
        </w:rPr>
        <w:tab/>
        <w:t>May 8, 2014</w:t>
      </w:r>
    </w:p>
    <w:p w:rsidR="009B30A7" w:rsidRPr="009B30A7" w:rsidRDefault="009B30A7" w:rsidP="009B30A7">
      <w:pPr>
        <w:widowControl w:val="0"/>
        <w:ind w:left="2880" w:hanging="2880"/>
        <w:jc w:val="both"/>
        <w:rPr>
          <w:rFonts w:eastAsia="Times New Roman" w:cs="Times New Roman"/>
          <w:sz w:val="20"/>
          <w:szCs w:val="20"/>
          <w:lang w:eastAsia="en-CA"/>
        </w:rPr>
      </w:pPr>
    </w:p>
    <w:p w:rsidR="009B30A7" w:rsidRPr="009B30A7" w:rsidRDefault="009B30A7" w:rsidP="009B30A7">
      <w:pPr>
        <w:widowControl w:val="0"/>
        <w:ind w:left="2880" w:hanging="2880"/>
        <w:jc w:val="both"/>
        <w:rPr>
          <w:rFonts w:eastAsia="Times New Roman" w:cs="Times New Roman"/>
          <w:sz w:val="20"/>
          <w:szCs w:val="20"/>
          <w:lang w:eastAsia="en-CA"/>
        </w:rPr>
      </w:pPr>
      <w:r w:rsidRPr="009B30A7">
        <w:rPr>
          <w:rFonts w:eastAsia="Times New Roman" w:cs="Times New Roman"/>
          <w:sz w:val="20"/>
          <w:szCs w:val="20"/>
          <w:lang w:eastAsia="en-CA"/>
        </w:rPr>
        <w:t>Counsel:</w:t>
      </w:r>
      <w:r w:rsidRPr="009B30A7">
        <w:rPr>
          <w:rFonts w:eastAsia="Times New Roman" w:cs="Times New Roman"/>
          <w:sz w:val="20"/>
          <w:szCs w:val="20"/>
          <w:lang w:eastAsia="en-CA"/>
        </w:rPr>
        <w:tab/>
        <w:t>Megan Stephens for the appellant</w:t>
      </w:r>
    </w:p>
    <w:p w:rsidR="009B30A7" w:rsidRPr="009B30A7" w:rsidRDefault="009B30A7" w:rsidP="009B30A7">
      <w:pPr>
        <w:widowControl w:val="0"/>
        <w:ind w:left="2880" w:hanging="2880"/>
        <w:jc w:val="both"/>
        <w:rPr>
          <w:rFonts w:eastAsia="Times New Roman" w:cs="Times New Roman"/>
          <w:sz w:val="20"/>
          <w:szCs w:val="20"/>
          <w:lang w:eastAsia="en-CA"/>
        </w:rPr>
      </w:pPr>
      <w:r w:rsidRPr="009B30A7">
        <w:rPr>
          <w:rFonts w:eastAsia="Times New Roman" w:cs="Times New Roman"/>
          <w:sz w:val="20"/>
          <w:szCs w:val="20"/>
          <w:lang w:eastAsia="en-CA"/>
        </w:rPr>
        <w:tab/>
        <w:t>Catriona Verner for the respondent</w:t>
      </w:r>
    </w:p>
    <w:p w:rsidR="00CC3535" w:rsidRPr="009B30A7"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83"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rsidP="000B3C9A">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9B30A7" w:rsidRPr="009B30A7" w:rsidRDefault="009B30A7" w:rsidP="009B30A7">
      <w:pPr>
        <w:widowControl w:val="0"/>
        <w:ind w:left="567" w:hanging="567"/>
        <w:jc w:val="both"/>
        <w:rPr>
          <w:rFonts w:eastAsia="Calibri" w:cs="Times New Roman"/>
          <w:b/>
          <w:i/>
          <w:sz w:val="20"/>
          <w:szCs w:val="20"/>
          <w:lang w:val="fr-CA"/>
        </w:rPr>
      </w:pPr>
      <w:r w:rsidRPr="009B30A7">
        <w:rPr>
          <w:rFonts w:eastAsia="Calibri" w:cs="Times New Roman"/>
          <w:b/>
          <w:sz w:val="20"/>
          <w:szCs w:val="20"/>
          <w:lang w:val="fr-CA"/>
        </w:rPr>
        <w:lastRenderedPageBreak/>
        <w:t>35947</w:t>
      </w:r>
      <w:r w:rsidRPr="009B30A7">
        <w:rPr>
          <w:rFonts w:eastAsia="Calibri" w:cs="Times New Roman"/>
          <w:b/>
          <w:sz w:val="20"/>
          <w:szCs w:val="20"/>
          <w:lang w:val="fr-CA"/>
        </w:rPr>
        <w:tab/>
      </w:r>
      <w:r w:rsidRPr="009B30A7">
        <w:rPr>
          <w:rFonts w:eastAsia="Calibri" w:cs="Times New Roman"/>
          <w:b/>
          <w:i/>
          <w:sz w:val="20"/>
          <w:szCs w:val="20"/>
          <w:lang w:val="fr-CA"/>
        </w:rPr>
        <w:t xml:space="preserve">Sa </w:t>
      </w:r>
      <w:r w:rsidRPr="009B30A7">
        <w:rPr>
          <w:rFonts w:eastAsia="Times New Roman" w:cs="Times New Roman"/>
          <w:b/>
          <w:i/>
          <w:sz w:val="20"/>
          <w:szCs w:val="20"/>
          <w:lang w:val="fr-CA" w:eastAsia="en-CA"/>
        </w:rPr>
        <w:t>Majesté</w:t>
      </w:r>
      <w:r w:rsidRPr="009B30A7">
        <w:rPr>
          <w:rFonts w:eastAsia="Calibri" w:cs="Times New Roman"/>
          <w:b/>
          <w:i/>
          <w:sz w:val="20"/>
          <w:szCs w:val="20"/>
          <w:lang w:val="fr-CA"/>
        </w:rPr>
        <w:t xml:space="preserve"> la Reine c. Jason </w:t>
      </w:r>
      <w:proofErr w:type="spellStart"/>
      <w:r w:rsidRPr="009B30A7">
        <w:rPr>
          <w:rFonts w:eastAsia="Calibri" w:cs="Times New Roman"/>
          <w:b/>
          <w:i/>
          <w:sz w:val="20"/>
          <w:szCs w:val="20"/>
          <w:lang w:val="fr-CA"/>
        </w:rPr>
        <w:t>Rodgerson</w:t>
      </w:r>
      <w:proofErr w:type="spellEnd"/>
    </w:p>
    <w:p w:rsidR="009B30A7" w:rsidRPr="009B30A7" w:rsidRDefault="009B30A7" w:rsidP="009B30A7">
      <w:pPr>
        <w:widowControl w:val="0"/>
        <w:ind w:left="567" w:hanging="567"/>
        <w:jc w:val="both"/>
        <w:rPr>
          <w:rFonts w:eastAsia="Calibri" w:cs="Times New Roman"/>
          <w:b/>
          <w:sz w:val="20"/>
          <w:szCs w:val="20"/>
          <w:lang w:val="fr-CA"/>
        </w:rPr>
      </w:pPr>
    </w:p>
    <w:p w:rsidR="009B30A7" w:rsidRPr="009B30A7" w:rsidRDefault="009B30A7" w:rsidP="009B30A7">
      <w:pPr>
        <w:widowControl w:val="0"/>
        <w:jc w:val="both"/>
        <w:rPr>
          <w:rFonts w:eastAsia="Calibri" w:cs="Times New Roman"/>
          <w:sz w:val="20"/>
          <w:szCs w:val="20"/>
          <w:lang w:val="fr-CA"/>
        </w:rPr>
      </w:pPr>
      <w:r w:rsidRPr="009B30A7">
        <w:rPr>
          <w:rFonts w:eastAsia="Calibri" w:cs="Times New Roman"/>
          <w:sz w:val="20"/>
          <w:szCs w:val="20"/>
          <w:lang w:val="fr-CA"/>
        </w:rPr>
        <w:t xml:space="preserve">Droit criminel - Preuve - Comportement postérieur à l’infraction - Disposition réparatrice - Les juges majoritaires de la cour d’appel ont-ils commis une erreur de droit en concluant que les directives du juge au jury comportaient une erreur justifiant l’annulation de la décision parce que le juge </w:t>
      </w:r>
      <w:r w:rsidRPr="009B30A7">
        <w:rPr>
          <w:rFonts w:eastAsia="Times New Roman" w:cs="Times New Roman"/>
          <w:sz w:val="20"/>
          <w:szCs w:val="20"/>
          <w:lang w:val="fr-CA" w:eastAsia="en-CA"/>
        </w:rPr>
        <w:t>n’avait</w:t>
      </w:r>
      <w:r w:rsidRPr="009B30A7">
        <w:rPr>
          <w:rFonts w:eastAsia="Calibri" w:cs="Times New Roman"/>
          <w:sz w:val="20"/>
          <w:szCs w:val="20"/>
          <w:lang w:val="fr-CA"/>
        </w:rPr>
        <w:t xml:space="preserve"> pas expliqué au jury le raisonnement qu’il devait appliquer à la prise en compte du comportement postérieur à l’infraction dans l’appréciation de la question de l’intention de commettre un meurtre? - Les juges majoritaires ont-ils commis une erreur de droit lorsqu’ils n’ont pas appliqué la disposition réparatrice du sous-al. 686(1)</w:t>
      </w:r>
      <w:r w:rsidRPr="009B30A7">
        <w:rPr>
          <w:rFonts w:eastAsia="Calibri" w:cs="Times New Roman"/>
          <w:i/>
          <w:sz w:val="20"/>
          <w:szCs w:val="20"/>
          <w:lang w:val="fr-CA"/>
        </w:rPr>
        <w:t>b</w:t>
      </w:r>
      <w:proofErr w:type="gramStart"/>
      <w:r w:rsidRPr="009B30A7">
        <w:rPr>
          <w:rFonts w:eastAsia="Calibri" w:cs="Times New Roman"/>
          <w:sz w:val="20"/>
          <w:szCs w:val="20"/>
          <w:lang w:val="fr-CA"/>
        </w:rPr>
        <w:t>)(</w:t>
      </w:r>
      <w:proofErr w:type="gramEnd"/>
      <w:r w:rsidRPr="009B30A7">
        <w:rPr>
          <w:rFonts w:eastAsia="Calibri" w:cs="Times New Roman"/>
          <w:sz w:val="20"/>
          <w:szCs w:val="20"/>
          <w:lang w:val="fr-CA"/>
        </w:rPr>
        <w:t xml:space="preserve">iii) du </w:t>
      </w:r>
      <w:r w:rsidRPr="009B30A7">
        <w:rPr>
          <w:rFonts w:eastAsia="Calibri" w:cs="Times New Roman"/>
          <w:i/>
          <w:sz w:val="20"/>
          <w:szCs w:val="20"/>
          <w:lang w:val="fr-CA"/>
        </w:rPr>
        <w:t>Code criminel</w:t>
      </w:r>
      <w:r w:rsidRPr="009B30A7">
        <w:rPr>
          <w:rFonts w:eastAsia="Calibri" w:cs="Times New Roman"/>
          <w:sz w:val="20"/>
          <w:szCs w:val="20"/>
          <w:lang w:val="fr-CA"/>
        </w:rPr>
        <w:t>, L.R.C. 1985, ch. C-46?</w:t>
      </w:r>
    </w:p>
    <w:p w:rsidR="009B30A7" w:rsidRPr="009B30A7" w:rsidRDefault="009B30A7" w:rsidP="009B30A7">
      <w:pPr>
        <w:widowControl w:val="0"/>
        <w:jc w:val="both"/>
        <w:rPr>
          <w:rFonts w:eastAsia="Calibri" w:cs="Times New Roman"/>
          <w:sz w:val="20"/>
          <w:szCs w:val="20"/>
          <w:lang w:val="fr-CA"/>
        </w:rPr>
      </w:pPr>
    </w:p>
    <w:p w:rsidR="009B30A7" w:rsidRPr="009B30A7" w:rsidRDefault="009B30A7" w:rsidP="009B30A7">
      <w:pPr>
        <w:widowControl w:val="0"/>
        <w:jc w:val="both"/>
        <w:rPr>
          <w:rFonts w:eastAsia="Calibri" w:cs="Times New Roman"/>
          <w:sz w:val="20"/>
          <w:szCs w:val="20"/>
          <w:lang w:val="fr-CA"/>
        </w:rPr>
      </w:pPr>
      <w:r w:rsidRPr="009B30A7">
        <w:rPr>
          <w:rFonts w:eastAsia="Calibri" w:cs="Times New Roman"/>
          <w:sz w:val="20"/>
          <w:szCs w:val="20"/>
          <w:lang w:val="fr-CA"/>
        </w:rPr>
        <w:t xml:space="preserve">L’intimé a été reconnu coupable de meurtre au deuxième degré.  Il a tué une femme rencontrée dans un bar et a enterré son corps dans une tombe peu profonde derrière son garage.  Au procès, l’intimé a plaidé que la preuve médico-légale appuyait sa version des faits, selon laquelle lors d’une courte altercation dans la chambre à coucher, la victime l’avait attaqué et poignardé. L’intimé a affirmé qu’en tentant se défendre, il a étouffé la victime par mégarde en plaçant son bras sur son nez et sa bouche.  Les juges majoritaires de la Cour d’appel ont accueilli l’appel interjeté par l’intimé à l’encontre de la déclaration de culpabilité et ont ordonné la tenue d’un nouveau procès.  À leur avis, le juge du procès a commis deux erreurs.  Premièrement, il a erronément demandé au jury de prendre en considération la fuite de l’intimé et ses mensonges aux policiers relativement à la question de l’intention de commettre un meurtre.  Deuxièmement, même si les efforts de l’intimé pour enterrer le corps et nettoyer la scène pouvaient éventuellement servir à prouver l’état d’esprit de l’intimé au moment où il a tué la victime, le juge du procès n’a pas donné des directives adéquates au jury sur la manière dont cette preuve pouvait être utilisée.  Le juge </w:t>
      </w:r>
      <w:proofErr w:type="spellStart"/>
      <w:r w:rsidRPr="009B30A7">
        <w:rPr>
          <w:rFonts w:eastAsia="Calibri" w:cs="Times New Roman"/>
          <w:sz w:val="20"/>
          <w:szCs w:val="20"/>
          <w:lang w:val="fr-CA"/>
        </w:rPr>
        <w:t>MacPherson</w:t>
      </w:r>
      <w:proofErr w:type="spellEnd"/>
      <w:r w:rsidRPr="009B30A7">
        <w:rPr>
          <w:rFonts w:eastAsia="Calibri" w:cs="Times New Roman"/>
          <w:sz w:val="20"/>
          <w:szCs w:val="20"/>
          <w:lang w:val="fr-CA"/>
        </w:rPr>
        <w:t>, dissident, aurait rejeté l’appel.</w:t>
      </w:r>
    </w:p>
    <w:p w:rsidR="009B30A7" w:rsidRPr="009B30A7" w:rsidRDefault="009B30A7" w:rsidP="009B30A7">
      <w:pPr>
        <w:rPr>
          <w:rFonts w:eastAsia="Calibri" w:cs="Times New Roman"/>
          <w:sz w:val="20"/>
          <w:szCs w:val="20"/>
          <w:lang w:val="fr-CA"/>
        </w:rPr>
      </w:pPr>
    </w:p>
    <w:p w:rsidR="009B30A7" w:rsidRPr="009B30A7" w:rsidRDefault="009B30A7" w:rsidP="009B30A7">
      <w:pPr>
        <w:rPr>
          <w:rFonts w:eastAsia="Calibri" w:cs="Times New Roman"/>
          <w:sz w:val="20"/>
          <w:szCs w:val="20"/>
          <w:lang w:val="fr-CA"/>
        </w:rPr>
      </w:pPr>
    </w:p>
    <w:p w:rsidR="009B30A7" w:rsidRPr="009B30A7" w:rsidRDefault="009B30A7" w:rsidP="009B30A7">
      <w:pPr>
        <w:widowControl w:val="0"/>
        <w:ind w:left="2880" w:hanging="2880"/>
        <w:jc w:val="both"/>
        <w:rPr>
          <w:rFonts w:eastAsia="Calibri" w:cs="Times New Roman"/>
          <w:sz w:val="20"/>
          <w:szCs w:val="20"/>
          <w:lang w:val="fr-CA"/>
        </w:rPr>
      </w:pPr>
      <w:r w:rsidRPr="009B30A7">
        <w:rPr>
          <w:rFonts w:eastAsia="Calibri" w:cs="Times New Roman"/>
          <w:sz w:val="20"/>
          <w:szCs w:val="20"/>
          <w:lang w:val="fr-CA"/>
        </w:rPr>
        <w:t>Origine :</w:t>
      </w:r>
      <w:r w:rsidRPr="009B30A7">
        <w:rPr>
          <w:rFonts w:eastAsia="Calibri" w:cs="Times New Roman"/>
          <w:sz w:val="20"/>
          <w:szCs w:val="20"/>
          <w:lang w:val="fr-CA"/>
        </w:rPr>
        <w:tab/>
        <w:t>Ontario</w:t>
      </w:r>
    </w:p>
    <w:p w:rsidR="009B30A7" w:rsidRPr="009B30A7" w:rsidRDefault="009B30A7" w:rsidP="009B30A7">
      <w:pPr>
        <w:widowControl w:val="0"/>
        <w:ind w:left="2880" w:hanging="2880"/>
        <w:jc w:val="both"/>
        <w:rPr>
          <w:rFonts w:eastAsia="Calibri" w:cs="Times New Roman"/>
          <w:sz w:val="20"/>
          <w:szCs w:val="20"/>
          <w:lang w:val="fr-CA"/>
        </w:rPr>
      </w:pPr>
    </w:p>
    <w:p w:rsidR="009B30A7" w:rsidRPr="009B30A7" w:rsidRDefault="009B30A7" w:rsidP="009B30A7">
      <w:pPr>
        <w:widowControl w:val="0"/>
        <w:ind w:left="2880" w:hanging="2880"/>
        <w:jc w:val="both"/>
        <w:rPr>
          <w:rFonts w:eastAsia="Calibri" w:cs="Times New Roman"/>
          <w:sz w:val="20"/>
          <w:szCs w:val="20"/>
          <w:lang w:val="fr-CA"/>
        </w:rPr>
      </w:pPr>
      <w:r w:rsidRPr="009B30A7">
        <w:rPr>
          <w:rFonts w:eastAsia="Calibri" w:cs="Times New Roman"/>
          <w:sz w:val="20"/>
          <w:szCs w:val="20"/>
          <w:lang w:val="fr-CA"/>
        </w:rPr>
        <w:t>N</w:t>
      </w:r>
      <w:r w:rsidRPr="009B30A7">
        <w:rPr>
          <w:rFonts w:eastAsia="Calibri" w:cs="Times New Roman"/>
          <w:sz w:val="20"/>
          <w:szCs w:val="20"/>
          <w:vertAlign w:val="superscript"/>
          <w:lang w:val="fr-CA"/>
        </w:rPr>
        <w:t>o</w:t>
      </w:r>
      <w:r w:rsidRPr="009B30A7">
        <w:rPr>
          <w:rFonts w:eastAsia="Calibri" w:cs="Times New Roman"/>
          <w:sz w:val="20"/>
          <w:szCs w:val="20"/>
          <w:lang w:val="fr-CA"/>
        </w:rPr>
        <w:t xml:space="preserve"> du greffe :</w:t>
      </w:r>
      <w:r w:rsidRPr="009B30A7">
        <w:rPr>
          <w:rFonts w:eastAsia="Calibri" w:cs="Times New Roman"/>
          <w:sz w:val="20"/>
          <w:szCs w:val="20"/>
          <w:lang w:val="fr-CA"/>
        </w:rPr>
        <w:tab/>
        <w:t>35947</w:t>
      </w:r>
    </w:p>
    <w:p w:rsidR="009B30A7" w:rsidRPr="009B30A7" w:rsidRDefault="009B30A7" w:rsidP="009B30A7">
      <w:pPr>
        <w:widowControl w:val="0"/>
        <w:ind w:left="2880" w:hanging="2880"/>
        <w:jc w:val="both"/>
        <w:rPr>
          <w:rFonts w:eastAsia="Calibri" w:cs="Times New Roman"/>
          <w:sz w:val="20"/>
          <w:szCs w:val="20"/>
          <w:lang w:val="fr-CA"/>
        </w:rPr>
      </w:pPr>
    </w:p>
    <w:p w:rsidR="009B30A7" w:rsidRPr="009B30A7" w:rsidRDefault="009B30A7" w:rsidP="009B30A7">
      <w:pPr>
        <w:widowControl w:val="0"/>
        <w:ind w:left="2880" w:hanging="2880"/>
        <w:jc w:val="both"/>
        <w:rPr>
          <w:rFonts w:eastAsia="Calibri" w:cs="Times New Roman"/>
          <w:sz w:val="20"/>
          <w:szCs w:val="20"/>
          <w:lang w:val="fr-CA"/>
        </w:rPr>
      </w:pPr>
      <w:r w:rsidRPr="009B30A7">
        <w:rPr>
          <w:rFonts w:eastAsia="Calibri" w:cs="Times New Roman"/>
          <w:sz w:val="20"/>
          <w:szCs w:val="20"/>
          <w:lang w:val="fr-CA"/>
        </w:rPr>
        <w:t>Arrêt de la Cour d’appel :</w:t>
      </w:r>
      <w:r w:rsidRPr="009B30A7">
        <w:rPr>
          <w:rFonts w:eastAsia="Calibri" w:cs="Times New Roman"/>
          <w:sz w:val="20"/>
          <w:szCs w:val="20"/>
          <w:lang w:val="fr-CA"/>
        </w:rPr>
        <w:tab/>
        <w:t>le 8 mai 2014</w:t>
      </w:r>
    </w:p>
    <w:p w:rsidR="009B30A7" w:rsidRPr="009B30A7" w:rsidRDefault="009B30A7" w:rsidP="009B30A7">
      <w:pPr>
        <w:widowControl w:val="0"/>
        <w:ind w:left="2880" w:hanging="2880"/>
        <w:jc w:val="both"/>
        <w:rPr>
          <w:rFonts w:eastAsia="Calibri" w:cs="Times New Roman"/>
          <w:sz w:val="20"/>
          <w:szCs w:val="20"/>
          <w:lang w:val="fr-CA"/>
        </w:rPr>
      </w:pPr>
    </w:p>
    <w:p w:rsidR="009B30A7" w:rsidRPr="009B30A7" w:rsidRDefault="009B30A7" w:rsidP="009B30A7">
      <w:pPr>
        <w:widowControl w:val="0"/>
        <w:ind w:left="2880" w:hanging="2880"/>
        <w:jc w:val="both"/>
        <w:rPr>
          <w:rFonts w:eastAsia="Calibri" w:cs="Times New Roman"/>
          <w:sz w:val="20"/>
          <w:szCs w:val="20"/>
          <w:lang w:val="fr-CA"/>
        </w:rPr>
      </w:pPr>
      <w:r w:rsidRPr="009B30A7">
        <w:rPr>
          <w:rFonts w:eastAsia="Calibri" w:cs="Times New Roman"/>
          <w:sz w:val="20"/>
          <w:szCs w:val="20"/>
          <w:lang w:val="fr-CA"/>
        </w:rPr>
        <w:t>Avocats :</w:t>
      </w:r>
      <w:r w:rsidRPr="009B30A7">
        <w:rPr>
          <w:rFonts w:eastAsia="Calibri" w:cs="Times New Roman"/>
          <w:sz w:val="20"/>
          <w:szCs w:val="20"/>
          <w:lang w:val="fr-CA"/>
        </w:rPr>
        <w:tab/>
        <w:t>Megan Stephens pour l’appelante</w:t>
      </w:r>
    </w:p>
    <w:p w:rsidR="009B30A7" w:rsidRPr="009B30A7" w:rsidRDefault="009B30A7" w:rsidP="009B30A7">
      <w:pPr>
        <w:spacing w:after="200"/>
        <w:ind w:left="2880" w:hanging="2880"/>
        <w:rPr>
          <w:rFonts w:eastAsia="Calibri" w:cs="Times New Roman"/>
          <w:sz w:val="20"/>
          <w:szCs w:val="20"/>
          <w:lang w:val="fr-CA"/>
        </w:rPr>
      </w:pPr>
      <w:r w:rsidRPr="009B30A7">
        <w:rPr>
          <w:rFonts w:eastAsia="Calibri" w:cs="Times New Roman"/>
          <w:sz w:val="20"/>
          <w:szCs w:val="20"/>
          <w:lang w:val="fr-CA"/>
        </w:rPr>
        <w:tab/>
        <w:t xml:space="preserve">Catriona </w:t>
      </w:r>
      <w:proofErr w:type="spellStart"/>
      <w:r w:rsidRPr="009B30A7">
        <w:rPr>
          <w:rFonts w:eastAsia="Calibri" w:cs="Times New Roman"/>
          <w:sz w:val="20"/>
          <w:szCs w:val="20"/>
          <w:lang w:val="fr-CA"/>
        </w:rPr>
        <w:t>Verner</w:t>
      </w:r>
      <w:proofErr w:type="spellEnd"/>
      <w:r w:rsidRPr="009B30A7">
        <w:rPr>
          <w:rFonts w:eastAsia="Calibri" w:cs="Times New Roman"/>
          <w:sz w:val="20"/>
          <w:szCs w:val="20"/>
          <w:lang w:val="fr-CA"/>
        </w:rPr>
        <w:t xml:space="preserve"> pour 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84"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F4AA5" w:rsidRPr="00DC6331" w:rsidRDefault="00BD696F" w:rsidP="00BF4AA5">
      <w:pPr>
        <w:widowControl w:val="0"/>
        <w:ind w:left="720" w:hanging="720"/>
        <w:contextualSpacing/>
        <w:jc w:val="both"/>
        <w:rPr>
          <w:rFonts w:eastAsia="Times New Roman" w:cs="Times New Roman"/>
          <w:sz w:val="20"/>
          <w:szCs w:val="20"/>
          <w:lang w:eastAsia="en-CA"/>
        </w:rPr>
      </w:pPr>
      <w:r w:rsidRPr="00DC6331">
        <w:rPr>
          <w:rFonts w:eastAsia="Times New Roman" w:cs="Times New Roman"/>
          <w:b/>
          <w:sz w:val="20"/>
          <w:szCs w:val="20"/>
          <w:lang w:eastAsia="en-CA"/>
        </w:rPr>
        <w:lastRenderedPageBreak/>
        <w:fldChar w:fldCharType="begin"/>
      </w:r>
      <w:r w:rsidR="00BF4AA5" w:rsidRPr="00DC6331">
        <w:rPr>
          <w:rFonts w:eastAsia="Times New Roman" w:cs="Times New Roman"/>
          <w:b/>
          <w:sz w:val="20"/>
          <w:szCs w:val="20"/>
          <w:lang w:val="en-US" w:eastAsia="en-CA"/>
        </w:rPr>
        <w:instrText xml:space="preserve"> SEQ CHAPTER \h \r 1</w:instrText>
      </w:r>
      <w:r w:rsidRPr="00DC6331">
        <w:rPr>
          <w:rFonts w:eastAsia="Times New Roman" w:cs="Times New Roman"/>
          <w:b/>
          <w:sz w:val="20"/>
          <w:szCs w:val="20"/>
          <w:lang w:val="en-US" w:eastAsia="en-CA"/>
        </w:rPr>
        <w:fldChar w:fldCharType="end"/>
      </w:r>
      <w:r w:rsidR="00BF4AA5" w:rsidRPr="00DC6331">
        <w:rPr>
          <w:rFonts w:eastAsia="Times New Roman" w:cs="Times New Roman"/>
          <w:b/>
          <w:sz w:val="20"/>
          <w:szCs w:val="20"/>
          <w:lang w:eastAsia="en-CA"/>
        </w:rPr>
        <w:t>35696</w:t>
      </w:r>
      <w:r w:rsidR="00BF4AA5" w:rsidRPr="00DC6331">
        <w:rPr>
          <w:rFonts w:eastAsia="Times New Roman" w:cs="Times New Roman"/>
          <w:sz w:val="20"/>
          <w:szCs w:val="20"/>
          <w:lang w:eastAsia="en-CA"/>
        </w:rPr>
        <w:tab/>
      </w:r>
      <w:r w:rsidR="00BF4AA5" w:rsidRPr="00DC6331">
        <w:rPr>
          <w:rFonts w:eastAsia="Times New Roman" w:cs="Times New Roman"/>
          <w:b/>
          <w:i/>
          <w:sz w:val="20"/>
          <w:szCs w:val="20"/>
          <w:lang w:eastAsia="en-CA"/>
        </w:rPr>
        <w:t xml:space="preserve">407 </w:t>
      </w:r>
      <w:r w:rsidR="00BF4AA5" w:rsidRPr="00DC6331">
        <w:rPr>
          <w:rFonts w:eastAsia="Times New Roman" w:cs="Times New Roman"/>
          <w:b/>
          <w:i/>
          <w:sz w:val="20"/>
          <w:szCs w:val="20"/>
          <w:lang w:val="en-US" w:eastAsia="en-CA"/>
        </w:rPr>
        <w:t>ETR</w:t>
      </w:r>
      <w:r w:rsidR="00BF4AA5" w:rsidRPr="00DC6331">
        <w:rPr>
          <w:rFonts w:eastAsia="Times New Roman" w:cs="Times New Roman"/>
          <w:b/>
          <w:i/>
          <w:sz w:val="20"/>
          <w:szCs w:val="20"/>
          <w:lang w:eastAsia="en-CA"/>
        </w:rPr>
        <w:t xml:space="preserve"> Concession Company Ltd. v. Superintendent of Bankruptcy</w:t>
      </w:r>
    </w:p>
    <w:p w:rsidR="00BF4AA5" w:rsidRPr="00DC6331" w:rsidRDefault="00BF4AA5" w:rsidP="00BF4AA5">
      <w:pPr>
        <w:widowControl w:val="0"/>
        <w:jc w:val="both"/>
        <w:rPr>
          <w:rFonts w:eastAsia="Times New Roman" w:cs="Times New Roman"/>
          <w:sz w:val="20"/>
          <w:szCs w:val="20"/>
          <w:lang w:eastAsia="en-CA"/>
        </w:rPr>
      </w:pPr>
    </w:p>
    <w:p w:rsidR="00BF4AA5" w:rsidRPr="00DC6331" w:rsidRDefault="00BF4AA5" w:rsidP="00BF4AA5">
      <w:pPr>
        <w:ind w:right="159"/>
        <w:jc w:val="both"/>
        <w:rPr>
          <w:rFonts w:eastAsia="Times New Roman" w:cs="Times New Roman"/>
          <w:sz w:val="20"/>
          <w:szCs w:val="20"/>
          <w:lang w:val="en-US" w:eastAsia="en-CA"/>
        </w:rPr>
      </w:pPr>
      <w:r w:rsidRPr="00DC6331">
        <w:rPr>
          <w:rFonts w:eastAsia="Times New Roman" w:cs="Times New Roman"/>
          <w:sz w:val="20"/>
          <w:szCs w:val="20"/>
          <w:lang w:val="en-US" w:eastAsia="en-CA"/>
        </w:rPr>
        <w:t xml:space="preserve">Constitutional Law - Federal paramountcy - Ontario’s </w:t>
      </w:r>
      <w:r w:rsidRPr="00DC6331">
        <w:rPr>
          <w:rFonts w:eastAsia="Times New Roman" w:cs="Times New Roman"/>
          <w:sz w:val="20"/>
          <w:szCs w:val="20"/>
          <w:lang w:val="en-US"/>
        </w:rPr>
        <w:t xml:space="preserve">Registrar of Motor Vehicles shall refuse to validate or issue a person’s motor vehicle permit upon receipt of notice that the person has not paid toll, fees or interest owing for use of privately-owned toll highway </w:t>
      </w:r>
      <w:r w:rsidRPr="00DC6331">
        <w:rPr>
          <w:rFonts w:eastAsia="Times New Roman" w:cs="Times New Roman"/>
          <w:sz w:val="20"/>
          <w:szCs w:val="20"/>
          <w:lang w:val="en-US" w:eastAsia="en-CA"/>
        </w:rPr>
        <w:t xml:space="preserve">- </w:t>
      </w:r>
      <w:r w:rsidRPr="00DC6331">
        <w:rPr>
          <w:rFonts w:eastAsia="Times New Roman" w:cs="Times New Roman"/>
          <w:sz w:val="20"/>
          <w:szCs w:val="20"/>
          <w:lang w:val="en-US"/>
        </w:rPr>
        <w:t xml:space="preserve">Whether enforcement power can be applied to a debt owed to owner of highway that was discharged in bankruptcy proceedings </w:t>
      </w:r>
      <w:r w:rsidRPr="00DC6331">
        <w:rPr>
          <w:rFonts w:eastAsia="Times New Roman" w:cs="Times New Roman"/>
          <w:sz w:val="20"/>
          <w:szCs w:val="20"/>
          <w:lang w:val="en-US" w:eastAsia="en-CA"/>
        </w:rPr>
        <w:t xml:space="preserve">- Whether purpose or merits of a provincial law are relevant to determining whether provincial law conflicts with federal law - Whether Court of Appeal defined scope and purpose of the Bankruptcy and Insolvency Act overly broadly - Whether Parliament may compel provinces to issue provincial </w:t>
      </w:r>
      <w:proofErr w:type="spellStart"/>
      <w:r w:rsidRPr="00DC6331">
        <w:rPr>
          <w:rFonts w:eastAsia="Times New Roman" w:cs="Times New Roman"/>
          <w:sz w:val="20"/>
          <w:szCs w:val="20"/>
          <w:lang w:val="en-US" w:eastAsia="en-CA"/>
        </w:rPr>
        <w:t>licences</w:t>
      </w:r>
      <w:proofErr w:type="spellEnd"/>
      <w:r w:rsidRPr="00DC6331">
        <w:rPr>
          <w:rFonts w:eastAsia="Times New Roman" w:cs="Times New Roman"/>
          <w:sz w:val="20"/>
          <w:szCs w:val="20"/>
          <w:lang w:val="en-US" w:eastAsia="en-CA"/>
        </w:rPr>
        <w:t xml:space="preserve"> and permits to discharged bankrupts - </w:t>
      </w:r>
      <w:r w:rsidRPr="00DC6331">
        <w:rPr>
          <w:rFonts w:eastAsia="Times New Roman" w:cs="Times New Roman"/>
          <w:iCs/>
          <w:sz w:val="20"/>
          <w:szCs w:val="20"/>
          <w:lang w:val="en-US" w:eastAsia="en-CA"/>
        </w:rPr>
        <w:t xml:space="preserve">Highway 407 Act, </w:t>
      </w:r>
      <w:r w:rsidRPr="00DC6331">
        <w:rPr>
          <w:rFonts w:eastAsia="Times New Roman" w:cs="Times New Roman"/>
          <w:sz w:val="20"/>
          <w:szCs w:val="20"/>
          <w:lang w:val="en-US" w:eastAsia="en-CA"/>
        </w:rPr>
        <w:t xml:space="preserve">1998, S.O. 1998, c.28, s. 22(4), </w:t>
      </w:r>
      <w:r w:rsidRPr="00DC6331">
        <w:rPr>
          <w:rFonts w:eastAsia="Times New Roman" w:cs="Times New Roman"/>
          <w:iCs/>
          <w:sz w:val="20"/>
          <w:szCs w:val="20"/>
          <w:lang w:val="en-US" w:eastAsia="en-CA"/>
        </w:rPr>
        <w:t xml:space="preserve">Bankruptcy and Insolvency Act, </w:t>
      </w:r>
      <w:r w:rsidRPr="00DC6331">
        <w:rPr>
          <w:rFonts w:eastAsia="Times New Roman" w:cs="Times New Roman"/>
          <w:sz w:val="20"/>
          <w:szCs w:val="20"/>
          <w:lang w:val="en-US" w:eastAsia="en-CA"/>
        </w:rPr>
        <w:t xml:space="preserve">R.S.C. 1985, c. B-3. </w:t>
      </w:r>
      <w:r w:rsidRPr="00DC6331">
        <w:rPr>
          <w:rFonts w:ascii="Verdana" w:eastAsia="Times New Roman" w:hAnsi="Verdana" w:cs="Times New Roman"/>
          <w:sz w:val="20"/>
          <w:szCs w:val="20"/>
          <w:lang w:val="en-US"/>
        </w:rPr>
        <w:t xml:space="preserve">  </w:t>
      </w:r>
    </w:p>
    <w:p w:rsidR="00BF4AA5" w:rsidRPr="00DC6331" w:rsidRDefault="00BF4AA5" w:rsidP="00BF4AA5">
      <w:pPr>
        <w:widowControl w:val="0"/>
        <w:jc w:val="both"/>
        <w:rPr>
          <w:rFonts w:eastAsia="Times New Roman" w:cs="Times New Roman"/>
          <w:sz w:val="20"/>
          <w:szCs w:val="20"/>
          <w:lang w:val="en-US" w:eastAsia="en-CA"/>
        </w:rPr>
      </w:pPr>
    </w:p>
    <w:p w:rsidR="00BF4AA5" w:rsidRPr="00DC6331" w:rsidRDefault="00BF4AA5" w:rsidP="00BF4AA5">
      <w:pPr>
        <w:jc w:val="both"/>
        <w:rPr>
          <w:rFonts w:eastAsia="Times New Roman" w:cs="Times New Roman"/>
          <w:sz w:val="20"/>
          <w:szCs w:val="20"/>
          <w:lang w:val="en-US" w:eastAsia="en-CA"/>
        </w:rPr>
      </w:pPr>
      <w:r w:rsidRPr="00DC6331">
        <w:rPr>
          <w:rFonts w:eastAsia="Times New Roman" w:cs="Times New Roman"/>
          <w:sz w:val="20"/>
          <w:szCs w:val="20"/>
          <w:lang w:val="en-US" w:eastAsia="en-CA"/>
        </w:rPr>
        <w:t xml:space="preserve">Matthew Moore owed the appellant debt for use of its toll highway.  Pursuant to the appellant’s enforcement powers under s. 22(4) of the </w:t>
      </w:r>
      <w:hyperlink r:id="rId87" w:history="1">
        <w:r w:rsidRPr="00DC6331">
          <w:rPr>
            <w:rFonts w:eastAsia="Times New Roman" w:cs="Times New Roman"/>
            <w:i/>
            <w:sz w:val="20"/>
            <w:szCs w:val="20"/>
            <w:lang w:val="en-US" w:eastAsia="en-CA"/>
          </w:rPr>
          <w:t>Highway 407 Act, 1998</w:t>
        </w:r>
        <w:r w:rsidRPr="00DC6331">
          <w:rPr>
            <w:rFonts w:eastAsia="Times New Roman" w:cs="Times New Roman"/>
            <w:sz w:val="20"/>
            <w:szCs w:val="20"/>
            <w:lang w:val="en-US" w:eastAsia="en-CA"/>
          </w:rPr>
          <w:t>, S.O. 1998, c. 28</w:t>
        </w:r>
      </w:hyperlink>
      <w:r w:rsidRPr="00DC6331">
        <w:rPr>
          <w:rFonts w:eastAsia="Times New Roman" w:cs="Times New Roman"/>
          <w:sz w:val="20"/>
          <w:szCs w:val="20"/>
          <w:lang w:val="en-US" w:eastAsia="en-CA"/>
        </w:rPr>
        <w:t xml:space="preserve">, it notified Ontario’s Registrar of Motor Vehicles of the debt and the Registrar refused to validate vehicle permits for Mr. Moore’s two vehicles or to issue a permit to him.  Mr. Moore obtained an absolute discharge from bankruptcy that included the debt he owed to the appellant.  Despite the discharge, the appellant asserted that he remained indebted and the Registrar continued to refuse to issue permits.  Mr. Moore applied to the Ontario Superior Court for a declaration that his debt was discharged and for mandamus directing the Registrar to validate his permits.  After the Ontario Superior Court dismissed his motion, he settled with the appellant.  The Superintendent in Bankruptcy was granted leave to appeal.  </w:t>
      </w:r>
    </w:p>
    <w:p w:rsidR="00BF4AA5" w:rsidRPr="00DC6331" w:rsidRDefault="00BF4AA5" w:rsidP="00BF4AA5">
      <w:pPr>
        <w:widowControl w:val="0"/>
        <w:jc w:val="both"/>
        <w:rPr>
          <w:rFonts w:eastAsia="Times New Roman" w:cs="Times New Roman"/>
          <w:sz w:val="20"/>
          <w:szCs w:val="20"/>
          <w:lang w:val="en-US" w:eastAsia="en-CA"/>
        </w:rPr>
      </w:pPr>
    </w:p>
    <w:p w:rsidR="00BF4AA5" w:rsidRPr="00DC6331" w:rsidRDefault="00BF4AA5" w:rsidP="00BF4AA5">
      <w:pPr>
        <w:widowControl w:val="0"/>
        <w:jc w:val="both"/>
        <w:rPr>
          <w:rFonts w:eastAsia="Times New Roman" w:cs="Times New Roman"/>
          <w:sz w:val="20"/>
          <w:szCs w:val="20"/>
          <w:lang w:eastAsia="en-CA"/>
        </w:rPr>
      </w:pPr>
    </w:p>
    <w:p w:rsidR="00BF4AA5" w:rsidRPr="00DC6331" w:rsidRDefault="00BF4AA5" w:rsidP="00BF4AA5">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Origin of the case:</w:t>
      </w:r>
      <w:r w:rsidRPr="00DC6331">
        <w:rPr>
          <w:rFonts w:eastAsia="Times New Roman" w:cs="Times New Roman"/>
          <w:sz w:val="20"/>
          <w:szCs w:val="20"/>
          <w:lang w:eastAsia="en-CA"/>
        </w:rPr>
        <w:tab/>
        <w:t>Ontario</w:t>
      </w:r>
    </w:p>
    <w:p w:rsidR="00BF4AA5" w:rsidRPr="00DC6331" w:rsidRDefault="00BF4AA5" w:rsidP="00BF4AA5">
      <w:pPr>
        <w:widowControl w:val="0"/>
        <w:ind w:left="2880" w:hanging="2880"/>
        <w:jc w:val="both"/>
        <w:rPr>
          <w:rFonts w:eastAsia="Times New Roman" w:cs="Times New Roman"/>
          <w:sz w:val="20"/>
          <w:szCs w:val="20"/>
          <w:lang w:eastAsia="en-CA"/>
        </w:rPr>
      </w:pPr>
    </w:p>
    <w:p w:rsidR="00BF4AA5" w:rsidRPr="00DC6331" w:rsidRDefault="00BF4AA5" w:rsidP="00BF4AA5">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File No.:</w:t>
      </w:r>
      <w:r w:rsidRPr="00DC6331">
        <w:rPr>
          <w:rFonts w:eastAsia="Times New Roman" w:cs="Times New Roman"/>
          <w:sz w:val="20"/>
          <w:szCs w:val="20"/>
          <w:lang w:eastAsia="en-CA"/>
        </w:rPr>
        <w:tab/>
        <w:t>35696</w:t>
      </w:r>
    </w:p>
    <w:p w:rsidR="00BF4AA5" w:rsidRPr="00DC6331" w:rsidRDefault="00BF4AA5" w:rsidP="00BF4AA5">
      <w:pPr>
        <w:widowControl w:val="0"/>
        <w:ind w:left="2880" w:hanging="2880"/>
        <w:jc w:val="both"/>
        <w:rPr>
          <w:rFonts w:eastAsia="Times New Roman" w:cs="Times New Roman"/>
          <w:sz w:val="20"/>
          <w:szCs w:val="20"/>
          <w:lang w:eastAsia="en-CA"/>
        </w:rPr>
      </w:pPr>
    </w:p>
    <w:p w:rsidR="00BF4AA5" w:rsidRPr="00DC6331" w:rsidRDefault="00BF4AA5" w:rsidP="00BF4AA5">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Judgment of the Court of Appeal:</w:t>
      </w:r>
      <w:r w:rsidRPr="00DC6331">
        <w:rPr>
          <w:rFonts w:eastAsia="Times New Roman" w:cs="Times New Roman"/>
          <w:sz w:val="20"/>
          <w:szCs w:val="20"/>
          <w:lang w:eastAsia="en-CA"/>
        </w:rPr>
        <w:tab/>
        <w:t>September 5, 2012</w:t>
      </w:r>
    </w:p>
    <w:p w:rsidR="00BF4AA5" w:rsidRPr="00DC6331" w:rsidRDefault="00BF4AA5" w:rsidP="00BF4AA5">
      <w:pPr>
        <w:widowControl w:val="0"/>
        <w:ind w:left="2880" w:hanging="2880"/>
        <w:jc w:val="both"/>
        <w:rPr>
          <w:rFonts w:eastAsia="Times New Roman" w:cs="Times New Roman"/>
          <w:sz w:val="20"/>
          <w:szCs w:val="20"/>
          <w:lang w:eastAsia="en-CA"/>
        </w:rPr>
      </w:pPr>
    </w:p>
    <w:p w:rsidR="00BF4AA5" w:rsidRPr="00DC6331" w:rsidRDefault="00BF4AA5" w:rsidP="00BF4AA5">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Counsel:</w:t>
      </w:r>
      <w:r w:rsidRPr="00DC6331">
        <w:rPr>
          <w:rFonts w:eastAsia="Times New Roman" w:cs="Times New Roman"/>
          <w:sz w:val="20"/>
          <w:szCs w:val="20"/>
          <w:lang w:eastAsia="en-CA"/>
        </w:rPr>
        <w:tab/>
        <w:t xml:space="preserve">Thomas Curry for the </w:t>
      </w:r>
      <w:r w:rsidR="003212CE" w:rsidRPr="00DC6331">
        <w:rPr>
          <w:rFonts w:eastAsia="Times New Roman" w:cs="Times New Roman"/>
          <w:sz w:val="20"/>
          <w:szCs w:val="20"/>
          <w:lang w:eastAsia="en-CA"/>
        </w:rPr>
        <w:t>a</w:t>
      </w:r>
      <w:r w:rsidRPr="00DC6331">
        <w:rPr>
          <w:rFonts w:eastAsia="Times New Roman" w:cs="Times New Roman"/>
          <w:sz w:val="20"/>
          <w:szCs w:val="20"/>
          <w:lang w:eastAsia="en-CA"/>
        </w:rPr>
        <w:t>ppellant</w:t>
      </w:r>
    </w:p>
    <w:p w:rsidR="00BF4AA5" w:rsidRPr="00DC6331" w:rsidRDefault="00BF4AA5" w:rsidP="00BF4AA5">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ab/>
        <w:t xml:space="preserve">Peter Southey, Andrew Parley and Jon Laxer for the </w:t>
      </w:r>
      <w:r w:rsidR="003212CE" w:rsidRPr="00DC6331">
        <w:rPr>
          <w:rFonts w:eastAsia="Times New Roman" w:cs="Times New Roman"/>
          <w:sz w:val="20"/>
          <w:szCs w:val="20"/>
          <w:lang w:eastAsia="en-CA"/>
        </w:rPr>
        <w:t>r</w:t>
      </w:r>
      <w:r w:rsidRPr="00DC6331">
        <w:rPr>
          <w:rFonts w:eastAsia="Times New Roman" w:cs="Times New Roman"/>
          <w:sz w:val="20"/>
          <w:szCs w:val="20"/>
          <w:lang w:eastAsia="en-CA"/>
        </w:rPr>
        <w:t>espondent</w:t>
      </w:r>
    </w:p>
    <w:p w:rsidR="00CC3535" w:rsidRPr="00BF4AA5"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85"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F4AA5" w:rsidRPr="00DC6331" w:rsidRDefault="00BD696F" w:rsidP="00BF4AA5">
      <w:pPr>
        <w:widowControl w:val="0"/>
        <w:ind w:left="720" w:hanging="720"/>
        <w:contextualSpacing/>
        <w:jc w:val="both"/>
        <w:rPr>
          <w:rFonts w:eastAsia="Times New Roman" w:cs="Times New Roman"/>
          <w:sz w:val="20"/>
          <w:szCs w:val="20"/>
          <w:lang w:val="fr-CA" w:eastAsia="en-CA"/>
        </w:rPr>
      </w:pPr>
      <w:r w:rsidRPr="00DC6331">
        <w:rPr>
          <w:rFonts w:eastAsia="Times New Roman" w:cs="Times New Roman"/>
          <w:b/>
          <w:sz w:val="20"/>
          <w:szCs w:val="20"/>
          <w:lang w:val="fr-CA" w:eastAsia="en-CA"/>
        </w:rPr>
        <w:lastRenderedPageBreak/>
        <w:fldChar w:fldCharType="begin"/>
      </w:r>
      <w:r w:rsidR="00BF4AA5" w:rsidRPr="00DC6331">
        <w:rPr>
          <w:rFonts w:eastAsia="Times New Roman" w:cs="Times New Roman"/>
          <w:b/>
          <w:sz w:val="20"/>
          <w:szCs w:val="20"/>
          <w:lang w:val="fr-CA" w:eastAsia="en-CA"/>
        </w:rPr>
        <w:instrText xml:space="preserve"> SEQ CHAPTER \h \r 1</w:instrText>
      </w:r>
      <w:r w:rsidRPr="00DC6331">
        <w:rPr>
          <w:rFonts w:eastAsia="Times New Roman" w:cs="Times New Roman"/>
          <w:b/>
          <w:sz w:val="20"/>
          <w:szCs w:val="20"/>
          <w:lang w:val="fr-CA" w:eastAsia="en-CA"/>
        </w:rPr>
        <w:fldChar w:fldCharType="end"/>
      </w:r>
      <w:r w:rsidR="00BF4AA5" w:rsidRPr="00DC6331">
        <w:rPr>
          <w:rFonts w:eastAsia="Times New Roman" w:cs="Times New Roman"/>
          <w:b/>
          <w:sz w:val="20"/>
          <w:szCs w:val="20"/>
          <w:lang w:val="fr-CA" w:eastAsia="en-CA"/>
        </w:rPr>
        <w:t>35696</w:t>
      </w:r>
      <w:r w:rsidR="00BF4AA5" w:rsidRPr="00DC6331">
        <w:rPr>
          <w:rFonts w:eastAsia="Times New Roman" w:cs="Times New Roman"/>
          <w:sz w:val="20"/>
          <w:szCs w:val="20"/>
          <w:lang w:val="fr-CA" w:eastAsia="en-CA"/>
        </w:rPr>
        <w:tab/>
      </w:r>
      <w:r w:rsidR="00BF4AA5" w:rsidRPr="00DC6331">
        <w:rPr>
          <w:rFonts w:eastAsia="Times New Roman" w:cs="Times New Roman"/>
          <w:b/>
          <w:i/>
          <w:sz w:val="20"/>
          <w:szCs w:val="20"/>
          <w:lang w:val="fr-CA" w:eastAsia="en-CA"/>
        </w:rPr>
        <w:t xml:space="preserve">407 ETR Concession </w:t>
      </w:r>
      <w:proofErr w:type="spellStart"/>
      <w:r w:rsidR="00BF4AA5" w:rsidRPr="00DC6331">
        <w:rPr>
          <w:rFonts w:eastAsia="Times New Roman" w:cs="Times New Roman"/>
          <w:b/>
          <w:i/>
          <w:sz w:val="20"/>
          <w:szCs w:val="20"/>
          <w:lang w:val="fr-CA" w:eastAsia="en-CA"/>
        </w:rPr>
        <w:t>Company</w:t>
      </w:r>
      <w:proofErr w:type="spellEnd"/>
      <w:r w:rsidR="00BF4AA5" w:rsidRPr="00DC6331">
        <w:rPr>
          <w:rFonts w:eastAsia="Times New Roman" w:cs="Times New Roman"/>
          <w:b/>
          <w:i/>
          <w:sz w:val="20"/>
          <w:szCs w:val="20"/>
          <w:lang w:val="fr-CA" w:eastAsia="en-CA"/>
        </w:rPr>
        <w:t xml:space="preserve"> Ltd. c. Surintendant des faillites</w:t>
      </w:r>
    </w:p>
    <w:p w:rsidR="00BF4AA5" w:rsidRPr="00DC6331" w:rsidRDefault="00BF4AA5" w:rsidP="00BF4AA5">
      <w:pPr>
        <w:widowControl w:val="0"/>
        <w:jc w:val="both"/>
        <w:rPr>
          <w:rFonts w:eastAsia="Times New Roman" w:cs="Times New Roman"/>
          <w:sz w:val="20"/>
          <w:szCs w:val="20"/>
          <w:lang w:val="fr-CA" w:eastAsia="en-CA"/>
        </w:rPr>
      </w:pPr>
    </w:p>
    <w:p w:rsidR="00BF4AA5" w:rsidRPr="00DC6331" w:rsidRDefault="00BF4AA5" w:rsidP="00BF4AA5">
      <w:pPr>
        <w:ind w:right="159"/>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Droit constitutionnel - Prépondérance fédérale - Le </w:t>
      </w:r>
      <w:proofErr w:type="spellStart"/>
      <w:r w:rsidRPr="00DC6331">
        <w:rPr>
          <w:rFonts w:eastAsia="Times New Roman" w:cs="Times New Roman"/>
          <w:sz w:val="20"/>
          <w:szCs w:val="20"/>
          <w:lang w:val="fr-CA" w:eastAsia="en-CA"/>
        </w:rPr>
        <w:t>registrateur</w:t>
      </w:r>
      <w:proofErr w:type="spellEnd"/>
      <w:r w:rsidRPr="00DC6331">
        <w:rPr>
          <w:rFonts w:eastAsia="Times New Roman" w:cs="Times New Roman"/>
          <w:sz w:val="20"/>
          <w:szCs w:val="20"/>
          <w:lang w:val="fr-CA" w:eastAsia="en-CA"/>
        </w:rPr>
        <w:t xml:space="preserve"> des véhicules automobiles de l’Ontario refuse de valider ou de délivrer un certificat d’immatriculation de véhicule s’il reçoit un avis que l’intéressé n’a pas payé un péage, les frais, les droits et les intérêts exigibles relativement à l’utilisation d’une voie privée à péage </w:t>
      </w:r>
      <w:r w:rsidRPr="00DC6331">
        <w:rPr>
          <w:rFonts w:eastAsia="Times New Roman" w:cs="Times New Roman"/>
          <w:sz w:val="20"/>
          <w:szCs w:val="20"/>
          <w:lang w:val="fr-CA"/>
        </w:rPr>
        <w:t xml:space="preserve"> </w:t>
      </w:r>
      <w:r w:rsidRPr="00DC6331">
        <w:rPr>
          <w:rFonts w:eastAsia="Times New Roman" w:cs="Times New Roman"/>
          <w:sz w:val="20"/>
          <w:szCs w:val="20"/>
          <w:lang w:val="fr-CA" w:eastAsia="en-CA"/>
        </w:rPr>
        <w:t xml:space="preserve">- </w:t>
      </w:r>
      <w:r w:rsidRPr="00DC6331">
        <w:rPr>
          <w:rFonts w:eastAsia="Times New Roman" w:cs="Times New Roman"/>
          <w:sz w:val="20"/>
          <w:szCs w:val="20"/>
          <w:lang w:val="fr-CA"/>
        </w:rPr>
        <w:t xml:space="preserve">Le pouvoir d’exécution peut-il être exercé à l’égard d’une dette, envers le propriétaire de la voie, qui a été acquittée dans le cadre d’une procédure de faillite? </w:t>
      </w:r>
      <w:r w:rsidRPr="00DC6331">
        <w:rPr>
          <w:rFonts w:eastAsia="Times New Roman" w:cs="Times New Roman"/>
          <w:sz w:val="20"/>
          <w:szCs w:val="20"/>
          <w:lang w:val="fr-CA" w:eastAsia="en-CA"/>
        </w:rPr>
        <w:t xml:space="preserve">- L’objet ou le fond d’une loi provinciale sont-ils pertinents lorsqu’il s’agit de déterminer s’il y a un conflit entre la loi provinciale et la loi fédérale? - La Cour d’appel a-t-elle défini de façon trop large la portée et l’objet de la Loi sur la faillite et l’insolvabilité? - Le législateur fédéral peut-il contraindre les provinces à délivrer des permis et des licences provinciaux aux faillis libérés? - </w:t>
      </w:r>
      <w:r w:rsidRPr="00DC6331">
        <w:rPr>
          <w:rFonts w:eastAsia="Times New Roman" w:cs="Times New Roman"/>
          <w:iCs/>
          <w:sz w:val="20"/>
          <w:szCs w:val="20"/>
          <w:lang w:val="fr-CA" w:eastAsia="en-CA"/>
        </w:rPr>
        <w:t>Loi de 1998 sur l’autoroute 407</w:t>
      </w:r>
      <w:r w:rsidRPr="00DC6331">
        <w:rPr>
          <w:rFonts w:eastAsia="Times New Roman" w:cs="Times New Roman"/>
          <w:sz w:val="20"/>
          <w:szCs w:val="20"/>
          <w:lang w:val="fr-CA" w:eastAsia="en-CA"/>
        </w:rPr>
        <w:t xml:space="preserve">, L.O. 1998, ch.28, par. 22(4), </w:t>
      </w:r>
      <w:r w:rsidRPr="00DC6331">
        <w:rPr>
          <w:rFonts w:eastAsia="Times New Roman" w:cs="Times New Roman"/>
          <w:iCs/>
          <w:sz w:val="20"/>
          <w:szCs w:val="20"/>
          <w:lang w:val="fr-CA" w:eastAsia="en-CA"/>
        </w:rPr>
        <w:t xml:space="preserve">Loi sur la faillite et l’insolvabilité, </w:t>
      </w:r>
      <w:r w:rsidRPr="00DC6331">
        <w:rPr>
          <w:rFonts w:eastAsia="Times New Roman" w:cs="Times New Roman"/>
          <w:sz w:val="20"/>
          <w:szCs w:val="20"/>
          <w:lang w:val="fr-CA" w:eastAsia="en-CA"/>
        </w:rPr>
        <w:t xml:space="preserve">L.R.C. 1985, ch. B-3. </w:t>
      </w:r>
      <w:r w:rsidRPr="00DC6331">
        <w:rPr>
          <w:rFonts w:ascii="Verdana" w:eastAsia="Times New Roman" w:hAnsi="Verdana" w:cs="Times New Roman"/>
          <w:sz w:val="20"/>
          <w:szCs w:val="20"/>
          <w:lang w:val="fr-CA"/>
        </w:rPr>
        <w:t xml:space="preserve">  </w:t>
      </w:r>
    </w:p>
    <w:p w:rsidR="00BF4AA5" w:rsidRPr="00DC6331" w:rsidRDefault="00BF4AA5" w:rsidP="00BF4AA5">
      <w:pPr>
        <w:widowControl w:val="0"/>
        <w:jc w:val="both"/>
        <w:rPr>
          <w:rFonts w:eastAsia="Times New Roman" w:cs="Times New Roman"/>
          <w:sz w:val="20"/>
          <w:szCs w:val="20"/>
          <w:lang w:val="fr-CA" w:eastAsia="en-CA"/>
        </w:rPr>
      </w:pPr>
    </w:p>
    <w:p w:rsidR="00BF4AA5" w:rsidRPr="00DC6331" w:rsidRDefault="00BF4AA5" w:rsidP="00BF4AA5">
      <w:pPr>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Matthew Moore avait une dette envers l’appelante pour l’utilisation de sa voie à péage.  En application des pouvoirs d’exécution prévus au </w:t>
      </w:r>
      <w:proofErr w:type="spellStart"/>
      <w:r w:rsidRPr="00DC6331">
        <w:rPr>
          <w:rFonts w:eastAsia="Times New Roman" w:cs="Times New Roman"/>
          <w:sz w:val="20"/>
          <w:szCs w:val="20"/>
          <w:lang w:val="fr-CA" w:eastAsia="en-CA"/>
        </w:rPr>
        <w:t>par</w:t>
      </w:r>
      <w:proofErr w:type="spellEnd"/>
      <w:r w:rsidRPr="00DC6331">
        <w:rPr>
          <w:rFonts w:eastAsia="Times New Roman" w:cs="Times New Roman"/>
          <w:sz w:val="20"/>
          <w:szCs w:val="20"/>
          <w:lang w:val="fr-CA" w:eastAsia="en-CA"/>
        </w:rPr>
        <w:t xml:space="preserve">. 22(4) de la </w:t>
      </w:r>
      <w:hyperlink r:id="rId88" w:history="1">
        <w:r w:rsidRPr="00DC6331">
          <w:rPr>
            <w:rFonts w:eastAsia="Times New Roman" w:cs="Times New Roman"/>
            <w:i/>
            <w:sz w:val="20"/>
            <w:szCs w:val="20"/>
            <w:lang w:val="fr-CA" w:eastAsia="en-CA"/>
          </w:rPr>
          <w:t>Loi de 1998 sur l’autoroute 407</w:t>
        </w:r>
        <w:r w:rsidRPr="00DC6331">
          <w:rPr>
            <w:rFonts w:eastAsia="Times New Roman" w:cs="Times New Roman"/>
            <w:sz w:val="20"/>
            <w:szCs w:val="20"/>
            <w:lang w:val="fr-CA" w:eastAsia="en-CA"/>
          </w:rPr>
          <w:t>, L.O. 1998, ch. 28</w:t>
        </w:r>
      </w:hyperlink>
      <w:r w:rsidRPr="00DC6331">
        <w:rPr>
          <w:rFonts w:eastAsia="Times New Roman" w:cs="Times New Roman"/>
          <w:sz w:val="20"/>
          <w:szCs w:val="20"/>
          <w:lang w:val="fr-CA" w:eastAsia="en-CA"/>
        </w:rPr>
        <w:t xml:space="preserve">, l’appelante a avisé le </w:t>
      </w:r>
      <w:proofErr w:type="spellStart"/>
      <w:r w:rsidRPr="00DC6331">
        <w:rPr>
          <w:rFonts w:eastAsia="Times New Roman" w:cs="Times New Roman"/>
          <w:sz w:val="20"/>
          <w:szCs w:val="20"/>
          <w:lang w:val="fr-CA" w:eastAsia="en-CA"/>
        </w:rPr>
        <w:t>registrateur</w:t>
      </w:r>
      <w:proofErr w:type="spellEnd"/>
      <w:r w:rsidRPr="00DC6331">
        <w:rPr>
          <w:rFonts w:eastAsia="Times New Roman" w:cs="Times New Roman"/>
          <w:sz w:val="20"/>
          <w:szCs w:val="20"/>
          <w:lang w:val="fr-CA" w:eastAsia="en-CA"/>
        </w:rPr>
        <w:t xml:space="preserve"> des véhicules automobiles de l’Ontario de la dette et le </w:t>
      </w:r>
      <w:proofErr w:type="spellStart"/>
      <w:r w:rsidRPr="00DC6331">
        <w:rPr>
          <w:rFonts w:eastAsia="Times New Roman" w:cs="Times New Roman"/>
          <w:sz w:val="20"/>
          <w:szCs w:val="20"/>
          <w:lang w:val="fr-CA" w:eastAsia="en-CA"/>
        </w:rPr>
        <w:t>registrateur</w:t>
      </w:r>
      <w:proofErr w:type="spellEnd"/>
      <w:r w:rsidRPr="00DC6331">
        <w:rPr>
          <w:rFonts w:eastAsia="Times New Roman" w:cs="Times New Roman"/>
          <w:sz w:val="20"/>
          <w:szCs w:val="20"/>
          <w:lang w:val="fr-CA" w:eastAsia="en-CA"/>
        </w:rPr>
        <w:t xml:space="preserve"> a refusé de valider les certificats d’immatriculation des deux véhicules de M. Moore ou de lui délivrer un certificat d’immatriculation.  Monsieur Moore a obtenu une libération absolue de faillite, y compris pour sa dette envers l’appelante.  Malgré la libération, l’appelante a prétendu que M. Moore demeurait endetté et le </w:t>
      </w:r>
      <w:proofErr w:type="spellStart"/>
      <w:r w:rsidRPr="00DC6331">
        <w:rPr>
          <w:rFonts w:eastAsia="Times New Roman" w:cs="Times New Roman"/>
          <w:sz w:val="20"/>
          <w:szCs w:val="20"/>
          <w:lang w:val="fr-CA" w:eastAsia="en-CA"/>
        </w:rPr>
        <w:t>registrateur</w:t>
      </w:r>
      <w:proofErr w:type="spellEnd"/>
      <w:r w:rsidRPr="00DC6331">
        <w:rPr>
          <w:rFonts w:eastAsia="Times New Roman" w:cs="Times New Roman"/>
          <w:sz w:val="20"/>
          <w:szCs w:val="20"/>
          <w:lang w:val="fr-CA" w:eastAsia="en-CA"/>
        </w:rPr>
        <w:t xml:space="preserve"> a maintenu son refus de délivrer des certificats d’immatriculation.  Monsieur Moore a demandé à la Cour supérieure de justice de l’Ontario de prononcer un jugement déclarant que sa dette avait été acquittée et d’accorder un mandamus enjoignant au </w:t>
      </w:r>
      <w:proofErr w:type="spellStart"/>
      <w:r w:rsidRPr="00DC6331">
        <w:rPr>
          <w:rFonts w:eastAsia="Times New Roman" w:cs="Times New Roman"/>
          <w:sz w:val="20"/>
          <w:szCs w:val="20"/>
          <w:lang w:val="fr-CA" w:eastAsia="en-CA"/>
        </w:rPr>
        <w:t>registrateur</w:t>
      </w:r>
      <w:proofErr w:type="spellEnd"/>
      <w:r w:rsidRPr="00DC6331">
        <w:rPr>
          <w:rFonts w:eastAsia="Times New Roman" w:cs="Times New Roman"/>
          <w:sz w:val="20"/>
          <w:szCs w:val="20"/>
          <w:lang w:val="fr-CA" w:eastAsia="en-CA"/>
        </w:rPr>
        <w:t xml:space="preserve"> de délivrer ses certificats d’immatriculation.  Après que la Cour supérieure de justice a rejeté sa motion, il a réglé à l’amiable avec l’appelante.  Le surintendant des faillites s’est vu accorder l’autorisation d’appel.  </w:t>
      </w:r>
    </w:p>
    <w:p w:rsidR="00BF4AA5" w:rsidRPr="00DC6331" w:rsidRDefault="00BF4AA5" w:rsidP="00BF4AA5">
      <w:pPr>
        <w:widowControl w:val="0"/>
        <w:jc w:val="both"/>
        <w:rPr>
          <w:rFonts w:eastAsia="Times New Roman" w:cs="Times New Roman"/>
          <w:sz w:val="20"/>
          <w:szCs w:val="20"/>
          <w:lang w:val="fr-CA" w:eastAsia="en-CA"/>
        </w:rPr>
      </w:pPr>
    </w:p>
    <w:p w:rsidR="00BF4AA5" w:rsidRPr="00DC6331" w:rsidRDefault="00BF4AA5" w:rsidP="00BF4AA5">
      <w:pPr>
        <w:widowControl w:val="0"/>
        <w:jc w:val="both"/>
        <w:rPr>
          <w:rFonts w:eastAsia="Times New Roman" w:cs="Times New Roman"/>
          <w:sz w:val="20"/>
          <w:szCs w:val="20"/>
          <w:lang w:val="fr-CA" w:eastAsia="en-CA"/>
        </w:rPr>
      </w:pPr>
    </w:p>
    <w:p w:rsidR="00BF4AA5" w:rsidRPr="00DC6331" w:rsidRDefault="00BF4AA5" w:rsidP="00BF4AA5">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Origine :</w:t>
      </w:r>
      <w:r w:rsidRPr="00DC6331">
        <w:rPr>
          <w:rFonts w:eastAsia="Times New Roman" w:cs="Times New Roman"/>
          <w:sz w:val="20"/>
          <w:szCs w:val="20"/>
          <w:lang w:val="fr-CA" w:eastAsia="en-CA"/>
        </w:rPr>
        <w:tab/>
        <w:t>Ontario</w:t>
      </w:r>
    </w:p>
    <w:p w:rsidR="00BF4AA5" w:rsidRPr="00DC6331" w:rsidRDefault="00BF4AA5" w:rsidP="00BF4AA5">
      <w:pPr>
        <w:widowControl w:val="0"/>
        <w:ind w:left="2880" w:hanging="2880"/>
        <w:jc w:val="both"/>
        <w:rPr>
          <w:rFonts w:eastAsia="Times New Roman" w:cs="Times New Roman"/>
          <w:sz w:val="20"/>
          <w:szCs w:val="20"/>
          <w:lang w:val="fr-CA" w:eastAsia="en-CA"/>
        </w:rPr>
      </w:pPr>
    </w:p>
    <w:p w:rsidR="00BF4AA5" w:rsidRPr="00DC6331" w:rsidRDefault="00BF4AA5" w:rsidP="00BF4AA5">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No du greffe :</w:t>
      </w:r>
      <w:r w:rsidRPr="00DC6331">
        <w:rPr>
          <w:rFonts w:eastAsia="Times New Roman" w:cs="Times New Roman"/>
          <w:sz w:val="20"/>
          <w:szCs w:val="20"/>
          <w:lang w:val="fr-CA" w:eastAsia="en-CA"/>
        </w:rPr>
        <w:tab/>
        <w:t>35696</w:t>
      </w:r>
    </w:p>
    <w:p w:rsidR="00BF4AA5" w:rsidRPr="00DC6331" w:rsidRDefault="00BF4AA5" w:rsidP="00BF4AA5">
      <w:pPr>
        <w:widowControl w:val="0"/>
        <w:ind w:left="2880" w:hanging="2880"/>
        <w:jc w:val="both"/>
        <w:rPr>
          <w:rFonts w:eastAsia="Times New Roman" w:cs="Times New Roman"/>
          <w:sz w:val="20"/>
          <w:szCs w:val="20"/>
          <w:lang w:val="fr-CA" w:eastAsia="en-CA"/>
        </w:rPr>
      </w:pPr>
    </w:p>
    <w:p w:rsidR="00BF4AA5" w:rsidRPr="00DC6331" w:rsidRDefault="00BF4AA5" w:rsidP="00BF4AA5">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Arrêt de la Cour d’appel :</w:t>
      </w:r>
      <w:r w:rsidRPr="00DC6331">
        <w:rPr>
          <w:rFonts w:eastAsia="Times New Roman" w:cs="Times New Roman"/>
          <w:sz w:val="20"/>
          <w:szCs w:val="20"/>
          <w:lang w:val="fr-CA" w:eastAsia="en-CA"/>
        </w:rPr>
        <w:tab/>
        <w:t>le 5 septembre 2012</w:t>
      </w:r>
    </w:p>
    <w:p w:rsidR="00BF4AA5" w:rsidRPr="00DC6331" w:rsidRDefault="00BF4AA5" w:rsidP="00BF4AA5">
      <w:pPr>
        <w:widowControl w:val="0"/>
        <w:ind w:left="2880" w:hanging="2880"/>
        <w:jc w:val="both"/>
        <w:rPr>
          <w:rFonts w:eastAsia="Times New Roman" w:cs="Times New Roman"/>
          <w:sz w:val="20"/>
          <w:szCs w:val="20"/>
          <w:lang w:val="fr-CA" w:eastAsia="en-CA"/>
        </w:rPr>
      </w:pPr>
    </w:p>
    <w:p w:rsidR="00BF4AA5" w:rsidRPr="00DC6331" w:rsidRDefault="00BF4AA5" w:rsidP="00BF4AA5">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Avocats :</w:t>
      </w:r>
      <w:r w:rsidRPr="00DC6331">
        <w:rPr>
          <w:rFonts w:eastAsia="Times New Roman" w:cs="Times New Roman"/>
          <w:sz w:val="20"/>
          <w:szCs w:val="20"/>
          <w:lang w:val="fr-CA" w:eastAsia="en-CA"/>
        </w:rPr>
        <w:tab/>
        <w:t>Thomas Curry pour l’appelante</w:t>
      </w:r>
    </w:p>
    <w:p w:rsidR="00BF4AA5" w:rsidRPr="00DC6331" w:rsidRDefault="00BF4AA5" w:rsidP="00BF4AA5">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b/>
        <w:t xml:space="preserve">Peter Southey, Andrew </w:t>
      </w:r>
      <w:proofErr w:type="spellStart"/>
      <w:r w:rsidRPr="00DC6331">
        <w:rPr>
          <w:rFonts w:eastAsia="Times New Roman" w:cs="Times New Roman"/>
          <w:sz w:val="20"/>
          <w:szCs w:val="20"/>
          <w:lang w:val="fr-CA" w:eastAsia="en-CA"/>
        </w:rPr>
        <w:t>Parley</w:t>
      </w:r>
      <w:proofErr w:type="spellEnd"/>
      <w:r w:rsidRPr="00DC6331">
        <w:rPr>
          <w:rFonts w:eastAsia="Times New Roman" w:cs="Times New Roman"/>
          <w:sz w:val="20"/>
          <w:szCs w:val="20"/>
          <w:lang w:val="fr-CA" w:eastAsia="en-CA"/>
        </w:rPr>
        <w:t xml:space="preserve"> et Jon </w:t>
      </w:r>
      <w:proofErr w:type="spellStart"/>
      <w:r w:rsidRPr="00DC6331">
        <w:rPr>
          <w:rFonts w:eastAsia="Times New Roman" w:cs="Times New Roman"/>
          <w:sz w:val="20"/>
          <w:szCs w:val="20"/>
          <w:lang w:val="fr-CA" w:eastAsia="en-CA"/>
        </w:rPr>
        <w:t>Laxer</w:t>
      </w:r>
      <w:proofErr w:type="spellEnd"/>
      <w:r w:rsidRPr="00DC6331">
        <w:rPr>
          <w:rFonts w:eastAsia="Times New Roman" w:cs="Times New Roman"/>
          <w:sz w:val="20"/>
          <w:szCs w:val="20"/>
          <w:lang w:val="fr-CA" w:eastAsia="en-CA"/>
        </w:rPr>
        <w:t xml:space="preserve"> pour 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86"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6F08CD" w:rsidRPr="00DC6331" w:rsidRDefault="00BD696F" w:rsidP="006F08CD">
      <w:pPr>
        <w:widowControl w:val="0"/>
        <w:ind w:left="720" w:hanging="720"/>
        <w:contextualSpacing/>
        <w:jc w:val="both"/>
        <w:rPr>
          <w:rFonts w:eastAsia="Times New Roman" w:cs="Times New Roman"/>
          <w:sz w:val="20"/>
          <w:szCs w:val="20"/>
          <w:lang w:eastAsia="en-CA"/>
        </w:rPr>
      </w:pPr>
      <w:r w:rsidRPr="00DC6331">
        <w:rPr>
          <w:rFonts w:eastAsia="Times New Roman" w:cs="Times New Roman"/>
          <w:b/>
          <w:sz w:val="20"/>
          <w:szCs w:val="20"/>
          <w:lang w:eastAsia="en-CA"/>
        </w:rPr>
        <w:lastRenderedPageBreak/>
        <w:fldChar w:fldCharType="begin"/>
      </w:r>
      <w:r w:rsidR="006F08CD" w:rsidRPr="00DC6331">
        <w:rPr>
          <w:rFonts w:eastAsia="Times New Roman" w:cs="Times New Roman"/>
          <w:b/>
          <w:sz w:val="20"/>
          <w:szCs w:val="20"/>
          <w:lang w:val="en-US" w:eastAsia="en-CA"/>
        </w:rPr>
        <w:instrText xml:space="preserve"> SEQ CHAPTER \h \r 1</w:instrText>
      </w:r>
      <w:r w:rsidRPr="00DC6331">
        <w:rPr>
          <w:rFonts w:eastAsia="Times New Roman" w:cs="Times New Roman"/>
          <w:b/>
          <w:sz w:val="20"/>
          <w:szCs w:val="20"/>
          <w:lang w:val="en-US" w:eastAsia="en-CA"/>
        </w:rPr>
        <w:fldChar w:fldCharType="end"/>
      </w:r>
      <w:r w:rsidR="006F08CD" w:rsidRPr="00DC6331">
        <w:rPr>
          <w:rFonts w:eastAsia="Times New Roman" w:cs="Times New Roman"/>
          <w:b/>
          <w:sz w:val="20"/>
          <w:szCs w:val="20"/>
          <w:lang w:eastAsia="en-CA"/>
        </w:rPr>
        <w:t>35820</w:t>
      </w:r>
      <w:r w:rsidR="006F08CD" w:rsidRPr="00DC6331">
        <w:rPr>
          <w:rFonts w:eastAsia="Times New Roman" w:cs="Times New Roman"/>
          <w:sz w:val="20"/>
          <w:szCs w:val="20"/>
          <w:lang w:eastAsia="en-CA"/>
        </w:rPr>
        <w:tab/>
      </w:r>
      <w:r w:rsidR="006F08CD" w:rsidRPr="00DC6331">
        <w:rPr>
          <w:rFonts w:eastAsia="Times New Roman" w:cs="Times New Roman"/>
          <w:b/>
          <w:i/>
          <w:sz w:val="20"/>
          <w:szCs w:val="20"/>
          <w:lang w:val="en-US" w:eastAsia="en-CA"/>
        </w:rPr>
        <w:t>Attorney</w:t>
      </w:r>
      <w:r w:rsidR="006F08CD" w:rsidRPr="00DC6331">
        <w:rPr>
          <w:rFonts w:eastAsia="Times New Roman" w:cs="Times New Roman"/>
          <w:b/>
          <w:i/>
          <w:sz w:val="20"/>
          <w:szCs w:val="20"/>
          <w:lang w:eastAsia="en-CA"/>
        </w:rPr>
        <w:t xml:space="preserve"> General of Alberta v. Joseph William </w:t>
      </w:r>
      <w:proofErr w:type="spellStart"/>
      <w:r w:rsidR="006F08CD" w:rsidRPr="00DC6331">
        <w:rPr>
          <w:rFonts w:eastAsia="Times New Roman" w:cs="Times New Roman"/>
          <w:b/>
          <w:i/>
          <w:sz w:val="20"/>
          <w:szCs w:val="20"/>
          <w:lang w:eastAsia="en-CA"/>
        </w:rPr>
        <w:t>Moloney</w:t>
      </w:r>
      <w:proofErr w:type="spellEnd"/>
    </w:p>
    <w:p w:rsidR="006F08CD" w:rsidRPr="00DC6331" w:rsidRDefault="006F08CD" w:rsidP="006F08CD">
      <w:pPr>
        <w:widowControl w:val="0"/>
        <w:jc w:val="both"/>
        <w:rPr>
          <w:rFonts w:eastAsia="Times New Roman" w:cs="Times New Roman"/>
          <w:sz w:val="20"/>
          <w:szCs w:val="20"/>
          <w:lang w:eastAsia="en-CA"/>
        </w:rPr>
      </w:pPr>
    </w:p>
    <w:p w:rsidR="006F08CD" w:rsidRPr="00DC6331" w:rsidRDefault="006F08CD" w:rsidP="006F08CD">
      <w:pPr>
        <w:jc w:val="both"/>
        <w:rPr>
          <w:rFonts w:eastAsia="Times New Roman" w:cs="Times New Roman"/>
          <w:sz w:val="20"/>
          <w:szCs w:val="20"/>
          <w:lang w:val="en-US" w:eastAsia="en-CA"/>
        </w:rPr>
      </w:pPr>
      <w:r w:rsidRPr="00DC6331">
        <w:rPr>
          <w:rFonts w:eastAsia="Times New Roman" w:cs="Times New Roman"/>
          <w:sz w:val="20"/>
          <w:szCs w:val="20"/>
          <w:lang w:val="en-US" w:eastAsia="en-CA"/>
        </w:rPr>
        <w:t xml:space="preserve">Constitutional Law - Federal paramountcy - Uninsured motorist responsible for motor vehicle accident in Alberta - Judgment against motorist for injuries caused to another person assigned to Administrator of Motor Vehicle Accident Claims - Motorist fails to satisfy judgment debt - Alberta’s Registrar of Motor Vehicles required to suspend registration of motor vehicle and operator’s license until motorist repays judgment debt or enters into agreement to pay in installments - Motorist granted absolute discharge from bankruptcy - Registrar refuses to end suspension of driving privileges - </w:t>
      </w:r>
      <w:r w:rsidRPr="00DC6331">
        <w:rPr>
          <w:rFonts w:eastAsia="Times New Roman" w:cs="Times New Roman"/>
          <w:sz w:val="20"/>
          <w:szCs w:val="20"/>
          <w:lang w:val="en-US"/>
        </w:rPr>
        <w:t xml:space="preserve">Whether </w:t>
      </w:r>
      <w:r w:rsidRPr="00DC6331">
        <w:rPr>
          <w:rFonts w:eastAsia="Times New Roman" w:cs="Times New Roman"/>
          <w:sz w:val="20"/>
          <w:szCs w:val="20"/>
          <w:lang w:val="en-US" w:eastAsia="en-CA"/>
        </w:rPr>
        <w:t>s. 102(2) of the Traffic Safety Act conflicts operationally with the Bankruptcy and Insolvency Act or with its rehabilitative purpose and is constitutionally inoperative by reason of the doctrine of federal paramountcy</w:t>
      </w:r>
    </w:p>
    <w:p w:rsidR="006F08CD" w:rsidRPr="00DC6331" w:rsidRDefault="006F08CD" w:rsidP="006F08CD">
      <w:pPr>
        <w:widowControl w:val="0"/>
        <w:jc w:val="both"/>
        <w:rPr>
          <w:rFonts w:eastAsia="Times New Roman" w:cs="Times New Roman"/>
          <w:sz w:val="20"/>
          <w:szCs w:val="20"/>
          <w:lang w:val="en-US" w:eastAsia="en-CA"/>
        </w:rPr>
      </w:pPr>
    </w:p>
    <w:p w:rsidR="006F08CD" w:rsidRPr="00DC6331" w:rsidRDefault="006F08CD" w:rsidP="006F08CD">
      <w:pPr>
        <w:jc w:val="both"/>
        <w:rPr>
          <w:rFonts w:eastAsia="Times New Roman" w:cs="Times New Roman"/>
          <w:sz w:val="20"/>
          <w:szCs w:val="20"/>
          <w:lang w:eastAsia="en-CA"/>
        </w:rPr>
      </w:pPr>
      <w:r w:rsidRPr="00DC6331">
        <w:rPr>
          <w:rFonts w:eastAsia="Times New Roman" w:cs="Times New Roman"/>
          <w:sz w:val="20"/>
          <w:szCs w:val="20"/>
          <w:lang w:val="en-US" w:eastAsia="en-CA"/>
        </w:rPr>
        <w:t>In 1989, Mr.</w:t>
      </w:r>
      <w:r w:rsidRPr="00DC6331">
        <w:rPr>
          <w:rFonts w:eastAsia="Times New Roman" w:cs="Times New Roman"/>
          <w:sz w:val="20"/>
          <w:szCs w:val="20"/>
          <w:lang w:eastAsia="en-CA"/>
        </w:rPr>
        <w:t xml:space="preserve"> </w:t>
      </w:r>
      <w:proofErr w:type="spellStart"/>
      <w:r w:rsidRPr="00DC6331">
        <w:rPr>
          <w:rFonts w:eastAsia="Times New Roman" w:cs="Times New Roman"/>
          <w:sz w:val="20"/>
          <w:szCs w:val="20"/>
          <w:lang w:eastAsia="en-CA"/>
        </w:rPr>
        <w:t>Moloney</w:t>
      </w:r>
      <w:proofErr w:type="spellEnd"/>
      <w:r w:rsidRPr="00DC6331">
        <w:rPr>
          <w:rFonts w:eastAsia="Times New Roman" w:cs="Times New Roman"/>
          <w:sz w:val="20"/>
          <w:szCs w:val="20"/>
          <w:lang w:val="en-US" w:eastAsia="en-CA"/>
        </w:rPr>
        <w:t xml:space="preserve"> </w:t>
      </w:r>
      <w:r w:rsidRPr="00DC6331">
        <w:rPr>
          <w:rFonts w:eastAsia="Times New Roman" w:cs="Times New Roman"/>
          <w:sz w:val="20"/>
          <w:szCs w:val="20"/>
          <w:lang w:eastAsia="en-CA"/>
        </w:rPr>
        <w:t>was responsible for a motor vehicle accident in Alberta.</w:t>
      </w:r>
      <w:r w:rsidRPr="00DC6331">
        <w:rPr>
          <w:rFonts w:eastAsia="Times New Roman" w:cs="Times New Roman"/>
          <w:sz w:val="20"/>
          <w:szCs w:val="20"/>
          <w:lang w:val="en-US" w:eastAsia="en-CA"/>
        </w:rPr>
        <w:t xml:space="preserve"> </w:t>
      </w:r>
      <w:r w:rsidRPr="00DC6331">
        <w:rPr>
          <w:rFonts w:eastAsia="Times New Roman" w:cs="Times New Roman"/>
          <w:sz w:val="20"/>
          <w:szCs w:val="20"/>
          <w:lang w:eastAsia="en-CA"/>
        </w:rPr>
        <w:t>He</w:t>
      </w:r>
      <w:r w:rsidRPr="00DC6331">
        <w:rPr>
          <w:rFonts w:eastAsia="Times New Roman" w:cs="Times New Roman"/>
          <w:sz w:val="20"/>
          <w:szCs w:val="20"/>
          <w:lang w:val="en-US" w:eastAsia="en-CA"/>
        </w:rPr>
        <w:t xml:space="preserve"> </w:t>
      </w:r>
      <w:r w:rsidRPr="00DC6331">
        <w:rPr>
          <w:rFonts w:eastAsia="Times New Roman" w:cs="Times New Roman"/>
          <w:sz w:val="20"/>
          <w:szCs w:val="20"/>
          <w:lang w:eastAsia="en-CA"/>
        </w:rPr>
        <w:t xml:space="preserve">was uninsured.  </w:t>
      </w:r>
      <w:r w:rsidRPr="00DC6331">
        <w:rPr>
          <w:rFonts w:eastAsia="Times New Roman" w:cs="Times New Roman"/>
          <w:sz w:val="20"/>
          <w:szCs w:val="20"/>
          <w:lang w:val="en-US" w:eastAsia="en-CA"/>
        </w:rPr>
        <w:t>A party injured in the accident</w:t>
      </w:r>
      <w:r w:rsidRPr="00DC6331">
        <w:rPr>
          <w:rFonts w:eastAsia="Times New Roman" w:cs="Times New Roman"/>
          <w:sz w:val="20"/>
          <w:szCs w:val="20"/>
          <w:lang w:eastAsia="en-CA"/>
        </w:rPr>
        <w:t xml:space="preserve"> obtained default judgment against him and assigned the judgment to Alberta’s Administrator of Motor</w:t>
      </w:r>
      <w:r w:rsidRPr="00DC6331">
        <w:rPr>
          <w:rFonts w:eastAsia="Times New Roman" w:cs="Times New Roman"/>
          <w:i/>
          <w:sz w:val="20"/>
          <w:szCs w:val="20"/>
          <w:lang w:eastAsia="en-CA"/>
        </w:rPr>
        <w:t xml:space="preserve"> </w:t>
      </w:r>
      <w:r w:rsidRPr="00DC6331">
        <w:rPr>
          <w:rFonts w:eastAsia="Times New Roman" w:cs="Times New Roman"/>
          <w:sz w:val="20"/>
          <w:szCs w:val="20"/>
          <w:lang w:eastAsia="en-CA"/>
        </w:rPr>
        <w:t>Vehicle Accident Claims. The</w:t>
      </w:r>
      <w:r w:rsidRPr="00DC6331">
        <w:rPr>
          <w:rFonts w:eastAsia="Times New Roman" w:cs="Times New Roman"/>
          <w:sz w:val="20"/>
          <w:szCs w:val="20"/>
          <w:lang w:val="en-US" w:eastAsia="en-CA"/>
        </w:rPr>
        <w:t xml:space="preserve"> Administrator became the judgment creditor</w:t>
      </w:r>
      <w:r w:rsidRPr="00DC6331">
        <w:rPr>
          <w:rFonts w:eastAsia="Times New Roman" w:cs="Times New Roman"/>
          <w:sz w:val="20"/>
          <w:szCs w:val="20"/>
          <w:lang w:eastAsia="en-CA"/>
        </w:rPr>
        <w:t xml:space="preserve">.  </w:t>
      </w:r>
      <w:r w:rsidRPr="00DC6331">
        <w:rPr>
          <w:rFonts w:eastAsia="Times New Roman" w:cs="Times New Roman"/>
          <w:sz w:val="20"/>
          <w:szCs w:val="20"/>
          <w:lang w:val="en-US" w:eastAsia="en-CA"/>
        </w:rPr>
        <w:t xml:space="preserve">Mr. </w:t>
      </w:r>
      <w:proofErr w:type="spellStart"/>
      <w:r w:rsidRPr="00DC6331">
        <w:rPr>
          <w:rFonts w:eastAsia="Times New Roman" w:cs="Times New Roman"/>
          <w:sz w:val="20"/>
          <w:szCs w:val="20"/>
          <w:lang w:val="en-US" w:eastAsia="en-CA"/>
        </w:rPr>
        <w:t>Moloney</w:t>
      </w:r>
      <w:proofErr w:type="spellEnd"/>
      <w:r w:rsidRPr="00DC6331">
        <w:rPr>
          <w:rFonts w:eastAsia="Times New Roman" w:cs="Times New Roman"/>
          <w:sz w:val="20"/>
          <w:szCs w:val="20"/>
          <w:lang w:val="en-US" w:eastAsia="en-CA"/>
        </w:rPr>
        <w:t xml:space="preserve"> failed to satisfy the judgment debt. Pursuant to enforcement powers under s. 102(2) of the </w:t>
      </w:r>
      <w:r w:rsidRPr="00DC6331">
        <w:rPr>
          <w:rFonts w:eastAsia="Times New Roman" w:cs="Times New Roman"/>
          <w:i/>
          <w:sz w:val="20"/>
          <w:szCs w:val="20"/>
          <w:lang w:eastAsia="en-CA"/>
        </w:rPr>
        <w:t>Traffic Safety Act</w:t>
      </w:r>
      <w:r w:rsidRPr="00DC6331">
        <w:rPr>
          <w:rFonts w:eastAsia="Times New Roman" w:cs="Times New Roman"/>
          <w:sz w:val="20"/>
          <w:szCs w:val="20"/>
          <w:lang w:eastAsia="en-CA"/>
        </w:rPr>
        <w:t xml:space="preserve">, RSA 2000, c. T-6, Alberta’s </w:t>
      </w:r>
      <w:r w:rsidRPr="00DC6331">
        <w:rPr>
          <w:rFonts w:eastAsia="Times New Roman" w:cs="Times New Roman"/>
          <w:sz w:val="20"/>
          <w:szCs w:val="20"/>
          <w:lang w:val="en-US" w:eastAsia="en-CA"/>
        </w:rPr>
        <w:t>Registrar</w:t>
      </w:r>
      <w:r w:rsidRPr="00DC6331">
        <w:rPr>
          <w:rFonts w:eastAsia="Times New Roman" w:cs="Times New Roman"/>
          <w:i/>
          <w:sz w:val="20"/>
          <w:szCs w:val="20"/>
          <w:lang w:eastAsia="en-CA"/>
        </w:rPr>
        <w:t xml:space="preserve"> </w:t>
      </w:r>
      <w:r w:rsidRPr="00DC6331">
        <w:rPr>
          <w:rFonts w:eastAsia="Times New Roman" w:cs="Times New Roman"/>
          <w:sz w:val="20"/>
          <w:szCs w:val="20"/>
          <w:lang w:val="en-US" w:eastAsia="en-CA"/>
        </w:rPr>
        <w:t xml:space="preserve">of Motor Vehicles </w:t>
      </w:r>
      <w:r w:rsidRPr="00DC6331">
        <w:rPr>
          <w:rFonts w:eastAsia="Times New Roman" w:cs="Times New Roman"/>
          <w:sz w:val="20"/>
          <w:szCs w:val="20"/>
          <w:lang w:eastAsia="en-CA"/>
        </w:rPr>
        <w:t xml:space="preserve">suspended registration of </w:t>
      </w:r>
      <w:r w:rsidRPr="00DC6331">
        <w:rPr>
          <w:rFonts w:eastAsia="Times New Roman" w:cs="Times New Roman"/>
          <w:sz w:val="20"/>
          <w:szCs w:val="20"/>
          <w:lang w:val="en-US" w:eastAsia="en-CA"/>
        </w:rPr>
        <w:t xml:space="preserve">Mr. </w:t>
      </w:r>
      <w:proofErr w:type="spellStart"/>
      <w:r w:rsidRPr="00DC6331">
        <w:rPr>
          <w:rFonts w:eastAsia="Times New Roman" w:cs="Times New Roman"/>
          <w:sz w:val="20"/>
          <w:szCs w:val="20"/>
          <w:lang w:val="en-US" w:eastAsia="en-CA"/>
        </w:rPr>
        <w:t>Moloney’s</w:t>
      </w:r>
      <w:proofErr w:type="spellEnd"/>
      <w:r w:rsidRPr="00DC6331">
        <w:rPr>
          <w:rFonts w:eastAsia="Times New Roman" w:cs="Times New Roman"/>
          <w:sz w:val="20"/>
          <w:szCs w:val="20"/>
          <w:lang w:eastAsia="en-CA"/>
        </w:rPr>
        <w:t xml:space="preserve"> motor vehicle permit and his operator’s license. </w:t>
      </w:r>
      <w:r w:rsidRPr="00DC6331">
        <w:rPr>
          <w:rFonts w:eastAsia="Times New Roman" w:cs="Times New Roman"/>
          <w:sz w:val="20"/>
          <w:szCs w:val="20"/>
          <w:lang w:val="en-US" w:eastAsia="en-CA"/>
        </w:rPr>
        <w:t xml:space="preserve">Mr. </w:t>
      </w:r>
      <w:proofErr w:type="spellStart"/>
      <w:r w:rsidRPr="00DC6331">
        <w:rPr>
          <w:rFonts w:eastAsia="Times New Roman" w:cs="Times New Roman"/>
          <w:sz w:val="20"/>
          <w:szCs w:val="20"/>
          <w:lang w:val="en-US" w:eastAsia="en-CA"/>
        </w:rPr>
        <w:t>Moloney</w:t>
      </w:r>
      <w:proofErr w:type="spellEnd"/>
      <w:r w:rsidRPr="00DC6331">
        <w:rPr>
          <w:rFonts w:eastAsia="Times New Roman" w:cs="Times New Roman"/>
          <w:sz w:val="20"/>
          <w:szCs w:val="20"/>
          <w:lang w:eastAsia="en-CA"/>
        </w:rPr>
        <w:t xml:space="preserve"> applied for bankruptcy</w:t>
      </w:r>
      <w:r w:rsidRPr="00DC6331">
        <w:rPr>
          <w:rFonts w:eastAsia="Times New Roman" w:cs="Times New Roman"/>
          <w:sz w:val="20"/>
          <w:szCs w:val="20"/>
          <w:lang w:val="en-US" w:eastAsia="en-CA"/>
        </w:rPr>
        <w:t xml:space="preserve"> and </w:t>
      </w:r>
      <w:r w:rsidRPr="00DC6331">
        <w:rPr>
          <w:rFonts w:eastAsia="Times New Roman" w:cs="Times New Roman"/>
          <w:sz w:val="20"/>
          <w:szCs w:val="20"/>
          <w:lang w:eastAsia="en-CA"/>
        </w:rPr>
        <w:t>was granted an absolute discharge on June 17, 2011.</w:t>
      </w:r>
      <w:r w:rsidRPr="00DC6331">
        <w:rPr>
          <w:rFonts w:eastAsia="Times New Roman" w:cs="Times New Roman"/>
          <w:sz w:val="20"/>
          <w:szCs w:val="20"/>
          <w:lang w:val="en-US" w:eastAsia="en-CA"/>
        </w:rPr>
        <w:t xml:space="preserve"> Despite the discharge from bankruptcy, </w:t>
      </w:r>
      <w:r w:rsidRPr="00DC6331">
        <w:rPr>
          <w:rFonts w:eastAsia="Times New Roman" w:cs="Times New Roman"/>
          <w:sz w:val="20"/>
          <w:szCs w:val="20"/>
          <w:lang w:eastAsia="en-CA"/>
        </w:rPr>
        <w:t xml:space="preserve">Mr. </w:t>
      </w:r>
      <w:proofErr w:type="spellStart"/>
      <w:r w:rsidRPr="00DC6331">
        <w:rPr>
          <w:rFonts w:eastAsia="Times New Roman" w:cs="Times New Roman"/>
          <w:sz w:val="20"/>
          <w:szCs w:val="20"/>
          <w:lang w:eastAsia="en-CA"/>
        </w:rPr>
        <w:t>Moloney’s</w:t>
      </w:r>
      <w:proofErr w:type="spellEnd"/>
      <w:r w:rsidRPr="00DC6331">
        <w:rPr>
          <w:rFonts w:eastAsia="Times New Roman" w:cs="Times New Roman"/>
          <w:sz w:val="20"/>
          <w:szCs w:val="20"/>
          <w:lang w:eastAsia="en-CA"/>
        </w:rPr>
        <w:t xml:space="preserve"> failure to satisfy the judgment debt or to enter an agreement to pay the debt in installments resulted in a mandatory revival of </w:t>
      </w:r>
      <w:r w:rsidRPr="00DC6331">
        <w:rPr>
          <w:rFonts w:eastAsia="Times New Roman" w:cs="Times New Roman"/>
          <w:sz w:val="20"/>
          <w:szCs w:val="20"/>
          <w:lang w:val="en-US" w:eastAsia="en-CA"/>
        </w:rPr>
        <w:t>his</w:t>
      </w:r>
      <w:r w:rsidRPr="00DC6331">
        <w:rPr>
          <w:rFonts w:eastAsia="Times New Roman" w:cs="Times New Roman"/>
          <w:sz w:val="20"/>
          <w:szCs w:val="20"/>
          <w:lang w:eastAsia="en-CA"/>
        </w:rPr>
        <w:t xml:space="preserve"> disqualification from driving and suspension of his vehicle registration.  </w:t>
      </w:r>
    </w:p>
    <w:p w:rsidR="006F08CD" w:rsidRPr="00DC6331" w:rsidRDefault="006F08CD" w:rsidP="006F08CD">
      <w:pPr>
        <w:widowControl w:val="0"/>
        <w:jc w:val="both"/>
        <w:rPr>
          <w:rFonts w:eastAsia="Times New Roman" w:cs="Times New Roman"/>
          <w:sz w:val="20"/>
          <w:szCs w:val="20"/>
          <w:lang w:eastAsia="en-CA"/>
        </w:rPr>
      </w:pPr>
    </w:p>
    <w:p w:rsidR="006F08CD" w:rsidRPr="00DC6331" w:rsidRDefault="006F08CD" w:rsidP="006F08CD">
      <w:pPr>
        <w:widowControl w:val="0"/>
        <w:jc w:val="both"/>
        <w:rPr>
          <w:rFonts w:eastAsia="Times New Roman" w:cs="Times New Roman"/>
          <w:sz w:val="20"/>
          <w:szCs w:val="20"/>
          <w:lang w:eastAsia="en-CA"/>
        </w:rPr>
      </w:pPr>
    </w:p>
    <w:p w:rsidR="006F08CD" w:rsidRPr="00DC6331" w:rsidRDefault="006F08CD" w:rsidP="006F08CD">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Origin of the case:</w:t>
      </w:r>
      <w:r w:rsidRPr="00DC6331">
        <w:rPr>
          <w:rFonts w:eastAsia="Times New Roman" w:cs="Times New Roman"/>
          <w:sz w:val="20"/>
          <w:szCs w:val="20"/>
          <w:lang w:eastAsia="en-CA"/>
        </w:rPr>
        <w:tab/>
        <w:t>Alberta</w:t>
      </w:r>
    </w:p>
    <w:p w:rsidR="006F08CD" w:rsidRPr="00DC6331" w:rsidRDefault="006F08CD" w:rsidP="006F08CD">
      <w:pPr>
        <w:widowControl w:val="0"/>
        <w:ind w:left="2880" w:hanging="2880"/>
        <w:jc w:val="both"/>
        <w:rPr>
          <w:rFonts w:eastAsia="Times New Roman" w:cs="Times New Roman"/>
          <w:sz w:val="20"/>
          <w:szCs w:val="20"/>
          <w:lang w:eastAsia="en-CA"/>
        </w:rPr>
      </w:pPr>
    </w:p>
    <w:p w:rsidR="006F08CD" w:rsidRPr="00DC6331" w:rsidRDefault="006F08CD" w:rsidP="006F08CD">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File No.:</w:t>
      </w:r>
      <w:r w:rsidRPr="00DC6331">
        <w:rPr>
          <w:rFonts w:eastAsia="Times New Roman" w:cs="Times New Roman"/>
          <w:sz w:val="20"/>
          <w:szCs w:val="20"/>
          <w:lang w:eastAsia="en-CA"/>
        </w:rPr>
        <w:tab/>
        <w:t>35820</w:t>
      </w:r>
    </w:p>
    <w:p w:rsidR="006F08CD" w:rsidRPr="00DC6331" w:rsidRDefault="006F08CD" w:rsidP="006F08CD">
      <w:pPr>
        <w:widowControl w:val="0"/>
        <w:ind w:left="2880" w:hanging="2880"/>
        <w:jc w:val="both"/>
        <w:rPr>
          <w:rFonts w:eastAsia="Times New Roman" w:cs="Times New Roman"/>
          <w:sz w:val="20"/>
          <w:szCs w:val="20"/>
          <w:lang w:eastAsia="en-CA"/>
        </w:rPr>
      </w:pPr>
    </w:p>
    <w:p w:rsidR="006F08CD" w:rsidRPr="00DC6331" w:rsidRDefault="006F08CD" w:rsidP="006F08CD">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Judgment of the Court of Appeal:</w:t>
      </w:r>
      <w:r w:rsidRPr="00DC6331">
        <w:rPr>
          <w:rFonts w:eastAsia="Times New Roman" w:cs="Times New Roman"/>
          <w:sz w:val="20"/>
          <w:szCs w:val="20"/>
          <w:lang w:eastAsia="en-CA"/>
        </w:rPr>
        <w:tab/>
        <w:t>February 13, 2014</w:t>
      </w:r>
    </w:p>
    <w:p w:rsidR="006F08CD" w:rsidRPr="00DC6331" w:rsidRDefault="006F08CD" w:rsidP="006F08CD">
      <w:pPr>
        <w:widowControl w:val="0"/>
        <w:ind w:left="2880" w:hanging="2880"/>
        <w:jc w:val="both"/>
        <w:rPr>
          <w:rFonts w:eastAsia="Times New Roman" w:cs="Times New Roman"/>
          <w:sz w:val="20"/>
          <w:szCs w:val="20"/>
          <w:lang w:eastAsia="en-CA"/>
        </w:rPr>
      </w:pPr>
    </w:p>
    <w:p w:rsidR="006F08CD" w:rsidRPr="00DC6331" w:rsidRDefault="006F08CD" w:rsidP="006F08CD">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Counsel:</w:t>
      </w:r>
      <w:r w:rsidRPr="00DC6331">
        <w:rPr>
          <w:rFonts w:eastAsia="Times New Roman" w:cs="Times New Roman"/>
          <w:sz w:val="20"/>
          <w:szCs w:val="20"/>
          <w:lang w:eastAsia="en-CA"/>
        </w:rPr>
        <w:tab/>
        <w:t xml:space="preserve">Lillian </w:t>
      </w:r>
      <w:proofErr w:type="spellStart"/>
      <w:r w:rsidRPr="00DC6331">
        <w:rPr>
          <w:rFonts w:eastAsia="Times New Roman" w:cs="Times New Roman"/>
          <w:sz w:val="20"/>
          <w:szCs w:val="20"/>
          <w:lang w:eastAsia="en-CA"/>
        </w:rPr>
        <w:t>Riczu</w:t>
      </w:r>
      <w:proofErr w:type="spellEnd"/>
      <w:r w:rsidRPr="00DC6331">
        <w:rPr>
          <w:rFonts w:eastAsia="Times New Roman" w:cs="Times New Roman"/>
          <w:sz w:val="20"/>
          <w:szCs w:val="20"/>
          <w:lang w:eastAsia="en-CA"/>
        </w:rPr>
        <w:t xml:space="preserve"> and Randy Steele for the </w:t>
      </w:r>
      <w:r w:rsidR="003212CE" w:rsidRPr="00DC6331">
        <w:rPr>
          <w:rFonts w:eastAsia="Times New Roman" w:cs="Times New Roman"/>
          <w:sz w:val="20"/>
          <w:szCs w:val="20"/>
          <w:lang w:eastAsia="en-CA"/>
        </w:rPr>
        <w:t>a</w:t>
      </w:r>
      <w:r w:rsidRPr="00DC6331">
        <w:rPr>
          <w:rFonts w:eastAsia="Times New Roman" w:cs="Times New Roman"/>
          <w:sz w:val="20"/>
          <w:szCs w:val="20"/>
          <w:lang w:eastAsia="en-CA"/>
        </w:rPr>
        <w:t>ppellant</w:t>
      </w:r>
    </w:p>
    <w:p w:rsidR="006F08CD" w:rsidRPr="00DC6331" w:rsidRDefault="006F08CD" w:rsidP="006F08CD">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ab/>
        <w:t xml:space="preserve">Jeremy Newton for the </w:t>
      </w:r>
      <w:r w:rsidR="003212CE" w:rsidRPr="00DC6331">
        <w:rPr>
          <w:rFonts w:eastAsia="Times New Roman" w:cs="Times New Roman"/>
          <w:sz w:val="20"/>
          <w:szCs w:val="20"/>
          <w:lang w:eastAsia="en-CA"/>
        </w:rPr>
        <w:t>r</w:t>
      </w:r>
      <w:r w:rsidRPr="00DC6331">
        <w:rPr>
          <w:rFonts w:eastAsia="Times New Roman" w:cs="Times New Roman"/>
          <w:sz w:val="20"/>
          <w:szCs w:val="20"/>
          <w:lang w:eastAsia="en-CA"/>
        </w:rPr>
        <w:t>espondent</w:t>
      </w:r>
    </w:p>
    <w:p w:rsidR="00CC3535" w:rsidRPr="006F08CD"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87"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6F08CD" w:rsidRPr="00DC6331" w:rsidRDefault="00BD696F" w:rsidP="006F08CD">
      <w:pPr>
        <w:widowControl w:val="0"/>
        <w:ind w:left="720" w:hanging="720"/>
        <w:contextualSpacing/>
        <w:jc w:val="both"/>
        <w:rPr>
          <w:rFonts w:eastAsia="Times New Roman" w:cs="Times New Roman"/>
          <w:sz w:val="20"/>
          <w:szCs w:val="20"/>
          <w:lang w:val="fr-CA" w:eastAsia="en-CA"/>
        </w:rPr>
      </w:pPr>
      <w:r w:rsidRPr="00DC6331">
        <w:rPr>
          <w:rFonts w:eastAsia="Times New Roman" w:cs="Times New Roman"/>
          <w:b/>
          <w:sz w:val="20"/>
          <w:szCs w:val="20"/>
          <w:lang w:val="fr-CA" w:eastAsia="en-CA"/>
        </w:rPr>
        <w:lastRenderedPageBreak/>
        <w:fldChar w:fldCharType="begin"/>
      </w:r>
      <w:r w:rsidR="006F08CD" w:rsidRPr="00DC6331">
        <w:rPr>
          <w:rFonts w:eastAsia="Times New Roman" w:cs="Times New Roman"/>
          <w:b/>
          <w:sz w:val="20"/>
          <w:szCs w:val="20"/>
          <w:lang w:val="fr-CA" w:eastAsia="en-CA"/>
        </w:rPr>
        <w:instrText xml:space="preserve"> SEQ CHAPTER \h \r 1</w:instrText>
      </w:r>
      <w:r w:rsidRPr="00DC6331">
        <w:rPr>
          <w:rFonts w:eastAsia="Times New Roman" w:cs="Times New Roman"/>
          <w:b/>
          <w:sz w:val="20"/>
          <w:szCs w:val="20"/>
          <w:lang w:val="fr-CA" w:eastAsia="en-CA"/>
        </w:rPr>
        <w:fldChar w:fldCharType="end"/>
      </w:r>
      <w:r w:rsidR="006F08CD" w:rsidRPr="00DC6331">
        <w:rPr>
          <w:rFonts w:eastAsia="Times New Roman" w:cs="Times New Roman"/>
          <w:b/>
          <w:sz w:val="20"/>
          <w:szCs w:val="20"/>
          <w:lang w:val="fr-CA" w:eastAsia="en-CA"/>
        </w:rPr>
        <w:t>35820</w:t>
      </w:r>
      <w:r w:rsidR="006F08CD" w:rsidRPr="00DC6331">
        <w:rPr>
          <w:rFonts w:eastAsia="Times New Roman" w:cs="Times New Roman"/>
          <w:sz w:val="20"/>
          <w:szCs w:val="20"/>
          <w:lang w:val="fr-CA" w:eastAsia="en-CA"/>
        </w:rPr>
        <w:tab/>
      </w:r>
      <w:r w:rsidR="006F08CD" w:rsidRPr="00DC6331">
        <w:rPr>
          <w:rFonts w:eastAsia="Times New Roman" w:cs="Times New Roman"/>
          <w:b/>
          <w:i/>
          <w:sz w:val="20"/>
          <w:szCs w:val="20"/>
          <w:lang w:val="fr-CA" w:eastAsia="en-CA"/>
        </w:rPr>
        <w:t xml:space="preserve">Procureur général de l’Alberta c. Joseph William </w:t>
      </w:r>
      <w:proofErr w:type="spellStart"/>
      <w:r w:rsidR="006F08CD" w:rsidRPr="00DC6331">
        <w:rPr>
          <w:rFonts w:eastAsia="Times New Roman" w:cs="Times New Roman"/>
          <w:b/>
          <w:i/>
          <w:sz w:val="20"/>
          <w:szCs w:val="20"/>
          <w:lang w:val="fr-CA" w:eastAsia="en-CA"/>
        </w:rPr>
        <w:t>Moloney</w:t>
      </w:r>
      <w:proofErr w:type="spellEnd"/>
    </w:p>
    <w:p w:rsidR="006F08CD" w:rsidRPr="00DC6331" w:rsidRDefault="006F08CD" w:rsidP="006F08CD">
      <w:pPr>
        <w:widowControl w:val="0"/>
        <w:jc w:val="both"/>
        <w:rPr>
          <w:rFonts w:eastAsia="Times New Roman" w:cs="Times New Roman"/>
          <w:sz w:val="20"/>
          <w:szCs w:val="20"/>
          <w:lang w:val="fr-CA" w:eastAsia="en-CA"/>
        </w:rPr>
      </w:pPr>
    </w:p>
    <w:p w:rsidR="006F08CD" w:rsidRPr="00DC6331" w:rsidRDefault="006F08CD" w:rsidP="006F08CD">
      <w:pPr>
        <w:jc w:val="both"/>
        <w:rPr>
          <w:rFonts w:eastAsia="Times New Roman" w:cs="Times New Roman"/>
          <w:sz w:val="20"/>
          <w:szCs w:val="20"/>
          <w:lang w:val="fr-CA" w:eastAsia="en-CA"/>
        </w:rPr>
      </w:pPr>
      <w:r w:rsidRPr="00DC6331">
        <w:rPr>
          <w:rFonts w:eastAsia="Times New Roman" w:cs="Times New Roman"/>
          <w:sz w:val="20"/>
          <w:szCs w:val="20"/>
          <w:lang w:val="fr-CA" w:eastAsia="en-CA"/>
        </w:rPr>
        <w:t>Droit constitutionnel - Prépondérance fédérale - Automobiliste non assuré responsable d’un accident de la route en Alberta - Jugement contre l’automobiliste, relativement aux blessures causées à autrui, cédé à l’</w:t>
      </w:r>
      <w:proofErr w:type="spellStart"/>
      <w:r w:rsidRPr="00DC6331">
        <w:rPr>
          <w:rFonts w:eastAsia="Times New Roman" w:cs="Times New Roman"/>
          <w:sz w:val="20"/>
          <w:szCs w:val="20"/>
          <w:lang w:val="fr-CA" w:eastAsia="en-CA"/>
        </w:rPr>
        <w:t>Administrator</w:t>
      </w:r>
      <w:proofErr w:type="spellEnd"/>
      <w:r w:rsidRPr="00DC6331">
        <w:rPr>
          <w:rFonts w:eastAsia="Times New Roman" w:cs="Times New Roman"/>
          <w:sz w:val="20"/>
          <w:szCs w:val="20"/>
          <w:lang w:val="fr-CA" w:eastAsia="en-CA"/>
        </w:rPr>
        <w:t xml:space="preserve"> of </w:t>
      </w:r>
      <w:proofErr w:type="spellStart"/>
      <w:r w:rsidRPr="00DC6331">
        <w:rPr>
          <w:rFonts w:eastAsia="Times New Roman" w:cs="Times New Roman"/>
          <w:sz w:val="20"/>
          <w:szCs w:val="20"/>
          <w:lang w:val="fr-CA" w:eastAsia="en-CA"/>
        </w:rPr>
        <w:t>Motor</w:t>
      </w:r>
      <w:proofErr w:type="spellEnd"/>
      <w:r w:rsidRPr="00DC6331">
        <w:rPr>
          <w:rFonts w:eastAsia="Times New Roman" w:cs="Times New Roman"/>
          <w:sz w:val="20"/>
          <w:szCs w:val="20"/>
          <w:lang w:val="fr-CA" w:eastAsia="en-CA"/>
        </w:rPr>
        <w:t xml:space="preserve"> </w:t>
      </w:r>
      <w:proofErr w:type="spellStart"/>
      <w:r w:rsidRPr="00DC6331">
        <w:rPr>
          <w:rFonts w:eastAsia="Times New Roman" w:cs="Times New Roman"/>
          <w:sz w:val="20"/>
          <w:szCs w:val="20"/>
          <w:lang w:val="fr-CA" w:eastAsia="en-CA"/>
        </w:rPr>
        <w:t>Vehicle</w:t>
      </w:r>
      <w:proofErr w:type="spellEnd"/>
      <w:r w:rsidRPr="00DC6331">
        <w:rPr>
          <w:rFonts w:eastAsia="Times New Roman" w:cs="Times New Roman"/>
          <w:sz w:val="20"/>
          <w:szCs w:val="20"/>
          <w:lang w:val="fr-CA" w:eastAsia="en-CA"/>
        </w:rPr>
        <w:t xml:space="preserve"> Accident Claims - L’automobiliste n’a pas acquitté la dette constatée par jugement - Le </w:t>
      </w:r>
      <w:proofErr w:type="spellStart"/>
      <w:r w:rsidRPr="00DC6331">
        <w:rPr>
          <w:rFonts w:eastAsia="Times New Roman" w:cs="Times New Roman"/>
          <w:sz w:val="20"/>
          <w:szCs w:val="20"/>
          <w:lang w:val="fr-CA" w:eastAsia="en-CA"/>
        </w:rPr>
        <w:t>Registrar</w:t>
      </w:r>
      <w:proofErr w:type="spellEnd"/>
      <w:r w:rsidRPr="00DC6331">
        <w:rPr>
          <w:rFonts w:eastAsia="Times New Roman" w:cs="Times New Roman"/>
          <w:sz w:val="20"/>
          <w:szCs w:val="20"/>
          <w:lang w:val="fr-CA" w:eastAsia="en-CA"/>
        </w:rPr>
        <w:t xml:space="preserve"> of </w:t>
      </w:r>
      <w:proofErr w:type="spellStart"/>
      <w:r w:rsidRPr="00DC6331">
        <w:rPr>
          <w:rFonts w:eastAsia="Times New Roman" w:cs="Times New Roman"/>
          <w:sz w:val="20"/>
          <w:szCs w:val="20"/>
          <w:lang w:val="fr-CA" w:eastAsia="en-CA"/>
        </w:rPr>
        <w:t>Motor</w:t>
      </w:r>
      <w:proofErr w:type="spellEnd"/>
      <w:r w:rsidRPr="00DC6331">
        <w:rPr>
          <w:rFonts w:eastAsia="Times New Roman" w:cs="Times New Roman"/>
          <w:sz w:val="20"/>
          <w:szCs w:val="20"/>
          <w:lang w:val="fr-CA" w:eastAsia="en-CA"/>
        </w:rPr>
        <w:t xml:space="preserve"> </w:t>
      </w:r>
      <w:proofErr w:type="spellStart"/>
      <w:r w:rsidRPr="00DC6331">
        <w:rPr>
          <w:rFonts w:eastAsia="Times New Roman" w:cs="Times New Roman"/>
          <w:sz w:val="20"/>
          <w:szCs w:val="20"/>
          <w:lang w:val="fr-CA" w:eastAsia="en-CA"/>
        </w:rPr>
        <w:t>Vehicles</w:t>
      </w:r>
      <w:proofErr w:type="spellEnd"/>
      <w:r w:rsidRPr="00DC6331">
        <w:rPr>
          <w:rFonts w:eastAsia="Times New Roman" w:cs="Times New Roman"/>
          <w:sz w:val="20"/>
          <w:szCs w:val="20"/>
          <w:lang w:val="fr-CA" w:eastAsia="en-CA"/>
        </w:rPr>
        <w:t xml:space="preserve"> de l’Alberta est obligé de suspendre l’immatriculation d’un véhicule automobile et le permis du conducteur jusqu’à ce que l’automobiliste rembourse la dette constatée par jugement ou conclue une entente de remboursement par versements échelonnés - L’automobiliste a obtenu une libération absolue de faillite - Le </w:t>
      </w:r>
      <w:proofErr w:type="spellStart"/>
      <w:r w:rsidRPr="00DC6331">
        <w:rPr>
          <w:rFonts w:eastAsia="Times New Roman" w:cs="Times New Roman"/>
          <w:sz w:val="20"/>
          <w:szCs w:val="20"/>
          <w:lang w:val="fr-CA" w:eastAsia="en-CA"/>
        </w:rPr>
        <w:t>Registrar</w:t>
      </w:r>
      <w:proofErr w:type="spellEnd"/>
      <w:r w:rsidRPr="00DC6331">
        <w:rPr>
          <w:rFonts w:eastAsia="Times New Roman" w:cs="Times New Roman"/>
          <w:sz w:val="20"/>
          <w:szCs w:val="20"/>
          <w:lang w:val="fr-CA" w:eastAsia="en-CA"/>
        </w:rPr>
        <w:t xml:space="preserve"> refuse de mettre fin à la suspension des privilèges en matière de conduite - </w:t>
      </w:r>
      <w:r w:rsidRPr="00DC6331">
        <w:rPr>
          <w:rFonts w:eastAsia="Times New Roman" w:cs="Times New Roman"/>
          <w:sz w:val="20"/>
          <w:szCs w:val="20"/>
          <w:lang w:val="fr-CA"/>
        </w:rPr>
        <w:t>Le par</w:t>
      </w:r>
      <w:r w:rsidRPr="00DC6331">
        <w:rPr>
          <w:rFonts w:eastAsia="Times New Roman" w:cs="Times New Roman"/>
          <w:sz w:val="20"/>
          <w:szCs w:val="20"/>
          <w:lang w:val="fr-CA" w:eastAsia="en-CA"/>
        </w:rPr>
        <w:t xml:space="preserve">. 102(2) de la Traffic </w:t>
      </w:r>
      <w:proofErr w:type="spellStart"/>
      <w:r w:rsidRPr="00DC6331">
        <w:rPr>
          <w:rFonts w:eastAsia="Times New Roman" w:cs="Times New Roman"/>
          <w:sz w:val="20"/>
          <w:szCs w:val="20"/>
          <w:lang w:val="fr-CA" w:eastAsia="en-CA"/>
        </w:rPr>
        <w:t>Safety</w:t>
      </w:r>
      <w:proofErr w:type="spellEnd"/>
      <w:r w:rsidRPr="00DC6331">
        <w:rPr>
          <w:rFonts w:eastAsia="Times New Roman" w:cs="Times New Roman"/>
          <w:sz w:val="20"/>
          <w:szCs w:val="20"/>
          <w:lang w:val="fr-CA" w:eastAsia="en-CA"/>
        </w:rPr>
        <w:t xml:space="preserve"> </w:t>
      </w:r>
      <w:proofErr w:type="spellStart"/>
      <w:r w:rsidRPr="00DC6331">
        <w:rPr>
          <w:rFonts w:eastAsia="Times New Roman" w:cs="Times New Roman"/>
          <w:sz w:val="20"/>
          <w:szCs w:val="20"/>
          <w:lang w:val="fr-CA" w:eastAsia="en-CA"/>
        </w:rPr>
        <w:t>Act</w:t>
      </w:r>
      <w:proofErr w:type="spellEnd"/>
      <w:r w:rsidRPr="00DC6331">
        <w:rPr>
          <w:rFonts w:eastAsia="Times New Roman" w:cs="Times New Roman"/>
          <w:sz w:val="20"/>
          <w:szCs w:val="20"/>
          <w:lang w:val="fr-CA" w:eastAsia="en-CA"/>
        </w:rPr>
        <w:t xml:space="preserve"> est-il en conflit opérationnel avec la Loi sur la faillite et l’insolvabilité ou avec son objectif de réhabilitation et est-il constitutionnellement inopérant en raison de la doctrine de la prépondérance fédérale?</w:t>
      </w:r>
    </w:p>
    <w:p w:rsidR="006F08CD" w:rsidRPr="00DC6331" w:rsidRDefault="006F08CD" w:rsidP="006F08CD">
      <w:pPr>
        <w:widowControl w:val="0"/>
        <w:jc w:val="both"/>
        <w:rPr>
          <w:rFonts w:eastAsia="Times New Roman" w:cs="Times New Roman"/>
          <w:sz w:val="20"/>
          <w:szCs w:val="20"/>
          <w:lang w:val="fr-CA" w:eastAsia="en-CA"/>
        </w:rPr>
      </w:pPr>
    </w:p>
    <w:p w:rsidR="006F08CD" w:rsidRPr="00DC6331" w:rsidRDefault="006F08CD" w:rsidP="006F08CD">
      <w:pPr>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En 1989, M. </w:t>
      </w:r>
      <w:proofErr w:type="spellStart"/>
      <w:r w:rsidRPr="00DC6331">
        <w:rPr>
          <w:rFonts w:eastAsia="Times New Roman" w:cs="Times New Roman"/>
          <w:sz w:val="20"/>
          <w:szCs w:val="20"/>
          <w:lang w:val="fr-CA" w:eastAsia="en-CA"/>
        </w:rPr>
        <w:t>Moloney</w:t>
      </w:r>
      <w:proofErr w:type="spellEnd"/>
      <w:r w:rsidRPr="00DC6331">
        <w:rPr>
          <w:rFonts w:eastAsia="Times New Roman" w:cs="Times New Roman"/>
          <w:sz w:val="20"/>
          <w:szCs w:val="20"/>
          <w:lang w:val="fr-CA" w:eastAsia="en-CA"/>
        </w:rPr>
        <w:t xml:space="preserve"> était responsable d’un accident de la route en Alberta.  Il n’était pas assuré.  Une personne blessée dans l’accident a obtenu un jugement par défaut contre lui et a cédé le jugement à l’</w:t>
      </w:r>
      <w:proofErr w:type="spellStart"/>
      <w:r w:rsidRPr="00DC6331">
        <w:rPr>
          <w:rFonts w:eastAsia="Times New Roman" w:cs="Times New Roman"/>
          <w:i/>
          <w:sz w:val="20"/>
          <w:szCs w:val="20"/>
          <w:lang w:val="fr-CA" w:eastAsia="en-CA"/>
        </w:rPr>
        <w:t>Administrator</w:t>
      </w:r>
      <w:proofErr w:type="spellEnd"/>
      <w:r w:rsidRPr="00DC6331">
        <w:rPr>
          <w:rFonts w:eastAsia="Times New Roman" w:cs="Times New Roman"/>
          <w:i/>
          <w:sz w:val="20"/>
          <w:szCs w:val="20"/>
          <w:lang w:val="fr-CA" w:eastAsia="en-CA"/>
        </w:rPr>
        <w:t xml:space="preserve"> of </w:t>
      </w:r>
      <w:proofErr w:type="spellStart"/>
      <w:r w:rsidRPr="00DC6331">
        <w:rPr>
          <w:rFonts w:eastAsia="Times New Roman" w:cs="Times New Roman"/>
          <w:i/>
          <w:sz w:val="20"/>
          <w:szCs w:val="20"/>
          <w:lang w:val="fr-CA" w:eastAsia="en-CA"/>
        </w:rPr>
        <w:t>Motor</w:t>
      </w:r>
      <w:proofErr w:type="spellEnd"/>
      <w:r w:rsidRPr="00DC6331">
        <w:rPr>
          <w:rFonts w:eastAsia="Times New Roman" w:cs="Times New Roman"/>
          <w:i/>
          <w:sz w:val="20"/>
          <w:szCs w:val="20"/>
          <w:lang w:val="fr-CA" w:eastAsia="en-CA"/>
        </w:rPr>
        <w:t xml:space="preserve"> </w:t>
      </w:r>
      <w:proofErr w:type="spellStart"/>
      <w:r w:rsidRPr="00DC6331">
        <w:rPr>
          <w:rFonts w:eastAsia="Times New Roman" w:cs="Times New Roman"/>
          <w:i/>
          <w:sz w:val="20"/>
          <w:szCs w:val="20"/>
          <w:lang w:val="fr-CA" w:eastAsia="en-CA"/>
        </w:rPr>
        <w:t>Vehicle</w:t>
      </w:r>
      <w:proofErr w:type="spellEnd"/>
      <w:r w:rsidRPr="00DC6331">
        <w:rPr>
          <w:rFonts w:eastAsia="Times New Roman" w:cs="Times New Roman"/>
          <w:i/>
          <w:sz w:val="20"/>
          <w:szCs w:val="20"/>
          <w:lang w:val="fr-CA" w:eastAsia="en-CA"/>
        </w:rPr>
        <w:t xml:space="preserve"> Accident Claims</w:t>
      </w:r>
      <w:r w:rsidRPr="00DC6331">
        <w:rPr>
          <w:rFonts w:eastAsia="Times New Roman" w:cs="Times New Roman"/>
          <w:sz w:val="20"/>
          <w:szCs w:val="20"/>
          <w:lang w:val="fr-CA" w:eastAsia="en-CA"/>
        </w:rPr>
        <w:t xml:space="preserve"> de l’Alberta. L’</w:t>
      </w:r>
      <w:proofErr w:type="spellStart"/>
      <w:r w:rsidRPr="00DC6331">
        <w:rPr>
          <w:rFonts w:eastAsia="Times New Roman" w:cs="Times New Roman"/>
          <w:i/>
          <w:sz w:val="20"/>
          <w:szCs w:val="20"/>
          <w:lang w:val="fr-CA" w:eastAsia="en-CA"/>
        </w:rPr>
        <w:t>Administrator</w:t>
      </w:r>
      <w:proofErr w:type="spellEnd"/>
      <w:r w:rsidRPr="00DC6331">
        <w:rPr>
          <w:rFonts w:eastAsia="Times New Roman" w:cs="Times New Roman"/>
          <w:sz w:val="20"/>
          <w:szCs w:val="20"/>
          <w:lang w:val="fr-CA" w:eastAsia="en-CA"/>
        </w:rPr>
        <w:t xml:space="preserve"> est devenu le créancier en vertu du jugement.  Monsieur </w:t>
      </w:r>
      <w:proofErr w:type="spellStart"/>
      <w:r w:rsidRPr="00DC6331">
        <w:rPr>
          <w:rFonts w:eastAsia="Times New Roman" w:cs="Times New Roman"/>
          <w:sz w:val="20"/>
          <w:szCs w:val="20"/>
          <w:lang w:val="fr-CA" w:eastAsia="en-CA"/>
        </w:rPr>
        <w:t>Moloney</w:t>
      </w:r>
      <w:proofErr w:type="spellEnd"/>
      <w:r w:rsidRPr="00DC6331">
        <w:rPr>
          <w:rFonts w:eastAsia="Times New Roman" w:cs="Times New Roman"/>
          <w:sz w:val="20"/>
          <w:szCs w:val="20"/>
          <w:lang w:val="fr-CA" w:eastAsia="en-CA"/>
        </w:rPr>
        <w:t xml:space="preserve"> n’a pas acquitté la dette constatée par jugement.  En vertu des pouvoirs d’exécution prévus au </w:t>
      </w:r>
      <w:proofErr w:type="spellStart"/>
      <w:r w:rsidRPr="00DC6331">
        <w:rPr>
          <w:rFonts w:eastAsia="Times New Roman" w:cs="Times New Roman"/>
          <w:sz w:val="20"/>
          <w:szCs w:val="20"/>
          <w:lang w:val="fr-CA" w:eastAsia="en-CA"/>
        </w:rPr>
        <w:t>par</w:t>
      </w:r>
      <w:proofErr w:type="spellEnd"/>
      <w:r w:rsidRPr="00DC6331">
        <w:rPr>
          <w:rFonts w:eastAsia="Times New Roman" w:cs="Times New Roman"/>
          <w:sz w:val="20"/>
          <w:szCs w:val="20"/>
          <w:lang w:val="fr-CA" w:eastAsia="en-CA"/>
        </w:rPr>
        <w:t xml:space="preserve">. 102(2) de la </w:t>
      </w:r>
      <w:r w:rsidRPr="00DC6331">
        <w:rPr>
          <w:rFonts w:eastAsia="Times New Roman" w:cs="Times New Roman"/>
          <w:i/>
          <w:sz w:val="20"/>
          <w:szCs w:val="20"/>
          <w:lang w:val="fr-CA" w:eastAsia="en-CA"/>
        </w:rPr>
        <w:t xml:space="preserve">Traffic </w:t>
      </w:r>
      <w:proofErr w:type="spellStart"/>
      <w:r w:rsidRPr="00DC6331">
        <w:rPr>
          <w:rFonts w:eastAsia="Times New Roman" w:cs="Times New Roman"/>
          <w:i/>
          <w:sz w:val="20"/>
          <w:szCs w:val="20"/>
          <w:lang w:val="fr-CA" w:eastAsia="en-CA"/>
        </w:rPr>
        <w:t>Safety</w:t>
      </w:r>
      <w:proofErr w:type="spellEnd"/>
      <w:r w:rsidRPr="00DC6331">
        <w:rPr>
          <w:rFonts w:eastAsia="Times New Roman" w:cs="Times New Roman"/>
          <w:i/>
          <w:sz w:val="20"/>
          <w:szCs w:val="20"/>
          <w:lang w:val="fr-CA" w:eastAsia="en-CA"/>
        </w:rPr>
        <w:t xml:space="preserve"> </w:t>
      </w:r>
      <w:proofErr w:type="spellStart"/>
      <w:r w:rsidRPr="00DC6331">
        <w:rPr>
          <w:rFonts w:eastAsia="Times New Roman" w:cs="Times New Roman"/>
          <w:i/>
          <w:sz w:val="20"/>
          <w:szCs w:val="20"/>
          <w:lang w:val="fr-CA" w:eastAsia="en-CA"/>
        </w:rPr>
        <w:t>Act</w:t>
      </w:r>
      <w:proofErr w:type="spellEnd"/>
      <w:r w:rsidRPr="00DC6331">
        <w:rPr>
          <w:rFonts w:eastAsia="Times New Roman" w:cs="Times New Roman"/>
          <w:sz w:val="20"/>
          <w:szCs w:val="20"/>
          <w:lang w:val="fr-CA" w:eastAsia="en-CA"/>
        </w:rPr>
        <w:t xml:space="preserve">, RSA 2000, ch. T-6, le </w:t>
      </w:r>
      <w:proofErr w:type="spellStart"/>
      <w:r w:rsidRPr="00DC6331">
        <w:rPr>
          <w:rFonts w:eastAsia="Times New Roman" w:cs="Times New Roman"/>
          <w:i/>
          <w:sz w:val="20"/>
          <w:szCs w:val="20"/>
          <w:lang w:val="fr-CA" w:eastAsia="en-CA"/>
        </w:rPr>
        <w:t>Registrar</w:t>
      </w:r>
      <w:proofErr w:type="spellEnd"/>
      <w:r w:rsidRPr="00DC6331">
        <w:rPr>
          <w:rFonts w:eastAsia="Times New Roman" w:cs="Times New Roman"/>
          <w:i/>
          <w:sz w:val="20"/>
          <w:szCs w:val="20"/>
          <w:lang w:val="fr-CA" w:eastAsia="en-CA"/>
        </w:rPr>
        <w:t xml:space="preserve"> of </w:t>
      </w:r>
      <w:proofErr w:type="spellStart"/>
      <w:r w:rsidRPr="00DC6331">
        <w:rPr>
          <w:rFonts w:eastAsia="Times New Roman" w:cs="Times New Roman"/>
          <w:i/>
          <w:sz w:val="20"/>
          <w:szCs w:val="20"/>
          <w:lang w:val="fr-CA" w:eastAsia="en-CA"/>
        </w:rPr>
        <w:t>Motor</w:t>
      </w:r>
      <w:proofErr w:type="spellEnd"/>
      <w:r w:rsidRPr="00DC6331">
        <w:rPr>
          <w:rFonts w:eastAsia="Times New Roman" w:cs="Times New Roman"/>
          <w:i/>
          <w:sz w:val="20"/>
          <w:szCs w:val="20"/>
          <w:lang w:val="fr-CA" w:eastAsia="en-CA"/>
        </w:rPr>
        <w:t xml:space="preserve"> </w:t>
      </w:r>
      <w:proofErr w:type="spellStart"/>
      <w:r w:rsidRPr="00DC6331">
        <w:rPr>
          <w:rFonts w:eastAsia="Times New Roman" w:cs="Times New Roman"/>
          <w:i/>
          <w:sz w:val="20"/>
          <w:szCs w:val="20"/>
          <w:lang w:val="fr-CA" w:eastAsia="en-CA"/>
        </w:rPr>
        <w:t>Vehicles</w:t>
      </w:r>
      <w:proofErr w:type="spellEnd"/>
      <w:r w:rsidRPr="00DC6331">
        <w:rPr>
          <w:rFonts w:eastAsia="Times New Roman" w:cs="Times New Roman"/>
          <w:sz w:val="20"/>
          <w:szCs w:val="20"/>
          <w:lang w:val="fr-CA" w:eastAsia="en-CA"/>
        </w:rPr>
        <w:t xml:space="preserve"> de l’Alberta a suspendu le certificat d’immatriculation du véhicule de M. </w:t>
      </w:r>
      <w:proofErr w:type="spellStart"/>
      <w:r w:rsidRPr="00DC6331">
        <w:rPr>
          <w:rFonts w:eastAsia="Times New Roman" w:cs="Times New Roman"/>
          <w:sz w:val="20"/>
          <w:szCs w:val="20"/>
          <w:lang w:val="fr-CA" w:eastAsia="en-CA"/>
        </w:rPr>
        <w:t>Moloney</w:t>
      </w:r>
      <w:proofErr w:type="spellEnd"/>
      <w:r w:rsidRPr="00DC6331">
        <w:rPr>
          <w:rFonts w:eastAsia="Times New Roman" w:cs="Times New Roman"/>
          <w:sz w:val="20"/>
          <w:szCs w:val="20"/>
          <w:lang w:val="fr-CA" w:eastAsia="en-CA"/>
        </w:rPr>
        <w:t xml:space="preserve"> ainsi que son permis de conduire.  Monsieur </w:t>
      </w:r>
      <w:proofErr w:type="spellStart"/>
      <w:r w:rsidRPr="00DC6331">
        <w:rPr>
          <w:rFonts w:eastAsia="Times New Roman" w:cs="Times New Roman"/>
          <w:sz w:val="20"/>
          <w:szCs w:val="20"/>
          <w:lang w:val="fr-CA" w:eastAsia="en-CA"/>
        </w:rPr>
        <w:t>Moloney</w:t>
      </w:r>
      <w:proofErr w:type="spellEnd"/>
      <w:r w:rsidRPr="00DC6331">
        <w:rPr>
          <w:rFonts w:eastAsia="Times New Roman" w:cs="Times New Roman"/>
          <w:sz w:val="20"/>
          <w:szCs w:val="20"/>
          <w:lang w:val="fr-CA" w:eastAsia="en-CA"/>
        </w:rPr>
        <w:t xml:space="preserve"> a déposé une requête en faillite et s’est vu accorder une libération absolue le 17 juin 2011.  Malgré la libération de faillite, parce que M. </w:t>
      </w:r>
      <w:proofErr w:type="spellStart"/>
      <w:r w:rsidRPr="00DC6331">
        <w:rPr>
          <w:rFonts w:eastAsia="Times New Roman" w:cs="Times New Roman"/>
          <w:sz w:val="20"/>
          <w:szCs w:val="20"/>
          <w:lang w:val="fr-CA" w:eastAsia="en-CA"/>
        </w:rPr>
        <w:t>Moloney</w:t>
      </w:r>
      <w:proofErr w:type="spellEnd"/>
      <w:r w:rsidRPr="00DC6331">
        <w:rPr>
          <w:rFonts w:eastAsia="Times New Roman" w:cs="Times New Roman"/>
          <w:sz w:val="20"/>
          <w:szCs w:val="20"/>
          <w:lang w:val="fr-CA" w:eastAsia="en-CA"/>
        </w:rPr>
        <w:t xml:space="preserve"> n’a pas acquitté la dette constatée par un jugement ou conclu une entente de remboursement par versements échelonnés, il y a eu rétablissement obligatoire de son interdiction de conduire et de la suspension du certificat d’immatriculation de son véhicule.  </w:t>
      </w:r>
    </w:p>
    <w:p w:rsidR="006F08CD" w:rsidRPr="00DC6331" w:rsidRDefault="006F08CD" w:rsidP="006F08CD">
      <w:pPr>
        <w:widowControl w:val="0"/>
        <w:jc w:val="both"/>
        <w:rPr>
          <w:rFonts w:eastAsia="Times New Roman" w:cs="Times New Roman"/>
          <w:sz w:val="20"/>
          <w:szCs w:val="20"/>
          <w:lang w:val="fr-CA" w:eastAsia="en-CA"/>
        </w:rPr>
      </w:pPr>
    </w:p>
    <w:p w:rsidR="006F08CD" w:rsidRPr="00DC6331" w:rsidRDefault="006F08CD" w:rsidP="006F08CD">
      <w:pPr>
        <w:widowControl w:val="0"/>
        <w:jc w:val="both"/>
        <w:rPr>
          <w:rFonts w:eastAsia="Times New Roman" w:cs="Times New Roman"/>
          <w:sz w:val="20"/>
          <w:szCs w:val="20"/>
          <w:lang w:val="fr-CA" w:eastAsia="en-CA"/>
        </w:rPr>
      </w:pPr>
    </w:p>
    <w:p w:rsidR="006F08CD" w:rsidRPr="00DC6331" w:rsidRDefault="006F08CD" w:rsidP="006F08CD">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Origine :</w:t>
      </w:r>
      <w:r w:rsidRPr="00DC6331">
        <w:rPr>
          <w:rFonts w:eastAsia="Times New Roman" w:cs="Times New Roman"/>
          <w:sz w:val="20"/>
          <w:szCs w:val="20"/>
          <w:lang w:val="fr-CA" w:eastAsia="en-CA"/>
        </w:rPr>
        <w:tab/>
        <w:t>Alberta</w:t>
      </w:r>
    </w:p>
    <w:p w:rsidR="006F08CD" w:rsidRPr="00DC6331" w:rsidRDefault="006F08CD" w:rsidP="006F08CD">
      <w:pPr>
        <w:widowControl w:val="0"/>
        <w:ind w:left="2880" w:hanging="2880"/>
        <w:jc w:val="both"/>
        <w:rPr>
          <w:rFonts w:eastAsia="Times New Roman" w:cs="Times New Roman"/>
          <w:sz w:val="20"/>
          <w:szCs w:val="20"/>
          <w:lang w:val="fr-CA" w:eastAsia="en-CA"/>
        </w:rPr>
      </w:pPr>
    </w:p>
    <w:p w:rsidR="006F08CD" w:rsidRPr="00DC6331" w:rsidRDefault="006F08CD" w:rsidP="006F08CD">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No du greffe :</w:t>
      </w:r>
      <w:r w:rsidRPr="00DC6331">
        <w:rPr>
          <w:rFonts w:eastAsia="Times New Roman" w:cs="Times New Roman"/>
          <w:sz w:val="20"/>
          <w:szCs w:val="20"/>
          <w:lang w:val="fr-CA" w:eastAsia="en-CA"/>
        </w:rPr>
        <w:tab/>
        <w:t>35820</w:t>
      </w:r>
    </w:p>
    <w:p w:rsidR="006F08CD" w:rsidRPr="00DC6331" w:rsidRDefault="006F08CD" w:rsidP="006F08CD">
      <w:pPr>
        <w:widowControl w:val="0"/>
        <w:ind w:left="2880" w:hanging="2880"/>
        <w:jc w:val="both"/>
        <w:rPr>
          <w:rFonts w:eastAsia="Times New Roman" w:cs="Times New Roman"/>
          <w:sz w:val="20"/>
          <w:szCs w:val="20"/>
          <w:lang w:val="fr-CA" w:eastAsia="en-CA"/>
        </w:rPr>
      </w:pPr>
    </w:p>
    <w:p w:rsidR="006F08CD" w:rsidRPr="00DC6331" w:rsidRDefault="006F08CD" w:rsidP="006F08CD">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Arrêt de la Cour d’appel :</w:t>
      </w:r>
      <w:r w:rsidRPr="00DC6331">
        <w:rPr>
          <w:rFonts w:eastAsia="Times New Roman" w:cs="Times New Roman"/>
          <w:sz w:val="20"/>
          <w:szCs w:val="20"/>
          <w:lang w:val="fr-CA" w:eastAsia="en-CA"/>
        </w:rPr>
        <w:tab/>
        <w:t>le 13 février 2014</w:t>
      </w:r>
    </w:p>
    <w:p w:rsidR="006F08CD" w:rsidRPr="00DC6331" w:rsidRDefault="006F08CD" w:rsidP="006F08CD">
      <w:pPr>
        <w:widowControl w:val="0"/>
        <w:ind w:left="2880" w:hanging="2880"/>
        <w:jc w:val="both"/>
        <w:rPr>
          <w:rFonts w:eastAsia="Times New Roman" w:cs="Times New Roman"/>
          <w:sz w:val="20"/>
          <w:szCs w:val="20"/>
          <w:lang w:val="fr-CA" w:eastAsia="en-CA"/>
        </w:rPr>
      </w:pPr>
    </w:p>
    <w:p w:rsidR="006F08CD" w:rsidRPr="00DC6331" w:rsidRDefault="006F08CD" w:rsidP="006F08CD">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Avocats :</w:t>
      </w:r>
      <w:r w:rsidRPr="00DC6331">
        <w:rPr>
          <w:rFonts w:eastAsia="Times New Roman" w:cs="Times New Roman"/>
          <w:sz w:val="20"/>
          <w:szCs w:val="20"/>
          <w:lang w:val="fr-CA" w:eastAsia="en-CA"/>
        </w:rPr>
        <w:tab/>
        <w:t xml:space="preserve">Lillian </w:t>
      </w:r>
      <w:proofErr w:type="spellStart"/>
      <w:r w:rsidRPr="00DC6331">
        <w:rPr>
          <w:rFonts w:eastAsia="Times New Roman" w:cs="Times New Roman"/>
          <w:sz w:val="20"/>
          <w:szCs w:val="20"/>
          <w:lang w:val="fr-CA" w:eastAsia="en-CA"/>
        </w:rPr>
        <w:t>Riczu</w:t>
      </w:r>
      <w:proofErr w:type="spellEnd"/>
      <w:r w:rsidRPr="00DC6331">
        <w:rPr>
          <w:rFonts w:eastAsia="Times New Roman" w:cs="Times New Roman"/>
          <w:sz w:val="20"/>
          <w:szCs w:val="20"/>
          <w:lang w:val="fr-CA" w:eastAsia="en-CA"/>
        </w:rPr>
        <w:t xml:space="preserve"> et Randy Steele pour l’appelant</w:t>
      </w:r>
    </w:p>
    <w:p w:rsidR="006F08CD" w:rsidRPr="00DC6331" w:rsidRDefault="006F08CD" w:rsidP="006F08CD">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b/>
        <w:t>Jeremy Newton pour 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88"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C62E1" w:rsidRPr="002E5196" w:rsidRDefault="00BD696F" w:rsidP="00BC62E1">
      <w:pPr>
        <w:widowControl w:val="0"/>
        <w:ind w:left="720" w:hanging="720"/>
        <w:jc w:val="both"/>
        <w:rPr>
          <w:sz w:val="20"/>
          <w:szCs w:val="20"/>
        </w:rPr>
      </w:pPr>
      <w:r w:rsidRPr="002E5196">
        <w:rPr>
          <w:b/>
          <w:sz w:val="20"/>
          <w:szCs w:val="20"/>
        </w:rPr>
        <w:lastRenderedPageBreak/>
        <w:fldChar w:fldCharType="begin"/>
      </w:r>
      <w:r w:rsidR="00BC62E1" w:rsidRPr="002E5196">
        <w:rPr>
          <w:b/>
          <w:sz w:val="20"/>
          <w:szCs w:val="20"/>
        </w:rPr>
        <w:instrText xml:space="preserve"> SEQ CHAPTER \h \r 1</w:instrText>
      </w:r>
      <w:r w:rsidRPr="002E5196">
        <w:rPr>
          <w:b/>
          <w:sz w:val="20"/>
          <w:szCs w:val="20"/>
        </w:rPr>
        <w:fldChar w:fldCharType="end"/>
      </w:r>
      <w:r w:rsidR="00BC62E1" w:rsidRPr="002E5196">
        <w:rPr>
          <w:b/>
          <w:sz w:val="20"/>
          <w:szCs w:val="20"/>
        </w:rPr>
        <w:t>35977</w:t>
      </w:r>
      <w:r w:rsidR="00BC62E1" w:rsidRPr="002E5196">
        <w:rPr>
          <w:sz w:val="20"/>
          <w:szCs w:val="20"/>
        </w:rPr>
        <w:tab/>
      </w:r>
      <w:r w:rsidR="00BC62E1" w:rsidRPr="002E5196">
        <w:rPr>
          <w:b/>
          <w:i/>
          <w:sz w:val="20"/>
          <w:szCs w:val="20"/>
        </w:rPr>
        <w:t xml:space="preserve">Donald Jerry </w:t>
      </w:r>
      <w:proofErr w:type="spellStart"/>
      <w:r w:rsidR="00BC62E1" w:rsidRPr="002E5196">
        <w:rPr>
          <w:b/>
          <w:i/>
          <w:sz w:val="20"/>
          <w:szCs w:val="20"/>
        </w:rPr>
        <w:t>Barabash</w:t>
      </w:r>
      <w:proofErr w:type="spellEnd"/>
      <w:r w:rsidR="00BC62E1" w:rsidRPr="002E5196">
        <w:rPr>
          <w:b/>
          <w:i/>
          <w:sz w:val="20"/>
          <w:szCs w:val="20"/>
        </w:rPr>
        <w:t xml:space="preserve"> v. Her Majesty the Queen</w:t>
      </w:r>
    </w:p>
    <w:p w:rsidR="00BC62E1" w:rsidRPr="002E5196" w:rsidRDefault="00BC62E1" w:rsidP="00BC62E1">
      <w:pPr>
        <w:widowControl w:val="0"/>
        <w:jc w:val="both"/>
        <w:rPr>
          <w:sz w:val="20"/>
          <w:szCs w:val="20"/>
        </w:rPr>
      </w:pPr>
    </w:p>
    <w:p w:rsidR="00BC62E1" w:rsidRPr="002E5196" w:rsidRDefault="00BC62E1" w:rsidP="00BC62E1">
      <w:pPr>
        <w:widowControl w:val="0"/>
        <w:jc w:val="both"/>
        <w:rPr>
          <w:smallCaps/>
          <w:sz w:val="20"/>
          <w:szCs w:val="20"/>
        </w:rPr>
      </w:pPr>
      <w:r w:rsidRPr="002E5196">
        <w:rPr>
          <w:smallCaps/>
          <w:sz w:val="20"/>
          <w:szCs w:val="20"/>
        </w:rPr>
        <w:t xml:space="preserve">(Publication </w:t>
      </w:r>
      <w:r>
        <w:rPr>
          <w:smallCaps/>
          <w:sz w:val="20"/>
          <w:szCs w:val="20"/>
        </w:rPr>
        <w:t>B</w:t>
      </w:r>
      <w:r w:rsidRPr="002E5196">
        <w:rPr>
          <w:smallCaps/>
          <w:sz w:val="20"/>
          <w:szCs w:val="20"/>
        </w:rPr>
        <w:t xml:space="preserve">an in </w:t>
      </w:r>
      <w:r>
        <w:rPr>
          <w:smallCaps/>
          <w:sz w:val="20"/>
          <w:szCs w:val="20"/>
        </w:rPr>
        <w:t>C</w:t>
      </w:r>
      <w:r w:rsidRPr="002E5196">
        <w:rPr>
          <w:smallCaps/>
          <w:sz w:val="20"/>
          <w:szCs w:val="20"/>
        </w:rPr>
        <w:t>ase)</w:t>
      </w:r>
    </w:p>
    <w:p w:rsidR="00BC62E1" w:rsidRPr="002E5196" w:rsidRDefault="00BC62E1" w:rsidP="00BC62E1">
      <w:pPr>
        <w:widowControl w:val="0"/>
        <w:jc w:val="both"/>
        <w:rPr>
          <w:sz w:val="20"/>
          <w:szCs w:val="20"/>
        </w:rPr>
      </w:pPr>
    </w:p>
    <w:p w:rsidR="00BC62E1" w:rsidRPr="002E5196" w:rsidRDefault="00BC62E1" w:rsidP="00BC62E1">
      <w:pPr>
        <w:widowControl w:val="0"/>
        <w:jc w:val="both"/>
        <w:rPr>
          <w:sz w:val="20"/>
          <w:szCs w:val="20"/>
        </w:rPr>
      </w:pPr>
      <w:r w:rsidRPr="002E5196">
        <w:rPr>
          <w:sz w:val="20"/>
          <w:szCs w:val="20"/>
        </w:rPr>
        <w:t xml:space="preserve">Criminal law - Making and possessing child pornography - Private use exception - Application of </w:t>
      </w:r>
      <w:r w:rsidRPr="002E5196">
        <w:rPr>
          <w:i/>
          <w:sz w:val="20"/>
          <w:szCs w:val="20"/>
        </w:rPr>
        <w:t>R. v. Sharpe</w:t>
      </w:r>
      <w:r w:rsidRPr="002E5196">
        <w:rPr>
          <w:sz w:val="20"/>
          <w:szCs w:val="20"/>
        </w:rPr>
        <w:t xml:space="preserve">, 2001 SCC 2, [2001] 1 S.C.R. 45, and </w:t>
      </w:r>
      <w:r w:rsidRPr="002E5196">
        <w:rPr>
          <w:i/>
          <w:sz w:val="20"/>
          <w:szCs w:val="20"/>
        </w:rPr>
        <w:t xml:space="preserve">R. v. </w:t>
      </w:r>
      <w:proofErr w:type="spellStart"/>
      <w:r w:rsidRPr="002E5196">
        <w:rPr>
          <w:i/>
          <w:sz w:val="20"/>
          <w:szCs w:val="20"/>
        </w:rPr>
        <w:t>Cockell</w:t>
      </w:r>
      <w:proofErr w:type="spellEnd"/>
      <w:r w:rsidRPr="002E5196">
        <w:rPr>
          <w:sz w:val="20"/>
          <w:szCs w:val="20"/>
        </w:rPr>
        <w:t xml:space="preserve">, 2013 ABCA 112 - Whether the trial judge properly interpreted the “private use exception” contemplated in </w:t>
      </w:r>
      <w:r w:rsidRPr="002E5196">
        <w:rPr>
          <w:i/>
          <w:sz w:val="20"/>
          <w:szCs w:val="20"/>
        </w:rPr>
        <w:t>Sharpe</w:t>
      </w:r>
      <w:r w:rsidRPr="002E5196">
        <w:rPr>
          <w:sz w:val="20"/>
          <w:szCs w:val="20"/>
        </w:rPr>
        <w:t>.</w:t>
      </w:r>
    </w:p>
    <w:p w:rsidR="00BC62E1" w:rsidRPr="002E5196" w:rsidRDefault="00BC62E1" w:rsidP="00BC62E1">
      <w:pPr>
        <w:widowControl w:val="0"/>
        <w:jc w:val="both"/>
        <w:rPr>
          <w:sz w:val="20"/>
          <w:szCs w:val="20"/>
        </w:rPr>
      </w:pPr>
    </w:p>
    <w:p w:rsidR="008E14BE" w:rsidRPr="00467CB6" w:rsidRDefault="008E14BE" w:rsidP="008E14BE">
      <w:pPr>
        <w:widowControl w:val="0"/>
        <w:jc w:val="both"/>
        <w:rPr>
          <w:sz w:val="20"/>
          <w:szCs w:val="20"/>
          <w:lang w:val="fr-CA"/>
        </w:rPr>
      </w:pPr>
      <w:r w:rsidRPr="00467CB6">
        <w:rPr>
          <w:sz w:val="20"/>
          <w:szCs w:val="20"/>
          <w:lang w:val="fr-CA"/>
        </w:rPr>
        <w:t xml:space="preserve">L’appelant a été acquitté relativement à un chef d’accusation de production de pornographie juvénile et à un chef d’accusation de possession de pornographie juvénile en lien avec deux adolescentes.  Le ministère public a interjeté appel des acquittements, plaidant notamment que le juge du procès avait commis une erreur de droit dans son interprétation de l’« exception en matière d’usage personnel » aux infractions.  Appliquant l’arrêt </w:t>
      </w:r>
      <w:proofErr w:type="spellStart"/>
      <w:r w:rsidRPr="00467CB6">
        <w:rPr>
          <w:i/>
          <w:sz w:val="20"/>
          <w:szCs w:val="20"/>
          <w:lang w:val="fr-CA"/>
        </w:rPr>
        <w:t>Cockell</w:t>
      </w:r>
      <w:proofErr w:type="spellEnd"/>
      <w:r w:rsidRPr="00467CB6">
        <w:rPr>
          <w:sz w:val="20"/>
          <w:szCs w:val="20"/>
          <w:lang w:val="fr-CA"/>
        </w:rPr>
        <w:t xml:space="preserve"> de la Cour d’appel de l’Alberta, les juges majoritaires de la Cour d’appel ont accueilli l’appel et inscrit des déclarations de culpabilité relativement aux deux infractions.  Le juge Berger, dissident, aurait rejeté l’appel. À son avis, dans la mesure où l’arrêt </w:t>
      </w:r>
      <w:proofErr w:type="spellStart"/>
      <w:r w:rsidRPr="00467CB6">
        <w:rPr>
          <w:i/>
          <w:sz w:val="20"/>
          <w:szCs w:val="20"/>
          <w:lang w:val="fr-CA"/>
        </w:rPr>
        <w:t>Cockell</w:t>
      </w:r>
      <w:proofErr w:type="spellEnd"/>
      <w:r w:rsidRPr="00467CB6">
        <w:rPr>
          <w:sz w:val="20"/>
          <w:szCs w:val="20"/>
          <w:lang w:val="fr-CA"/>
        </w:rPr>
        <w:t xml:space="preserve"> a interprété l’arrêt </w:t>
      </w:r>
      <w:r w:rsidRPr="00467CB6">
        <w:rPr>
          <w:i/>
          <w:sz w:val="20"/>
          <w:szCs w:val="20"/>
          <w:lang w:val="fr-CA"/>
        </w:rPr>
        <w:t>Sharpe</w:t>
      </w:r>
      <w:r w:rsidRPr="00467CB6">
        <w:rPr>
          <w:sz w:val="20"/>
          <w:szCs w:val="20"/>
          <w:lang w:val="fr-CA"/>
        </w:rPr>
        <w:t xml:space="preserve"> comme voulant dire qu’indépendamment de l’activité sexuelle en question, et notamment de sa légalité, la preuve doit montrer — et l’accusé doit indiquer des faits qui établissent — que le consentement de la plaignante a été obtenu dans des circonstances qui empêchent l’exploitation ou la maltraitance, </w:t>
      </w:r>
      <w:proofErr w:type="spellStart"/>
      <w:r w:rsidRPr="00467CB6">
        <w:rPr>
          <w:i/>
          <w:sz w:val="20"/>
          <w:szCs w:val="20"/>
          <w:lang w:val="fr-CA"/>
        </w:rPr>
        <w:t>Cockell</w:t>
      </w:r>
      <w:proofErr w:type="spellEnd"/>
      <w:r w:rsidRPr="00467CB6">
        <w:rPr>
          <w:sz w:val="20"/>
          <w:szCs w:val="20"/>
          <w:lang w:val="fr-CA"/>
        </w:rPr>
        <w:t xml:space="preserve"> est mal fondé.  En conséquence, le juge Berger a conclu que l’ « exception en matière d’usage personnel » avait été établie en l’espèce et que les acquittements devaient être confirmés.</w:t>
      </w:r>
    </w:p>
    <w:p w:rsidR="00BC62E1" w:rsidRPr="008E14BE" w:rsidRDefault="00BC62E1" w:rsidP="00BC62E1">
      <w:pPr>
        <w:widowControl w:val="0"/>
        <w:jc w:val="both"/>
        <w:rPr>
          <w:sz w:val="20"/>
          <w:szCs w:val="20"/>
          <w:lang w:val="fr-CA"/>
        </w:rPr>
      </w:pPr>
    </w:p>
    <w:p w:rsidR="00BC62E1" w:rsidRPr="008E14BE" w:rsidRDefault="00BC62E1" w:rsidP="00BC62E1">
      <w:pPr>
        <w:widowControl w:val="0"/>
        <w:jc w:val="both"/>
        <w:rPr>
          <w:sz w:val="20"/>
          <w:szCs w:val="20"/>
          <w:lang w:val="fr-CA"/>
        </w:rPr>
      </w:pPr>
    </w:p>
    <w:p w:rsidR="00BC62E1" w:rsidRPr="002E5196" w:rsidRDefault="00BC62E1" w:rsidP="00BC62E1">
      <w:pPr>
        <w:widowControl w:val="0"/>
        <w:ind w:left="2880" w:hanging="2880"/>
        <w:jc w:val="both"/>
        <w:rPr>
          <w:sz w:val="20"/>
          <w:szCs w:val="20"/>
        </w:rPr>
      </w:pPr>
      <w:r w:rsidRPr="002E5196">
        <w:rPr>
          <w:sz w:val="20"/>
          <w:szCs w:val="20"/>
        </w:rPr>
        <w:t>Origin of the case:</w:t>
      </w:r>
      <w:r w:rsidRPr="002E5196">
        <w:rPr>
          <w:sz w:val="20"/>
          <w:szCs w:val="20"/>
        </w:rPr>
        <w:tab/>
        <w:t>Alberta</w:t>
      </w:r>
    </w:p>
    <w:p w:rsidR="00BC62E1" w:rsidRPr="002E5196" w:rsidRDefault="00BC62E1" w:rsidP="00BC62E1">
      <w:pPr>
        <w:widowControl w:val="0"/>
        <w:ind w:left="2880" w:hanging="2880"/>
        <w:jc w:val="both"/>
        <w:rPr>
          <w:sz w:val="20"/>
          <w:szCs w:val="20"/>
        </w:rPr>
      </w:pPr>
    </w:p>
    <w:p w:rsidR="00BC62E1" w:rsidRPr="002E5196" w:rsidRDefault="00BC62E1" w:rsidP="00BC62E1">
      <w:pPr>
        <w:widowControl w:val="0"/>
        <w:ind w:left="2880" w:hanging="2880"/>
        <w:jc w:val="both"/>
        <w:rPr>
          <w:sz w:val="20"/>
          <w:szCs w:val="20"/>
        </w:rPr>
      </w:pPr>
      <w:r w:rsidRPr="002E5196">
        <w:rPr>
          <w:sz w:val="20"/>
          <w:szCs w:val="20"/>
        </w:rPr>
        <w:t>File No.:</w:t>
      </w:r>
      <w:r w:rsidRPr="002E5196">
        <w:rPr>
          <w:sz w:val="20"/>
          <w:szCs w:val="20"/>
        </w:rPr>
        <w:tab/>
        <w:t>35977</w:t>
      </w:r>
    </w:p>
    <w:p w:rsidR="00BC62E1" w:rsidRPr="002E5196" w:rsidRDefault="00BC62E1" w:rsidP="00BC62E1">
      <w:pPr>
        <w:widowControl w:val="0"/>
        <w:ind w:left="2880" w:hanging="2880"/>
        <w:jc w:val="both"/>
        <w:rPr>
          <w:sz w:val="20"/>
          <w:szCs w:val="20"/>
        </w:rPr>
      </w:pPr>
    </w:p>
    <w:p w:rsidR="00BC62E1" w:rsidRPr="002E5196" w:rsidRDefault="00BC62E1" w:rsidP="00BC62E1">
      <w:pPr>
        <w:widowControl w:val="0"/>
        <w:ind w:left="2880" w:hanging="2880"/>
        <w:jc w:val="both"/>
        <w:rPr>
          <w:sz w:val="20"/>
          <w:szCs w:val="20"/>
        </w:rPr>
      </w:pPr>
      <w:r w:rsidRPr="002E5196">
        <w:rPr>
          <w:sz w:val="20"/>
          <w:szCs w:val="20"/>
        </w:rPr>
        <w:t>Judgment of the Court of Appeal:</w:t>
      </w:r>
      <w:r w:rsidRPr="002E5196">
        <w:rPr>
          <w:sz w:val="20"/>
          <w:szCs w:val="20"/>
        </w:rPr>
        <w:tab/>
        <w:t xml:space="preserve">April 3, 2014 </w:t>
      </w:r>
    </w:p>
    <w:p w:rsidR="00BC62E1" w:rsidRPr="002E5196" w:rsidRDefault="00BC62E1" w:rsidP="00BC62E1">
      <w:pPr>
        <w:widowControl w:val="0"/>
        <w:ind w:left="2880" w:hanging="2880"/>
        <w:jc w:val="both"/>
        <w:rPr>
          <w:sz w:val="20"/>
          <w:szCs w:val="20"/>
        </w:rPr>
      </w:pPr>
    </w:p>
    <w:p w:rsidR="00BC62E1" w:rsidRPr="002E5196" w:rsidRDefault="00BC62E1" w:rsidP="00BC62E1">
      <w:pPr>
        <w:widowControl w:val="0"/>
        <w:ind w:left="2880" w:hanging="2880"/>
        <w:jc w:val="both"/>
        <w:rPr>
          <w:sz w:val="20"/>
          <w:szCs w:val="20"/>
        </w:rPr>
      </w:pPr>
      <w:r w:rsidRPr="002E5196">
        <w:rPr>
          <w:sz w:val="20"/>
          <w:szCs w:val="20"/>
        </w:rPr>
        <w:t>Counsel:</w:t>
      </w:r>
      <w:r w:rsidRPr="002E5196">
        <w:rPr>
          <w:sz w:val="20"/>
          <w:szCs w:val="20"/>
        </w:rPr>
        <w:tab/>
        <w:t>Peter J. Royal, Q.C. for the appellant</w:t>
      </w:r>
    </w:p>
    <w:p w:rsidR="00BC62E1" w:rsidRPr="002E5196" w:rsidRDefault="00BC62E1" w:rsidP="00BC62E1">
      <w:pPr>
        <w:widowControl w:val="0"/>
        <w:ind w:left="2880" w:hanging="2880"/>
        <w:jc w:val="both"/>
        <w:rPr>
          <w:sz w:val="20"/>
          <w:szCs w:val="20"/>
        </w:rPr>
      </w:pPr>
      <w:r>
        <w:rPr>
          <w:sz w:val="20"/>
          <w:szCs w:val="20"/>
        </w:rPr>
        <w:tab/>
      </w:r>
      <w:r w:rsidRPr="002E5196">
        <w:rPr>
          <w:sz w:val="20"/>
          <w:szCs w:val="20"/>
        </w:rPr>
        <w:t xml:space="preserve">James C. Robb, Q.C., Julie Morgan and </w:t>
      </w:r>
      <w:proofErr w:type="spellStart"/>
      <w:r w:rsidRPr="002E5196">
        <w:rPr>
          <w:sz w:val="20"/>
          <w:szCs w:val="20"/>
        </w:rPr>
        <w:t>Jolaine</w:t>
      </w:r>
      <w:proofErr w:type="spellEnd"/>
      <w:r w:rsidRPr="002E5196">
        <w:rPr>
          <w:sz w:val="20"/>
          <w:szCs w:val="20"/>
        </w:rPr>
        <w:t xml:space="preserve"> Antonio for the respondent</w:t>
      </w:r>
    </w:p>
    <w:p w:rsidR="00CC3535" w:rsidRPr="00BC62E1"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89"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C62E1" w:rsidRPr="00DC6331" w:rsidRDefault="00BD696F" w:rsidP="00BC62E1">
      <w:pPr>
        <w:widowControl w:val="0"/>
        <w:ind w:left="720" w:hanging="720"/>
        <w:jc w:val="both"/>
        <w:rPr>
          <w:sz w:val="20"/>
          <w:szCs w:val="20"/>
          <w:lang w:val="fr-CA"/>
        </w:rPr>
      </w:pPr>
      <w:r w:rsidRPr="00DC6331">
        <w:rPr>
          <w:b/>
          <w:sz w:val="20"/>
          <w:szCs w:val="20"/>
          <w:lang w:val="fr-CA"/>
        </w:rPr>
        <w:lastRenderedPageBreak/>
        <w:fldChar w:fldCharType="begin"/>
      </w:r>
      <w:r w:rsidR="00BC62E1" w:rsidRPr="00DC6331">
        <w:rPr>
          <w:b/>
          <w:sz w:val="20"/>
          <w:szCs w:val="20"/>
          <w:lang w:val="fr-CA"/>
        </w:rPr>
        <w:instrText xml:space="preserve"> SEQ CHAPTER \h \r 1</w:instrText>
      </w:r>
      <w:r w:rsidRPr="00DC6331">
        <w:rPr>
          <w:b/>
          <w:sz w:val="20"/>
          <w:szCs w:val="20"/>
          <w:lang w:val="fr-CA"/>
        </w:rPr>
        <w:fldChar w:fldCharType="end"/>
      </w:r>
      <w:r w:rsidR="00BC62E1" w:rsidRPr="00DC6331">
        <w:rPr>
          <w:b/>
          <w:sz w:val="20"/>
          <w:szCs w:val="20"/>
          <w:lang w:val="fr-CA"/>
        </w:rPr>
        <w:t>35977</w:t>
      </w:r>
      <w:r w:rsidR="00BC62E1" w:rsidRPr="00DC6331">
        <w:rPr>
          <w:sz w:val="20"/>
          <w:szCs w:val="20"/>
          <w:lang w:val="fr-CA"/>
        </w:rPr>
        <w:tab/>
      </w:r>
      <w:r w:rsidR="00BC62E1" w:rsidRPr="00DC6331">
        <w:rPr>
          <w:b/>
          <w:i/>
          <w:sz w:val="20"/>
          <w:szCs w:val="20"/>
          <w:lang w:val="fr-CA"/>
        </w:rPr>
        <w:t xml:space="preserve">Donald Jerry </w:t>
      </w:r>
      <w:proofErr w:type="spellStart"/>
      <w:r w:rsidR="00BC62E1" w:rsidRPr="00DC6331">
        <w:rPr>
          <w:b/>
          <w:i/>
          <w:sz w:val="20"/>
          <w:szCs w:val="20"/>
          <w:lang w:val="fr-CA"/>
        </w:rPr>
        <w:t>Barabash</w:t>
      </w:r>
      <w:proofErr w:type="spellEnd"/>
      <w:r w:rsidR="00BC62E1" w:rsidRPr="00DC6331">
        <w:rPr>
          <w:b/>
          <w:i/>
          <w:sz w:val="20"/>
          <w:szCs w:val="20"/>
          <w:lang w:val="fr-CA"/>
        </w:rPr>
        <w:t xml:space="preserve"> c. Sa Majesté la Reine</w:t>
      </w:r>
    </w:p>
    <w:p w:rsidR="00BC62E1" w:rsidRPr="00DC6331" w:rsidRDefault="00BC62E1" w:rsidP="00BC62E1">
      <w:pPr>
        <w:widowControl w:val="0"/>
        <w:jc w:val="both"/>
        <w:rPr>
          <w:sz w:val="20"/>
          <w:szCs w:val="20"/>
          <w:lang w:val="fr-CA"/>
        </w:rPr>
      </w:pPr>
    </w:p>
    <w:p w:rsidR="00BC62E1" w:rsidRPr="00DC6331" w:rsidRDefault="00BC62E1" w:rsidP="00BC62E1">
      <w:pPr>
        <w:widowControl w:val="0"/>
        <w:jc w:val="both"/>
        <w:rPr>
          <w:smallCaps/>
          <w:sz w:val="20"/>
          <w:szCs w:val="20"/>
          <w:lang w:val="fr-CA"/>
        </w:rPr>
      </w:pPr>
      <w:r w:rsidRPr="00DC6331">
        <w:rPr>
          <w:smallCaps/>
          <w:sz w:val="20"/>
          <w:szCs w:val="20"/>
          <w:lang w:val="fr-CA"/>
        </w:rPr>
        <w:t>(Ordonnance de non-publication dans le dossier)</w:t>
      </w:r>
    </w:p>
    <w:p w:rsidR="00BC62E1" w:rsidRPr="00DC6331" w:rsidRDefault="00BC62E1" w:rsidP="00BC62E1">
      <w:pPr>
        <w:widowControl w:val="0"/>
        <w:jc w:val="both"/>
        <w:rPr>
          <w:sz w:val="20"/>
          <w:szCs w:val="20"/>
          <w:lang w:val="fr-CA"/>
        </w:rPr>
      </w:pPr>
    </w:p>
    <w:p w:rsidR="00BC62E1" w:rsidRPr="00DC6331" w:rsidRDefault="00BC62E1" w:rsidP="00BC62E1">
      <w:pPr>
        <w:widowControl w:val="0"/>
        <w:jc w:val="both"/>
        <w:rPr>
          <w:sz w:val="20"/>
          <w:szCs w:val="20"/>
          <w:lang w:val="fr-CA"/>
        </w:rPr>
      </w:pPr>
      <w:r w:rsidRPr="00DC6331">
        <w:rPr>
          <w:sz w:val="20"/>
          <w:szCs w:val="20"/>
          <w:lang w:val="fr-CA"/>
        </w:rPr>
        <w:t xml:space="preserve">Droit criminel - Production et possession de pornographie juvénile - Exception en matière d’usage personnel - Application de </w:t>
      </w:r>
      <w:r w:rsidRPr="00DC6331">
        <w:rPr>
          <w:i/>
          <w:sz w:val="20"/>
          <w:szCs w:val="20"/>
          <w:lang w:val="fr-CA"/>
        </w:rPr>
        <w:t>R. c. Sharpe</w:t>
      </w:r>
      <w:r w:rsidRPr="00DC6331">
        <w:rPr>
          <w:sz w:val="20"/>
          <w:szCs w:val="20"/>
          <w:lang w:val="fr-CA"/>
        </w:rPr>
        <w:t xml:space="preserve">, 2001 CSC 2, [2001] 1 R.C.S. 45 et de </w:t>
      </w:r>
      <w:r w:rsidRPr="00DC6331">
        <w:rPr>
          <w:i/>
          <w:sz w:val="20"/>
          <w:szCs w:val="20"/>
          <w:lang w:val="fr-CA"/>
        </w:rPr>
        <w:t xml:space="preserve">R. c. </w:t>
      </w:r>
      <w:proofErr w:type="spellStart"/>
      <w:r w:rsidRPr="00DC6331">
        <w:rPr>
          <w:i/>
          <w:sz w:val="20"/>
          <w:szCs w:val="20"/>
          <w:lang w:val="fr-CA"/>
        </w:rPr>
        <w:t>Cockell</w:t>
      </w:r>
      <w:proofErr w:type="spellEnd"/>
      <w:r w:rsidRPr="00DC6331">
        <w:rPr>
          <w:sz w:val="20"/>
          <w:szCs w:val="20"/>
          <w:lang w:val="fr-CA"/>
        </w:rPr>
        <w:t xml:space="preserve">, 2013 ABCA 112 - Le juge du procès </w:t>
      </w:r>
      <w:proofErr w:type="spellStart"/>
      <w:r w:rsidRPr="00DC6331">
        <w:rPr>
          <w:sz w:val="20"/>
          <w:szCs w:val="20"/>
          <w:lang w:val="fr-CA"/>
        </w:rPr>
        <w:t>a-t-il</w:t>
      </w:r>
      <w:proofErr w:type="spellEnd"/>
      <w:r w:rsidRPr="00DC6331">
        <w:rPr>
          <w:sz w:val="20"/>
          <w:szCs w:val="20"/>
          <w:lang w:val="fr-CA"/>
        </w:rPr>
        <w:t xml:space="preserve"> correctement interprété l’« exception en matière d’usage personnel » dont il est question dans </w:t>
      </w:r>
      <w:r w:rsidRPr="00DC6331">
        <w:rPr>
          <w:i/>
          <w:sz w:val="20"/>
          <w:szCs w:val="20"/>
          <w:lang w:val="fr-CA"/>
        </w:rPr>
        <w:t>Sharpe</w:t>
      </w:r>
      <w:r w:rsidRPr="00DC6331">
        <w:rPr>
          <w:sz w:val="20"/>
          <w:szCs w:val="20"/>
          <w:lang w:val="fr-CA"/>
        </w:rPr>
        <w:t>?</w:t>
      </w:r>
    </w:p>
    <w:p w:rsidR="00BC62E1" w:rsidRPr="00DC6331" w:rsidRDefault="00BC62E1" w:rsidP="00BC62E1">
      <w:pPr>
        <w:widowControl w:val="0"/>
        <w:jc w:val="both"/>
        <w:rPr>
          <w:sz w:val="20"/>
          <w:szCs w:val="20"/>
          <w:lang w:val="fr-CA"/>
        </w:rPr>
      </w:pPr>
    </w:p>
    <w:p w:rsidR="00BC62E1" w:rsidRPr="00DC6331" w:rsidRDefault="00BC62E1" w:rsidP="00BC62E1">
      <w:pPr>
        <w:widowControl w:val="0"/>
        <w:jc w:val="both"/>
        <w:rPr>
          <w:sz w:val="20"/>
          <w:szCs w:val="20"/>
          <w:lang w:val="fr-CA"/>
        </w:rPr>
      </w:pPr>
      <w:r w:rsidRPr="00DC6331">
        <w:rPr>
          <w:sz w:val="20"/>
          <w:szCs w:val="20"/>
          <w:lang w:val="fr-CA"/>
        </w:rPr>
        <w:t xml:space="preserve">L’appelant a été acquitté relativement à un chef d’accusation de production de pornographie juvénile et à un chef d’accusation de possession de pornographie juvénile en lien avec deux adolescentes.  Le ministère public a interjeté appel des acquittements, plaidant notamment que le juge du procès avait commis une erreur de droit dans son interprétation de l’« exception en matière d’usage personnel » aux infractions.  Appliquant l’arrêt </w:t>
      </w:r>
      <w:proofErr w:type="spellStart"/>
      <w:r w:rsidRPr="00DC6331">
        <w:rPr>
          <w:i/>
          <w:sz w:val="20"/>
          <w:szCs w:val="20"/>
          <w:lang w:val="fr-CA"/>
        </w:rPr>
        <w:t>Cockell</w:t>
      </w:r>
      <w:proofErr w:type="spellEnd"/>
      <w:r w:rsidRPr="00DC6331">
        <w:rPr>
          <w:sz w:val="20"/>
          <w:szCs w:val="20"/>
          <w:lang w:val="fr-CA"/>
        </w:rPr>
        <w:t xml:space="preserve"> de la Cour d’appel de l’Alberta, les juges majoritaires de la Cour d’appel ont accueilli l’appel et inscrit des déclarations de culpabilité relativement aux deux infractions.  Le juge Berger, dissident, aurait rejeté l’appel. À son avis, dans la mesure où l’arrêt </w:t>
      </w:r>
      <w:proofErr w:type="spellStart"/>
      <w:r w:rsidRPr="00DC6331">
        <w:rPr>
          <w:i/>
          <w:sz w:val="20"/>
          <w:szCs w:val="20"/>
          <w:lang w:val="fr-CA"/>
        </w:rPr>
        <w:t>Cockell</w:t>
      </w:r>
      <w:proofErr w:type="spellEnd"/>
      <w:r w:rsidRPr="00DC6331">
        <w:rPr>
          <w:sz w:val="20"/>
          <w:szCs w:val="20"/>
          <w:lang w:val="fr-CA"/>
        </w:rPr>
        <w:t xml:space="preserve"> a interprété l’arrêt </w:t>
      </w:r>
      <w:r w:rsidRPr="00DC6331">
        <w:rPr>
          <w:i/>
          <w:sz w:val="20"/>
          <w:szCs w:val="20"/>
          <w:lang w:val="fr-CA"/>
        </w:rPr>
        <w:t>Sharpe</w:t>
      </w:r>
      <w:r w:rsidRPr="00DC6331">
        <w:rPr>
          <w:sz w:val="20"/>
          <w:szCs w:val="20"/>
          <w:lang w:val="fr-CA"/>
        </w:rPr>
        <w:t xml:space="preserve"> comme voulant dire qu’indépendamment de l’activité sexuelle en question, et notamment de sa légalité, la preuve doit montrer - et l’accusé doit indiquer des faits qui établissent - que le consentement de la plaignante a été obtenu dans des circonstances qui empêchent l’exploitation ou la maltraitance, </w:t>
      </w:r>
      <w:proofErr w:type="spellStart"/>
      <w:r w:rsidRPr="00DC6331">
        <w:rPr>
          <w:i/>
          <w:sz w:val="20"/>
          <w:szCs w:val="20"/>
          <w:lang w:val="fr-CA"/>
        </w:rPr>
        <w:t>Cockell</w:t>
      </w:r>
      <w:proofErr w:type="spellEnd"/>
      <w:r w:rsidRPr="00DC6331">
        <w:rPr>
          <w:sz w:val="20"/>
          <w:szCs w:val="20"/>
          <w:lang w:val="fr-CA"/>
        </w:rPr>
        <w:t xml:space="preserve"> est mal fondé.  En conséquence, le juge Berger a conclu que l’ « exception en matière d’usage personnel » avait été établie en l’espèce et que les acquittements devaient être confirmés.</w:t>
      </w:r>
    </w:p>
    <w:p w:rsidR="00BC62E1" w:rsidRPr="00DC6331" w:rsidRDefault="00BC62E1" w:rsidP="00BC62E1">
      <w:pPr>
        <w:widowControl w:val="0"/>
        <w:jc w:val="both"/>
        <w:rPr>
          <w:sz w:val="20"/>
          <w:szCs w:val="20"/>
          <w:lang w:val="fr-CA"/>
        </w:rPr>
      </w:pPr>
    </w:p>
    <w:p w:rsidR="00BC62E1" w:rsidRPr="00DC6331" w:rsidRDefault="00BC62E1" w:rsidP="00BC62E1">
      <w:pPr>
        <w:widowControl w:val="0"/>
        <w:jc w:val="both"/>
        <w:rPr>
          <w:sz w:val="20"/>
          <w:szCs w:val="20"/>
          <w:lang w:val="fr-CA"/>
        </w:rPr>
      </w:pPr>
    </w:p>
    <w:p w:rsidR="00BC62E1" w:rsidRPr="00DC6331" w:rsidRDefault="00BC62E1" w:rsidP="00BC62E1">
      <w:pPr>
        <w:widowControl w:val="0"/>
        <w:ind w:left="2880" w:hanging="2880"/>
        <w:jc w:val="both"/>
        <w:rPr>
          <w:sz w:val="20"/>
          <w:szCs w:val="20"/>
          <w:lang w:val="fr-CA"/>
        </w:rPr>
      </w:pPr>
      <w:r w:rsidRPr="00DC6331">
        <w:rPr>
          <w:sz w:val="20"/>
          <w:szCs w:val="20"/>
          <w:lang w:val="fr-CA"/>
        </w:rPr>
        <w:t>Origine :</w:t>
      </w:r>
      <w:r w:rsidRPr="00DC6331">
        <w:rPr>
          <w:sz w:val="20"/>
          <w:szCs w:val="20"/>
          <w:lang w:val="fr-CA"/>
        </w:rPr>
        <w:tab/>
        <w:t>Alberta</w:t>
      </w:r>
    </w:p>
    <w:p w:rsidR="00BC62E1" w:rsidRPr="00DC6331" w:rsidRDefault="00BC62E1" w:rsidP="00BC62E1">
      <w:pPr>
        <w:widowControl w:val="0"/>
        <w:ind w:left="2880" w:hanging="2880"/>
        <w:jc w:val="both"/>
        <w:rPr>
          <w:sz w:val="20"/>
          <w:szCs w:val="20"/>
          <w:lang w:val="fr-CA"/>
        </w:rPr>
      </w:pPr>
    </w:p>
    <w:p w:rsidR="00BC62E1" w:rsidRPr="00DC6331" w:rsidRDefault="00BC62E1" w:rsidP="00BC62E1">
      <w:pPr>
        <w:widowControl w:val="0"/>
        <w:ind w:left="2880" w:hanging="2880"/>
        <w:jc w:val="both"/>
        <w:rPr>
          <w:sz w:val="20"/>
          <w:szCs w:val="20"/>
          <w:lang w:val="fr-CA"/>
        </w:rPr>
      </w:pPr>
      <w:r w:rsidRPr="00DC6331">
        <w:rPr>
          <w:sz w:val="20"/>
          <w:szCs w:val="20"/>
          <w:lang w:val="fr-CA"/>
        </w:rPr>
        <w:t>No du greffe :</w:t>
      </w:r>
      <w:r w:rsidRPr="00DC6331">
        <w:rPr>
          <w:sz w:val="20"/>
          <w:szCs w:val="20"/>
          <w:lang w:val="fr-CA"/>
        </w:rPr>
        <w:tab/>
        <w:t>35977</w:t>
      </w:r>
    </w:p>
    <w:p w:rsidR="00BC62E1" w:rsidRPr="00DC6331" w:rsidRDefault="00BC62E1" w:rsidP="00BC62E1">
      <w:pPr>
        <w:widowControl w:val="0"/>
        <w:ind w:left="2880" w:hanging="2880"/>
        <w:jc w:val="both"/>
        <w:rPr>
          <w:sz w:val="20"/>
          <w:szCs w:val="20"/>
          <w:lang w:val="fr-CA"/>
        </w:rPr>
      </w:pPr>
    </w:p>
    <w:p w:rsidR="00BC62E1" w:rsidRPr="00DC6331" w:rsidRDefault="00BC62E1" w:rsidP="00BC62E1">
      <w:pPr>
        <w:widowControl w:val="0"/>
        <w:ind w:left="2880" w:hanging="2880"/>
        <w:jc w:val="both"/>
        <w:rPr>
          <w:sz w:val="20"/>
          <w:szCs w:val="20"/>
          <w:lang w:val="fr-CA"/>
        </w:rPr>
      </w:pPr>
      <w:r w:rsidRPr="00DC6331">
        <w:rPr>
          <w:sz w:val="20"/>
          <w:szCs w:val="20"/>
          <w:lang w:val="fr-CA"/>
        </w:rPr>
        <w:t>Arrêt de la Cour d’appel :</w:t>
      </w:r>
      <w:r w:rsidRPr="00DC6331">
        <w:rPr>
          <w:sz w:val="20"/>
          <w:szCs w:val="20"/>
          <w:lang w:val="fr-CA"/>
        </w:rPr>
        <w:tab/>
        <w:t xml:space="preserve">le 3 avril 2014 </w:t>
      </w:r>
    </w:p>
    <w:p w:rsidR="00BC62E1" w:rsidRPr="00DC6331" w:rsidRDefault="00BC62E1" w:rsidP="00BC62E1">
      <w:pPr>
        <w:widowControl w:val="0"/>
        <w:ind w:left="2880" w:hanging="2880"/>
        <w:jc w:val="both"/>
        <w:rPr>
          <w:sz w:val="20"/>
          <w:szCs w:val="20"/>
          <w:lang w:val="fr-CA"/>
        </w:rPr>
      </w:pPr>
    </w:p>
    <w:p w:rsidR="00BC62E1" w:rsidRPr="00DC6331" w:rsidRDefault="00BC62E1" w:rsidP="00BC62E1">
      <w:pPr>
        <w:widowControl w:val="0"/>
        <w:ind w:left="2880" w:hanging="2880"/>
        <w:jc w:val="both"/>
        <w:rPr>
          <w:sz w:val="20"/>
          <w:szCs w:val="20"/>
          <w:lang w:val="fr-CA"/>
        </w:rPr>
      </w:pPr>
      <w:r w:rsidRPr="00DC6331">
        <w:rPr>
          <w:sz w:val="20"/>
          <w:szCs w:val="20"/>
          <w:lang w:val="fr-CA"/>
        </w:rPr>
        <w:t>Avocats :</w:t>
      </w:r>
      <w:r w:rsidRPr="00DC6331">
        <w:rPr>
          <w:sz w:val="20"/>
          <w:szCs w:val="20"/>
          <w:lang w:val="fr-CA"/>
        </w:rPr>
        <w:tab/>
        <w:t xml:space="preserve">Peter J. Royal, </w:t>
      </w:r>
      <w:proofErr w:type="spellStart"/>
      <w:r w:rsidRPr="00DC6331">
        <w:rPr>
          <w:sz w:val="20"/>
          <w:szCs w:val="20"/>
          <w:lang w:val="fr-CA"/>
        </w:rPr>
        <w:t>c.r</w:t>
      </w:r>
      <w:proofErr w:type="spellEnd"/>
      <w:r w:rsidRPr="00DC6331">
        <w:rPr>
          <w:sz w:val="20"/>
          <w:szCs w:val="20"/>
          <w:lang w:val="fr-CA"/>
        </w:rPr>
        <w:t>. pour l’appelant</w:t>
      </w:r>
    </w:p>
    <w:p w:rsidR="00BC62E1" w:rsidRPr="00DC6331" w:rsidRDefault="00BC62E1" w:rsidP="00BC62E1">
      <w:pPr>
        <w:widowControl w:val="0"/>
        <w:ind w:left="2880" w:hanging="2880"/>
        <w:jc w:val="both"/>
        <w:rPr>
          <w:sz w:val="20"/>
          <w:szCs w:val="20"/>
          <w:lang w:val="fr-CA"/>
        </w:rPr>
      </w:pPr>
      <w:r w:rsidRPr="00DC6331">
        <w:rPr>
          <w:sz w:val="20"/>
          <w:szCs w:val="20"/>
          <w:lang w:val="fr-CA"/>
        </w:rPr>
        <w:tab/>
        <w:t xml:space="preserve">James C. </w:t>
      </w:r>
      <w:proofErr w:type="spellStart"/>
      <w:r w:rsidRPr="00DC6331">
        <w:rPr>
          <w:sz w:val="20"/>
          <w:szCs w:val="20"/>
          <w:lang w:val="fr-CA"/>
        </w:rPr>
        <w:t>Robb</w:t>
      </w:r>
      <w:proofErr w:type="spellEnd"/>
      <w:r w:rsidRPr="00DC6331">
        <w:rPr>
          <w:sz w:val="20"/>
          <w:szCs w:val="20"/>
          <w:lang w:val="fr-CA"/>
        </w:rPr>
        <w:t xml:space="preserve">, </w:t>
      </w:r>
      <w:proofErr w:type="spellStart"/>
      <w:proofErr w:type="gramStart"/>
      <w:r w:rsidRPr="00DC6331">
        <w:rPr>
          <w:sz w:val="20"/>
          <w:szCs w:val="20"/>
          <w:lang w:val="fr-CA"/>
        </w:rPr>
        <w:t>c.r</w:t>
      </w:r>
      <w:proofErr w:type="spellEnd"/>
      <w:r w:rsidRPr="00DC6331">
        <w:rPr>
          <w:sz w:val="20"/>
          <w:szCs w:val="20"/>
          <w:lang w:val="fr-CA"/>
        </w:rPr>
        <w:t>.,</w:t>
      </w:r>
      <w:proofErr w:type="gramEnd"/>
      <w:r w:rsidRPr="00DC6331">
        <w:rPr>
          <w:sz w:val="20"/>
          <w:szCs w:val="20"/>
          <w:lang w:val="fr-CA"/>
        </w:rPr>
        <w:t xml:space="preserve"> Julie Morgan et </w:t>
      </w:r>
      <w:proofErr w:type="spellStart"/>
      <w:r w:rsidRPr="00DC6331">
        <w:rPr>
          <w:sz w:val="20"/>
          <w:szCs w:val="20"/>
          <w:lang w:val="fr-CA"/>
        </w:rPr>
        <w:t>Jolaine</w:t>
      </w:r>
      <w:proofErr w:type="spellEnd"/>
      <w:r w:rsidRPr="00DC6331">
        <w:rPr>
          <w:sz w:val="20"/>
          <w:szCs w:val="20"/>
          <w:lang w:val="fr-CA"/>
        </w:rPr>
        <w:t xml:space="preserve"> Antonio pour l’intimée</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0"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C62E1" w:rsidRPr="00BC62E1" w:rsidRDefault="00BD696F" w:rsidP="00BC62E1">
      <w:pPr>
        <w:widowControl w:val="0"/>
        <w:ind w:left="720" w:hanging="720"/>
        <w:jc w:val="both"/>
        <w:rPr>
          <w:rFonts w:eastAsia="Times New Roman" w:cs="Times New Roman"/>
          <w:sz w:val="20"/>
          <w:szCs w:val="20"/>
          <w:lang w:eastAsia="en-CA"/>
        </w:rPr>
      </w:pPr>
      <w:r w:rsidRPr="00BC62E1">
        <w:rPr>
          <w:rFonts w:eastAsia="Times New Roman" w:cs="Times New Roman"/>
          <w:b/>
          <w:sz w:val="20"/>
          <w:szCs w:val="20"/>
          <w:lang w:eastAsia="en-CA"/>
        </w:rPr>
        <w:lastRenderedPageBreak/>
        <w:fldChar w:fldCharType="begin"/>
      </w:r>
      <w:r w:rsidR="00BC62E1" w:rsidRPr="00BC62E1">
        <w:rPr>
          <w:rFonts w:eastAsia="Times New Roman" w:cs="Times New Roman"/>
          <w:b/>
          <w:sz w:val="20"/>
          <w:szCs w:val="20"/>
          <w:lang w:val="en-US" w:eastAsia="en-CA"/>
        </w:rPr>
        <w:instrText xml:space="preserve"> SEQ CHAPTER \h \r 1</w:instrText>
      </w:r>
      <w:r w:rsidRPr="00BC62E1">
        <w:rPr>
          <w:rFonts w:eastAsia="Times New Roman" w:cs="Times New Roman"/>
          <w:b/>
          <w:sz w:val="20"/>
          <w:szCs w:val="20"/>
          <w:lang w:val="en-US" w:eastAsia="en-CA"/>
        </w:rPr>
        <w:fldChar w:fldCharType="end"/>
      </w:r>
      <w:r w:rsidR="00BC62E1" w:rsidRPr="00BC62E1">
        <w:rPr>
          <w:rFonts w:eastAsia="Times New Roman" w:cs="Times New Roman"/>
          <w:b/>
          <w:sz w:val="20"/>
          <w:szCs w:val="20"/>
          <w:lang w:eastAsia="en-CA"/>
        </w:rPr>
        <w:t>36064</w:t>
      </w:r>
      <w:r w:rsidR="00BC62E1" w:rsidRPr="00BC62E1">
        <w:rPr>
          <w:rFonts w:eastAsia="Times New Roman" w:cs="Times New Roman"/>
          <w:sz w:val="20"/>
          <w:szCs w:val="20"/>
          <w:lang w:eastAsia="en-CA"/>
        </w:rPr>
        <w:tab/>
      </w:r>
      <w:r w:rsidR="00BC62E1" w:rsidRPr="00BC62E1">
        <w:rPr>
          <w:rFonts w:eastAsia="Times New Roman" w:cs="Times New Roman"/>
          <w:b/>
          <w:i/>
          <w:sz w:val="20"/>
          <w:szCs w:val="20"/>
          <w:lang w:eastAsia="en-CA"/>
        </w:rPr>
        <w:t xml:space="preserve">Shane Gordon </w:t>
      </w:r>
      <w:proofErr w:type="spellStart"/>
      <w:r w:rsidR="00BC62E1" w:rsidRPr="00BC62E1">
        <w:rPr>
          <w:rFonts w:eastAsia="Times New Roman" w:cs="Times New Roman"/>
          <w:b/>
          <w:i/>
          <w:sz w:val="20"/>
          <w:szCs w:val="20"/>
          <w:lang w:eastAsia="en-CA"/>
        </w:rPr>
        <w:t>Rollison</w:t>
      </w:r>
      <w:proofErr w:type="spellEnd"/>
      <w:r w:rsidR="00BC62E1" w:rsidRPr="00BC62E1">
        <w:rPr>
          <w:rFonts w:eastAsia="Times New Roman" w:cs="Times New Roman"/>
          <w:b/>
          <w:i/>
          <w:sz w:val="20"/>
          <w:szCs w:val="20"/>
          <w:lang w:eastAsia="en-CA"/>
        </w:rPr>
        <w:t xml:space="preserve"> v. Her Majesty the Queen</w:t>
      </w:r>
    </w:p>
    <w:p w:rsidR="00BC62E1" w:rsidRPr="00BC62E1" w:rsidRDefault="00BC62E1" w:rsidP="00BC62E1">
      <w:pPr>
        <w:widowControl w:val="0"/>
        <w:jc w:val="both"/>
        <w:rPr>
          <w:rFonts w:eastAsia="Times New Roman" w:cs="Times New Roman"/>
          <w:sz w:val="20"/>
          <w:szCs w:val="20"/>
          <w:lang w:eastAsia="en-CA"/>
        </w:rPr>
      </w:pPr>
    </w:p>
    <w:p w:rsidR="00BC62E1" w:rsidRPr="00BC62E1" w:rsidRDefault="00BC62E1" w:rsidP="00BC62E1">
      <w:pPr>
        <w:widowControl w:val="0"/>
        <w:jc w:val="both"/>
        <w:rPr>
          <w:rFonts w:eastAsia="Times New Roman" w:cs="Times New Roman"/>
          <w:smallCaps/>
          <w:sz w:val="20"/>
          <w:szCs w:val="20"/>
          <w:lang w:eastAsia="en-CA"/>
        </w:rPr>
      </w:pPr>
      <w:r w:rsidRPr="00BC62E1">
        <w:rPr>
          <w:rFonts w:eastAsia="Times New Roman" w:cs="Times New Roman"/>
          <w:smallCaps/>
          <w:sz w:val="20"/>
          <w:szCs w:val="20"/>
          <w:lang w:eastAsia="en-CA"/>
        </w:rPr>
        <w:t xml:space="preserve">(Publication </w:t>
      </w:r>
      <w:r>
        <w:rPr>
          <w:rFonts w:eastAsia="Times New Roman" w:cs="Times New Roman"/>
          <w:smallCaps/>
          <w:sz w:val="20"/>
          <w:szCs w:val="20"/>
          <w:lang w:eastAsia="en-CA"/>
        </w:rPr>
        <w:t>B</w:t>
      </w:r>
      <w:r w:rsidRPr="00BC62E1">
        <w:rPr>
          <w:rFonts w:eastAsia="Times New Roman" w:cs="Times New Roman"/>
          <w:smallCaps/>
          <w:sz w:val="20"/>
          <w:szCs w:val="20"/>
          <w:lang w:eastAsia="en-CA"/>
        </w:rPr>
        <w:t xml:space="preserve">an in </w:t>
      </w:r>
      <w:r>
        <w:rPr>
          <w:rFonts w:eastAsia="Times New Roman" w:cs="Times New Roman"/>
          <w:smallCaps/>
          <w:sz w:val="20"/>
          <w:szCs w:val="20"/>
          <w:lang w:eastAsia="en-CA"/>
        </w:rPr>
        <w:t>C</w:t>
      </w:r>
      <w:r w:rsidRPr="00BC62E1">
        <w:rPr>
          <w:rFonts w:eastAsia="Times New Roman" w:cs="Times New Roman"/>
          <w:smallCaps/>
          <w:sz w:val="20"/>
          <w:szCs w:val="20"/>
          <w:lang w:eastAsia="en-CA"/>
        </w:rPr>
        <w:t>ase)</w:t>
      </w:r>
    </w:p>
    <w:p w:rsidR="00BC62E1" w:rsidRPr="00BC62E1" w:rsidRDefault="00BC62E1" w:rsidP="00BC62E1">
      <w:pPr>
        <w:widowControl w:val="0"/>
        <w:jc w:val="both"/>
        <w:rPr>
          <w:rFonts w:eastAsia="Times New Roman" w:cs="Times New Roman"/>
          <w:sz w:val="20"/>
          <w:szCs w:val="20"/>
          <w:lang w:eastAsia="en-CA"/>
        </w:rPr>
      </w:pPr>
    </w:p>
    <w:p w:rsidR="00BC62E1" w:rsidRPr="00BC62E1" w:rsidRDefault="00BC62E1" w:rsidP="00BC62E1">
      <w:pPr>
        <w:widowControl w:val="0"/>
        <w:jc w:val="both"/>
        <w:rPr>
          <w:rFonts w:eastAsia="Times New Roman" w:cs="Times New Roman"/>
          <w:sz w:val="20"/>
          <w:szCs w:val="20"/>
          <w:lang w:eastAsia="en-CA"/>
        </w:rPr>
      </w:pPr>
      <w:r w:rsidRPr="00BC62E1">
        <w:rPr>
          <w:rFonts w:eastAsia="Times New Roman" w:cs="Times New Roman"/>
          <w:sz w:val="20"/>
          <w:szCs w:val="20"/>
          <w:lang w:eastAsia="en-CA"/>
        </w:rPr>
        <w:t xml:space="preserve">Criminal law - Making child pornography - Private use exception - Application of </w:t>
      </w:r>
      <w:r w:rsidRPr="00BC62E1">
        <w:rPr>
          <w:rFonts w:eastAsia="Times New Roman" w:cs="Times New Roman"/>
          <w:i/>
          <w:sz w:val="20"/>
          <w:szCs w:val="20"/>
          <w:lang w:eastAsia="en-CA"/>
        </w:rPr>
        <w:t>R. v. Sharpe</w:t>
      </w:r>
      <w:r w:rsidRPr="00BC62E1">
        <w:rPr>
          <w:rFonts w:eastAsia="Times New Roman" w:cs="Times New Roman"/>
          <w:sz w:val="20"/>
          <w:szCs w:val="20"/>
          <w:lang w:eastAsia="en-CA"/>
        </w:rPr>
        <w:t xml:space="preserve">, 2001 SCC 2, [2001] 1 S.C.R. 45, and </w:t>
      </w:r>
      <w:r w:rsidRPr="00BC62E1">
        <w:rPr>
          <w:rFonts w:eastAsia="Times New Roman" w:cs="Times New Roman"/>
          <w:i/>
          <w:sz w:val="20"/>
          <w:szCs w:val="20"/>
          <w:lang w:eastAsia="en-CA"/>
        </w:rPr>
        <w:t xml:space="preserve">R. v. </w:t>
      </w:r>
      <w:proofErr w:type="spellStart"/>
      <w:r w:rsidRPr="00BC62E1">
        <w:rPr>
          <w:rFonts w:eastAsia="Times New Roman" w:cs="Times New Roman"/>
          <w:i/>
          <w:sz w:val="20"/>
          <w:szCs w:val="20"/>
          <w:lang w:eastAsia="en-CA"/>
        </w:rPr>
        <w:t>Cockell</w:t>
      </w:r>
      <w:proofErr w:type="spellEnd"/>
      <w:r w:rsidRPr="00BC62E1">
        <w:rPr>
          <w:rFonts w:eastAsia="Times New Roman" w:cs="Times New Roman"/>
          <w:sz w:val="20"/>
          <w:szCs w:val="20"/>
          <w:lang w:eastAsia="en-CA"/>
        </w:rPr>
        <w:t xml:space="preserve">, 2013 ABCA 112 - Whether the trial judge properly interpreted the “private use exception” contemplated in </w:t>
      </w:r>
      <w:r w:rsidRPr="00BC62E1">
        <w:rPr>
          <w:rFonts w:eastAsia="Times New Roman" w:cs="Times New Roman"/>
          <w:i/>
          <w:sz w:val="20"/>
          <w:szCs w:val="20"/>
          <w:lang w:eastAsia="en-CA"/>
        </w:rPr>
        <w:t>Sharpe</w:t>
      </w:r>
      <w:r w:rsidRPr="00BC62E1">
        <w:rPr>
          <w:rFonts w:eastAsia="Times New Roman" w:cs="Times New Roman"/>
          <w:sz w:val="20"/>
          <w:szCs w:val="20"/>
          <w:lang w:eastAsia="en-CA"/>
        </w:rPr>
        <w:t>.</w:t>
      </w:r>
    </w:p>
    <w:p w:rsidR="00BC62E1" w:rsidRPr="00BC62E1" w:rsidRDefault="00BC62E1" w:rsidP="00BC62E1">
      <w:pPr>
        <w:widowControl w:val="0"/>
        <w:jc w:val="both"/>
        <w:rPr>
          <w:rFonts w:eastAsia="Times New Roman" w:cs="Times New Roman"/>
          <w:sz w:val="20"/>
          <w:szCs w:val="20"/>
          <w:lang w:eastAsia="en-CA"/>
        </w:rPr>
      </w:pPr>
    </w:p>
    <w:p w:rsidR="00BC62E1" w:rsidRPr="00BC62E1" w:rsidRDefault="00BC62E1" w:rsidP="00BC62E1">
      <w:pPr>
        <w:widowControl w:val="0"/>
        <w:jc w:val="both"/>
        <w:rPr>
          <w:rFonts w:eastAsia="Times New Roman" w:cs="Times New Roman"/>
          <w:sz w:val="20"/>
          <w:szCs w:val="20"/>
          <w:lang w:eastAsia="en-CA"/>
        </w:rPr>
      </w:pPr>
      <w:r w:rsidRPr="00BC62E1">
        <w:rPr>
          <w:rFonts w:eastAsia="Times New Roman" w:cs="Times New Roman"/>
          <w:sz w:val="20"/>
          <w:szCs w:val="20"/>
          <w:lang w:eastAsia="en-CA"/>
        </w:rPr>
        <w:t xml:space="preserve">The appellant was acquitted of one count of making child pornography in relation to two teenage girls. The Crown appealed the acquittal, arguing among other things that the trial judge erred in law in his interpretation and application of the “private use exception” to the offence. Applying the Alberta Court of Appeal decision in </w:t>
      </w:r>
      <w:proofErr w:type="spellStart"/>
      <w:r w:rsidRPr="00BC62E1">
        <w:rPr>
          <w:rFonts w:eastAsia="Times New Roman" w:cs="Times New Roman"/>
          <w:i/>
          <w:sz w:val="20"/>
          <w:szCs w:val="20"/>
          <w:lang w:eastAsia="en-CA"/>
        </w:rPr>
        <w:t>Cockell</w:t>
      </w:r>
      <w:proofErr w:type="spellEnd"/>
      <w:r w:rsidRPr="00BC62E1">
        <w:rPr>
          <w:rFonts w:eastAsia="Times New Roman" w:cs="Times New Roman"/>
          <w:sz w:val="20"/>
          <w:szCs w:val="20"/>
          <w:lang w:eastAsia="en-CA"/>
        </w:rPr>
        <w:t xml:space="preserve">, a majority of the Court of Appeal allowed the appeal and entered a conviction for the offence. Berger J.A., dissenting, would have dismissed the appeal. In his view, to the extent that </w:t>
      </w:r>
      <w:proofErr w:type="spellStart"/>
      <w:r w:rsidRPr="00BC62E1">
        <w:rPr>
          <w:rFonts w:eastAsia="Times New Roman" w:cs="Times New Roman"/>
          <w:i/>
          <w:sz w:val="20"/>
          <w:szCs w:val="20"/>
          <w:lang w:eastAsia="en-CA"/>
        </w:rPr>
        <w:t>Cockell</w:t>
      </w:r>
      <w:proofErr w:type="spellEnd"/>
      <w:r w:rsidRPr="00BC62E1">
        <w:rPr>
          <w:rFonts w:eastAsia="Times New Roman" w:cs="Times New Roman"/>
          <w:i/>
          <w:sz w:val="20"/>
          <w:szCs w:val="20"/>
          <w:lang w:eastAsia="en-CA"/>
        </w:rPr>
        <w:t xml:space="preserve"> </w:t>
      </w:r>
      <w:r w:rsidRPr="00BC62E1">
        <w:rPr>
          <w:rFonts w:eastAsia="Times New Roman" w:cs="Times New Roman"/>
          <w:sz w:val="20"/>
          <w:szCs w:val="20"/>
          <w:lang w:eastAsia="en-CA"/>
        </w:rPr>
        <w:t xml:space="preserve">interpreted </w:t>
      </w:r>
      <w:r w:rsidRPr="00BC62E1">
        <w:rPr>
          <w:rFonts w:eastAsia="Times New Roman" w:cs="Times New Roman"/>
          <w:i/>
          <w:sz w:val="20"/>
          <w:szCs w:val="20"/>
          <w:lang w:eastAsia="en-CA"/>
        </w:rPr>
        <w:t>Sharpe</w:t>
      </w:r>
      <w:r w:rsidRPr="00BC62E1">
        <w:rPr>
          <w:rFonts w:eastAsia="Times New Roman" w:cs="Times New Roman"/>
          <w:sz w:val="20"/>
          <w:szCs w:val="20"/>
          <w:lang w:eastAsia="en-CA"/>
        </w:rPr>
        <w:t xml:space="preserve"> to mean that separate and apart from the lawfulness or otherwise of the sexual activity in question, the evidence must show (and the accused must point to facts that establish) that a complainant’s consent was obtained in circumstances precluding exploitation or abuse, it was wrongly decided. Accordingly, Berger J.A. found that the “private use exception” was made out in this case and that the acquittal should stand.</w:t>
      </w:r>
    </w:p>
    <w:p w:rsidR="00BC62E1" w:rsidRPr="00BC62E1" w:rsidRDefault="00BC62E1" w:rsidP="00BC62E1">
      <w:pPr>
        <w:widowControl w:val="0"/>
        <w:jc w:val="both"/>
        <w:rPr>
          <w:rFonts w:eastAsia="Times New Roman" w:cs="Times New Roman"/>
          <w:sz w:val="20"/>
          <w:szCs w:val="20"/>
          <w:lang w:eastAsia="en-CA"/>
        </w:rPr>
      </w:pPr>
    </w:p>
    <w:p w:rsidR="00BC62E1" w:rsidRPr="00BC62E1" w:rsidRDefault="00BC62E1" w:rsidP="00BC62E1">
      <w:pPr>
        <w:widowControl w:val="0"/>
        <w:jc w:val="both"/>
        <w:rPr>
          <w:rFonts w:eastAsia="Times New Roman" w:cs="Times New Roman"/>
          <w:sz w:val="20"/>
          <w:szCs w:val="20"/>
          <w:lang w:eastAsia="en-CA"/>
        </w:rPr>
      </w:pPr>
    </w:p>
    <w:p w:rsidR="00BC62E1" w:rsidRPr="00BC62E1" w:rsidRDefault="00BC62E1" w:rsidP="00BC62E1">
      <w:pPr>
        <w:widowControl w:val="0"/>
        <w:ind w:left="2880" w:hanging="2880"/>
        <w:jc w:val="both"/>
        <w:rPr>
          <w:rFonts w:eastAsia="Times New Roman" w:cs="Times New Roman"/>
          <w:sz w:val="20"/>
          <w:szCs w:val="20"/>
          <w:lang w:eastAsia="en-CA"/>
        </w:rPr>
      </w:pPr>
      <w:r w:rsidRPr="00BC62E1">
        <w:rPr>
          <w:rFonts w:eastAsia="Times New Roman" w:cs="Times New Roman"/>
          <w:sz w:val="20"/>
          <w:szCs w:val="20"/>
          <w:lang w:eastAsia="en-CA"/>
        </w:rPr>
        <w:t>Origin of the case:</w:t>
      </w:r>
      <w:r w:rsidRPr="00BC62E1">
        <w:rPr>
          <w:rFonts w:eastAsia="Times New Roman" w:cs="Times New Roman"/>
          <w:sz w:val="20"/>
          <w:szCs w:val="20"/>
          <w:lang w:eastAsia="en-CA"/>
        </w:rPr>
        <w:tab/>
        <w:t>Alberta</w:t>
      </w:r>
    </w:p>
    <w:p w:rsidR="00BC62E1" w:rsidRPr="00BC62E1" w:rsidRDefault="00BC62E1" w:rsidP="00BC62E1">
      <w:pPr>
        <w:widowControl w:val="0"/>
        <w:ind w:left="2880" w:hanging="2880"/>
        <w:jc w:val="both"/>
        <w:rPr>
          <w:rFonts w:eastAsia="Times New Roman" w:cs="Times New Roman"/>
          <w:sz w:val="20"/>
          <w:szCs w:val="20"/>
          <w:lang w:eastAsia="en-CA"/>
        </w:rPr>
      </w:pPr>
    </w:p>
    <w:p w:rsidR="00BC62E1" w:rsidRPr="00BC62E1" w:rsidRDefault="00BC62E1" w:rsidP="00BC62E1">
      <w:pPr>
        <w:widowControl w:val="0"/>
        <w:ind w:left="2880" w:hanging="2880"/>
        <w:jc w:val="both"/>
        <w:rPr>
          <w:rFonts w:eastAsia="Times New Roman" w:cs="Times New Roman"/>
          <w:sz w:val="20"/>
          <w:szCs w:val="20"/>
          <w:lang w:eastAsia="en-CA"/>
        </w:rPr>
      </w:pPr>
      <w:r w:rsidRPr="00BC62E1">
        <w:rPr>
          <w:rFonts w:eastAsia="Times New Roman" w:cs="Times New Roman"/>
          <w:sz w:val="20"/>
          <w:szCs w:val="20"/>
          <w:lang w:eastAsia="en-CA"/>
        </w:rPr>
        <w:t>File No.:</w:t>
      </w:r>
      <w:r w:rsidRPr="00BC62E1">
        <w:rPr>
          <w:rFonts w:eastAsia="Times New Roman" w:cs="Times New Roman"/>
          <w:sz w:val="20"/>
          <w:szCs w:val="20"/>
          <w:lang w:eastAsia="en-CA"/>
        </w:rPr>
        <w:tab/>
        <w:t>36064</w:t>
      </w:r>
    </w:p>
    <w:p w:rsidR="00BC62E1" w:rsidRPr="00BC62E1" w:rsidRDefault="00BC62E1" w:rsidP="00BC62E1">
      <w:pPr>
        <w:widowControl w:val="0"/>
        <w:ind w:left="2880" w:hanging="2880"/>
        <w:jc w:val="both"/>
        <w:rPr>
          <w:rFonts w:eastAsia="Times New Roman" w:cs="Times New Roman"/>
          <w:sz w:val="20"/>
          <w:szCs w:val="20"/>
          <w:lang w:eastAsia="en-CA"/>
        </w:rPr>
      </w:pPr>
    </w:p>
    <w:p w:rsidR="00BC62E1" w:rsidRPr="00BC62E1" w:rsidRDefault="00BC62E1" w:rsidP="00BC62E1">
      <w:pPr>
        <w:widowControl w:val="0"/>
        <w:ind w:left="2880" w:hanging="2880"/>
        <w:jc w:val="both"/>
        <w:rPr>
          <w:rFonts w:eastAsia="Times New Roman" w:cs="Times New Roman"/>
          <w:sz w:val="20"/>
          <w:szCs w:val="20"/>
          <w:lang w:eastAsia="en-CA"/>
        </w:rPr>
      </w:pPr>
      <w:r w:rsidRPr="00BC62E1">
        <w:rPr>
          <w:rFonts w:eastAsia="Times New Roman" w:cs="Times New Roman"/>
          <w:sz w:val="20"/>
          <w:szCs w:val="20"/>
          <w:lang w:eastAsia="en-CA"/>
        </w:rPr>
        <w:t>Judgment of the Court of Appeal:</w:t>
      </w:r>
      <w:r w:rsidRPr="00BC62E1">
        <w:rPr>
          <w:rFonts w:eastAsia="Times New Roman" w:cs="Times New Roman"/>
          <w:sz w:val="20"/>
          <w:szCs w:val="20"/>
          <w:lang w:eastAsia="en-CA"/>
        </w:rPr>
        <w:tab/>
        <w:t>April 3, 2014</w:t>
      </w:r>
    </w:p>
    <w:p w:rsidR="00BC62E1" w:rsidRPr="00BC62E1" w:rsidRDefault="00BC62E1" w:rsidP="00BC62E1">
      <w:pPr>
        <w:widowControl w:val="0"/>
        <w:ind w:left="2880" w:hanging="2880"/>
        <w:jc w:val="both"/>
        <w:rPr>
          <w:rFonts w:eastAsia="Times New Roman" w:cs="Times New Roman"/>
          <w:sz w:val="20"/>
          <w:szCs w:val="20"/>
          <w:lang w:eastAsia="en-CA"/>
        </w:rPr>
      </w:pPr>
    </w:p>
    <w:p w:rsidR="00BC62E1" w:rsidRPr="00BC62E1" w:rsidRDefault="00BC62E1" w:rsidP="00BC62E1">
      <w:pPr>
        <w:widowControl w:val="0"/>
        <w:ind w:left="2880" w:hanging="2880"/>
        <w:jc w:val="both"/>
        <w:rPr>
          <w:rFonts w:eastAsia="Times New Roman" w:cs="Times New Roman"/>
          <w:sz w:val="20"/>
          <w:szCs w:val="20"/>
          <w:lang w:eastAsia="en-CA"/>
        </w:rPr>
      </w:pPr>
      <w:r w:rsidRPr="00BC62E1">
        <w:rPr>
          <w:rFonts w:eastAsia="Times New Roman" w:cs="Times New Roman"/>
          <w:sz w:val="20"/>
          <w:szCs w:val="20"/>
          <w:lang w:eastAsia="en-CA"/>
        </w:rPr>
        <w:t>Counsel:</w:t>
      </w:r>
      <w:r w:rsidRPr="00BC62E1">
        <w:rPr>
          <w:rFonts w:eastAsia="Times New Roman" w:cs="Times New Roman"/>
          <w:sz w:val="20"/>
          <w:szCs w:val="20"/>
          <w:lang w:eastAsia="en-CA"/>
        </w:rPr>
        <w:tab/>
        <w:t>Diana C. Goldie for the appellant</w:t>
      </w:r>
    </w:p>
    <w:p w:rsidR="00BC62E1" w:rsidRPr="00BC62E1" w:rsidRDefault="00BC62E1" w:rsidP="00BC62E1">
      <w:pPr>
        <w:widowControl w:val="0"/>
        <w:ind w:left="2880" w:hanging="2880"/>
        <w:jc w:val="both"/>
        <w:rPr>
          <w:rFonts w:eastAsia="Times New Roman" w:cs="Times New Roman"/>
          <w:sz w:val="20"/>
          <w:szCs w:val="20"/>
          <w:lang w:eastAsia="en-CA"/>
        </w:rPr>
      </w:pPr>
      <w:r w:rsidRPr="00BC62E1">
        <w:rPr>
          <w:rFonts w:eastAsia="Times New Roman" w:cs="Times New Roman"/>
          <w:sz w:val="20"/>
          <w:szCs w:val="20"/>
          <w:lang w:eastAsia="en-CA"/>
        </w:rPr>
        <w:tab/>
        <w:t xml:space="preserve">James C. Robb, Q.C., Julie Morgan and </w:t>
      </w:r>
      <w:proofErr w:type="spellStart"/>
      <w:r w:rsidRPr="00BC62E1">
        <w:rPr>
          <w:rFonts w:eastAsia="Times New Roman" w:cs="Times New Roman"/>
          <w:sz w:val="20"/>
          <w:szCs w:val="20"/>
          <w:lang w:eastAsia="en-CA"/>
        </w:rPr>
        <w:t>Jolaine</w:t>
      </w:r>
      <w:proofErr w:type="spellEnd"/>
      <w:r w:rsidRPr="00BC62E1">
        <w:rPr>
          <w:rFonts w:eastAsia="Times New Roman" w:cs="Times New Roman"/>
          <w:sz w:val="20"/>
          <w:szCs w:val="20"/>
          <w:lang w:eastAsia="en-CA"/>
        </w:rPr>
        <w:t xml:space="preserve"> Antonio for the respondent</w:t>
      </w:r>
    </w:p>
    <w:p w:rsidR="00CC3535" w:rsidRPr="00BC62E1" w:rsidRDefault="00CC3535" w:rsidP="000B3C9A">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91"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920477" w:rsidRPr="00DC6331" w:rsidRDefault="00BD696F" w:rsidP="00920477">
      <w:pPr>
        <w:widowControl w:val="0"/>
        <w:ind w:left="720" w:hanging="720"/>
        <w:jc w:val="both"/>
        <w:rPr>
          <w:rFonts w:eastAsia="Times New Roman" w:cs="Times New Roman"/>
          <w:sz w:val="20"/>
          <w:szCs w:val="20"/>
          <w:lang w:val="fr-CA" w:eastAsia="en-CA"/>
        </w:rPr>
      </w:pPr>
      <w:r w:rsidRPr="00DC6331">
        <w:rPr>
          <w:rFonts w:eastAsia="Times New Roman" w:cs="Times New Roman"/>
          <w:b/>
          <w:sz w:val="20"/>
          <w:szCs w:val="20"/>
          <w:lang w:eastAsia="en-CA"/>
        </w:rPr>
        <w:lastRenderedPageBreak/>
        <w:fldChar w:fldCharType="begin"/>
      </w:r>
      <w:r w:rsidR="00920477" w:rsidRPr="00DC6331">
        <w:rPr>
          <w:rFonts w:eastAsia="Times New Roman" w:cs="Times New Roman"/>
          <w:b/>
          <w:sz w:val="20"/>
          <w:szCs w:val="20"/>
          <w:lang w:val="fr-CA" w:eastAsia="en-CA"/>
        </w:rPr>
        <w:instrText xml:space="preserve"> SEQ CHAPTER \h \r 1</w:instrText>
      </w:r>
      <w:r w:rsidRPr="00DC6331">
        <w:rPr>
          <w:rFonts w:eastAsia="Times New Roman" w:cs="Times New Roman"/>
          <w:b/>
          <w:sz w:val="20"/>
          <w:szCs w:val="20"/>
          <w:lang w:val="en-US" w:eastAsia="en-CA"/>
        </w:rPr>
        <w:fldChar w:fldCharType="end"/>
      </w:r>
      <w:r w:rsidR="00920477" w:rsidRPr="00DC6331">
        <w:rPr>
          <w:rFonts w:eastAsia="Times New Roman" w:cs="Times New Roman"/>
          <w:b/>
          <w:sz w:val="20"/>
          <w:szCs w:val="20"/>
          <w:lang w:val="fr-CA" w:eastAsia="en-CA"/>
        </w:rPr>
        <w:t>36064</w:t>
      </w:r>
      <w:r w:rsidR="00920477" w:rsidRPr="00DC6331">
        <w:rPr>
          <w:rFonts w:eastAsia="Times New Roman" w:cs="Times New Roman"/>
          <w:sz w:val="20"/>
          <w:szCs w:val="20"/>
          <w:lang w:val="fr-CA" w:eastAsia="en-CA"/>
        </w:rPr>
        <w:tab/>
      </w:r>
      <w:r w:rsidR="00920477" w:rsidRPr="00DC6331">
        <w:rPr>
          <w:rFonts w:eastAsia="Times New Roman" w:cs="Times New Roman"/>
          <w:b/>
          <w:i/>
          <w:sz w:val="20"/>
          <w:szCs w:val="20"/>
          <w:lang w:val="fr-CA" w:eastAsia="en-CA"/>
        </w:rPr>
        <w:t xml:space="preserve">Shane Gordon </w:t>
      </w:r>
      <w:proofErr w:type="spellStart"/>
      <w:r w:rsidR="00920477" w:rsidRPr="00DC6331">
        <w:rPr>
          <w:rFonts w:eastAsia="Times New Roman" w:cs="Times New Roman"/>
          <w:b/>
          <w:i/>
          <w:sz w:val="20"/>
          <w:szCs w:val="20"/>
          <w:lang w:val="fr-CA" w:eastAsia="en-CA"/>
        </w:rPr>
        <w:t>Rollison</w:t>
      </w:r>
      <w:proofErr w:type="spellEnd"/>
      <w:r w:rsidR="00920477" w:rsidRPr="00DC6331">
        <w:rPr>
          <w:rFonts w:eastAsia="Times New Roman" w:cs="Times New Roman"/>
          <w:b/>
          <w:i/>
          <w:sz w:val="20"/>
          <w:szCs w:val="20"/>
          <w:lang w:val="fr-CA" w:eastAsia="en-CA"/>
        </w:rPr>
        <w:t xml:space="preserve"> c. Sa Majesté la Reine</w:t>
      </w:r>
    </w:p>
    <w:p w:rsidR="00920477" w:rsidRPr="00DC6331" w:rsidRDefault="00920477" w:rsidP="00920477">
      <w:pPr>
        <w:widowControl w:val="0"/>
        <w:jc w:val="both"/>
        <w:rPr>
          <w:rFonts w:eastAsia="Times New Roman" w:cs="Times New Roman"/>
          <w:sz w:val="20"/>
          <w:szCs w:val="20"/>
          <w:lang w:val="fr-CA" w:eastAsia="en-CA"/>
        </w:rPr>
      </w:pPr>
    </w:p>
    <w:p w:rsidR="00920477" w:rsidRPr="00DC6331" w:rsidRDefault="00920477" w:rsidP="00920477">
      <w:pPr>
        <w:widowControl w:val="0"/>
        <w:jc w:val="both"/>
        <w:rPr>
          <w:rFonts w:eastAsia="Times New Roman" w:cs="Times New Roman"/>
          <w:smallCaps/>
          <w:sz w:val="20"/>
          <w:szCs w:val="20"/>
          <w:lang w:val="fr-CA" w:eastAsia="en-CA"/>
        </w:rPr>
      </w:pPr>
      <w:r w:rsidRPr="00DC6331">
        <w:rPr>
          <w:rFonts w:eastAsia="Times New Roman" w:cs="Times New Roman"/>
          <w:smallCaps/>
          <w:sz w:val="20"/>
          <w:szCs w:val="20"/>
          <w:lang w:val="fr-CA" w:eastAsia="en-CA"/>
        </w:rPr>
        <w:t>(Ordonnance de non-publication dans le dossier)</w:t>
      </w:r>
    </w:p>
    <w:p w:rsidR="00920477" w:rsidRPr="00DC6331" w:rsidRDefault="00920477" w:rsidP="00920477">
      <w:pPr>
        <w:widowControl w:val="0"/>
        <w:jc w:val="both"/>
        <w:rPr>
          <w:rFonts w:eastAsia="Times New Roman" w:cs="Times New Roman"/>
          <w:sz w:val="20"/>
          <w:szCs w:val="20"/>
          <w:lang w:val="fr-CA" w:eastAsia="en-CA"/>
        </w:rPr>
      </w:pPr>
    </w:p>
    <w:p w:rsidR="00920477" w:rsidRPr="00DC6331" w:rsidRDefault="00920477" w:rsidP="00920477">
      <w:pPr>
        <w:widowControl w:val="0"/>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Droit criminel - Production de pornographie juvénile - Exception en matière d’usage personnel - Application de </w:t>
      </w:r>
      <w:r w:rsidRPr="00DC6331">
        <w:rPr>
          <w:rFonts w:eastAsia="Times New Roman" w:cs="Times New Roman"/>
          <w:i/>
          <w:sz w:val="20"/>
          <w:szCs w:val="20"/>
          <w:lang w:val="fr-CA" w:eastAsia="en-CA"/>
        </w:rPr>
        <w:t>R. c. Sharpe</w:t>
      </w:r>
      <w:r w:rsidRPr="00DC6331">
        <w:rPr>
          <w:rFonts w:eastAsia="Times New Roman" w:cs="Times New Roman"/>
          <w:sz w:val="20"/>
          <w:szCs w:val="20"/>
          <w:lang w:val="fr-CA" w:eastAsia="en-CA"/>
        </w:rPr>
        <w:t xml:space="preserve">, 2001 CSC 2, [2001] 1 R.C.S. 45 et de </w:t>
      </w:r>
      <w:r w:rsidRPr="00DC6331">
        <w:rPr>
          <w:rFonts w:eastAsia="Times New Roman" w:cs="Times New Roman"/>
          <w:i/>
          <w:sz w:val="20"/>
          <w:szCs w:val="20"/>
          <w:lang w:val="fr-CA" w:eastAsia="en-CA"/>
        </w:rPr>
        <w:t xml:space="preserve">R. c. </w:t>
      </w:r>
      <w:proofErr w:type="spellStart"/>
      <w:r w:rsidRPr="00DC6331">
        <w:rPr>
          <w:rFonts w:eastAsia="Times New Roman" w:cs="Times New Roman"/>
          <w:i/>
          <w:sz w:val="20"/>
          <w:szCs w:val="20"/>
          <w:lang w:val="fr-CA" w:eastAsia="en-CA"/>
        </w:rPr>
        <w:t>Cockell</w:t>
      </w:r>
      <w:proofErr w:type="spellEnd"/>
      <w:r w:rsidRPr="00DC6331">
        <w:rPr>
          <w:rFonts w:eastAsia="Times New Roman" w:cs="Times New Roman"/>
          <w:sz w:val="20"/>
          <w:szCs w:val="20"/>
          <w:lang w:val="fr-CA" w:eastAsia="en-CA"/>
        </w:rPr>
        <w:t xml:space="preserve">, 2013 ABCA 112 - Le juge du procès </w:t>
      </w:r>
      <w:proofErr w:type="spellStart"/>
      <w:r w:rsidRPr="00DC6331">
        <w:rPr>
          <w:rFonts w:eastAsia="Times New Roman" w:cs="Times New Roman"/>
          <w:sz w:val="20"/>
          <w:szCs w:val="20"/>
          <w:lang w:val="fr-CA" w:eastAsia="en-CA"/>
        </w:rPr>
        <w:t>a-t-il</w:t>
      </w:r>
      <w:proofErr w:type="spellEnd"/>
      <w:r w:rsidRPr="00DC6331">
        <w:rPr>
          <w:rFonts w:eastAsia="Times New Roman" w:cs="Times New Roman"/>
          <w:sz w:val="20"/>
          <w:szCs w:val="20"/>
          <w:lang w:val="fr-CA" w:eastAsia="en-CA"/>
        </w:rPr>
        <w:t xml:space="preserve"> correctement interprété l’« exception en matière d’usage personnel » dont il est question dans </w:t>
      </w:r>
      <w:r w:rsidRPr="00DC6331">
        <w:rPr>
          <w:rFonts w:eastAsia="Times New Roman" w:cs="Times New Roman"/>
          <w:i/>
          <w:sz w:val="20"/>
          <w:szCs w:val="20"/>
          <w:lang w:val="fr-CA" w:eastAsia="en-CA"/>
        </w:rPr>
        <w:t>Sharpe</w:t>
      </w:r>
      <w:r w:rsidRPr="00DC6331">
        <w:rPr>
          <w:rFonts w:eastAsia="Times New Roman" w:cs="Times New Roman"/>
          <w:sz w:val="20"/>
          <w:szCs w:val="20"/>
          <w:lang w:val="fr-CA" w:eastAsia="en-CA"/>
        </w:rPr>
        <w:t>?</w:t>
      </w:r>
    </w:p>
    <w:p w:rsidR="00920477" w:rsidRPr="00DC6331" w:rsidRDefault="00920477" w:rsidP="00920477">
      <w:pPr>
        <w:widowControl w:val="0"/>
        <w:jc w:val="both"/>
        <w:rPr>
          <w:rFonts w:eastAsia="Times New Roman" w:cs="Times New Roman"/>
          <w:sz w:val="20"/>
          <w:szCs w:val="20"/>
          <w:lang w:val="fr-CA" w:eastAsia="en-CA"/>
        </w:rPr>
      </w:pPr>
    </w:p>
    <w:p w:rsidR="004B5C1F" w:rsidRPr="00DC6331" w:rsidRDefault="004B5C1F" w:rsidP="004B5C1F">
      <w:pPr>
        <w:widowControl w:val="0"/>
        <w:jc w:val="both"/>
        <w:rPr>
          <w:sz w:val="20"/>
          <w:szCs w:val="20"/>
          <w:lang w:val="fr-CA"/>
        </w:rPr>
      </w:pPr>
      <w:r w:rsidRPr="00DC6331">
        <w:rPr>
          <w:sz w:val="20"/>
          <w:szCs w:val="20"/>
          <w:lang w:val="fr-CA"/>
        </w:rPr>
        <w:t xml:space="preserve">L’appelant a été acquitté relativement à un chef d’accusation de production de pornographie juvénile en lien avec deux adolescentes.  Le ministère public a interjeté appel de l’acquittement, plaidant notamment que le juge du procès avait commis une erreur de droit dans son interprétation de l’« exception en matière d’usage personnel » aux infractions.  Appliquant l’arrêt </w:t>
      </w:r>
      <w:proofErr w:type="spellStart"/>
      <w:r w:rsidRPr="00DC6331">
        <w:rPr>
          <w:i/>
          <w:sz w:val="20"/>
          <w:szCs w:val="20"/>
          <w:lang w:val="fr-CA"/>
        </w:rPr>
        <w:t>Cockell</w:t>
      </w:r>
      <w:proofErr w:type="spellEnd"/>
      <w:r w:rsidRPr="00DC6331">
        <w:rPr>
          <w:sz w:val="20"/>
          <w:szCs w:val="20"/>
          <w:lang w:val="fr-CA"/>
        </w:rPr>
        <w:t xml:space="preserve"> de la Cour d’appel de l’Alberta, les juges majoritaires de la Cour d’appel ont accueilli l’appel et inscrit une déclaration de culpabilité relativement à l’infraction.  Le juge Berger, dissident, aurait rejeté l’appel.  À son avis, dans la mesure où l’arrêt </w:t>
      </w:r>
      <w:proofErr w:type="spellStart"/>
      <w:r w:rsidRPr="00DC6331">
        <w:rPr>
          <w:i/>
          <w:sz w:val="20"/>
          <w:szCs w:val="20"/>
          <w:lang w:val="fr-CA"/>
        </w:rPr>
        <w:t>Cockell</w:t>
      </w:r>
      <w:proofErr w:type="spellEnd"/>
      <w:r w:rsidRPr="00DC6331">
        <w:rPr>
          <w:sz w:val="20"/>
          <w:szCs w:val="20"/>
          <w:lang w:val="fr-CA"/>
        </w:rPr>
        <w:t xml:space="preserve"> a interprété l’arrêt </w:t>
      </w:r>
      <w:r w:rsidRPr="00DC6331">
        <w:rPr>
          <w:i/>
          <w:sz w:val="20"/>
          <w:szCs w:val="20"/>
          <w:lang w:val="fr-CA"/>
        </w:rPr>
        <w:t>Sharpe</w:t>
      </w:r>
      <w:r w:rsidRPr="00DC6331">
        <w:rPr>
          <w:sz w:val="20"/>
          <w:szCs w:val="20"/>
          <w:lang w:val="fr-CA"/>
        </w:rPr>
        <w:t xml:space="preserve"> comme voulant dire qu’indépendamment de l’activité sexuelle en question, et notamment de sa légalité, la preuve doit montrer — et l’accusé doit indiquer des faits qui établissent — que le consentement de la plaignante a été obtenu dans des circonstances qui empêchent l’exploitation ou la maltraitance, </w:t>
      </w:r>
      <w:proofErr w:type="spellStart"/>
      <w:r w:rsidRPr="00DC6331">
        <w:rPr>
          <w:i/>
          <w:sz w:val="20"/>
          <w:szCs w:val="20"/>
          <w:lang w:val="fr-CA"/>
        </w:rPr>
        <w:t>Cockell</w:t>
      </w:r>
      <w:proofErr w:type="spellEnd"/>
      <w:r w:rsidRPr="00DC6331">
        <w:rPr>
          <w:sz w:val="20"/>
          <w:szCs w:val="20"/>
          <w:lang w:val="fr-CA"/>
        </w:rPr>
        <w:t xml:space="preserve"> est mal fondé.  En conséquence, le juge Berger a conclu que l’« exception en matière d’usage personnel » avait été établie en l’espèce et que l’acquittement devait être confirmé.</w:t>
      </w:r>
    </w:p>
    <w:p w:rsidR="00920477" w:rsidRPr="00DC6331" w:rsidRDefault="00920477" w:rsidP="00920477">
      <w:pPr>
        <w:widowControl w:val="0"/>
        <w:jc w:val="both"/>
        <w:rPr>
          <w:rFonts w:eastAsia="Times New Roman" w:cs="Times New Roman"/>
          <w:sz w:val="20"/>
          <w:szCs w:val="20"/>
          <w:lang w:val="fr-CA" w:eastAsia="en-CA"/>
        </w:rPr>
      </w:pPr>
    </w:p>
    <w:p w:rsidR="00920477" w:rsidRPr="00DC6331" w:rsidRDefault="00920477" w:rsidP="00920477">
      <w:pPr>
        <w:widowControl w:val="0"/>
        <w:jc w:val="both"/>
        <w:rPr>
          <w:rFonts w:eastAsia="Times New Roman" w:cs="Times New Roman"/>
          <w:sz w:val="20"/>
          <w:szCs w:val="20"/>
          <w:lang w:val="fr-CA" w:eastAsia="en-CA"/>
        </w:rPr>
      </w:pPr>
    </w:p>
    <w:p w:rsidR="00920477" w:rsidRPr="00DC6331" w:rsidRDefault="00920477" w:rsidP="00920477">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Origine :</w:t>
      </w:r>
      <w:r w:rsidRPr="00DC6331">
        <w:rPr>
          <w:rFonts w:eastAsia="Times New Roman" w:cs="Times New Roman"/>
          <w:sz w:val="20"/>
          <w:szCs w:val="20"/>
          <w:lang w:val="fr-CA" w:eastAsia="en-CA"/>
        </w:rPr>
        <w:tab/>
        <w:t>Alberta</w:t>
      </w:r>
    </w:p>
    <w:p w:rsidR="00920477" w:rsidRPr="00DC6331" w:rsidRDefault="00920477" w:rsidP="00920477">
      <w:pPr>
        <w:widowControl w:val="0"/>
        <w:ind w:left="2880" w:hanging="2880"/>
        <w:jc w:val="both"/>
        <w:rPr>
          <w:rFonts w:eastAsia="Times New Roman" w:cs="Times New Roman"/>
          <w:sz w:val="20"/>
          <w:szCs w:val="20"/>
          <w:lang w:val="fr-CA" w:eastAsia="en-CA"/>
        </w:rPr>
      </w:pPr>
    </w:p>
    <w:p w:rsidR="00920477" w:rsidRPr="00DC6331" w:rsidRDefault="00920477" w:rsidP="00920477">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No du greffe :</w:t>
      </w:r>
      <w:r w:rsidRPr="00DC6331">
        <w:rPr>
          <w:rFonts w:eastAsia="Times New Roman" w:cs="Times New Roman"/>
          <w:sz w:val="20"/>
          <w:szCs w:val="20"/>
          <w:lang w:val="fr-CA" w:eastAsia="en-CA"/>
        </w:rPr>
        <w:tab/>
        <w:t>36064</w:t>
      </w:r>
    </w:p>
    <w:p w:rsidR="00920477" w:rsidRPr="00DC6331" w:rsidRDefault="00920477" w:rsidP="00920477">
      <w:pPr>
        <w:widowControl w:val="0"/>
        <w:ind w:left="2880" w:hanging="2880"/>
        <w:jc w:val="both"/>
        <w:rPr>
          <w:rFonts w:eastAsia="Times New Roman" w:cs="Times New Roman"/>
          <w:sz w:val="20"/>
          <w:szCs w:val="20"/>
          <w:lang w:val="fr-CA" w:eastAsia="en-CA"/>
        </w:rPr>
      </w:pPr>
    </w:p>
    <w:p w:rsidR="00920477" w:rsidRPr="00DC6331" w:rsidRDefault="00920477" w:rsidP="00920477">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Arrêt de la Cour d’appel :</w:t>
      </w:r>
      <w:r w:rsidRPr="00DC6331">
        <w:rPr>
          <w:rFonts w:eastAsia="Times New Roman" w:cs="Times New Roman"/>
          <w:sz w:val="20"/>
          <w:szCs w:val="20"/>
          <w:lang w:val="fr-CA" w:eastAsia="en-CA"/>
        </w:rPr>
        <w:tab/>
        <w:t xml:space="preserve">le 3 avril 2014 </w:t>
      </w:r>
    </w:p>
    <w:p w:rsidR="00920477" w:rsidRPr="00DC6331" w:rsidRDefault="00920477" w:rsidP="00920477">
      <w:pPr>
        <w:widowControl w:val="0"/>
        <w:ind w:left="2880" w:hanging="2880"/>
        <w:jc w:val="both"/>
        <w:rPr>
          <w:rFonts w:eastAsia="Times New Roman" w:cs="Times New Roman"/>
          <w:sz w:val="20"/>
          <w:szCs w:val="20"/>
          <w:lang w:val="fr-CA" w:eastAsia="en-CA"/>
        </w:rPr>
      </w:pPr>
    </w:p>
    <w:p w:rsidR="00920477" w:rsidRPr="00DC6331" w:rsidRDefault="00920477" w:rsidP="00920477">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Avocats :</w:t>
      </w:r>
      <w:r w:rsidRPr="00DC6331">
        <w:rPr>
          <w:rFonts w:eastAsia="Times New Roman" w:cs="Times New Roman"/>
          <w:sz w:val="20"/>
          <w:szCs w:val="20"/>
          <w:lang w:val="fr-CA" w:eastAsia="en-CA"/>
        </w:rPr>
        <w:tab/>
        <w:t xml:space="preserve">Diane C. </w:t>
      </w:r>
      <w:proofErr w:type="spellStart"/>
      <w:r w:rsidRPr="00DC6331">
        <w:rPr>
          <w:rFonts w:eastAsia="Times New Roman" w:cs="Times New Roman"/>
          <w:sz w:val="20"/>
          <w:szCs w:val="20"/>
          <w:lang w:val="fr-CA" w:eastAsia="en-CA"/>
        </w:rPr>
        <w:t>Goldie</w:t>
      </w:r>
      <w:proofErr w:type="spellEnd"/>
      <w:r w:rsidRPr="00DC6331">
        <w:rPr>
          <w:rFonts w:eastAsia="Times New Roman" w:cs="Times New Roman"/>
          <w:sz w:val="20"/>
          <w:szCs w:val="20"/>
          <w:lang w:val="fr-CA" w:eastAsia="en-CA"/>
        </w:rPr>
        <w:t xml:space="preserve"> pour l’appelant</w:t>
      </w:r>
    </w:p>
    <w:p w:rsidR="00920477" w:rsidRPr="00DC6331" w:rsidRDefault="00920477" w:rsidP="00920477">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b/>
        <w:t xml:space="preserve">James C. </w:t>
      </w:r>
      <w:proofErr w:type="spellStart"/>
      <w:r w:rsidRPr="00DC6331">
        <w:rPr>
          <w:rFonts w:eastAsia="Times New Roman" w:cs="Times New Roman"/>
          <w:sz w:val="20"/>
          <w:szCs w:val="20"/>
          <w:lang w:val="fr-CA" w:eastAsia="en-CA"/>
        </w:rPr>
        <w:t>Robb</w:t>
      </w:r>
      <w:proofErr w:type="spellEnd"/>
      <w:r w:rsidRPr="00DC6331">
        <w:rPr>
          <w:rFonts w:eastAsia="Times New Roman" w:cs="Times New Roman"/>
          <w:sz w:val="20"/>
          <w:szCs w:val="20"/>
          <w:lang w:val="fr-CA" w:eastAsia="en-CA"/>
        </w:rPr>
        <w:t xml:space="preserve">, </w:t>
      </w:r>
      <w:proofErr w:type="spellStart"/>
      <w:proofErr w:type="gramStart"/>
      <w:r w:rsidRPr="00DC6331">
        <w:rPr>
          <w:rFonts w:eastAsia="Times New Roman" w:cs="Times New Roman"/>
          <w:sz w:val="20"/>
          <w:szCs w:val="20"/>
          <w:lang w:val="fr-CA" w:eastAsia="en-CA"/>
        </w:rPr>
        <w:t>c.r</w:t>
      </w:r>
      <w:proofErr w:type="spellEnd"/>
      <w:r w:rsidRPr="00DC6331">
        <w:rPr>
          <w:rFonts w:eastAsia="Times New Roman" w:cs="Times New Roman"/>
          <w:sz w:val="20"/>
          <w:szCs w:val="20"/>
          <w:lang w:val="fr-CA" w:eastAsia="en-CA"/>
        </w:rPr>
        <w:t>.,</w:t>
      </w:r>
      <w:proofErr w:type="gramEnd"/>
      <w:r w:rsidRPr="00DC6331">
        <w:rPr>
          <w:rFonts w:eastAsia="Times New Roman" w:cs="Times New Roman"/>
          <w:sz w:val="20"/>
          <w:szCs w:val="20"/>
          <w:lang w:val="fr-CA" w:eastAsia="en-CA"/>
        </w:rPr>
        <w:t xml:space="preserve"> Julie Morgan et </w:t>
      </w:r>
      <w:proofErr w:type="spellStart"/>
      <w:r w:rsidRPr="00DC6331">
        <w:rPr>
          <w:rFonts w:eastAsia="Times New Roman" w:cs="Times New Roman"/>
          <w:sz w:val="20"/>
          <w:szCs w:val="20"/>
          <w:lang w:val="fr-CA" w:eastAsia="en-CA"/>
        </w:rPr>
        <w:t>Jolaine</w:t>
      </w:r>
      <w:proofErr w:type="spellEnd"/>
      <w:r w:rsidRPr="00DC6331">
        <w:rPr>
          <w:rFonts w:eastAsia="Times New Roman" w:cs="Times New Roman"/>
          <w:sz w:val="20"/>
          <w:szCs w:val="20"/>
          <w:lang w:val="fr-CA" w:eastAsia="en-CA"/>
        </w:rPr>
        <w:t xml:space="preserve"> Antonio pour l’intimée</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2"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3212CE" w:rsidRPr="00DC6331" w:rsidRDefault="00BD696F" w:rsidP="003212CE">
      <w:pPr>
        <w:widowControl w:val="0"/>
        <w:ind w:left="720" w:hanging="720"/>
        <w:jc w:val="both"/>
        <w:rPr>
          <w:rFonts w:eastAsia="Times New Roman" w:cs="Times New Roman"/>
          <w:sz w:val="20"/>
          <w:szCs w:val="20"/>
          <w:lang w:eastAsia="en-CA"/>
        </w:rPr>
      </w:pPr>
      <w:r w:rsidRPr="00DC6331">
        <w:rPr>
          <w:rFonts w:eastAsia="Times New Roman" w:cs="Times New Roman"/>
          <w:b/>
          <w:sz w:val="20"/>
          <w:szCs w:val="20"/>
          <w:lang w:eastAsia="en-CA"/>
        </w:rPr>
        <w:lastRenderedPageBreak/>
        <w:fldChar w:fldCharType="begin"/>
      </w:r>
      <w:r w:rsidR="003212CE" w:rsidRPr="00DC6331">
        <w:rPr>
          <w:rFonts w:eastAsia="Times New Roman" w:cs="Times New Roman"/>
          <w:b/>
          <w:sz w:val="20"/>
          <w:szCs w:val="20"/>
          <w:lang w:val="en-US" w:eastAsia="en-CA"/>
        </w:rPr>
        <w:instrText xml:space="preserve"> SEQ CHAPTER \h \r 1</w:instrText>
      </w:r>
      <w:r w:rsidRPr="00DC6331">
        <w:rPr>
          <w:rFonts w:eastAsia="Times New Roman" w:cs="Times New Roman"/>
          <w:b/>
          <w:sz w:val="20"/>
          <w:szCs w:val="20"/>
          <w:lang w:val="en-US" w:eastAsia="en-CA"/>
        </w:rPr>
        <w:fldChar w:fldCharType="end"/>
      </w:r>
      <w:r w:rsidR="003212CE" w:rsidRPr="00DC6331">
        <w:rPr>
          <w:rFonts w:eastAsia="Times New Roman" w:cs="Times New Roman"/>
          <w:b/>
          <w:sz w:val="20"/>
          <w:szCs w:val="20"/>
          <w:lang w:eastAsia="en-CA"/>
        </w:rPr>
        <w:t>35777</w:t>
      </w:r>
      <w:r w:rsidR="003212CE" w:rsidRPr="00DC6331">
        <w:rPr>
          <w:rFonts w:eastAsia="Times New Roman" w:cs="Times New Roman"/>
          <w:sz w:val="20"/>
          <w:szCs w:val="20"/>
          <w:lang w:eastAsia="en-CA"/>
        </w:rPr>
        <w:tab/>
      </w:r>
      <w:r w:rsidR="003212CE" w:rsidRPr="00DC6331">
        <w:rPr>
          <w:rFonts w:eastAsia="Times New Roman" w:cs="Times New Roman"/>
          <w:b/>
          <w:bCs/>
          <w:i/>
          <w:iCs/>
          <w:sz w:val="20"/>
          <w:szCs w:val="20"/>
          <w:lang w:val="en-US" w:eastAsia="en-CA"/>
        </w:rPr>
        <w:t>Stuart</w:t>
      </w:r>
      <w:r w:rsidR="003212CE" w:rsidRPr="00DC6331">
        <w:rPr>
          <w:rFonts w:eastAsia="Times New Roman" w:cs="Times New Roman"/>
          <w:b/>
          <w:i/>
          <w:sz w:val="20"/>
          <w:szCs w:val="20"/>
          <w:lang w:eastAsia="en-CA"/>
        </w:rPr>
        <w:t xml:space="preserve"> Olson Dominion Construction Ltd., formerly known as Dominion Construction Company Inc. v. </w:t>
      </w:r>
      <w:proofErr w:type="spellStart"/>
      <w:r w:rsidR="003212CE" w:rsidRPr="00DC6331">
        <w:rPr>
          <w:rFonts w:eastAsia="Times New Roman" w:cs="Times New Roman"/>
          <w:b/>
          <w:i/>
          <w:sz w:val="20"/>
          <w:szCs w:val="20"/>
          <w:lang w:eastAsia="en-CA"/>
        </w:rPr>
        <w:t>Structal</w:t>
      </w:r>
      <w:proofErr w:type="spellEnd"/>
      <w:r w:rsidR="003212CE" w:rsidRPr="00DC6331">
        <w:rPr>
          <w:rFonts w:eastAsia="Times New Roman" w:cs="Times New Roman"/>
          <w:b/>
          <w:i/>
          <w:sz w:val="20"/>
          <w:szCs w:val="20"/>
          <w:lang w:eastAsia="en-CA"/>
        </w:rPr>
        <w:t xml:space="preserve"> Heavy Steel, a division of </w:t>
      </w:r>
      <w:proofErr w:type="spellStart"/>
      <w:r w:rsidR="003212CE" w:rsidRPr="00DC6331">
        <w:rPr>
          <w:rFonts w:eastAsia="Times New Roman" w:cs="Times New Roman"/>
          <w:b/>
          <w:i/>
          <w:sz w:val="20"/>
          <w:szCs w:val="20"/>
          <w:lang w:eastAsia="en-CA"/>
        </w:rPr>
        <w:t>Canam</w:t>
      </w:r>
      <w:proofErr w:type="spellEnd"/>
      <w:r w:rsidR="003212CE" w:rsidRPr="00DC6331">
        <w:rPr>
          <w:rFonts w:eastAsia="Times New Roman" w:cs="Times New Roman"/>
          <w:b/>
          <w:i/>
          <w:sz w:val="20"/>
          <w:szCs w:val="20"/>
          <w:lang w:eastAsia="en-CA"/>
        </w:rPr>
        <w:t xml:space="preserve"> Group Inc.</w:t>
      </w:r>
    </w:p>
    <w:p w:rsidR="003212CE" w:rsidRPr="00DC6331" w:rsidRDefault="003212CE" w:rsidP="003212CE">
      <w:pPr>
        <w:widowControl w:val="0"/>
        <w:jc w:val="both"/>
        <w:rPr>
          <w:rFonts w:eastAsia="Times New Roman" w:cs="Times New Roman"/>
          <w:sz w:val="20"/>
          <w:szCs w:val="20"/>
          <w:lang w:eastAsia="en-CA"/>
        </w:rPr>
      </w:pPr>
    </w:p>
    <w:p w:rsidR="003212CE" w:rsidRPr="00DC6331" w:rsidRDefault="003212CE" w:rsidP="003212CE">
      <w:pPr>
        <w:jc w:val="both"/>
        <w:rPr>
          <w:rFonts w:eastAsia="Times New Roman" w:cs="Times New Roman"/>
          <w:sz w:val="20"/>
          <w:szCs w:val="20"/>
          <w:lang w:val="en-US" w:eastAsia="en-CA"/>
        </w:rPr>
      </w:pPr>
      <w:r w:rsidRPr="00DC6331">
        <w:rPr>
          <w:rFonts w:eastAsia="Times New Roman" w:cs="Times New Roman"/>
          <w:sz w:val="20"/>
          <w:szCs w:val="20"/>
          <w:lang w:val="en-US" w:eastAsia="en-CA"/>
        </w:rPr>
        <w:t xml:space="preserve">Commercial law - Construction law - Liens - Whether the filing of a lien bond in court in the full amount of a subcontractor’s lien claim extinguishes the contractor’s obligation to that subcontractor under the trust provisions of </w:t>
      </w:r>
      <w:r w:rsidRPr="00DC6331">
        <w:rPr>
          <w:rFonts w:eastAsia="Times New Roman" w:cs="Times New Roman"/>
          <w:i/>
          <w:sz w:val="20"/>
          <w:szCs w:val="20"/>
          <w:lang w:val="en-US" w:eastAsia="en-CA"/>
        </w:rPr>
        <w:t>The Builders’ Lien Act</w:t>
      </w:r>
      <w:r w:rsidRPr="00DC6331">
        <w:rPr>
          <w:rFonts w:eastAsia="Times New Roman" w:cs="Times New Roman"/>
          <w:sz w:val="20"/>
          <w:szCs w:val="20"/>
          <w:lang w:val="en-US" w:eastAsia="en-CA"/>
        </w:rPr>
        <w:t xml:space="preserve"> - </w:t>
      </w:r>
      <w:r w:rsidRPr="00DC6331">
        <w:rPr>
          <w:rFonts w:eastAsia="Times New Roman" w:cs="Times New Roman"/>
          <w:i/>
          <w:sz w:val="20"/>
          <w:szCs w:val="20"/>
          <w:lang w:val="en-US" w:eastAsia="en-CA"/>
        </w:rPr>
        <w:t>The Builders’ Lien Act</w:t>
      </w:r>
      <w:r w:rsidRPr="00DC6331">
        <w:rPr>
          <w:rFonts w:eastAsia="Times New Roman" w:cs="Times New Roman"/>
          <w:sz w:val="20"/>
          <w:szCs w:val="20"/>
          <w:lang w:val="en-US" w:eastAsia="en-CA"/>
        </w:rPr>
        <w:t>, C.C.S.M. c. B91.</w:t>
      </w:r>
    </w:p>
    <w:p w:rsidR="003212CE" w:rsidRPr="00DC6331" w:rsidRDefault="003212CE" w:rsidP="003212CE">
      <w:pPr>
        <w:widowControl w:val="0"/>
        <w:jc w:val="both"/>
        <w:rPr>
          <w:rFonts w:eastAsia="Times New Roman" w:cs="Times New Roman"/>
          <w:sz w:val="20"/>
          <w:szCs w:val="20"/>
          <w:lang w:val="en-US" w:eastAsia="en-CA"/>
        </w:rPr>
      </w:pPr>
    </w:p>
    <w:p w:rsidR="003212CE" w:rsidRPr="00DC6331" w:rsidRDefault="003212CE" w:rsidP="003212CE">
      <w:pPr>
        <w:tabs>
          <w:tab w:val="left" w:pos="9356"/>
        </w:tabs>
        <w:ind w:right="4"/>
        <w:jc w:val="both"/>
        <w:rPr>
          <w:rFonts w:eastAsia="Times New Roman" w:cs="Times New Roman"/>
          <w:sz w:val="20"/>
          <w:szCs w:val="20"/>
          <w:lang w:val="en-US" w:eastAsia="en-CA"/>
        </w:rPr>
      </w:pPr>
      <w:r w:rsidRPr="00DC6331">
        <w:rPr>
          <w:rFonts w:eastAsia="Times New Roman" w:cs="Times New Roman"/>
          <w:sz w:val="20"/>
          <w:szCs w:val="20"/>
          <w:lang w:val="en-US" w:eastAsia="en-CA"/>
        </w:rPr>
        <w:t xml:space="preserve">The Appellant, Stuart Olson Dominion Construction Ltd. (“Dominion”) was the general contractor and the Respondent,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Heavy Steel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its subcontractor in respect of the structural steel work required for the construction of a new stadium.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filed a builder’s lien against the stadium property for the full amount of past due and future invoices, the statutory holdback and costs of delay. Dominion deposited a lien bond for the full amount of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lien claim.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then discharged its lien, but continued to seek payment from Dominion for the monies owing for its subcontract work. Dominion refused payment arguing that the lien bond fully secured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claim and thus extinguished Dominion’s obligations under the trust provisions of Manitoba’s</w:t>
      </w:r>
      <w:r w:rsidRPr="00DC6331">
        <w:rPr>
          <w:rFonts w:eastAsia="Times New Roman" w:cs="Times New Roman"/>
          <w:i/>
          <w:sz w:val="20"/>
          <w:szCs w:val="20"/>
          <w:lang w:val="en-US" w:eastAsia="en-CA"/>
        </w:rPr>
        <w:t xml:space="preserve"> Builders’ Lien Act</w:t>
      </w:r>
      <w:r w:rsidRPr="00DC6331">
        <w:rPr>
          <w:rFonts w:eastAsia="Times New Roman" w:cs="Times New Roman"/>
          <w:sz w:val="20"/>
          <w:szCs w:val="20"/>
          <w:lang w:val="en-US" w:eastAsia="en-CA"/>
        </w:rPr>
        <w:t xml:space="preserve">, such that it was entitled to use the contract monies otherwise payable to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to pay other creditors.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had completed all work under the subcontract and all subcontractors had been paid by it in full.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had not been paid the outstanding invoices or the statutory holdback. The motion judge found that the filing of the lien bond by Dominion satisfied its trust obligations to </w:t>
      </w:r>
      <w:proofErr w:type="spellStart"/>
      <w:r w:rsidRPr="00DC6331">
        <w:rPr>
          <w:rFonts w:eastAsia="Times New Roman" w:cs="Times New Roman"/>
          <w:sz w:val="20"/>
          <w:szCs w:val="20"/>
          <w:lang w:val="en-US" w:eastAsia="en-CA"/>
        </w:rPr>
        <w:t>Structal</w:t>
      </w:r>
      <w:proofErr w:type="spellEnd"/>
      <w:r w:rsidRPr="00DC6331">
        <w:rPr>
          <w:rFonts w:eastAsia="Times New Roman" w:cs="Times New Roman"/>
          <w:sz w:val="20"/>
          <w:szCs w:val="20"/>
          <w:lang w:val="en-US" w:eastAsia="en-CA"/>
        </w:rPr>
        <w:t xml:space="preserve"> under the Act and that, upon receipt of the progress payments from the owner, Dominion could disperse them to other creditors without being in breach of the trust provisions of the Act. The motion judge dismissed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motion for payment of the progress payments finding the dispute pertaining to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delay claim, and Dominion’s claim for set-off under their contract, was a dispute that could not be decided at this stage of the proceedings and on the materials before him. The motion judge declared that Dominion’s lien bond extinguished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trust obligations under the Act and dismissed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motion for payment. The Court of Appeal allowed the appeal in part. The motion judge’s order declaring that the provision of the lien bond extinguishes the trust obligations of Dominion was set aside.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appeal from the motion judge’s order dismissing </w:t>
      </w:r>
      <w:proofErr w:type="spellStart"/>
      <w:r w:rsidRPr="00DC6331">
        <w:rPr>
          <w:rFonts w:eastAsia="Times New Roman" w:cs="Times New Roman"/>
          <w:sz w:val="20"/>
          <w:szCs w:val="20"/>
          <w:lang w:val="en-US" w:eastAsia="en-CA"/>
        </w:rPr>
        <w:t>Structal’s</w:t>
      </w:r>
      <w:proofErr w:type="spellEnd"/>
      <w:r w:rsidRPr="00DC6331">
        <w:rPr>
          <w:rFonts w:eastAsia="Times New Roman" w:cs="Times New Roman"/>
          <w:sz w:val="20"/>
          <w:szCs w:val="20"/>
          <w:lang w:val="en-US" w:eastAsia="en-CA"/>
        </w:rPr>
        <w:t xml:space="preserve"> motion for payment was dismissed.</w:t>
      </w:r>
    </w:p>
    <w:p w:rsidR="003212CE" w:rsidRPr="00DC6331" w:rsidRDefault="003212CE" w:rsidP="003212CE">
      <w:pPr>
        <w:widowControl w:val="0"/>
        <w:jc w:val="both"/>
        <w:rPr>
          <w:rFonts w:eastAsia="Times New Roman" w:cs="Times New Roman"/>
          <w:sz w:val="20"/>
          <w:szCs w:val="20"/>
          <w:lang w:val="en-US" w:eastAsia="en-CA"/>
        </w:rPr>
      </w:pPr>
    </w:p>
    <w:p w:rsidR="003212CE" w:rsidRPr="00DC6331" w:rsidRDefault="003212CE" w:rsidP="003212CE">
      <w:pPr>
        <w:widowControl w:val="0"/>
        <w:jc w:val="both"/>
        <w:rPr>
          <w:rFonts w:eastAsia="Times New Roman" w:cs="Times New Roman"/>
          <w:sz w:val="20"/>
          <w:szCs w:val="20"/>
          <w:lang w:val="en-US" w:eastAsia="en-CA"/>
        </w:rPr>
      </w:pPr>
    </w:p>
    <w:p w:rsidR="003212CE" w:rsidRPr="00DC6331" w:rsidRDefault="003212CE" w:rsidP="003212C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Origin of the case:</w:t>
      </w:r>
      <w:r w:rsidRPr="00DC6331">
        <w:rPr>
          <w:rFonts w:eastAsia="Times New Roman" w:cs="Times New Roman"/>
          <w:sz w:val="20"/>
          <w:szCs w:val="20"/>
          <w:lang w:eastAsia="en-CA"/>
        </w:rPr>
        <w:tab/>
        <w:t>Manitoba</w:t>
      </w:r>
    </w:p>
    <w:p w:rsidR="003212CE" w:rsidRPr="00DC6331" w:rsidRDefault="003212CE" w:rsidP="003212CE">
      <w:pPr>
        <w:widowControl w:val="0"/>
        <w:ind w:left="2880" w:hanging="2880"/>
        <w:jc w:val="both"/>
        <w:rPr>
          <w:rFonts w:eastAsia="Times New Roman" w:cs="Times New Roman"/>
          <w:sz w:val="20"/>
          <w:szCs w:val="20"/>
          <w:lang w:eastAsia="en-CA"/>
        </w:rPr>
      </w:pPr>
    </w:p>
    <w:p w:rsidR="003212CE" w:rsidRPr="00DC6331" w:rsidRDefault="003212CE" w:rsidP="003212C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File No.:</w:t>
      </w:r>
      <w:r w:rsidRPr="00DC6331">
        <w:rPr>
          <w:rFonts w:eastAsia="Times New Roman" w:cs="Times New Roman"/>
          <w:sz w:val="20"/>
          <w:szCs w:val="20"/>
          <w:lang w:eastAsia="en-CA"/>
        </w:rPr>
        <w:tab/>
        <w:t>35777</w:t>
      </w:r>
    </w:p>
    <w:p w:rsidR="003212CE" w:rsidRPr="00DC6331" w:rsidRDefault="003212CE" w:rsidP="003212CE">
      <w:pPr>
        <w:widowControl w:val="0"/>
        <w:ind w:left="2880" w:hanging="2880"/>
        <w:jc w:val="both"/>
        <w:rPr>
          <w:rFonts w:eastAsia="Times New Roman" w:cs="Times New Roman"/>
          <w:sz w:val="20"/>
          <w:szCs w:val="20"/>
          <w:lang w:eastAsia="en-CA"/>
        </w:rPr>
      </w:pPr>
    </w:p>
    <w:p w:rsidR="003212CE" w:rsidRPr="00DC6331" w:rsidRDefault="003212CE" w:rsidP="003212C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Judgment of the Court of Appeal:</w:t>
      </w:r>
      <w:r w:rsidRPr="00DC6331">
        <w:rPr>
          <w:rFonts w:eastAsia="Times New Roman" w:cs="Times New Roman"/>
          <w:sz w:val="20"/>
          <w:szCs w:val="20"/>
          <w:lang w:eastAsia="en-CA"/>
        </w:rPr>
        <w:tab/>
        <w:t>January 22, 2014</w:t>
      </w:r>
    </w:p>
    <w:p w:rsidR="003212CE" w:rsidRPr="00DC6331" w:rsidRDefault="003212CE" w:rsidP="003212CE">
      <w:pPr>
        <w:widowControl w:val="0"/>
        <w:ind w:left="2880" w:hanging="2880"/>
        <w:jc w:val="both"/>
        <w:rPr>
          <w:rFonts w:eastAsia="Times New Roman" w:cs="Times New Roman"/>
          <w:sz w:val="20"/>
          <w:szCs w:val="20"/>
          <w:lang w:eastAsia="en-CA"/>
        </w:rPr>
      </w:pPr>
    </w:p>
    <w:p w:rsidR="003212CE" w:rsidRPr="00DC6331" w:rsidRDefault="003212CE" w:rsidP="003212C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Counsel:</w:t>
      </w:r>
      <w:r w:rsidRPr="00DC6331">
        <w:rPr>
          <w:rFonts w:eastAsia="Times New Roman" w:cs="Times New Roman"/>
          <w:sz w:val="20"/>
          <w:szCs w:val="20"/>
          <w:lang w:eastAsia="en-CA"/>
        </w:rPr>
        <w:tab/>
        <w:t>David G. Hill, Derek M. Olson</w:t>
      </w:r>
      <w:r w:rsidR="006075B1" w:rsidRPr="00DC6331">
        <w:rPr>
          <w:rFonts w:eastAsia="Times New Roman" w:cs="Times New Roman"/>
          <w:sz w:val="20"/>
          <w:szCs w:val="20"/>
          <w:lang w:eastAsia="en-CA"/>
        </w:rPr>
        <w:t xml:space="preserve"> and Michael Weinstein for the a</w:t>
      </w:r>
      <w:r w:rsidRPr="00DC6331">
        <w:rPr>
          <w:rFonts w:eastAsia="Times New Roman" w:cs="Times New Roman"/>
          <w:sz w:val="20"/>
          <w:szCs w:val="20"/>
          <w:lang w:eastAsia="en-CA"/>
        </w:rPr>
        <w:t>ppellant</w:t>
      </w:r>
    </w:p>
    <w:p w:rsidR="003212CE" w:rsidRPr="00DC6331" w:rsidRDefault="003212CE" w:rsidP="003212C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ab/>
        <w:t xml:space="preserve">Kevin T. Williams for the </w:t>
      </w:r>
      <w:r w:rsidR="006075B1" w:rsidRPr="00DC6331">
        <w:rPr>
          <w:rFonts w:eastAsia="Times New Roman" w:cs="Times New Roman"/>
          <w:sz w:val="20"/>
          <w:szCs w:val="20"/>
          <w:lang w:eastAsia="en-CA"/>
        </w:rPr>
        <w:t>r</w:t>
      </w:r>
      <w:r w:rsidRPr="00DC6331">
        <w:rPr>
          <w:rFonts w:eastAsia="Times New Roman" w:cs="Times New Roman"/>
          <w:sz w:val="20"/>
          <w:szCs w:val="20"/>
          <w:lang w:eastAsia="en-CA"/>
        </w:rPr>
        <w:t>espondent</w:t>
      </w:r>
    </w:p>
    <w:p w:rsidR="00CC3535" w:rsidRPr="003212CE"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93"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6075B1" w:rsidRPr="00DC6331" w:rsidRDefault="00BD696F" w:rsidP="006075B1">
      <w:pPr>
        <w:widowControl w:val="0"/>
        <w:ind w:left="720" w:hanging="720"/>
        <w:jc w:val="both"/>
        <w:rPr>
          <w:rFonts w:eastAsia="Times New Roman" w:cs="Times New Roman"/>
          <w:sz w:val="20"/>
          <w:szCs w:val="20"/>
          <w:lang w:val="fr-CA" w:eastAsia="en-CA"/>
        </w:rPr>
      </w:pPr>
      <w:r w:rsidRPr="00DC6331">
        <w:rPr>
          <w:rFonts w:eastAsia="Times New Roman" w:cs="Times New Roman"/>
          <w:b/>
          <w:sz w:val="20"/>
          <w:szCs w:val="20"/>
          <w:lang w:val="fr-CA" w:eastAsia="en-CA"/>
        </w:rPr>
        <w:lastRenderedPageBreak/>
        <w:fldChar w:fldCharType="begin"/>
      </w:r>
      <w:r w:rsidR="006075B1" w:rsidRPr="00DC6331">
        <w:rPr>
          <w:rFonts w:eastAsia="Times New Roman" w:cs="Times New Roman"/>
          <w:b/>
          <w:sz w:val="20"/>
          <w:szCs w:val="20"/>
          <w:lang w:val="fr-CA" w:eastAsia="en-CA"/>
        </w:rPr>
        <w:instrText xml:space="preserve"> SEQ CHAPTER \h \r 1</w:instrText>
      </w:r>
      <w:r w:rsidRPr="00DC6331">
        <w:rPr>
          <w:rFonts w:eastAsia="Times New Roman" w:cs="Times New Roman"/>
          <w:b/>
          <w:sz w:val="20"/>
          <w:szCs w:val="20"/>
          <w:lang w:val="fr-CA" w:eastAsia="en-CA"/>
        </w:rPr>
        <w:fldChar w:fldCharType="end"/>
      </w:r>
      <w:r w:rsidR="006075B1" w:rsidRPr="00DC6331">
        <w:rPr>
          <w:rFonts w:eastAsia="Times New Roman" w:cs="Times New Roman"/>
          <w:b/>
          <w:sz w:val="20"/>
          <w:szCs w:val="20"/>
          <w:lang w:val="fr-CA" w:eastAsia="en-CA"/>
        </w:rPr>
        <w:t>35777</w:t>
      </w:r>
      <w:r w:rsidR="006075B1" w:rsidRPr="00DC6331">
        <w:rPr>
          <w:rFonts w:eastAsia="Times New Roman" w:cs="Times New Roman"/>
          <w:sz w:val="20"/>
          <w:szCs w:val="20"/>
          <w:lang w:val="fr-CA" w:eastAsia="en-CA"/>
        </w:rPr>
        <w:tab/>
      </w:r>
      <w:r w:rsidR="006075B1" w:rsidRPr="00DC6331">
        <w:rPr>
          <w:rFonts w:eastAsia="Times New Roman" w:cs="Times New Roman"/>
          <w:b/>
          <w:bCs/>
          <w:i/>
          <w:iCs/>
          <w:sz w:val="20"/>
          <w:szCs w:val="20"/>
          <w:lang w:val="fr-CA" w:eastAsia="en-CA"/>
        </w:rPr>
        <w:t xml:space="preserve">Stuart </w:t>
      </w:r>
      <w:proofErr w:type="spellStart"/>
      <w:r w:rsidR="006075B1" w:rsidRPr="00DC6331">
        <w:rPr>
          <w:rFonts w:eastAsia="Times New Roman" w:cs="Times New Roman"/>
          <w:b/>
          <w:bCs/>
          <w:i/>
          <w:iCs/>
          <w:sz w:val="20"/>
          <w:szCs w:val="20"/>
          <w:lang w:val="fr-CA" w:eastAsia="en-CA"/>
        </w:rPr>
        <w:t>Olson</w:t>
      </w:r>
      <w:proofErr w:type="spellEnd"/>
      <w:r w:rsidR="006075B1" w:rsidRPr="00DC6331">
        <w:rPr>
          <w:rFonts w:eastAsia="Times New Roman" w:cs="Times New Roman"/>
          <w:b/>
          <w:bCs/>
          <w:i/>
          <w:iCs/>
          <w:sz w:val="20"/>
          <w:szCs w:val="20"/>
          <w:lang w:val="fr-CA" w:eastAsia="en-CA"/>
        </w:rPr>
        <w:t xml:space="preserve"> Dominion Construction Ltd., auparavant connue sous le nom de Dominion Construction </w:t>
      </w:r>
      <w:proofErr w:type="spellStart"/>
      <w:r w:rsidR="006075B1" w:rsidRPr="00DC6331">
        <w:rPr>
          <w:rFonts w:eastAsia="Times New Roman" w:cs="Times New Roman"/>
          <w:b/>
          <w:bCs/>
          <w:i/>
          <w:iCs/>
          <w:sz w:val="20"/>
          <w:szCs w:val="20"/>
          <w:lang w:val="fr-CA" w:eastAsia="en-CA"/>
        </w:rPr>
        <w:t>Company</w:t>
      </w:r>
      <w:proofErr w:type="spellEnd"/>
      <w:r w:rsidR="006075B1" w:rsidRPr="00DC6331">
        <w:rPr>
          <w:rFonts w:eastAsia="Times New Roman" w:cs="Times New Roman"/>
          <w:b/>
          <w:bCs/>
          <w:i/>
          <w:iCs/>
          <w:sz w:val="20"/>
          <w:szCs w:val="20"/>
          <w:lang w:val="fr-CA" w:eastAsia="en-CA"/>
        </w:rPr>
        <w:t xml:space="preserve"> Inc. c. </w:t>
      </w:r>
      <w:proofErr w:type="spellStart"/>
      <w:r w:rsidR="006075B1" w:rsidRPr="00DC6331">
        <w:rPr>
          <w:rFonts w:eastAsia="Times New Roman" w:cs="Times New Roman"/>
          <w:b/>
          <w:bCs/>
          <w:i/>
          <w:iCs/>
          <w:sz w:val="20"/>
          <w:szCs w:val="20"/>
          <w:lang w:val="fr-CA" w:eastAsia="en-CA"/>
        </w:rPr>
        <w:t>Structal</w:t>
      </w:r>
      <w:proofErr w:type="spellEnd"/>
      <w:r w:rsidR="006075B1" w:rsidRPr="00DC6331">
        <w:rPr>
          <w:rFonts w:eastAsia="Times New Roman" w:cs="Times New Roman"/>
          <w:b/>
          <w:bCs/>
          <w:i/>
          <w:iCs/>
          <w:sz w:val="20"/>
          <w:szCs w:val="20"/>
          <w:lang w:val="fr-CA" w:eastAsia="en-CA"/>
        </w:rPr>
        <w:t xml:space="preserve"> Heavy </w:t>
      </w:r>
      <w:proofErr w:type="spellStart"/>
      <w:r w:rsidR="006075B1" w:rsidRPr="00DC6331">
        <w:rPr>
          <w:rFonts w:eastAsia="Times New Roman" w:cs="Times New Roman"/>
          <w:b/>
          <w:bCs/>
          <w:i/>
          <w:iCs/>
          <w:sz w:val="20"/>
          <w:szCs w:val="20"/>
          <w:lang w:val="fr-CA" w:eastAsia="en-CA"/>
        </w:rPr>
        <w:t>Steel</w:t>
      </w:r>
      <w:proofErr w:type="spellEnd"/>
      <w:r w:rsidR="006075B1" w:rsidRPr="00DC6331">
        <w:rPr>
          <w:rFonts w:eastAsia="Times New Roman" w:cs="Times New Roman"/>
          <w:b/>
          <w:bCs/>
          <w:i/>
          <w:iCs/>
          <w:sz w:val="20"/>
          <w:szCs w:val="20"/>
          <w:lang w:val="fr-CA" w:eastAsia="en-CA"/>
        </w:rPr>
        <w:t xml:space="preserve">, une division de </w:t>
      </w:r>
      <w:proofErr w:type="spellStart"/>
      <w:r w:rsidR="006075B1" w:rsidRPr="00DC6331">
        <w:rPr>
          <w:rFonts w:eastAsia="Times New Roman" w:cs="Times New Roman"/>
          <w:b/>
          <w:bCs/>
          <w:i/>
          <w:iCs/>
          <w:sz w:val="20"/>
          <w:szCs w:val="20"/>
          <w:lang w:val="fr-CA" w:eastAsia="en-CA"/>
        </w:rPr>
        <w:t>Canam</w:t>
      </w:r>
      <w:proofErr w:type="spellEnd"/>
      <w:r w:rsidR="006075B1" w:rsidRPr="00DC6331">
        <w:rPr>
          <w:rFonts w:eastAsia="Times New Roman" w:cs="Times New Roman"/>
          <w:b/>
          <w:bCs/>
          <w:i/>
          <w:iCs/>
          <w:sz w:val="20"/>
          <w:szCs w:val="20"/>
          <w:lang w:val="fr-CA" w:eastAsia="en-CA"/>
        </w:rPr>
        <w:t xml:space="preserve"> Group Inc</w:t>
      </w:r>
      <w:r w:rsidR="006075B1" w:rsidRPr="00DC6331">
        <w:rPr>
          <w:rFonts w:eastAsia="Times New Roman" w:cs="Times New Roman"/>
          <w:b/>
          <w:i/>
          <w:sz w:val="20"/>
          <w:szCs w:val="20"/>
          <w:lang w:val="fr-CA" w:eastAsia="en-CA"/>
        </w:rPr>
        <w:t>.</w:t>
      </w:r>
    </w:p>
    <w:p w:rsidR="006075B1" w:rsidRPr="00DC6331" w:rsidRDefault="006075B1" w:rsidP="006075B1">
      <w:pPr>
        <w:widowControl w:val="0"/>
        <w:jc w:val="both"/>
        <w:rPr>
          <w:rFonts w:eastAsia="Times New Roman" w:cs="Times New Roman"/>
          <w:sz w:val="20"/>
          <w:szCs w:val="20"/>
          <w:lang w:val="fr-CA" w:eastAsia="en-CA"/>
        </w:rPr>
      </w:pPr>
    </w:p>
    <w:p w:rsidR="006075B1" w:rsidRPr="00DC6331" w:rsidRDefault="006075B1" w:rsidP="006075B1">
      <w:pPr>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Droit commercial - Droit de la construction - Privilèges - Le dépôt au tribunal d’un cautionnement tenant lieu de privilège pour le plein montant de la revendication de privilège du sous-traitant </w:t>
      </w:r>
      <w:proofErr w:type="spellStart"/>
      <w:r w:rsidRPr="00DC6331">
        <w:rPr>
          <w:rFonts w:eastAsia="Times New Roman" w:cs="Times New Roman"/>
          <w:sz w:val="20"/>
          <w:szCs w:val="20"/>
          <w:lang w:val="fr-CA" w:eastAsia="en-CA"/>
        </w:rPr>
        <w:t>a-t-il</w:t>
      </w:r>
      <w:proofErr w:type="spellEnd"/>
      <w:r w:rsidRPr="00DC6331">
        <w:rPr>
          <w:rFonts w:eastAsia="Times New Roman" w:cs="Times New Roman"/>
          <w:sz w:val="20"/>
          <w:szCs w:val="20"/>
          <w:lang w:val="fr-CA" w:eastAsia="en-CA"/>
        </w:rPr>
        <w:t xml:space="preserve"> pour effet d’éteindre l’obligation de l’entrepreneur envers ce sous-traitant en application des dispositions fiduciaires de la </w:t>
      </w:r>
      <w:r w:rsidRPr="00DC6331">
        <w:rPr>
          <w:rFonts w:eastAsia="Times New Roman" w:cs="Times New Roman"/>
          <w:i/>
          <w:sz w:val="20"/>
          <w:szCs w:val="20"/>
          <w:lang w:val="fr-CA" w:eastAsia="en-CA"/>
        </w:rPr>
        <w:t>Loi sur le privilège du constructeur</w:t>
      </w:r>
      <w:r w:rsidRPr="00DC6331">
        <w:rPr>
          <w:rFonts w:eastAsia="Times New Roman" w:cs="Times New Roman"/>
          <w:sz w:val="20"/>
          <w:szCs w:val="20"/>
          <w:lang w:val="fr-CA" w:eastAsia="en-CA"/>
        </w:rPr>
        <w:t xml:space="preserve">? - </w:t>
      </w:r>
      <w:r w:rsidRPr="00DC6331">
        <w:rPr>
          <w:rFonts w:eastAsia="Times New Roman" w:cs="Times New Roman"/>
          <w:i/>
          <w:sz w:val="20"/>
          <w:szCs w:val="20"/>
          <w:lang w:val="fr-CA" w:eastAsia="en-CA"/>
        </w:rPr>
        <w:t>Loi sur le privilège du constructeur</w:t>
      </w:r>
      <w:r w:rsidRPr="00DC6331">
        <w:rPr>
          <w:rFonts w:eastAsia="Times New Roman" w:cs="Times New Roman"/>
          <w:sz w:val="20"/>
          <w:szCs w:val="20"/>
          <w:lang w:val="fr-CA" w:eastAsia="en-CA"/>
        </w:rPr>
        <w:t>, C.P.L.M. ch. B91.</w:t>
      </w:r>
    </w:p>
    <w:p w:rsidR="006075B1" w:rsidRPr="00DC6331" w:rsidRDefault="006075B1" w:rsidP="006075B1">
      <w:pPr>
        <w:widowControl w:val="0"/>
        <w:jc w:val="both"/>
        <w:rPr>
          <w:rFonts w:eastAsia="Times New Roman" w:cs="Times New Roman"/>
          <w:sz w:val="20"/>
          <w:szCs w:val="20"/>
          <w:lang w:val="fr-CA" w:eastAsia="en-CA"/>
        </w:rPr>
      </w:pPr>
    </w:p>
    <w:p w:rsidR="006075B1" w:rsidRPr="00DC6331" w:rsidRDefault="006075B1" w:rsidP="006075B1">
      <w:pPr>
        <w:tabs>
          <w:tab w:val="left" w:pos="9356"/>
        </w:tabs>
        <w:ind w:right="4"/>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L’appelante, Stuart </w:t>
      </w:r>
      <w:proofErr w:type="spellStart"/>
      <w:r w:rsidRPr="00DC6331">
        <w:rPr>
          <w:rFonts w:eastAsia="Times New Roman" w:cs="Times New Roman"/>
          <w:sz w:val="20"/>
          <w:szCs w:val="20"/>
          <w:lang w:val="fr-CA" w:eastAsia="en-CA"/>
        </w:rPr>
        <w:t>Olson</w:t>
      </w:r>
      <w:proofErr w:type="spellEnd"/>
      <w:r w:rsidRPr="00DC6331">
        <w:rPr>
          <w:rFonts w:eastAsia="Times New Roman" w:cs="Times New Roman"/>
          <w:sz w:val="20"/>
          <w:szCs w:val="20"/>
          <w:lang w:val="fr-CA" w:eastAsia="en-CA"/>
        </w:rPr>
        <w:t xml:space="preserve"> Dominion Construction Ltd. (« Dominion ») était l’entrepreneur général et l’intimée,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Heavy </w:t>
      </w:r>
      <w:proofErr w:type="spellStart"/>
      <w:r w:rsidRPr="00DC6331">
        <w:rPr>
          <w:rFonts w:eastAsia="Times New Roman" w:cs="Times New Roman"/>
          <w:sz w:val="20"/>
          <w:szCs w:val="20"/>
          <w:lang w:val="fr-CA" w:eastAsia="en-CA"/>
        </w:rPr>
        <w:t>Steel</w:t>
      </w:r>
      <w:proofErr w:type="spellEnd"/>
      <w:r w:rsidRPr="00DC6331">
        <w:rPr>
          <w:rFonts w:eastAsia="Times New Roman" w:cs="Times New Roman"/>
          <w:sz w:val="20"/>
          <w:szCs w:val="20"/>
          <w:lang w:val="fr-CA" w:eastAsia="en-CA"/>
        </w:rPr>
        <w:t xml:space="preserve"> («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 son sous-traitant, relativement à des travaux de pose d’acier de charpente nécessaires à la construction d’un nouveau stade.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a déposé un privilège du constructeur grevant l’immeuble du stade pour le plein montant des factures en souffrance et futures, la retenue d’origine législative et les coûts de retard.  Dominion a déposé un cautionnement tenant lieu de privilège pour le plein montant de la revendication de privilège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a ensuite obtenu la décharge de son privilège, mais a maintenu sa demande de paiement à Dominion pour les sommes d’argent dues pour ses travaux de sous-traitance.  Dominion a refusé de payer, plaidant que le cautionnement tenant lieu de privilège garantissait pleinement la revendication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et avait donc pour effet d’éteindre les obligations de Dominion aux termes des dispositions fiduciaires de la </w:t>
      </w:r>
      <w:r w:rsidRPr="00DC6331">
        <w:rPr>
          <w:rFonts w:eastAsia="Times New Roman" w:cs="Times New Roman"/>
          <w:i/>
          <w:sz w:val="20"/>
          <w:szCs w:val="20"/>
          <w:lang w:val="fr-CA" w:eastAsia="en-CA"/>
        </w:rPr>
        <w:t>Loi sur le privilège du constructeur</w:t>
      </w:r>
      <w:r w:rsidRPr="00DC6331">
        <w:rPr>
          <w:rFonts w:eastAsia="Times New Roman" w:cs="Times New Roman"/>
          <w:sz w:val="20"/>
          <w:szCs w:val="20"/>
          <w:lang w:val="fr-CA" w:eastAsia="en-CA"/>
        </w:rPr>
        <w:t xml:space="preserve"> du Manitoba, si bien qu’elle avait droit d’utiliser les sommes d’argent du contrat autrement payables à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pour payer d’autres créanciers.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avait exécuté tous les travaux en exécution du contrat de sous-traitance et elle avait payé intégralement tous les sous-traitants.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ne s’est pas fait payer les factures en souffrance ou la retenue d’origine législative.  Le juge de première instance a conclu que le dépôt du cautionnement tenant lieu de privilège par Dominion satisfaisait à ses obligations fiduciaires envers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en application de la loi et que sur réception des paiements progressifs du maître de l’ouvrage, Dominion pouvait les distribuer à d’autres créanciers sans commettre de manquement aux dispositions fiduciaires de la loi.  Le juge de première instance a rejeté la demande de paiement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portant sur les paiements progressifs, concluant que le différend portant sur l’allégation de retard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et la demande de Dominion en compensation en exécution de leur contrat était un différend qui ne pouvait être tranché à ce stade de l’instance et sur la foi des documents devant lui.  Le juge de première instance a déclaré que le cautionnement de Dominion tenant lieu de privilège avait pour effet d’éteindre les obligations fiduciaires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en application de la loi et il a rejeté la demande de paiement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La Cour d’appel a accueilli l’appel en partie.  L’ordonnance du juge de première instance déclarant que le dépôt du cautionnement tenant lieu de privilège avait pour effet d’éteindre les obligations fiduciaires de Dominion a été annulée.  L’appel interjeté par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de l’ordonnance du juge de première instance rejetant la demande de paiement de </w:t>
      </w:r>
      <w:proofErr w:type="spellStart"/>
      <w:r w:rsidRPr="00DC6331">
        <w:rPr>
          <w:rFonts w:eastAsia="Times New Roman" w:cs="Times New Roman"/>
          <w:sz w:val="20"/>
          <w:szCs w:val="20"/>
          <w:lang w:val="fr-CA" w:eastAsia="en-CA"/>
        </w:rPr>
        <w:t>Structal</w:t>
      </w:r>
      <w:proofErr w:type="spellEnd"/>
      <w:r w:rsidRPr="00DC6331">
        <w:rPr>
          <w:rFonts w:eastAsia="Times New Roman" w:cs="Times New Roman"/>
          <w:sz w:val="20"/>
          <w:szCs w:val="20"/>
          <w:lang w:val="fr-CA" w:eastAsia="en-CA"/>
        </w:rPr>
        <w:t xml:space="preserve"> été rejeté.</w:t>
      </w:r>
    </w:p>
    <w:p w:rsidR="006075B1" w:rsidRPr="00DC6331" w:rsidRDefault="006075B1" w:rsidP="006075B1">
      <w:pPr>
        <w:widowControl w:val="0"/>
        <w:jc w:val="both"/>
        <w:rPr>
          <w:rFonts w:eastAsia="Times New Roman" w:cs="Times New Roman"/>
          <w:sz w:val="20"/>
          <w:szCs w:val="20"/>
          <w:lang w:val="fr-CA" w:eastAsia="en-CA"/>
        </w:rPr>
      </w:pPr>
    </w:p>
    <w:p w:rsidR="006075B1" w:rsidRPr="00DC6331" w:rsidRDefault="006075B1" w:rsidP="006075B1">
      <w:pPr>
        <w:widowControl w:val="0"/>
        <w:jc w:val="both"/>
        <w:rPr>
          <w:rFonts w:eastAsia="Times New Roman" w:cs="Times New Roman"/>
          <w:sz w:val="20"/>
          <w:szCs w:val="20"/>
          <w:lang w:val="fr-CA" w:eastAsia="en-CA"/>
        </w:rPr>
      </w:pPr>
    </w:p>
    <w:p w:rsidR="006075B1" w:rsidRPr="00DC6331" w:rsidRDefault="006075B1" w:rsidP="006075B1">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Origine :</w:t>
      </w:r>
      <w:r w:rsidRPr="00DC6331">
        <w:rPr>
          <w:rFonts w:eastAsia="Times New Roman" w:cs="Times New Roman"/>
          <w:sz w:val="20"/>
          <w:szCs w:val="20"/>
          <w:lang w:val="fr-CA" w:eastAsia="en-CA"/>
        </w:rPr>
        <w:tab/>
        <w:t>Manitoba</w:t>
      </w:r>
    </w:p>
    <w:p w:rsidR="006075B1" w:rsidRPr="00DC6331" w:rsidRDefault="006075B1" w:rsidP="006075B1">
      <w:pPr>
        <w:widowControl w:val="0"/>
        <w:ind w:left="2880" w:hanging="2880"/>
        <w:jc w:val="both"/>
        <w:rPr>
          <w:rFonts w:eastAsia="Times New Roman" w:cs="Times New Roman"/>
          <w:sz w:val="20"/>
          <w:szCs w:val="20"/>
          <w:lang w:val="fr-CA" w:eastAsia="en-CA"/>
        </w:rPr>
      </w:pPr>
    </w:p>
    <w:p w:rsidR="006075B1" w:rsidRPr="00DC6331" w:rsidRDefault="006075B1" w:rsidP="006075B1">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No du greffe :</w:t>
      </w:r>
      <w:r w:rsidRPr="00DC6331">
        <w:rPr>
          <w:rFonts w:eastAsia="Times New Roman" w:cs="Times New Roman"/>
          <w:sz w:val="20"/>
          <w:szCs w:val="20"/>
          <w:lang w:val="fr-CA" w:eastAsia="en-CA"/>
        </w:rPr>
        <w:tab/>
        <w:t>35777</w:t>
      </w:r>
    </w:p>
    <w:p w:rsidR="006075B1" w:rsidRPr="00DC6331" w:rsidRDefault="006075B1" w:rsidP="006075B1">
      <w:pPr>
        <w:widowControl w:val="0"/>
        <w:ind w:left="2880" w:hanging="2880"/>
        <w:jc w:val="both"/>
        <w:rPr>
          <w:rFonts w:eastAsia="Times New Roman" w:cs="Times New Roman"/>
          <w:sz w:val="20"/>
          <w:szCs w:val="20"/>
          <w:lang w:val="fr-CA" w:eastAsia="en-CA"/>
        </w:rPr>
      </w:pPr>
    </w:p>
    <w:p w:rsidR="006075B1" w:rsidRPr="00DC6331" w:rsidRDefault="006075B1" w:rsidP="006075B1">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Arrêt de la Cour d’appel :</w:t>
      </w:r>
      <w:r w:rsidRPr="00DC6331">
        <w:rPr>
          <w:rFonts w:eastAsia="Times New Roman" w:cs="Times New Roman"/>
          <w:sz w:val="20"/>
          <w:szCs w:val="20"/>
          <w:lang w:val="fr-CA" w:eastAsia="en-CA"/>
        </w:rPr>
        <w:tab/>
        <w:t>le 22 janvier 2014</w:t>
      </w:r>
    </w:p>
    <w:p w:rsidR="006075B1" w:rsidRPr="00DC6331" w:rsidRDefault="006075B1" w:rsidP="006075B1">
      <w:pPr>
        <w:widowControl w:val="0"/>
        <w:ind w:left="2880" w:hanging="2880"/>
        <w:jc w:val="both"/>
        <w:rPr>
          <w:rFonts w:eastAsia="Times New Roman" w:cs="Times New Roman"/>
          <w:sz w:val="20"/>
          <w:szCs w:val="20"/>
          <w:lang w:val="fr-CA" w:eastAsia="en-CA"/>
        </w:rPr>
      </w:pPr>
    </w:p>
    <w:p w:rsidR="006075B1" w:rsidRPr="00DC6331" w:rsidRDefault="006075B1" w:rsidP="006075B1">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Avocats :</w:t>
      </w:r>
      <w:r w:rsidRPr="00DC6331">
        <w:rPr>
          <w:rFonts w:eastAsia="Times New Roman" w:cs="Times New Roman"/>
          <w:sz w:val="20"/>
          <w:szCs w:val="20"/>
          <w:lang w:val="fr-CA" w:eastAsia="en-CA"/>
        </w:rPr>
        <w:tab/>
        <w:t xml:space="preserve">David G. Hill, Derek M. </w:t>
      </w:r>
      <w:proofErr w:type="spellStart"/>
      <w:r w:rsidRPr="00DC6331">
        <w:rPr>
          <w:rFonts w:eastAsia="Times New Roman" w:cs="Times New Roman"/>
          <w:sz w:val="20"/>
          <w:szCs w:val="20"/>
          <w:lang w:val="fr-CA" w:eastAsia="en-CA"/>
        </w:rPr>
        <w:t>Olson</w:t>
      </w:r>
      <w:proofErr w:type="spellEnd"/>
      <w:r w:rsidRPr="00DC6331">
        <w:rPr>
          <w:rFonts w:eastAsia="Times New Roman" w:cs="Times New Roman"/>
          <w:sz w:val="20"/>
          <w:szCs w:val="20"/>
          <w:lang w:val="fr-CA" w:eastAsia="en-CA"/>
        </w:rPr>
        <w:t xml:space="preserve"> et Michael </w:t>
      </w:r>
      <w:proofErr w:type="spellStart"/>
      <w:r w:rsidRPr="00DC6331">
        <w:rPr>
          <w:rFonts w:eastAsia="Times New Roman" w:cs="Times New Roman"/>
          <w:sz w:val="20"/>
          <w:szCs w:val="20"/>
          <w:lang w:val="fr-CA" w:eastAsia="en-CA"/>
        </w:rPr>
        <w:t>Weinstein</w:t>
      </w:r>
      <w:proofErr w:type="spellEnd"/>
      <w:r w:rsidRPr="00DC6331">
        <w:rPr>
          <w:rFonts w:eastAsia="Times New Roman" w:cs="Times New Roman"/>
          <w:sz w:val="20"/>
          <w:szCs w:val="20"/>
          <w:lang w:val="fr-CA" w:eastAsia="en-CA"/>
        </w:rPr>
        <w:t xml:space="preserve"> pour l’appelante</w:t>
      </w:r>
    </w:p>
    <w:p w:rsidR="006075B1" w:rsidRPr="00DC6331" w:rsidRDefault="006075B1" w:rsidP="006075B1">
      <w:pPr>
        <w:widowControl w:val="0"/>
        <w:ind w:left="2880" w:hanging="2880"/>
        <w:jc w:val="both"/>
        <w:rPr>
          <w:rFonts w:eastAsia="Times New Roman" w:cs="Times New Roman"/>
          <w:sz w:val="20"/>
          <w:szCs w:val="20"/>
          <w:lang w:val="fr-CA" w:eastAsia="en-CA"/>
        </w:rPr>
      </w:pPr>
      <w:r w:rsidRPr="00DC6331">
        <w:rPr>
          <w:rFonts w:eastAsia="Times New Roman" w:cs="Times New Roman"/>
          <w:sz w:val="20"/>
          <w:szCs w:val="20"/>
          <w:lang w:val="fr-CA" w:eastAsia="en-CA"/>
        </w:rPr>
        <w:tab/>
        <w:t>Kevin T. Williams pour l’intimée</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4"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4348EE" w:rsidRPr="00DC6331" w:rsidRDefault="00BD696F" w:rsidP="004348EE">
      <w:pPr>
        <w:widowControl w:val="0"/>
        <w:ind w:left="720" w:hanging="720"/>
        <w:jc w:val="both"/>
        <w:rPr>
          <w:rFonts w:eastAsia="Times New Roman" w:cs="Times New Roman"/>
          <w:sz w:val="20"/>
          <w:szCs w:val="20"/>
          <w:lang w:eastAsia="en-CA"/>
        </w:rPr>
      </w:pPr>
      <w:r w:rsidRPr="00DC6331">
        <w:rPr>
          <w:rFonts w:eastAsia="Times New Roman" w:cs="Times New Roman"/>
          <w:b/>
          <w:sz w:val="20"/>
          <w:szCs w:val="20"/>
          <w:lang w:eastAsia="en-CA"/>
        </w:rPr>
        <w:lastRenderedPageBreak/>
        <w:fldChar w:fldCharType="begin"/>
      </w:r>
      <w:r w:rsidR="004348EE" w:rsidRPr="00DC6331">
        <w:rPr>
          <w:rFonts w:eastAsia="Times New Roman" w:cs="Times New Roman"/>
          <w:b/>
          <w:sz w:val="20"/>
          <w:szCs w:val="20"/>
          <w:lang w:val="en-US" w:eastAsia="en-CA"/>
        </w:rPr>
        <w:instrText xml:space="preserve"> SEQ CHAPTER \h \r 1</w:instrText>
      </w:r>
      <w:r w:rsidRPr="00DC6331">
        <w:rPr>
          <w:rFonts w:eastAsia="Times New Roman" w:cs="Times New Roman"/>
          <w:b/>
          <w:sz w:val="20"/>
          <w:szCs w:val="20"/>
          <w:lang w:val="en-US" w:eastAsia="en-CA"/>
        </w:rPr>
        <w:fldChar w:fldCharType="end"/>
      </w:r>
      <w:r w:rsidR="004348EE" w:rsidRPr="00DC6331">
        <w:rPr>
          <w:rFonts w:eastAsia="Times New Roman" w:cs="Times New Roman"/>
          <w:b/>
          <w:sz w:val="20"/>
          <w:szCs w:val="20"/>
          <w:lang w:eastAsia="en-CA"/>
        </w:rPr>
        <w:t>35808</w:t>
      </w:r>
      <w:r w:rsidR="004348EE" w:rsidRPr="00DC6331">
        <w:rPr>
          <w:rFonts w:eastAsia="Times New Roman" w:cs="Times New Roman"/>
          <w:sz w:val="20"/>
          <w:szCs w:val="20"/>
          <w:lang w:eastAsia="en-CA"/>
        </w:rPr>
        <w:tab/>
      </w:r>
      <w:r w:rsidR="004348EE" w:rsidRPr="00DC6331">
        <w:rPr>
          <w:rFonts w:eastAsia="Times New Roman" w:cs="Times New Roman"/>
          <w:b/>
          <w:i/>
          <w:sz w:val="20"/>
          <w:szCs w:val="20"/>
          <w:lang w:eastAsia="en-CA"/>
        </w:rPr>
        <w:t xml:space="preserve">Robert T. Strickland, George </w:t>
      </w:r>
      <w:proofErr w:type="spellStart"/>
      <w:r w:rsidR="004348EE" w:rsidRPr="00DC6331">
        <w:rPr>
          <w:rFonts w:eastAsia="Times New Roman" w:cs="Times New Roman"/>
          <w:b/>
          <w:i/>
          <w:sz w:val="20"/>
          <w:szCs w:val="20"/>
          <w:lang w:eastAsia="en-CA"/>
        </w:rPr>
        <w:t>Connon</w:t>
      </w:r>
      <w:proofErr w:type="spellEnd"/>
      <w:r w:rsidR="004348EE" w:rsidRPr="00DC6331">
        <w:rPr>
          <w:rFonts w:eastAsia="Times New Roman" w:cs="Times New Roman"/>
          <w:b/>
          <w:i/>
          <w:sz w:val="20"/>
          <w:szCs w:val="20"/>
          <w:lang w:eastAsia="en-CA"/>
        </w:rPr>
        <w:t xml:space="preserve">, Roland Auer, </w:t>
      </w:r>
      <w:proofErr w:type="spellStart"/>
      <w:r w:rsidR="004348EE" w:rsidRPr="00DC6331">
        <w:rPr>
          <w:rFonts w:eastAsia="Times New Roman" w:cs="Times New Roman"/>
          <w:b/>
          <w:i/>
          <w:sz w:val="20"/>
          <w:szCs w:val="20"/>
          <w:lang w:eastAsia="en-CA"/>
        </w:rPr>
        <w:t>Iwona</w:t>
      </w:r>
      <w:proofErr w:type="spellEnd"/>
      <w:r w:rsidR="004348EE" w:rsidRPr="00DC6331">
        <w:rPr>
          <w:rFonts w:eastAsia="Times New Roman" w:cs="Times New Roman"/>
          <w:b/>
          <w:i/>
          <w:sz w:val="20"/>
          <w:szCs w:val="20"/>
          <w:lang w:eastAsia="en-CA"/>
        </w:rPr>
        <w:t xml:space="preserve"> Auer-</w:t>
      </w:r>
      <w:proofErr w:type="spellStart"/>
      <w:r w:rsidR="004348EE" w:rsidRPr="00DC6331">
        <w:rPr>
          <w:rFonts w:eastAsia="Times New Roman" w:cs="Times New Roman"/>
          <w:b/>
          <w:i/>
          <w:sz w:val="20"/>
          <w:szCs w:val="20"/>
          <w:lang w:eastAsia="en-CA"/>
        </w:rPr>
        <w:t>Grzesiak</w:t>
      </w:r>
      <w:proofErr w:type="spellEnd"/>
      <w:r w:rsidR="004348EE" w:rsidRPr="00DC6331">
        <w:rPr>
          <w:rFonts w:eastAsia="Times New Roman" w:cs="Times New Roman"/>
          <w:b/>
          <w:i/>
          <w:sz w:val="20"/>
          <w:szCs w:val="20"/>
          <w:lang w:eastAsia="en-CA"/>
        </w:rPr>
        <w:t>, Mark Auer and Vladimir Auer by his Litigation Representative Roland Auer v. The Attorney General of Canada</w:t>
      </w:r>
    </w:p>
    <w:p w:rsidR="004348EE" w:rsidRPr="00DC6331" w:rsidRDefault="004348EE" w:rsidP="004348EE">
      <w:pPr>
        <w:widowControl w:val="0"/>
        <w:jc w:val="both"/>
        <w:rPr>
          <w:rFonts w:eastAsia="Times New Roman" w:cs="Times New Roman"/>
          <w:sz w:val="20"/>
          <w:szCs w:val="20"/>
          <w:lang w:eastAsia="en-CA"/>
        </w:rPr>
      </w:pPr>
    </w:p>
    <w:p w:rsidR="004348EE" w:rsidRPr="00DC6331" w:rsidRDefault="004348EE" w:rsidP="004348EE">
      <w:pPr>
        <w:widowControl w:val="0"/>
        <w:jc w:val="both"/>
        <w:rPr>
          <w:rFonts w:eastAsia="Times New Roman" w:cs="Times New Roman"/>
          <w:sz w:val="20"/>
          <w:szCs w:val="20"/>
          <w:lang w:eastAsia="en-CA"/>
        </w:rPr>
      </w:pPr>
      <w:r w:rsidRPr="00DC6331">
        <w:rPr>
          <w:rFonts w:eastAsia="Times New Roman" w:cs="Times New Roman"/>
          <w:sz w:val="20"/>
          <w:szCs w:val="20"/>
          <w:lang w:eastAsia="en-CA"/>
        </w:rPr>
        <w:t xml:space="preserve">Administrative law - Judicial Review - Jurisdiction to review the validity of federal subordinate legislation on an administrative law basis - Scope of Federal Court discretion to decline jurisdiction - </w:t>
      </w:r>
      <w:r w:rsidRPr="00DC6331">
        <w:rPr>
          <w:rFonts w:eastAsia="Times New Roman" w:cs="Times New Roman"/>
          <w:i/>
          <w:sz w:val="20"/>
          <w:szCs w:val="20"/>
          <w:lang w:eastAsia="en-CA"/>
        </w:rPr>
        <w:t>Federal Courts Act</w:t>
      </w:r>
      <w:r w:rsidRPr="00DC6331">
        <w:rPr>
          <w:rFonts w:eastAsia="Times New Roman" w:cs="Times New Roman"/>
          <w:sz w:val="20"/>
          <w:szCs w:val="20"/>
          <w:lang w:eastAsia="en-CA"/>
        </w:rPr>
        <w:t xml:space="preserve">, R.S.C. 1985, c. F-7, ss. 18 and 18.1 - </w:t>
      </w:r>
      <w:r w:rsidRPr="00DC6331">
        <w:rPr>
          <w:rFonts w:eastAsia="Times New Roman" w:cs="Times New Roman"/>
          <w:sz w:val="20"/>
          <w:szCs w:val="20"/>
          <w:lang w:val="en-US" w:eastAsia="en-CA"/>
        </w:rPr>
        <w:t xml:space="preserve">Did the courts below err in concluding that the provincial superior courts have concurrent jurisdiction over these proceedings? - Did the courts below err in using judicial discretion to override clear legislative intent? - </w:t>
      </w:r>
      <w:r w:rsidRPr="00DC6331">
        <w:rPr>
          <w:rFonts w:eastAsia="Times New Roman" w:cs="Times New Roman"/>
          <w:sz w:val="20"/>
          <w:szCs w:val="20"/>
          <w:lang w:eastAsia="en-CA"/>
        </w:rPr>
        <w:t>Did the courts below err in concluding that the appellants had access to an adequate alternative remedy?</w:t>
      </w:r>
    </w:p>
    <w:p w:rsidR="004348EE" w:rsidRPr="00DC6331" w:rsidRDefault="004348EE" w:rsidP="004348EE">
      <w:pPr>
        <w:widowControl w:val="0"/>
        <w:jc w:val="both"/>
        <w:rPr>
          <w:rFonts w:eastAsia="Times New Roman" w:cs="Times New Roman"/>
          <w:sz w:val="20"/>
          <w:szCs w:val="20"/>
          <w:lang w:eastAsia="en-CA"/>
        </w:rPr>
      </w:pPr>
    </w:p>
    <w:p w:rsidR="004348EE" w:rsidRPr="00DC6331" w:rsidRDefault="004348EE" w:rsidP="004348EE">
      <w:pPr>
        <w:widowControl w:val="0"/>
        <w:jc w:val="both"/>
        <w:rPr>
          <w:rFonts w:eastAsia="Times New Roman" w:cs="Times New Roman"/>
          <w:sz w:val="20"/>
          <w:szCs w:val="20"/>
          <w:lang w:eastAsia="en-CA"/>
        </w:rPr>
      </w:pPr>
      <w:r w:rsidRPr="00DC6331">
        <w:rPr>
          <w:rFonts w:eastAsia="Times New Roman" w:cs="Times New Roman"/>
          <w:sz w:val="20"/>
          <w:szCs w:val="20"/>
          <w:lang w:eastAsia="en-CA"/>
        </w:rPr>
        <w:t xml:space="preserve">The appellants brought an application for judicial review in the Federal Court seeking to have the </w:t>
      </w:r>
      <w:r w:rsidRPr="00DC6331">
        <w:rPr>
          <w:rFonts w:eastAsia="Times New Roman" w:cs="Times New Roman"/>
          <w:i/>
          <w:sz w:val="20"/>
          <w:szCs w:val="20"/>
          <w:lang w:eastAsia="en-CA"/>
        </w:rPr>
        <w:t>Federal Child Support Guidelines</w:t>
      </w:r>
      <w:r w:rsidRPr="00DC6331">
        <w:rPr>
          <w:rFonts w:eastAsia="Times New Roman" w:cs="Times New Roman"/>
          <w:sz w:val="20"/>
          <w:szCs w:val="20"/>
          <w:lang w:eastAsia="en-CA"/>
        </w:rPr>
        <w:t>, SOR/97-175 (“</w:t>
      </w:r>
      <w:r w:rsidRPr="00DC6331">
        <w:rPr>
          <w:rFonts w:eastAsia="Times New Roman" w:cs="Times New Roman"/>
          <w:i/>
          <w:sz w:val="20"/>
          <w:szCs w:val="20"/>
          <w:lang w:eastAsia="en-CA"/>
        </w:rPr>
        <w:t>Guidelines</w:t>
      </w:r>
      <w:r w:rsidRPr="00DC6331">
        <w:rPr>
          <w:rFonts w:eastAsia="Times New Roman" w:cs="Times New Roman"/>
          <w:sz w:val="20"/>
          <w:szCs w:val="20"/>
          <w:lang w:eastAsia="en-CA"/>
        </w:rPr>
        <w:t xml:space="preserve">”), declared </w:t>
      </w:r>
      <w:r w:rsidRPr="00DC6331">
        <w:rPr>
          <w:rFonts w:eastAsia="Times New Roman" w:cs="Times New Roman"/>
          <w:i/>
          <w:sz w:val="20"/>
          <w:szCs w:val="20"/>
          <w:lang w:eastAsia="en-CA"/>
        </w:rPr>
        <w:t>ultra vires</w:t>
      </w:r>
      <w:r w:rsidRPr="00DC6331">
        <w:rPr>
          <w:rFonts w:eastAsia="Times New Roman" w:cs="Times New Roman"/>
          <w:sz w:val="20"/>
          <w:szCs w:val="20"/>
          <w:lang w:eastAsia="en-CA"/>
        </w:rPr>
        <w:t xml:space="preserve"> the </w:t>
      </w:r>
      <w:r w:rsidRPr="00DC6331">
        <w:rPr>
          <w:rFonts w:eastAsia="Times New Roman" w:cs="Times New Roman"/>
          <w:i/>
          <w:sz w:val="20"/>
          <w:szCs w:val="20"/>
          <w:lang w:eastAsia="en-CA"/>
        </w:rPr>
        <w:t>Divorce Act</w:t>
      </w:r>
      <w:r w:rsidRPr="00DC6331">
        <w:rPr>
          <w:rFonts w:eastAsia="Times New Roman" w:cs="Times New Roman"/>
          <w:sz w:val="20"/>
          <w:szCs w:val="20"/>
          <w:lang w:eastAsia="en-CA"/>
        </w:rPr>
        <w:t xml:space="preserve">, R.S.C. 1985, c. 3 (2nd </w:t>
      </w:r>
      <w:proofErr w:type="spellStart"/>
      <w:r w:rsidRPr="00DC6331">
        <w:rPr>
          <w:rFonts w:eastAsia="Times New Roman" w:cs="Times New Roman"/>
          <w:sz w:val="20"/>
          <w:szCs w:val="20"/>
          <w:lang w:eastAsia="en-CA"/>
        </w:rPr>
        <w:t>Supp</w:t>
      </w:r>
      <w:proofErr w:type="spellEnd"/>
      <w:r w:rsidRPr="00DC6331">
        <w:rPr>
          <w:rFonts w:eastAsia="Times New Roman" w:cs="Times New Roman"/>
          <w:sz w:val="20"/>
          <w:szCs w:val="20"/>
          <w:lang w:eastAsia="en-CA"/>
        </w:rPr>
        <w:t xml:space="preserve">). The Federal Court dismissed the application for judicial review for several reasons. First, all but one of the appellants lacked standing to bring the application. Second, the application constituted, in the court’s view, an impermissible collateral attack and an abuse of process in the case of one of the appellants. Finally, the Federal Court was not the appropriate forum in which to address the issue, given the minor role the court plays in issues under the </w:t>
      </w:r>
      <w:r w:rsidRPr="00DC6331">
        <w:rPr>
          <w:rFonts w:eastAsia="Times New Roman" w:cs="Times New Roman"/>
          <w:i/>
          <w:sz w:val="20"/>
          <w:szCs w:val="20"/>
          <w:lang w:eastAsia="en-CA"/>
        </w:rPr>
        <w:t>Divorce Act</w:t>
      </w:r>
      <w:r w:rsidRPr="00DC6331">
        <w:rPr>
          <w:rFonts w:eastAsia="Times New Roman" w:cs="Times New Roman"/>
          <w:sz w:val="20"/>
          <w:szCs w:val="20"/>
          <w:lang w:eastAsia="en-CA"/>
        </w:rPr>
        <w:t xml:space="preserve"> and the breadth of the jurisdiction and expertise of the provincial superior courts in matters related to divorce and child support. The Federal Court of Appeal dismissed the appeal.</w:t>
      </w:r>
    </w:p>
    <w:p w:rsidR="004348EE" w:rsidRPr="00DC6331" w:rsidRDefault="004348EE" w:rsidP="004348EE">
      <w:pPr>
        <w:widowControl w:val="0"/>
        <w:jc w:val="both"/>
        <w:rPr>
          <w:rFonts w:eastAsia="Times New Roman" w:cs="Times New Roman"/>
          <w:sz w:val="20"/>
          <w:szCs w:val="20"/>
          <w:lang w:eastAsia="en-CA"/>
        </w:rPr>
      </w:pPr>
    </w:p>
    <w:p w:rsidR="004348EE" w:rsidRPr="00DC6331" w:rsidRDefault="004348EE" w:rsidP="004348EE">
      <w:pPr>
        <w:widowControl w:val="0"/>
        <w:jc w:val="both"/>
        <w:rPr>
          <w:rFonts w:eastAsia="Times New Roman" w:cs="Times New Roman"/>
          <w:sz w:val="20"/>
          <w:szCs w:val="20"/>
          <w:lang w:eastAsia="en-CA"/>
        </w:rPr>
      </w:pPr>
    </w:p>
    <w:p w:rsidR="004348EE" w:rsidRPr="00DC6331" w:rsidRDefault="004348EE" w:rsidP="004348E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Origin of the case:</w:t>
      </w:r>
      <w:r w:rsidRPr="00DC6331">
        <w:rPr>
          <w:rFonts w:eastAsia="Times New Roman" w:cs="Times New Roman"/>
          <w:sz w:val="20"/>
          <w:szCs w:val="20"/>
          <w:lang w:eastAsia="en-CA"/>
        </w:rPr>
        <w:tab/>
        <w:t>Federal Court of Appeal</w:t>
      </w:r>
    </w:p>
    <w:p w:rsidR="004348EE" w:rsidRPr="00DC6331" w:rsidRDefault="004348EE" w:rsidP="004348EE">
      <w:pPr>
        <w:widowControl w:val="0"/>
        <w:ind w:left="2880" w:hanging="2880"/>
        <w:jc w:val="both"/>
        <w:rPr>
          <w:rFonts w:eastAsia="Times New Roman" w:cs="Times New Roman"/>
          <w:sz w:val="20"/>
          <w:szCs w:val="20"/>
          <w:lang w:eastAsia="en-CA"/>
        </w:rPr>
      </w:pPr>
    </w:p>
    <w:p w:rsidR="004348EE" w:rsidRPr="00DC6331" w:rsidRDefault="004348EE" w:rsidP="004348E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File No.:</w:t>
      </w:r>
      <w:r w:rsidRPr="00DC6331">
        <w:rPr>
          <w:rFonts w:eastAsia="Times New Roman" w:cs="Times New Roman"/>
          <w:sz w:val="20"/>
          <w:szCs w:val="20"/>
          <w:lang w:eastAsia="en-CA"/>
        </w:rPr>
        <w:tab/>
        <w:t>35808</w:t>
      </w:r>
    </w:p>
    <w:p w:rsidR="004348EE" w:rsidRPr="00DC6331" w:rsidRDefault="004348EE" w:rsidP="004348EE">
      <w:pPr>
        <w:widowControl w:val="0"/>
        <w:ind w:left="2880" w:hanging="2880"/>
        <w:jc w:val="both"/>
        <w:rPr>
          <w:rFonts w:eastAsia="Times New Roman" w:cs="Times New Roman"/>
          <w:sz w:val="20"/>
          <w:szCs w:val="20"/>
          <w:lang w:eastAsia="en-CA"/>
        </w:rPr>
      </w:pPr>
    </w:p>
    <w:p w:rsidR="004348EE" w:rsidRPr="00DC6331" w:rsidRDefault="004348EE" w:rsidP="004348E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Judgment of the Court of Appeal:</w:t>
      </w:r>
      <w:r w:rsidRPr="00DC6331">
        <w:rPr>
          <w:rFonts w:eastAsia="Times New Roman" w:cs="Times New Roman"/>
          <w:sz w:val="20"/>
          <w:szCs w:val="20"/>
          <w:lang w:eastAsia="en-CA"/>
        </w:rPr>
        <w:tab/>
        <w:t>February 5, 2014</w:t>
      </w:r>
    </w:p>
    <w:p w:rsidR="004348EE" w:rsidRPr="00DC6331" w:rsidRDefault="004348EE" w:rsidP="004348EE">
      <w:pPr>
        <w:widowControl w:val="0"/>
        <w:ind w:left="2880" w:hanging="2880"/>
        <w:jc w:val="both"/>
        <w:rPr>
          <w:rFonts w:eastAsia="Times New Roman" w:cs="Times New Roman"/>
          <w:sz w:val="20"/>
          <w:szCs w:val="20"/>
          <w:lang w:eastAsia="en-CA"/>
        </w:rPr>
      </w:pPr>
    </w:p>
    <w:p w:rsidR="004348EE" w:rsidRPr="00DC6331" w:rsidRDefault="004348EE" w:rsidP="004348E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Counsel:</w:t>
      </w:r>
      <w:r w:rsidRPr="00DC6331">
        <w:rPr>
          <w:rFonts w:eastAsia="Times New Roman" w:cs="Times New Roman"/>
          <w:sz w:val="20"/>
          <w:szCs w:val="20"/>
          <w:lang w:eastAsia="en-CA"/>
        </w:rPr>
        <w:tab/>
        <w:t>Glenn Solomon, Q.C. and Laura Warner for the appellants</w:t>
      </w:r>
    </w:p>
    <w:p w:rsidR="004348EE" w:rsidRPr="00DC6331" w:rsidRDefault="004348EE" w:rsidP="004348EE">
      <w:pPr>
        <w:widowControl w:val="0"/>
        <w:ind w:left="2880" w:hanging="2880"/>
        <w:jc w:val="both"/>
        <w:rPr>
          <w:rFonts w:eastAsia="Times New Roman" w:cs="Times New Roman"/>
          <w:sz w:val="20"/>
          <w:szCs w:val="20"/>
          <w:lang w:eastAsia="en-CA"/>
        </w:rPr>
      </w:pPr>
      <w:r w:rsidRPr="00DC6331">
        <w:rPr>
          <w:rFonts w:eastAsia="Times New Roman" w:cs="Times New Roman"/>
          <w:sz w:val="20"/>
          <w:szCs w:val="20"/>
          <w:lang w:eastAsia="en-CA"/>
        </w:rPr>
        <w:tab/>
        <w:t>Anne M. Turley and Catherine Lawrence for the respondent</w:t>
      </w:r>
    </w:p>
    <w:p w:rsidR="00CC3535" w:rsidRPr="004348EE" w:rsidRDefault="00CC3535" w:rsidP="00CC3535">
      <w:pPr>
        <w:tabs>
          <w:tab w:val="left" w:pos="-1440"/>
          <w:tab w:val="left" w:pos="-720"/>
        </w:tabs>
        <w:jc w:val="both"/>
        <w:rPr>
          <w:sz w:val="20"/>
          <w:szCs w:val="20"/>
        </w:rPr>
      </w:pPr>
    </w:p>
    <w:p w:rsidR="00CC3535" w:rsidRDefault="007871B3" w:rsidP="00CC3535">
      <w:pPr>
        <w:tabs>
          <w:tab w:val="left" w:pos="-1440"/>
          <w:tab w:val="left" w:pos="-720"/>
        </w:tabs>
        <w:jc w:val="both"/>
        <w:rPr>
          <w:sz w:val="20"/>
          <w:szCs w:val="20"/>
          <w:lang w:val="fr-CA"/>
        </w:rPr>
      </w:pPr>
      <w:r>
        <w:rPr>
          <w:sz w:val="20"/>
          <w:szCs w:val="20"/>
          <w:lang w:val="fr-CA"/>
        </w:rPr>
        <w:pict>
          <v:rect id="_x0000_i1095"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4348EE" w:rsidRPr="00DC6331" w:rsidRDefault="00BD696F" w:rsidP="004348EE">
      <w:pPr>
        <w:widowControl w:val="0"/>
        <w:ind w:left="720" w:hanging="720"/>
        <w:contextualSpacing/>
        <w:jc w:val="both"/>
        <w:rPr>
          <w:rFonts w:eastAsia="Times New Roman" w:cs="Times New Roman"/>
          <w:sz w:val="20"/>
          <w:szCs w:val="20"/>
          <w:lang w:val="fr-CA" w:eastAsia="en-CA"/>
        </w:rPr>
      </w:pPr>
      <w:r w:rsidRPr="00DC6331">
        <w:rPr>
          <w:rFonts w:eastAsia="Times New Roman" w:cs="Times New Roman"/>
          <w:b/>
          <w:sz w:val="20"/>
          <w:szCs w:val="20"/>
          <w:lang w:val="fr-CA" w:eastAsia="en-CA"/>
        </w:rPr>
        <w:lastRenderedPageBreak/>
        <w:fldChar w:fldCharType="begin"/>
      </w:r>
      <w:r w:rsidR="004348EE" w:rsidRPr="00DC6331">
        <w:rPr>
          <w:rFonts w:eastAsia="Times New Roman" w:cs="Times New Roman"/>
          <w:b/>
          <w:sz w:val="20"/>
          <w:szCs w:val="20"/>
          <w:lang w:val="fr-CA" w:eastAsia="en-CA"/>
        </w:rPr>
        <w:instrText xml:space="preserve"> SEQ CHAPTER \h \r 1</w:instrText>
      </w:r>
      <w:r w:rsidRPr="00DC6331">
        <w:rPr>
          <w:rFonts w:eastAsia="Times New Roman" w:cs="Times New Roman"/>
          <w:b/>
          <w:sz w:val="20"/>
          <w:szCs w:val="20"/>
          <w:lang w:val="fr-CA" w:eastAsia="en-CA"/>
        </w:rPr>
        <w:fldChar w:fldCharType="end"/>
      </w:r>
      <w:r w:rsidR="004348EE" w:rsidRPr="00DC6331">
        <w:rPr>
          <w:rFonts w:eastAsia="Times New Roman" w:cs="Times New Roman"/>
          <w:b/>
          <w:sz w:val="20"/>
          <w:szCs w:val="20"/>
          <w:lang w:val="fr-CA" w:eastAsia="en-CA"/>
        </w:rPr>
        <w:t>35808</w:t>
      </w:r>
      <w:r w:rsidR="004348EE" w:rsidRPr="00DC6331">
        <w:rPr>
          <w:rFonts w:eastAsia="Times New Roman" w:cs="Times New Roman"/>
          <w:sz w:val="20"/>
          <w:szCs w:val="20"/>
          <w:lang w:val="fr-CA" w:eastAsia="en-CA"/>
        </w:rPr>
        <w:tab/>
      </w:r>
      <w:r w:rsidR="004348EE" w:rsidRPr="00DC6331">
        <w:rPr>
          <w:rFonts w:eastAsia="Times New Roman" w:cs="Times New Roman"/>
          <w:b/>
          <w:i/>
          <w:sz w:val="20"/>
          <w:szCs w:val="20"/>
          <w:lang w:val="fr-CA" w:eastAsia="en-CA"/>
        </w:rPr>
        <w:t xml:space="preserve">Robert T. Strickland, George </w:t>
      </w:r>
      <w:proofErr w:type="spellStart"/>
      <w:r w:rsidR="004348EE" w:rsidRPr="00DC6331">
        <w:rPr>
          <w:rFonts w:eastAsia="Times New Roman" w:cs="Times New Roman"/>
          <w:b/>
          <w:i/>
          <w:sz w:val="20"/>
          <w:szCs w:val="20"/>
          <w:lang w:val="fr-CA" w:eastAsia="en-CA"/>
        </w:rPr>
        <w:t>Connon</w:t>
      </w:r>
      <w:proofErr w:type="spellEnd"/>
      <w:r w:rsidR="004348EE" w:rsidRPr="00DC6331">
        <w:rPr>
          <w:rFonts w:eastAsia="Times New Roman" w:cs="Times New Roman"/>
          <w:b/>
          <w:i/>
          <w:sz w:val="20"/>
          <w:szCs w:val="20"/>
          <w:lang w:val="fr-CA" w:eastAsia="en-CA"/>
        </w:rPr>
        <w:t xml:space="preserve">, Roland Auer, </w:t>
      </w:r>
      <w:proofErr w:type="spellStart"/>
      <w:r w:rsidR="004348EE" w:rsidRPr="00DC6331">
        <w:rPr>
          <w:rFonts w:eastAsia="Times New Roman" w:cs="Times New Roman"/>
          <w:b/>
          <w:i/>
          <w:sz w:val="20"/>
          <w:szCs w:val="20"/>
          <w:lang w:val="fr-CA" w:eastAsia="en-CA"/>
        </w:rPr>
        <w:t>Iwona</w:t>
      </w:r>
      <w:proofErr w:type="spellEnd"/>
      <w:r w:rsidR="004348EE" w:rsidRPr="00DC6331">
        <w:rPr>
          <w:rFonts w:eastAsia="Times New Roman" w:cs="Times New Roman"/>
          <w:b/>
          <w:i/>
          <w:sz w:val="20"/>
          <w:szCs w:val="20"/>
          <w:lang w:val="fr-CA" w:eastAsia="en-CA"/>
        </w:rPr>
        <w:t xml:space="preserve"> Auer-</w:t>
      </w:r>
      <w:proofErr w:type="spellStart"/>
      <w:r w:rsidR="004348EE" w:rsidRPr="00DC6331">
        <w:rPr>
          <w:rFonts w:eastAsia="Times New Roman" w:cs="Times New Roman"/>
          <w:b/>
          <w:i/>
          <w:sz w:val="20"/>
          <w:szCs w:val="20"/>
          <w:lang w:val="fr-CA" w:eastAsia="en-CA"/>
        </w:rPr>
        <w:t>Grzesiak</w:t>
      </w:r>
      <w:proofErr w:type="spellEnd"/>
      <w:r w:rsidR="004348EE" w:rsidRPr="00DC6331">
        <w:rPr>
          <w:rFonts w:eastAsia="Times New Roman" w:cs="Times New Roman"/>
          <w:b/>
          <w:i/>
          <w:sz w:val="20"/>
          <w:szCs w:val="20"/>
          <w:lang w:val="fr-CA" w:eastAsia="en-CA"/>
        </w:rPr>
        <w:t>, Mark Auer et Vladimir Auer, représenté par son tuteur à l’instance, Roland Auer c. Le procureur général du Canada</w:t>
      </w:r>
    </w:p>
    <w:p w:rsidR="004348EE" w:rsidRPr="00DC6331" w:rsidRDefault="004348EE" w:rsidP="004348EE">
      <w:pPr>
        <w:widowControl w:val="0"/>
        <w:contextualSpacing/>
        <w:jc w:val="both"/>
        <w:rPr>
          <w:rFonts w:eastAsia="Times New Roman" w:cs="Times New Roman"/>
          <w:sz w:val="20"/>
          <w:szCs w:val="20"/>
          <w:lang w:val="fr-CA" w:eastAsia="en-CA"/>
        </w:rPr>
      </w:pPr>
    </w:p>
    <w:p w:rsidR="004348EE" w:rsidRPr="00DC6331" w:rsidRDefault="004348EE" w:rsidP="004348EE">
      <w:pPr>
        <w:widowControl w:val="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Droit administratif - Contrôle judiciaire - Pouvoir d’examiner la validité d’un texte législatif subordonné du gouvernement fédéral pour des raisons de droit administratif - Étendue du pouvoir discrétionnaire de la Cour fédérale de décliner compétence - </w:t>
      </w:r>
      <w:r w:rsidRPr="00DC6331">
        <w:rPr>
          <w:rFonts w:eastAsia="Times New Roman" w:cs="Times New Roman"/>
          <w:i/>
          <w:sz w:val="20"/>
          <w:szCs w:val="20"/>
          <w:lang w:val="fr-CA" w:eastAsia="en-CA"/>
        </w:rPr>
        <w:t>Loi sur les Cours fédérales</w:t>
      </w:r>
      <w:r w:rsidRPr="00DC6331">
        <w:rPr>
          <w:rFonts w:eastAsia="Times New Roman" w:cs="Times New Roman"/>
          <w:sz w:val="20"/>
          <w:szCs w:val="20"/>
          <w:lang w:val="fr-CA" w:eastAsia="en-CA"/>
        </w:rPr>
        <w:t xml:space="preserve">, L.R.C. 1985, ch. F-7, art. 18 et 18.1 - Les juridictions inférieures </w:t>
      </w:r>
      <w:proofErr w:type="spellStart"/>
      <w:r w:rsidRPr="00DC6331">
        <w:rPr>
          <w:rFonts w:eastAsia="Times New Roman" w:cs="Times New Roman"/>
          <w:sz w:val="20"/>
          <w:szCs w:val="20"/>
          <w:lang w:val="fr-CA" w:eastAsia="en-CA"/>
        </w:rPr>
        <w:t>ont-elles</w:t>
      </w:r>
      <w:proofErr w:type="spellEnd"/>
      <w:r w:rsidRPr="00DC6331">
        <w:rPr>
          <w:rFonts w:eastAsia="Times New Roman" w:cs="Times New Roman"/>
          <w:sz w:val="20"/>
          <w:szCs w:val="20"/>
          <w:lang w:val="fr-CA" w:eastAsia="en-CA"/>
        </w:rPr>
        <w:t xml:space="preserve"> eu tort de conclure que les cours supérieures provinciales avaient compétence concurrente en l’espèce? - Les juridictions inférieures </w:t>
      </w:r>
      <w:proofErr w:type="spellStart"/>
      <w:r w:rsidRPr="00DC6331">
        <w:rPr>
          <w:rFonts w:eastAsia="Times New Roman" w:cs="Times New Roman"/>
          <w:sz w:val="20"/>
          <w:szCs w:val="20"/>
          <w:lang w:val="fr-CA" w:eastAsia="en-CA"/>
        </w:rPr>
        <w:t>ont-elles</w:t>
      </w:r>
      <w:proofErr w:type="spellEnd"/>
      <w:r w:rsidRPr="00DC6331">
        <w:rPr>
          <w:rFonts w:eastAsia="Times New Roman" w:cs="Times New Roman"/>
          <w:sz w:val="20"/>
          <w:szCs w:val="20"/>
          <w:lang w:val="fr-CA" w:eastAsia="en-CA"/>
        </w:rPr>
        <w:t xml:space="preserve"> eu tort d’exercer leur pouvoir discrétionnaire pour passer outre à l’intention claire du législateur? - Les juridictions inférieures </w:t>
      </w:r>
      <w:proofErr w:type="spellStart"/>
      <w:r w:rsidRPr="00DC6331">
        <w:rPr>
          <w:rFonts w:eastAsia="Times New Roman" w:cs="Times New Roman"/>
          <w:sz w:val="20"/>
          <w:szCs w:val="20"/>
          <w:lang w:val="fr-CA" w:eastAsia="en-CA"/>
        </w:rPr>
        <w:t>ont-elles</w:t>
      </w:r>
      <w:proofErr w:type="spellEnd"/>
      <w:r w:rsidRPr="00DC6331">
        <w:rPr>
          <w:rFonts w:eastAsia="Times New Roman" w:cs="Times New Roman"/>
          <w:sz w:val="20"/>
          <w:szCs w:val="20"/>
          <w:lang w:val="fr-CA" w:eastAsia="en-CA"/>
        </w:rPr>
        <w:t xml:space="preserve"> eu tort de conclure que les appelants disposaient d’un autre recours approprié?</w:t>
      </w:r>
    </w:p>
    <w:p w:rsidR="004348EE" w:rsidRPr="00DC6331" w:rsidRDefault="004348EE" w:rsidP="004348EE">
      <w:pPr>
        <w:widowControl w:val="0"/>
        <w:contextualSpacing/>
        <w:jc w:val="both"/>
        <w:rPr>
          <w:rFonts w:eastAsia="Times New Roman" w:cs="Times New Roman"/>
          <w:sz w:val="20"/>
          <w:szCs w:val="20"/>
          <w:lang w:val="fr-CA" w:eastAsia="en-CA"/>
        </w:rPr>
      </w:pPr>
    </w:p>
    <w:p w:rsidR="004348EE" w:rsidRPr="00DC6331" w:rsidRDefault="004348EE" w:rsidP="004348EE">
      <w:pPr>
        <w:widowControl w:val="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 xml:space="preserve">Les appelants ont présenté une demande de contrôle judiciaire à la Cour fédérale pour qu’elle déclare que les </w:t>
      </w:r>
      <w:r w:rsidRPr="00DC6331">
        <w:rPr>
          <w:rFonts w:eastAsia="Times New Roman" w:cs="Times New Roman"/>
          <w:i/>
          <w:sz w:val="20"/>
          <w:szCs w:val="20"/>
          <w:lang w:val="fr-CA" w:eastAsia="en-CA"/>
        </w:rPr>
        <w:t>Lignes directrices fédérales sur les pensions alimentaires pour enfants</w:t>
      </w:r>
      <w:r w:rsidRPr="00DC6331">
        <w:rPr>
          <w:rFonts w:eastAsia="Times New Roman" w:cs="Times New Roman"/>
          <w:sz w:val="20"/>
          <w:szCs w:val="20"/>
          <w:lang w:val="fr-CA" w:eastAsia="en-CA"/>
        </w:rPr>
        <w:t>, DORS/97-175 (« </w:t>
      </w:r>
      <w:r w:rsidRPr="00DC6331">
        <w:rPr>
          <w:rFonts w:eastAsia="Times New Roman" w:cs="Times New Roman"/>
          <w:i/>
          <w:sz w:val="20"/>
          <w:szCs w:val="20"/>
          <w:lang w:val="fr-CA" w:eastAsia="en-CA"/>
        </w:rPr>
        <w:t>Lignes directrices</w:t>
      </w:r>
      <w:r w:rsidRPr="00DC6331">
        <w:rPr>
          <w:rFonts w:eastAsia="Times New Roman" w:cs="Times New Roman"/>
          <w:sz w:val="20"/>
          <w:szCs w:val="20"/>
          <w:lang w:val="fr-CA" w:eastAsia="en-CA"/>
        </w:rPr>
        <w:t xml:space="preserve"> »), outrepassent le cadre prévu par la </w:t>
      </w:r>
      <w:r w:rsidRPr="00DC6331">
        <w:rPr>
          <w:rFonts w:eastAsia="Times New Roman" w:cs="Times New Roman"/>
          <w:i/>
          <w:sz w:val="20"/>
          <w:szCs w:val="20"/>
          <w:lang w:val="fr-CA" w:eastAsia="en-CA"/>
        </w:rPr>
        <w:t>Loi sur le divorce</w:t>
      </w:r>
      <w:r w:rsidRPr="00DC6331">
        <w:rPr>
          <w:rFonts w:eastAsia="Times New Roman" w:cs="Times New Roman"/>
          <w:sz w:val="20"/>
          <w:szCs w:val="20"/>
          <w:lang w:val="fr-CA" w:eastAsia="en-CA"/>
        </w:rPr>
        <w:t xml:space="preserve">, L.R.C. 1985, ch. 3 (2e suppl.).  La Cour fédérale a rejeté la demande de contrôle judiciaire pour plusieurs raisons. Premièrement, tous les appelants sauf un n’avaient pas qualité pour présenter la demande.  Deuxièmement, la demande constituait, de l’avis de la cour, une attaque indirecte prohibée et un abus de procédure dans le cas d’un des appelants.  Enfin, la Cour fédérale n’était pas le tribunal compétent pour trancher la question, vu le rôle mineur joué par le tribunal en ce qui concerne la </w:t>
      </w:r>
      <w:r w:rsidRPr="00DC6331">
        <w:rPr>
          <w:rFonts w:eastAsia="Times New Roman" w:cs="Times New Roman"/>
          <w:i/>
          <w:sz w:val="20"/>
          <w:szCs w:val="20"/>
          <w:lang w:val="fr-CA" w:eastAsia="en-CA"/>
        </w:rPr>
        <w:t xml:space="preserve">Loi sur le divorce </w:t>
      </w:r>
      <w:r w:rsidRPr="00DC6331">
        <w:rPr>
          <w:rFonts w:eastAsia="Times New Roman" w:cs="Times New Roman"/>
          <w:sz w:val="20"/>
          <w:szCs w:val="20"/>
          <w:lang w:val="fr-CA" w:eastAsia="en-CA"/>
        </w:rPr>
        <w:t>ainsi que la compétence et l’expertise des cours supérieures provinciales en matière de divorce et de pensions alimentaires pour enfants.  La Cour d’appel fédérale a rejeté l’appel.</w:t>
      </w:r>
    </w:p>
    <w:p w:rsidR="004348EE" w:rsidRPr="00DC6331" w:rsidRDefault="004348EE" w:rsidP="004348EE">
      <w:pPr>
        <w:widowControl w:val="0"/>
        <w:contextualSpacing/>
        <w:jc w:val="both"/>
        <w:rPr>
          <w:rFonts w:eastAsia="Times New Roman" w:cs="Times New Roman"/>
          <w:sz w:val="20"/>
          <w:szCs w:val="20"/>
          <w:lang w:val="fr-CA" w:eastAsia="en-CA"/>
        </w:rPr>
      </w:pPr>
    </w:p>
    <w:p w:rsidR="004348EE" w:rsidRPr="00DC6331" w:rsidRDefault="004348EE" w:rsidP="004348EE">
      <w:pPr>
        <w:widowControl w:val="0"/>
        <w:contextualSpacing/>
        <w:jc w:val="both"/>
        <w:rPr>
          <w:rFonts w:eastAsia="Times New Roman" w:cs="Times New Roman"/>
          <w:sz w:val="20"/>
          <w:szCs w:val="20"/>
          <w:lang w:val="fr-CA" w:eastAsia="en-CA"/>
        </w:rPr>
      </w:pP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Origine :</w:t>
      </w:r>
      <w:r w:rsidRPr="00DC6331">
        <w:rPr>
          <w:rFonts w:eastAsia="Times New Roman" w:cs="Times New Roman"/>
          <w:sz w:val="20"/>
          <w:szCs w:val="20"/>
          <w:lang w:val="fr-CA" w:eastAsia="en-CA"/>
        </w:rPr>
        <w:tab/>
        <w:t>Cour d’appel fédérale</w:t>
      </w: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No du greffe :</w:t>
      </w:r>
      <w:r w:rsidRPr="00DC6331">
        <w:rPr>
          <w:rFonts w:eastAsia="Times New Roman" w:cs="Times New Roman"/>
          <w:sz w:val="20"/>
          <w:szCs w:val="20"/>
          <w:lang w:val="fr-CA" w:eastAsia="en-CA"/>
        </w:rPr>
        <w:tab/>
        <w:t>35808</w:t>
      </w: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Arrêt de la Cour d’appel :</w:t>
      </w:r>
      <w:r w:rsidRPr="00DC6331">
        <w:rPr>
          <w:rFonts w:eastAsia="Times New Roman" w:cs="Times New Roman"/>
          <w:sz w:val="20"/>
          <w:szCs w:val="20"/>
          <w:lang w:val="fr-CA" w:eastAsia="en-CA"/>
        </w:rPr>
        <w:tab/>
        <w:t>le 5 février 2014</w:t>
      </w: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Avocats :</w:t>
      </w:r>
      <w:r w:rsidRPr="00DC6331">
        <w:rPr>
          <w:rFonts w:eastAsia="Times New Roman" w:cs="Times New Roman"/>
          <w:sz w:val="20"/>
          <w:szCs w:val="20"/>
          <w:lang w:val="fr-CA" w:eastAsia="en-CA"/>
        </w:rPr>
        <w:tab/>
        <w:t xml:space="preserve">Glenn Solomon, </w:t>
      </w:r>
      <w:proofErr w:type="spellStart"/>
      <w:r w:rsidRPr="00DC6331">
        <w:rPr>
          <w:rFonts w:eastAsia="Times New Roman" w:cs="Times New Roman"/>
          <w:sz w:val="20"/>
          <w:szCs w:val="20"/>
          <w:lang w:val="fr-CA" w:eastAsia="en-CA"/>
        </w:rPr>
        <w:t>c.r</w:t>
      </w:r>
      <w:proofErr w:type="spellEnd"/>
      <w:r w:rsidRPr="00DC6331">
        <w:rPr>
          <w:rFonts w:eastAsia="Times New Roman" w:cs="Times New Roman"/>
          <w:sz w:val="20"/>
          <w:szCs w:val="20"/>
          <w:lang w:val="fr-CA" w:eastAsia="en-CA"/>
        </w:rPr>
        <w:t>. et Laura Warner pour les appelants</w:t>
      </w:r>
    </w:p>
    <w:p w:rsidR="004348EE" w:rsidRPr="00DC6331" w:rsidRDefault="004348EE" w:rsidP="004348EE">
      <w:pPr>
        <w:widowControl w:val="0"/>
        <w:ind w:left="2880" w:hanging="2880"/>
        <w:contextualSpacing/>
        <w:jc w:val="both"/>
        <w:rPr>
          <w:rFonts w:eastAsia="Times New Roman" w:cs="Times New Roman"/>
          <w:sz w:val="20"/>
          <w:szCs w:val="20"/>
          <w:lang w:val="fr-CA" w:eastAsia="en-CA"/>
        </w:rPr>
      </w:pPr>
      <w:r w:rsidRPr="00DC6331">
        <w:rPr>
          <w:rFonts w:eastAsia="Times New Roman" w:cs="Times New Roman"/>
          <w:sz w:val="20"/>
          <w:szCs w:val="20"/>
          <w:lang w:val="fr-CA" w:eastAsia="en-CA"/>
        </w:rPr>
        <w:tab/>
        <w:t xml:space="preserve">Anne M. </w:t>
      </w:r>
      <w:proofErr w:type="spellStart"/>
      <w:r w:rsidRPr="00DC6331">
        <w:rPr>
          <w:rFonts w:eastAsia="Times New Roman" w:cs="Times New Roman"/>
          <w:sz w:val="20"/>
          <w:szCs w:val="20"/>
          <w:lang w:val="fr-CA" w:eastAsia="en-CA"/>
        </w:rPr>
        <w:t>Turley</w:t>
      </w:r>
      <w:proofErr w:type="spellEnd"/>
      <w:r w:rsidRPr="00DC6331">
        <w:rPr>
          <w:rFonts w:eastAsia="Times New Roman" w:cs="Times New Roman"/>
          <w:sz w:val="20"/>
          <w:szCs w:val="20"/>
          <w:lang w:val="fr-CA" w:eastAsia="en-CA"/>
        </w:rPr>
        <w:t xml:space="preserve"> et Catherine Lawrence pour 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6"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5725B" w:rsidRPr="00B5725B" w:rsidRDefault="00B5725B" w:rsidP="00B5725B">
      <w:pPr>
        <w:ind w:left="720" w:hanging="720"/>
        <w:rPr>
          <w:rFonts w:eastAsia="Times New Roman" w:cs="Times New Roman"/>
          <w:b/>
          <w:i/>
          <w:sz w:val="19"/>
          <w:szCs w:val="19"/>
          <w:lang w:eastAsia="en-CA"/>
        </w:rPr>
      </w:pPr>
      <w:r w:rsidRPr="00B5725B">
        <w:rPr>
          <w:rFonts w:eastAsia="Times New Roman" w:cs="Times New Roman"/>
          <w:b/>
          <w:sz w:val="19"/>
          <w:szCs w:val="19"/>
          <w:lang w:eastAsia="en-CA"/>
        </w:rPr>
        <w:lastRenderedPageBreak/>
        <w:t>35823</w:t>
      </w:r>
      <w:r w:rsidR="00BD696F" w:rsidRPr="00B5725B">
        <w:rPr>
          <w:rFonts w:eastAsia="Times New Roman" w:cs="Times New Roman"/>
          <w:sz w:val="19"/>
          <w:szCs w:val="19"/>
          <w:lang w:eastAsia="en-CA"/>
        </w:rPr>
        <w:fldChar w:fldCharType="begin"/>
      </w:r>
      <w:r w:rsidRPr="00B5725B">
        <w:rPr>
          <w:rFonts w:eastAsia="Times New Roman" w:cs="Times New Roman"/>
          <w:sz w:val="19"/>
          <w:szCs w:val="19"/>
          <w:lang w:eastAsia="en-CA"/>
        </w:rPr>
        <w:instrText xml:space="preserve"> SEQ CHAPTER \h \r 1</w:instrText>
      </w:r>
      <w:r w:rsidR="00BD696F" w:rsidRPr="00B5725B">
        <w:rPr>
          <w:rFonts w:eastAsia="Times New Roman" w:cs="Times New Roman"/>
          <w:sz w:val="19"/>
          <w:szCs w:val="19"/>
          <w:lang w:eastAsia="en-CA"/>
        </w:rPr>
        <w:fldChar w:fldCharType="end"/>
      </w:r>
      <w:r w:rsidRPr="00B5725B">
        <w:rPr>
          <w:rFonts w:eastAsia="Times New Roman" w:cs="Times New Roman"/>
          <w:sz w:val="19"/>
          <w:szCs w:val="19"/>
          <w:lang w:eastAsia="en-CA"/>
        </w:rPr>
        <w:tab/>
      </w:r>
      <w:r w:rsidRPr="00B5725B">
        <w:rPr>
          <w:rFonts w:eastAsia="Times New Roman" w:cs="Times New Roman"/>
          <w:b/>
          <w:i/>
          <w:sz w:val="19"/>
          <w:szCs w:val="19"/>
          <w:lang w:eastAsia="en-CA"/>
        </w:rPr>
        <w:t xml:space="preserve">Commission </w:t>
      </w:r>
      <w:proofErr w:type="spellStart"/>
      <w:r w:rsidRPr="00B5725B">
        <w:rPr>
          <w:rFonts w:eastAsia="Times New Roman" w:cs="Times New Roman"/>
          <w:b/>
          <w:i/>
          <w:sz w:val="19"/>
          <w:szCs w:val="19"/>
          <w:lang w:eastAsia="en-CA"/>
        </w:rPr>
        <w:t>scolaire</w:t>
      </w:r>
      <w:proofErr w:type="spellEnd"/>
      <w:r w:rsidRPr="00B5725B">
        <w:rPr>
          <w:rFonts w:eastAsia="Times New Roman" w:cs="Times New Roman"/>
          <w:b/>
          <w:i/>
          <w:sz w:val="19"/>
          <w:szCs w:val="19"/>
          <w:lang w:eastAsia="en-CA"/>
        </w:rPr>
        <w:t xml:space="preserve"> francophone du Yukon, Education Area #23 v. Attorney General of Yukon</w:t>
      </w:r>
    </w:p>
    <w:p w:rsidR="00B5725B" w:rsidRPr="00B5725B" w:rsidRDefault="00B5725B" w:rsidP="00B5725B">
      <w:pPr>
        <w:widowControl w:val="0"/>
        <w:jc w:val="both"/>
        <w:rPr>
          <w:rFonts w:eastAsia="Times New Roman" w:cs="Times New Roman"/>
          <w:sz w:val="19"/>
          <w:szCs w:val="19"/>
          <w:lang w:eastAsia="en-CA"/>
        </w:rPr>
      </w:pPr>
    </w:p>
    <w:p w:rsidR="00B5725B" w:rsidRPr="00B5725B" w:rsidRDefault="00B5725B" w:rsidP="00B5725B">
      <w:pPr>
        <w:widowControl w:val="0"/>
        <w:jc w:val="both"/>
        <w:rPr>
          <w:rFonts w:eastAsia="Times New Roman" w:cs="Times New Roman"/>
          <w:smallCaps/>
          <w:sz w:val="19"/>
          <w:szCs w:val="19"/>
          <w:lang w:eastAsia="en-CA"/>
        </w:rPr>
      </w:pPr>
      <w:r w:rsidRPr="00B5725B">
        <w:rPr>
          <w:rFonts w:eastAsia="Times New Roman" w:cs="Times New Roman"/>
          <w:smallCaps/>
          <w:sz w:val="19"/>
          <w:szCs w:val="19"/>
          <w:lang w:eastAsia="en-CA"/>
        </w:rPr>
        <w:t>Publication Ban in Case</w:t>
      </w:r>
    </w:p>
    <w:p w:rsidR="00B5725B" w:rsidRPr="00B5725B" w:rsidRDefault="00B5725B" w:rsidP="00B5725B">
      <w:pPr>
        <w:widowControl w:val="0"/>
        <w:jc w:val="both"/>
        <w:rPr>
          <w:rFonts w:eastAsia="Times New Roman" w:cs="Times New Roman"/>
          <w:sz w:val="19"/>
          <w:szCs w:val="19"/>
          <w:lang w:eastAsia="en-CA"/>
        </w:rPr>
      </w:pPr>
    </w:p>
    <w:p w:rsidR="00B5725B" w:rsidRPr="00B5725B" w:rsidRDefault="00B5725B" w:rsidP="00B5725B">
      <w:pPr>
        <w:jc w:val="both"/>
        <w:rPr>
          <w:rFonts w:eastAsia="Times New Roman" w:cs="Times New Roman"/>
          <w:sz w:val="19"/>
          <w:szCs w:val="19"/>
          <w:lang w:eastAsia="en-CA"/>
        </w:rPr>
      </w:pPr>
      <w:r w:rsidRPr="00B5725B">
        <w:rPr>
          <w:rFonts w:eastAsia="Times New Roman" w:cs="Times New Roman"/>
          <w:sz w:val="19"/>
          <w:szCs w:val="19"/>
          <w:lang w:eastAsia="en-CA"/>
        </w:rPr>
        <w:t xml:space="preserve">Canadian Charter of Rights - Official languages - Courts - Judges - Bias - Right to manage admissions to schools of French linguistic minority population - School board’s right to obtain communications and services in French from Yukon government - Whether Court of Appeal erred in applying reasonable apprehension of bias test and in concluding that judge’s conduct during trial and involvement with community organization raised such apprehension - Whether Court of Appeal erred in deciding issues related to right to manage admissions and school board’s right to receive services and communications in French despite fact that it had set aside trial judge’s findings of fact - Whether ss. 2, 5 and 9 of </w:t>
      </w:r>
      <w:r w:rsidRPr="00B5725B">
        <w:rPr>
          <w:rFonts w:eastAsia="Times New Roman" w:cs="Times New Roman"/>
          <w:i/>
          <w:sz w:val="19"/>
          <w:szCs w:val="19"/>
          <w:lang w:eastAsia="en-CA"/>
        </w:rPr>
        <w:t>French Language Instruction Regulation</w:t>
      </w:r>
      <w:r w:rsidRPr="00B5725B">
        <w:rPr>
          <w:rFonts w:eastAsia="Times New Roman" w:cs="Times New Roman"/>
          <w:sz w:val="19"/>
          <w:szCs w:val="19"/>
          <w:lang w:eastAsia="en-CA"/>
        </w:rPr>
        <w:t xml:space="preserve"> contrary to s. 23 of </w:t>
      </w:r>
      <w:r w:rsidRPr="00B5725B">
        <w:rPr>
          <w:rFonts w:eastAsia="Times New Roman" w:cs="Times New Roman"/>
          <w:i/>
          <w:sz w:val="19"/>
          <w:szCs w:val="19"/>
          <w:lang w:eastAsia="en-CA"/>
        </w:rPr>
        <w:t>Charter</w:t>
      </w:r>
      <w:r w:rsidRPr="00B5725B">
        <w:rPr>
          <w:rFonts w:eastAsia="Times New Roman" w:cs="Times New Roman"/>
          <w:sz w:val="19"/>
          <w:szCs w:val="19"/>
          <w:lang w:eastAsia="en-CA"/>
        </w:rPr>
        <w:t xml:space="preserve"> - If so, whether infringement is reasonable limit prescribed by law as can be demonstrably justified in free and democratic society under s. 1 of </w:t>
      </w:r>
      <w:r w:rsidRPr="00B5725B">
        <w:rPr>
          <w:rFonts w:eastAsia="Times New Roman" w:cs="Times New Roman"/>
          <w:i/>
          <w:sz w:val="19"/>
          <w:szCs w:val="19"/>
          <w:lang w:eastAsia="en-CA"/>
        </w:rPr>
        <w:t>Charter</w:t>
      </w:r>
      <w:r w:rsidRPr="00B5725B">
        <w:rPr>
          <w:rFonts w:eastAsia="Times New Roman" w:cs="Times New Roman"/>
          <w:sz w:val="19"/>
          <w:szCs w:val="19"/>
          <w:lang w:eastAsia="en-CA"/>
        </w:rPr>
        <w:t xml:space="preserve"> - </w:t>
      </w:r>
      <w:r w:rsidRPr="00B5725B">
        <w:rPr>
          <w:rFonts w:eastAsia="Times New Roman" w:cs="Times New Roman"/>
          <w:i/>
          <w:sz w:val="19"/>
          <w:szCs w:val="19"/>
          <w:lang w:eastAsia="en-CA"/>
        </w:rPr>
        <w:t>French Language Instruction Regulation</w:t>
      </w:r>
      <w:r w:rsidRPr="00B5725B">
        <w:rPr>
          <w:rFonts w:eastAsia="Times New Roman" w:cs="Times New Roman"/>
          <w:sz w:val="19"/>
          <w:szCs w:val="19"/>
          <w:lang w:eastAsia="en-CA"/>
        </w:rPr>
        <w:t xml:space="preserve">, YOIC 1996/099 - </w:t>
      </w:r>
      <w:r w:rsidRPr="00B5725B">
        <w:rPr>
          <w:rFonts w:eastAsia="Times New Roman" w:cs="Times New Roman"/>
          <w:i/>
          <w:sz w:val="19"/>
          <w:szCs w:val="19"/>
          <w:lang w:eastAsia="en-CA"/>
        </w:rPr>
        <w:t>Canadian Charter of Rights and Freedoms</w:t>
      </w:r>
      <w:r w:rsidRPr="00B5725B">
        <w:rPr>
          <w:rFonts w:eastAsia="Times New Roman" w:cs="Times New Roman"/>
          <w:sz w:val="19"/>
          <w:szCs w:val="19"/>
          <w:lang w:eastAsia="en-CA"/>
        </w:rPr>
        <w:t xml:space="preserve">, s. 23 - </w:t>
      </w:r>
      <w:r w:rsidRPr="00B5725B">
        <w:rPr>
          <w:rFonts w:eastAsia="Times New Roman" w:cs="Times New Roman"/>
          <w:i/>
          <w:sz w:val="19"/>
          <w:szCs w:val="19"/>
          <w:lang w:eastAsia="en-CA"/>
        </w:rPr>
        <w:t>Languages Act</w:t>
      </w:r>
      <w:r w:rsidRPr="00B5725B">
        <w:rPr>
          <w:rFonts w:eastAsia="Times New Roman" w:cs="Times New Roman"/>
          <w:sz w:val="19"/>
          <w:szCs w:val="19"/>
          <w:lang w:eastAsia="en-CA"/>
        </w:rPr>
        <w:t>, R.S.Y. 2002, c. 133, ss. 6 and 9.</w:t>
      </w:r>
    </w:p>
    <w:p w:rsidR="00B5725B" w:rsidRPr="00B5725B" w:rsidRDefault="00B5725B" w:rsidP="00B5725B">
      <w:pPr>
        <w:widowControl w:val="0"/>
        <w:jc w:val="both"/>
        <w:rPr>
          <w:rFonts w:eastAsia="Times New Roman" w:cs="Times New Roman"/>
          <w:sz w:val="19"/>
          <w:szCs w:val="19"/>
          <w:lang w:eastAsia="en-CA"/>
        </w:rPr>
      </w:pPr>
    </w:p>
    <w:p w:rsidR="00B5725B" w:rsidRPr="00B5725B" w:rsidRDefault="00B5725B" w:rsidP="00B5725B">
      <w:pPr>
        <w:jc w:val="both"/>
        <w:rPr>
          <w:rFonts w:eastAsia="Times New Roman" w:cs="Times New Roman"/>
          <w:sz w:val="19"/>
          <w:szCs w:val="19"/>
          <w:lang w:eastAsia="en-CA"/>
        </w:rPr>
      </w:pPr>
      <w:r w:rsidRPr="00B5725B">
        <w:rPr>
          <w:rFonts w:eastAsia="Times New Roman" w:cs="Times New Roman"/>
          <w:sz w:val="19"/>
          <w:szCs w:val="19"/>
          <w:lang w:eastAsia="en-CA"/>
        </w:rPr>
        <w:t xml:space="preserve">The Commission </w:t>
      </w:r>
      <w:proofErr w:type="spellStart"/>
      <w:r w:rsidRPr="00B5725B">
        <w:rPr>
          <w:rFonts w:eastAsia="Times New Roman" w:cs="Times New Roman"/>
          <w:sz w:val="19"/>
          <w:szCs w:val="19"/>
          <w:lang w:eastAsia="en-CA"/>
        </w:rPr>
        <w:t>scolaire</w:t>
      </w:r>
      <w:proofErr w:type="spellEnd"/>
      <w:r w:rsidRPr="00B5725B">
        <w:rPr>
          <w:rFonts w:eastAsia="Times New Roman" w:cs="Times New Roman"/>
          <w:sz w:val="19"/>
          <w:szCs w:val="19"/>
          <w:lang w:eastAsia="en-CA"/>
        </w:rPr>
        <w:t xml:space="preserve"> francophone du Yukon (“CSFY”) is the only school board in the Yukon Territory.  It operates the only French-language school in Yukon, </w:t>
      </w:r>
      <w:proofErr w:type="spellStart"/>
      <w:r w:rsidRPr="00B5725B">
        <w:rPr>
          <w:rFonts w:eastAsia="Times New Roman" w:cs="Times New Roman"/>
          <w:sz w:val="19"/>
          <w:szCs w:val="19"/>
          <w:lang w:eastAsia="en-CA"/>
        </w:rPr>
        <w:t>École</w:t>
      </w:r>
      <w:proofErr w:type="spellEnd"/>
      <w:r w:rsidRPr="00B5725B">
        <w:rPr>
          <w:rFonts w:eastAsia="Times New Roman" w:cs="Times New Roman"/>
          <w:sz w:val="19"/>
          <w:szCs w:val="19"/>
          <w:lang w:eastAsia="en-CA"/>
        </w:rPr>
        <w:t xml:space="preserve"> </w:t>
      </w:r>
      <w:proofErr w:type="spellStart"/>
      <w:r w:rsidRPr="00B5725B">
        <w:rPr>
          <w:rFonts w:eastAsia="Times New Roman" w:cs="Times New Roman"/>
          <w:sz w:val="19"/>
          <w:szCs w:val="19"/>
          <w:lang w:eastAsia="en-CA"/>
        </w:rPr>
        <w:t>Émilie</w:t>
      </w:r>
      <w:proofErr w:type="spellEnd"/>
      <w:r w:rsidRPr="00B5725B">
        <w:rPr>
          <w:rFonts w:eastAsia="Times New Roman" w:cs="Times New Roman"/>
          <w:sz w:val="19"/>
          <w:szCs w:val="19"/>
          <w:lang w:eastAsia="en-CA"/>
        </w:rPr>
        <w:t xml:space="preserve">-Tremblay in Whitehorse. CSFY brought an action against the Yukon government (“Yukon”) alleging that it had breached its obligations under s. 23 of the </w:t>
      </w:r>
      <w:r w:rsidRPr="00B5725B">
        <w:rPr>
          <w:rFonts w:eastAsia="Times New Roman" w:cs="Times New Roman"/>
          <w:i/>
          <w:sz w:val="19"/>
          <w:szCs w:val="19"/>
          <w:lang w:eastAsia="en-CA"/>
        </w:rPr>
        <w:t>Charter</w:t>
      </w:r>
      <w:r w:rsidRPr="00B5725B">
        <w:rPr>
          <w:rFonts w:eastAsia="Times New Roman" w:cs="Times New Roman"/>
          <w:sz w:val="19"/>
          <w:szCs w:val="19"/>
          <w:lang w:eastAsia="en-CA"/>
        </w:rPr>
        <w:t xml:space="preserve">, violated the </w:t>
      </w:r>
      <w:r w:rsidRPr="00B5725B">
        <w:rPr>
          <w:rFonts w:eastAsia="Times New Roman" w:cs="Times New Roman"/>
          <w:i/>
          <w:sz w:val="19"/>
          <w:szCs w:val="19"/>
          <w:lang w:eastAsia="en-CA"/>
        </w:rPr>
        <w:t>Languages Act</w:t>
      </w:r>
      <w:r w:rsidRPr="00B5725B">
        <w:rPr>
          <w:rFonts w:eastAsia="Times New Roman" w:cs="Times New Roman"/>
          <w:sz w:val="19"/>
          <w:szCs w:val="19"/>
          <w:lang w:eastAsia="en-CA"/>
        </w:rPr>
        <w:t xml:space="preserve">, R.S.Y. 2002, c. 133, and breached its fiduciary duties by reallocating funds earmarked for minority language education to French as a second language instruction.  There were a number of issues at the trial, and they touched nearly all aspects of French-language education in Yukon: the adequacy of school facilities, funding for certain teaching programs and CSFY’s power to control ancillary school services, such as school bus transportation.  CSFY’s power to establish admission criteria for the French-language school was also in issue, particularly its ability to admit the children of non-rights holders under s. 23 of the </w:t>
      </w:r>
      <w:r w:rsidRPr="00B5725B">
        <w:rPr>
          <w:rFonts w:eastAsia="Times New Roman" w:cs="Times New Roman"/>
          <w:i/>
          <w:sz w:val="19"/>
          <w:szCs w:val="19"/>
          <w:lang w:eastAsia="en-CA"/>
        </w:rPr>
        <w:t>Charter</w:t>
      </w:r>
      <w:r w:rsidRPr="00B5725B">
        <w:rPr>
          <w:rFonts w:eastAsia="Times New Roman" w:cs="Times New Roman"/>
          <w:sz w:val="19"/>
          <w:szCs w:val="19"/>
          <w:lang w:eastAsia="en-CA"/>
        </w:rPr>
        <w:t>.  The issues also encompassed relations between Yukon and CSFY, including budget administration and communications.  Finally, there was a claim for breach of fiduciary duty against Yukon alleging that the territorial government had arranged to reallocate federal funds earmarked for minority language education so that they were used instead for immersion programs.</w:t>
      </w:r>
    </w:p>
    <w:p w:rsidR="00B5725B" w:rsidRPr="00B5725B" w:rsidRDefault="00B5725B" w:rsidP="00B5725B">
      <w:pPr>
        <w:jc w:val="both"/>
        <w:rPr>
          <w:rFonts w:eastAsia="Times New Roman" w:cs="Times New Roman"/>
          <w:sz w:val="19"/>
          <w:szCs w:val="19"/>
          <w:lang w:eastAsia="en-CA"/>
        </w:rPr>
      </w:pPr>
    </w:p>
    <w:p w:rsidR="00B5725B" w:rsidRPr="00B5725B" w:rsidRDefault="00B5725B" w:rsidP="00B5725B">
      <w:pPr>
        <w:jc w:val="both"/>
        <w:rPr>
          <w:rFonts w:eastAsia="Times New Roman" w:cs="Times New Roman"/>
          <w:sz w:val="19"/>
          <w:szCs w:val="19"/>
          <w:lang w:eastAsia="en-CA"/>
        </w:rPr>
      </w:pPr>
      <w:r w:rsidRPr="00B5725B">
        <w:rPr>
          <w:rFonts w:eastAsia="Times New Roman" w:cs="Times New Roman"/>
          <w:sz w:val="19"/>
          <w:szCs w:val="19"/>
          <w:lang w:eastAsia="en-CA"/>
        </w:rPr>
        <w:t xml:space="preserve">On the first day of the trial, Yukon notified CSFY that the power to manage admissions to </w:t>
      </w:r>
      <w:proofErr w:type="spellStart"/>
      <w:r w:rsidRPr="00B5725B">
        <w:rPr>
          <w:rFonts w:eastAsia="Times New Roman" w:cs="Times New Roman"/>
          <w:sz w:val="19"/>
          <w:szCs w:val="19"/>
          <w:lang w:eastAsia="en-CA"/>
        </w:rPr>
        <w:t>École</w:t>
      </w:r>
      <w:proofErr w:type="spellEnd"/>
      <w:r w:rsidRPr="00B5725B">
        <w:rPr>
          <w:rFonts w:eastAsia="Times New Roman" w:cs="Times New Roman"/>
          <w:sz w:val="19"/>
          <w:szCs w:val="19"/>
          <w:lang w:eastAsia="en-CA"/>
        </w:rPr>
        <w:t> </w:t>
      </w:r>
      <w:proofErr w:type="spellStart"/>
      <w:r w:rsidRPr="00B5725B">
        <w:rPr>
          <w:rFonts w:eastAsia="Times New Roman" w:cs="Times New Roman"/>
          <w:sz w:val="19"/>
          <w:szCs w:val="19"/>
          <w:lang w:eastAsia="en-CA"/>
        </w:rPr>
        <w:t>Émilie</w:t>
      </w:r>
      <w:proofErr w:type="spellEnd"/>
      <w:r w:rsidRPr="00B5725B">
        <w:rPr>
          <w:rFonts w:eastAsia="Times New Roman" w:cs="Times New Roman"/>
          <w:sz w:val="19"/>
          <w:szCs w:val="19"/>
          <w:lang w:eastAsia="en-CA"/>
        </w:rPr>
        <w:t xml:space="preserve">-Tremblay was being taken away from it. CSFY had been exercising that power for some time.  Yukon informed CSFY that the territorial government would now implement s. 9 of the </w:t>
      </w:r>
      <w:r w:rsidRPr="00B5725B">
        <w:rPr>
          <w:rFonts w:eastAsia="Times New Roman" w:cs="Times New Roman"/>
          <w:i/>
          <w:sz w:val="19"/>
          <w:szCs w:val="19"/>
          <w:lang w:eastAsia="en-CA"/>
        </w:rPr>
        <w:t xml:space="preserve">French Language Instruction Regulation </w:t>
      </w:r>
      <w:r w:rsidRPr="00B5725B">
        <w:rPr>
          <w:rFonts w:eastAsia="Times New Roman" w:cs="Times New Roman"/>
          <w:sz w:val="19"/>
          <w:szCs w:val="19"/>
          <w:lang w:eastAsia="en-CA"/>
        </w:rPr>
        <w:t>made in 1996, which provides that “[o]</w:t>
      </w:r>
      <w:proofErr w:type="spellStart"/>
      <w:r w:rsidRPr="00B5725B">
        <w:rPr>
          <w:rFonts w:eastAsia="Times New Roman" w:cs="Times New Roman"/>
          <w:sz w:val="19"/>
          <w:szCs w:val="19"/>
          <w:lang w:eastAsia="en-CA"/>
        </w:rPr>
        <w:t>nly</w:t>
      </w:r>
      <w:proofErr w:type="spellEnd"/>
      <w:r w:rsidRPr="00B5725B">
        <w:rPr>
          <w:rFonts w:eastAsia="Times New Roman" w:cs="Times New Roman"/>
          <w:sz w:val="19"/>
          <w:szCs w:val="19"/>
          <w:lang w:eastAsia="en-CA"/>
        </w:rPr>
        <w:t xml:space="preserve"> eligible students shall be entitled to receive French language instruction”.  Also at the start of the trial, Yukon sought an adjournment of the trial on the basis that an important witness had fallen ill.  The judge denied the adjournment but agreed to bifurcate the trial so that the issues on which the witness was to give evidence would proceed at a later date.</w:t>
      </w:r>
    </w:p>
    <w:p w:rsidR="00B5725B" w:rsidRPr="00B5725B" w:rsidRDefault="00B5725B" w:rsidP="00B5725B">
      <w:pPr>
        <w:jc w:val="both"/>
        <w:rPr>
          <w:rFonts w:eastAsia="Times New Roman" w:cs="Times New Roman"/>
          <w:sz w:val="19"/>
          <w:szCs w:val="19"/>
          <w:lang w:eastAsia="en-CA"/>
        </w:rPr>
      </w:pPr>
    </w:p>
    <w:p w:rsidR="00B5725B" w:rsidRPr="00B5725B" w:rsidRDefault="00B5725B" w:rsidP="00B5725B">
      <w:pPr>
        <w:jc w:val="both"/>
        <w:rPr>
          <w:rFonts w:eastAsia="Times New Roman" w:cs="Times New Roman"/>
          <w:sz w:val="19"/>
          <w:szCs w:val="19"/>
          <w:lang w:eastAsia="en-CA"/>
        </w:rPr>
      </w:pPr>
      <w:r w:rsidRPr="00B5725B">
        <w:rPr>
          <w:rFonts w:eastAsia="Times New Roman" w:cs="Times New Roman"/>
          <w:sz w:val="19"/>
          <w:szCs w:val="19"/>
          <w:lang w:eastAsia="en-CA"/>
        </w:rPr>
        <w:t>The first phase of the trial lasted six weeks.  During that phase, the judge granted an interlocutory injunction requiring Yukon to maintain CSFY’s current budget for the duration of the trial.  Shortly after the judge adjourned the trial until the start of the second phase, Yukon filed a recusal application alleging that the judge’s conduct during the first phase of the trial, the interim orders made by him and his personal background gave rise to a reasonable apprehension of bias.  The judge dismissed the application and the second phase of the trial continued.</w:t>
      </w:r>
    </w:p>
    <w:p w:rsidR="00B5725B" w:rsidRPr="00B5725B" w:rsidRDefault="00B5725B" w:rsidP="00B5725B">
      <w:pPr>
        <w:widowControl w:val="0"/>
        <w:jc w:val="both"/>
        <w:rPr>
          <w:rFonts w:eastAsia="Times New Roman" w:cs="Times New Roman"/>
          <w:sz w:val="19"/>
          <w:szCs w:val="19"/>
          <w:lang w:eastAsia="en-CA"/>
        </w:rPr>
      </w:pPr>
    </w:p>
    <w:p w:rsidR="00B5725B" w:rsidRPr="00B5725B" w:rsidRDefault="00B5725B" w:rsidP="00B5725B">
      <w:pPr>
        <w:widowControl w:val="0"/>
        <w:jc w:val="both"/>
        <w:rPr>
          <w:rFonts w:eastAsia="Times New Roman" w:cs="Times New Roman"/>
          <w:sz w:val="19"/>
          <w:szCs w:val="19"/>
          <w:lang w:eastAsia="en-CA"/>
        </w:rPr>
      </w:pPr>
    </w:p>
    <w:p w:rsidR="00B5725B" w:rsidRPr="00B5725B" w:rsidRDefault="00B5725B" w:rsidP="00B5725B">
      <w:pPr>
        <w:widowControl w:val="0"/>
        <w:ind w:left="2880" w:hanging="2880"/>
        <w:jc w:val="both"/>
        <w:rPr>
          <w:rFonts w:eastAsia="Times New Roman" w:cs="Times New Roman"/>
          <w:sz w:val="19"/>
          <w:szCs w:val="19"/>
          <w:lang w:eastAsia="en-CA"/>
        </w:rPr>
      </w:pPr>
      <w:r w:rsidRPr="00B5725B">
        <w:rPr>
          <w:rFonts w:eastAsia="Times New Roman" w:cs="Times New Roman"/>
          <w:sz w:val="19"/>
          <w:szCs w:val="19"/>
          <w:lang w:eastAsia="en-CA"/>
        </w:rPr>
        <w:t>Origin of the case:</w:t>
      </w:r>
      <w:r w:rsidRPr="00B5725B">
        <w:rPr>
          <w:rFonts w:eastAsia="Times New Roman" w:cs="Times New Roman"/>
          <w:sz w:val="19"/>
          <w:szCs w:val="19"/>
          <w:lang w:eastAsia="en-CA"/>
        </w:rPr>
        <w:tab/>
        <w:t>Yukon</w:t>
      </w:r>
    </w:p>
    <w:p w:rsidR="00B5725B" w:rsidRPr="00B5725B" w:rsidRDefault="00B5725B" w:rsidP="00B5725B">
      <w:pPr>
        <w:widowControl w:val="0"/>
        <w:ind w:left="2880" w:hanging="2880"/>
        <w:jc w:val="both"/>
        <w:rPr>
          <w:rFonts w:eastAsia="Times New Roman" w:cs="Times New Roman"/>
          <w:sz w:val="19"/>
          <w:szCs w:val="19"/>
          <w:lang w:eastAsia="en-CA"/>
        </w:rPr>
      </w:pPr>
    </w:p>
    <w:p w:rsidR="00B5725B" w:rsidRPr="00B5725B" w:rsidRDefault="00B5725B" w:rsidP="00B5725B">
      <w:pPr>
        <w:widowControl w:val="0"/>
        <w:ind w:left="2880" w:hanging="2880"/>
        <w:jc w:val="both"/>
        <w:rPr>
          <w:rFonts w:eastAsia="Times New Roman" w:cs="Times New Roman"/>
          <w:sz w:val="19"/>
          <w:szCs w:val="19"/>
          <w:lang w:eastAsia="en-CA"/>
        </w:rPr>
      </w:pPr>
      <w:r w:rsidRPr="00B5725B">
        <w:rPr>
          <w:rFonts w:eastAsia="Times New Roman" w:cs="Times New Roman"/>
          <w:sz w:val="19"/>
          <w:szCs w:val="19"/>
          <w:lang w:eastAsia="en-CA"/>
        </w:rPr>
        <w:t>File No.:</w:t>
      </w:r>
      <w:r w:rsidRPr="00B5725B">
        <w:rPr>
          <w:rFonts w:eastAsia="Times New Roman" w:cs="Times New Roman"/>
          <w:sz w:val="19"/>
          <w:szCs w:val="19"/>
          <w:lang w:eastAsia="en-CA"/>
        </w:rPr>
        <w:tab/>
        <w:t>35823</w:t>
      </w:r>
    </w:p>
    <w:p w:rsidR="00B5725B" w:rsidRPr="00B5725B" w:rsidRDefault="00B5725B" w:rsidP="00B5725B">
      <w:pPr>
        <w:widowControl w:val="0"/>
        <w:ind w:left="2880" w:hanging="2880"/>
        <w:jc w:val="both"/>
        <w:rPr>
          <w:rFonts w:eastAsia="Times New Roman" w:cs="Times New Roman"/>
          <w:sz w:val="19"/>
          <w:szCs w:val="19"/>
          <w:lang w:eastAsia="en-CA"/>
        </w:rPr>
      </w:pPr>
    </w:p>
    <w:p w:rsidR="00B5725B" w:rsidRPr="00B5725B" w:rsidRDefault="00B5725B" w:rsidP="00B5725B">
      <w:pPr>
        <w:widowControl w:val="0"/>
        <w:ind w:left="2880" w:hanging="2880"/>
        <w:jc w:val="both"/>
        <w:rPr>
          <w:rFonts w:eastAsia="Times New Roman" w:cs="Times New Roman"/>
          <w:sz w:val="19"/>
          <w:szCs w:val="19"/>
          <w:lang w:eastAsia="en-CA"/>
        </w:rPr>
      </w:pPr>
      <w:r w:rsidRPr="00B5725B">
        <w:rPr>
          <w:rFonts w:eastAsia="Times New Roman" w:cs="Times New Roman"/>
          <w:sz w:val="19"/>
          <w:szCs w:val="19"/>
          <w:lang w:eastAsia="en-CA"/>
        </w:rPr>
        <w:t>Judgment of the Court of Appeal:</w:t>
      </w:r>
      <w:r w:rsidRPr="00B5725B">
        <w:rPr>
          <w:rFonts w:eastAsia="Times New Roman" w:cs="Times New Roman"/>
          <w:sz w:val="19"/>
          <w:szCs w:val="19"/>
          <w:lang w:eastAsia="en-CA"/>
        </w:rPr>
        <w:tab/>
        <w:t>February 11, 2014</w:t>
      </w:r>
    </w:p>
    <w:p w:rsidR="00B5725B" w:rsidRPr="00B5725B" w:rsidRDefault="00B5725B" w:rsidP="00B5725B">
      <w:pPr>
        <w:widowControl w:val="0"/>
        <w:ind w:left="2880" w:hanging="2880"/>
        <w:jc w:val="both"/>
        <w:rPr>
          <w:rFonts w:eastAsia="Times New Roman" w:cs="Times New Roman"/>
          <w:sz w:val="19"/>
          <w:szCs w:val="19"/>
          <w:lang w:eastAsia="en-CA"/>
        </w:rPr>
      </w:pPr>
    </w:p>
    <w:p w:rsidR="00B5725B" w:rsidRPr="00B5725B" w:rsidRDefault="00B5725B" w:rsidP="00B5725B">
      <w:pPr>
        <w:widowControl w:val="0"/>
        <w:ind w:left="2880" w:hanging="2880"/>
        <w:jc w:val="both"/>
        <w:rPr>
          <w:rFonts w:eastAsia="Times New Roman" w:cs="Times New Roman"/>
          <w:sz w:val="19"/>
          <w:szCs w:val="19"/>
          <w:lang w:eastAsia="en-CA"/>
        </w:rPr>
      </w:pPr>
      <w:r w:rsidRPr="00B5725B">
        <w:rPr>
          <w:rFonts w:eastAsia="Times New Roman" w:cs="Times New Roman"/>
          <w:sz w:val="19"/>
          <w:szCs w:val="19"/>
          <w:lang w:eastAsia="en-CA"/>
        </w:rPr>
        <w:t>Counsel:</w:t>
      </w:r>
      <w:r w:rsidRPr="00B5725B">
        <w:rPr>
          <w:rFonts w:eastAsia="Times New Roman" w:cs="Times New Roman"/>
          <w:sz w:val="19"/>
          <w:szCs w:val="19"/>
          <w:lang w:eastAsia="en-CA"/>
        </w:rPr>
        <w:tab/>
        <w:t xml:space="preserve">Roger J.F. </w:t>
      </w:r>
      <w:proofErr w:type="spellStart"/>
      <w:r w:rsidRPr="00B5725B">
        <w:rPr>
          <w:rFonts w:eastAsia="Times New Roman" w:cs="Times New Roman"/>
          <w:sz w:val="19"/>
          <w:szCs w:val="19"/>
          <w:lang w:eastAsia="en-CA"/>
        </w:rPr>
        <w:t>Lepage</w:t>
      </w:r>
      <w:proofErr w:type="spellEnd"/>
      <w:r w:rsidRPr="00B5725B">
        <w:rPr>
          <w:rFonts w:eastAsia="Times New Roman" w:cs="Times New Roman"/>
          <w:sz w:val="19"/>
          <w:szCs w:val="19"/>
          <w:lang w:eastAsia="en-CA"/>
        </w:rPr>
        <w:t xml:space="preserve"> and Francis P. </w:t>
      </w:r>
      <w:proofErr w:type="spellStart"/>
      <w:r w:rsidRPr="00B5725B">
        <w:rPr>
          <w:rFonts w:eastAsia="Times New Roman" w:cs="Times New Roman"/>
          <w:sz w:val="19"/>
          <w:szCs w:val="19"/>
          <w:lang w:eastAsia="en-CA"/>
        </w:rPr>
        <w:t>Poulin</w:t>
      </w:r>
      <w:proofErr w:type="spellEnd"/>
      <w:r w:rsidRPr="00B5725B">
        <w:rPr>
          <w:rFonts w:eastAsia="Times New Roman" w:cs="Times New Roman"/>
          <w:sz w:val="19"/>
          <w:szCs w:val="19"/>
          <w:lang w:eastAsia="en-CA"/>
        </w:rPr>
        <w:t xml:space="preserve"> for the appellant</w:t>
      </w:r>
    </w:p>
    <w:p w:rsidR="00B5725B" w:rsidRPr="00B5725B" w:rsidRDefault="00B5725B" w:rsidP="00B5725B">
      <w:pPr>
        <w:widowControl w:val="0"/>
        <w:ind w:left="2880" w:hanging="2880"/>
        <w:jc w:val="both"/>
        <w:rPr>
          <w:rFonts w:eastAsia="Times New Roman" w:cs="Times New Roman"/>
          <w:sz w:val="19"/>
          <w:szCs w:val="19"/>
          <w:lang w:eastAsia="en-CA"/>
        </w:rPr>
      </w:pPr>
      <w:r w:rsidRPr="00B5725B">
        <w:rPr>
          <w:rFonts w:eastAsia="Times New Roman" w:cs="Times New Roman"/>
          <w:sz w:val="19"/>
          <w:szCs w:val="19"/>
          <w:lang w:eastAsia="en-CA"/>
        </w:rPr>
        <w:tab/>
      </w:r>
      <w:proofErr w:type="spellStart"/>
      <w:r w:rsidRPr="00B5725B">
        <w:rPr>
          <w:rFonts w:eastAsia="Times New Roman" w:cs="Times New Roman"/>
          <w:sz w:val="19"/>
          <w:szCs w:val="19"/>
          <w:lang w:eastAsia="en-CA"/>
        </w:rPr>
        <w:t>Maxime</w:t>
      </w:r>
      <w:proofErr w:type="spellEnd"/>
      <w:r w:rsidRPr="00B5725B">
        <w:rPr>
          <w:rFonts w:eastAsia="Times New Roman" w:cs="Times New Roman"/>
          <w:sz w:val="19"/>
          <w:szCs w:val="19"/>
          <w:lang w:eastAsia="en-CA"/>
        </w:rPr>
        <w:t xml:space="preserve"> Faille, François </w:t>
      </w:r>
      <w:proofErr w:type="spellStart"/>
      <w:r w:rsidRPr="00B5725B">
        <w:rPr>
          <w:rFonts w:eastAsia="Times New Roman" w:cs="Times New Roman"/>
          <w:sz w:val="19"/>
          <w:szCs w:val="19"/>
          <w:lang w:eastAsia="en-CA"/>
        </w:rPr>
        <w:t>Baril</w:t>
      </w:r>
      <w:proofErr w:type="spellEnd"/>
      <w:r w:rsidRPr="00B5725B">
        <w:rPr>
          <w:rFonts w:eastAsia="Times New Roman" w:cs="Times New Roman"/>
          <w:sz w:val="19"/>
          <w:szCs w:val="19"/>
          <w:lang w:eastAsia="en-CA"/>
        </w:rPr>
        <w:t xml:space="preserve"> and Guy </w:t>
      </w:r>
      <w:proofErr w:type="spellStart"/>
      <w:r w:rsidRPr="00B5725B">
        <w:rPr>
          <w:rFonts w:eastAsia="Times New Roman" w:cs="Times New Roman"/>
          <w:sz w:val="19"/>
          <w:szCs w:val="19"/>
          <w:lang w:eastAsia="en-CA"/>
        </w:rPr>
        <w:t>Régimbald</w:t>
      </w:r>
      <w:proofErr w:type="spellEnd"/>
      <w:r w:rsidRPr="00B5725B">
        <w:rPr>
          <w:rFonts w:eastAsia="Times New Roman" w:cs="Times New Roman"/>
          <w:sz w:val="19"/>
          <w:szCs w:val="19"/>
          <w:lang w:eastAsia="en-CA"/>
        </w:rPr>
        <w:t xml:space="preserve"> for the respondent</w:t>
      </w:r>
    </w:p>
    <w:p w:rsidR="00CC3535" w:rsidRPr="00B5725B" w:rsidRDefault="00CC3535" w:rsidP="00CC3535">
      <w:pPr>
        <w:tabs>
          <w:tab w:val="left" w:pos="-1440"/>
          <w:tab w:val="left" w:pos="-720"/>
        </w:tabs>
        <w:jc w:val="both"/>
        <w:rPr>
          <w:sz w:val="19"/>
          <w:szCs w:val="19"/>
        </w:rPr>
      </w:pPr>
    </w:p>
    <w:p w:rsidR="00CC3535" w:rsidRDefault="007871B3" w:rsidP="00CC3535">
      <w:pPr>
        <w:tabs>
          <w:tab w:val="left" w:pos="-1440"/>
          <w:tab w:val="left" w:pos="-720"/>
        </w:tabs>
        <w:jc w:val="both"/>
        <w:rPr>
          <w:sz w:val="20"/>
          <w:szCs w:val="20"/>
          <w:lang w:val="fr-CA"/>
        </w:rPr>
      </w:pPr>
      <w:r>
        <w:rPr>
          <w:sz w:val="20"/>
          <w:szCs w:val="20"/>
          <w:lang w:val="fr-CA"/>
        </w:rPr>
        <w:pict>
          <v:rect id="_x0000_i1097"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B5725B" w:rsidRPr="00F07569" w:rsidRDefault="00B5725B" w:rsidP="00B5725B">
      <w:pPr>
        <w:ind w:left="720" w:hanging="720"/>
        <w:rPr>
          <w:sz w:val="19"/>
          <w:szCs w:val="19"/>
          <w:lang w:val="fr-CA"/>
        </w:rPr>
      </w:pPr>
      <w:r w:rsidRPr="00F07569">
        <w:rPr>
          <w:b/>
          <w:sz w:val="19"/>
          <w:szCs w:val="19"/>
          <w:lang w:val="fr-CA"/>
        </w:rPr>
        <w:lastRenderedPageBreak/>
        <w:t>35823</w:t>
      </w:r>
      <w:r w:rsidR="00BD696F" w:rsidRPr="00F07569">
        <w:rPr>
          <w:sz w:val="19"/>
          <w:szCs w:val="19"/>
          <w:lang w:val="fr-CA"/>
        </w:rPr>
        <w:fldChar w:fldCharType="begin"/>
      </w:r>
      <w:r w:rsidRPr="00F07569">
        <w:rPr>
          <w:sz w:val="19"/>
          <w:szCs w:val="19"/>
          <w:lang w:val="fr-CA"/>
        </w:rPr>
        <w:instrText xml:space="preserve"> SEQ CHAPTER \h \r 1</w:instrText>
      </w:r>
      <w:r w:rsidR="00BD696F" w:rsidRPr="00F07569">
        <w:rPr>
          <w:sz w:val="19"/>
          <w:szCs w:val="19"/>
        </w:rPr>
        <w:fldChar w:fldCharType="end"/>
      </w:r>
      <w:r w:rsidRPr="00F07569">
        <w:rPr>
          <w:sz w:val="19"/>
          <w:szCs w:val="19"/>
          <w:lang w:val="fr-CA"/>
        </w:rPr>
        <w:tab/>
      </w:r>
      <w:r w:rsidRPr="00F07569">
        <w:rPr>
          <w:b/>
          <w:i/>
          <w:sz w:val="19"/>
          <w:szCs w:val="19"/>
          <w:lang w:val="fr-CA"/>
        </w:rPr>
        <w:t>Commission scolaire francophone du Yukon, district scolaire #23 c. Procureur général du Territoire du Yukon</w:t>
      </w:r>
    </w:p>
    <w:p w:rsidR="00B5725B" w:rsidRPr="00F07569" w:rsidRDefault="00B5725B" w:rsidP="00B5725B">
      <w:pPr>
        <w:widowControl w:val="0"/>
        <w:jc w:val="both"/>
        <w:rPr>
          <w:sz w:val="19"/>
          <w:szCs w:val="19"/>
          <w:lang w:val="fr-CA"/>
        </w:rPr>
      </w:pPr>
    </w:p>
    <w:p w:rsidR="00B5725B" w:rsidRPr="00F07569" w:rsidRDefault="00B5725B" w:rsidP="00B5725B">
      <w:pPr>
        <w:widowControl w:val="0"/>
        <w:jc w:val="both"/>
        <w:rPr>
          <w:smallCaps/>
          <w:sz w:val="19"/>
          <w:szCs w:val="19"/>
          <w:lang w:val="fr-CA"/>
        </w:rPr>
      </w:pPr>
      <w:r w:rsidRPr="00F07569">
        <w:rPr>
          <w:smallCaps/>
          <w:sz w:val="19"/>
          <w:szCs w:val="19"/>
          <w:lang w:val="fr-CA"/>
        </w:rPr>
        <w:t>Ordonnance de non-publication dans le dossier</w:t>
      </w:r>
    </w:p>
    <w:p w:rsidR="00B5725B" w:rsidRPr="00F07569" w:rsidRDefault="00B5725B" w:rsidP="00B5725B">
      <w:pPr>
        <w:widowControl w:val="0"/>
        <w:jc w:val="both"/>
        <w:rPr>
          <w:sz w:val="19"/>
          <w:szCs w:val="19"/>
          <w:lang w:val="fr-CA"/>
        </w:rPr>
      </w:pPr>
    </w:p>
    <w:p w:rsidR="00206393" w:rsidRPr="00F07569" w:rsidRDefault="00206393" w:rsidP="00206393">
      <w:pPr>
        <w:jc w:val="both"/>
        <w:rPr>
          <w:sz w:val="19"/>
          <w:szCs w:val="19"/>
          <w:lang w:val="fr-FR"/>
        </w:rPr>
      </w:pPr>
      <w:r w:rsidRPr="00F07569">
        <w:rPr>
          <w:sz w:val="19"/>
          <w:szCs w:val="19"/>
          <w:lang w:val="fr-FR"/>
        </w:rPr>
        <w:t xml:space="preserve">Charte canadienne des droits - Langues officielles - Tribunaux - Juges - Partialité - Droit de gestion relativement aux admissions aux écoles de la minorité francophone - Droit d’une commission scolaire d’obtenir des communications et services en français du gouvernement du Yukon - La Cour d’appel a-t-elle erré dans son application du test de crainte raisonnable de partialité et en concluant que le comportement du juge lors du procès et son implication auprès d’un organisme communautaire soulevaient une telle crainte? - La Cour d’appel a-t-elle erré en tranchant des questions relatives au droit de gestion des admissions et au droit de la commission scolaire de recevoir des services et communications en français malgré le fait qu’elle avait écarté les conclusions de fait du juge de première instance - Les articles 2, 5 et 9 du </w:t>
      </w:r>
      <w:r w:rsidRPr="00F07569">
        <w:rPr>
          <w:i/>
          <w:sz w:val="19"/>
          <w:szCs w:val="19"/>
          <w:lang w:val="fr-FR"/>
        </w:rPr>
        <w:t>Règlement sur l’instruction en français</w:t>
      </w:r>
      <w:r w:rsidRPr="00F07569">
        <w:rPr>
          <w:sz w:val="19"/>
          <w:szCs w:val="19"/>
          <w:lang w:val="fr-FR"/>
        </w:rPr>
        <w:t xml:space="preserve"> contreviennent-ils à l’art. 23 de la </w:t>
      </w:r>
      <w:r w:rsidRPr="00F07569">
        <w:rPr>
          <w:i/>
          <w:sz w:val="19"/>
          <w:szCs w:val="19"/>
          <w:lang w:val="fr-FR"/>
        </w:rPr>
        <w:t>Charte</w:t>
      </w:r>
      <w:r w:rsidRPr="00F07569">
        <w:rPr>
          <w:sz w:val="19"/>
          <w:szCs w:val="19"/>
          <w:lang w:val="fr-FR"/>
        </w:rPr>
        <w:t xml:space="preserve">? - Dans l’affirmative, s’agit-il d’une atteinte portée par une règle de droit dans des limites qui sont raisonnables et dont la justification peut se démontrer dans une société libre et démocratique suivant l’article premier de la </w:t>
      </w:r>
      <w:r w:rsidRPr="00F07569">
        <w:rPr>
          <w:i/>
          <w:sz w:val="19"/>
          <w:szCs w:val="19"/>
          <w:lang w:val="fr-FR"/>
        </w:rPr>
        <w:t>Charte</w:t>
      </w:r>
      <w:r w:rsidRPr="00F07569">
        <w:rPr>
          <w:sz w:val="19"/>
          <w:szCs w:val="19"/>
          <w:lang w:val="fr-FR"/>
        </w:rPr>
        <w:t xml:space="preserve">? - </w:t>
      </w:r>
      <w:r w:rsidRPr="00F07569">
        <w:rPr>
          <w:i/>
          <w:sz w:val="19"/>
          <w:szCs w:val="19"/>
          <w:lang w:val="fr-FR"/>
        </w:rPr>
        <w:t>Règlement sur l’instruction en français</w:t>
      </w:r>
      <w:r w:rsidRPr="00F07569">
        <w:rPr>
          <w:sz w:val="19"/>
          <w:szCs w:val="19"/>
          <w:lang w:val="fr-FR"/>
        </w:rPr>
        <w:t xml:space="preserve">, YD 1996/099 - </w:t>
      </w:r>
      <w:r w:rsidRPr="00F07569">
        <w:rPr>
          <w:i/>
          <w:sz w:val="19"/>
          <w:szCs w:val="19"/>
          <w:lang w:val="fr-FR"/>
        </w:rPr>
        <w:t>Charte canadienne des droits et libertés</w:t>
      </w:r>
      <w:r w:rsidRPr="00F07569">
        <w:rPr>
          <w:sz w:val="19"/>
          <w:szCs w:val="19"/>
          <w:lang w:val="fr-FR"/>
        </w:rPr>
        <w:t xml:space="preserve">, art. 23 - </w:t>
      </w:r>
      <w:r w:rsidRPr="00F07569">
        <w:rPr>
          <w:i/>
          <w:sz w:val="19"/>
          <w:szCs w:val="19"/>
          <w:lang w:val="fr-FR"/>
        </w:rPr>
        <w:t>Loi sur les langues</w:t>
      </w:r>
      <w:r w:rsidRPr="00F07569">
        <w:rPr>
          <w:sz w:val="19"/>
          <w:szCs w:val="19"/>
          <w:lang w:val="fr-FR"/>
        </w:rPr>
        <w:t>, L.R.Y. 2002, ch. 133, art. 6 et 9.</w:t>
      </w:r>
    </w:p>
    <w:p w:rsidR="00B5725B" w:rsidRPr="00F07569" w:rsidRDefault="00B5725B" w:rsidP="00B5725B">
      <w:pPr>
        <w:widowControl w:val="0"/>
        <w:jc w:val="both"/>
        <w:rPr>
          <w:sz w:val="19"/>
          <w:szCs w:val="19"/>
          <w:lang w:val="fr-FR"/>
        </w:rPr>
      </w:pPr>
    </w:p>
    <w:p w:rsidR="00B5725B" w:rsidRPr="00F07569" w:rsidRDefault="00B5725B" w:rsidP="00B5725B">
      <w:pPr>
        <w:jc w:val="both"/>
        <w:rPr>
          <w:sz w:val="19"/>
          <w:szCs w:val="19"/>
          <w:lang w:val="fr-FR"/>
        </w:rPr>
      </w:pPr>
      <w:r w:rsidRPr="00F07569">
        <w:rPr>
          <w:sz w:val="19"/>
          <w:szCs w:val="19"/>
          <w:lang w:val="fr-FR"/>
        </w:rPr>
        <w:t xml:space="preserve">La Commission scolaire francophone du Yukon (« la CSFY ») est la seule commission scolaire du territoire du Yukon.  Elle opère la seule école francophone au Yukon, l’École Émilie-Tremblay à Whitehorse.  La CSFY a intenté une action contre le gouvernement du Yukon (« le Yukon ») alléguant que le gouvernement avait manqué à ses obligations découlant de l’art. 23 de la </w:t>
      </w:r>
      <w:r w:rsidRPr="00F07569">
        <w:rPr>
          <w:i/>
          <w:sz w:val="19"/>
          <w:szCs w:val="19"/>
          <w:lang w:val="fr-FR"/>
        </w:rPr>
        <w:t>Charte</w:t>
      </w:r>
      <w:r w:rsidRPr="00F07569">
        <w:rPr>
          <w:sz w:val="19"/>
          <w:szCs w:val="19"/>
          <w:lang w:val="fr-FR"/>
        </w:rPr>
        <w:t xml:space="preserve">, avait violé la </w:t>
      </w:r>
      <w:r w:rsidRPr="00F07569">
        <w:rPr>
          <w:i/>
          <w:sz w:val="19"/>
          <w:szCs w:val="19"/>
          <w:lang w:val="fr-FR"/>
        </w:rPr>
        <w:t>Loi sur les langues</w:t>
      </w:r>
      <w:r w:rsidRPr="00F07569">
        <w:rPr>
          <w:sz w:val="19"/>
          <w:szCs w:val="19"/>
          <w:lang w:val="fr-FR"/>
        </w:rPr>
        <w:t xml:space="preserve">, L.R.Y. 2002, ch. 133 et avait violé ses obligations fiduciaires en réaffectant à l’enseignement du français langue seconde des fonds réservés à l’enseignement dans la langue de la minorité.  Plusieurs questions étaient en litige dans le cadre du procès, couvrant à peu près tous les aspects de l’instruction en français au Yukon : la suffisance des installations scolaires, le financement de certains programmes d’enseignement et le pouvoir de la CSFY de contrôler des services scolaires connexes tel que le transport scolaire.  Le pouvoir de la CSFY d’établir les critères d’admission à l’école de langue française était également en cause, en particulier son habileté d’admettre, en vertu de l’art. 23 de la </w:t>
      </w:r>
      <w:r w:rsidRPr="00F07569">
        <w:rPr>
          <w:i/>
          <w:sz w:val="19"/>
          <w:szCs w:val="19"/>
          <w:lang w:val="fr-FR"/>
        </w:rPr>
        <w:t>Charte</w:t>
      </w:r>
      <w:r w:rsidRPr="00F07569">
        <w:rPr>
          <w:sz w:val="19"/>
          <w:szCs w:val="19"/>
          <w:lang w:val="fr-FR"/>
        </w:rPr>
        <w:t>, les enfants de non-ayants droit.  Les questions en litige portaient également sur les relations entre le Yukon et la CSFY, y compris l’administration budgétaire et les communications.  Enfin, on alléguait que le Yukon avait manqué à son obligation fiduciaire au motif que le gouvernement territorial aurait fait en sorte que des fonds fédéraux réservés à l’instruction dans la langue de la minorité aient été réaffectés à des programmes d’immersion.</w:t>
      </w:r>
    </w:p>
    <w:p w:rsidR="00B5725B" w:rsidRPr="00F07569" w:rsidRDefault="00B5725B" w:rsidP="00B5725B">
      <w:pPr>
        <w:jc w:val="both"/>
        <w:rPr>
          <w:sz w:val="19"/>
          <w:szCs w:val="19"/>
          <w:lang w:val="fr-FR"/>
        </w:rPr>
      </w:pPr>
    </w:p>
    <w:p w:rsidR="00B5725B" w:rsidRPr="00F07569" w:rsidRDefault="00B5725B" w:rsidP="00B5725B">
      <w:pPr>
        <w:jc w:val="both"/>
        <w:rPr>
          <w:sz w:val="19"/>
          <w:szCs w:val="19"/>
          <w:lang w:val="fr-FR"/>
        </w:rPr>
      </w:pPr>
      <w:r w:rsidRPr="00F07569">
        <w:rPr>
          <w:sz w:val="19"/>
          <w:szCs w:val="19"/>
          <w:lang w:val="fr-FR"/>
        </w:rPr>
        <w:t xml:space="preserve">La première journée du procès, le Yukon avise la CSFY qu’on lui retirait le pouvoir de gérer les admissions à l’École Émilie-Tremblay, pouvoirs que la CSFY exerçait depuis un certain temps.  Le Yukon a informé la CSFY que le gouvernement territorial allait désormais mettre en application l’article 9 du </w:t>
      </w:r>
      <w:r w:rsidRPr="00F07569">
        <w:rPr>
          <w:i/>
          <w:sz w:val="19"/>
          <w:szCs w:val="19"/>
          <w:lang w:val="fr-FR"/>
        </w:rPr>
        <w:t xml:space="preserve">Règlement sur l’instruction en français </w:t>
      </w:r>
      <w:r w:rsidRPr="00F07569">
        <w:rPr>
          <w:sz w:val="19"/>
          <w:szCs w:val="19"/>
          <w:lang w:val="fr-FR"/>
        </w:rPr>
        <w:t xml:space="preserve">décrété en 1996 et qui prévoit que « seuls les élèves admissibles ont le droit de recevoir une instruction en français ».  Également au début du procès, le Yukon demande l’ajournement du procès au motif qu’un témoin important est tombé malade.  Le juge refuse l’ajournement en acceptant toutefois de scinder le procès et de remettre à plus tard l’audition des questions devant faire l’objet du témoignage de ce témoin.  </w:t>
      </w:r>
    </w:p>
    <w:p w:rsidR="00B5725B" w:rsidRPr="00F07569" w:rsidRDefault="00B5725B" w:rsidP="00B5725B">
      <w:pPr>
        <w:jc w:val="both"/>
        <w:rPr>
          <w:sz w:val="19"/>
          <w:szCs w:val="19"/>
          <w:lang w:val="fr-FR"/>
        </w:rPr>
      </w:pPr>
    </w:p>
    <w:p w:rsidR="00B5725B" w:rsidRPr="00F07569" w:rsidRDefault="00B5725B" w:rsidP="00B5725B">
      <w:pPr>
        <w:jc w:val="both"/>
        <w:rPr>
          <w:sz w:val="19"/>
          <w:szCs w:val="19"/>
          <w:lang w:val="fr-FR"/>
        </w:rPr>
      </w:pPr>
      <w:r w:rsidRPr="00F07569">
        <w:rPr>
          <w:sz w:val="19"/>
          <w:szCs w:val="19"/>
          <w:lang w:val="fr-FR"/>
        </w:rPr>
        <w:t xml:space="preserve">La première phase du procès dure six semaines.  Dans le cadre de cette phase du procès, le juge émet une injonction interlocutoire visant le Yukon, l’obligeant de maintenir le budget actuel de la CSFY pendant la durée du procès.  Peu après que le juge eut ajourné le procès en attente du début de la deuxième phase du procès, le Yukon dépose une requête en récusation alléguant que le comportement du juge lors de la première phase du procès, les ordonnances provisoires rendues par lui ainsi que les antécédents personnels de celui-ci suscitaient une crainte raisonnable de partialité.  Le juge rejette la requête et le deuxième volet du procès se poursuit. </w:t>
      </w:r>
    </w:p>
    <w:p w:rsidR="00B5725B" w:rsidRPr="00F07569" w:rsidRDefault="00B5725B" w:rsidP="00B5725B">
      <w:pPr>
        <w:widowControl w:val="0"/>
        <w:jc w:val="both"/>
        <w:rPr>
          <w:sz w:val="19"/>
          <w:szCs w:val="19"/>
          <w:lang w:val="fr-FR"/>
        </w:rPr>
      </w:pPr>
    </w:p>
    <w:p w:rsidR="00B5725B" w:rsidRPr="00F07569" w:rsidRDefault="00B5725B" w:rsidP="00B5725B">
      <w:pPr>
        <w:widowControl w:val="0"/>
        <w:jc w:val="both"/>
        <w:rPr>
          <w:sz w:val="19"/>
          <w:szCs w:val="19"/>
          <w:lang w:val="fr-CA"/>
        </w:rPr>
      </w:pPr>
    </w:p>
    <w:p w:rsidR="00B5725B" w:rsidRPr="00F07569" w:rsidRDefault="00B5725B" w:rsidP="00B5725B">
      <w:pPr>
        <w:widowControl w:val="0"/>
        <w:ind w:left="2880" w:hanging="2880"/>
        <w:jc w:val="both"/>
        <w:rPr>
          <w:sz w:val="19"/>
          <w:szCs w:val="19"/>
          <w:lang w:val="fr-CA"/>
        </w:rPr>
      </w:pPr>
      <w:r w:rsidRPr="00F07569">
        <w:rPr>
          <w:sz w:val="19"/>
          <w:szCs w:val="19"/>
          <w:lang w:val="fr-CA"/>
        </w:rPr>
        <w:t>Origine:</w:t>
      </w:r>
      <w:r w:rsidRPr="00F07569">
        <w:rPr>
          <w:sz w:val="19"/>
          <w:szCs w:val="19"/>
          <w:lang w:val="fr-CA"/>
        </w:rPr>
        <w:tab/>
        <w:t>Yukon</w:t>
      </w:r>
    </w:p>
    <w:p w:rsidR="00B5725B" w:rsidRPr="00F07569" w:rsidRDefault="00B5725B" w:rsidP="00B5725B">
      <w:pPr>
        <w:widowControl w:val="0"/>
        <w:ind w:left="2880" w:hanging="2880"/>
        <w:jc w:val="both"/>
        <w:rPr>
          <w:sz w:val="19"/>
          <w:szCs w:val="19"/>
          <w:lang w:val="fr-CA"/>
        </w:rPr>
      </w:pPr>
    </w:p>
    <w:p w:rsidR="00B5725B" w:rsidRPr="00F07569" w:rsidRDefault="00B5725B" w:rsidP="00B5725B">
      <w:pPr>
        <w:widowControl w:val="0"/>
        <w:ind w:left="2880" w:hanging="2880"/>
        <w:jc w:val="both"/>
        <w:rPr>
          <w:sz w:val="19"/>
          <w:szCs w:val="19"/>
          <w:lang w:val="fr-CA"/>
        </w:rPr>
      </w:pPr>
      <w:r w:rsidRPr="00F07569">
        <w:rPr>
          <w:sz w:val="19"/>
          <w:szCs w:val="19"/>
          <w:lang w:val="fr-CA"/>
        </w:rPr>
        <w:t>No du greffe:</w:t>
      </w:r>
      <w:r w:rsidRPr="00F07569">
        <w:rPr>
          <w:sz w:val="19"/>
          <w:szCs w:val="19"/>
          <w:lang w:val="fr-CA"/>
        </w:rPr>
        <w:tab/>
        <w:t>35823</w:t>
      </w:r>
    </w:p>
    <w:p w:rsidR="00B5725B" w:rsidRPr="00F07569" w:rsidRDefault="00B5725B" w:rsidP="00B5725B">
      <w:pPr>
        <w:widowControl w:val="0"/>
        <w:ind w:left="2880" w:hanging="2880"/>
        <w:jc w:val="both"/>
        <w:rPr>
          <w:sz w:val="19"/>
          <w:szCs w:val="19"/>
          <w:lang w:val="fr-CA"/>
        </w:rPr>
      </w:pPr>
    </w:p>
    <w:p w:rsidR="00B5725B" w:rsidRPr="00F07569" w:rsidRDefault="00B5725B" w:rsidP="00B5725B">
      <w:pPr>
        <w:widowControl w:val="0"/>
        <w:ind w:left="2880" w:hanging="2880"/>
        <w:jc w:val="both"/>
        <w:rPr>
          <w:sz w:val="19"/>
          <w:szCs w:val="19"/>
          <w:lang w:val="fr-CA"/>
        </w:rPr>
      </w:pPr>
      <w:r w:rsidRPr="00F07569">
        <w:rPr>
          <w:sz w:val="19"/>
          <w:szCs w:val="19"/>
          <w:lang w:val="fr-CA"/>
        </w:rPr>
        <w:t>Arrêt de la Cour d’appel:</w:t>
      </w:r>
      <w:r w:rsidRPr="00F07569">
        <w:rPr>
          <w:sz w:val="19"/>
          <w:szCs w:val="19"/>
          <w:lang w:val="fr-CA"/>
        </w:rPr>
        <w:tab/>
      </w:r>
      <w:r w:rsidR="00206393" w:rsidRPr="00F07569">
        <w:rPr>
          <w:sz w:val="19"/>
          <w:szCs w:val="19"/>
          <w:lang w:val="fr-CA"/>
        </w:rPr>
        <w:t>l</w:t>
      </w:r>
      <w:r w:rsidRPr="00F07569">
        <w:rPr>
          <w:sz w:val="19"/>
          <w:szCs w:val="19"/>
          <w:lang w:val="fr-CA"/>
        </w:rPr>
        <w:t>e 11 février 2014</w:t>
      </w:r>
    </w:p>
    <w:p w:rsidR="00B5725B" w:rsidRPr="00F07569" w:rsidRDefault="00B5725B" w:rsidP="00B5725B">
      <w:pPr>
        <w:widowControl w:val="0"/>
        <w:ind w:left="2880" w:hanging="2880"/>
        <w:jc w:val="both"/>
        <w:rPr>
          <w:sz w:val="19"/>
          <w:szCs w:val="19"/>
          <w:lang w:val="fr-CA"/>
        </w:rPr>
      </w:pPr>
    </w:p>
    <w:p w:rsidR="00B5725B" w:rsidRPr="00F07569" w:rsidRDefault="00B5725B" w:rsidP="00B5725B">
      <w:pPr>
        <w:widowControl w:val="0"/>
        <w:ind w:left="2880" w:hanging="2880"/>
        <w:jc w:val="both"/>
        <w:rPr>
          <w:sz w:val="19"/>
          <w:szCs w:val="19"/>
          <w:lang w:val="fr-CA"/>
        </w:rPr>
      </w:pPr>
      <w:r w:rsidRPr="00F07569">
        <w:rPr>
          <w:sz w:val="19"/>
          <w:szCs w:val="19"/>
          <w:lang w:val="fr-CA"/>
        </w:rPr>
        <w:t>Avocats:</w:t>
      </w:r>
      <w:r w:rsidRPr="00F07569">
        <w:rPr>
          <w:sz w:val="19"/>
          <w:szCs w:val="19"/>
          <w:lang w:val="fr-CA"/>
        </w:rPr>
        <w:tab/>
        <w:t>Roger J.F. Lepage et Francis P. Poulin pour l’appelante</w:t>
      </w:r>
    </w:p>
    <w:p w:rsidR="00B5725B" w:rsidRPr="00F07569" w:rsidRDefault="00B5725B" w:rsidP="00B5725B">
      <w:pPr>
        <w:widowControl w:val="0"/>
        <w:ind w:left="2880" w:hanging="2880"/>
        <w:jc w:val="both"/>
        <w:rPr>
          <w:sz w:val="19"/>
          <w:szCs w:val="19"/>
          <w:lang w:val="fr-CA"/>
        </w:rPr>
      </w:pPr>
      <w:r w:rsidRPr="00F07569">
        <w:rPr>
          <w:sz w:val="19"/>
          <w:szCs w:val="19"/>
          <w:lang w:val="fr-CA"/>
        </w:rPr>
        <w:tab/>
        <w:t xml:space="preserve">Maxime Faille, François Baril et Guy </w:t>
      </w:r>
      <w:proofErr w:type="spellStart"/>
      <w:r w:rsidRPr="00F07569">
        <w:rPr>
          <w:sz w:val="19"/>
          <w:szCs w:val="19"/>
          <w:lang w:val="fr-CA"/>
        </w:rPr>
        <w:t>Régimbald</w:t>
      </w:r>
      <w:proofErr w:type="spellEnd"/>
      <w:r w:rsidRPr="00F07569">
        <w:rPr>
          <w:sz w:val="19"/>
          <w:szCs w:val="19"/>
          <w:lang w:val="fr-CA"/>
        </w:rPr>
        <w:t xml:space="preserve"> pour</w:t>
      </w:r>
      <w:r w:rsidR="00BE1468" w:rsidRPr="00F07569">
        <w:rPr>
          <w:sz w:val="19"/>
          <w:szCs w:val="19"/>
          <w:lang w:val="fr-CA"/>
        </w:rPr>
        <w:t xml:space="preserve"> </w:t>
      </w:r>
      <w:r w:rsidRPr="00F07569">
        <w:rPr>
          <w:sz w:val="19"/>
          <w:szCs w:val="19"/>
          <w:lang w:val="fr-CA"/>
        </w:rPr>
        <w:t>l’intimé</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CC3535" w:rsidRDefault="00CC3535">
      <w:pPr>
        <w:rPr>
          <w:sz w:val="20"/>
          <w:szCs w:val="20"/>
          <w:lang w:val="fr-CA"/>
        </w:rPr>
      </w:pPr>
      <w:r>
        <w:rPr>
          <w:sz w:val="20"/>
          <w:szCs w:val="20"/>
          <w:lang w:val="fr-CA"/>
        </w:rPr>
        <w:br w:type="page"/>
      </w:r>
    </w:p>
    <w:p w:rsidR="00347DB2" w:rsidRPr="001C2D14" w:rsidRDefault="00BD696F" w:rsidP="00347DB2">
      <w:pPr>
        <w:widowControl w:val="0"/>
        <w:ind w:left="720" w:hanging="720"/>
        <w:jc w:val="both"/>
        <w:rPr>
          <w:b/>
          <w:sz w:val="20"/>
          <w:szCs w:val="20"/>
        </w:rPr>
      </w:pPr>
      <w:r w:rsidRPr="001C2D14">
        <w:rPr>
          <w:b/>
          <w:sz w:val="20"/>
          <w:szCs w:val="20"/>
        </w:rPr>
        <w:lastRenderedPageBreak/>
        <w:fldChar w:fldCharType="begin"/>
      </w:r>
      <w:r w:rsidR="00347DB2" w:rsidRPr="001C2D14">
        <w:rPr>
          <w:b/>
          <w:sz w:val="20"/>
          <w:szCs w:val="20"/>
          <w:lang w:val="fr-CA"/>
        </w:rPr>
        <w:instrText xml:space="preserve"> SEQ CHAPTER \h \r 1</w:instrText>
      </w:r>
      <w:r w:rsidRPr="001C2D14">
        <w:rPr>
          <w:b/>
          <w:sz w:val="20"/>
          <w:szCs w:val="20"/>
        </w:rPr>
        <w:fldChar w:fldCharType="end"/>
      </w:r>
      <w:r w:rsidR="00347DB2" w:rsidRPr="001C2D14">
        <w:rPr>
          <w:b/>
          <w:sz w:val="20"/>
          <w:szCs w:val="20"/>
          <w:lang w:val="fr-CA"/>
        </w:rPr>
        <w:t>35625</w:t>
      </w:r>
      <w:r w:rsidR="00347DB2" w:rsidRPr="001C2D14">
        <w:rPr>
          <w:sz w:val="20"/>
          <w:szCs w:val="20"/>
          <w:lang w:val="fr-CA"/>
        </w:rPr>
        <w:tab/>
      </w:r>
      <w:r w:rsidR="00347DB2" w:rsidRPr="001C2D14">
        <w:rPr>
          <w:b/>
          <w:i/>
          <w:sz w:val="20"/>
          <w:szCs w:val="20"/>
          <w:lang w:val="fr-CA"/>
        </w:rPr>
        <w:t xml:space="preserve">Commission des droits de la personne et des droits de la jeunesse v. Bombardier Inc. </w:t>
      </w:r>
      <w:r w:rsidR="00347DB2" w:rsidRPr="001C2D14">
        <w:rPr>
          <w:b/>
          <w:i/>
          <w:sz w:val="20"/>
          <w:szCs w:val="20"/>
        </w:rPr>
        <w:t xml:space="preserve">(Bombardier Aerospace Training Center), </w:t>
      </w:r>
      <w:proofErr w:type="spellStart"/>
      <w:r w:rsidR="00347DB2" w:rsidRPr="001C2D14">
        <w:rPr>
          <w:b/>
          <w:i/>
          <w:sz w:val="20"/>
          <w:szCs w:val="20"/>
        </w:rPr>
        <w:t>Javed</w:t>
      </w:r>
      <w:proofErr w:type="spellEnd"/>
      <w:r w:rsidR="00347DB2" w:rsidRPr="001C2D14">
        <w:rPr>
          <w:b/>
          <w:i/>
          <w:sz w:val="20"/>
          <w:szCs w:val="20"/>
        </w:rPr>
        <w:t xml:space="preserve"> Latif</w:t>
      </w:r>
    </w:p>
    <w:p w:rsidR="00347DB2" w:rsidRPr="001C2D14" w:rsidRDefault="00347DB2" w:rsidP="00347DB2">
      <w:pPr>
        <w:widowControl w:val="0"/>
        <w:jc w:val="both"/>
        <w:rPr>
          <w:sz w:val="20"/>
          <w:szCs w:val="20"/>
        </w:rPr>
      </w:pPr>
    </w:p>
    <w:p w:rsidR="00347DB2" w:rsidRPr="001C2D14" w:rsidRDefault="00347DB2" w:rsidP="00347DB2">
      <w:pPr>
        <w:widowControl w:val="0"/>
        <w:jc w:val="both"/>
        <w:rPr>
          <w:sz w:val="20"/>
          <w:szCs w:val="20"/>
        </w:rPr>
      </w:pPr>
      <w:r w:rsidRPr="001C2D14">
        <w:rPr>
          <w:sz w:val="20"/>
          <w:szCs w:val="20"/>
        </w:rPr>
        <w:t xml:space="preserve">Human rights - Discrimination - Canadian pilot of Pakistani origin being denied training provided by Bombardier in Texas and Quebec after having been excluded by American authorities for security reasons that remained secret - Exclusion lifted and admission authorized four years later - Whether exclusion based automatically on foreign decision can be presumed discriminatory where there is plausible prohibited ground - Whether candidate excluded because of his ethic origin - Whether Court of Appeal erred in requiring proof of causal connection between ethnic origin and exclusion - Standard of review applicable to decision of Human Rights Tribunal - Whether prospective order within jurisdiction of Human Rights Tribunal - Whether punitive damages justified in this case - </w:t>
      </w:r>
      <w:r w:rsidRPr="001C2D14">
        <w:rPr>
          <w:i/>
          <w:sz w:val="20"/>
          <w:szCs w:val="20"/>
        </w:rPr>
        <w:t>Charter of human rights and freedoms</w:t>
      </w:r>
      <w:r w:rsidRPr="001C2D14">
        <w:rPr>
          <w:sz w:val="20"/>
          <w:szCs w:val="20"/>
        </w:rPr>
        <w:t>, R.S.Q., c. C-12, ss. 10, 12, 49.</w:t>
      </w:r>
    </w:p>
    <w:p w:rsidR="00347DB2" w:rsidRPr="001C2D14" w:rsidRDefault="00347DB2" w:rsidP="00347DB2">
      <w:pPr>
        <w:widowControl w:val="0"/>
        <w:jc w:val="both"/>
        <w:rPr>
          <w:sz w:val="20"/>
          <w:szCs w:val="20"/>
        </w:rPr>
      </w:pPr>
    </w:p>
    <w:p w:rsidR="00347DB2" w:rsidRPr="001C2D14" w:rsidRDefault="00347DB2" w:rsidP="00347DB2">
      <w:pPr>
        <w:widowControl w:val="0"/>
        <w:jc w:val="both"/>
        <w:rPr>
          <w:sz w:val="20"/>
          <w:szCs w:val="20"/>
        </w:rPr>
      </w:pPr>
      <w:r w:rsidRPr="001C2D14">
        <w:rPr>
          <w:sz w:val="20"/>
          <w:szCs w:val="20"/>
        </w:rPr>
        <w:t>Mr. Latif has been a Canadian citizen since 2001. His American and Canadian pilot’s licences are valid for life, but for each type of aircraft, recurrent specific training is required under either the Canadian or the American licence. Bombardier trains pilots in Montréal and Dallas. After being offered a job as pilot of a Challenger 604 aircraft in 2004, Mr. Latif applied to Bombardier to take the necessary training under the American licence. At the same time, he applied to the American authorities for a security check as required by the “Alien Flight Students Program”. In April 2004, when Mr. Latif had a reserved spot in the Dallas course that spring, the company received a notification of denial from the Department of Justice on the ground that Mr. Latif was a threat to aviation safety. The denial was maintained until August 2008, with the result that Mr. Latif had to change jobs on several occasions and was even unemployed for some time. Although he asked Bombardier to enrol him in the training in Montréal under the Canadian licence, Bombardier refused, saying that it was obliged to comply with the American decision.</w:t>
      </w:r>
    </w:p>
    <w:p w:rsidR="00347DB2" w:rsidRPr="001C2D14" w:rsidRDefault="00347DB2" w:rsidP="00347DB2">
      <w:pPr>
        <w:widowControl w:val="0"/>
        <w:jc w:val="both"/>
        <w:rPr>
          <w:sz w:val="20"/>
          <w:szCs w:val="20"/>
        </w:rPr>
      </w:pPr>
    </w:p>
    <w:p w:rsidR="00347DB2" w:rsidRPr="001C2D14" w:rsidRDefault="00347DB2" w:rsidP="00347DB2">
      <w:pPr>
        <w:widowControl w:val="0"/>
        <w:jc w:val="both"/>
        <w:rPr>
          <w:sz w:val="20"/>
          <w:szCs w:val="20"/>
        </w:rPr>
      </w:pPr>
    </w:p>
    <w:p w:rsidR="00347DB2" w:rsidRPr="001C2D14" w:rsidRDefault="00347DB2" w:rsidP="00347DB2">
      <w:pPr>
        <w:widowControl w:val="0"/>
        <w:ind w:left="2880" w:hanging="2880"/>
        <w:jc w:val="both"/>
        <w:rPr>
          <w:sz w:val="20"/>
          <w:szCs w:val="20"/>
        </w:rPr>
      </w:pPr>
      <w:r w:rsidRPr="001C2D14">
        <w:rPr>
          <w:sz w:val="20"/>
          <w:szCs w:val="20"/>
        </w:rPr>
        <w:t>Origin of the case:</w:t>
      </w:r>
      <w:r w:rsidRPr="001C2D14">
        <w:rPr>
          <w:sz w:val="20"/>
          <w:szCs w:val="20"/>
        </w:rPr>
        <w:tab/>
        <w:t>Quebec</w:t>
      </w:r>
    </w:p>
    <w:p w:rsidR="00347DB2" w:rsidRPr="001C2D14" w:rsidRDefault="00347DB2" w:rsidP="00347DB2">
      <w:pPr>
        <w:widowControl w:val="0"/>
        <w:ind w:left="2880" w:hanging="2880"/>
        <w:jc w:val="both"/>
        <w:rPr>
          <w:sz w:val="20"/>
          <w:szCs w:val="20"/>
        </w:rPr>
      </w:pPr>
    </w:p>
    <w:p w:rsidR="00347DB2" w:rsidRPr="001C2D14" w:rsidRDefault="00347DB2" w:rsidP="00347DB2">
      <w:pPr>
        <w:widowControl w:val="0"/>
        <w:ind w:left="2880" w:hanging="2880"/>
        <w:jc w:val="both"/>
        <w:rPr>
          <w:sz w:val="20"/>
          <w:szCs w:val="20"/>
        </w:rPr>
      </w:pPr>
      <w:r w:rsidRPr="001C2D14">
        <w:rPr>
          <w:sz w:val="20"/>
          <w:szCs w:val="20"/>
        </w:rPr>
        <w:t>File No.:</w:t>
      </w:r>
      <w:r w:rsidRPr="001C2D14">
        <w:rPr>
          <w:sz w:val="20"/>
          <w:szCs w:val="20"/>
        </w:rPr>
        <w:tab/>
        <w:t>35625</w:t>
      </w:r>
    </w:p>
    <w:p w:rsidR="00347DB2" w:rsidRPr="001C2D14" w:rsidRDefault="00347DB2" w:rsidP="00347DB2">
      <w:pPr>
        <w:widowControl w:val="0"/>
        <w:ind w:left="2880" w:hanging="2880"/>
        <w:jc w:val="both"/>
        <w:rPr>
          <w:sz w:val="20"/>
          <w:szCs w:val="20"/>
        </w:rPr>
      </w:pPr>
    </w:p>
    <w:p w:rsidR="00347DB2" w:rsidRPr="001C2D14" w:rsidRDefault="00347DB2" w:rsidP="00347DB2">
      <w:pPr>
        <w:widowControl w:val="0"/>
        <w:ind w:left="2880" w:hanging="2880"/>
        <w:jc w:val="both"/>
        <w:rPr>
          <w:sz w:val="20"/>
          <w:szCs w:val="20"/>
        </w:rPr>
      </w:pPr>
      <w:r w:rsidRPr="001C2D14">
        <w:rPr>
          <w:sz w:val="20"/>
          <w:szCs w:val="20"/>
        </w:rPr>
        <w:t>Judgment of the Court of Appeal:</w:t>
      </w:r>
      <w:r w:rsidRPr="001C2D14">
        <w:rPr>
          <w:sz w:val="20"/>
          <w:szCs w:val="20"/>
        </w:rPr>
        <w:tab/>
        <w:t>September 24, 2013</w:t>
      </w:r>
    </w:p>
    <w:p w:rsidR="00347DB2" w:rsidRPr="001C2D14" w:rsidRDefault="00347DB2" w:rsidP="00347DB2">
      <w:pPr>
        <w:widowControl w:val="0"/>
        <w:ind w:left="2880" w:hanging="2880"/>
        <w:jc w:val="both"/>
        <w:rPr>
          <w:sz w:val="20"/>
          <w:szCs w:val="20"/>
        </w:rPr>
      </w:pPr>
    </w:p>
    <w:p w:rsidR="00347DB2" w:rsidRPr="001C2D14" w:rsidRDefault="00347DB2" w:rsidP="00347DB2">
      <w:pPr>
        <w:widowControl w:val="0"/>
        <w:ind w:left="2880" w:hanging="2880"/>
        <w:jc w:val="both"/>
        <w:rPr>
          <w:sz w:val="20"/>
          <w:szCs w:val="20"/>
          <w:lang w:val="fr-CA"/>
        </w:rPr>
      </w:pPr>
      <w:proofErr w:type="spellStart"/>
      <w:r w:rsidRPr="001C2D14">
        <w:rPr>
          <w:sz w:val="20"/>
          <w:szCs w:val="20"/>
          <w:lang w:val="fr-CA"/>
        </w:rPr>
        <w:t>Counsel</w:t>
      </w:r>
      <w:proofErr w:type="spellEnd"/>
      <w:r w:rsidRPr="001C2D14">
        <w:rPr>
          <w:sz w:val="20"/>
          <w:szCs w:val="20"/>
          <w:lang w:val="fr-CA"/>
        </w:rPr>
        <w:t>:</w:t>
      </w:r>
      <w:r w:rsidRPr="001C2D14">
        <w:rPr>
          <w:sz w:val="20"/>
          <w:szCs w:val="20"/>
          <w:lang w:val="fr-CA"/>
        </w:rPr>
        <w:tab/>
      </w:r>
      <w:proofErr w:type="spellStart"/>
      <w:r w:rsidRPr="001C2D14">
        <w:rPr>
          <w:sz w:val="20"/>
          <w:szCs w:val="20"/>
          <w:lang w:val="fr-CA"/>
        </w:rPr>
        <w:t>Athanassia</w:t>
      </w:r>
      <w:proofErr w:type="spellEnd"/>
      <w:r w:rsidRPr="001C2D14">
        <w:rPr>
          <w:sz w:val="20"/>
          <w:szCs w:val="20"/>
          <w:lang w:val="fr-CA"/>
        </w:rPr>
        <w:t xml:space="preserve"> </w:t>
      </w:r>
      <w:proofErr w:type="spellStart"/>
      <w:r w:rsidRPr="001C2D14">
        <w:rPr>
          <w:sz w:val="20"/>
          <w:szCs w:val="20"/>
          <w:lang w:val="fr-CA"/>
        </w:rPr>
        <w:t>Bitzakidis</w:t>
      </w:r>
      <w:proofErr w:type="spellEnd"/>
      <w:r w:rsidRPr="001C2D14">
        <w:rPr>
          <w:sz w:val="20"/>
          <w:szCs w:val="20"/>
          <w:lang w:val="fr-CA"/>
        </w:rPr>
        <w:t xml:space="preserve">, Christian </w:t>
      </w:r>
      <w:proofErr w:type="spellStart"/>
      <w:r w:rsidRPr="001C2D14">
        <w:rPr>
          <w:sz w:val="20"/>
          <w:szCs w:val="20"/>
          <w:lang w:val="fr-CA"/>
        </w:rPr>
        <w:t>Baillargeon</w:t>
      </w:r>
      <w:proofErr w:type="spellEnd"/>
      <w:r w:rsidRPr="001C2D14">
        <w:rPr>
          <w:sz w:val="20"/>
          <w:szCs w:val="20"/>
          <w:lang w:val="fr-CA"/>
        </w:rPr>
        <w:t xml:space="preserve"> for the </w:t>
      </w:r>
      <w:proofErr w:type="spellStart"/>
      <w:r w:rsidRPr="001C2D14">
        <w:rPr>
          <w:sz w:val="20"/>
          <w:szCs w:val="20"/>
          <w:lang w:val="fr-CA"/>
        </w:rPr>
        <w:t>appellant</w:t>
      </w:r>
      <w:proofErr w:type="spellEnd"/>
      <w:r w:rsidRPr="001C2D14">
        <w:rPr>
          <w:sz w:val="20"/>
          <w:szCs w:val="20"/>
          <w:lang w:val="fr-CA"/>
        </w:rPr>
        <w:t xml:space="preserve"> Commission des droits de la personne et des droits de la jeunesse</w:t>
      </w:r>
    </w:p>
    <w:p w:rsidR="00347DB2" w:rsidRPr="001C2D14" w:rsidRDefault="00347DB2" w:rsidP="00347DB2">
      <w:pPr>
        <w:widowControl w:val="0"/>
        <w:ind w:left="2880" w:hanging="2880"/>
        <w:jc w:val="both"/>
        <w:rPr>
          <w:sz w:val="20"/>
          <w:szCs w:val="20"/>
        </w:rPr>
      </w:pPr>
      <w:r w:rsidRPr="001C2D14">
        <w:rPr>
          <w:sz w:val="20"/>
          <w:szCs w:val="20"/>
          <w:lang w:val="fr-CA"/>
        </w:rPr>
        <w:tab/>
      </w:r>
      <w:r w:rsidRPr="001C2D14">
        <w:rPr>
          <w:sz w:val="20"/>
          <w:szCs w:val="20"/>
        </w:rPr>
        <w:t>Catherine Elizabeth McKenzie and Mathieu Bouchard for</w:t>
      </w:r>
      <w:r w:rsidR="004B10DD">
        <w:rPr>
          <w:sz w:val="20"/>
          <w:szCs w:val="20"/>
        </w:rPr>
        <w:t xml:space="preserve"> t</w:t>
      </w:r>
      <w:r w:rsidRPr="001C2D14">
        <w:rPr>
          <w:sz w:val="20"/>
          <w:szCs w:val="20"/>
        </w:rPr>
        <w:t>he</w:t>
      </w:r>
      <w:r w:rsidR="00A77B36">
        <w:rPr>
          <w:sz w:val="20"/>
          <w:szCs w:val="20"/>
        </w:rPr>
        <w:t xml:space="preserve"> a</w:t>
      </w:r>
      <w:r w:rsidRPr="001C2D14">
        <w:rPr>
          <w:sz w:val="20"/>
          <w:szCs w:val="20"/>
        </w:rPr>
        <w:t xml:space="preserve">ppellant </w:t>
      </w:r>
      <w:proofErr w:type="spellStart"/>
      <w:r w:rsidRPr="001C2D14">
        <w:rPr>
          <w:sz w:val="20"/>
          <w:szCs w:val="20"/>
        </w:rPr>
        <w:t>Javed</w:t>
      </w:r>
      <w:proofErr w:type="spellEnd"/>
      <w:r w:rsidRPr="001C2D14">
        <w:rPr>
          <w:sz w:val="20"/>
          <w:szCs w:val="20"/>
        </w:rPr>
        <w:t xml:space="preserve"> Latif</w:t>
      </w:r>
    </w:p>
    <w:p w:rsidR="00347DB2" w:rsidRPr="001C2D14" w:rsidRDefault="00347DB2" w:rsidP="00347DB2">
      <w:pPr>
        <w:widowControl w:val="0"/>
        <w:ind w:left="2880" w:hanging="2880"/>
        <w:jc w:val="both"/>
        <w:rPr>
          <w:sz w:val="20"/>
          <w:szCs w:val="20"/>
        </w:rPr>
      </w:pPr>
      <w:r>
        <w:rPr>
          <w:sz w:val="20"/>
          <w:szCs w:val="20"/>
        </w:rPr>
        <w:tab/>
      </w:r>
      <w:r w:rsidRPr="001C2D14">
        <w:rPr>
          <w:sz w:val="20"/>
          <w:szCs w:val="20"/>
        </w:rPr>
        <w:t xml:space="preserve">Lukasz </w:t>
      </w:r>
      <w:proofErr w:type="spellStart"/>
      <w:r w:rsidRPr="001C2D14">
        <w:rPr>
          <w:sz w:val="20"/>
          <w:szCs w:val="20"/>
        </w:rPr>
        <w:t>Granosik</w:t>
      </w:r>
      <w:proofErr w:type="spellEnd"/>
      <w:r w:rsidRPr="001C2D14">
        <w:rPr>
          <w:sz w:val="20"/>
          <w:szCs w:val="20"/>
        </w:rPr>
        <w:t xml:space="preserve">, Michel </w:t>
      </w:r>
      <w:proofErr w:type="spellStart"/>
      <w:r w:rsidRPr="001C2D14">
        <w:rPr>
          <w:sz w:val="20"/>
          <w:szCs w:val="20"/>
        </w:rPr>
        <w:t>Sylvestre</w:t>
      </w:r>
      <w:proofErr w:type="spellEnd"/>
      <w:r w:rsidRPr="001C2D14">
        <w:rPr>
          <w:sz w:val="20"/>
          <w:szCs w:val="20"/>
        </w:rPr>
        <w:t xml:space="preserve"> and Sébastien Beauregard for the respondent Bombardier Inc. (Bombardier Aerospace Training Center)</w:t>
      </w:r>
    </w:p>
    <w:p w:rsidR="00CC3535" w:rsidRPr="00DD0B49" w:rsidRDefault="00CC3535" w:rsidP="00CC3535">
      <w:pPr>
        <w:tabs>
          <w:tab w:val="left" w:pos="-1440"/>
          <w:tab w:val="left" w:pos="-720"/>
        </w:tabs>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099"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pPr>
        <w:rPr>
          <w:sz w:val="20"/>
          <w:szCs w:val="20"/>
          <w:lang w:val="fr-CA"/>
        </w:rPr>
      </w:pPr>
      <w:r>
        <w:rPr>
          <w:sz w:val="20"/>
          <w:szCs w:val="20"/>
          <w:lang w:val="fr-CA"/>
        </w:rPr>
        <w:br w:type="page"/>
      </w:r>
    </w:p>
    <w:p w:rsidR="00347DB2" w:rsidRPr="00F07569" w:rsidRDefault="00BD696F" w:rsidP="00347DB2">
      <w:pPr>
        <w:widowControl w:val="0"/>
        <w:ind w:left="720" w:hanging="720"/>
        <w:jc w:val="both"/>
        <w:rPr>
          <w:b/>
          <w:sz w:val="20"/>
          <w:szCs w:val="20"/>
          <w:lang w:val="fr-CA"/>
        </w:rPr>
      </w:pPr>
      <w:r w:rsidRPr="00F07569">
        <w:rPr>
          <w:b/>
          <w:sz w:val="20"/>
          <w:szCs w:val="20"/>
          <w:lang w:val="fr-CA"/>
        </w:rPr>
        <w:lastRenderedPageBreak/>
        <w:fldChar w:fldCharType="begin"/>
      </w:r>
      <w:r w:rsidR="00347DB2" w:rsidRPr="00F07569">
        <w:rPr>
          <w:b/>
          <w:sz w:val="20"/>
          <w:szCs w:val="20"/>
          <w:lang w:val="fr-CA"/>
        </w:rPr>
        <w:instrText xml:space="preserve"> SEQ CHAPTER \h \r 1</w:instrText>
      </w:r>
      <w:r w:rsidRPr="00F07569">
        <w:rPr>
          <w:b/>
          <w:sz w:val="20"/>
          <w:szCs w:val="20"/>
          <w:lang w:val="fr-CA"/>
        </w:rPr>
        <w:fldChar w:fldCharType="end"/>
      </w:r>
      <w:r w:rsidR="00347DB2" w:rsidRPr="00F07569">
        <w:rPr>
          <w:b/>
          <w:sz w:val="20"/>
          <w:szCs w:val="20"/>
          <w:lang w:val="fr-CA"/>
        </w:rPr>
        <w:t>35625</w:t>
      </w:r>
      <w:r w:rsidR="00347DB2" w:rsidRPr="00F07569">
        <w:rPr>
          <w:sz w:val="20"/>
          <w:szCs w:val="20"/>
          <w:lang w:val="fr-CA"/>
        </w:rPr>
        <w:tab/>
      </w:r>
      <w:r w:rsidR="00347DB2" w:rsidRPr="00F07569">
        <w:rPr>
          <w:b/>
          <w:i/>
          <w:sz w:val="20"/>
          <w:szCs w:val="20"/>
          <w:lang w:val="fr-CA"/>
        </w:rPr>
        <w:t xml:space="preserve">Commission des droits de la personne et des droits de la jeunesse c. Bombardier </w:t>
      </w:r>
      <w:proofErr w:type="spellStart"/>
      <w:r w:rsidR="00347DB2" w:rsidRPr="00F07569">
        <w:rPr>
          <w:b/>
          <w:i/>
          <w:sz w:val="20"/>
          <w:szCs w:val="20"/>
          <w:lang w:val="fr-CA"/>
        </w:rPr>
        <w:t>inc.</w:t>
      </w:r>
      <w:proofErr w:type="spellEnd"/>
      <w:r w:rsidR="00347DB2" w:rsidRPr="00F07569">
        <w:rPr>
          <w:b/>
          <w:i/>
          <w:sz w:val="20"/>
          <w:szCs w:val="20"/>
          <w:lang w:val="fr-CA"/>
        </w:rPr>
        <w:t xml:space="preserve"> (Bombardier Aéronautique Centre de Formation), </w:t>
      </w:r>
      <w:proofErr w:type="spellStart"/>
      <w:r w:rsidR="00347DB2" w:rsidRPr="00F07569">
        <w:rPr>
          <w:b/>
          <w:i/>
          <w:sz w:val="20"/>
          <w:szCs w:val="20"/>
          <w:lang w:val="fr-CA"/>
        </w:rPr>
        <w:t>Javed</w:t>
      </w:r>
      <w:proofErr w:type="spellEnd"/>
      <w:r w:rsidR="00347DB2" w:rsidRPr="00F07569">
        <w:rPr>
          <w:b/>
          <w:i/>
          <w:sz w:val="20"/>
          <w:szCs w:val="20"/>
          <w:lang w:val="fr-CA"/>
        </w:rPr>
        <w:t xml:space="preserve"> </w:t>
      </w:r>
      <w:proofErr w:type="spellStart"/>
      <w:r w:rsidR="00347DB2" w:rsidRPr="00F07569">
        <w:rPr>
          <w:b/>
          <w:i/>
          <w:sz w:val="20"/>
          <w:szCs w:val="20"/>
          <w:lang w:val="fr-CA"/>
        </w:rPr>
        <w:t>Latif</w:t>
      </w:r>
      <w:proofErr w:type="spellEnd"/>
    </w:p>
    <w:p w:rsidR="00347DB2" w:rsidRPr="00F07569" w:rsidRDefault="00347DB2" w:rsidP="00347DB2">
      <w:pPr>
        <w:widowControl w:val="0"/>
        <w:jc w:val="both"/>
        <w:rPr>
          <w:sz w:val="20"/>
          <w:szCs w:val="20"/>
          <w:lang w:val="fr-CA"/>
        </w:rPr>
      </w:pPr>
    </w:p>
    <w:p w:rsidR="00347DB2" w:rsidRPr="00F07569" w:rsidRDefault="00347DB2" w:rsidP="00347DB2">
      <w:pPr>
        <w:widowControl w:val="0"/>
        <w:jc w:val="both"/>
        <w:rPr>
          <w:sz w:val="20"/>
          <w:szCs w:val="20"/>
          <w:lang w:val="fr-CA"/>
        </w:rPr>
      </w:pPr>
      <w:r w:rsidRPr="00F07569">
        <w:rPr>
          <w:sz w:val="20"/>
          <w:szCs w:val="20"/>
          <w:lang w:val="fr-CA"/>
        </w:rPr>
        <w:t xml:space="preserve">Droits de la personne - Discrimination - Pilote canadien d’origine pakistanaise refusé à une formation dispensée par Bombardier au Texas et au Québec à la suite de son exclusion par les autorités américaines pour des raisons de sécurité restées secrètes - Exclusion levée et admission permise quatre ans plus tard - L’exclusion calquée de façon automatique sur une décision étrangère peut-elle être présumée discriminatoire en présence d’un motif prohibé plausible? - L’exclusion du candidat résultait-elle de son origine ethnique? - La Cour d’appel a-t-elle erré en exigeant une preuve de lien causal entre l’origine ethnique et l’exclusion? - Quelle norme de contrôle s’applique à une décision du Tribunal des droits de la personne? - Une ordonnance pour le futur relève-t-elle de la compétence du Tribunal des droits de la personne? - Des dommages-intérêts punitifs étaient-ils justifiés dans ce cas? - </w:t>
      </w:r>
      <w:r w:rsidRPr="00F07569">
        <w:rPr>
          <w:i/>
          <w:sz w:val="20"/>
          <w:szCs w:val="20"/>
          <w:lang w:val="fr-CA"/>
        </w:rPr>
        <w:t>Charte des droits et libertés de la personne</w:t>
      </w:r>
      <w:r w:rsidRPr="00F07569">
        <w:rPr>
          <w:sz w:val="20"/>
          <w:szCs w:val="20"/>
          <w:lang w:val="fr-CA"/>
        </w:rPr>
        <w:t>, L.R.Q. ch. C-12, art. 10, 12, 49.</w:t>
      </w:r>
    </w:p>
    <w:p w:rsidR="00347DB2" w:rsidRPr="00F07569" w:rsidRDefault="00347DB2" w:rsidP="00347DB2">
      <w:pPr>
        <w:widowControl w:val="0"/>
        <w:jc w:val="both"/>
        <w:rPr>
          <w:sz w:val="20"/>
          <w:szCs w:val="20"/>
          <w:lang w:val="fr-CA"/>
        </w:rPr>
      </w:pPr>
    </w:p>
    <w:p w:rsidR="00347DB2" w:rsidRPr="00F07569" w:rsidRDefault="00347DB2" w:rsidP="00347DB2">
      <w:pPr>
        <w:widowControl w:val="0"/>
        <w:jc w:val="both"/>
        <w:rPr>
          <w:sz w:val="20"/>
          <w:szCs w:val="20"/>
          <w:lang w:val="fr-CA"/>
        </w:rPr>
      </w:pPr>
      <w:r w:rsidRPr="00F07569">
        <w:rPr>
          <w:sz w:val="20"/>
          <w:szCs w:val="20"/>
          <w:lang w:val="fr-CA"/>
        </w:rPr>
        <w:t xml:space="preserve">M. </w:t>
      </w:r>
      <w:proofErr w:type="spellStart"/>
      <w:r w:rsidRPr="00F07569">
        <w:rPr>
          <w:sz w:val="20"/>
          <w:szCs w:val="20"/>
          <w:lang w:val="fr-CA"/>
        </w:rPr>
        <w:t>Latif</w:t>
      </w:r>
      <w:proofErr w:type="spellEnd"/>
      <w:r w:rsidRPr="00F07569">
        <w:rPr>
          <w:sz w:val="20"/>
          <w:szCs w:val="20"/>
          <w:lang w:val="fr-CA"/>
        </w:rPr>
        <w:t xml:space="preserve"> est citoyen canadien depuis 2001. Sa licence américaine et sa licence canadienne de pilote sont valides à vie mais pour chaque type d’appareils, une formation spécifique continue est exigée, sous licence canadienne ou américaine. Bombardier offre de la formation aux pilotes à Montréal et à Dallas. Après avoir reçu une offre d’emploi pour piloter un </w:t>
      </w:r>
      <w:r w:rsidRPr="00F07569">
        <w:rPr>
          <w:i/>
          <w:sz w:val="20"/>
          <w:szCs w:val="20"/>
          <w:lang w:val="fr-CA"/>
        </w:rPr>
        <w:t>Challenger</w:t>
      </w:r>
      <w:r w:rsidRPr="00F07569">
        <w:rPr>
          <w:sz w:val="20"/>
          <w:szCs w:val="20"/>
          <w:lang w:val="fr-CA"/>
        </w:rPr>
        <w:t xml:space="preserve"> 604 en 2004, M. </w:t>
      </w:r>
      <w:proofErr w:type="spellStart"/>
      <w:r w:rsidRPr="00F07569">
        <w:rPr>
          <w:sz w:val="20"/>
          <w:szCs w:val="20"/>
          <w:lang w:val="fr-CA"/>
        </w:rPr>
        <w:t>Latif</w:t>
      </w:r>
      <w:proofErr w:type="spellEnd"/>
      <w:r w:rsidRPr="00F07569">
        <w:rPr>
          <w:sz w:val="20"/>
          <w:szCs w:val="20"/>
          <w:lang w:val="fr-CA"/>
        </w:rPr>
        <w:t xml:space="preserve"> demande à Bombardier de lui dispenser la formation requise sous licence américaine. Parallèlement, il adresse aux autorités américaines la demande de vérification de sécurité requise selon </w:t>
      </w:r>
      <w:proofErr w:type="gramStart"/>
      <w:r w:rsidRPr="00F07569">
        <w:rPr>
          <w:sz w:val="20"/>
          <w:szCs w:val="20"/>
          <w:lang w:val="fr-CA"/>
        </w:rPr>
        <w:t xml:space="preserve">le </w:t>
      </w:r>
      <w:r w:rsidRPr="00F07569">
        <w:rPr>
          <w:i/>
          <w:sz w:val="20"/>
          <w:szCs w:val="20"/>
          <w:lang w:val="fr-CA"/>
        </w:rPr>
        <w:t>Alien</w:t>
      </w:r>
      <w:proofErr w:type="gramEnd"/>
      <w:r w:rsidRPr="00F07569">
        <w:rPr>
          <w:i/>
          <w:sz w:val="20"/>
          <w:szCs w:val="20"/>
          <w:lang w:val="fr-CA"/>
        </w:rPr>
        <w:t xml:space="preserve"> Flight </w:t>
      </w:r>
      <w:proofErr w:type="spellStart"/>
      <w:r w:rsidRPr="00F07569">
        <w:rPr>
          <w:i/>
          <w:sz w:val="20"/>
          <w:szCs w:val="20"/>
          <w:lang w:val="fr-CA"/>
        </w:rPr>
        <w:t>Students</w:t>
      </w:r>
      <w:proofErr w:type="spellEnd"/>
      <w:r w:rsidRPr="00F07569">
        <w:rPr>
          <w:i/>
          <w:sz w:val="20"/>
          <w:szCs w:val="20"/>
          <w:lang w:val="fr-CA"/>
        </w:rPr>
        <w:t xml:space="preserve"> Program</w:t>
      </w:r>
      <w:r w:rsidRPr="00F07569">
        <w:rPr>
          <w:sz w:val="20"/>
          <w:szCs w:val="20"/>
          <w:lang w:val="fr-CA"/>
        </w:rPr>
        <w:t xml:space="preserve">. Alors que sa place est réservée au cours de Dallas au printemps 2004, la compagnie reçoit en avril un avis de refus du </w:t>
      </w:r>
      <w:proofErr w:type="spellStart"/>
      <w:r w:rsidRPr="00F07569">
        <w:rPr>
          <w:sz w:val="20"/>
          <w:szCs w:val="20"/>
          <w:lang w:val="fr-CA"/>
        </w:rPr>
        <w:t>Department</w:t>
      </w:r>
      <w:proofErr w:type="spellEnd"/>
      <w:r w:rsidRPr="00F07569">
        <w:rPr>
          <w:sz w:val="20"/>
          <w:szCs w:val="20"/>
          <w:lang w:val="fr-CA"/>
        </w:rPr>
        <w:t xml:space="preserve"> of Justice, au motif qu’il constitue une menace pour la sécurité aérienne. Ce refus sera maintenu jusqu’en août 2008, l’obligeant à changer d’emploi plusieurs fois et même l’en privant pendant quelque temps. Bien qu’il ait demandé à Bombardier de l’inscrire à la formation sous licence canadienne à Montréal, celle-ci refuse, se disant contrainte de respecter la décision américaine</w:t>
      </w:r>
    </w:p>
    <w:p w:rsidR="00347DB2" w:rsidRPr="00F07569" w:rsidRDefault="00347DB2" w:rsidP="00347DB2">
      <w:pPr>
        <w:widowControl w:val="0"/>
        <w:jc w:val="both"/>
        <w:rPr>
          <w:sz w:val="20"/>
          <w:szCs w:val="20"/>
          <w:lang w:val="fr-CA"/>
        </w:rPr>
      </w:pPr>
    </w:p>
    <w:p w:rsidR="00347DB2" w:rsidRPr="00F07569" w:rsidRDefault="00347DB2" w:rsidP="00347DB2">
      <w:pPr>
        <w:widowControl w:val="0"/>
        <w:jc w:val="both"/>
        <w:rPr>
          <w:sz w:val="20"/>
          <w:szCs w:val="20"/>
          <w:lang w:val="fr-CA"/>
        </w:rPr>
      </w:pPr>
    </w:p>
    <w:p w:rsidR="00347DB2" w:rsidRPr="00F07569" w:rsidRDefault="00347DB2" w:rsidP="00347DB2">
      <w:pPr>
        <w:widowControl w:val="0"/>
        <w:ind w:left="2880" w:hanging="2880"/>
        <w:jc w:val="both"/>
        <w:rPr>
          <w:sz w:val="20"/>
          <w:szCs w:val="20"/>
          <w:lang w:val="fr-CA"/>
        </w:rPr>
      </w:pPr>
      <w:r w:rsidRPr="00F07569">
        <w:rPr>
          <w:sz w:val="20"/>
          <w:szCs w:val="20"/>
          <w:lang w:val="fr-CA"/>
        </w:rPr>
        <w:t>Origine :</w:t>
      </w:r>
      <w:r w:rsidRPr="00F07569">
        <w:rPr>
          <w:sz w:val="20"/>
          <w:szCs w:val="20"/>
          <w:lang w:val="fr-CA"/>
        </w:rPr>
        <w:tab/>
        <w:t>Québec</w:t>
      </w:r>
    </w:p>
    <w:p w:rsidR="00347DB2" w:rsidRPr="00F07569" w:rsidRDefault="00347DB2" w:rsidP="00347DB2">
      <w:pPr>
        <w:widowControl w:val="0"/>
        <w:ind w:left="2880" w:hanging="2880"/>
        <w:jc w:val="both"/>
        <w:rPr>
          <w:sz w:val="20"/>
          <w:szCs w:val="20"/>
          <w:lang w:val="fr-CA"/>
        </w:rPr>
      </w:pPr>
    </w:p>
    <w:p w:rsidR="00347DB2" w:rsidRPr="00F07569" w:rsidRDefault="00347DB2" w:rsidP="00347DB2">
      <w:pPr>
        <w:widowControl w:val="0"/>
        <w:ind w:left="2880" w:hanging="2880"/>
        <w:jc w:val="both"/>
        <w:rPr>
          <w:sz w:val="20"/>
          <w:szCs w:val="20"/>
          <w:lang w:val="fr-CA"/>
        </w:rPr>
      </w:pPr>
      <w:r w:rsidRPr="00F07569">
        <w:rPr>
          <w:sz w:val="20"/>
          <w:szCs w:val="20"/>
          <w:lang w:val="fr-CA"/>
        </w:rPr>
        <w:t>No du greffe :</w:t>
      </w:r>
      <w:r w:rsidRPr="00F07569">
        <w:rPr>
          <w:sz w:val="20"/>
          <w:szCs w:val="20"/>
          <w:lang w:val="fr-CA"/>
        </w:rPr>
        <w:tab/>
        <w:t>35625</w:t>
      </w:r>
    </w:p>
    <w:p w:rsidR="00347DB2" w:rsidRPr="00F07569" w:rsidRDefault="00347DB2" w:rsidP="00347DB2">
      <w:pPr>
        <w:widowControl w:val="0"/>
        <w:ind w:left="2880" w:hanging="2880"/>
        <w:jc w:val="both"/>
        <w:rPr>
          <w:sz w:val="20"/>
          <w:szCs w:val="20"/>
          <w:lang w:val="fr-CA"/>
        </w:rPr>
      </w:pPr>
    </w:p>
    <w:p w:rsidR="00347DB2" w:rsidRPr="00F07569" w:rsidRDefault="00347DB2" w:rsidP="00347DB2">
      <w:pPr>
        <w:widowControl w:val="0"/>
        <w:ind w:left="2880" w:hanging="2880"/>
        <w:jc w:val="both"/>
        <w:rPr>
          <w:sz w:val="20"/>
          <w:szCs w:val="20"/>
          <w:lang w:val="fr-CA"/>
        </w:rPr>
      </w:pPr>
      <w:r w:rsidRPr="00F07569">
        <w:rPr>
          <w:sz w:val="20"/>
          <w:szCs w:val="20"/>
          <w:lang w:val="fr-CA"/>
        </w:rPr>
        <w:t>Arrêt de la Cour d’appel :</w:t>
      </w:r>
      <w:r w:rsidRPr="00F07569">
        <w:rPr>
          <w:sz w:val="20"/>
          <w:szCs w:val="20"/>
          <w:lang w:val="fr-CA"/>
        </w:rPr>
        <w:tab/>
        <w:t>le 24 septembre 2013</w:t>
      </w:r>
    </w:p>
    <w:p w:rsidR="00347DB2" w:rsidRPr="00F07569" w:rsidRDefault="00347DB2" w:rsidP="00347DB2">
      <w:pPr>
        <w:widowControl w:val="0"/>
        <w:ind w:left="2880" w:hanging="2880"/>
        <w:jc w:val="both"/>
        <w:rPr>
          <w:sz w:val="20"/>
          <w:szCs w:val="20"/>
          <w:lang w:val="fr-CA"/>
        </w:rPr>
      </w:pPr>
    </w:p>
    <w:p w:rsidR="00347DB2" w:rsidRPr="00F07569" w:rsidRDefault="00347DB2" w:rsidP="00347DB2">
      <w:pPr>
        <w:widowControl w:val="0"/>
        <w:ind w:left="2880" w:hanging="2880"/>
        <w:jc w:val="both"/>
        <w:rPr>
          <w:sz w:val="20"/>
          <w:szCs w:val="20"/>
          <w:lang w:val="fr-CA"/>
        </w:rPr>
      </w:pPr>
      <w:r w:rsidRPr="00F07569">
        <w:rPr>
          <w:sz w:val="20"/>
          <w:szCs w:val="20"/>
          <w:lang w:val="fr-CA"/>
        </w:rPr>
        <w:t>Avocats :</w:t>
      </w:r>
      <w:r w:rsidRPr="00F07569">
        <w:rPr>
          <w:sz w:val="20"/>
          <w:szCs w:val="20"/>
          <w:lang w:val="fr-CA"/>
        </w:rPr>
        <w:tab/>
      </w:r>
      <w:proofErr w:type="spellStart"/>
      <w:r w:rsidRPr="00F07569">
        <w:rPr>
          <w:sz w:val="20"/>
          <w:szCs w:val="20"/>
          <w:lang w:val="fr-CA"/>
        </w:rPr>
        <w:t>Athanassia</w:t>
      </w:r>
      <w:proofErr w:type="spellEnd"/>
      <w:r w:rsidRPr="00F07569">
        <w:rPr>
          <w:sz w:val="20"/>
          <w:szCs w:val="20"/>
          <w:lang w:val="fr-CA"/>
        </w:rPr>
        <w:t xml:space="preserve"> </w:t>
      </w:r>
      <w:proofErr w:type="spellStart"/>
      <w:r w:rsidRPr="00F07569">
        <w:rPr>
          <w:sz w:val="20"/>
          <w:szCs w:val="20"/>
          <w:lang w:val="fr-CA"/>
        </w:rPr>
        <w:t>Bitzakidis</w:t>
      </w:r>
      <w:proofErr w:type="spellEnd"/>
      <w:r w:rsidRPr="00F07569">
        <w:rPr>
          <w:sz w:val="20"/>
          <w:szCs w:val="20"/>
          <w:lang w:val="fr-CA"/>
        </w:rPr>
        <w:t xml:space="preserve">, Christian </w:t>
      </w:r>
      <w:proofErr w:type="spellStart"/>
      <w:r w:rsidRPr="00F07569">
        <w:rPr>
          <w:sz w:val="20"/>
          <w:szCs w:val="20"/>
          <w:lang w:val="fr-CA"/>
        </w:rPr>
        <w:t>Baillargeon</w:t>
      </w:r>
      <w:proofErr w:type="spellEnd"/>
      <w:r w:rsidRPr="00F07569">
        <w:rPr>
          <w:sz w:val="20"/>
          <w:szCs w:val="20"/>
          <w:lang w:val="fr-CA"/>
        </w:rPr>
        <w:t xml:space="preserve"> pour l’appelante Commission des droits de la personne et des droits de la jeunesse</w:t>
      </w:r>
    </w:p>
    <w:p w:rsidR="00347DB2" w:rsidRPr="00F07569" w:rsidRDefault="00347DB2" w:rsidP="00347DB2">
      <w:pPr>
        <w:widowControl w:val="0"/>
        <w:ind w:left="2880" w:hanging="2880"/>
        <w:jc w:val="both"/>
        <w:rPr>
          <w:sz w:val="20"/>
          <w:szCs w:val="20"/>
          <w:lang w:val="fr-CA"/>
        </w:rPr>
      </w:pPr>
      <w:r w:rsidRPr="00F07569">
        <w:rPr>
          <w:sz w:val="20"/>
          <w:szCs w:val="20"/>
          <w:lang w:val="fr-CA"/>
        </w:rPr>
        <w:tab/>
        <w:t xml:space="preserve">Catherine Elizabeth McKenzie et Mathieu Bouchard pour l’appelant </w:t>
      </w:r>
      <w:proofErr w:type="spellStart"/>
      <w:r w:rsidRPr="00F07569">
        <w:rPr>
          <w:sz w:val="20"/>
          <w:szCs w:val="20"/>
          <w:lang w:val="fr-CA"/>
        </w:rPr>
        <w:t>Javed</w:t>
      </w:r>
      <w:proofErr w:type="spellEnd"/>
      <w:r w:rsidRPr="00F07569">
        <w:rPr>
          <w:sz w:val="20"/>
          <w:szCs w:val="20"/>
          <w:lang w:val="fr-CA"/>
        </w:rPr>
        <w:t xml:space="preserve"> </w:t>
      </w:r>
      <w:proofErr w:type="spellStart"/>
      <w:r w:rsidRPr="00F07569">
        <w:rPr>
          <w:sz w:val="20"/>
          <w:szCs w:val="20"/>
          <w:lang w:val="fr-CA"/>
        </w:rPr>
        <w:t>Latif</w:t>
      </w:r>
      <w:proofErr w:type="spellEnd"/>
    </w:p>
    <w:p w:rsidR="00347DB2" w:rsidRPr="00F07569" w:rsidRDefault="00347DB2" w:rsidP="00347DB2">
      <w:pPr>
        <w:widowControl w:val="0"/>
        <w:ind w:left="2880" w:hanging="2880"/>
        <w:jc w:val="both"/>
        <w:rPr>
          <w:sz w:val="20"/>
          <w:szCs w:val="20"/>
          <w:lang w:val="fr-CA"/>
        </w:rPr>
      </w:pPr>
      <w:r w:rsidRPr="00F07569">
        <w:rPr>
          <w:sz w:val="20"/>
          <w:szCs w:val="20"/>
          <w:lang w:val="fr-CA"/>
        </w:rPr>
        <w:tab/>
      </w:r>
      <w:proofErr w:type="spellStart"/>
      <w:r w:rsidRPr="00F07569">
        <w:rPr>
          <w:sz w:val="20"/>
          <w:szCs w:val="20"/>
          <w:lang w:val="fr-CA"/>
        </w:rPr>
        <w:t>Lukasz</w:t>
      </w:r>
      <w:proofErr w:type="spellEnd"/>
      <w:r w:rsidRPr="00F07569">
        <w:rPr>
          <w:sz w:val="20"/>
          <w:szCs w:val="20"/>
          <w:lang w:val="fr-CA"/>
        </w:rPr>
        <w:t xml:space="preserve"> </w:t>
      </w:r>
      <w:proofErr w:type="spellStart"/>
      <w:r w:rsidRPr="00F07569">
        <w:rPr>
          <w:sz w:val="20"/>
          <w:szCs w:val="20"/>
          <w:lang w:val="fr-CA"/>
        </w:rPr>
        <w:t>Granosik</w:t>
      </w:r>
      <w:proofErr w:type="spellEnd"/>
      <w:r w:rsidRPr="00F07569">
        <w:rPr>
          <w:sz w:val="20"/>
          <w:szCs w:val="20"/>
          <w:lang w:val="fr-CA"/>
        </w:rPr>
        <w:t>, Michel Sylvestre et Sébastien Beauregard pour l’intimée Bombardier Inc. (Bombardier Aerospace Training Center)</w:t>
      </w:r>
    </w:p>
    <w:p w:rsidR="00347DB2" w:rsidRPr="0018154D" w:rsidRDefault="00347DB2" w:rsidP="00347DB2">
      <w:pPr>
        <w:widowControl w:val="0"/>
        <w:jc w:val="both"/>
        <w:rPr>
          <w:sz w:val="20"/>
          <w:szCs w:val="20"/>
          <w:lang w:val="fr-CA"/>
        </w:rPr>
      </w:pPr>
    </w:p>
    <w:p w:rsidR="00CC3535" w:rsidRDefault="007871B3" w:rsidP="00CC3535">
      <w:pPr>
        <w:tabs>
          <w:tab w:val="left" w:pos="-1440"/>
          <w:tab w:val="left" w:pos="-720"/>
        </w:tabs>
        <w:jc w:val="both"/>
        <w:rPr>
          <w:sz w:val="20"/>
          <w:szCs w:val="20"/>
          <w:lang w:val="fr-CA"/>
        </w:rPr>
      </w:pPr>
      <w:r>
        <w:rPr>
          <w:sz w:val="20"/>
          <w:szCs w:val="20"/>
          <w:lang w:val="fr-CA"/>
        </w:rPr>
        <w:pict>
          <v:rect id="_x0000_i1100" style="width:2in;height:1pt" o:hrpct="0" o:hralign="center" o:hrstd="t" o:hrnoshade="t" o:hr="t" fillcolor="black [3213]" stroked="f"/>
        </w:pict>
      </w:r>
    </w:p>
    <w:p w:rsidR="00CC3535" w:rsidRDefault="00CC3535" w:rsidP="00CC3535">
      <w:pPr>
        <w:tabs>
          <w:tab w:val="left" w:pos="-1440"/>
          <w:tab w:val="left" w:pos="-720"/>
        </w:tabs>
        <w:jc w:val="both"/>
        <w:rPr>
          <w:sz w:val="20"/>
          <w:szCs w:val="20"/>
          <w:lang w:val="fr-CA"/>
        </w:rPr>
      </w:pPr>
    </w:p>
    <w:p w:rsidR="00CC3535" w:rsidRDefault="00CC3535" w:rsidP="00CC3535">
      <w:pPr>
        <w:tabs>
          <w:tab w:val="left" w:pos="-1440"/>
          <w:tab w:val="left" w:pos="-720"/>
        </w:tabs>
        <w:jc w:val="both"/>
        <w:rPr>
          <w:sz w:val="20"/>
          <w:szCs w:val="20"/>
          <w:lang w:val="fr-CA"/>
        </w:rPr>
      </w:pPr>
    </w:p>
    <w:p w:rsidR="00CC3535" w:rsidRPr="00DD0B49" w:rsidRDefault="00CC3535" w:rsidP="000B3C9A">
      <w:pPr>
        <w:tabs>
          <w:tab w:val="left" w:pos="-1440"/>
          <w:tab w:val="left" w:pos="-720"/>
        </w:tabs>
        <w:jc w:val="both"/>
        <w:rPr>
          <w:sz w:val="20"/>
          <w:szCs w:val="20"/>
          <w:lang w:val="fr-CA"/>
        </w:rPr>
      </w:pPr>
    </w:p>
    <w:p w:rsidR="005F263E" w:rsidRPr="00C50A5C" w:rsidRDefault="005F263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89"/>
          <w:footerReference w:type="default" r:id="rId90"/>
          <w:headerReference w:type="first" r:id="rId91"/>
          <w:footerReference w:type="first" r:id="rId92"/>
          <w:pgSz w:w="12240" w:h="15840"/>
          <w:pgMar w:top="720" w:right="965" w:bottom="1080" w:left="1656" w:header="720" w:footer="965" w:gutter="0"/>
          <w:cols w:space="720"/>
          <w:titlePg/>
          <w:docGrid w:linePitch="326"/>
        </w:sectPr>
      </w:pPr>
    </w:p>
    <w:p w:rsidR="008112A9" w:rsidRPr="002E0C7E" w:rsidRDefault="00BD696F"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B35F64">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DECEMBER - DÉCEMBRE</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M</w:t>
            </w: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13</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B35F64">
            <w:pPr>
              <w:widowControl w:val="0"/>
              <w:jc w:val="center"/>
              <w:rPr>
                <w:rFonts w:ascii="Arial" w:hAnsi="Arial"/>
                <w:b/>
                <w:sz w:val="14"/>
              </w:rPr>
            </w:pPr>
            <w:r w:rsidRPr="004F066E">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20</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35F64">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B35F64">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B35F64">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MARCH - MARS</w:t>
            </w:r>
          </w:p>
        </w:tc>
      </w:tr>
      <w:tr w:rsidR="008112A9" w:rsidRPr="002E0C7E" w:rsidTr="00B35F6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B35F64">
            <w:pPr>
              <w:widowControl w:val="0"/>
              <w:jc w:val="center"/>
              <w:rPr>
                <w:rFonts w:ascii="Arial" w:hAnsi="Arial"/>
                <w:b/>
                <w:sz w:val="14"/>
              </w:rPr>
            </w:pPr>
            <w:r w:rsidRPr="004F066E">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14</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B35F64">
            <w:pPr>
              <w:widowControl w:val="0"/>
              <w:jc w:val="center"/>
              <w:rPr>
                <w:rFonts w:ascii="Arial" w:hAnsi="Arial"/>
                <w:b/>
                <w:sz w:val="14"/>
              </w:rPr>
            </w:pPr>
            <w:r w:rsidRPr="009900C5">
              <w:rPr>
                <w:rFonts w:ascii="Arial" w:hAnsi="Arial"/>
                <w:b/>
                <w:sz w:val="14"/>
              </w:rPr>
              <w:t>M</w:t>
            </w: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B35F6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B35F64">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B35F64">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B35F64">
            <w:pPr>
              <w:widowControl w:val="0"/>
              <w:jc w:val="center"/>
              <w:rPr>
                <w:rFonts w:ascii="Arial" w:hAnsi="Arial"/>
                <w:sz w:val="14"/>
              </w:rPr>
            </w:pPr>
            <w:r w:rsidRPr="002E0C7E">
              <w:rPr>
                <w:rFonts w:ascii="Arial" w:hAnsi="Arial"/>
                <w:b/>
                <w:sz w:val="14"/>
              </w:rPr>
              <w:t>JUNE - JUIN</w:t>
            </w:r>
          </w:p>
        </w:tc>
      </w:tr>
      <w:tr w:rsidR="008112A9" w:rsidRPr="002E0C7E" w:rsidTr="00B35F64">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S</w:t>
            </w:r>
          </w:p>
          <w:p w:rsidR="008112A9" w:rsidRPr="002E0C7E" w:rsidRDefault="008112A9" w:rsidP="00B35F64">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M</w:t>
            </w:r>
          </w:p>
          <w:p w:rsidR="008112A9" w:rsidRPr="002E0C7E" w:rsidRDefault="008112A9" w:rsidP="00B35F64">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W</w:t>
            </w:r>
          </w:p>
          <w:p w:rsidR="008112A9" w:rsidRPr="002E0C7E" w:rsidRDefault="008112A9" w:rsidP="00B35F64">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T</w:t>
            </w:r>
          </w:p>
          <w:p w:rsidR="008112A9" w:rsidRPr="002E0C7E" w:rsidRDefault="008112A9" w:rsidP="00B35F64">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sidRPr="002E0C7E">
              <w:rPr>
                <w:rFonts w:ascii="Arial" w:hAnsi="Arial"/>
                <w:sz w:val="14"/>
              </w:rPr>
              <w:t>F</w:t>
            </w:r>
          </w:p>
          <w:p w:rsidR="008112A9" w:rsidRPr="002E0C7E" w:rsidRDefault="008112A9" w:rsidP="00B35F64">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r>
              <w:rPr>
                <w:rFonts w:ascii="Arial" w:hAnsi="Arial"/>
                <w:sz w:val="14"/>
              </w:rPr>
              <w:t>S</w:t>
            </w:r>
          </w:p>
          <w:p w:rsidR="008112A9" w:rsidRPr="002E0C7E" w:rsidRDefault="008112A9" w:rsidP="00B35F64">
            <w:pPr>
              <w:widowControl w:val="0"/>
              <w:jc w:val="center"/>
              <w:rPr>
                <w:rFonts w:ascii="Arial" w:hAnsi="Arial"/>
                <w:sz w:val="14"/>
              </w:rPr>
            </w:pPr>
            <w:r>
              <w:rPr>
                <w:rFonts w:ascii="Arial" w:hAnsi="Arial"/>
                <w:sz w:val="14"/>
              </w:rPr>
              <w:t>S</w:t>
            </w:r>
          </w:p>
        </w:tc>
      </w:tr>
      <w:tr w:rsidR="008112A9" w:rsidRPr="002E0C7E" w:rsidTr="00B35F64">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13</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B35F64">
            <w:pPr>
              <w:widowControl w:val="0"/>
              <w:jc w:val="center"/>
              <w:rPr>
                <w:rFonts w:ascii="Arial" w:hAnsi="Arial"/>
                <w:b/>
                <w:sz w:val="14"/>
              </w:rPr>
            </w:pPr>
            <w:r>
              <w:rPr>
                <w:rFonts w:ascii="Arial" w:hAnsi="Arial"/>
                <w:b/>
                <w:sz w:val="14"/>
              </w:rPr>
              <w:t>M</w:t>
            </w: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B35F64">
            <w:pPr>
              <w:widowControl w:val="0"/>
              <w:jc w:val="center"/>
              <w:rPr>
                <w:rFonts w:ascii="Arial" w:hAnsi="Arial"/>
                <w:b/>
                <w:sz w:val="14"/>
              </w:rPr>
            </w:pPr>
            <w:r w:rsidRPr="002453E3">
              <w:rPr>
                <w:rFonts w:ascii="Arial" w:hAnsi="Arial"/>
                <w:b/>
                <w:sz w:val="14"/>
              </w:rPr>
              <w:t>M</w:t>
            </w: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20</w:t>
            </w:r>
          </w:p>
        </w:tc>
      </w:tr>
      <w:tr w:rsidR="008112A9" w:rsidRPr="002E0C7E" w:rsidTr="00B35F64">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B35F64">
            <w:pPr>
              <w:widowControl w:val="0"/>
              <w:jc w:val="center"/>
              <w:rPr>
                <w:rFonts w:ascii="Arial" w:hAnsi="Arial"/>
                <w:b/>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B35F64">
            <w:pPr>
              <w:widowControl w:val="0"/>
              <w:jc w:val="center"/>
              <w:rPr>
                <w:rFonts w:ascii="Arial" w:hAnsi="Arial"/>
                <w:b/>
                <w:sz w:val="14"/>
              </w:rPr>
            </w:pPr>
            <w:r>
              <w:rPr>
                <w:rFonts w:ascii="Arial" w:hAnsi="Arial"/>
                <w:b/>
                <w:sz w:val="14"/>
              </w:rPr>
              <w:t>H</w:t>
            </w:r>
          </w:p>
          <w:p w:rsidR="008112A9" w:rsidRPr="002E0C7E" w:rsidRDefault="008112A9" w:rsidP="00B35F64">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B35F64">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B35F64">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B35F64">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B35F64">
            <w:pPr>
              <w:widowControl w:val="0"/>
              <w:jc w:val="center"/>
              <w:rPr>
                <w:rFonts w:ascii="Arial" w:hAnsi="Arial"/>
                <w:sz w:val="14"/>
              </w:rPr>
            </w:pPr>
          </w:p>
          <w:p w:rsidR="008112A9" w:rsidRPr="002E0C7E" w:rsidRDefault="008112A9" w:rsidP="00B35F64">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B35F64">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B35F64">
            <w:pPr>
              <w:widowControl w:val="0"/>
              <w:rPr>
                <w:rFonts w:ascii="Arial" w:hAnsi="Arial"/>
                <w:sz w:val="16"/>
              </w:rPr>
            </w:pPr>
            <w:r w:rsidRPr="002E0C7E">
              <w:rPr>
                <w:rFonts w:ascii="Arial" w:hAnsi="Arial"/>
                <w:sz w:val="16"/>
              </w:rPr>
              <w:t>Sittings of the court:</w:t>
            </w:r>
          </w:p>
          <w:p w:rsidR="008112A9" w:rsidRPr="002E0C7E" w:rsidRDefault="008112A9" w:rsidP="00B35F64">
            <w:pPr>
              <w:widowControl w:val="0"/>
              <w:rPr>
                <w:rFonts w:ascii="Arial" w:hAnsi="Arial"/>
                <w:sz w:val="16"/>
              </w:rPr>
            </w:pPr>
            <w:r w:rsidRPr="002E0C7E">
              <w:rPr>
                <w:rFonts w:ascii="Arial" w:hAnsi="Arial"/>
                <w:sz w:val="16"/>
              </w:rPr>
              <w:t xml:space="preserve">Séances de la </w:t>
            </w:r>
            <w:proofErr w:type="spellStart"/>
            <w:r w:rsidRPr="002E0C7E">
              <w:rPr>
                <w:rFonts w:ascii="Arial" w:hAnsi="Arial"/>
                <w:sz w:val="16"/>
              </w:rPr>
              <w:t>cour</w:t>
            </w:r>
            <w:proofErr w:type="spellEnd"/>
            <w:r w:rsidRPr="002E0C7E">
              <w:rPr>
                <w:rFonts w:ascii="Arial" w:hAnsi="Arial"/>
                <w:sz w:val="16"/>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B35F64">
            <w:pPr>
              <w:widowControl w:val="0"/>
              <w:rPr>
                <w:rFonts w:ascii="Arial" w:hAnsi="Arial"/>
                <w:sz w:val="16"/>
              </w:rPr>
            </w:pPr>
          </w:p>
          <w:p w:rsidR="008112A9" w:rsidRPr="002E0C7E" w:rsidRDefault="008112A9" w:rsidP="00B35F64">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87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 xml:space="preserve">9    motion and </w:t>
            </w:r>
            <w:proofErr w:type="spellStart"/>
            <w:r w:rsidRPr="00B058C3">
              <w:rPr>
                <w:rFonts w:ascii="Arial" w:hAnsi="Arial"/>
                <w:b/>
                <w:sz w:val="16"/>
                <w:lang w:val="fr-CA"/>
              </w:rPr>
              <w:t>conference</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35F6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roofErr w:type="spellStart"/>
            <w:r w:rsidRPr="002E0C7E">
              <w:rPr>
                <w:rFonts w:ascii="Arial" w:hAnsi="Arial"/>
                <w:sz w:val="16"/>
              </w:rPr>
              <w:t>Requêtes</w:t>
            </w:r>
            <w:proofErr w:type="spellEnd"/>
            <w:r w:rsidRPr="002E0C7E">
              <w:rPr>
                <w:rFonts w:ascii="Arial" w:hAnsi="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B35F64">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B35F64">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B35F6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3"/>
      <w:footerReference w:type="default" r:id="rId94"/>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31" w:rsidRDefault="00DC6331" w:rsidP="00A87207">
      <w:r>
        <w:separator/>
      </w:r>
    </w:p>
  </w:endnote>
  <w:endnote w:type="continuationSeparator" w:id="0">
    <w:p w:rsidR="00DC6331" w:rsidRDefault="00DC633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A87207">
    <w:pPr>
      <w:pStyle w:val="Footer"/>
    </w:pPr>
    <w:r>
      <w:pict>
        <v:rect id="_x0000_i1038" style="width:480.95pt;height:1pt" o:hralign="center" o:hrstd="t" o:hrnoshade="t" o:hr="t" fillcolor="black [3213]" stroked="f"/>
      </w:pict>
    </w:r>
  </w:p>
  <w:p w:rsidR="00DC6331" w:rsidRPr="00B7374B" w:rsidRDefault="00DC6331" w:rsidP="00B7374B">
    <w:pPr>
      <w:tabs>
        <w:tab w:val="center" w:pos="4680"/>
      </w:tabs>
      <w:rPr>
        <w:szCs w:val="24"/>
      </w:rPr>
    </w:pPr>
    <w:r w:rsidRPr="00954D22">
      <w:rPr>
        <w:szCs w:val="24"/>
      </w:rPr>
      <w:tab/>
      <w:t xml:space="preserve">- </w:t>
    </w:r>
    <w:r w:rsidR="00BD696F" w:rsidRPr="00954D22">
      <w:rPr>
        <w:szCs w:val="24"/>
      </w:rPr>
      <w:fldChar w:fldCharType="begin"/>
    </w:r>
    <w:r w:rsidRPr="00954D22">
      <w:rPr>
        <w:szCs w:val="24"/>
      </w:rPr>
      <w:instrText xml:space="preserve"> PAGE   \* MERGEFORMAT </w:instrText>
    </w:r>
    <w:r w:rsidR="00BD696F" w:rsidRPr="00954D22">
      <w:rPr>
        <w:szCs w:val="24"/>
      </w:rPr>
      <w:fldChar w:fldCharType="separate"/>
    </w:r>
    <w:r w:rsidR="007871B3">
      <w:rPr>
        <w:noProof/>
        <w:szCs w:val="24"/>
      </w:rPr>
      <w:t>2024</w:t>
    </w:r>
    <w:r w:rsidR="00BD696F"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pPr>
      <w:pStyle w:val="Footer"/>
    </w:pPr>
    <w:r>
      <w:pict>
        <v:rect id="_x0000_i1074" style="width:480.95pt;height:1pt" o:hralign="center" o:hrstd="t" o:hrnoshade="t" o:hr="t" fillcolor="black" stroked="f"/>
      </w:pict>
    </w:r>
  </w:p>
  <w:p w:rsidR="00DC6331" w:rsidRPr="00283C52" w:rsidRDefault="00DC6331">
    <w:pPr>
      <w:pStyle w:val="Footer"/>
    </w:pPr>
    <w:r>
      <w:tab/>
    </w:r>
    <w:r w:rsidRPr="00283C52">
      <w:t xml:space="preserve">- </w:t>
    </w:r>
    <w:r w:rsidRPr="00283C52">
      <w:pgNum/>
    </w:r>
    <w:r w:rsidRPr="00283C52">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DC6331" w:rsidRDefault="00DC63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DC6331" w:rsidRDefault="00DC633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22323B">
    <w:r>
      <w:pict>
        <v:rect id="_x0000_i1077" style="width:480.95pt;height:1pt" o:hralign="center" o:hrstd="t" o:hrnoshade="t" o:hr="t" fillcolor="black [3213]" stroked="f"/>
      </w:pict>
    </w:r>
  </w:p>
  <w:p w:rsidR="00DC6331" w:rsidRDefault="00DC6331">
    <w:pPr>
      <w:tabs>
        <w:tab w:val="center" w:pos="4740"/>
      </w:tabs>
      <w:spacing w:line="0" w:lineRule="atLeast"/>
    </w:pPr>
    <w:r>
      <w:tab/>
      <w:t xml:space="preserve">- </w:t>
    </w:r>
    <w:r w:rsidR="00D4264C">
      <w:fldChar w:fldCharType="begin"/>
    </w:r>
    <w:r w:rsidR="00D4264C">
      <w:instrText xml:space="preserve"> PAGE   \* MERGEFORMAT </w:instrText>
    </w:r>
    <w:r w:rsidR="00D4264C">
      <w:fldChar w:fldCharType="separate"/>
    </w:r>
    <w:r w:rsidR="007871B3">
      <w:rPr>
        <w:noProof/>
      </w:rPr>
      <w:t>2058</w:t>
    </w:r>
    <w:r w:rsidR="00D4264C">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22323B">
    <w:r>
      <w:pict>
        <v:rect id="_x0000_i1078" style="width:480.95pt;height:1pt" o:hralign="center" o:hrstd="t" o:hrnoshade="t" o:hr="t" fillcolor="black [3213]" stroked="f"/>
      </w:pict>
    </w:r>
  </w:p>
  <w:p w:rsidR="00DC6331" w:rsidRDefault="00DC6331" w:rsidP="0022323B">
    <w:pPr>
      <w:tabs>
        <w:tab w:val="center" w:pos="4740"/>
      </w:tabs>
      <w:spacing w:line="0" w:lineRule="atLeast"/>
    </w:pPr>
    <w:r>
      <w:tab/>
      <w:t xml:space="preserve">- </w:t>
    </w:r>
    <w:r w:rsidR="00D4264C">
      <w:fldChar w:fldCharType="begin"/>
    </w:r>
    <w:r w:rsidR="00D4264C">
      <w:instrText xml:space="preserve"> PAGE   \* MERGEFORMAT </w:instrText>
    </w:r>
    <w:r w:rsidR="00D4264C">
      <w:fldChar w:fldCharType="separate"/>
    </w:r>
    <w:r w:rsidR="007871B3">
      <w:rPr>
        <w:noProof/>
      </w:rPr>
      <w:t>2057</w:t>
    </w:r>
    <w:r w:rsidR="00D4264C">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22323B">
    <w:r>
      <w:pict>
        <v:rect id="_x0000_i1101" style="width:480.95pt;height:1pt" o:hralign="center" o:hrstd="t" o:hrnoshade="t" o:hr="t" fillcolor="black [3213]" stroked="f"/>
      </w:pict>
    </w:r>
  </w:p>
  <w:p w:rsidR="00DC6331" w:rsidRDefault="00DC6331">
    <w:pPr>
      <w:tabs>
        <w:tab w:val="center" w:pos="4740"/>
      </w:tabs>
      <w:spacing w:line="0" w:lineRule="atLeast"/>
    </w:pPr>
    <w:r>
      <w:tab/>
      <w:t xml:space="preserve">- </w:t>
    </w:r>
    <w:r w:rsidR="00D4264C">
      <w:fldChar w:fldCharType="begin"/>
    </w:r>
    <w:r w:rsidR="00D4264C">
      <w:instrText xml:space="preserve"> PAGE   \* MERGEFORMAT </w:instrText>
    </w:r>
    <w:r w:rsidR="00D4264C">
      <w:fldChar w:fldCharType="separate"/>
    </w:r>
    <w:r w:rsidR="007871B3">
      <w:rPr>
        <w:noProof/>
      </w:rPr>
      <w:t>2060</w:t>
    </w:r>
    <w:r w:rsidR="00D4264C">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22323B">
    <w:r>
      <w:pict>
        <v:rect id="_x0000_i1102" style="width:480.95pt;height:1pt" o:hralign="center" o:hrstd="t" o:hrnoshade="t" o:hr="t" fillcolor="black [3213]" stroked="f"/>
      </w:pict>
    </w:r>
  </w:p>
  <w:p w:rsidR="00DC6331" w:rsidRDefault="00DC6331" w:rsidP="0022323B">
    <w:pPr>
      <w:tabs>
        <w:tab w:val="center" w:pos="4740"/>
      </w:tabs>
      <w:spacing w:line="0" w:lineRule="atLeast"/>
    </w:pPr>
    <w:r>
      <w:tab/>
      <w:t xml:space="preserve">- </w:t>
    </w:r>
    <w:r w:rsidR="00D4264C">
      <w:fldChar w:fldCharType="begin"/>
    </w:r>
    <w:r w:rsidR="00D4264C">
      <w:instrText xml:space="preserve"> PAGE   \* MERGEFORMAT </w:instrText>
    </w:r>
    <w:r w:rsidR="00D4264C">
      <w:fldChar w:fldCharType="separate"/>
    </w:r>
    <w:r w:rsidR="007871B3">
      <w:rPr>
        <w:noProof/>
      </w:rPr>
      <w:t>2059</w:t>
    </w:r>
    <w:r w:rsidR="00D4264C">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Pr="00924065" w:rsidRDefault="00DC633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755F22">
    <w:pPr>
      <w:tabs>
        <w:tab w:val="left" w:pos="-1440"/>
        <w:tab w:val="left" w:pos="-720"/>
      </w:tabs>
    </w:pPr>
    <w:r>
      <w:pict>
        <v:rect id="_x0000_i1039" style="width:480.95pt;height:1pt" o:hralign="center" o:hrstd="t" o:hrnoshade="t" o:hr="t" fillcolor="black [3213]" stroked="f"/>
      </w:pict>
    </w:r>
  </w:p>
  <w:p w:rsidR="00DC6331" w:rsidRPr="00954D22" w:rsidRDefault="00DC6331" w:rsidP="00B7374B">
    <w:pPr>
      <w:tabs>
        <w:tab w:val="center" w:pos="4680"/>
      </w:tabs>
      <w:rPr>
        <w:szCs w:val="24"/>
      </w:rPr>
    </w:pPr>
    <w:r w:rsidRPr="00954D22">
      <w:rPr>
        <w:szCs w:val="24"/>
      </w:rPr>
      <w:tab/>
      <w:t xml:space="preserve">- </w:t>
    </w:r>
    <w:r w:rsidR="00BD696F">
      <w:rPr>
        <w:szCs w:val="24"/>
      </w:rPr>
      <w:fldChar w:fldCharType="begin"/>
    </w:r>
    <w:r>
      <w:rPr>
        <w:szCs w:val="24"/>
      </w:rPr>
      <w:instrText xml:space="preserve"> PAGE   \* MERGEFORMAT </w:instrText>
    </w:r>
    <w:r w:rsidR="00BD696F">
      <w:rPr>
        <w:szCs w:val="24"/>
      </w:rPr>
      <w:fldChar w:fldCharType="separate"/>
    </w:r>
    <w:r w:rsidR="007871B3">
      <w:rPr>
        <w:noProof/>
        <w:szCs w:val="24"/>
      </w:rPr>
      <w:t>2023</w:t>
    </w:r>
    <w:r w:rsidR="00BD696F">
      <w:rPr>
        <w:szCs w:val="24"/>
      </w:rPr>
      <w:fldChar w:fldCharType="end"/>
    </w:r>
    <w:r w:rsidRPr="00954D22">
      <w:rPr>
        <w:szCs w:val="24"/>
      </w:rPr>
      <w:t xml:space="preserve"> -</w:t>
    </w:r>
  </w:p>
  <w:p w:rsidR="00DC6331" w:rsidRDefault="00DC6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A87207">
    <w:pPr>
      <w:pStyle w:val="Footer"/>
    </w:pPr>
    <w:r>
      <w:pict>
        <v:rect id="_x0000_i1041" style="width:480.95pt;height:1pt" o:hralign="center" o:hrstd="t" o:hrnoshade="t" o:hr="t" fillcolor="black [3213]" stroked="f"/>
      </w:pict>
    </w:r>
  </w:p>
  <w:p w:rsidR="00DC6331" w:rsidRPr="00B7374B" w:rsidRDefault="00DC6331" w:rsidP="00B7374B">
    <w:pPr>
      <w:tabs>
        <w:tab w:val="center" w:pos="4680"/>
      </w:tabs>
      <w:rPr>
        <w:szCs w:val="24"/>
      </w:rPr>
    </w:pPr>
    <w:r w:rsidRPr="00954D22">
      <w:rPr>
        <w:szCs w:val="24"/>
      </w:rPr>
      <w:tab/>
      <w:t xml:space="preserve">- </w:t>
    </w:r>
    <w:r w:rsidR="00BD696F" w:rsidRPr="00954D22">
      <w:rPr>
        <w:szCs w:val="24"/>
      </w:rPr>
      <w:fldChar w:fldCharType="begin"/>
    </w:r>
    <w:r w:rsidRPr="00954D22">
      <w:rPr>
        <w:szCs w:val="24"/>
      </w:rPr>
      <w:instrText xml:space="preserve"> PAGE   \* MERGEFORMAT </w:instrText>
    </w:r>
    <w:r w:rsidR="00BD696F" w:rsidRPr="00954D22">
      <w:rPr>
        <w:szCs w:val="24"/>
      </w:rPr>
      <w:fldChar w:fldCharType="separate"/>
    </w:r>
    <w:r>
      <w:rPr>
        <w:noProof/>
        <w:szCs w:val="24"/>
      </w:rPr>
      <w:t>503</w:t>
    </w:r>
    <w:r w:rsidR="00BD696F"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2" style="width:480.95pt;height:1pt" o:hralign="center" o:hrstd="t" o:hrnoshade="t" o:hr="t" fillcolor="black [3213]" stroked="f"/>
      </w:pict>
    </w:r>
  </w:p>
  <w:p w:rsidR="00DC6331" w:rsidRPr="00954D22" w:rsidRDefault="00DC6331" w:rsidP="00B7374B">
    <w:pPr>
      <w:tabs>
        <w:tab w:val="center" w:pos="4680"/>
      </w:tabs>
      <w:rPr>
        <w:szCs w:val="24"/>
      </w:rPr>
    </w:pPr>
    <w:r w:rsidRPr="00954D22">
      <w:rPr>
        <w:szCs w:val="24"/>
      </w:rPr>
      <w:tab/>
      <w:t xml:space="preserve">- </w:t>
    </w:r>
    <w:r w:rsidR="00BD696F" w:rsidRPr="00954D22">
      <w:rPr>
        <w:szCs w:val="24"/>
      </w:rPr>
      <w:fldChar w:fldCharType="begin"/>
    </w:r>
    <w:r w:rsidRPr="00954D22">
      <w:rPr>
        <w:szCs w:val="24"/>
      </w:rPr>
      <w:instrText xml:space="preserve"> PAGE   \* MERGEFORMAT </w:instrText>
    </w:r>
    <w:r w:rsidR="00BD696F" w:rsidRPr="00954D22">
      <w:rPr>
        <w:szCs w:val="24"/>
      </w:rPr>
      <w:fldChar w:fldCharType="separate"/>
    </w:r>
    <w:r w:rsidR="007871B3">
      <w:rPr>
        <w:noProof/>
        <w:szCs w:val="24"/>
      </w:rPr>
      <w:t>2025</w:t>
    </w:r>
    <w:r w:rsidR="00BD696F"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DC6331"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331" w:rsidRDefault="00DC6331">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DC6331" w:rsidRPr="0009648D" w:rsidRDefault="00DC6331" w:rsidP="00ED7E83">
    <w:pPr>
      <w:tabs>
        <w:tab w:val="center" w:pos="4680"/>
      </w:tabs>
    </w:pPr>
    <w:r>
      <w:tab/>
    </w:r>
    <w:r w:rsidRPr="0009648D">
      <w:t xml:space="preserve">- </w:t>
    </w:r>
    <w:r w:rsidR="00D4264C">
      <w:fldChar w:fldCharType="begin"/>
    </w:r>
    <w:r w:rsidR="00D4264C">
      <w:instrText xml:space="preserve"> PAGE   \* MERGEFORMAT </w:instrText>
    </w:r>
    <w:r w:rsidR="00D4264C">
      <w:fldChar w:fldCharType="separate"/>
    </w:r>
    <w:r w:rsidR="007871B3">
      <w:rPr>
        <w:noProof/>
      </w:rPr>
      <w:t>2041</w:t>
    </w:r>
    <w:r w:rsidR="00D4264C">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pPr>
      <w:pStyle w:val="Footer"/>
      <w:rPr>
        <w:lang w:val="fr-CA"/>
      </w:rPr>
    </w:pPr>
    <w:r>
      <w:rPr>
        <w:lang w:val="fr-CA"/>
      </w:rPr>
      <w:pict>
        <v:rect id="_x0000_i1070" style="width:480.95pt;height:1pt" o:hralign="center" o:hrstd="t" o:hrnoshade="t" o:hr="t" fillcolor="black [3213]" stroked="f"/>
      </w:pict>
    </w:r>
  </w:p>
  <w:p w:rsidR="00DC6331" w:rsidRDefault="00DC6331" w:rsidP="00245129">
    <w:pPr>
      <w:tabs>
        <w:tab w:val="center" w:pos="4680"/>
      </w:tabs>
    </w:pPr>
    <w:r>
      <w:tab/>
    </w:r>
    <w:r w:rsidRPr="0009648D">
      <w:t xml:space="preserve">- </w:t>
    </w:r>
    <w:r w:rsidR="00D4264C">
      <w:fldChar w:fldCharType="begin"/>
    </w:r>
    <w:r w:rsidR="00D4264C">
      <w:instrText xml:space="preserve"> PAGE   \* MERGEFORMAT </w:instrText>
    </w:r>
    <w:r w:rsidR="00D4264C">
      <w:fldChar w:fldCharType="separate"/>
    </w:r>
    <w:r w:rsidR="007871B3">
      <w:rPr>
        <w:noProof/>
      </w:rPr>
      <w:t>2026</w:t>
    </w:r>
    <w:r w:rsidR="00D4264C">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C6331"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C6331" w:rsidRDefault="00DC633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7871B3" w:rsidP="00732DB7">
    <w:r>
      <w:pict>
        <v:rect id="_x0000_i1073" style="width:480.95pt;height:1pt" o:hralign="center" o:hrstd="t" o:hrnoshade="t" o:hr="t" fillcolor="black" stroked="f"/>
      </w:pict>
    </w:r>
  </w:p>
  <w:p w:rsidR="00DC6331" w:rsidRDefault="00DC6331">
    <w:pPr>
      <w:tabs>
        <w:tab w:val="center" w:pos="4740"/>
      </w:tabs>
      <w:spacing w:line="0" w:lineRule="atLeast"/>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31" w:rsidRDefault="00DC6331" w:rsidP="00A87207">
      <w:r>
        <w:separator/>
      </w:r>
    </w:p>
  </w:footnote>
  <w:footnote w:type="continuationSeparator" w:id="0">
    <w:p w:rsidR="00DC6331" w:rsidRDefault="00DC633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DC6331" w:rsidRPr="0044776A" w:rsidTr="00245129">
      <w:tc>
        <w:tcPr>
          <w:tcW w:w="4290" w:type="dxa"/>
          <w:tcMar>
            <w:left w:w="0" w:type="dxa"/>
            <w:right w:w="0" w:type="dxa"/>
          </w:tcMar>
        </w:tcPr>
        <w:p w:rsidR="00DC6331" w:rsidRPr="0044776A" w:rsidRDefault="00DC633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DC6331" w:rsidRPr="0044776A" w:rsidRDefault="00DC6331" w:rsidP="002E2327">
          <w:pPr>
            <w:keepNext/>
            <w:keepLines/>
            <w:tabs>
              <w:tab w:val="left" w:pos="-1440"/>
              <w:tab w:val="left" w:pos="-720"/>
            </w:tabs>
            <w:jc w:val="center"/>
            <w:rPr>
              <w:sz w:val="20"/>
              <w:szCs w:val="20"/>
            </w:rPr>
          </w:pPr>
        </w:p>
        <w:p w:rsidR="00DC6331" w:rsidRPr="0044776A" w:rsidRDefault="00DC6331" w:rsidP="002E2327">
          <w:pPr>
            <w:keepNext/>
            <w:keepLines/>
            <w:tabs>
              <w:tab w:val="left" w:pos="-1440"/>
              <w:tab w:val="left" w:pos="-720"/>
            </w:tabs>
            <w:jc w:val="center"/>
            <w:rPr>
              <w:sz w:val="20"/>
              <w:szCs w:val="20"/>
            </w:rPr>
          </w:pPr>
        </w:p>
        <w:p w:rsidR="00DC6331" w:rsidRPr="0044776A" w:rsidRDefault="00DC6331" w:rsidP="002E2327">
          <w:pPr>
            <w:keepNext/>
            <w:keepLines/>
            <w:tabs>
              <w:tab w:val="left" w:pos="-1440"/>
              <w:tab w:val="left" w:pos="-720"/>
            </w:tabs>
            <w:jc w:val="center"/>
            <w:rPr>
              <w:sz w:val="20"/>
              <w:szCs w:val="20"/>
            </w:rPr>
          </w:pPr>
        </w:p>
      </w:tc>
      <w:tc>
        <w:tcPr>
          <w:tcW w:w="4320" w:type="dxa"/>
          <w:tcMar>
            <w:left w:w="0" w:type="dxa"/>
            <w:right w:w="0" w:type="dxa"/>
          </w:tcMar>
        </w:tcPr>
        <w:p w:rsidR="00DC6331" w:rsidRPr="0044776A" w:rsidRDefault="00DC6331" w:rsidP="002E2327">
          <w:pPr>
            <w:keepLines/>
            <w:rPr>
              <w:sz w:val="20"/>
              <w:szCs w:val="20"/>
              <w:lang w:val="fr-CA"/>
            </w:rPr>
          </w:pPr>
          <w:r w:rsidRPr="0044776A">
            <w:rPr>
              <w:sz w:val="20"/>
              <w:szCs w:val="20"/>
              <w:lang w:val="fr-CA"/>
            </w:rPr>
            <w:t>DEMANDES D'AUTORISATION D'APPEL DÉPOSÉES</w:t>
          </w:r>
        </w:p>
      </w:tc>
    </w:tr>
  </w:tbl>
  <w:p w:rsidR="00DC6331" w:rsidRDefault="00DC63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331">
      <w:tc>
        <w:tcPr>
          <w:tcW w:w="4200" w:type="dxa"/>
          <w:tcMar>
            <w:left w:w="0" w:type="dxa"/>
            <w:right w:w="0" w:type="dxa"/>
          </w:tcMar>
        </w:tcPr>
        <w:p w:rsidR="00DC6331" w:rsidRDefault="00DC63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DC6331" w:rsidRDefault="00DC63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DC6331" w:rsidRDefault="00DC633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DC6331" w:rsidRDefault="00DC633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DC6331" w:rsidRDefault="00DC63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DC6331" w:rsidRDefault="00DC633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331" w:rsidRPr="00C50A5C" w:rsidTr="00245129">
      <w:tc>
        <w:tcPr>
          <w:tcW w:w="4200" w:type="dxa"/>
          <w:tcMar>
            <w:left w:w="0" w:type="dxa"/>
            <w:right w:w="0" w:type="dxa"/>
          </w:tcMar>
        </w:tcPr>
        <w:p w:rsidR="00DC6331" w:rsidRPr="00C50A5C" w:rsidRDefault="00DC6331" w:rsidP="00C44DB8">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 xml:space="preserve">AGENDA FOR </w:t>
          </w:r>
          <w:r>
            <w:rPr>
              <w:sz w:val="20"/>
              <w:szCs w:val="20"/>
            </w:rPr>
            <w:t>J</w:t>
          </w:r>
          <w:r w:rsidRPr="00C50A5C">
            <w:rPr>
              <w:sz w:val="20"/>
              <w:szCs w:val="20"/>
            </w:rPr>
            <w:t>A</w:t>
          </w:r>
          <w:r>
            <w:rPr>
              <w:sz w:val="20"/>
              <w:szCs w:val="20"/>
            </w:rPr>
            <w:t>NUARY 2015</w:t>
          </w:r>
        </w:p>
      </w:tc>
      <w:tc>
        <w:tcPr>
          <w:tcW w:w="1200" w:type="dxa"/>
          <w:tcMar>
            <w:left w:w="0" w:type="dxa"/>
            <w:right w:w="0" w:type="dxa"/>
          </w:tcMar>
        </w:tcPr>
        <w:p w:rsidR="00DC6331" w:rsidRPr="00C50A5C" w:rsidRDefault="00DC63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DC6331" w:rsidRPr="00C50A5C" w:rsidRDefault="00DC633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DC6331" w:rsidRPr="00C50A5C" w:rsidRDefault="00DC6331" w:rsidP="00C44DB8">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 xml:space="preserve">CALENDRIER DE </w:t>
          </w:r>
          <w:r>
            <w:rPr>
              <w:sz w:val="20"/>
              <w:szCs w:val="20"/>
              <w:lang w:val="fr-CA"/>
            </w:rPr>
            <w:t>J</w:t>
          </w:r>
          <w:r w:rsidRPr="00C50A5C">
            <w:rPr>
              <w:sz w:val="20"/>
              <w:szCs w:val="20"/>
              <w:lang w:val="fr-CA"/>
            </w:rPr>
            <w:t>A</w:t>
          </w:r>
          <w:r>
            <w:rPr>
              <w:sz w:val="20"/>
              <w:szCs w:val="20"/>
              <w:lang w:val="fr-CA"/>
            </w:rPr>
            <w:t>NVI</w:t>
          </w:r>
          <w:r w:rsidRPr="00C50A5C">
            <w:rPr>
              <w:sz w:val="20"/>
              <w:szCs w:val="20"/>
              <w:lang w:val="fr-CA"/>
            </w:rPr>
            <w:t>E</w:t>
          </w:r>
          <w:r>
            <w:rPr>
              <w:sz w:val="20"/>
              <w:szCs w:val="20"/>
              <w:lang w:val="fr-CA"/>
            </w:rPr>
            <w:t>R 2015</w:t>
          </w:r>
        </w:p>
      </w:tc>
    </w:tr>
  </w:tbl>
  <w:p w:rsidR="00DC6331" w:rsidRDefault="00DC633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331" w:rsidRPr="005F263E" w:rsidTr="00245129">
      <w:tc>
        <w:tcPr>
          <w:tcW w:w="4200" w:type="dxa"/>
          <w:tcMar>
            <w:left w:w="0" w:type="dxa"/>
            <w:right w:w="0" w:type="dxa"/>
          </w:tcMar>
        </w:tcPr>
        <w:p w:rsidR="00DC6331" w:rsidRPr="005F263E" w:rsidRDefault="00DC633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DC6331" w:rsidRPr="005F263E" w:rsidRDefault="00DC6331" w:rsidP="00245129">
          <w:pPr>
            <w:keepNext/>
            <w:keepLines/>
            <w:tabs>
              <w:tab w:val="left" w:pos="-1440"/>
              <w:tab w:val="left" w:pos="-720"/>
            </w:tabs>
            <w:jc w:val="center"/>
            <w:rPr>
              <w:sz w:val="20"/>
              <w:szCs w:val="20"/>
            </w:rPr>
          </w:pPr>
        </w:p>
        <w:p w:rsidR="00DC6331" w:rsidRPr="005F263E" w:rsidRDefault="00DC6331" w:rsidP="00245129">
          <w:pPr>
            <w:keepNext/>
            <w:keepLines/>
            <w:tabs>
              <w:tab w:val="left" w:pos="-1440"/>
              <w:tab w:val="left" w:pos="-720"/>
            </w:tabs>
            <w:jc w:val="center"/>
            <w:rPr>
              <w:sz w:val="20"/>
              <w:szCs w:val="20"/>
            </w:rPr>
          </w:pPr>
        </w:p>
      </w:tc>
      <w:tc>
        <w:tcPr>
          <w:tcW w:w="4080" w:type="dxa"/>
          <w:tcMar>
            <w:left w:w="0" w:type="dxa"/>
            <w:right w:w="0" w:type="dxa"/>
          </w:tcMar>
        </w:tcPr>
        <w:p w:rsidR="00DC6331" w:rsidRPr="005F263E" w:rsidRDefault="00DC6331" w:rsidP="00245129">
          <w:pPr>
            <w:keepLines/>
            <w:tabs>
              <w:tab w:val="left" w:pos="-1440"/>
              <w:tab w:val="left" w:pos="-720"/>
            </w:tabs>
            <w:rPr>
              <w:sz w:val="20"/>
              <w:szCs w:val="20"/>
            </w:rPr>
          </w:pPr>
          <w:r w:rsidRPr="005F263E">
            <w:rPr>
              <w:sz w:val="20"/>
              <w:szCs w:val="20"/>
            </w:rPr>
            <w:t>RÉSUMÉS DES AFFAIRES</w:t>
          </w:r>
        </w:p>
      </w:tc>
    </w:tr>
  </w:tbl>
  <w:p w:rsidR="00DC6331" w:rsidRDefault="00DC6331" w:rsidP="005F26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331" w:rsidRPr="009723FD" w:rsidTr="00245129">
      <w:tc>
        <w:tcPr>
          <w:tcW w:w="4200" w:type="dxa"/>
          <w:tcMar>
            <w:left w:w="0" w:type="dxa"/>
            <w:right w:w="0" w:type="dxa"/>
          </w:tcMar>
        </w:tcPr>
        <w:p w:rsidR="00DC6331" w:rsidRPr="0044776A" w:rsidRDefault="00DC6331" w:rsidP="0044776A">
          <w:pPr>
            <w:keepNext/>
            <w:keepLines/>
            <w:widowControl w:val="0"/>
            <w:rPr>
              <w:sz w:val="20"/>
              <w:szCs w:val="20"/>
            </w:rPr>
          </w:pPr>
          <w:r>
            <w:rPr>
              <w:sz w:val="20"/>
              <w:szCs w:val="20"/>
            </w:rPr>
            <w:t>APPLICATIONS FOR LEAVE</w:t>
          </w:r>
        </w:p>
        <w:p w:rsidR="00DC6331" w:rsidRPr="0044776A" w:rsidRDefault="00DC633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C6331" w:rsidRPr="0044776A" w:rsidRDefault="00DC6331" w:rsidP="0044776A">
          <w:pPr>
            <w:keepNext/>
            <w:keepLines/>
            <w:widowControl w:val="0"/>
            <w:jc w:val="center"/>
            <w:rPr>
              <w:sz w:val="20"/>
              <w:szCs w:val="20"/>
            </w:rPr>
          </w:pPr>
        </w:p>
        <w:p w:rsidR="00DC6331" w:rsidRPr="0044776A" w:rsidRDefault="00DC6331" w:rsidP="0044776A">
          <w:pPr>
            <w:keepNext/>
            <w:keepLines/>
            <w:widowControl w:val="0"/>
            <w:jc w:val="center"/>
            <w:rPr>
              <w:sz w:val="20"/>
              <w:szCs w:val="20"/>
            </w:rPr>
          </w:pPr>
        </w:p>
        <w:p w:rsidR="00DC6331" w:rsidRPr="0044776A" w:rsidRDefault="00DC6331" w:rsidP="0044776A">
          <w:pPr>
            <w:keepNext/>
            <w:keepLines/>
            <w:widowControl w:val="0"/>
            <w:jc w:val="center"/>
            <w:rPr>
              <w:sz w:val="20"/>
              <w:szCs w:val="20"/>
            </w:rPr>
          </w:pPr>
        </w:p>
      </w:tc>
      <w:tc>
        <w:tcPr>
          <w:tcW w:w="4080" w:type="dxa"/>
          <w:tcMar>
            <w:left w:w="0" w:type="dxa"/>
            <w:right w:w="0" w:type="dxa"/>
          </w:tcMar>
        </w:tcPr>
        <w:p w:rsidR="00DC6331" w:rsidRPr="0044776A" w:rsidRDefault="00DC6331" w:rsidP="0044776A">
          <w:pPr>
            <w:keepLines/>
            <w:widowControl w:val="0"/>
            <w:rPr>
              <w:sz w:val="20"/>
              <w:szCs w:val="20"/>
              <w:lang w:val="fr-CA"/>
            </w:rPr>
          </w:pPr>
          <w:r w:rsidRPr="0044776A">
            <w:rPr>
              <w:sz w:val="20"/>
              <w:szCs w:val="20"/>
              <w:lang w:val="fr-CA"/>
            </w:rPr>
            <w:t>DEMANDES SOUMISES À LA COUR DEPUIS LA DERNIÈRE PARUTION</w:t>
          </w:r>
        </w:p>
        <w:p w:rsidR="00DC6331" w:rsidRPr="0044776A" w:rsidRDefault="00DC6331" w:rsidP="0044776A">
          <w:pPr>
            <w:widowControl w:val="0"/>
            <w:rPr>
              <w:sz w:val="20"/>
              <w:szCs w:val="20"/>
              <w:lang w:val="fr-CA"/>
            </w:rPr>
          </w:pPr>
        </w:p>
      </w:tc>
    </w:tr>
  </w:tbl>
  <w:p w:rsidR="00DC6331" w:rsidRPr="002E2327" w:rsidRDefault="00DC6331">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331" w:rsidRPr="009723FD">
      <w:tc>
        <w:tcPr>
          <w:tcW w:w="4200" w:type="dxa"/>
          <w:tcMar>
            <w:left w:w="0" w:type="dxa"/>
            <w:right w:w="0" w:type="dxa"/>
          </w:tcMar>
        </w:tcPr>
        <w:p w:rsidR="00DC6331" w:rsidRDefault="00DC63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DC6331" w:rsidRDefault="00DC63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DC6331" w:rsidRDefault="00DC63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331" w:rsidRPr="00FF6BA5" w:rsidRDefault="00DC63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DC6331" w:rsidRPr="00FF6BA5"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DC6331" w:rsidRPr="00FF6BA5"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DC6331" w:rsidRPr="00FF6BA5"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331" w:rsidRPr="001D3AE0" w:rsidTr="00245129">
      <w:tc>
        <w:tcPr>
          <w:tcW w:w="4200" w:type="dxa"/>
          <w:tcMar>
            <w:left w:w="0" w:type="dxa"/>
            <w:right w:w="0" w:type="dxa"/>
          </w:tcMar>
        </w:tcPr>
        <w:p w:rsidR="00DC6331" w:rsidRPr="00755F22" w:rsidRDefault="000F7E6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TAXATION OF COSTS</w:t>
          </w:r>
        </w:p>
      </w:tc>
      <w:tc>
        <w:tcPr>
          <w:tcW w:w="1200" w:type="dxa"/>
          <w:tcMar>
            <w:left w:w="0" w:type="dxa"/>
            <w:right w:w="0" w:type="dxa"/>
          </w:tcMar>
        </w:tcPr>
        <w:p w:rsidR="00DC6331" w:rsidRPr="00755F22" w:rsidRDefault="00DC63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6331" w:rsidRPr="00755F22" w:rsidRDefault="00DC63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DC6331" w:rsidRPr="00755F22" w:rsidRDefault="00DC633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DC6331" w:rsidRPr="00755F22" w:rsidRDefault="000F7E6D">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Pr>
              <w:sz w:val="20"/>
              <w:szCs w:val="20"/>
              <w:lang w:val="fr-CA"/>
            </w:rPr>
            <w:t>TAXATION DES DEPENS</w:t>
          </w:r>
        </w:p>
      </w:tc>
    </w:tr>
  </w:tbl>
  <w:p w:rsidR="00DC6331" w:rsidRPr="00FF6BA5" w:rsidRDefault="00DC6331"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31" w:rsidRDefault="00DC63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C6331" w:rsidRPr="009723FD">
      <w:tc>
        <w:tcPr>
          <w:tcW w:w="4200" w:type="dxa"/>
          <w:tcMar>
            <w:left w:w="0" w:type="dxa"/>
            <w:right w:w="0" w:type="dxa"/>
          </w:tcMar>
        </w:tcPr>
        <w:p w:rsidR="00DC6331" w:rsidRDefault="00DC63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DC6331" w:rsidRDefault="00DC63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DC6331" w:rsidRPr="00283C52" w:rsidRDefault="00DC633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DC6331" w:rsidRPr="00283C52"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DC6331" w:rsidRPr="00283C52" w:rsidRDefault="00DC63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C6331" w:rsidRPr="009723FD" w:rsidTr="00245129">
      <w:tc>
        <w:tcPr>
          <w:tcW w:w="4200" w:type="dxa"/>
          <w:tcMar>
            <w:left w:w="0" w:type="dxa"/>
            <w:right w:w="0" w:type="dxa"/>
          </w:tcMar>
        </w:tcPr>
        <w:p w:rsidR="00DC6331" w:rsidRPr="00732DB7" w:rsidRDefault="00DC633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DC6331" w:rsidRPr="00732DB7" w:rsidRDefault="00DC6331" w:rsidP="00732DB7">
          <w:pPr>
            <w:keepNext/>
            <w:keepLines/>
            <w:tabs>
              <w:tab w:val="left" w:pos="-1440"/>
              <w:tab w:val="left" w:pos="-720"/>
            </w:tabs>
            <w:jc w:val="center"/>
            <w:rPr>
              <w:sz w:val="20"/>
              <w:szCs w:val="20"/>
            </w:rPr>
          </w:pPr>
        </w:p>
        <w:p w:rsidR="00DC6331" w:rsidRPr="00732DB7" w:rsidRDefault="00DC6331" w:rsidP="00732DB7">
          <w:pPr>
            <w:keepNext/>
            <w:keepLines/>
            <w:tabs>
              <w:tab w:val="left" w:pos="-1440"/>
              <w:tab w:val="left" w:pos="-720"/>
            </w:tabs>
            <w:jc w:val="center"/>
            <w:rPr>
              <w:sz w:val="20"/>
              <w:szCs w:val="20"/>
            </w:rPr>
          </w:pPr>
        </w:p>
        <w:p w:rsidR="00DC6331" w:rsidRPr="00732DB7" w:rsidRDefault="00DC6331" w:rsidP="00732DB7">
          <w:pPr>
            <w:keepNext/>
            <w:keepLines/>
            <w:tabs>
              <w:tab w:val="left" w:pos="-1440"/>
              <w:tab w:val="left" w:pos="-720"/>
            </w:tabs>
            <w:jc w:val="center"/>
            <w:rPr>
              <w:sz w:val="20"/>
              <w:szCs w:val="20"/>
            </w:rPr>
          </w:pPr>
        </w:p>
      </w:tc>
      <w:tc>
        <w:tcPr>
          <w:tcW w:w="4080" w:type="dxa"/>
          <w:tcMar>
            <w:left w:w="0" w:type="dxa"/>
            <w:right w:w="0" w:type="dxa"/>
          </w:tcMar>
        </w:tcPr>
        <w:p w:rsidR="00DC6331" w:rsidRPr="00732DB7" w:rsidRDefault="00DC633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DC6331" w:rsidRPr="00283C52" w:rsidRDefault="00DC633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31B"/>
    <w:multiLevelType w:val="hybridMultilevel"/>
    <w:tmpl w:val="68D67AF4"/>
    <w:lvl w:ilvl="0" w:tplc="CA52217E">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 w15:restartNumberingAfterBreak="0">
    <w:nsid w:val="12E93A3E"/>
    <w:multiLevelType w:val="hybridMultilevel"/>
    <w:tmpl w:val="68D67AF4"/>
    <w:lvl w:ilvl="0" w:tplc="CA52217E">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13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11"/>
    <w:rsid w:val="0003223B"/>
    <w:rsid w:val="000327B2"/>
    <w:rsid w:val="0004528B"/>
    <w:rsid w:val="00051EE1"/>
    <w:rsid w:val="000602F9"/>
    <w:rsid w:val="00060A79"/>
    <w:rsid w:val="000716E5"/>
    <w:rsid w:val="00072ECF"/>
    <w:rsid w:val="000867FD"/>
    <w:rsid w:val="00091FA6"/>
    <w:rsid w:val="00096BD9"/>
    <w:rsid w:val="000B3C9A"/>
    <w:rsid w:val="000B40A2"/>
    <w:rsid w:val="000B4624"/>
    <w:rsid w:val="000C0ACD"/>
    <w:rsid w:val="000C0D2A"/>
    <w:rsid w:val="000C5CE8"/>
    <w:rsid w:val="000D0813"/>
    <w:rsid w:val="000E2959"/>
    <w:rsid w:val="000F040D"/>
    <w:rsid w:val="000F0B60"/>
    <w:rsid w:val="000F7E6D"/>
    <w:rsid w:val="00102926"/>
    <w:rsid w:val="0010587F"/>
    <w:rsid w:val="00111C6B"/>
    <w:rsid w:val="0012102B"/>
    <w:rsid w:val="0013369E"/>
    <w:rsid w:val="00154438"/>
    <w:rsid w:val="00164E6D"/>
    <w:rsid w:val="00165B36"/>
    <w:rsid w:val="00183454"/>
    <w:rsid w:val="001B157C"/>
    <w:rsid w:val="001B4006"/>
    <w:rsid w:val="001B5C23"/>
    <w:rsid w:val="001B7CE9"/>
    <w:rsid w:val="001C757A"/>
    <w:rsid w:val="001D0D5F"/>
    <w:rsid w:val="001D3AE0"/>
    <w:rsid w:val="001D6B8C"/>
    <w:rsid w:val="001F1F83"/>
    <w:rsid w:val="001F40DF"/>
    <w:rsid w:val="001F6B2D"/>
    <w:rsid w:val="002021A9"/>
    <w:rsid w:val="00206393"/>
    <w:rsid w:val="002139A7"/>
    <w:rsid w:val="00215F7C"/>
    <w:rsid w:val="0022323B"/>
    <w:rsid w:val="00230158"/>
    <w:rsid w:val="002410B8"/>
    <w:rsid w:val="00242AEE"/>
    <w:rsid w:val="00245129"/>
    <w:rsid w:val="00245879"/>
    <w:rsid w:val="00267FD5"/>
    <w:rsid w:val="00273F9F"/>
    <w:rsid w:val="00274D34"/>
    <w:rsid w:val="00283ED8"/>
    <w:rsid w:val="002868D0"/>
    <w:rsid w:val="002A008C"/>
    <w:rsid w:val="002A27D1"/>
    <w:rsid w:val="002A4AFA"/>
    <w:rsid w:val="002B4021"/>
    <w:rsid w:val="002B516C"/>
    <w:rsid w:val="002C3D60"/>
    <w:rsid w:val="002D72EB"/>
    <w:rsid w:val="002E0F4C"/>
    <w:rsid w:val="002E14EB"/>
    <w:rsid w:val="002E2327"/>
    <w:rsid w:val="002E3583"/>
    <w:rsid w:val="002E5576"/>
    <w:rsid w:val="002F70A3"/>
    <w:rsid w:val="00306B75"/>
    <w:rsid w:val="00316133"/>
    <w:rsid w:val="003212CE"/>
    <w:rsid w:val="00331B52"/>
    <w:rsid w:val="003359D3"/>
    <w:rsid w:val="00347DB2"/>
    <w:rsid w:val="00355967"/>
    <w:rsid w:val="00382C47"/>
    <w:rsid w:val="00384384"/>
    <w:rsid w:val="003866AE"/>
    <w:rsid w:val="00397AFF"/>
    <w:rsid w:val="00397D31"/>
    <w:rsid w:val="003B3977"/>
    <w:rsid w:val="003E1D4C"/>
    <w:rsid w:val="003E488A"/>
    <w:rsid w:val="003E5CD2"/>
    <w:rsid w:val="004137A0"/>
    <w:rsid w:val="0042033A"/>
    <w:rsid w:val="00422D9A"/>
    <w:rsid w:val="00426E2D"/>
    <w:rsid w:val="00432989"/>
    <w:rsid w:val="004348EE"/>
    <w:rsid w:val="00440E24"/>
    <w:rsid w:val="0044776A"/>
    <w:rsid w:val="00460AFC"/>
    <w:rsid w:val="00460D65"/>
    <w:rsid w:val="0046540D"/>
    <w:rsid w:val="0047471F"/>
    <w:rsid w:val="004B10DD"/>
    <w:rsid w:val="004B195E"/>
    <w:rsid w:val="004B5C1F"/>
    <w:rsid w:val="004B66B4"/>
    <w:rsid w:val="004B7F60"/>
    <w:rsid w:val="004C1AAC"/>
    <w:rsid w:val="004D6346"/>
    <w:rsid w:val="004E1E0A"/>
    <w:rsid w:val="004F090E"/>
    <w:rsid w:val="00501F3C"/>
    <w:rsid w:val="0050263E"/>
    <w:rsid w:val="005053F2"/>
    <w:rsid w:val="0052229C"/>
    <w:rsid w:val="00527CC7"/>
    <w:rsid w:val="00571CA4"/>
    <w:rsid w:val="00582136"/>
    <w:rsid w:val="005C6840"/>
    <w:rsid w:val="005D755C"/>
    <w:rsid w:val="005F1ED8"/>
    <w:rsid w:val="005F263E"/>
    <w:rsid w:val="00600252"/>
    <w:rsid w:val="006075B1"/>
    <w:rsid w:val="00612A40"/>
    <w:rsid w:val="00624DF3"/>
    <w:rsid w:val="0062714A"/>
    <w:rsid w:val="00635E42"/>
    <w:rsid w:val="006439FE"/>
    <w:rsid w:val="00660D2B"/>
    <w:rsid w:val="006652A8"/>
    <w:rsid w:val="00675479"/>
    <w:rsid w:val="00680709"/>
    <w:rsid w:val="00696BF9"/>
    <w:rsid w:val="00697C62"/>
    <w:rsid w:val="006A329B"/>
    <w:rsid w:val="006A7EB8"/>
    <w:rsid w:val="006B6926"/>
    <w:rsid w:val="006B79BF"/>
    <w:rsid w:val="006C3F47"/>
    <w:rsid w:val="006C5F7A"/>
    <w:rsid w:val="006D5B52"/>
    <w:rsid w:val="006E06AF"/>
    <w:rsid w:val="006E59BB"/>
    <w:rsid w:val="006F08CD"/>
    <w:rsid w:val="006F350F"/>
    <w:rsid w:val="00703F8F"/>
    <w:rsid w:val="00715BD0"/>
    <w:rsid w:val="00732DB7"/>
    <w:rsid w:val="0074238B"/>
    <w:rsid w:val="00745EF7"/>
    <w:rsid w:val="007521B9"/>
    <w:rsid w:val="00755F22"/>
    <w:rsid w:val="0075688A"/>
    <w:rsid w:val="00766E4A"/>
    <w:rsid w:val="007820CE"/>
    <w:rsid w:val="00782AE4"/>
    <w:rsid w:val="007871B3"/>
    <w:rsid w:val="00791511"/>
    <w:rsid w:val="0079724F"/>
    <w:rsid w:val="007A3EAE"/>
    <w:rsid w:val="007C04FC"/>
    <w:rsid w:val="007C47C2"/>
    <w:rsid w:val="007C4CC4"/>
    <w:rsid w:val="007D1B76"/>
    <w:rsid w:val="007D3E0F"/>
    <w:rsid w:val="007E4282"/>
    <w:rsid w:val="007F387B"/>
    <w:rsid w:val="00802863"/>
    <w:rsid w:val="008112A9"/>
    <w:rsid w:val="00815B3C"/>
    <w:rsid w:val="0081610A"/>
    <w:rsid w:val="0082783A"/>
    <w:rsid w:val="00831CA9"/>
    <w:rsid w:val="00850E1F"/>
    <w:rsid w:val="00852284"/>
    <w:rsid w:val="0085476B"/>
    <w:rsid w:val="0086340B"/>
    <w:rsid w:val="00890FEB"/>
    <w:rsid w:val="00895E7E"/>
    <w:rsid w:val="008A5C1A"/>
    <w:rsid w:val="008D292F"/>
    <w:rsid w:val="008D459B"/>
    <w:rsid w:val="008E03DC"/>
    <w:rsid w:val="008E14BE"/>
    <w:rsid w:val="00902E51"/>
    <w:rsid w:val="00920477"/>
    <w:rsid w:val="00920628"/>
    <w:rsid w:val="00924065"/>
    <w:rsid w:val="00930D68"/>
    <w:rsid w:val="00932DB4"/>
    <w:rsid w:val="00933467"/>
    <w:rsid w:val="00941A4B"/>
    <w:rsid w:val="00946242"/>
    <w:rsid w:val="0095089C"/>
    <w:rsid w:val="0095096B"/>
    <w:rsid w:val="00956797"/>
    <w:rsid w:val="00970CD3"/>
    <w:rsid w:val="009723FA"/>
    <w:rsid w:val="009723FD"/>
    <w:rsid w:val="00984546"/>
    <w:rsid w:val="0098513A"/>
    <w:rsid w:val="00996510"/>
    <w:rsid w:val="009B30A7"/>
    <w:rsid w:val="009C7503"/>
    <w:rsid w:val="009D1F15"/>
    <w:rsid w:val="009D555E"/>
    <w:rsid w:val="009F3024"/>
    <w:rsid w:val="009F39BA"/>
    <w:rsid w:val="00A0355E"/>
    <w:rsid w:val="00A325AC"/>
    <w:rsid w:val="00A375D1"/>
    <w:rsid w:val="00A51D10"/>
    <w:rsid w:val="00A52A83"/>
    <w:rsid w:val="00A6552C"/>
    <w:rsid w:val="00A77B36"/>
    <w:rsid w:val="00A87207"/>
    <w:rsid w:val="00A8795E"/>
    <w:rsid w:val="00A935AA"/>
    <w:rsid w:val="00A956D3"/>
    <w:rsid w:val="00AA2DD0"/>
    <w:rsid w:val="00AA3E9E"/>
    <w:rsid w:val="00AB2201"/>
    <w:rsid w:val="00AD03B1"/>
    <w:rsid w:val="00AD1D34"/>
    <w:rsid w:val="00AD3259"/>
    <w:rsid w:val="00AF1715"/>
    <w:rsid w:val="00AF3904"/>
    <w:rsid w:val="00AF70E7"/>
    <w:rsid w:val="00B010C0"/>
    <w:rsid w:val="00B01CCF"/>
    <w:rsid w:val="00B1341C"/>
    <w:rsid w:val="00B232DB"/>
    <w:rsid w:val="00B2650E"/>
    <w:rsid w:val="00B35F64"/>
    <w:rsid w:val="00B4740D"/>
    <w:rsid w:val="00B5725B"/>
    <w:rsid w:val="00B61629"/>
    <w:rsid w:val="00B7374B"/>
    <w:rsid w:val="00B90DC0"/>
    <w:rsid w:val="00BA116A"/>
    <w:rsid w:val="00BA5582"/>
    <w:rsid w:val="00BA6468"/>
    <w:rsid w:val="00BB1AA3"/>
    <w:rsid w:val="00BB1D44"/>
    <w:rsid w:val="00BC62E1"/>
    <w:rsid w:val="00BD06DA"/>
    <w:rsid w:val="00BD0ADB"/>
    <w:rsid w:val="00BD4217"/>
    <w:rsid w:val="00BD696F"/>
    <w:rsid w:val="00BE1468"/>
    <w:rsid w:val="00BF25F3"/>
    <w:rsid w:val="00BF4AA5"/>
    <w:rsid w:val="00C1697B"/>
    <w:rsid w:val="00C17077"/>
    <w:rsid w:val="00C21644"/>
    <w:rsid w:val="00C21CB5"/>
    <w:rsid w:val="00C44DB8"/>
    <w:rsid w:val="00C46376"/>
    <w:rsid w:val="00C50A5C"/>
    <w:rsid w:val="00C50FDF"/>
    <w:rsid w:val="00C63381"/>
    <w:rsid w:val="00C73D06"/>
    <w:rsid w:val="00C73E1B"/>
    <w:rsid w:val="00C759B4"/>
    <w:rsid w:val="00C77713"/>
    <w:rsid w:val="00C85BB7"/>
    <w:rsid w:val="00CA2DEA"/>
    <w:rsid w:val="00CB3520"/>
    <w:rsid w:val="00CB43D5"/>
    <w:rsid w:val="00CC3535"/>
    <w:rsid w:val="00CC4D84"/>
    <w:rsid w:val="00CC50AF"/>
    <w:rsid w:val="00CE198A"/>
    <w:rsid w:val="00CF08C8"/>
    <w:rsid w:val="00CF2ECD"/>
    <w:rsid w:val="00D004FC"/>
    <w:rsid w:val="00D27B1F"/>
    <w:rsid w:val="00D4264C"/>
    <w:rsid w:val="00D4595E"/>
    <w:rsid w:val="00D600FB"/>
    <w:rsid w:val="00D61942"/>
    <w:rsid w:val="00D64901"/>
    <w:rsid w:val="00D668B7"/>
    <w:rsid w:val="00D74439"/>
    <w:rsid w:val="00D76BDF"/>
    <w:rsid w:val="00D862C1"/>
    <w:rsid w:val="00D9011E"/>
    <w:rsid w:val="00D93B50"/>
    <w:rsid w:val="00D94028"/>
    <w:rsid w:val="00D94670"/>
    <w:rsid w:val="00DA46F6"/>
    <w:rsid w:val="00DA6CFD"/>
    <w:rsid w:val="00DC6331"/>
    <w:rsid w:val="00DD0B49"/>
    <w:rsid w:val="00DE0502"/>
    <w:rsid w:val="00DE349D"/>
    <w:rsid w:val="00E06DFA"/>
    <w:rsid w:val="00E1784F"/>
    <w:rsid w:val="00E20A0A"/>
    <w:rsid w:val="00E240C2"/>
    <w:rsid w:val="00E356C7"/>
    <w:rsid w:val="00E41A5A"/>
    <w:rsid w:val="00E45FE4"/>
    <w:rsid w:val="00E64FA7"/>
    <w:rsid w:val="00E770CB"/>
    <w:rsid w:val="00E903A1"/>
    <w:rsid w:val="00E940EB"/>
    <w:rsid w:val="00E969D5"/>
    <w:rsid w:val="00E9703F"/>
    <w:rsid w:val="00EB2B90"/>
    <w:rsid w:val="00EC1039"/>
    <w:rsid w:val="00ED6ADD"/>
    <w:rsid w:val="00ED7E83"/>
    <w:rsid w:val="00EE091F"/>
    <w:rsid w:val="00EE62AC"/>
    <w:rsid w:val="00EF4B63"/>
    <w:rsid w:val="00F0068D"/>
    <w:rsid w:val="00F0576D"/>
    <w:rsid w:val="00F07569"/>
    <w:rsid w:val="00F14E6D"/>
    <w:rsid w:val="00F15EA8"/>
    <w:rsid w:val="00F16C8D"/>
    <w:rsid w:val="00F26718"/>
    <w:rsid w:val="00F26C61"/>
    <w:rsid w:val="00F33CCE"/>
    <w:rsid w:val="00F40249"/>
    <w:rsid w:val="00F526C8"/>
    <w:rsid w:val="00F57487"/>
    <w:rsid w:val="00F761A3"/>
    <w:rsid w:val="00F76399"/>
    <w:rsid w:val="00F8759F"/>
    <w:rsid w:val="00F9272D"/>
    <w:rsid w:val="00F9518C"/>
    <w:rsid w:val="00FA316E"/>
    <w:rsid w:val="00FA59EF"/>
    <w:rsid w:val="00FB19A2"/>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13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styleId="BalloonText">
    <w:name w:val="Balloon Text"/>
    <w:basedOn w:val="Normal"/>
    <w:link w:val="BalloonTextChar"/>
    <w:uiPriority w:val="99"/>
    <w:semiHidden/>
    <w:unhideWhenUsed/>
    <w:rsid w:val="00E17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4F"/>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anlii.org/en/on/onca/doc/2014/2014onca147/2014onca147.html" TargetMode="External"/><Relationship Id="rId26" Type="http://schemas.openxmlformats.org/officeDocument/2006/relationships/hyperlink" Target="http://www.canlii.org/fr/qc/qcca/doc/2014/2014qcca891/2014qcca891.html" TargetMode="External"/><Relationship Id="rId39" Type="http://schemas.openxmlformats.org/officeDocument/2006/relationships/hyperlink" Target="http://www.canlii.org/fr/qc/qcca/doc/2014/2014qcca906/2014qcca906.html" TargetMode="External"/><Relationship Id="rId21" Type="http://schemas.openxmlformats.org/officeDocument/2006/relationships/hyperlink" Target="http://canlii.ca/t/g684h" TargetMode="External"/><Relationship Id="rId34" Type="http://schemas.openxmlformats.org/officeDocument/2006/relationships/hyperlink" Target="http://www.canlii.org/en/qc/qcca/doc/2014/2014qcca906/2014qcca906.html" TargetMode="External"/><Relationship Id="rId42" Type="http://schemas.openxmlformats.org/officeDocument/2006/relationships/hyperlink" Target="http://www.canlii.org/fr/qc/qccq/doc/2013/2013qccq11960/2013qccq11960.html" TargetMode="External"/><Relationship Id="rId47" Type="http://schemas.openxmlformats.org/officeDocument/2006/relationships/hyperlink" Target="http://www.canlii.org/en/bc/bcca/doc/2014/2014bcca205/2014bcca205.html?searchUrlHash=AAAAAQAUUGFraXN0YW4gU3RlZWwgTWlsbHMAAAAAAQ" TargetMode="External"/><Relationship Id="rId50" Type="http://schemas.openxmlformats.org/officeDocument/2006/relationships/hyperlink" Target="http://canlii.ca/t/fzt3f" TargetMode="External"/><Relationship Id="rId55" Type="http://schemas.openxmlformats.org/officeDocument/2006/relationships/hyperlink" Target="http://www.canlii.org/en/bc/bcsc/doc/2012/2012bcsc1265/2012bcsc1265.html" TargetMode="External"/><Relationship Id="rId63" Type="http://schemas.openxmlformats.org/officeDocument/2006/relationships/hyperlink" Target="http://canlii.ca/t/g8617" TargetMode="External"/><Relationship Id="rId68" Type="http://schemas.openxmlformats.org/officeDocument/2006/relationships/header" Target="header5.xml"/><Relationship Id="rId76" Type="http://schemas.openxmlformats.org/officeDocument/2006/relationships/header" Target="header9.xml"/><Relationship Id="rId84" Type="http://schemas.openxmlformats.org/officeDocument/2006/relationships/footer" Target="footer12.xml"/><Relationship Id="rId89" Type="http://schemas.openxmlformats.org/officeDocument/2006/relationships/header" Target="header14.xml"/><Relationship Id="rId7" Type="http://schemas.openxmlformats.org/officeDocument/2006/relationships/image" Target="media/image1.wmf"/><Relationship Id="rId71" Type="http://schemas.openxmlformats.org/officeDocument/2006/relationships/footer" Target="footer6.xml"/><Relationship Id="rId92"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www.canlii.org/fr/qc/qcca/doc/2014/2014qcca891/2014qcca891.html" TargetMode="External"/><Relationship Id="rId11" Type="http://schemas.openxmlformats.org/officeDocument/2006/relationships/footer" Target="footer1.xml"/><Relationship Id="rId24" Type="http://schemas.openxmlformats.org/officeDocument/2006/relationships/hyperlink" Target="http://www.canlii.org/fr/ca/legis/lois/lrc-1985-c-b-3/derniere/lrc-1985-c-b-3.html" TargetMode="External"/><Relationship Id="rId32" Type="http://schemas.openxmlformats.org/officeDocument/2006/relationships/hyperlink" Target="http://www.canlii.org/en/qc/qccs/doc/2009/2009qccs2201/2009qccs2201.html" TargetMode="External"/><Relationship Id="rId37" Type="http://schemas.openxmlformats.org/officeDocument/2006/relationships/hyperlink" Target="http://www.canlii.org/fr/qc/qccs/doc/2009/2009qccs2201/2009qccs2201.html?searchUrlHash=AAAAAQAOMjAwOSBRQ0NTIDIyMDEAAAAAAQ" TargetMode="External"/><Relationship Id="rId40" Type="http://schemas.openxmlformats.org/officeDocument/2006/relationships/hyperlink" Target="http://www.canlii.org/fr/qc/qccq/doc/2013/2013qccq11960/2013qccq11960.html" TargetMode="External"/><Relationship Id="rId45" Type="http://schemas.openxmlformats.org/officeDocument/2006/relationships/hyperlink" Target="http://www.canlii.org/en/bc/bcca/doc/2014/2014bcca205/2014bcca205.html?searchUrlHash=AAAAAQAUUGFraXN0YW4gU3RlZWwgTWlsbHMAAAAAAQ" TargetMode="External"/><Relationship Id="rId53" Type="http://schemas.openxmlformats.org/officeDocument/2006/relationships/hyperlink" Target="http://www.canlii.org/en/ca/fca/doc/2014/2014fca154/2014fca154.html" TargetMode="External"/><Relationship Id="rId58" Type="http://schemas.openxmlformats.org/officeDocument/2006/relationships/hyperlink" Target="http://www.canlii.org/en/bc/bcsc/doc/2012/2012bcsc1265/2012bcsc1265.html" TargetMode="External"/><Relationship Id="rId66" Type="http://schemas.openxmlformats.org/officeDocument/2006/relationships/hyperlink" Target="http://canlii.ca/t/g8nmc" TargetMode="External"/><Relationship Id="rId74" Type="http://schemas.openxmlformats.org/officeDocument/2006/relationships/hyperlink" Target="http://www.scc-csc.ca/case-dossier/info/sum-som-eng.aspx?cas=35957" TargetMode="External"/><Relationship Id="rId79" Type="http://schemas.openxmlformats.org/officeDocument/2006/relationships/header" Target="header10.xml"/><Relationship Id="rId87" Type="http://schemas.openxmlformats.org/officeDocument/2006/relationships/hyperlink" Target="http://www.canlii.org/en/on/laws/stat/so-1998-c-28/latest/so-1998-c-28.html" TargetMode="External"/><Relationship Id="rId5" Type="http://schemas.openxmlformats.org/officeDocument/2006/relationships/footnotes" Target="footnotes.xml"/><Relationship Id="rId61" Type="http://schemas.openxmlformats.org/officeDocument/2006/relationships/hyperlink" Target="http://canlii.ca/t/g8617" TargetMode="External"/><Relationship Id="rId82" Type="http://schemas.openxmlformats.org/officeDocument/2006/relationships/header" Target="header12.xml"/><Relationship Id="rId90" Type="http://schemas.openxmlformats.org/officeDocument/2006/relationships/footer" Target="footer14.xml"/><Relationship Id="rId95" Type="http://schemas.openxmlformats.org/officeDocument/2006/relationships/fontTable" Target="fontTable.xml"/><Relationship Id="rId19" Type="http://schemas.openxmlformats.org/officeDocument/2006/relationships/hyperlink" Target="http://www.canlii.org/en/on/onca/doc/2014/2014onca147/2014onca147.html" TargetMode="External"/><Relationship Id="rId14" Type="http://schemas.openxmlformats.org/officeDocument/2006/relationships/header" Target="header3.xml"/><Relationship Id="rId22" Type="http://schemas.openxmlformats.org/officeDocument/2006/relationships/hyperlink" Target="http://canlii.ca/t/2chtw" TargetMode="External"/><Relationship Id="rId27" Type="http://schemas.openxmlformats.org/officeDocument/2006/relationships/hyperlink" Target="http://www.canlii.org/fr/ca/legis/lois/lrc-1985-c-b-3/derniere/lrc-1985-c-b-3.html" TargetMode="External"/><Relationship Id="rId30" Type="http://schemas.openxmlformats.org/officeDocument/2006/relationships/hyperlink" Target="http://www.canlii.org/fr/qc/qccs/doc/2006/2006qccs8007/2006qccs8007.html" TargetMode="External"/><Relationship Id="rId35" Type="http://schemas.openxmlformats.org/officeDocument/2006/relationships/hyperlink" Target="http://www.canlii.org/fr/qc/qccs/doc/2006/2006qccs8007/2006qccs8007.html?searchUrlHash=AAAAAQAOMjAwNiBRQ0NTIDgwMDcAAAAAAQ" TargetMode="External"/><Relationship Id="rId43" Type="http://schemas.openxmlformats.org/officeDocument/2006/relationships/hyperlink" Target="http://www.canlii.org/fr/qc/qcca/doc/2014/2014qcca1061/2014qcca1061.html" TargetMode="External"/><Relationship Id="rId48" Type="http://schemas.openxmlformats.org/officeDocument/2006/relationships/hyperlink" Target="http://canlii.ca/t/fzt3f" TargetMode="External"/><Relationship Id="rId56" Type="http://schemas.openxmlformats.org/officeDocument/2006/relationships/hyperlink" Target="http://www.canlii.org/en/bc/bcca/doc/2014/2014bcca231/2014bcca231.html" TargetMode="External"/><Relationship Id="rId64" Type="http://schemas.openxmlformats.org/officeDocument/2006/relationships/hyperlink" Target="http://www.canlii.org/en/bc/bcca/doc/2014/2014bcca312/2014bcca312.html?searchUrlHash=AAAAAQANMjAxNCBCQ0NBIDMxMgAAAAAB" TargetMode="External"/><Relationship Id="rId69" Type="http://schemas.openxmlformats.org/officeDocument/2006/relationships/header" Target="header6.xml"/><Relationship Id="rId77" Type="http://schemas.openxmlformats.org/officeDocument/2006/relationships/footer" Target="footer8.xml"/><Relationship Id="rId8" Type="http://schemas.openxmlformats.org/officeDocument/2006/relationships/hyperlink" Target="http://www.scc-csc.ca" TargetMode="External"/><Relationship Id="rId51" Type="http://schemas.openxmlformats.org/officeDocument/2006/relationships/hyperlink" Target="http://canlii.ca/t/g76mm" TargetMode="External"/><Relationship Id="rId72" Type="http://schemas.openxmlformats.org/officeDocument/2006/relationships/header" Target="header7.xml"/><Relationship Id="rId80" Type="http://schemas.openxmlformats.org/officeDocument/2006/relationships/footer" Target="footer10.xml"/><Relationship Id="rId85" Type="http://schemas.openxmlformats.org/officeDocument/2006/relationships/header" Target="header13.xml"/><Relationship Id="rId93" Type="http://schemas.openxmlformats.org/officeDocument/2006/relationships/header" Target="header16.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q/doc/2014/2014qccq505/2014qccq505.html" TargetMode="External"/><Relationship Id="rId33" Type="http://schemas.openxmlformats.org/officeDocument/2006/relationships/hyperlink" Target="http://www.canlii.org/en/qc/qccs/doc/2009/2009qccs4865/2009qccs4865.html" TargetMode="External"/><Relationship Id="rId38" Type="http://schemas.openxmlformats.org/officeDocument/2006/relationships/hyperlink" Target="http://www.canlii.org/fr/qc/qccs/doc/2009/2009qccs4865/2009qccs4865.html?searchUrlHash=AAAAAQAOMjAwOSBRQ0NTIDQ4NjUAAAAAAQ" TargetMode="External"/><Relationship Id="rId46" Type="http://schemas.openxmlformats.org/officeDocument/2006/relationships/hyperlink" Target="http://www.canlii.org/en/bc/bcsc/doc/2013/2013bcsc1304/2013bcsc1304.html" TargetMode="External"/><Relationship Id="rId59" Type="http://schemas.openxmlformats.org/officeDocument/2006/relationships/hyperlink" Target="http://www.canlii.org/en/bc/bcca/doc/2014/2014bcca231/2014bcca231.html" TargetMode="External"/><Relationship Id="rId67" Type="http://schemas.openxmlformats.org/officeDocument/2006/relationships/hyperlink" Target="http://canlii.ca/t/g8nmc" TargetMode="External"/><Relationship Id="rId20" Type="http://schemas.openxmlformats.org/officeDocument/2006/relationships/hyperlink" Target="http://canlii.ca/t/2chtw" TargetMode="External"/><Relationship Id="rId41" Type="http://schemas.openxmlformats.org/officeDocument/2006/relationships/hyperlink" Target="http://www.canlii.org/fr/qc/qcca/doc/2014/2014qcca1061/2014qcca1061.html" TargetMode="External"/><Relationship Id="rId54" Type="http://schemas.openxmlformats.org/officeDocument/2006/relationships/hyperlink" Target="http://www.canlii.org/en/bc/bcsc/doc/2012/2012bcsc1248/2012bcsc1248.html" TargetMode="External"/><Relationship Id="rId62" Type="http://schemas.openxmlformats.org/officeDocument/2006/relationships/hyperlink" Target="http://canlii.ca/t/g1m9w" TargetMode="External"/><Relationship Id="rId70" Type="http://schemas.openxmlformats.org/officeDocument/2006/relationships/footer" Target="footer5.xml"/><Relationship Id="rId75" Type="http://schemas.openxmlformats.org/officeDocument/2006/relationships/header" Target="header8.xml"/><Relationship Id="rId83" Type="http://schemas.openxmlformats.org/officeDocument/2006/relationships/footer" Target="footer11.xml"/><Relationship Id="rId88" Type="http://schemas.openxmlformats.org/officeDocument/2006/relationships/hyperlink" Target="http://www.canlii.org/en/on/laws/stat/so-1998-c-28/latest/so-1998-c-28.html" TargetMode="External"/><Relationship Id="rId91" Type="http://schemas.openxmlformats.org/officeDocument/2006/relationships/header" Target="header15.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canlii.ca/t/g684h" TargetMode="External"/><Relationship Id="rId28" Type="http://schemas.openxmlformats.org/officeDocument/2006/relationships/hyperlink" Target="http://www.canlii.org/fr/qc/qccq/doc/2014/2014qccq505/2014qccq505.html" TargetMode="External"/><Relationship Id="rId36" Type="http://schemas.openxmlformats.org/officeDocument/2006/relationships/hyperlink" Target="http://www.canlii.org/fr/qc/qccs/doc/2006/2006qccs8010/2006qccs8010.html?searchUrlHash=AAAAAQAOMjAwNiBRQ0NTIDgwMTAAAAAAAQ" TargetMode="External"/><Relationship Id="rId49" Type="http://schemas.openxmlformats.org/officeDocument/2006/relationships/hyperlink" Target="http://canlii.ca/t/g76mm" TargetMode="External"/><Relationship Id="rId57" Type="http://schemas.openxmlformats.org/officeDocument/2006/relationships/hyperlink" Target="http://www.canlii.org/en/bc/bcsc/doc/2012/2012bcsc1248/2012bcsc1248.html" TargetMode="External"/><Relationship Id="rId10" Type="http://schemas.openxmlformats.org/officeDocument/2006/relationships/header" Target="header1.xml"/><Relationship Id="rId31" Type="http://schemas.openxmlformats.org/officeDocument/2006/relationships/hyperlink" Target="http://www.canlii.org/fr/qc/qccs/doc/2006/2006qccs8010/2006qccs8010.html" TargetMode="External"/><Relationship Id="rId44" Type="http://schemas.openxmlformats.org/officeDocument/2006/relationships/hyperlink" Target="http://www.canlii.org/en/bc/bcsc/doc/2013/2013bcsc1304/2013bcsc1304.html" TargetMode="External"/><Relationship Id="rId52" Type="http://schemas.openxmlformats.org/officeDocument/2006/relationships/hyperlink" Target="http://www.canlii.org/en/ca/fca/doc/2014/2014fca154/2014fca154.html" TargetMode="External"/><Relationship Id="rId60" Type="http://schemas.openxmlformats.org/officeDocument/2006/relationships/hyperlink" Target="http://canlii.ca/t/g1m9w" TargetMode="External"/><Relationship Id="rId65" Type="http://schemas.openxmlformats.org/officeDocument/2006/relationships/hyperlink" Target="http://www.canlii.org/en/bc/bcca/doc/2014/2014bcca312/2014bcca312.html?searchUrlHash=AAAAAQANMjAxNCBCQ0NBIDMxMgAAAAAB" TargetMode="External"/><Relationship Id="rId73" Type="http://schemas.openxmlformats.org/officeDocument/2006/relationships/footer" Target="footer7.xml"/><Relationship Id="rId78" Type="http://schemas.openxmlformats.org/officeDocument/2006/relationships/footer" Target="footer9.xml"/><Relationship Id="rId81" Type="http://schemas.openxmlformats.org/officeDocument/2006/relationships/header" Target="header11.xml"/><Relationship Id="rId86" Type="http://schemas.openxmlformats.org/officeDocument/2006/relationships/footer" Target="footer13.xml"/><Relationship Id="rId94"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scc-cs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23973</Words>
  <Characters>136648</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2018-04-23T18:21:00Z</dcterms:created>
  <dcterms:modified xsi:type="dcterms:W3CDTF">2018-04-23T18:56:00Z</dcterms:modified>
</cp:coreProperties>
</file>