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BF341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F341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F341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BF341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F341F" w:rsidTr="002E5576">
        <w:tc>
          <w:tcPr>
            <w:tcW w:w="4518" w:type="dxa"/>
          </w:tcPr>
          <w:p w:rsidR="00BF25F3" w:rsidRPr="002E2327" w:rsidRDefault="00A62C48"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A62C48"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F341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BF341F"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8E76CF" w:rsidP="00F0068D">
      <w:pPr>
        <w:pBdr>
          <w:bottom w:val="single" w:sz="6" w:space="1" w:color="auto"/>
        </w:pBdr>
        <w:tabs>
          <w:tab w:val="center" w:pos="4680"/>
          <w:tab w:val="right" w:pos="9360"/>
        </w:tabs>
        <w:rPr>
          <w:lang w:val="fr-CA"/>
        </w:rPr>
      </w:pPr>
      <w:r>
        <w:rPr>
          <w:lang w:val="fr-CA"/>
        </w:rPr>
        <w:t>M</w:t>
      </w:r>
      <w:r w:rsidR="00C73D06">
        <w:rPr>
          <w:lang w:val="fr-CA"/>
        </w:rPr>
        <w:t>ar</w:t>
      </w:r>
      <w:r>
        <w:rPr>
          <w:lang w:val="fr-CA"/>
        </w:rPr>
        <w:t>ch</w:t>
      </w:r>
      <w:r w:rsidR="00440E24" w:rsidRPr="00675479">
        <w:rPr>
          <w:lang w:val="fr-CA"/>
        </w:rPr>
        <w:t xml:space="preserve"> </w:t>
      </w:r>
      <w:r>
        <w:rPr>
          <w:lang w:val="fr-CA"/>
        </w:rPr>
        <w:t>20</w:t>
      </w:r>
      <w:r w:rsidR="00440E24" w:rsidRPr="00675479">
        <w:rPr>
          <w:lang w:val="fr-CA"/>
        </w:rPr>
        <w:t>, 201</w:t>
      </w:r>
      <w:r w:rsidR="00020DC3">
        <w:rPr>
          <w:lang w:val="fr-CA"/>
        </w:rPr>
        <w:t>5</w:t>
      </w:r>
      <w:r w:rsidR="00F0068D" w:rsidRPr="00675479">
        <w:rPr>
          <w:lang w:val="fr-CA"/>
        </w:rPr>
        <w:tab/>
      </w:r>
      <w:r>
        <w:rPr>
          <w:lang w:val="fr-CA"/>
        </w:rPr>
        <w:t>484</w:t>
      </w:r>
      <w:r w:rsidR="00F0068D" w:rsidRPr="00675479">
        <w:rPr>
          <w:lang w:val="fr-CA"/>
        </w:rPr>
        <w:t xml:space="preserve"> - </w:t>
      </w:r>
      <w:r w:rsidR="00620EAE">
        <w:rPr>
          <w:lang w:val="fr-CA"/>
        </w:rPr>
        <w:t>520</w:t>
      </w:r>
      <w:r w:rsidR="00440E24" w:rsidRPr="00675479">
        <w:rPr>
          <w:lang w:val="fr-CA"/>
        </w:rPr>
        <w:tab/>
      </w:r>
      <w:r w:rsidR="00440E24" w:rsidRPr="002E2327">
        <w:rPr>
          <w:lang w:val="fr-CA"/>
        </w:rPr>
        <w:t>Le</w:t>
      </w:r>
      <w:r w:rsidR="00C73D06">
        <w:rPr>
          <w:lang w:val="fr-CA"/>
        </w:rPr>
        <w:t xml:space="preserve"> </w:t>
      </w:r>
      <w:r>
        <w:rPr>
          <w:lang w:val="fr-CA"/>
        </w:rPr>
        <w:t>20 m</w:t>
      </w:r>
      <w:r w:rsidR="00440E24" w:rsidRPr="002E2327">
        <w:rPr>
          <w:lang w:val="fr-CA"/>
        </w:rPr>
        <w:t>a</w:t>
      </w:r>
      <w:r w:rsidR="00C73D06">
        <w:rPr>
          <w:lang w:val="fr-CA"/>
        </w:rPr>
        <w:t>r</w:t>
      </w:r>
      <w:r>
        <w:rPr>
          <w:lang w:val="fr-CA"/>
        </w:rPr>
        <w:t>s</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8E76CF" w:rsidRDefault="00440E24" w:rsidP="00440E24">
      <w:pPr>
        <w:pBdr>
          <w:bottom w:val="single" w:sz="6" w:space="1" w:color="auto"/>
        </w:pBdr>
        <w:tabs>
          <w:tab w:val="right" w:pos="9360"/>
        </w:tabs>
        <w:rPr>
          <w:sz w:val="18"/>
          <w:szCs w:val="18"/>
          <w:lang w:val="fr-CA"/>
        </w:rPr>
      </w:pPr>
      <w:r w:rsidRPr="008E76CF">
        <w:rPr>
          <w:sz w:val="18"/>
          <w:szCs w:val="18"/>
          <w:lang w:val="fr-CA"/>
        </w:rPr>
        <w:lastRenderedPageBreak/>
        <w:t>© Supreme Court of Canada (201</w:t>
      </w:r>
      <w:r w:rsidR="00020DC3" w:rsidRPr="008E76CF">
        <w:rPr>
          <w:sz w:val="18"/>
          <w:szCs w:val="18"/>
          <w:lang w:val="fr-CA"/>
        </w:rPr>
        <w:t>5</w:t>
      </w:r>
      <w:r w:rsidRPr="008E76CF">
        <w:rPr>
          <w:sz w:val="18"/>
          <w:szCs w:val="18"/>
          <w:lang w:val="fr-CA"/>
        </w:rPr>
        <w:t>)</w:t>
      </w:r>
      <w:r w:rsidRPr="008E76CF">
        <w:rPr>
          <w:sz w:val="18"/>
          <w:szCs w:val="18"/>
          <w:lang w:val="fr-CA"/>
        </w:rPr>
        <w:tab/>
        <w:t>© Cour suprême du Canada (201</w:t>
      </w:r>
      <w:r w:rsidR="00020DC3" w:rsidRPr="008E76CF">
        <w:rPr>
          <w:sz w:val="18"/>
          <w:szCs w:val="18"/>
          <w:lang w:val="fr-CA"/>
        </w:rPr>
        <w:t>5</w:t>
      </w:r>
      <w:r w:rsidRPr="008E76CF">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0A2923"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BF5229">
            <w:pPr>
              <w:tabs>
                <w:tab w:val="right" w:pos="9360"/>
              </w:tabs>
              <w:rPr>
                <w:rFonts w:cs="Times New Roman"/>
                <w:sz w:val="20"/>
                <w:szCs w:val="20"/>
              </w:rPr>
            </w:pPr>
          </w:p>
        </w:tc>
        <w:tc>
          <w:tcPr>
            <w:tcW w:w="1980" w:type="dxa"/>
          </w:tcPr>
          <w:p w:rsidR="0095096B" w:rsidRPr="002E2327" w:rsidRDefault="008E76CF" w:rsidP="0095096B">
            <w:pPr>
              <w:jc w:val="center"/>
              <w:rPr>
                <w:rFonts w:cs="Times New Roman"/>
                <w:sz w:val="20"/>
                <w:szCs w:val="20"/>
              </w:rPr>
            </w:pPr>
            <w:r>
              <w:rPr>
                <w:rFonts w:cs="Times New Roman"/>
                <w:sz w:val="20"/>
                <w:szCs w:val="20"/>
              </w:rPr>
              <w:t>484</w:t>
            </w:r>
            <w:r w:rsidR="00A62C48" w:rsidRPr="002E2327">
              <w:rPr>
                <w:rFonts w:cs="Times New Roman"/>
                <w:sz w:val="20"/>
                <w:szCs w:val="20"/>
              </w:rPr>
              <w:fldChar w:fldCharType="begin"/>
            </w:r>
            <w:r w:rsidR="0095096B" w:rsidRPr="002E2327">
              <w:rPr>
                <w:rFonts w:cs="Times New Roman"/>
                <w:sz w:val="20"/>
                <w:szCs w:val="20"/>
              </w:rPr>
              <w:instrText xml:space="preserve"> SEQ CHAPTER \h \r 1</w:instrText>
            </w:r>
            <w:r w:rsidR="00A62C48"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A46D3" w:rsidP="0095096B">
            <w:pPr>
              <w:jc w:val="center"/>
              <w:rPr>
                <w:rFonts w:cs="Times New Roman"/>
                <w:sz w:val="20"/>
                <w:szCs w:val="20"/>
              </w:rPr>
            </w:pPr>
            <w:r>
              <w:rPr>
                <w:rFonts w:cs="Times New Roman"/>
                <w:sz w:val="20"/>
                <w:szCs w:val="20"/>
              </w:rPr>
              <w:t>485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A5310" w:rsidP="0095096B">
            <w:pPr>
              <w:jc w:val="center"/>
              <w:rPr>
                <w:rFonts w:cs="Times New Roman"/>
                <w:sz w:val="20"/>
                <w:szCs w:val="20"/>
              </w:rPr>
            </w:pPr>
            <w:r>
              <w:rPr>
                <w:rFonts w:cs="Times New Roman"/>
                <w:sz w:val="20"/>
                <w:szCs w:val="20"/>
              </w:rPr>
              <w:t xml:space="preserve">486 </w:t>
            </w:r>
            <w:r w:rsidR="0095096B" w:rsidRPr="002E2327">
              <w:rPr>
                <w:rFonts w:cs="Times New Roman"/>
                <w:sz w:val="20"/>
                <w:szCs w:val="20"/>
              </w:rPr>
              <w:t>-</w:t>
            </w:r>
            <w:r w:rsidR="000A2923">
              <w:rPr>
                <w:rFonts w:cs="Times New Roman"/>
                <w:sz w:val="20"/>
                <w:szCs w:val="20"/>
              </w:rPr>
              <w:t xml:space="preserve"> 498</w:t>
            </w:r>
          </w:p>
          <w:p w:rsidR="0095096B" w:rsidRDefault="0095096B" w:rsidP="0095096B">
            <w:pPr>
              <w:jc w:val="center"/>
              <w:rPr>
                <w:rFonts w:cs="Times New Roman"/>
                <w:sz w:val="20"/>
                <w:szCs w:val="20"/>
              </w:rPr>
            </w:pPr>
          </w:p>
          <w:p w:rsidR="000A2923" w:rsidRPr="002E2327" w:rsidRDefault="000A2923" w:rsidP="0095096B">
            <w:pPr>
              <w:jc w:val="center"/>
              <w:rPr>
                <w:rFonts w:cs="Times New Roman"/>
                <w:sz w:val="20"/>
                <w:szCs w:val="20"/>
              </w:rPr>
            </w:pPr>
          </w:p>
          <w:p w:rsidR="0095096B" w:rsidRPr="002E2327" w:rsidRDefault="000A2923" w:rsidP="0095096B">
            <w:pPr>
              <w:jc w:val="center"/>
              <w:rPr>
                <w:rFonts w:cs="Times New Roman"/>
                <w:sz w:val="20"/>
                <w:szCs w:val="20"/>
              </w:rPr>
            </w:pPr>
            <w:r>
              <w:rPr>
                <w:rFonts w:cs="Times New Roman"/>
                <w:sz w:val="20"/>
                <w:szCs w:val="20"/>
              </w:rPr>
              <w:t xml:space="preserve">499 </w:t>
            </w:r>
            <w:r w:rsidR="0095096B" w:rsidRPr="002E2327">
              <w:rPr>
                <w:rFonts w:cs="Times New Roman"/>
                <w:sz w:val="20"/>
                <w:szCs w:val="20"/>
              </w:rPr>
              <w:t>-</w:t>
            </w:r>
            <w:r>
              <w:rPr>
                <w:rFonts w:cs="Times New Roman"/>
                <w:sz w:val="20"/>
                <w:szCs w:val="20"/>
              </w:rPr>
              <w:t xml:space="preserve"> </w:t>
            </w:r>
            <w:r w:rsidR="00620EAE">
              <w:rPr>
                <w:rFonts w:cs="Times New Roman"/>
                <w:sz w:val="20"/>
                <w:szCs w:val="20"/>
              </w:rPr>
              <w:t>505</w:t>
            </w:r>
          </w:p>
          <w:p w:rsidR="0095096B" w:rsidRPr="002E2327" w:rsidRDefault="0095096B" w:rsidP="0095096B">
            <w:pPr>
              <w:jc w:val="center"/>
              <w:rPr>
                <w:rFonts w:cs="Times New Roman"/>
                <w:sz w:val="20"/>
                <w:szCs w:val="20"/>
              </w:rPr>
            </w:pPr>
          </w:p>
          <w:p w:rsidR="0095096B" w:rsidRPr="002E2327" w:rsidRDefault="00620EAE" w:rsidP="0095096B">
            <w:pPr>
              <w:jc w:val="center"/>
              <w:rPr>
                <w:rFonts w:cs="Times New Roman"/>
                <w:sz w:val="20"/>
                <w:szCs w:val="20"/>
              </w:rPr>
            </w:pPr>
            <w:r>
              <w:rPr>
                <w:rFonts w:cs="Times New Roman"/>
                <w:sz w:val="20"/>
                <w:szCs w:val="20"/>
              </w:rPr>
              <w:t xml:space="preserve">506 </w:t>
            </w:r>
            <w:r w:rsidR="0095096B" w:rsidRPr="002E2327">
              <w:rPr>
                <w:rFonts w:cs="Times New Roman"/>
                <w:sz w:val="20"/>
                <w:szCs w:val="20"/>
              </w:rPr>
              <w:t>-</w:t>
            </w:r>
            <w:r>
              <w:rPr>
                <w:rFonts w:cs="Times New Roman"/>
                <w:sz w:val="20"/>
                <w:szCs w:val="20"/>
              </w:rPr>
              <w:t xml:space="preserve"> 508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20EAE" w:rsidP="0095096B">
            <w:pPr>
              <w:jc w:val="center"/>
              <w:rPr>
                <w:rFonts w:cs="Times New Roman"/>
                <w:sz w:val="20"/>
                <w:szCs w:val="20"/>
              </w:rPr>
            </w:pPr>
            <w:r>
              <w:rPr>
                <w:rFonts w:cs="Times New Roman"/>
                <w:sz w:val="20"/>
                <w:szCs w:val="20"/>
              </w:rPr>
              <w:t>509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20EAE" w:rsidP="0095096B">
            <w:pPr>
              <w:jc w:val="center"/>
              <w:rPr>
                <w:rFonts w:cs="Times New Roman"/>
                <w:sz w:val="20"/>
                <w:szCs w:val="20"/>
              </w:rPr>
            </w:pPr>
            <w:r>
              <w:rPr>
                <w:rFonts w:cs="Times New Roman"/>
                <w:sz w:val="20"/>
                <w:szCs w:val="20"/>
              </w:rPr>
              <w:t xml:space="preserve">510 </w:t>
            </w:r>
            <w:r w:rsidR="0095096B" w:rsidRPr="002E2327">
              <w:rPr>
                <w:rFonts w:cs="Times New Roman"/>
                <w:sz w:val="20"/>
                <w:szCs w:val="20"/>
              </w:rPr>
              <w:t>-</w:t>
            </w:r>
            <w:r>
              <w:rPr>
                <w:rFonts w:cs="Times New Roman"/>
                <w:sz w:val="20"/>
                <w:szCs w:val="20"/>
              </w:rPr>
              <w:t xml:space="preserve"> 520</w:t>
            </w:r>
          </w:p>
          <w:p w:rsidR="00A87207" w:rsidRPr="002E2327" w:rsidRDefault="00A87207" w:rsidP="00BF5229">
            <w:pPr>
              <w:jc w:val="center"/>
              <w:rPr>
                <w:rFonts w:cs="Times New Roman"/>
                <w:sz w:val="20"/>
                <w:szCs w:val="20"/>
              </w:rPr>
            </w:pPr>
          </w:p>
        </w:tc>
        <w:tc>
          <w:tcPr>
            <w:tcW w:w="3888" w:type="dxa"/>
          </w:tcPr>
          <w:p w:rsidR="0095096B" w:rsidRPr="002E2327" w:rsidRDefault="00A62C48"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BF5229">
            <w:pPr>
              <w:rPr>
                <w:rFonts w:cs="Times New Roman"/>
                <w:sz w:val="20"/>
                <w:szCs w:val="20"/>
                <w:lang w:val="fr-CA"/>
              </w:rPr>
            </w:pPr>
          </w:p>
        </w:tc>
      </w:tr>
    </w:tbl>
    <w:p w:rsidR="0095096B" w:rsidRPr="00D52851" w:rsidRDefault="0095096B" w:rsidP="0095096B">
      <w:pPr>
        <w:tabs>
          <w:tab w:val="right" w:pos="9360"/>
        </w:tabs>
        <w:rPr>
          <w:sz w:val="20"/>
          <w:szCs w:val="20"/>
          <w:lang w:val="fr-CA"/>
        </w:rPr>
      </w:pPr>
    </w:p>
    <w:p w:rsidR="002D0B79" w:rsidRPr="00D52851" w:rsidRDefault="002D0B79" w:rsidP="0095096B">
      <w:pPr>
        <w:tabs>
          <w:tab w:val="right" w:pos="9360"/>
        </w:tabs>
        <w:rPr>
          <w:sz w:val="20"/>
          <w:szCs w:val="20"/>
          <w:lang w:val="fr-CA"/>
        </w:rPr>
      </w:pPr>
    </w:p>
    <w:p w:rsidR="002D0B79" w:rsidRPr="00D52851" w:rsidRDefault="002D0B79" w:rsidP="0095096B">
      <w:pPr>
        <w:tabs>
          <w:tab w:val="right" w:pos="9360"/>
        </w:tabs>
        <w:rPr>
          <w:sz w:val="20"/>
          <w:szCs w:val="20"/>
          <w:lang w:val="fr-CA"/>
        </w:rPr>
      </w:pPr>
    </w:p>
    <w:p w:rsidR="002D0B79" w:rsidRPr="00D52851" w:rsidRDefault="002D0B79" w:rsidP="0095096B">
      <w:pPr>
        <w:tabs>
          <w:tab w:val="right" w:pos="9360"/>
        </w:tabs>
        <w:rPr>
          <w:sz w:val="20"/>
          <w:szCs w:val="20"/>
          <w:lang w:val="fr-CA"/>
        </w:rPr>
      </w:pPr>
    </w:p>
    <w:p w:rsidR="002D0B79" w:rsidRPr="00D52851" w:rsidRDefault="002D0B79"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BF341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FF3E6A" w:rsidRPr="00FF3E6A" w:rsidTr="003B3977">
        <w:tc>
          <w:tcPr>
            <w:tcW w:w="4320" w:type="dxa"/>
            <w:shd w:val="clear" w:color="auto" w:fill="auto"/>
          </w:tcPr>
          <w:p w:rsidR="00FF3E6A" w:rsidRPr="000D71BD" w:rsidRDefault="00FF3E6A" w:rsidP="005F1ED8">
            <w:pPr>
              <w:rPr>
                <w:b/>
                <w:sz w:val="20"/>
                <w:szCs w:val="20"/>
              </w:rPr>
            </w:pPr>
            <w:r w:rsidRPr="000D71BD">
              <w:rPr>
                <w:b/>
                <w:sz w:val="20"/>
                <w:szCs w:val="20"/>
              </w:rPr>
              <w:t>Udell So</w:t>
            </w:r>
          </w:p>
          <w:p w:rsidR="00FF3E6A" w:rsidRPr="000D71BD" w:rsidRDefault="00FF3E6A" w:rsidP="005F1ED8">
            <w:pPr>
              <w:tabs>
                <w:tab w:val="left" w:pos="-1440"/>
                <w:tab w:val="left" w:pos="-720"/>
              </w:tabs>
              <w:rPr>
                <w:sz w:val="20"/>
                <w:szCs w:val="20"/>
              </w:rPr>
            </w:pPr>
            <w:r w:rsidRPr="000D71BD">
              <w:rPr>
                <w:sz w:val="20"/>
                <w:szCs w:val="20"/>
              </w:rPr>
              <w:tab/>
              <w:t xml:space="preserve">Timothy E. Foster </w:t>
            </w:r>
          </w:p>
          <w:p w:rsidR="00FF3E6A" w:rsidRPr="000D71BD" w:rsidRDefault="00FF3E6A" w:rsidP="005F1ED8">
            <w:pPr>
              <w:tabs>
                <w:tab w:val="left" w:pos="-1440"/>
                <w:tab w:val="left" w:pos="-720"/>
              </w:tabs>
              <w:rPr>
                <w:sz w:val="20"/>
                <w:szCs w:val="20"/>
              </w:rPr>
            </w:pPr>
            <w:r w:rsidRPr="000D71BD">
              <w:rPr>
                <w:sz w:val="20"/>
                <w:szCs w:val="20"/>
              </w:rPr>
              <w:tab/>
              <w:t>Foster Iovinelli Beyak</w:t>
            </w:r>
          </w:p>
          <w:p w:rsidR="00FF3E6A" w:rsidRPr="000D71BD" w:rsidRDefault="00FF3E6A" w:rsidP="005F1ED8">
            <w:pPr>
              <w:tabs>
                <w:tab w:val="left" w:pos="-1440"/>
                <w:tab w:val="left" w:pos="-720"/>
              </w:tabs>
              <w:rPr>
                <w:sz w:val="20"/>
                <w:szCs w:val="20"/>
              </w:rPr>
            </w:pPr>
          </w:p>
          <w:p w:rsidR="00FF3E6A" w:rsidRPr="000D71BD" w:rsidRDefault="00FF3E6A" w:rsidP="005F1ED8">
            <w:pPr>
              <w:tabs>
                <w:tab w:val="left" w:pos="-1440"/>
                <w:tab w:val="left" w:pos="-720"/>
              </w:tabs>
              <w:rPr>
                <w:sz w:val="20"/>
                <w:szCs w:val="20"/>
              </w:rPr>
            </w:pPr>
            <w:r w:rsidRPr="000D71BD">
              <w:rPr>
                <w:sz w:val="20"/>
                <w:szCs w:val="20"/>
              </w:rPr>
              <w:tab/>
              <w:t>v. (36</w:t>
            </w:r>
            <w:r w:rsidR="007678C7">
              <w:rPr>
                <w:sz w:val="20"/>
                <w:szCs w:val="20"/>
              </w:rPr>
              <w:t>321</w:t>
            </w:r>
            <w:r w:rsidRPr="000D71BD">
              <w:rPr>
                <w:sz w:val="20"/>
                <w:szCs w:val="20"/>
              </w:rPr>
              <w:t>)</w:t>
            </w:r>
          </w:p>
          <w:p w:rsidR="00FF3E6A" w:rsidRPr="000D71BD" w:rsidRDefault="00FF3E6A" w:rsidP="005F1ED8">
            <w:pPr>
              <w:tabs>
                <w:tab w:val="left" w:pos="-1440"/>
                <w:tab w:val="left" w:pos="-720"/>
              </w:tabs>
              <w:rPr>
                <w:sz w:val="20"/>
                <w:szCs w:val="20"/>
              </w:rPr>
            </w:pPr>
          </w:p>
          <w:p w:rsidR="00FF3E6A" w:rsidRPr="0080189D" w:rsidRDefault="00FF3E6A" w:rsidP="005F1ED8">
            <w:pPr>
              <w:tabs>
                <w:tab w:val="left" w:pos="-1440"/>
                <w:tab w:val="left" w:pos="-720"/>
              </w:tabs>
              <w:rPr>
                <w:b/>
                <w:sz w:val="20"/>
                <w:szCs w:val="20"/>
              </w:rPr>
            </w:pPr>
            <w:r w:rsidRPr="0080189D">
              <w:rPr>
                <w:b/>
                <w:sz w:val="20"/>
                <w:szCs w:val="20"/>
              </w:rPr>
              <w:t>Her Majesty the Queen</w:t>
            </w:r>
            <w:r w:rsidRPr="0080189D">
              <w:rPr>
                <w:sz w:val="20"/>
                <w:szCs w:val="20"/>
              </w:rPr>
              <w:t xml:space="preserve"> </w:t>
            </w:r>
            <w:r w:rsidRPr="0080189D">
              <w:rPr>
                <w:b/>
                <w:sz w:val="20"/>
                <w:szCs w:val="20"/>
              </w:rPr>
              <w:t>(Alta.)</w:t>
            </w:r>
          </w:p>
          <w:p w:rsidR="00FF3E6A" w:rsidRPr="0080189D" w:rsidRDefault="00FF3E6A" w:rsidP="005F1ED8">
            <w:pPr>
              <w:tabs>
                <w:tab w:val="left" w:pos="-1440"/>
                <w:tab w:val="left" w:pos="-720"/>
              </w:tabs>
              <w:rPr>
                <w:sz w:val="20"/>
                <w:szCs w:val="20"/>
              </w:rPr>
            </w:pPr>
            <w:r w:rsidRPr="0080189D">
              <w:rPr>
                <w:sz w:val="20"/>
                <w:szCs w:val="20"/>
              </w:rPr>
              <w:tab/>
              <w:t xml:space="preserve">Joshua B. </w:t>
            </w:r>
            <w:r>
              <w:rPr>
                <w:sz w:val="20"/>
                <w:szCs w:val="20"/>
              </w:rPr>
              <w:t>Hawkes, Q.C</w:t>
            </w:r>
            <w:r w:rsidRPr="0080189D">
              <w:rPr>
                <w:sz w:val="20"/>
                <w:szCs w:val="20"/>
              </w:rPr>
              <w:t>.</w:t>
            </w:r>
          </w:p>
          <w:p w:rsidR="00FF3E6A" w:rsidRPr="0080189D" w:rsidRDefault="00FF3E6A" w:rsidP="005F1ED8">
            <w:pPr>
              <w:tabs>
                <w:tab w:val="left" w:pos="-1440"/>
                <w:tab w:val="left" w:pos="-720"/>
              </w:tabs>
              <w:rPr>
                <w:sz w:val="20"/>
                <w:szCs w:val="20"/>
              </w:rPr>
            </w:pPr>
            <w:r w:rsidRPr="0080189D">
              <w:rPr>
                <w:sz w:val="20"/>
                <w:szCs w:val="20"/>
              </w:rPr>
              <w:tab/>
              <w:t>A.G. of Alberta</w:t>
            </w:r>
          </w:p>
          <w:p w:rsidR="00FF3E6A" w:rsidRPr="0080189D" w:rsidRDefault="00FF3E6A" w:rsidP="005F1ED8">
            <w:pPr>
              <w:tabs>
                <w:tab w:val="left" w:pos="-1440"/>
                <w:tab w:val="left" w:pos="-720"/>
              </w:tabs>
              <w:rPr>
                <w:sz w:val="20"/>
                <w:szCs w:val="20"/>
              </w:rPr>
            </w:pPr>
          </w:p>
          <w:p w:rsidR="00FF3E6A" w:rsidRPr="0080189D" w:rsidRDefault="00FF3E6A" w:rsidP="000D71BD">
            <w:pPr>
              <w:rPr>
                <w:sz w:val="20"/>
                <w:szCs w:val="20"/>
                <w:lang w:val="fr-CA"/>
              </w:rPr>
            </w:pPr>
            <w:r w:rsidRPr="0080189D">
              <w:rPr>
                <w:sz w:val="20"/>
                <w:szCs w:val="20"/>
                <w:lang w:val="fr-CA"/>
              </w:rPr>
              <w:t xml:space="preserve">FILING DATE: </w:t>
            </w:r>
            <w:r>
              <w:rPr>
                <w:sz w:val="20"/>
                <w:szCs w:val="20"/>
                <w:lang w:val="fr-CA"/>
              </w:rPr>
              <w:t>23</w:t>
            </w:r>
            <w:r w:rsidRPr="0080189D">
              <w:rPr>
                <w:sz w:val="20"/>
                <w:szCs w:val="20"/>
                <w:lang w:val="fr-CA"/>
              </w:rPr>
              <w:t>.</w:t>
            </w:r>
            <w:r>
              <w:rPr>
                <w:sz w:val="20"/>
                <w:szCs w:val="20"/>
                <w:lang w:val="fr-CA"/>
              </w:rPr>
              <w:t>0</w:t>
            </w:r>
            <w:r w:rsidRPr="0080189D">
              <w:rPr>
                <w:sz w:val="20"/>
                <w:szCs w:val="20"/>
                <w:lang w:val="fr-CA"/>
              </w:rPr>
              <w:t>2.201</w:t>
            </w:r>
            <w:r>
              <w:rPr>
                <w:sz w:val="20"/>
                <w:szCs w:val="20"/>
                <w:lang w:val="fr-CA"/>
              </w:rPr>
              <w:t>5</w:t>
            </w:r>
            <w:r w:rsidR="00BF341F">
              <w:rPr>
                <w:sz w:val="20"/>
                <w:szCs w:val="20"/>
                <w:lang w:val="fr-CA"/>
              </w:rPr>
              <w:pict>
                <v:rect id="_x0000_i1025" style="width:108pt;height:1pt" o:hrpct="0" o:hralign="center" o:hrstd="t" o:hrnoshade="t" o:hr="t" fillcolor="black [3213]" stroked="f"/>
              </w:pict>
            </w:r>
          </w:p>
        </w:tc>
        <w:tc>
          <w:tcPr>
            <w:tcW w:w="1181" w:type="dxa"/>
            <w:shd w:val="clear" w:color="auto" w:fill="auto"/>
          </w:tcPr>
          <w:p w:rsidR="00FF3E6A" w:rsidRPr="0080189D" w:rsidRDefault="00FF3E6A" w:rsidP="00242AEE">
            <w:pPr>
              <w:jc w:val="center"/>
              <w:rPr>
                <w:sz w:val="20"/>
                <w:szCs w:val="20"/>
                <w:lang w:val="fr-CA"/>
              </w:rPr>
            </w:pPr>
          </w:p>
          <w:p w:rsidR="00FF3E6A" w:rsidRPr="0080189D" w:rsidRDefault="00FF3E6A" w:rsidP="00242AEE">
            <w:pPr>
              <w:jc w:val="center"/>
              <w:rPr>
                <w:sz w:val="20"/>
                <w:szCs w:val="20"/>
                <w:lang w:val="fr-CA"/>
              </w:rPr>
            </w:pPr>
          </w:p>
          <w:p w:rsidR="00FF3E6A" w:rsidRPr="0080189D" w:rsidRDefault="00FF3E6A" w:rsidP="00242AEE">
            <w:pPr>
              <w:jc w:val="center"/>
              <w:rPr>
                <w:sz w:val="20"/>
                <w:szCs w:val="20"/>
                <w:lang w:val="fr-CA"/>
              </w:rPr>
            </w:pPr>
          </w:p>
          <w:p w:rsidR="00FF3E6A" w:rsidRPr="0080189D" w:rsidRDefault="00FF3E6A" w:rsidP="00242AEE">
            <w:pPr>
              <w:jc w:val="center"/>
              <w:rPr>
                <w:sz w:val="20"/>
                <w:szCs w:val="20"/>
                <w:lang w:val="fr-CA"/>
              </w:rPr>
            </w:pPr>
          </w:p>
          <w:p w:rsidR="00FF3E6A" w:rsidRPr="0080189D" w:rsidRDefault="00FF3E6A" w:rsidP="00242AEE">
            <w:pPr>
              <w:jc w:val="center"/>
              <w:rPr>
                <w:sz w:val="20"/>
                <w:szCs w:val="20"/>
                <w:lang w:val="fr-CA"/>
              </w:rPr>
            </w:pPr>
          </w:p>
          <w:p w:rsidR="00FF3E6A" w:rsidRPr="0080189D" w:rsidRDefault="00FF3E6A" w:rsidP="00242AEE">
            <w:pPr>
              <w:jc w:val="center"/>
              <w:rPr>
                <w:sz w:val="20"/>
                <w:szCs w:val="20"/>
                <w:lang w:val="fr-CA"/>
              </w:rPr>
            </w:pPr>
          </w:p>
          <w:p w:rsidR="00FF3E6A" w:rsidRPr="0080189D" w:rsidRDefault="00FF3E6A" w:rsidP="00242AEE">
            <w:pPr>
              <w:jc w:val="center"/>
              <w:rPr>
                <w:sz w:val="20"/>
                <w:szCs w:val="20"/>
                <w:lang w:val="fr-CA"/>
              </w:rPr>
            </w:pPr>
          </w:p>
          <w:p w:rsidR="00FF3E6A" w:rsidRPr="0080189D" w:rsidRDefault="00FF3E6A" w:rsidP="00242AEE">
            <w:pPr>
              <w:jc w:val="center"/>
              <w:rPr>
                <w:sz w:val="20"/>
                <w:szCs w:val="20"/>
                <w:lang w:val="fr-CA"/>
              </w:rPr>
            </w:pPr>
          </w:p>
          <w:p w:rsidR="00FF3E6A" w:rsidRPr="0080189D" w:rsidRDefault="00FF3E6A" w:rsidP="00242AEE">
            <w:pPr>
              <w:jc w:val="center"/>
              <w:rPr>
                <w:sz w:val="20"/>
                <w:szCs w:val="20"/>
                <w:lang w:val="fr-CA"/>
              </w:rPr>
            </w:pPr>
          </w:p>
          <w:p w:rsidR="00FF3E6A" w:rsidRPr="0080189D" w:rsidRDefault="00FF3E6A" w:rsidP="00242AEE">
            <w:pPr>
              <w:jc w:val="center"/>
              <w:rPr>
                <w:sz w:val="20"/>
                <w:szCs w:val="20"/>
                <w:lang w:val="fr-CA"/>
              </w:rPr>
            </w:pPr>
          </w:p>
          <w:p w:rsidR="00FF3E6A" w:rsidRPr="0080189D" w:rsidRDefault="00FF3E6A" w:rsidP="00242AEE">
            <w:pPr>
              <w:jc w:val="center"/>
              <w:rPr>
                <w:sz w:val="20"/>
                <w:szCs w:val="20"/>
                <w:lang w:val="fr-CA"/>
              </w:rPr>
            </w:pPr>
          </w:p>
          <w:p w:rsidR="00FF3E6A" w:rsidRPr="0080189D" w:rsidRDefault="00FF3E6A" w:rsidP="00242AEE">
            <w:pPr>
              <w:jc w:val="center"/>
              <w:rPr>
                <w:sz w:val="20"/>
                <w:szCs w:val="20"/>
                <w:lang w:val="fr-CA"/>
              </w:rPr>
            </w:pPr>
          </w:p>
          <w:p w:rsidR="00FF3E6A" w:rsidRPr="0080189D" w:rsidRDefault="00FF3E6A" w:rsidP="00242AEE">
            <w:pPr>
              <w:jc w:val="center"/>
              <w:rPr>
                <w:sz w:val="20"/>
                <w:szCs w:val="20"/>
                <w:lang w:val="fr-CA"/>
              </w:rPr>
            </w:pPr>
          </w:p>
        </w:tc>
        <w:tc>
          <w:tcPr>
            <w:tcW w:w="4320" w:type="dxa"/>
            <w:shd w:val="clear" w:color="auto" w:fill="auto"/>
          </w:tcPr>
          <w:p w:rsidR="00FF3E6A" w:rsidRPr="00A935AA" w:rsidRDefault="00FF3E6A" w:rsidP="00FF3E6A">
            <w:pPr>
              <w:rPr>
                <w:b/>
                <w:sz w:val="20"/>
                <w:szCs w:val="20"/>
              </w:rPr>
            </w:pPr>
            <w:r>
              <w:rPr>
                <w:b/>
                <w:sz w:val="20"/>
                <w:szCs w:val="20"/>
              </w:rPr>
              <w:t>Ariston Realty Corp.</w:t>
            </w:r>
          </w:p>
          <w:p w:rsidR="00FF3E6A" w:rsidRPr="00A935AA" w:rsidRDefault="00FF3E6A" w:rsidP="00FF3E6A">
            <w:pPr>
              <w:tabs>
                <w:tab w:val="left" w:pos="-1440"/>
                <w:tab w:val="left" w:pos="-720"/>
              </w:tabs>
              <w:rPr>
                <w:sz w:val="20"/>
                <w:szCs w:val="20"/>
              </w:rPr>
            </w:pPr>
            <w:r w:rsidRPr="00A935AA">
              <w:rPr>
                <w:sz w:val="20"/>
                <w:szCs w:val="20"/>
              </w:rPr>
              <w:tab/>
            </w:r>
            <w:r>
              <w:rPr>
                <w:sz w:val="20"/>
                <w:szCs w:val="20"/>
              </w:rPr>
              <w:t>Bryan B. Skolnik</w:t>
            </w:r>
          </w:p>
          <w:p w:rsidR="00FF3E6A" w:rsidRPr="000D71BD" w:rsidRDefault="00FF3E6A" w:rsidP="00FF3E6A">
            <w:pPr>
              <w:tabs>
                <w:tab w:val="left" w:pos="-1440"/>
                <w:tab w:val="left" w:pos="-720"/>
              </w:tabs>
              <w:rPr>
                <w:sz w:val="20"/>
                <w:szCs w:val="20"/>
              </w:rPr>
            </w:pPr>
            <w:r w:rsidRPr="00A935AA">
              <w:rPr>
                <w:sz w:val="20"/>
                <w:szCs w:val="20"/>
              </w:rPr>
              <w:tab/>
            </w:r>
            <w:r w:rsidRPr="000D71BD">
              <w:rPr>
                <w:sz w:val="20"/>
                <w:szCs w:val="20"/>
              </w:rPr>
              <w:t>Gardiner, Roberts LLP</w:t>
            </w:r>
          </w:p>
          <w:p w:rsidR="00FF3E6A" w:rsidRPr="000D71BD" w:rsidRDefault="00FF3E6A" w:rsidP="00FF3E6A">
            <w:pPr>
              <w:tabs>
                <w:tab w:val="left" w:pos="-1440"/>
                <w:tab w:val="left" w:pos="-720"/>
              </w:tabs>
              <w:rPr>
                <w:sz w:val="20"/>
                <w:szCs w:val="20"/>
              </w:rPr>
            </w:pPr>
          </w:p>
          <w:p w:rsidR="00FF3E6A" w:rsidRPr="000D71BD" w:rsidRDefault="00FF3E6A" w:rsidP="00FF3E6A">
            <w:pPr>
              <w:tabs>
                <w:tab w:val="left" w:pos="-1440"/>
                <w:tab w:val="left" w:pos="-720"/>
              </w:tabs>
              <w:rPr>
                <w:sz w:val="20"/>
                <w:szCs w:val="20"/>
              </w:rPr>
            </w:pPr>
            <w:r w:rsidRPr="000D71BD">
              <w:rPr>
                <w:sz w:val="20"/>
                <w:szCs w:val="20"/>
              </w:rPr>
              <w:tab/>
              <w:t>v. (36325)</w:t>
            </w:r>
          </w:p>
          <w:p w:rsidR="00FF3E6A" w:rsidRPr="000D71BD" w:rsidRDefault="00FF3E6A" w:rsidP="00FF3E6A">
            <w:pPr>
              <w:tabs>
                <w:tab w:val="left" w:pos="-1440"/>
                <w:tab w:val="left" w:pos="-720"/>
              </w:tabs>
              <w:rPr>
                <w:sz w:val="20"/>
                <w:szCs w:val="20"/>
              </w:rPr>
            </w:pPr>
          </w:p>
          <w:p w:rsidR="00FF3E6A" w:rsidRPr="00FF3E6A" w:rsidRDefault="00FF3E6A" w:rsidP="00FF3E6A">
            <w:pPr>
              <w:tabs>
                <w:tab w:val="left" w:pos="-1440"/>
                <w:tab w:val="left" w:pos="-720"/>
              </w:tabs>
              <w:rPr>
                <w:b/>
                <w:sz w:val="20"/>
                <w:szCs w:val="20"/>
              </w:rPr>
            </w:pPr>
            <w:r w:rsidRPr="00FF3E6A">
              <w:rPr>
                <w:b/>
                <w:sz w:val="20"/>
                <w:szCs w:val="20"/>
              </w:rPr>
              <w:t>Elcarim Inc., Elcarim E. Legna Inc., and Elaine Wai Mascall (Ont.)</w:t>
            </w:r>
          </w:p>
          <w:p w:rsidR="00FF3E6A" w:rsidRPr="00FF3E6A" w:rsidRDefault="00FF3E6A" w:rsidP="00FF3E6A">
            <w:pPr>
              <w:tabs>
                <w:tab w:val="left" w:pos="-1440"/>
                <w:tab w:val="left" w:pos="-720"/>
              </w:tabs>
              <w:rPr>
                <w:sz w:val="20"/>
                <w:szCs w:val="20"/>
              </w:rPr>
            </w:pPr>
            <w:r w:rsidRPr="00FF3E6A">
              <w:rPr>
                <w:sz w:val="20"/>
                <w:szCs w:val="20"/>
              </w:rPr>
              <w:tab/>
              <w:t>David Taub</w:t>
            </w:r>
          </w:p>
          <w:p w:rsidR="00FF3E6A" w:rsidRPr="00FF3E6A" w:rsidRDefault="00FF3E6A" w:rsidP="00FF3E6A">
            <w:pPr>
              <w:tabs>
                <w:tab w:val="left" w:pos="-1440"/>
                <w:tab w:val="left" w:pos="-720"/>
              </w:tabs>
              <w:rPr>
                <w:sz w:val="20"/>
                <w:szCs w:val="20"/>
              </w:rPr>
            </w:pPr>
            <w:r w:rsidRPr="00FF3E6A">
              <w:rPr>
                <w:sz w:val="20"/>
                <w:szCs w:val="20"/>
              </w:rPr>
              <w:tab/>
              <w:t>Robbins Appleby &amp; Taub LLP</w:t>
            </w:r>
          </w:p>
          <w:p w:rsidR="00FF3E6A" w:rsidRPr="00FF3E6A" w:rsidRDefault="00FF3E6A" w:rsidP="00FF3E6A">
            <w:pPr>
              <w:tabs>
                <w:tab w:val="left" w:pos="-1440"/>
                <w:tab w:val="left" w:pos="-720"/>
              </w:tabs>
              <w:rPr>
                <w:sz w:val="20"/>
                <w:szCs w:val="20"/>
              </w:rPr>
            </w:pPr>
          </w:p>
          <w:p w:rsidR="00FF3E6A" w:rsidRPr="00FF3E6A" w:rsidRDefault="00FF3E6A" w:rsidP="000D71BD">
            <w:pPr>
              <w:rPr>
                <w:sz w:val="20"/>
                <w:szCs w:val="20"/>
                <w:lang w:val="fr-CA"/>
              </w:rPr>
            </w:pPr>
            <w:r w:rsidRPr="00FF3E6A">
              <w:rPr>
                <w:sz w:val="20"/>
                <w:szCs w:val="20"/>
                <w:lang w:val="fr-CA"/>
              </w:rPr>
              <w:t>FILING DATE: 2</w:t>
            </w:r>
            <w:r>
              <w:rPr>
                <w:sz w:val="20"/>
                <w:szCs w:val="20"/>
                <w:lang w:val="fr-CA"/>
              </w:rPr>
              <w:t>7</w:t>
            </w:r>
            <w:r w:rsidRPr="00FF3E6A">
              <w:rPr>
                <w:sz w:val="20"/>
                <w:szCs w:val="20"/>
                <w:lang w:val="fr-CA"/>
              </w:rPr>
              <w:t>.02.201</w:t>
            </w:r>
            <w:r>
              <w:rPr>
                <w:sz w:val="20"/>
                <w:szCs w:val="20"/>
                <w:lang w:val="fr-CA"/>
              </w:rPr>
              <w:t>5</w:t>
            </w:r>
            <w:r w:rsidR="00BF341F">
              <w:rPr>
                <w:sz w:val="20"/>
                <w:szCs w:val="20"/>
                <w:lang w:val="fr-CA"/>
              </w:rPr>
              <w:pict>
                <v:rect id="_x0000_i1026" style="width:108pt;height:1pt" o:hrpct="0" o:hralign="center" o:hrstd="t" o:hrnoshade="t" o:hr="t" fillcolor="black [3213]" stroked="f"/>
              </w:pict>
            </w:r>
          </w:p>
        </w:tc>
      </w:tr>
      <w:tr w:rsidR="000D71BD" w:rsidRPr="000D71BD" w:rsidTr="003B3977">
        <w:tc>
          <w:tcPr>
            <w:tcW w:w="4320" w:type="dxa"/>
            <w:shd w:val="clear" w:color="auto" w:fill="auto"/>
          </w:tcPr>
          <w:p w:rsidR="000D71BD" w:rsidRDefault="000D71BD" w:rsidP="005F1ED8">
            <w:pPr>
              <w:rPr>
                <w:sz w:val="20"/>
                <w:szCs w:val="20"/>
                <w:lang w:val="fr-CA"/>
              </w:rPr>
            </w:pPr>
            <w:r w:rsidRPr="000D71BD">
              <w:rPr>
                <w:b/>
                <w:sz w:val="20"/>
                <w:szCs w:val="20"/>
                <w:lang w:val="fr-CA"/>
              </w:rPr>
              <w:t>Compagnie Minière IOC inc. et autre</w:t>
            </w:r>
          </w:p>
          <w:p w:rsidR="000D71BD" w:rsidRPr="00806A5B" w:rsidRDefault="000D71BD" w:rsidP="000D71BD">
            <w:pPr>
              <w:keepNext/>
              <w:keepLines/>
              <w:tabs>
                <w:tab w:val="left" w:pos="-1440"/>
                <w:tab w:val="left" w:pos="-720"/>
              </w:tabs>
              <w:rPr>
                <w:sz w:val="20"/>
                <w:szCs w:val="20"/>
                <w:lang w:val="fr-CA"/>
              </w:rPr>
            </w:pPr>
            <w:r w:rsidRPr="00806A5B">
              <w:rPr>
                <w:sz w:val="20"/>
                <w:szCs w:val="20"/>
                <w:lang w:val="fr-CA"/>
              </w:rPr>
              <w:tab/>
            </w:r>
            <w:r>
              <w:rPr>
                <w:sz w:val="20"/>
                <w:szCs w:val="20"/>
                <w:lang w:val="fr-CA"/>
              </w:rPr>
              <w:t>F</w:t>
            </w:r>
            <w:r w:rsidRPr="00806A5B">
              <w:rPr>
                <w:sz w:val="20"/>
                <w:szCs w:val="20"/>
                <w:lang w:val="fr-CA"/>
              </w:rPr>
              <w:t>r</w:t>
            </w:r>
            <w:r>
              <w:rPr>
                <w:sz w:val="20"/>
                <w:szCs w:val="20"/>
                <w:lang w:val="fr-CA"/>
              </w:rPr>
              <w:t>ançois Fontaine</w:t>
            </w:r>
          </w:p>
          <w:p w:rsidR="000D71BD" w:rsidRPr="00806A5B" w:rsidRDefault="000D71BD" w:rsidP="000D71BD">
            <w:pPr>
              <w:keepNext/>
              <w:keepLines/>
              <w:tabs>
                <w:tab w:val="left" w:pos="-1440"/>
                <w:tab w:val="left" w:pos="-720"/>
              </w:tabs>
              <w:rPr>
                <w:sz w:val="20"/>
                <w:szCs w:val="20"/>
                <w:lang w:val="fr-CA"/>
              </w:rPr>
            </w:pPr>
            <w:r w:rsidRPr="00806A5B">
              <w:rPr>
                <w:sz w:val="20"/>
                <w:szCs w:val="20"/>
                <w:lang w:val="fr-CA"/>
              </w:rPr>
              <w:tab/>
            </w:r>
            <w:r>
              <w:rPr>
                <w:sz w:val="20"/>
                <w:szCs w:val="20"/>
                <w:lang w:val="fr-CA"/>
              </w:rPr>
              <w:t>No</w:t>
            </w:r>
            <w:r w:rsidRPr="00806A5B">
              <w:rPr>
                <w:sz w:val="20"/>
                <w:szCs w:val="20"/>
                <w:lang w:val="fr-CA"/>
              </w:rPr>
              <w:t>rt</w:t>
            </w:r>
            <w:r>
              <w:rPr>
                <w:sz w:val="20"/>
                <w:szCs w:val="20"/>
                <w:lang w:val="fr-CA"/>
              </w:rPr>
              <w:t>on Rose Fulbright C</w:t>
            </w:r>
            <w:r w:rsidRPr="00806A5B">
              <w:rPr>
                <w:sz w:val="20"/>
                <w:szCs w:val="20"/>
                <w:lang w:val="fr-CA"/>
              </w:rPr>
              <w:t>a</w:t>
            </w:r>
            <w:r>
              <w:rPr>
                <w:sz w:val="20"/>
                <w:szCs w:val="20"/>
                <w:lang w:val="fr-CA"/>
              </w:rPr>
              <w:t>n</w:t>
            </w:r>
            <w:r w:rsidRPr="00806A5B">
              <w:rPr>
                <w:sz w:val="20"/>
                <w:szCs w:val="20"/>
                <w:lang w:val="fr-CA"/>
              </w:rPr>
              <w:t>a</w:t>
            </w:r>
            <w:r>
              <w:rPr>
                <w:sz w:val="20"/>
                <w:szCs w:val="20"/>
                <w:lang w:val="fr-CA"/>
              </w:rPr>
              <w:t>da LLP</w:t>
            </w:r>
          </w:p>
          <w:p w:rsidR="000D71BD" w:rsidRPr="00806A5B" w:rsidRDefault="000D71BD" w:rsidP="000D71BD">
            <w:pPr>
              <w:keepNext/>
              <w:keepLines/>
              <w:tabs>
                <w:tab w:val="left" w:pos="-1440"/>
                <w:tab w:val="left" w:pos="-720"/>
              </w:tabs>
              <w:rPr>
                <w:sz w:val="20"/>
                <w:szCs w:val="20"/>
                <w:lang w:val="fr-CA"/>
              </w:rPr>
            </w:pPr>
          </w:p>
          <w:p w:rsidR="000D71BD" w:rsidRPr="00806A5B" w:rsidRDefault="000D71BD" w:rsidP="000D71BD">
            <w:pPr>
              <w:keepNext/>
              <w:keepLines/>
              <w:tabs>
                <w:tab w:val="left" w:pos="-1440"/>
                <w:tab w:val="left" w:pos="-720"/>
              </w:tabs>
              <w:rPr>
                <w:sz w:val="20"/>
                <w:szCs w:val="20"/>
                <w:lang w:val="fr-CA"/>
              </w:rPr>
            </w:pPr>
            <w:r w:rsidRPr="00806A5B">
              <w:rPr>
                <w:sz w:val="20"/>
                <w:szCs w:val="20"/>
                <w:lang w:val="fr-CA"/>
              </w:rPr>
              <w:tab/>
              <w:t>c. (36</w:t>
            </w:r>
            <w:r>
              <w:rPr>
                <w:sz w:val="20"/>
                <w:szCs w:val="20"/>
                <w:lang w:val="fr-CA"/>
              </w:rPr>
              <w:t>332</w:t>
            </w:r>
            <w:r w:rsidRPr="00806A5B">
              <w:rPr>
                <w:sz w:val="20"/>
                <w:szCs w:val="20"/>
                <w:lang w:val="fr-CA"/>
              </w:rPr>
              <w:t>)</w:t>
            </w:r>
          </w:p>
          <w:p w:rsidR="000D71BD" w:rsidRPr="00806A5B" w:rsidRDefault="000D71BD" w:rsidP="000D71BD">
            <w:pPr>
              <w:keepNext/>
              <w:keepLines/>
              <w:tabs>
                <w:tab w:val="left" w:pos="-1440"/>
                <w:tab w:val="left" w:pos="-720"/>
              </w:tabs>
              <w:rPr>
                <w:sz w:val="20"/>
                <w:szCs w:val="20"/>
                <w:lang w:val="fr-CA"/>
              </w:rPr>
            </w:pPr>
          </w:p>
          <w:p w:rsidR="000D71BD" w:rsidRPr="00806A5B" w:rsidRDefault="000D71BD" w:rsidP="000D71BD">
            <w:pPr>
              <w:keepNext/>
              <w:keepLines/>
              <w:tabs>
                <w:tab w:val="left" w:pos="-1440"/>
                <w:tab w:val="left" w:pos="-720"/>
              </w:tabs>
              <w:rPr>
                <w:b/>
                <w:sz w:val="20"/>
                <w:szCs w:val="20"/>
                <w:lang w:val="fr-CA"/>
              </w:rPr>
            </w:pPr>
            <w:r>
              <w:rPr>
                <w:b/>
                <w:sz w:val="20"/>
                <w:szCs w:val="20"/>
                <w:lang w:val="fr-CA"/>
              </w:rPr>
              <w:t>Uashaunnuat (Les Innus de Uashat et de Mani-Utenam) et autres</w:t>
            </w:r>
            <w:r w:rsidRPr="00806A5B">
              <w:rPr>
                <w:b/>
                <w:sz w:val="20"/>
                <w:szCs w:val="20"/>
                <w:lang w:val="fr-CA"/>
              </w:rPr>
              <w:t xml:space="preserve"> (Qc)</w:t>
            </w:r>
          </w:p>
          <w:p w:rsidR="000D71BD" w:rsidRPr="000D71BD" w:rsidRDefault="000D71BD" w:rsidP="000D71BD">
            <w:pPr>
              <w:keepNext/>
              <w:keepLines/>
              <w:tabs>
                <w:tab w:val="left" w:pos="-1440"/>
                <w:tab w:val="left" w:pos="-720"/>
              </w:tabs>
              <w:rPr>
                <w:sz w:val="20"/>
                <w:szCs w:val="20"/>
              </w:rPr>
            </w:pPr>
            <w:r w:rsidRPr="00806A5B">
              <w:rPr>
                <w:sz w:val="20"/>
                <w:szCs w:val="20"/>
                <w:lang w:val="fr-CA"/>
              </w:rPr>
              <w:tab/>
            </w:r>
            <w:r w:rsidRPr="000D71BD">
              <w:rPr>
                <w:sz w:val="20"/>
                <w:szCs w:val="20"/>
              </w:rPr>
              <w:t>James A. O’Reilly, Ad. E.</w:t>
            </w:r>
          </w:p>
          <w:p w:rsidR="000D71BD" w:rsidRPr="00806A5B" w:rsidRDefault="000D71BD" w:rsidP="000D71BD">
            <w:pPr>
              <w:keepNext/>
              <w:keepLines/>
              <w:tabs>
                <w:tab w:val="left" w:pos="-1440"/>
                <w:tab w:val="left" w:pos="-720"/>
              </w:tabs>
              <w:rPr>
                <w:sz w:val="20"/>
                <w:szCs w:val="20"/>
                <w:lang w:val="fr-CA"/>
              </w:rPr>
            </w:pPr>
            <w:r w:rsidRPr="000D71BD">
              <w:rPr>
                <w:sz w:val="20"/>
                <w:szCs w:val="20"/>
              </w:rPr>
              <w:tab/>
            </w:r>
            <w:r>
              <w:rPr>
                <w:sz w:val="20"/>
                <w:szCs w:val="20"/>
                <w:lang w:val="fr-CA"/>
              </w:rPr>
              <w:t>O’Reilly &amp; Associés</w:t>
            </w:r>
          </w:p>
          <w:p w:rsidR="000D71BD" w:rsidRPr="00806A5B" w:rsidRDefault="000D71BD" w:rsidP="000D71BD">
            <w:pPr>
              <w:keepNext/>
              <w:keepLines/>
              <w:tabs>
                <w:tab w:val="left" w:pos="-1440"/>
                <w:tab w:val="left" w:pos="-720"/>
              </w:tabs>
              <w:rPr>
                <w:sz w:val="20"/>
                <w:szCs w:val="20"/>
                <w:lang w:val="fr-CA"/>
              </w:rPr>
            </w:pPr>
          </w:p>
          <w:p w:rsidR="000D71BD" w:rsidRPr="000D71BD" w:rsidRDefault="000D71BD" w:rsidP="000D71BD">
            <w:pPr>
              <w:rPr>
                <w:sz w:val="20"/>
                <w:szCs w:val="20"/>
                <w:lang w:val="fr-CA"/>
              </w:rPr>
            </w:pPr>
            <w:r w:rsidRPr="00FF3E6A">
              <w:rPr>
                <w:sz w:val="20"/>
                <w:szCs w:val="20"/>
              </w:rPr>
              <w:t>FILING DATE: 0</w:t>
            </w:r>
            <w:r>
              <w:rPr>
                <w:sz w:val="20"/>
                <w:szCs w:val="20"/>
              </w:rPr>
              <w:t>5</w:t>
            </w:r>
            <w:r w:rsidRPr="00FF3E6A">
              <w:rPr>
                <w:sz w:val="20"/>
                <w:szCs w:val="20"/>
              </w:rPr>
              <w:t>.03.201</w:t>
            </w:r>
            <w:r>
              <w:rPr>
                <w:sz w:val="20"/>
                <w:szCs w:val="20"/>
              </w:rPr>
              <w:t>5</w:t>
            </w:r>
            <w:r w:rsidR="00BF341F">
              <w:rPr>
                <w:sz w:val="20"/>
                <w:szCs w:val="20"/>
                <w:lang w:val="fr-CA"/>
              </w:rPr>
              <w:pict>
                <v:rect id="_x0000_i1027" style="width:108pt;height:1pt" o:hrpct="0" o:hralign="center" o:hrstd="t" o:hrnoshade="t" o:hr="t" fillcolor="black [3213]" stroked="f"/>
              </w:pict>
            </w:r>
          </w:p>
        </w:tc>
        <w:tc>
          <w:tcPr>
            <w:tcW w:w="1181" w:type="dxa"/>
            <w:shd w:val="clear" w:color="auto" w:fill="auto"/>
          </w:tcPr>
          <w:p w:rsidR="000D71BD" w:rsidRDefault="000D71BD" w:rsidP="00242AEE">
            <w:pPr>
              <w:jc w:val="center"/>
              <w:rPr>
                <w:sz w:val="20"/>
                <w:szCs w:val="20"/>
                <w:lang w:val="fr-CA"/>
              </w:rPr>
            </w:pPr>
          </w:p>
          <w:p w:rsidR="000D71BD" w:rsidRDefault="000D71BD" w:rsidP="00242AEE">
            <w:pPr>
              <w:jc w:val="center"/>
              <w:rPr>
                <w:sz w:val="20"/>
                <w:szCs w:val="20"/>
                <w:lang w:val="fr-CA"/>
              </w:rPr>
            </w:pPr>
          </w:p>
          <w:p w:rsidR="000D71BD" w:rsidRDefault="000D71BD" w:rsidP="00242AEE">
            <w:pPr>
              <w:jc w:val="center"/>
              <w:rPr>
                <w:sz w:val="20"/>
                <w:szCs w:val="20"/>
                <w:lang w:val="fr-CA"/>
              </w:rPr>
            </w:pPr>
          </w:p>
          <w:p w:rsidR="000D71BD" w:rsidRDefault="000D71BD" w:rsidP="00242AEE">
            <w:pPr>
              <w:jc w:val="center"/>
              <w:rPr>
                <w:sz w:val="20"/>
                <w:szCs w:val="20"/>
                <w:lang w:val="fr-CA"/>
              </w:rPr>
            </w:pPr>
          </w:p>
          <w:p w:rsidR="000D71BD" w:rsidRDefault="000D71BD" w:rsidP="00242AEE">
            <w:pPr>
              <w:jc w:val="center"/>
              <w:rPr>
                <w:sz w:val="20"/>
                <w:szCs w:val="20"/>
                <w:lang w:val="fr-CA"/>
              </w:rPr>
            </w:pPr>
          </w:p>
          <w:p w:rsidR="000D71BD" w:rsidRDefault="000D71BD" w:rsidP="00242AEE">
            <w:pPr>
              <w:jc w:val="center"/>
              <w:rPr>
                <w:sz w:val="20"/>
                <w:szCs w:val="20"/>
                <w:lang w:val="fr-CA"/>
              </w:rPr>
            </w:pPr>
          </w:p>
          <w:p w:rsidR="000D71BD" w:rsidRDefault="000D71BD" w:rsidP="00242AEE">
            <w:pPr>
              <w:jc w:val="center"/>
              <w:rPr>
                <w:sz w:val="20"/>
                <w:szCs w:val="20"/>
                <w:lang w:val="fr-CA"/>
              </w:rPr>
            </w:pPr>
          </w:p>
          <w:p w:rsidR="000D71BD" w:rsidRDefault="000D71BD" w:rsidP="00242AEE">
            <w:pPr>
              <w:jc w:val="center"/>
              <w:rPr>
                <w:sz w:val="20"/>
                <w:szCs w:val="20"/>
                <w:lang w:val="fr-CA"/>
              </w:rPr>
            </w:pPr>
          </w:p>
          <w:p w:rsidR="000D71BD" w:rsidRDefault="000D71BD" w:rsidP="00242AEE">
            <w:pPr>
              <w:jc w:val="center"/>
              <w:rPr>
                <w:sz w:val="20"/>
                <w:szCs w:val="20"/>
                <w:lang w:val="fr-CA"/>
              </w:rPr>
            </w:pPr>
          </w:p>
          <w:p w:rsidR="000D71BD" w:rsidRDefault="000D71BD" w:rsidP="00242AEE">
            <w:pPr>
              <w:jc w:val="center"/>
              <w:rPr>
                <w:sz w:val="20"/>
                <w:szCs w:val="20"/>
                <w:lang w:val="fr-CA"/>
              </w:rPr>
            </w:pPr>
          </w:p>
          <w:p w:rsidR="000D71BD" w:rsidRDefault="000D71BD" w:rsidP="00242AEE">
            <w:pPr>
              <w:jc w:val="center"/>
              <w:rPr>
                <w:sz w:val="20"/>
                <w:szCs w:val="20"/>
                <w:lang w:val="fr-CA"/>
              </w:rPr>
            </w:pPr>
          </w:p>
          <w:p w:rsidR="000D71BD" w:rsidRDefault="000D71BD" w:rsidP="00242AEE">
            <w:pPr>
              <w:jc w:val="center"/>
              <w:rPr>
                <w:sz w:val="20"/>
                <w:szCs w:val="20"/>
                <w:lang w:val="fr-CA"/>
              </w:rPr>
            </w:pPr>
          </w:p>
          <w:p w:rsidR="000D71BD" w:rsidRPr="0080189D" w:rsidRDefault="000D71BD" w:rsidP="00242AEE">
            <w:pPr>
              <w:jc w:val="center"/>
              <w:rPr>
                <w:sz w:val="20"/>
                <w:szCs w:val="20"/>
                <w:lang w:val="fr-CA"/>
              </w:rPr>
            </w:pPr>
          </w:p>
        </w:tc>
        <w:tc>
          <w:tcPr>
            <w:tcW w:w="4320" w:type="dxa"/>
            <w:shd w:val="clear" w:color="auto" w:fill="auto"/>
          </w:tcPr>
          <w:p w:rsidR="000D71BD" w:rsidRPr="006D146B" w:rsidRDefault="000D71BD" w:rsidP="00FF3E6A">
            <w:pPr>
              <w:rPr>
                <w:b/>
                <w:sz w:val="20"/>
                <w:szCs w:val="20"/>
              </w:rPr>
            </w:pPr>
          </w:p>
          <w:p w:rsidR="000D71BD" w:rsidRPr="006D146B" w:rsidRDefault="000D71BD" w:rsidP="00FF3E6A">
            <w:pPr>
              <w:rPr>
                <w:sz w:val="20"/>
                <w:szCs w:val="20"/>
              </w:rPr>
            </w:pPr>
            <w:r w:rsidRPr="006D146B">
              <w:rPr>
                <w:b/>
                <w:sz w:val="20"/>
                <w:szCs w:val="20"/>
              </w:rPr>
              <w:t>Eleanor Denise Baines</w:t>
            </w:r>
          </w:p>
          <w:p w:rsidR="000D71BD" w:rsidRPr="00FF3E6A" w:rsidRDefault="000D71BD" w:rsidP="000D71BD">
            <w:pPr>
              <w:tabs>
                <w:tab w:val="left" w:pos="-1440"/>
                <w:tab w:val="left" w:pos="-720"/>
              </w:tabs>
              <w:rPr>
                <w:sz w:val="20"/>
                <w:szCs w:val="20"/>
              </w:rPr>
            </w:pPr>
            <w:r w:rsidRPr="00FF3E6A">
              <w:rPr>
                <w:sz w:val="20"/>
                <w:szCs w:val="20"/>
              </w:rPr>
              <w:tab/>
              <w:t>Eleanor Denise Baines</w:t>
            </w:r>
          </w:p>
          <w:p w:rsidR="000D71BD" w:rsidRPr="00FF3E6A" w:rsidRDefault="000D71BD" w:rsidP="000D71BD">
            <w:pPr>
              <w:tabs>
                <w:tab w:val="left" w:pos="-1440"/>
                <w:tab w:val="left" w:pos="-720"/>
              </w:tabs>
              <w:rPr>
                <w:sz w:val="20"/>
                <w:szCs w:val="20"/>
              </w:rPr>
            </w:pPr>
          </w:p>
          <w:p w:rsidR="000D71BD" w:rsidRPr="006D146B" w:rsidRDefault="000D71BD" w:rsidP="000D71BD">
            <w:pPr>
              <w:tabs>
                <w:tab w:val="left" w:pos="-1440"/>
                <w:tab w:val="left" w:pos="-720"/>
              </w:tabs>
              <w:rPr>
                <w:sz w:val="20"/>
                <w:szCs w:val="20"/>
                <w:lang w:val="fr-CA"/>
              </w:rPr>
            </w:pPr>
            <w:r w:rsidRPr="00FF3E6A">
              <w:rPr>
                <w:sz w:val="20"/>
                <w:szCs w:val="20"/>
              </w:rPr>
              <w:tab/>
            </w:r>
            <w:r w:rsidRPr="006D146B">
              <w:rPr>
                <w:sz w:val="20"/>
                <w:szCs w:val="20"/>
                <w:lang w:val="fr-CA"/>
              </w:rPr>
              <w:t>v. (36331)</w:t>
            </w:r>
          </w:p>
          <w:p w:rsidR="000D71BD" w:rsidRPr="006D146B" w:rsidRDefault="000D71BD" w:rsidP="000D71BD">
            <w:pPr>
              <w:tabs>
                <w:tab w:val="left" w:pos="-1440"/>
                <w:tab w:val="left" w:pos="-720"/>
              </w:tabs>
              <w:rPr>
                <w:sz w:val="20"/>
                <w:szCs w:val="20"/>
                <w:lang w:val="fr-CA"/>
              </w:rPr>
            </w:pPr>
          </w:p>
          <w:p w:rsidR="000D71BD" w:rsidRPr="006D146B" w:rsidRDefault="000D71BD" w:rsidP="000D71BD">
            <w:pPr>
              <w:tabs>
                <w:tab w:val="left" w:pos="-1440"/>
                <w:tab w:val="left" w:pos="-720"/>
              </w:tabs>
              <w:rPr>
                <w:b/>
                <w:sz w:val="20"/>
                <w:szCs w:val="20"/>
                <w:lang w:val="fr-CA"/>
              </w:rPr>
            </w:pPr>
            <w:r w:rsidRPr="006D146B">
              <w:rPr>
                <w:b/>
                <w:sz w:val="20"/>
                <w:szCs w:val="20"/>
                <w:lang w:val="fr-CA"/>
              </w:rPr>
              <w:t>Linett &amp; Timmis Barristers &amp; Solicitors (Ont.)</w:t>
            </w:r>
          </w:p>
          <w:p w:rsidR="000D71BD" w:rsidRPr="00FF3E6A" w:rsidRDefault="000D71BD" w:rsidP="000D71BD">
            <w:pPr>
              <w:tabs>
                <w:tab w:val="left" w:pos="-1440"/>
                <w:tab w:val="left" w:pos="-720"/>
              </w:tabs>
              <w:rPr>
                <w:sz w:val="20"/>
                <w:szCs w:val="20"/>
              </w:rPr>
            </w:pPr>
            <w:r w:rsidRPr="006D146B">
              <w:rPr>
                <w:sz w:val="20"/>
                <w:szCs w:val="20"/>
                <w:lang w:val="fr-CA"/>
              </w:rPr>
              <w:tab/>
            </w:r>
            <w:r w:rsidRPr="00FF3E6A">
              <w:rPr>
                <w:sz w:val="20"/>
                <w:szCs w:val="20"/>
              </w:rPr>
              <w:t>Bruce Hutchison</w:t>
            </w:r>
          </w:p>
          <w:p w:rsidR="000D71BD" w:rsidRPr="00FF3E6A" w:rsidRDefault="000D71BD" w:rsidP="000D71BD">
            <w:pPr>
              <w:tabs>
                <w:tab w:val="left" w:pos="-1440"/>
                <w:tab w:val="left" w:pos="-720"/>
              </w:tabs>
              <w:rPr>
                <w:sz w:val="20"/>
                <w:szCs w:val="20"/>
              </w:rPr>
            </w:pPr>
            <w:r w:rsidRPr="00FF3E6A">
              <w:rPr>
                <w:sz w:val="20"/>
                <w:szCs w:val="20"/>
              </w:rPr>
              <w:tab/>
              <w:t>Genest Murray LLP</w:t>
            </w:r>
          </w:p>
          <w:p w:rsidR="000D71BD" w:rsidRPr="00FF3E6A" w:rsidRDefault="000D71BD" w:rsidP="000D71BD">
            <w:pPr>
              <w:tabs>
                <w:tab w:val="left" w:pos="-1440"/>
                <w:tab w:val="left" w:pos="-720"/>
              </w:tabs>
              <w:rPr>
                <w:sz w:val="20"/>
                <w:szCs w:val="20"/>
              </w:rPr>
            </w:pPr>
          </w:p>
          <w:p w:rsidR="000D71BD" w:rsidRPr="006D146B" w:rsidRDefault="000D71BD" w:rsidP="000D71BD">
            <w:pPr>
              <w:rPr>
                <w:sz w:val="20"/>
                <w:szCs w:val="20"/>
              </w:rPr>
            </w:pPr>
            <w:r w:rsidRPr="00FF3E6A">
              <w:rPr>
                <w:sz w:val="20"/>
                <w:szCs w:val="20"/>
              </w:rPr>
              <w:t>FILING DATE: 03.03.201</w:t>
            </w:r>
            <w:r>
              <w:rPr>
                <w:sz w:val="20"/>
                <w:szCs w:val="20"/>
              </w:rPr>
              <w:t>5</w:t>
            </w:r>
            <w:r w:rsidR="00BF341F">
              <w:rPr>
                <w:sz w:val="20"/>
                <w:szCs w:val="20"/>
                <w:lang w:val="fr-CA"/>
              </w:rPr>
              <w:pict>
                <v:rect id="_x0000_i1028"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BD5DE8">
          <w:headerReference w:type="default" r:id="rId17"/>
          <w:footerReference w:type="default" r:id="rId18"/>
          <w:headerReference w:type="first" r:id="rId19"/>
          <w:footerReference w:type="first" r:id="rId20"/>
          <w:pgSz w:w="12240" w:h="15840"/>
          <w:pgMar w:top="720" w:right="965" w:bottom="1080" w:left="1656" w:header="706" w:footer="706" w:gutter="0"/>
          <w:pgNumType w:start="48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BF341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8E76CF" w:rsidP="00CB3520">
      <w:pPr>
        <w:widowControl w:val="0"/>
        <w:rPr>
          <w:b/>
          <w:sz w:val="20"/>
          <w:szCs w:val="20"/>
        </w:rPr>
      </w:pPr>
      <w:r>
        <w:rPr>
          <w:b/>
          <w:sz w:val="20"/>
          <w:szCs w:val="20"/>
        </w:rPr>
        <w:t>M</w:t>
      </w:r>
      <w:r w:rsidR="00CB3520">
        <w:rPr>
          <w:b/>
          <w:sz w:val="20"/>
          <w:szCs w:val="20"/>
        </w:rPr>
        <w:t>A</w:t>
      </w:r>
      <w:r>
        <w:rPr>
          <w:b/>
          <w:sz w:val="20"/>
          <w:szCs w:val="20"/>
        </w:rPr>
        <w:t xml:space="preserve">RCH </w:t>
      </w:r>
      <w:r w:rsidR="00020DC3">
        <w:rPr>
          <w:b/>
          <w:sz w:val="20"/>
          <w:szCs w:val="20"/>
        </w:rPr>
        <w:t>1</w:t>
      </w:r>
      <w:r>
        <w:rPr>
          <w:b/>
          <w:sz w:val="20"/>
          <w:szCs w:val="20"/>
        </w:rPr>
        <w:t>6</w:t>
      </w:r>
      <w:r w:rsidR="00CB3520" w:rsidRPr="00C50A5C">
        <w:rPr>
          <w:b/>
          <w:sz w:val="20"/>
          <w:szCs w:val="20"/>
        </w:rPr>
        <w:t>, 201</w:t>
      </w:r>
      <w:r w:rsidR="00020DC3">
        <w:rPr>
          <w:b/>
          <w:sz w:val="20"/>
          <w:szCs w:val="20"/>
        </w:rPr>
        <w:t>5</w:t>
      </w:r>
      <w:r w:rsidR="00CB3520" w:rsidRPr="00C50A5C">
        <w:rPr>
          <w:b/>
          <w:sz w:val="20"/>
          <w:szCs w:val="20"/>
        </w:rPr>
        <w:t xml:space="preserve"> / LE </w:t>
      </w:r>
      <w:r w:rsidR="00020DC3">
        <w:rPr>
          <w:b/>
          <w:sz w:val="20"/>
          <w:szCs w:val="20"/>
        </w:rPr>
        <w:t>1</w:t>
      </w:r>
      <w:r>
        <w:rPr>
          <w:b/>
          <w:sz w:val="20"/>
          <w:szCs w:val="20"/>
        </w:rPr>
        <w:t>6</w:t>
      </w:r>
      <w:r w:rsidR="00CB3520">
        <w:rPr>
          <w:b/>
          <w:sz w:val="20"/>
          <w:szCs w:val="20"/>
        </w:rPr>
        <w:t xml:space="preserve"> </w:t>
      </w:r>
      <w:r>
        <w:rPr>
          <w:b/>
          <w:sz w:val="20"/>
          <w:szCs w:val="20"/>
        </w:rPr>
        <w:t>M</w:t>
      </w:r>
      <w:r w:rsidR="00CB3520">
        <w:rPr>
          <w:b/>
          <w:sz w:val="20"/>
          <w:szCs w:val="20"/>
        </w:rPr>
        <w:t>AR</w:t>
      </w:r>
      <w:r>
        <w:rPr>
          <w:b/>
          <w:sz w:val="20"/>
          <w:szCs w:val="20"/>
        </w:rPr>
        <w:t>S</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5C355B" w:rsidP="00CB3520">
      <w:pPr>
        <w:pStyle w:val="ListParagraph"/>
        <w:widowControl w:val="0"/>
        <w:numPr>
          <w:ilvl w:val="0"/>
          <w:numId w:val="1"/>
        </w:numPr>
        <w:ind w:hanging="720"/>
        <w:jc w:val="both"/>
        <w:rPr>
          <w:sz w:val="20"/>
          <w:szCs w:val="20"/>
        </w:rPr>
      </w:pPr>
      <w:r w:rsidRPr="005C355B">
        <w:rPr>
          <w:i/>
          <w:sz w:val="20"/>
          <w:szCs w:val="20"/>
        </w:rPr>
        <w:t>Javier Batista-Cervantes also known as Javier Churro v. Attorney General of Canada on Behalf of the United States of America</w:t>
      </w:r>
      <w:r w:rsidRPr="005C355B">
        <w:rPr>
          <w:sz w:val="20"/>
          <w:szCs w:val="20"/>
        </w:rPr>
        <w:t xml:space="preserve"> (Alta.) (Crim.) (By Leave)</w:t>
      </w:r>
      <w:r w:rsidRPr="00C50A5C">
        <w:rPr>
          <w:sz w:val="20"/>
          <w:szCs w:val="20"/>
        </w:rPr>
        <w:t xml:space="preserve"> </w:t>
      </w:r>
      <w:r w:rsidR="00CB3520" w:rsidRPr="00C50A5C">
        <w:rPr>
          <w:sz w:val="20"/>
          <w:szCs w:val="20"/>
        </w:rPr>
        <w:t>(3</w:t>
      </w:r>
      <w:r w:rsidR="00CB3520">
        <w:rPr>
          <w:sz w:val="20"/>
          <w:szCs w:val="20"/>
        </w:rPr>
        <w:t>62</w:t>
      </w:r>
      <w:r>
        <w:rPr>
          <w:sz w:val="20"/>
          <w:szCs w:val="20"/>
        </w:rPr>
        <w:t>84</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5C355B" w:rsidP="00CB3520">
      <w:pPr>
        <w:pStyle w:val="ListParagraph"/>
        <w:widowControl w:val="0"/>
        <w:numPr>
          <w:ilvl w:val="0"/>
          <w:numId w:val="1"/>
        </w:numPr>
        <w:ind w:hanging="720"/>
        <w:jc w:val="both"/>
        <w:rPr>
          <w:sz w:val="20"/>
          <w:szCs w:val="20"/>
        </w:rPr>
      </w:pPr>
      <w:r w:rsidRPr="005C355B">
        <w:rPr>
          <w:i/>
          <w:sz w:val="20"/>
          <w:szCs w:val="20"/>
        </w:rPr>
        <w:t>Mokua Gichuru v. Howard Smith et al.</w:t>
      </w:r>
      <w:r w:rsidRPr="005C355B">
        <w:rPr>
          <w:sz w:val="20"/>
          <w:szCs w:val="20"/>
        </w:rPr>
        <w:t xml:space="preserve"> (B.C.) (Civil) (By Leave)</w:t>
      </w:r>
      <w:r w:rsidRPr="00C612D0">
        <w:rPr>
          <w:sz w:val="20"/>
          <w:szCs w:val="20"/>
        </w:rPr>
        <w:t xml:space="preserve"> </w:t>
      </w:r>
      <w:r w:rsidR="00CB3520" w:rsidRPr="00C612D0">
        <w:rPr>
          <w:sz w:val="20"/>
          <w:szCs w:val="20"/>
        </w:rPr>
        <w:t>(3</w:t>
      </w:r>
      <w:r w:rsidR="00CB3520">
        <w:rPr>
          <w:sz w:val="20"/>
          <w:szCs w:val="20"/>
        </w:rPr>
        <w:t>6</w:t>
      </w:r>
      <w:r>
        <w:rPr>
          <w:sz w:val="20"/>
          <w:szCs w:val="20"/>
        </w:rPr>
        <w:t>221</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5C355B" w:rsidP="00CB3520">
      <w:pPr>
        <w:pStyle w:val="ListParagraph"/>
        <w:widowControl w:val="0"/>
        <w:numPr>
          <w:ilvl w:val="0"/>
          <w:numId w:val="1"/>
        </w:numPr>
        <w:ind w:hanging="720"/>
        <w:jc w:val="both"/>
        <w:rPr>
          <w:sz w:val="20"/>
          <w:szCs w:val="20"/>
        </w:rPr>
      </w:pPr>
      <w:r w:rsidRPr="005C355B">
        <w:rPr>
          <w:i/>
          <w:sz w:val="20"/>
          <w:szCs w:val="20"/>
        </w:rPr>
        <w:t>Terry Piersanti v. Her Majesty the Queen</w:t>
      </w:r>
      <w:r w:rsidRPr="005C355B">
        <w:rPr>
          <w:sz w:val="20"/>
          <w:szCs w:val="20"/>
        </w:rPr>
        <w:t xml:space="preserve"> (F.C.) (Civil) (By Leave)</w:t>
      </w:r>
      <w:r w:rsidRPr="00940CAD">
        <w:rPr>
          <w:sz w:val="20"/>
          <w:szCs w:val="20"/>
        </w:rPr>
        <w:t xml:space="preserve"> </w:t>
      </w:r>
      <w:r w:rsidR="00CB3520" w:rsidRPr="00940CAD">
        <w:rPr>
          <w:sz w:val="20"/>
          <w:szCs w:val="20"/>
        </w:rPr>
        <w:t>(3</w:t>
      </w:r>
      <w:r>
        <w:rPr>
          <w:sz w:val="20"/>
          <w:szCs w:val="20"/>
        </w:rPr>
        <w:t>623</w:t>
      </w:r>
      <w:r w:rsidR="00CB3520">
        <w:rPr>
          <w:sz w:val="20"/>
          <w:szCs w:val="20"/>
        </w:rPr>
        <w:t>0</w:t>
      </w:r>
      <w:r w:rsidR="00CB3520" w:rsidRPr="00940CAD">
        <w:rPr>
          <w:sz w:val="20"/>
          <w:szCs w:val="20"/>
        </w:rPr>
        <w:t>)</w:t>
      </w:r>
    </w:p>
    <w:p w:rsidR="00CB3520" w:rsidRPr="00C50A5C" w:rsidRDefault="00CB3520" w:rsidP="00CB3520">
      <w:pPr>
        <w:widowControl w:val="0"/>
        <w:rPr>
          <w:sz w:val="20"/>
          <w:szCs w:val="20"/>
        </w:rPr>
      </w:pPr>
    </w:p>
    <w:p w:rsidR="00CB3520" w:rsidRPr="00C50A5C" w:rsidRDefault="005C355B" w:rsidP="00CB3520">
      <w:pPr>
        <w:pStyle w:val="ListParagraph"/>
        <w:widowControl w:val="0"/>
        <w:numPr>
          <w:ilvl w:val="0"/>
          <w:numId w:val="1"/>
        </w:numPr>
        <w:ind w:hanging="720"/>
        <w:jc w:val="both"/>
        <w:rPr>
          <w:sz w:val="20"/>
          <w:szCs w:val="20"/>
        </w:rPr>
      </w:pPr>
      <w:r w:rsidRPr="005C355B">
        <w:rPr>
          <w:i/>
          <w:sz w:val="20"/>
          <w:szCs w:val="20"/>
          <w:lang w:val="fr-CA"/>
        </w:rPr>
        <w:t>Anthony Coote v. J. Norris Ormston et al.</w:t>
      </w:r>
      <w:r w:rsidRPr="005C355B">
        <w:rPr>
          <w:sz w:val="20"/>
          <w:szCs w:val="20"/>
          <w:lang w:val="fr-CA"/>
        </w:rPr>
        <w:t xml:space="preserve"> </w:t>
      </w:r>
      <w:r w:rsidRPr="005C355B">
        <w:rPr>
          <w:sz w:val="20"/>
          <w:szCs w:val="20"/>
        </w:rPr>
        <w:t>(F.C.) (Civil) (By Leave)</w:t>
      </w:r>
      <w:r w:rsidRPr="00C50A5C">
        <w:rPr>
          <w:sz w:val="20"/>
          <w:szCs w:val="20"/>
        </w:rPr>
        <w:t xml:space="preserve"> </w:t>
      </w:r>
      <w:r w:rsidR="00CB3520" w:rsidRPr="00C50A5C">
        <w:rPr>
          <w:sz w:val="20"/>
          <w:szCs w:val="20"/>
        </w:rPr>
        <w:t>(3</w:t>
      </w:r>
      <w:r w:rsidR="00CB3520">
        <w:rPr>
          <w:sz w:val="20"/>
          <w:szCs w:val="20"/>
        </w:rPr>
        <w:t>6</w:t>
      </w:r>
      <w:r>
        <w:rPr>
          <w:sz w:val="20"/>
          <w:szCs w:val="20"/>
        </w:rPr>
        <w:t>243</w:t>
      </w:r>
      <w:r w:rsidR="00CB3520" w:rsidRPr="00C50A5C">
        <w:rPr>
          <w:sz w:val="20"/>
          <w:szCs w:val="20"/>
        </w:rPr>
        <w:t>)</w:t>
      </w:r>
    </w:p>
    <w:p w:rsidR="00CB3520" w:rsidRDefault="00CB3520" w:rsidP="00CB3520">
      <w:pPr>
        <w:widowControl w:val="0"/>
        <w:jc w:val="both"/>
        <w:rPr>
          <w:sz w:val="20"/>
          <w:szCs w:val="20"/>
        </w:rPr>
      </w:pPr>
    </w:p>
    <w:p w:rsidR="00CB3520" w:rsidRPr="005C355B" w:rsidRDefault="005C355B" w:rsidP="00CB3520">
      <w:pPr>
        <w:pStyle w:val="ListParagraph"/>
        <w:widowControl w:val="0"/>
        <w:numPr>
          <w:ilvl w:val="0"/>
          <w:numId w:val="1"/>
        </w:numPr>
        <w:ind w:hanging="720"/>
        <w:jc w:val="both"/>
        <w:rPr>
          <w:sz w:val="20"/>
          <w:szCs w:val="20"/>
          <w:lang w:val="fr-CA"/>
        </w:rPr>
      </w:pPr>
      <w:r w:rsidRPr="005C355B">
        <w:rPr>
          <w:i/>
          <w:sz w:val="20"/>
          <w:szCs w:val="20"/>
          <w:lang w:val="fr-CA"/>
        </w:rPr>
        <w:t>Alain Pigeon c. Association internationale des travailleurs de métal en feuilles, Local 116</w:t>
      </w:r>
      <w:r w:rsidRPr="005C355B">
        <w:rPr>
          <w:sz w:val="20"/>
          <w:szCs w:val="20"/>
          <w:lang w:val="fr-CA"/>
        </w:rPr>
        <w:t xml:space="preserve"> (Qc) (Civile) (Autorisation) </w:t>
      </w:r>
      <w:r w:rsidR="00CB3520" w:rsidRPr="005C355B">
        <w:rPr>
          <w:sz w:val="20"/>
          <w:szCs w:val="20"/>
          <w:lang w:val="fr-CA"/>
        </w:rPr>
        <w:t>(361</w:t>
      </w:r>
      <w:r w:rsidRPr="005C355B">
        <w:rPr>
          <w:sz w:val="20"/>
          <w:szCs w:val="20"/>
          <w:lang w:val="fr-CA"/>
        </w:rPr>
        <w:t>08</w:t>
      </w:r>
      <w:r w:rsidR="00CB3520" w:rsidRPr="005C355B">
        <w:rPr>
          <w:sz w:val="20"/>
          <w:szCs w:val="20"/>
          <w:lang w:val="fr-CA"/>
        </w:rPr>
        <w:t>)</w:t>
      </w:r>
    </w:p>
    <w:p w:rsidR="00CB3520" w:rsidRPr="005C355B" w:rsidRDefault="00CB3520" w:rsidP="00CB3520">
      <w:pPr>
        <w:widowControl w:val="0"/>
        <w:rPr>
          <w:sz w:val="20"/>
          <w:szCs w:val="20"/>
          <w:lang w:val="fr-CA"/>
        </w:rPr>
      </w:pPr>
    </w:p>
    <w:p w:rsidR="00CB3520" w:rsidRPr="005C355B" w:rsidRDefault="00CB3520" w:rsidP="00CB3520">
      <w:pPr>
        <w:widowControl w:val="0"/>
        <w:rPr>
          <w:sz w:val="20"/>
          <w:szCs w:val="20"/>
          <w:lang w:val="fr-CA"/>
        </w:rPr>
      </w:pPr>
    </w:p>
    <w:p w:rsidR="00CB3520" w:rsidRPr="00BD5DE8" w:rsidRDefault="00CB3520" w:rsidP="00CB3520">
      <w:pPr>
        <w:widowControl w:val="0"/>
        <w:jc w:val="center"/>
        <w:rPr>
          <w:b/>
          <w:sz w:val="20"/>
          <w:szCs w:val="20"/>
          <w:lang w:val="fr-CA"/>
        </w:rPr>
      </w:pPr>
      <w:r w:rsidRPr="00BD5DE8">
        <w:rPr>
          <w:b/>
          <w:sz w:val="20"/>
          <w:szCs w:val="20"/>
          <w:lang w:val="fr-CA"/>
        </w:rPr>
        <w:t xml:space="preserve">CORAM: </w:t>
      </w:r>
      <w:r w:rsidR="00FA3373" w:rsidRPr="00BD5DE8">
        <w:rPr>
          <w:b/>
          <w:sz w:val="20"/>
          <w:szCs w:val="20"/>
          <w:lang w:val="fr-CA"/>
        </w:rPr>
        <w:t>Abella</w:t>
      </w:r>
      <w:r w:rsidRPr="00BD5DE8">
        <w:rPr>
          <w:b/>
          <w:sz w:val="20"/>
          <w:szCs w:val="20"/>
          <w:lang w:val="fr-CA"/>
        </w:rPr>
        <w:t xml:space="preserve">, Karakatsanis and </w:t>
      </w:r>
      <w:r w:rsidR="00FA3373" w:rsidRPr="00BD5DE8">
        <w:rPr>
          <w:b/>
          <w:sz w:val="20"/>
          <w:szCs w:val="20"/>
          <w:lang w:val="fr-CA"/>
        </w:rPr>
        <w:t>Côté</w:t>
      </w:r>
      <w:r w:rsidRPr="00BD5DE8">
        <w:rPr>
          <w:b/>
          <w:sz w:val="20"/>
          <w:szCs w:val="20"/>
          <w:lang w:val="fr-CA"/>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FA3373">
        <w:rPr>
          <w:b/>
          <w:sz w:val="20"/>
          <w:szCs w:val="20"/>
          <w:lang w:val="fr-CA"/>
        </w:rPr>
        <w:t>Côté</w:t>
      </w:r>
    </w:p>
    <w:p w:rsidR="00CB3520" w:rsidRPr="00C16CB3" w:rsidRDefault="00CB3520" w:rsidP="00CB3520">
      <w:pPr>
        <w:widowControl w:val="0"/>
        <w:jc w:val="both"/>
        <w:rPr>
          <w:sz w:val="20"/>
          <w:szCs w:val="20"/>
          <w:lang w:val="fr-CA"/>
        </w:rPr>
      </w:pPr>
    </w:p>
    <w:p w:rsidR="00CB3520" w:rsidRPr="005C355B" w:rsidRDefault="005C355B" w:rsidP="00CB3520">
      <w:pPr>
        <w:pStyle w:val="ListParagraph"/>
        <w:widowControl w:val="0"/>
        <w:numPr>
          <w:ilvl w:val="0"/>
          <w:numId w:val="1"/>
        </w:numPr>
        <w:ind w:hanging="720"/>
        <w:jc w:val="both"/>
        <w:rPr>
          <w:sz w:val="20"/>
          <w:szCs w:val="20"/>
        </w:rPr>
      </w:pPr>
      <w:r w:rsidRPr="005C355B">
        <w:rPr>
          <w:i/>
          <w:sz w:val="20"/>
          <w:szCs w:val="20"/>
        </w:rPr>
        <w:t>Richard Preston Centre for Excellence Society et al. v. Jono Developments Ltd. et al.</w:t>
      </w:r>
      <w:r w:rsidRPr="005C355B">
        <w:rPr>
          <w:sz w:val="20"/>
          <w:szCs w:val="20"/>
        </w:rPr>
        <w:t xml:space="preserve"> (N.S.) (Civil) (By Leave) </w:t>
      </w:r>
      <w:r w:rsidR="00CB3520" w:rsidRPr="005C355B">
        <w:rPr>
          <w:sz w:val="20"/>
          <w:szCs w:val="20"/>
        </w:rPr>
        <w:t>(36</w:t>
      </w:r>
      <w:r w:rsidRPr="005C355B">
        <w:rPr>
          <w:sz w:val="20"/>
          <w:szCs w:val="20"/>
        </w:rPr>
        <w:t>196</w:t>
      </w:r>
      <w:r w:rsidR="00CB3520" w:rsidRPr="005C355B">
        <w:rPr>
          <w:sz w:val="20"/>
          <w:szCs w:val="20"/>
        </w:rPr>
        <w:t>)</w:t>
      </w:r>
    </w:p>
    <w:p w:rsidR="00CB3520" w:rsidRPr="005C355B" w:rsidRDefault="00CB3520" w:rsidP="00CB3520">
      <w:pPr>
        <w:widowControl w:val="0"/>
        <w:jc w:val="both"/>
        <w:rPr>
          <w:sz w:val="20"/>
          <w:szCs w:val="20"/>
        </w:rPr>
      </w:pPr>
    </w:p>
    <w:p w:rsidR="00CB3520" w:rsidRPr="009C5D38" w:rsidRDefault="005C355B" w:rsidP="00CB3520">
      <w:pPr>
        <w:pStyle w:val="ListParagraph"/>
        <w:widowControl w:val="0"/>
        <w:numPr>
          <w:ilvl w:val="0"/>
          <w:numId w:val="1"/>
        </w:numPr>
        <w:ind w:hanging="720"/>
        <w:jc w:val="both"/>
        <w:rPr>
          <w:sz w:val="20"/>
          <w:szCs w:val="20"/>
        </w:rPr>
      </w:pPr>
      <w:r w:rsidRPr="005C355B">
        <w:rPr>
          <w:i/>
          <w:sz w:val="20"/>
          <w:szCs w:val="20"/>
          <w:lang w:val="fr-CA"/>
        </w:rPr>
        <w:t>Michelle Landry et autre c. Procureur général du Canada</w:t>
      </w:r>
      <w:r w:rsidRPr="005C355B">
        <w:rPr>
          <w:sz w:val="20"/>
          <w:szCs w:val="20"/>
          <w:lang w:val="fr-CA"/>
        </w:rPr>
        <w:t xml:space="preserve"> (C.F.) (Civile) (Autorisation)</w:t>
      </w:r>
      <w:r w:rsidRPr="009C5D38">
        <w:rPr>
          <w:sz w:val="20"/>
          <w:szCs w:val="20"/>
        </w:rPr>
        <w:t xml:space="preserve"> </w:t>
      </w:r>
      <w:r w:rsidR="00CB3520" w:rsidRPr="009C5D38">
        <w:rPr>
          <w:sz w:val="20"/>
          <w:szCs w:val="20"/>
        </w:rPr>
        <w:t>(36</w:t>
      </w:r>
      <w:r>
        <w:rPr>
          <w:sz w:val="20"/>
          <w:szCs w:val="20"/>
        </w:rPr>
        <w:t>251</w:t>
      </w:r>
      <w:r w:rsidR="00CB3520" w:rsidRPr="009C5D38">
        <w:rPr>
          <w:sz w:val="20"/>
          <w:szCs w:val="20"/>
        </w:rPr>
        <w:t>)</w:t>
      </w:r>
    </w:p>
    <w:p w:rsidR="00CB3520" w:rsidRPr="009C5D38" w:rsidRDefault="00CB3520" w:rsidP="00CB3520">
      <w:pPr>
        <w:widowControl w:val="0"/>
        <w:jc w:val="both"/>
        <w:rPr>
          <w:sz w:val="20"/>
          <w:szCs w:val="20"/>
        </w:rPr>
      </w:pPr>
    </w:p>
    <w:p w:rsidR="00CB3520" w:rsidRPr="00C50A5C" w:rsidRDefault="005C355B" w:rsidP="00CB3520">
      <w:pPr>
        <w:pStyle w:val="ListParagraph"/>
        <w:widowControl w:val="0"/>
        <w:numPr>
          <w:ilvl w:val="0"/>
          <w:numId w:val="1"/>
        </w:numPr>
        <w:ind w:hanging="720"/>
        <w:jc w:val="both"/>
        <w:rPr>
          <w:sz w:val="20"/>
          <w:szCs w:val="20"/>
          <w:lang w:val="fr-CA"/>
        </w:rPr>
      </w:pPr>
      <w:r w:rsidRPr="005C355B">
        <w:rPr>
          <w:i/>
          <w:sz w:val="20"/>
          <w:szCs w:val="20"/>
          <w:lang w:val="fr-CA"/>
        </w:rPr>
        <w:t>Gestion 1050 de la Montagne Inc. et autre c. Gestion Furst Inc. et autre</w:t>
      </w:r>
      <w:r w:rsidRPr="005C355B">
        <w:rPr>
          <w:sz w:val="20"/>
          <w:szCs w:val="20"/>
          <w:lang w:val="fr-CA"/>
        </w:rPr>
        <w:t xml:space="preserve"> (Qc) (Civile) (Autorisation)</w:t>
      </w:r>
      <w:r w:rsidRPr="00C50A5C">
        <w:rPr>
          <w:sz w:val="20"/>
          <w:szCs w:val="20"/>
          <w:lang w:val="fr-CA"/>
        </w:rPr>
        <w:t xml:space="preserve"> </w:t>
      </w:r>
      <w:r w:rsidR="00CB3520" w:rsidRPr="00C50A5C">
        <w:rPr>
          <w:sz w:val="20"/>
          <w:szCs w:val="20"/>
          <w:lang w:val="fr-CA"/>
        </w:rPr>
        <w:t>(3</w:t>
      </w:r>
      <w:r w:rsidR="00CB3520">
        <w:rPr>
          <w:sz w:val="20"/>
          <w:szCs w:val="20"/>
          <w:lang w:val="fr-CA"/>
        </w:rPr>
        <w:t>6</w:t>
      </w:r>
      <w:r>
        <w:rPr>
          <w:sz w:val="20"/>
          <w:szCs w:val="20"/>
          <w:lang w:val="fr-CA"/>
        </w:rPr>
        <w:t>154</w:t>
      </w:r>
      <w:r w:rsidR="00CB3520" w:rsidRPr="00C50A5C">
        <w:rPr>
          <w:sz w:val="20"/>
          <w:szCs w:val="20"/>
          <w:lang w:val="fr-CA"/>
        </w:rPr>
        <w:t>)</w:t>
      </w:r>
    </w:p>
    <w:p w:rsidR="00CB3520" w:rsidRDefault="00CB3520" w:rsidP="00CB3520">
      <w:pPr>
        <w:widowControl w:val="0"/>
        <w:rPr>
          <w:sz w:val="20"/>
          <w:szCs w:val="20"/>
          <w:lang w:val="fr-CA"/>
        </w:rPr>
      </w:pPr>
    </w:p>
    <w:p w:rsidR="00CB3520" w:rsidRPr="009C5D38" w:rsidRDefault="005C355B" w:rsidP="00CB3520">
      <w:pPr>
        <w:pStyle w:val="ListParagraph"/>
        <w:widowControl w:val="0"/>
        <w:numPr>
          <w:ilvl w:val="0"/>
          <w:numId w:val="1"/>
        </w:numPr>
        <w:ind w:hanging="720"/>
        <w:jc w:val="both"/>
        <w:rPr>
          <w:sz w:val="20"/>
          <w:szCs w:val="20"/>
          <w:lang w:val="fr-CA"/>
        </w:rPr>
      </w:pPr>
      <w:r w:rsidRPr="005C355B">
        <w:rPr>
          <w:i/>
          <w:sz w:val="20"/>
          <w:szCs w:val="20"/>
        </w:rPr>
        <w:t>Brent Kern Family Trust v. Her Majesty the Queen</w:t>
      </w:r>
      <w:r w:rsidRPr="005C355B">
        <w:rPr>
          <w:sz w:val="20"/>
          <w:szCs w:val="20"/>
        </w:rPr>
        <w:t xml:space="preserve"> (F.C.) (Civil) (By Leave)</w:t>
      </w:r>
      <w:r w:rsidRPr="009C5D38">
        <w:rPr>
          <w:sz w:val="20"/>
          <w:szCs w:val="20"/>
          <w:lang w:val="fr-CA"/>
        </w:rPr>
        <w:t xml:space="preserve"> </w:t>
      </w:r>
      <w:r w:rsidR="00CB3520" w:rsidRPr="009C5D38">
        <w:rPr>
          <w:sz w:val="20"/>
          <w:szCs w:val="20"/>
          <w:lang w:val="fr-CA"/>
        </w:rPr>
        <w:t>(362</w:t>
      </w:r>
      <w:r>
        <w:rPr>
          <w:sz w:val="20"/>
          <w:szCs w:val="20"/>
          <w:lang w:val="fr-CA"/>
        </w:rPr>
        <w:t>03</w:t>
      </w:r>
      <w:r w:rsidR="00CB3520" w:rsidRPr="009C5D38">
        <w:rPr>
          <w:sz w:val="20"/>
          <w:szCs w:val="20"/>
          <w:lang w:val="fr-CA"/>
        </w:rPr>
        <w:t>)</w:t>
      </w:r>
    </w:p>
    <w:p w:rsidR="00CB3520" w:rsidRDefault="00CB3520" w:rsidP="00CB3520">
      <w:pPr>
        <w:widowControl w:val="0"/>
        <w:jc w:val="both"/>
        <w:rPr>
          <w:sz w:val="20"/>
          <w:szCs w:val="20"/>
          <w:lang w:val="fr-CA"/>
        </w:rPr>
      </w:pPr>
    </w:p>
    <w:p w:rsidR="005C355B" w:rsidRDefault="005C355B" w:rsidP="00CB3520">
      <w:pPr>
        <w:widowControl w:val="0"/>
        <w:jc w:val="both"/>
        <w:rPr>
          <w:sz w:val="20"/>
          <w:szCs w:val="20"/>
          <w:lang w:val="fr-CA"/>
        </w:rPr>
      </w:pPr>
    </w:p>
    <w:p w:rsidR="005C355B" w:rsidRPr="00C50A5C" w:rsidRDefault="005C355B" w:rsidP="005C355B">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5C355B" w:rsidRPr="00C50A5C" w:rsidRDefault="005C355B" w:rsidP="005C355B">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5C355B" w:rsidRPr="009C5D38" w:rsidRDefault="005C355B" w:rsidP="00CB3520">
      <w:pPr>
        <w:widowControl w:val="0"/>
        <w:jc w:val="both"/>
        <w:rPr>
          <w:sz w:val="20"/>
          <w:szCs w:val="20"/>
          <w:lang w:val="fr-CA"/>
        </w:rPr>
      </w:pPr>
    </w:p>
    <w:p w:rsidR="00CB3520" w:rsidRPr="00115C9E" w:rsidRDefault="005C355B" w:rsidP="00CB3520">
      <w:pPr>
        <w:pStyle w:val="ListParagraph"/>
        <w:widowControl w:val="0"/>
        <w:numPr>
          <w:ilvl w:val="0"/>
          <w:numId w:val="1"/>
        </w:numPr>
        <w:ind w:hanging="720"/>
        <w:jc w:val="both"/>
        <w:rPr>
          <w:sz w:val="20"/>
          <w:szCs w:val="20"/>
        </w:rPr>
      </w:pPr>
      <w:r w:rsidRPr="005C355B">
        <w:rPr>
          <w:i/>
          <w:sz w:val="20"/>
          <w:szCs w:val="20"/>
        </w:rPr>
        <w:t>Anthony Coote v. Lawyers</w:t>
      </w:r>
      <w:r w:rsidR="00B90A64">
        <w:rPr>
          <w:i/>
          <w:sz w:val="20"/>
          <w:szCs w:val="20"/>
        </w:rPr>
        <w:t>’</w:t>
      </w:r>
      <w:r w:rsidRPr="005C355B">
        <w:rPr>
          <w:i/>
          <w:sz w:val="20"/>
          <w:szCs w:val="20"/>
        </w:rPr>
        <w:t xml:space="preserve"> Professional Indemnity Company (LAWPRO) et al.</w:t>
      </w:r>
      <w:r w:rsidRPr="005C355B">
        <w:rPr>
          <w:sz w:val="20"/>
          <w:szCs w:val="20"/>
        </w:rPr>
        <w:t xml:space="preserve"> (F.C.) (Civil) (By Leave)</w:t>
      </w:r>
      <w:r w:rsidRPr="00115C9E">
        <w:rPr>
          <w:sz w:val="20"/>
          <w:szCs w:val="20"/>
        </w:rPr>
        <w:t xml:space="preserve"> </w:t>
      </w:r>
      <w:r w:rsidR="00CB3520" w:rsidRPr="00115C9E">
        <w:rPr>
          <w:sz w:val="20"/>
          <w:szCs w:val="20"/>
        </w:rPr>
        <w:t>(3</w:t>
      </w:r>
      <w:r>
        <w:rPr>
          <w:sz w:val="20"/>
          <w:szCs w:val="20"/>
        </w:rPr>
        <w:t>62</w:t>
      </w:r>
      <w:r w:rsidR="00CB3520">
        <w:rPr>
          <w:sz w:val="20"/>
          <w:szCs w:val="20"/>
        </w:rPr>
        <w:t>1</w:t>
      </w:r>
      <w:r>
        <w:rPr>
          <w:sz w:val="20"/>
          <w:szCs w:val="20"/>
        </w:rPr>
        <w:t>8</w:t>
      </w:r>
      <w:r w:rsidR="00CB3520" w:rsidRPr="00115C9E">
        <w:rPr>
          <w:sz w:val="20"/>
          <w:szCs w:val="20"/>
        </w:rPr>
        <w:t>)</w:t>
      </w:r>
    </w:p>
    <w:p w:rsidR="00CB3520" w:rsidRPr="005C355B" w:rsidRDefault="00CB3520" w:rsidP="00CB3520">
      <w:pPr>
        <w:widowControl w:val="0"/>
        <w:jc w:val="both"/>
        <w:rPr>
          <w:sz w:val="20"/>
          <w:szCs w:val="20"/>
        </w:rPr>
      </w:pPr>
    </w:p>
    <w:p w:rsidR="00CB3520" w:rsidRPr="00115C9E" w:rsidRDefault="005C355B" w:rsidP="00CB3520">
      <w:pPr>
        <w:pStyle w:val="ListParagraph"/>
        <w:widowControl w:val="0"/>
        <w:numPr>
          <w:ilvl w:val="0"/>
          <w:numId w:val="1"/>
        </w:numPr>
        <w:ind w:hanging="720"/>
        <w:jc w:val="both"/>
        <w:rPr>
          <w:sz w:val="20"/>
          <w:szCs w:val="20"/>
        </w:rPr>
      </w:pPr>
      <w:r w:rsidRPr="005C355B">
        <w:rPr>
          <w:i/>
          <w:sz w:val="20"/>
          <w:szCs w:val="20"/>
        </w:rPr>
        <w:t>Anthony Coote v. Lawyers</w:t>
      </w:r>
      <w:r w:rsidR="00B90A64">
        <w:rPr>
          <w:i/>
          <w:sz w:val="20"/>
          <w:szCs w:val="20"/>
        </w:rPr>
        <w:t>’</w:t>
      </w:r>
      <w:r w:rsidRPr="005C355B">
        <w:rPr>
          <w:i/>
          <w:sz w:val="20"/>
          <w:szCs w:val="20"/>
        </w:rPr>
        <w:t xml:space="preserve"> Professional Indemnity Company (LAWPRO) et al.</w:t>
      </w:r>
      <w:r w:rsidRPr="005C355B">
        <w:rPr>
          <w:sz w:val="20"/>
          <w:szCs w:val="20"/>
        </w:rPr>
        <w:t xml:space="preserve"> (F.C.) (Civil) (By Leave)</w:t>
      </w:r>
      <w:r w:rsidRPr="00115C9E">
        <w:rPr>
          <w:sz w:val="20"/>
          <w:szCs w:val="20"/>
        </w:rPr>
        <w:t xml:space="preserve"> </w:t>
      </w:r>
      <w:r w:rsidR="00CB3520" w:rsidRPr="00115C9E">
        <w:rPr>
          <w:sz w:val="20"/>
          <w:szCs w:val="20"/>
        </w:rPr>
        <w:t>(3</w:t>
      </w:r>
      <w:r w:rsidR="00CB3520">
        <w:rPr>
          <w:sz w:val="20"/>
          <w:szCs w:val="20"/>
        </w:rPr>
        <w:t>6</w:t>
      </w:r>
      <w:r>
        <w:rPr>
          <w:sz w:val="20"/>
          <w:szCs w:val="20"/>
        </w:rPr>
        <w:t>226</w:t>
      </w:r>
      <w:r w:rsidR="00CB3520" w:rsidRPr="00115C9E">
        <w:rPr>
          <w:sz w:val="20"/>
          <w:szCs w:val="20"/>
        </w:rPr>
        <w:t>)</w:t>
      </w:r>
    </w:p>
    <w:p w:rsidR="00CB3520" w:rsidRPr="00115C9E" w:rsidRDefault="00CB3520" w:rsidP="00CB3520">
      <w:pPr>
        <w:widowControl w:val="0"/>
        <w:jc w:val="both"/>
        <w:rPr>
          <w:sz w:val="20"/>
          <w:szCs w:val="20"/>
        </w:rPr>
      </w:pPr>
    </w:p>
    <w:p w:rsidR="00CB3520" w:rsidRDefault="005C355B" w:rsidP="00CB3520">
      <w:pPr>
        <w:pStyle w:val="ListParagraph"/>
        <w:widowControl w:val="0"/>
        <w:numPr>
          <w:ilvl w:val="0"/>
          <w:numId w:val="1"/>
        </w:numPr>
        <w:ind w:hanging="720"/>
        <w:jc w:val="both"/>
        <w:rPr>
          <w:sz w:val="20"/>
          <w:szCs w:val="20"/>
        </w:rPr>
      </w:pPr>
      <w:r w:rsidRPr="005C355B">
        <w:rPr>
          <w:i/>
          <w:sz w:val="20"/>
          <w:szCs w:val="20"/>
        </w:rPr>
        <w:t>Anthony Coote v. Sandra Theroulde et al.</w:t>
      </w:r>
      <w:r w:rsidRPr="005C355B">
        <w:rPr>
          <w:sz w:val="20"/>
          <w:szCs w:val="20"/>
        </w:rPr>
        <w:t xml:space="preserve"> (F.C.) (Civil) (By Leave)</w:t>
      </w:r>
      <w:r w:rsidRPr="00C50A5C">
        <w:rPr>
          <w:sz w:val="20"/>
          <w:szCs w:val="20"/>
        </w:rPr>
        <w:t xml:space="preserve"> </w:t>
      </w:r>
      <w:r w:rsidR="00CB3520" w:rsidRPr="00C50A5C">
        <w:rPr>
          <w:sz w:val="20"/>
          <w:szCs w:val="20"/>
        </w:rPr>
        <w:t>(3</w:t>
      </w:r>
      <w:r w:rsidR="00CB3520">
        <w:rPr>
          <w:sz w:val="20"/>
          <w:szCs w:val="20"/>
        </w:rPr>
        <w:t>6</w:t>
      </w:r>
      <w:r>
        <w:rPr>
          <w:sz w:val="20"/>
          <w:szCs w:val="20"/>
        </w:rPr>
        <w:t>24</w:t>
      </w:r>
      <w:r w:rsidR="00CB3520">
        <w:rPr>
          <w:sz w:val="20"/>
          <w:szCs w:val="20"/>
        </w:rPr>
        <w:t>9</w:t>
      </w:r>
      <w:r w:rsidR="00CB3520" w:rsidRPr="00C50A5C">
        <w:rPr>
          <w:sz w:val="20"/>
          <w:szCs w:val="20"/>
        </w:rPr>
        <w:t>)</w:t>
      </w:r>
    </w:p>
    <w:p w:rsidR="00CB3520" w:rsidRPr="009C5D38" w:rsidRDefault="00CB3520" w:rsidP="00CB3520">
      <w:pPr>
        <w:widowControl w:val="0"/>
        <w:rPr>
          <w:i/>
          <w:sz w:val="20"/>
          <w:szCs w:val="20"/>
        </w:rPr>
      </w:pPr>
    </w:p>
    <w:p w:rsidR="00CB3520" w:rsidRPr="009C5D38" w:rsidRDefault="005C355B" w:rsidP="00CB3520">
      <w:pPr>
        <w:pStyle w:val="ListParagraph"/>
        <w:widowControl w:val="0"/>
        <w:numPr>
          <w:ilvl w:val="0"/>
          <w:numId w:val="1"/>
        </w:numPr>
        <w:ind w:hanging="720"/>
        <w:jc w:val="both"/>
        <w:rPr>
          <w:sz w:val="20"/>
          <w:szCs w:val="20"/>
        </w:rPr>
      </w:pPr>
      <w:r w:rsidRPr="005C355B">
        <w:rPr>
          <w:i/>
          <w:sz w:val="20"/>
          <w:szCs w:val="20"/>
        </w:rPr>
        <w:t>Ali Raza Jafri et al. v. Minister of Citizenship and Immigration</w:t>
      </w:r>
      <w:r w:rsidRPr="005C355B">
        <w:rPr>
          <w:sz w:val="20"/>
          <w:szCs w:val="20"/>
        </w:rPr>
        <w:t xml:space="preserve"> (F.C.) (Civil) (By Leave)</w:t>
      </w:r>
      <w:r w:rsidRPr="009C5D38">
        <w:rPr>
          <w:sz w:val="20"/>
          <w:szCs w:val="20"/>
        </w:rPr>
        <w:t xml:space="preserve"> </w:t>
      </w:r>
      <w:r w:rsidR="00CB3520" w:rsidRPr="009C5D38">
        <w:rPr>
          <w:sz w:val="20"/>
          <w:szCs w:val="20"/>
        </w:rPr>
        <w:t>(36</w:t>
      </w:r>
      <w:r>
        <w:rPr>
          <w:sz w:val="20"/>
          <w:szCs w:val="20"/>
        </w:rPr>
        <w:t>2</w:t>
      </w:r>
      <w:r w:rsidR="00CB3520" w:rsidRPr="009C5D38">
        <w:rPr>
          <w:sz w:val="20"/>
          <w:szCs w:val="20"/>
        </w:rPr>
        <w:t>1</w:t>
      </w:r>
      <w:r>
        <w:rPr>
          <w:sz w:val="20"/>
          <w:szCs w:val="20"/>
        </w:rPr>
        <w:t>3</w:t>
      </w:r>
      <w:r w:rsidR="00CB3520" w:rsidRPr="009C5D38">
        <w:rPr>
          <w:sz w:val="20"/>
          <w:szCs w:val="20"/>
        </w:rPr>
        <w:t>)</w:t>
      </w:r>
    </w:p>
    <w:p w:rsidR="00CB3520" w:rsidRPr="009C5D38" w:rsidRDefault="00CB3520" w:rsidP="00CB3520">
      <w:pPr>
        <w:widowControl w:val="0"/>
        <w:jc w:val="both"/>
        <w:rPr>
          <w:sz w:val="20"/>
          <w:szCs w:val="20"/>
        </w:rPr>
      </w:pPr>
    </w:p>
    <w:p w:rsidR="00CB3520" w:rsidRPr="005C355B" w:rsidRDefault="005C355B" w:rsidP="00CB3520">
      <w:pPr>
        <w:pStyle w:val="ListParagraph"/>
        <w:widowControl w:val="0"/>
        <w:numPr>
          <w:ilvl w:val="0"/>
          <w:numId w:val="1"/>
        </w:numPr>
        <w:ind w:hanging="720"/>
        <w:jc w:val="both"/>
        <w:rPr>
          <w:sz w:val="20"/>
          <w:szCs w:val="20"/>
        </w:rPr>
      </w:pPr>
      <w:r w:rsidRPr="005C355B">
        <w:rPr>
          <w:i/>
          <w:sz w:val="20"/>
          <w:szCs w:val="20"/>
        </w:rPr>
        <w:t>Neila Catherine MacQueen et al. v. Attorney General of Canada et al.</w:t>
      </w:r>
      <w:r w:rsidRPr="005C355B">
        <w:rPr>
          <w:sz w:val="20"/>
          <w:szCs w:val="20"/>
        </w:rPr>
        <w:t xml:space="preserve"> (N.S.) (Civil) (By Leave) </w:t>
      </w:r>
      <w:r w:rsidR="00CB3520" w:rsidRPr="005C355B">
        <w:rPr>
          <w:sz w:val="20"/>
          <w:szCs w:val="20"/>
        </w:rPr>
        <w:t>(3</w:t>
      </w:r>
      <w:r w:rsidRPr="005C355B">
        <w:rPr>
          <w:sz w:val="20"/>
          <w:szCs w:val="20"/>
        </w:rPr>
        <w:t>6217</w:t>
      </w:r>
      <w:r w:rsidR="00CB3520" w:rsidRPr="005C355B">
        <w:rPr>
          <w:sz w:val="20"/>
          <w:szCs w:val="20"/>
        </w:rPr>
        <w:t>)</w:t>
      </w:r>
    </w:p>
    <w:p w:rsidR="002E2327" w:rsidRPr="00CB3520" w:rsidRDefault="002E2327" w:rsidP="002E2327">
      <w:pPr>
        <w:widowControl w:val="0"/>
        <w:rPr>
          <w:sz w:val="20"/>
          <w:szCs w:val="20"/>
        </w:rPr>
      </w:pPr>
    </w:p>
    <w:p w:rsidR="002E2327" w:rsidRDefault="00BF341F" w:rsidP="002E2327">
      <w:pPr>
        <w:widowControl w:val="0"/>
        <w:rPr>
          <w:sz w:val="20"/>
          <w:szCs w:val="20"/>
        </w:rPr>
      </w:pPr>
      <w:r>
        <w:rPr>
          <w:sz w:val="20"/>
          <w:szCs w:val="20"/>
        </w:rPr>
        <w:pict>
          <v:rect id="_x0000_i1031"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BF341F"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8E7C88" w:rsidP="000E2959">
      <w:pPr>
        <w:rPr>
          <w:b/>
          <w:sz w:val="20"/>
          <w:szCs w:val="20"/>
        </w:rPr>
      </w:pPr>
      <w:r>
        <w:rPr>
          <w:b/>
          <w:sz w:val="20"/>
          <w:szCs w:val="20"/>
        </w:rPr>
        <w:t>M</w:t>
      </w:r>
      <w:r w:rsidR="000E2959" w:rsidRPr="00C50A5C">
        <w:rPr>
          <w:b/>
          <w:sz w:val="20"/>
          <w:szCs w:val="20"/>
        </w:rPr>
        <w:t>A</w:t>
      </w:r>
      <w:r w:rsidR="00681F61">
        <w:rPr>
          <w:b/>
          <w:sz w:val="20"/>
          <w:szCs w:val="20"/>
        </w:rPr>
        <w:t>R</w:t>
      </w:r>
      <w:r>
        <w:rPr>
          <w:b/>
          <w:sz w:val="20"/>
          <w:szCs w:val="20"/>
        </w:rPr>
        <w:t>CH</w:t>
      </w:r>
      <w:r w:rsidR="000E2959" w:rsidRPr="00C50A5C">
        <w:rPr>
          <w:b/>
          <w:sz w:val="20"/>
          <w:szCs w:val="20"/>
        </w:rPr>
        <w:t xml:space="preserve"> </w:t>
      </w:r>
      <w:r>
        <w:rPr>
          <w:b/>
          <w:sz w:val="20"/>
          <w:szCs w:val="20"/>
        </w:rPr>
        <w:t>19</w:t>
      </w:r>
      <w:r w:rsidR="000E2959" w:rsidRPr="00C50A5C">
        <w:rPr>
          <w:b/>
          <w:sz w:val="20"/>
          <w:szCs w:val="20"/>
        </w:rPr>
        <w:t>, 201</w:t>
      </w:r>
      <w:r w:rsidR="00681F61">
        <w:rPr>
          <w:b/>
          <w:sz w:val="20"/>
          <w:szCs w:val="20"/>
        </w:rPr>
        <w:t>5</w:t>
      </w:r>
      <w:r w:rsidR="000E2959" w:rsidRPr="00C50A5C">
        <w:rPr>
          <w:b/>
          <w:sz w:val="20"/>
          <w:szCs w:val="20"/>
        </w:rPr>
        <w:t xml:space="preserve"> / LE </w:t>
      </w:r>
      <w:r>
        <w:rPr>
          <w:b/>
          <w:sz w:val="20"/>
          <w:szCs w:val="20"/>
        </w:rPr>
        <w:t>19</w:t>
      </w:r>
      <w:r w:rsidR="000E2959" w:rsidRPr="00C50A5C">
        <w:rPr>
          <w:b/>
          <w:sz w:val="20"/>
          <w:szCs w:val="20"/>
        </w:rPr>
        <w:t xml:space="preserve"> </w:t>
      </w:r>
      <w:r>
        <w:rPr>
          <w:b/>
          <w:sz w:val="20"/>
          <w:szCs w:val="20"/>
        </w:rPr>
        <w:t>M</w:t>
      </w:r>
      <w:r w:rsidR="000E2959" w:rsidRPr="00C50A5C">
        <w:rPr>
          <w:b/>
          <w:sz w:val="20"/>
          <w:szCs w:val="20"/>
        </w:rPr>
        <w:t>A</w:t>
      </w:r>
      <w:r w:rsidR="00681F61">
        <w:rPr>
          <w:b/>
          <w:sz w:val="20"/>
          <w:szCs w:val="20"/>
        </w:rPr>
        <w:t>R</w:t>
      </w:r>
      <w:r>
        <w:rPr>
          <w:b/>
          <w:sz w:val="20"/>
          <w:szCs w:val="20"/>
        </w:rPr>
        <w:t>S</w:t>
      </w:r>
      <w:r w:rsidR="000E2959" w:rsidRPr="00C50A5C">
        <w:rPr>
          <w:b/>
          <w:sz w:val="20"/>
          <w:szCs w:val="20"/>
        </w:rPr>
        <w:t xml:space="preserve"> 201</w:t>
      </w:r>
      <w:r w:rsidR="00681F61">
        <w:rPr>
          <w:b/>
          <w:sz w:val="20"/>
          <w:szCs w:val="20"/>
        </w:rPr>
        <w:t>5</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52D05" w:rsidRPr="00BF341F" w:rsidTr="001A5310">
        <w:trPr>
          <w:cantSplit/>
        </w:trPr>
        <w:tc>
          <w:tcPr>
            <w:tcW w:w="1458" w:type="dxa"/>
          </w:tcPr>
          <w:p w:rsidR="00F52D05" w:rsidRPr="00C719F1" w:rsidRDefault="00F52D05" w:rsidP="001A5310">
            <w:pPr>
              <w:rPr>
                <w:sz w:val="20"/>
                <w:szCs w:val="20"/>
              </w:rPr>
            </w:pPr>
            <w:r w:rsidRPr="00C719F1">
              <w:rPr>
                <w:rStyle w:val="SCCFileNumberChar"/>
                <w:sz w:val="20"/>
                <w:szCs w:val="20"/>
              </w:rPr>
              <w:t>36104</w:t>
            </w:r>
          </w:p>
          <w:p w:rsidR="00F52D05" w:rsidRPr="00C719F1" w:rsidRDefault="00F52D05" w:rsidP="001A5310">
            <w:pPr>
              <w:rPr>
                <w:b/>
                <w:sz w:val="20"/>
                <w:szCs w:val="20"/>
                <w:lang w:val="fr-CA"/>
              </w:rPr>
            </w:pPr>
          </w:p>
        </w:tc>
        <w:tc>
          <w:tcPr>
            <w:tcW w:w="8118" w:type="dxa"/>
          </w:tcPr>
          <w:p w:rsidR="00F52D05" w:rsidRPr="00C719F1" w:rsidRDefault="00F52D05" w:rsidP="001A5310">
            <w:pPr>
              <w:rPr>
                <w:sz w:val="20"/>
                <w:szCs w:val="20"/>
                <w:lang w:val="fr-CA"/>
              </w:rPr>
            </w:pPr>
            <w:r w:rsidRPr="00C719F1">
              <w:rPr>
                <w:rStyle w:val="SCCLsocChar"/>
                <w:sz w:val="20"/>
                <w:szCs w:val="20"/>
              </w:rPr>
              <w:t>D. P. c. A. F.</w:t>
            </w:r>
            <w:r w:rsidRPr="00C719F1">
              <w:rPr>
                <w:sz w:val="20"/>
                <w:szCs w:val="20"/>
                <w:lang w:val="fr-CA"/>
              </w:rPr>
              <w:t xml:space="preserve"> (Qc) (Civile) (Autorisation)</w:t>
            </w:r>
          </w:p>
          <w:p w:rsidR="00F52D05" w:rsidRPr="00C719F1" w:rsidRDefault="00F52D05" w:rsidP="001A5310">
            <w:pPr>
              <w:rPr>
                <w:sz w:val="20"/>
                <w:szCs w:val="20"/>
                <w:lang w:val="fr-CA"/>
              </w:rPr>
            </w:pPr>
          </w:p>
        </w:tc>
      </w:tr>
      <w:tr w:rsidR="00F52D05" w:rsidRPr="00BF341F" w:rsidTr="001A5310">
        <w:trPr>
          <w:cantSplit/>
        </w:trPr>
        <w:tc>
          <w:tcPr>
            <w:tcW w:w="1458" w:type="dxa"/>
          </w:tcPr>
          <w:p w:rsidR="00F52D05" w:rsidRPr="00C719F1" w:rsidRDefault="00F52D05" w:rsidP="001A5310">
            <w:pPr>
              <w:rPr>
                <w:sz w:val="20"/>
                <w:szCs w:val="20"/>
              </w:rPr>
            </w:pPr>
            <w:r w:rsidRPr="00C719F1">
              <w:rPr>
                <w:sz w:val="20"/>
                <w:szCs w:val="20"/>
              </w:rPr>
              <w:t>Coram :</w:t>
            </w:r>
          </w:p>
        </w:tc>
        <w:tc>
          <w:tcPr>
            <w:tcW w:w="8118" w:type="dxa"/>
          </w:tcPr>
          <w:p w:rsidR="00F52D05" w:rsidRPr="00C719F1" w:rsidRDefault="00F52D05" w:rsidP="001A5310">
            <w:pPr>
              <w:rPr>
                <w:sz w:val="20"/>
                <w:szCs w:val="20"/>
                <w:lang w:val="fr-CA"/>
              </w:rPr>
            </w:pPr>
            <w:r w:rsidRPr="00C719F1">
              <w:rPr>
                <w:rStyle w:val="SCCCoramChar"/>
                <w:sz w:val="20"/>
                <w:szCs w:val="20"/>
              </w:rPr>
              <w:t>Les juges Abella, Karakatsanis et Côté</w:t>
            </w:r>
          </w:p>
          <w:p w:rsidR="00F52D05" w:rsidRPr="00C719F1" w:rsidRDefault="00F52D05" w:rsidP="001A5310">
            <w:pPr>
              <w:rPr>
                <w:sz w:val="20"/>
                <w:szCs w:val="20"/>
                <w:u w:val="single"/>
                <w:lang w:val="fr-CA"/>
              </w:rPr>
            </w:pPr>
          </w:p>
        </w:tc>
      </w:tr>
      <w:tr w:rsidR="00F52D05" w:rsidRPr="00C719F1" w:rsidTr="001A5310">
        <w:trPr>
          <w:cantSplit/>
        </w:trPr>
        <w:tc>
          <w:tcPr>
            <w:tcW w:w="9576" w:type="dxa"/>
            <w:gridSpan w:val="2"/>
          </w:tcPr>
          <w:p w:rsidR="00F52D05" w:rsidRPr="00C719F1" w:rsidRDefault="00F52D05" w:rsidP="001A5310">
            <w:pPr>
              <w:pStyle w:val="SCCShortJudgment"/>
              <w:rPr>
                <w:szCs w:val="20"/>
                <w:lang w:val="fr-CA"/>
              </w:rPr>
            </w:pPr>
            <w:r w:rsidRPr="00C719F1">
              <w:rPr>
                <w:szCs w:val="20"/>
                <w:lang w:val="fr-CA"/>
              </w:rPr>
              <w:t>La demande d’autorisation d’appel et la demande d’autorisation d’appel incident de l’arrêt de la Cour d’appel du Québec (Montréal), numéro 500-09-02353-132, 2014 QCCA 1562, daté du 26 août 2014, sont rejetées sans dépens.</w:t>
            </w:r>
          </w:p>
          <w:p w:rsidR="00F52D05" w:rsidRPr="00C719F1" w:rsidRDefault="00F52D05" w:rsidP="001A5310">
            <w:pPr>
              <w:pStyle w:val="SCCShortJudgment"/>
              <w:ind w:firstLine="0"/>
              <w:rPr>
                <w:szCs w:val="20"/>
                <w:lang w:val="fr-CA"/>
              </w:rPr>
            </w:pPr>
          </w:p>
          <w:p w:rsidR="00F52D05" w:rsidRPr="00C719F1" w:rsidRDefault="00F52D05" w:rsidP="001A5310">
            <w:pPr>
              <w:pStyle w:val="SCCShortJudgment"/>
              <w:rPr>
                <w:szCs w:val="20"/>
              </w:rPr>
            </w:pPr>
            <w:r w:rsidRPr="00C719F1">
              <w:rPr>
                <w:szCs w:val="20"/>
              </w:rPr>
              <w:t>The application for leave to appeal and the application for leave to cross-appeal from the judgment of the Court of Appeal of Quebec (Montréal), Number 500-09-02353-132, 2014 QCCA 1562, dated August 26, 2014, are dismissed without costs.</w:t>
            </w:r>
          </w:p>
        </w:tc>
      </w:tr>
    </w:tbl>
    <w:p w:rsidR="008E7C88" w:rsidRDefault="008E7C88" w:rsidP="000E2959">
      <w:pPr>
        <w:rPr>
          <w:sz w:val="20"/>
          <w:szCs w:val="20"/>
        </w:rPr>
      </w:pPr>
    </w:p>
    <w:p w:rsidR="008E7C88" w:rsidRPr="001B157C" w:rsidRDefault="008E7C88" w:rsidP="008E7C88">
      <w:pPr>
        <w:rPr>
          <w:sz w:val="20"/>
          <w:szCs w:val="20"/>
          <w:u w:val="single"/>
        </w:rPr>
      </w:pPr>
      <w:r w:rsidRPr="001B157C">
        <w:rPr>
          <w:sz w:val="20"/>
          <w:szCs w:val="20"/>
          <w:u w:val="single"/>
        </w:rPr>
        <w:t>CASE SUMMARY</w:t>
      </w:r>
    </w:p>
    <w:p w:rsidR="008E7C88" w:rsidRDefault="008E7C88" w:rsidP="008E7C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521F0" w:rsidRPr="0071003D" w:rsidTr="001A5310">
        <w:tc>
          <w:tcPr>
            <w:tcW w:w="5000" w:type="pct"/>
            <w:gridSpan w:val="3"/>
          </w:tcPr>
          <w:p w:rsidR="003521F0" w:rsidRPr="0071003D" w:rsidRDefault="003521F0" w:rsidP="001A5310">
            <w:pPr>
              <w:jc w:val="both"/>
              <w:rPr>
                <w:rFonts w:eastAsia="Calibri"/>
                <w:smallCaps/>
                <w:sz w:val="20"/>
                <w:szCs w:val="20"/>
              </w:rPr>
            </w:pPr>
            <w:r w:rsidRPr="0071003D">
              <w:rPr>
                <w:rFonts w:eastAsia="Calibri"/>
                <w:smallCaps/>
                <w:sz w:val="20"/>
                <w:szCs w:val="20"/>
              </w:rPr>
              <w:t>(</w:t>
            </w:r>
            <w:r>
              <w:rPr>
                <w:rFonts w:eastAsia="Calibri"/>
                <w:smallCaps/>
                <w:sz w:val="20"/>
              </w:rPr>
              <w:t>P</w:t>
            </w:r>
            <w:r w:rsidRPr="0071003D">
              <w:rPr>
                <w:rFonts w:eastAsia="Calibri"/>
                <w:smallCaps/>
                <w:sz w:val="20"/>
                <w:szCs w:val="20"/>
              </w:rPr>
              <w:t xml:space="preserve">ublication </w:t>
            </w:r>
            <w:r>
              <w:rPr>
                <w:rFonts w:eastAsia="Calibri"/>
                <w:smallCaps/>
                <w:sz w:val="20"/>
              </w:rPr>
              <w:t>B</w:t>
            </w:r>
            <w:r w:rsidRPr="0071003D">
              <w:rPr>
                <w:rFonts w:eastAsia="Calibri"/>
                <w:smallCaps/>
                <w:sz w:val="20"/>
                <w:szCs w:val="20"/>
              </w:rPr>
              <w:t xml:space="preserve">an in </w:t>
            </w:r>
            <w:r>
              <w:rPr>
                <w:rFonts w:eastAsia="Calibri"/>
                <w:smallCaps/>
                <w:sz w:val="20"/>
              </w:rPr>
              <w:t>C</w:t>
            </w:r>
            <w:r w:rsidRPr="0071003D">
              <w:rPr>
                <w:rFonts w:eastAsia="Calibri"/>
                <w:smallCaps/>
                <w:sz w:val="20"/>
                <w:szCs w:val="20"/>
              </w:rPr>
              <w:t>ase)</w:t>
            </w:r>
          </w:p>
          <w:p w:rsidR="003521F0" w:rsidRPr="0071003D" w:rsidRDefault="003521F0" w:rsidP="001A5310">
            <w:pPr>
              <w:jc w:val="both"/>
              <w:rPr>
                <w:rFonts w:eastAsia="Calibri"/>
                <w:sz w:val="20"/>
                <w:szCs w:val="20"/>
              </w:rPr>
            </w:pPr>
          </w:p>
          <w:p w:rsidR="003521F0" w:rsidRPr="0071003D" w:rsidRDefault="003521F0" w:rsidP="001A5310">
            <w:pPr>
              <w:jc w:val="both"/>
              <w:rPr>
                <w:rFonts w:eastAsia="Calibri"/>
                <w:sz w:val="20"/>
                <w:szCs w:val="20"/>
              </w:rPr>
            </w:pPr>
            <w:r w:rsidRPr="0071003D">
              <w:rPr>
                <w:rFonts w:eastAsia="Calibri"/>
                <w:sz w:val="20"/>
                <w:szCs w:val="20"/>
              </w:rPr>
              <w:t>Family law – Divorce – Accessory measures – Partition of acquests – Spousal support – Provision for costs – Whether Court of Appeal should have intervened and amended various amounts awarded to parties at trial – Whether two-year term for support for former spouse imposed by Superior Court justified – Whether respondent entitled to costs on appeal</w:t>
            </w:r>
          </w:p>
        </w:tc>
      </w:tr>
      <w:tr w:rsidR="003521F0" w:rsidRPr="0071003D" w:rsidTr="001A5310">
        <w:tc>
          <w:tcPr>
            <w:tcW w:w="5000" w:type="pct"/>
            <w:gridSpan w:val="3"/>
          </w:tcPr>
          <w:p w:rsidR="003521F0" w:rsidRPr="0071003D" w:rsidRDefault="003521F0" w:rsidP="001A5310">
            <w:pPr>
              <w:jc w:val="both"/>
              <w:rPr>
                <w:rFonts w:eastAsia="Calibri"/>
                <w:sz w:val="20"/>
                <w:szCs w:val="20"/>
              </w:rPr>
            </w:pPr>
          </w:p>
        </w:tc>
      </w:tr>
      <w:tr w:rsidR="003521F0" w:rsidRPr="0071003D" w:rsidTr="001A5310">
        <w:tc>
          <w:tcPr>
            <w:tcW w:w="5000" w:type="pct"/>
            <w:gridSpan w:val="3"/>
          </w:tcPr>
          <w:p w:rsidR="003521F0" w:rsidRPr="0071003D" w:rsidRDefault="003521F0" w:rsidP="001A5310">
            <w:pPr>
              <w:jc w:val="both"/>
              <w:rPr>
                <w:rFonts w:eastAsia="Calibri"/>
                <w:sz w:val="20"/>
                <w:szCs w:val="20"/>
              </w:rPr>
            </w:pPr>
            <w:r w:rsidRPr="0071003D">
              <w:rPr>
                <w:rFonts w:eastAsia="Calibri"/>
                <w:sz w:val="20"/>
                <w:szCs w:val="20"/>
              </w:rPr>
              <w:t xml:space="preserve">On August 21, 1993, the applicant, D.P., and the respondent, A.F., were married without a marriage contract.  Two children were born during their union, in 1996 and 1998.  On March 6, 2009, the applicant left the family home and instituted divorce proceedings on May 21, 2009. </w:t>
            </w:r>
          </w:p>
          <w:p w:rsidR="003521F0" w:rsidRPr="0071003D" w:rsidRDefault="003521F0" w:rsidP="001A5310">
            <w:pPr>
              <w:jc w:val="both"/>
              <w:rPr>
                <w:rFonts w:eastAsia="Calibri"/>
                <w:sz w:val="20"/>
                <w:szCs w:val="20"/>
              </w:rPr>
            </w:pPr>
          </w:p>
          <w:p w:rsidR="003521F0" w:rsidRPr="0071003D" w:rsidRDefault="003521F0" w:rsidP="001A5310">
            <w:pPr>
              <w:jc w:val="both"/>
              <w:rPr>
                <w:rFonts w:eastAsia="Calibri"/>
                <w:sz w:val="20"/>
                <w:szCs w:val="20"/>
              </w:rPr>
            </w:pPr>
            <w:r w:rsidRPr="0071003D">
              <w:rPr>
                <w:rFonts w:eastAsia="Calibri"/>
                <w:sz w:val="20"/>
                <w:szCs w:val="20"/>
              </w:rPr>
              <w:t xml:space="preserve">Before the Superior Court, Picard J. granted the parties’ divorce and ruled on the accessory measures.  She concluded, among other things, that the applicant owed the respondent $46,646.64 pursuant to the partition of the family patrimony; $429,846.77 pursuant to the partition of acquests; $3,500 a month for two years in spousal support; a lump sum of $155,968.02; and $ 85,000 as a provision for costs.  On appeal, the Court of Appeal set aside in part the decision on the issues relating to the partition of acquests and the awarding of a provision for costs.  The applicant now owed $1,118,642.77 to the respondent for the partition of the partnership of acquests.  Even though it found that the trial judge did not exercise her discretion unreasonably or arbitrarily in awarding a provision for costs to the respondent, the Court of Appeal concluded that, given the conclusion concerning the acquests, there was no longer any reason to award such a provision, given that balance between the parties had been achieved.  Regarding costs, the Court of Appeal found that each party had to bear its own costs. </w:t>
            </w:r>
          </w:p>
          <w:p w:rsidR="003521F0" w:rsidRPr="0071003D" w:rsidRDefault="003521F0" w:rsidP="001A5310">
            <w:pPr>
              <w:jc w:val="both"/>
              <w:rPr>
                <w:rFonts w:eastAsia="Calibri"/>
                <w:sz w:val="20"/>
                <w:szCs w:val="20"/>
              </w:rPr>
            </w:pPr>
          </w:p>
        </w:tc>
      </w:tr>
      <w:tr w:rsidR="003521F0" w:rsidRPr="0071003D" w:rsidTr="001A5310">
        <w:tc>
          <w:tcPr>
            <w:tcW w:w="2427" w:type="pct"/>
          </w:tcPr>
          <w:p w:rsidR="003521F0" w:rsidRPr="0071003D" w:rsidRDefault="003521F0" w:rsidP="001A5310">
            <w:pPr>
              <w:jc w:val="both"/>
              <w:rPr>
                <w:rFonts w:eastAsia="Calibri"/>
                <w:sz w:val="20"/>
                <w:szCs w:val="20"/>
              </w:rPr>
            </w:pPr>
            <w:r w:rsidRPr="0071003D">
              <w:rPr>
                <w:rFonts w:eastAsia="Calibri"/>
                <w:sz w:val="20"/>
                <w:szCs w:val="20"/>
              </w:rPr>
              <w:t xml:space="preserve">April 18, 2012 </w:t>
            </w:r>
          </w:p>
          <w:p w:rsidR="003521F0" w:rsidRPr="0071003D" w:rsidRDefault="003521F0" w:rsidP="001A5310">
            <w:pPr>
              <w:jc w:val="both"/>
              <w:rPr>
                <w:rFonts w:eastAsia="Calibri"/>
                <w:sz w:val="20"/>
                <w:szCs w:val="20"/>
              </w:rPr>
            </w:pPr>
            <w:r w:rsidRPr="0071003D">
              <w:rPr>
                <w:rFonts w:eastAsia="Calibri"/>
                <w:sz w:val="20"/>
                <w:szCs w:val="20"/>
              </w:rPr>
              <w:t>Quebec Superior Court (Montréal)</w:t>
            </w:r>
          </w:p>
          <w:p w:rsidR="003521F0" w:rsidRPr="0071003D" w:rsidRDefault="003521F0" w:rsidP="001A5310">
            <w:pPr>
              <w:jc w:val="both"/>
              <w:rPr>
                <w:rFonts w:eastAsia="Calibri"/>
                <w:sz w:val="20"/>
                <w:szCs w:val="20"/>
              </w:rPr>
            </w:pPr>
            <w:r w:rsidRPr="0071003D">
              <w:rPr>
                <w:rFonts w:eastAsia="Calibri"/>
                <w:sz w:val="20"/>
                <w:szCs w:val="20"/>
              </w:rPr>
              <w:t>(Picard J.)</w:t>
            </w:r>
          </w:p>
          <w:p w:rsidR="003521F0" w:rsidRPr="0071003D" w:rsidRDefault="00BF341F" w:rsidP="001A5310">
            <w:pPr>
              <w:jc w:val="both"/>
              <w:rPr>
                <w:rFonts w:eastAsia="Calibri"/>
                <w:sz w:val="20"/>
                <w:szCs w:val="20"/>
                <w:u w:val="single"/>
              </w:rPr>
            </w:pPr>
            <w:hyperlink r:id="rId25" w:history="1">
              <w:r w:rsidR="003521F0" w:rsidRPr="0071003D">
                <w:rPr>
                  <w:rFonts w:eastAsia="Calibri"/>
                  <w:color w:val="0000FF"/>
                  <w:sz w:val="20"/>
                  <w:szCs w:val="20"/>
                  <w:u w:val="single"/>
                </w:rPr>
                <w:t>2012 QCCS 1797</w:t>
              </w:r>
            </w:hyperlink>
          </w:p>
          <w:p w:rsidR="003521F0" w:rsidRPr="0071003D" w:rsidRDefault="003521F0" w:rsidP="001A5310">
            <w:pPr>
              <w:jc w:val="both"/>
              <w:rPr>
                <w:rFonts w:eastAsia="Calibri"/>
                <w:sz w:val="20"/>
                <w:szCs w:val="20"/>
              </w:rPr>
            </w:pPr>
          </w:p>
        </w:tc>
        <w:tc>
          <w:tcPr>
            <w:tcW w:w="243" w:type="pct"/>
          </w:tcPr>
          <w:p w:rsidR="003521F0" w:rsidRPr="0071003D" w:rsidRDefault="003521F0" w:rsidP="001A5310">
            <w:pPr>
              <w:jc w:val="both"/>
              <w:rPr>
                <w:rFonts w:eastAsia="Calibri"/>
                <w:sz w:val="20"/>
                <w:szCs w:val="20"/>
              </w:rPr>
            </w:pPr>
          </w:p>
        </w:tc>
        <w:tc>
          <w:tcPr>
            <w:tcW w:w="2330" w:type="pct"/>
          </w:tcPr>
          <w:p w:rsidR="003521F0" w:rsidRPr="0071003D" w:rsidRDefault="003521F0" w:rsidP="001A5310">
            <w:pPr>
              <w:jc w:val="both"/>
              <w:rPr>
                <w:rFonts w:eastAsia="Calibri"/>
                <w:sz w:val="20"/>
                <w:szCs w:val="20"/>
              </w:rPr>
            </w:pPr>
            <w:r w:rsidRPr="0071003D">
              <w:rPr>
                <w:rFonts w:eastAsia="Calibri"/>
                <w:sz w:val="20"/>
                <w:szCs w:val="20"/>
              </w:rPr>
              <w:t>Divorce action allowed; accessory measures to the divorce ordered</w:t>
            </w:r>
          </w:p>
        </w:tc>
      </w:tr>
      <w:tr w:rsidR="003521F0" w:rsidRPr="0071003D" w:rsidTr="001A5310">
        <w:tc>
          <w:tcPr>
            <w:tcW w:w="2427" w:type="pct"/>
          </w:tcPr>
          <w:p w:rsidR="003521F0" w:rsidRPr="0071003D" w:rsidRDefault="003521F0" w:rsidP="001A5310">
            <w:pPr>
              <w:jc w:val="both"/>
              <w:rPr>
                <w:rFonts w:eastAsia="Calibri"/>
                <w:sz w:val="20"/>
                <w:szCs w:val="20"/>
              </w:rPr>
            </w:pPr>
            <w:r w:rsidRPr="0071003D">
              <w:rPr>
                <w:rFonts w:eastAsia="Calibri"/>
                <w:sz w:val="20"/>
                <w:szCs w:val="20"/>
              </w:rPr>
              <w:t>August 26, 2014</w:t>
            </w:r>
          </w:p>
          <w:p w:rsidR="003521F0" w:rsidRPr="0071003D" w:rsidRDefault="003521F0" w:rsidP="001A5310">
            <w:pPr>
              <w:jc w:val="both"/>
              <w:rPr>
                <w:rFonts w:eastAsia="Calibri"/>
                <w:sz w:val="20"/>
                <w:szCs w:val="20"/>
              </w:rPr>
            </w:pPr>
            <w:r w:rsidRPr="0071003D">
              <w:rPr>
                <w:rFonts w:eastAsia="Calibri"/>
                <w:sz w:val="20"/>
                <w:szCs w:val="20"/>
              </w:rPr>
              <w:t>Quebec Court of Appeal (Montréal)</w:t>
            </w:r>
          </w:p>
          <w:p w:rsidR="003521F0" w:rsidRPr="0071003D" w:rsidRDefault="003521F0" w:rsidP="001A5310">
            <w:pPr>
              <w:jc w:val="both"/>
              <w:rPr>
                <w:rFonts w:eastAsia="Calibri"/>
                <w:sz w:val="20"/>
                <w:szCs w:val="20"/>
              </w:rPr>
            </w:pPr>
            <w:r w:rsidRPr="0071003D">
              <w:rPr>
                <w:rFonts w:eastAsia="Calibri"/>
                <w:sz w:val="20"/>
                <w:szCs w:val="20"/>
              </w:rPr>
              <w:t xml:space="preserve">(Morissette, Doyon and St-Pierre JJ.A.) </w:t>
            </w:r>
          </w:p>
          <w:p w:rsidR="003521F0" w:rsidRPr="0071003D" w:rsidRDefault="00BF341F" w:rsidP="001A5310">
            <w:pPr>
              <w:jc w:val="both"/>
              <w:rPr>
                <w:rFonts w:eastAsia="Calibri"/>
                <w:sz w:val="20"/>
                <w:szCs w:val="20"/>
                <w:u w:val="single"/>
              </w:rPr>
            </w:pPr>
            <w:hyperlink r:id="rId26" w:history="1">
              <w:r w:rsidR="003521F0" w:rsidRPr="0071003D">
                <w:rPr>
                  <w:rFonts w:eastAsia="Calibri"/>
                  <w:color w:val="0000FF"/>
                  <w:sz w:val="20"/>
                  <w:szCs w:val="20"/>
                  <w:u w:val="single"/>
                </w:rPr>
                <w:t>2014 QCCA 1562</w:t>
              </w:r>
            </w:hyperlink>
            <w:r w:rsidR="003521F0" w:rsidRPr="0071003D">
              <w:rPr>
                <w:rFonts w:eastAsia="Calibri"/>
                <w:sz w:val="20"/>
                <w:szCs w:val="20"/>
              </w:rPr>
              <w:t>; 500-09-023573-132</w:t>
            </w:r>
          </w:p>
          <w:p w:rsidR="003521F0" w:rsidRPr="0071003D" w:rsidRDefault="003521F0" w:rsidP="001A5310">
            <w:pPr>
              <w:jc w:val="both"/>
              <w:rPr>
                <w:rFonts w:eastAsia="Calibri"/>
                <w:sz w:val="20"/>
                <w:szCs w:val="20"/>
              </w:rPr>
            </w:pPr>
          </w:p>
        </w:tc>
        <w:tc>
          <w:tcPr>
            <w:tcW w:w="243" w:type="pct"/>
          </w:tcPr>
          <w:p w:rsidR="003521F0" w:rsidRPr="0071003D" w:rsidRDefault="003521F0" w:rsidP="001A5310">
            <w:pPr>
              <w:jc w:val="both"/>
              <w:rPr>
                <w:rFonts w:eastAsia="Calibri"/>
                <w:sz w:val="20"/>
                <w:szCs w:val="20"/>
              </w:rPr>
            </w:pPr>
          </w:p>
        </w:tc>
        <w:tc>
          <w:tcPr>
            <w:tcW w:w="2330" w:type="pct"/>
          </w:tcPr>
          <w:p w:rsidR="003521F0" w:rsidRPr="0071003D" w:rsidRDefault="003521F0" w:rsidP="001A5310">
            <w:pPr>
              <w:jc w:val="both"/>
              <w:rPr>
                <w:rFonts w:eastAsia="Calibri"/>
                <w:sz w:val="20"/>
                <w:szCs w:val="20"/>
              </w:rPr>
            </w:pPr>
            <w:r w:rsidRPr="0071003D">
              <w:rPr>
                <w:rFonts w:eastAsia="Calibri"/>
                <w:sz w:val="20"/>
                <w:szCs w:val="20"/>
              </w:rPr>
              <w:t>Appeal and incidental appeal allowed in part</w:t>
            </w:r>
          </w:p>
        </w:tc>
      </w:tr>
      <w:tr w:rsidR="003521F0" w:rsidRPr="0071003D" w:rsidTr="00F52D05">
        <w:trPr>
          <w:cantSplit/>
        </w:trPr>
        <w:tc>
          <w:tcPr>
            <w:tcW w:w="2427" w:type="pct"/>
          </w:tcPr>
          <w:p w:rsidR="003521F0" w:rsidRPr="0071003D" w:rsidRDefault="003521F0" w:rsidP="001A5310">
            <w:pPr>
              <w:jc w:val="both"/>
              <w:rPr>
                <w:rFonts w:eastAsia="Calibri"/>
                <w:sz w:val="20"/>
                <w:szCs w:val="20"/>
              </w:rPr>
            </w:pPr>
            <w:r w:rsidRPr="0071003D">
              <w:rPr>
                <w:rFonts w:eastAsia="Calibri"/>
                <w:sz w:val="20"/>
                <w:szCs w:val="20"/>
              </w:rPr>
              <w:lastRenderedPageBreak/>
              <w:t>October 27 and November 25, 2014</w:t>
            </w:r>
          </w:p>
          <w:p w:rsidR="003521F0" w:rsidRPr="0071003D" w:rsidRDefault="003521F0" w:rsidP="001A5310">
            <w:pPr>
              <w:jc w:val="both"/>
              <w:rPr>
                <w:rFonts w:eastAsia="Calibri"/>
                <w:sz w:val="20"/>
                <w:szCs w:val="20"/>
              </w:rPr>
            </w:pPr>
            <w:r w:rsidRPr="0071003D">
              <w:rPr>
                <w:rFonts w:eastAsia="Calibri"/>
                <w:sz w:val="20"/>
                <w:szCs w:val="20"/>
              </w:rPr>
              <w:t>Supreme Court of Canada</w:t>
            </w:r>
          </w:p>
        </w:tc>
        <w:tc>
          <w:tcPr>
            <w:tcW w:w="243" w:type="pct"/>
          </w:tcPr>
          <w:p w:rsidR="003521F0" w:rsidRPr="0071003D" w:rsidRDefault="003521F0" w:rsidP="001A5310">
            <w:pPr>
              <w:jc w:val="both"/>
              <w:rPr>
                <w:rFonts w:eastAsia="Calibri"/>
                <w:sz w:val="20"/>
                <w:szCs w:val="20"/>
              </w:rPr>
            </w:pPr>
          </w:p>
        </w:tc>
        <w:tc>
          <w:tcPr>
            <w:tcW w:w="2330" w:type="pct"/>
          </w:tcPr>
          <w:p w:rsidR="003521F0" w:rsidRPr="0071003D" w:rsidRDefault="003521F0" w:rsidP="001A5310">
            <w:pPr>
              <w:jc w:val="both"/>
              <w:rPr>
                <w:rFonts w:eastAsia="Calibri"/>
                <w:sz w:val="20"/>
                <w:szCs w:val="20"/>
              </w:rPr>
            </w:pPr>
            <w:r w:rsidRPr="0071003D">
              <w:rPr>
                <w:rFonts w:eastAsia="Calibri"/>
                <w:sz w:val="20"/>
                <w:szCs w:val="20"/>
              </w:rPr>
              <w:t>Applications for leave to appeal and to cross-appeal filed</w:t>
            </w:r>
          </w:p>
        </w:tc>
      </w:tr>
    </w:tbl>
    <w:p w:rsidR="008E7C88" w:rsidRDefault="008E7C88" w:rsidP="000E2959">
      <w:pPr>
        <w:rPr>
          <w:sz w:val="20"/>
          <w:szCs w:val="20"/>
        </w:rPr>
      </w:pPr>
    </w:p>
    <w:p w:rsidR="008E7C88" w:rsidRPr="00C50A5C" w:rsidRDefault="00BF341F" w:rsidP="008E7C88">
      <w:pPr>
        <w:rPr>
          <w:sz w:val="20"/>
          <w:szCs w:val="20"/>
        </w:rPr>
      </w:pPr>
      <w:r>
        <w:rPr>
          <w:sz w:val="20"/>
          <w:szCs w:val="20"/>
          <w:lang w:val="fr-CA"/>
        </w:rPr>
        <w:pict>
          <v:rect id="_x0000_i1034" style="width:2in;height:1pt" o:hrpct="0" o:hralign="center" o:hrstd="t" o:hrnoshade="t" o:hr="t" fillcolor="black [3213]" stroked="f"/>
        </w:pict>
      </w:r>
    </w:p>
    <w:p w:rsidR="008E7C88" w:rsidRDefault="008E7C88" w:rsidP="008E7C88">
      <w:pPr>
        <w:rPr>
          <w:sz w:val="20"/>
          <w:szCs w:val="20"/>
        </w:rPr>
      </w:pPr>
    </w:p>
    <w:p w:rsidR="008E7C88" w:rsidRPr="001B157C" w:rsidRDefault="008E7C88" w:rsidP="008E7C88">
      <w:pPr>
        <w:rPr>
          <w:sz w:val="20"/>
          <w:szCs w:val="20"/>
          <w:u w:val="single"/>
          <w:lang w:val="fr-CA"/>
        </w:rPr>
      </w:pPr>
      <w:r w:rsidRPr="001B157C">
        <w:rPr>
          <w:sz w:val="20"/>
          <w:szCs w:val="20"/>
          <w:u w:val="single"/>
          <w:lang w:val="fr-CA"/>
        </w:rPr>
        <w:t>RÉSUMÉ DE L’AFFAIRE</w:t>
      </w:r>
    </w:p>
    <w:p w:rsidR="008E7C88" w:rsidRDefault="008E7C88"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521F0" w:rsidRPr="00BF341F" w:rsidTr="001A5310">
        <w:tc>
          <w:tcPr>
            <w:tcW w:w="5000" w:type="pct"/>
            <w:gridSpan w:val="3"/>
          </w:tcPr>
          <w:p w:rsidR="003521F0" w:rsidRPr="0071003D" w:rsidRDefault="003521F0" w:rsidP="001A5310">
            <w:pPr>
              <w:jc w:val="both"/>
              <w:rPr>
                <w:rFonts w:eastAsia="Calibri"/>
                <w:smallCaps/>
                <w:sz w:val="20"/>
                <w:szCs w:val="20"/>
                <w:lang w:val="fr-CA"/>
              </w:rPr>
            </w:pPr>
            <w:r w:rsidRPr="0071003D">
              <w:rPr>
                <w:rFonts w:eastAsia="Calibri"/>
                <w:smallCaps/>
                <w:sz w:val="20"/>
                <w:szCs w:val="20"/>
                <w:lang w:val="fr-CA"/>
              </w:rPr>
              <w:t>(Ordonnance de non-publication dans le dossier)</w:t>
            </w:r>
          </w:p>
          <w:p w:rsidR="003521F0" w:rsidRPr="0071003D" w:rsidRDefault="003521F0" w:rsidP="001A5310">
            <w:pPr>
              <w:jc w:val="both"/>
              <w:rPr>
                <w:rFonts w:eastAsia="Calibri"/>
                <w:sz w:val="20"/>
                <w:szCs w:val="20"/>
                <w:lang w:val="fr-CA"/>
              </w:rPr>
            </w:pPr>
          </w:p>
          <w:p w:rsidR="003521F0" w:rsidRPr="0071003D" w:rsidRDefault="003521F0" w:rsidP="001A5310">
            <w:pPr>
              <w:jc w:val="both"/>
              <w:rPr>
                <w:rFonts w:eastAsia="Calibri"/>
                <w:sz w:val="20"/>
                <w:szCs w:val="20"/>
                <w:lang w:val="fr-CA"/>
              </w:rPr>
            </w:pPr>
            <w:r w:rsidRPr="0071003D">
              <w:rPr>
                <w:rFonts w:eastAsia="Calibri"/>
                <w:sz w:val="20"/>
                <w:szCs w:val="20"/>
                <w:lang w:val="fr-CA"/>
              </w:rPr>
              <w:t>Droit de la famille – Divorce – Mesures accessoires – Partage des acquêts – Pension alimentaire entre époux – Provision pour frais – La Cour d’appel devait-elle intervenir pour modifier les différentes sommes octroyées aux parties en première instance? – Le terme de deux ans imposé par la Cour supérieure à la pension alimentaire de l’ex-épouse était-il justifié? – Les dépens auraient-ils dû être octroyés à l’intimée en appel?</w:t>
            </w:r>
          </w:p>
        </w:tc>
      </w:tr>
      <w:tr w:rsidR="003521F0" w:rsidRPr="00BF341F" w:rsidTr="001A5310">
        <w:tc>
          <w:tcPr>
            <w:tcW w:w="5000" w:type="pct"/>
            <w:gridSpan w:val="3"/>
          </w:tcPr>
          <w:p w:rsidR="003521F0" w:rsidRPr="0071003D" w:rsidRDefault="003521F0" w:rsidP="001A5310">
            <w:pPr>
              <w:jc w:val="both"/>
              <w:rPr>
                <w:rFonts w:eastAsia="Calibri"/>
                <w:sz w:val="20"/>
                <w:szCs w:val="20"/>
                <w:lang w:val="fr-CA"/>
              </w:rPr>
            </w:pPr>
          </w:p>
        </w:tc>
      </w:tr>
      <w:tr w:rsidR="003521F0" w:rsidRPr="00BF341F" w:rsidTr="001A5310">
        <w:tc>
          <w:tcPr>
            <w:tcW w:w="5000" w:type="pct"/>
            <w:gridSpan w:val="3"/>
          </w:tcPr>
          <w:p w:rsidR="003521F0" w:rsidRPr="0071003D" w:rsidRDefault="003521F0" w:rsidP="001A5310">
            <w:pPr>
              <w:jc w:val="both"/>
              <w:rPr>
                <w:rFonts w:eastAsia="Calibri"/>
                <w:sz w:val="20"/>
                <w:szCs w:val="20"/>
                <w:lang w:val="fr-CA"/>
              </w:rPr>
            </w:pPr>
            <w:r w:rsidRPr="0071003D">
              <w:rPr>
                <w:rFonts w:eastAsia="Calibri"/>
                <w:sz w:val="20"/>
                <w:szCs w:val="20"/>
                <w:lang w:val="fr-CA"/>
              </w:rPr>
              <w:t xml:space="preserve">Le 21 août 1993, le demandeur, D.P., et l’intimée, A.F., se marient sans contrat de mariage. Pendant leur union, deux enfants naissent, en 1996 et 1998.  Le 6 mars 2009, le demandeur quitte la résidence familiale et intente des procédures en divorce le 21 mai 2009. </w:t>
            </w:r>
          </w:p>
          <w:p w:rsidR="003521F0" w:rsidRPr="0071003D" w:rsidRDefault="003521F0" w:rsidP="001A5310">
            <w:pPr>
              <w:jc w:val="both"/>
              <w:rPr>
                <w:rFonts w:eastAsia="Calibri"/>
                <w:sz w:val="20"/>
                <w:szCs w:val="20"/>
                <w:lang w:val="fr-CA"/>
              </w:rPr>
            </w:pPr>
          </w:p>
          <w:p w:rsidR="003521F0" w:rsidRPr="0071003D" w:rsidRDefault="003521F0" w:rsidP="001A5310">
            <w:pPr>
              <w:jc w:val="both"/>
              <w:rPr>
                <w:rFonts w:eastAsia="Calibri"/>
                <w:sz w:val="20"/>
                <w:szCs w:val="20"/>
                <w:lang w:val="fr-CA"/>
              </w:rPr>
            </w:pPr>
            <w:r w:rsidRPr="0071003D">
              <w:rPr>
                <w:rFonts w:eastAsia="Calibri"/>
                <w:sz w:val="20"/>
                <w:szCs w:val="20"/>
                <w:lang w:val="fr-CA"/>
              </w:rPr>
              <w:t xml:space="preserve">En Cour supérieure, la juge Picard prononce le divorce des parties et statue sur les mesures accessoires.  Elle conclut, entre autres, que le demandeur doit remettre à l’intimée une somme de 46 646,64 $ pour la séparation du patrimoine familial, un montant de 429 846,77 $ pour le partage des acquêts, une somme de 3 500 $ par mois pendant deux ans à titre de pension alimentaire pour conjoint, une somme forfaitaire de 155 968,02 $ et une somme de 85 000 $ à titre de provision pour frais.  En appel, la Cour d’appel infirme en partie la décision sur les questions reliées au partage des acquêts et à l’attribution de la provision pour frais.  Le demandeur doit désormais une somme de 1 118 642,77 $ à l’intimée pour le partage de la société d’acquêts.  Bien qu’elle considère que la juge de première instance n’ait pas exercé sa discrétion de façon déraisonnable ou arbitraire en attribuant une provision pour frais à l’intimée, la Cour d’appel estime que, vu conclusion relative aux acquêts, il y a plus lieu d’en octroyer une, l’équilibre des parties ayant déjà été atteint.  Quant aux dépens, la Cour d’appel estime que chaque partie doit assumer ses propres frais. </w:t>
            </w:r>
          </w:p>
          <w:p w:rsidR="003521F0" w:rsidRPr="0071003D" w:rsidRDefault="003521F0" w:rsidP="001A5310">
            <w:pPr>
              <w:jc w:val="both"/>
              <w:rPr>
                <w:rFonts w:eastAsia="Calibri"/>
                <w:sz w:val="20"/>
                <w:szCs w:val="20"/>
                <w:lang w:val="fr-CA"/>
              </w:rPr>
            </w:pPr>
          </w:p>
        </w:tc>
      </w:tr>
      <w:tr w:rsidR="003521F0" w:rsidRPr="00BF341F" w:rsidTr="001A5310">
        <w:tc>
          <w:tcPr>
            <w:tcW w:w="2427"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 xml:space="preserve">Le 18 avril 2012 </w:t>
            </w:r>
          </w:p>
          <w:p w:rsidR="003521F0" w:rsidRPr="0071003D" w:rsidRDefault="003521F0" w:rsidP="001A5310">
            <w:pPr>
              <w:jc w:val="both"/>
              <w:rPr>
                <w:rFonts w:eastAsia="Calibri"/>
                <w:sz w:val="20"/>
                <w:szCs w:val="20"/>
                <w:lang w:val="fr-CA"/>
              </w:rPr>
            </w:pPr>
            <w:r w:rsidRPr="0071003D">
              <w:rPr>
                <w:rFonts w:eastAsia="Calibri"/>
                <w:sz w:val="20"/>
                <w:szCs w:val="20"/>
                <w:lang w:val="fr-CA"/>
              </w:rPr>
              <w:t>Cour supérieure du Québec (Montréal)</w:t>
            </w:r>
          </w:p>
          <w:p w:rsidR="003521F0" w:rsidRPr="0071003D" w:rsidRDefault="003521F0" w:rsidP="001A5310">
            <w:pPr>
              <w:jc w:val="both"/>
              <w:rPr>
                <w:rFonts w:eastAsia="Calibri"/>
                <w:sz w:val="20"/>
                <w:szCs w:val="20"/>
                <w:lang w:val="fr-CA"/>
              </w:rPr>
            </w:pPr>
            <w:r w:rsidRPr="0071003D">
              <w:rPr>
                <w:rFonts w:eastAsia="Calibri"/>
                <w:sz w:val="20"/>
                <w:szCs w:val="20"/>
                <w:lang w:val="fr-CA"/>
              </w:rPr>
              <w:t>(La juge Picard)</w:t>
            </w:r>
          </w:p>
          <w:p w:rsidR="003521F0" w:rsidRPr="0071003D" w:rsidRDefault="00BF341F" w:rsidP="001A5310">
            <w:pPr>
              <w:jc w:val="both"/>
              <w:rPr>
                <w:rFonts w:eastAsia="Calibri"/>
                <w:sz w:val="20"/>
                <w:szCs w:val="20"/>
                <w:u w:val="single"/>
                <w:lang w:val="fr-CA"/>
              </w:rPr>
            </w:pPr>
            <w:hyperlink r:id="rId27" w:history="1">
              <w:r w:rsidR="003521F0" w:rsidRPr="0071003D">
                <w:rPr>
                  <w:rFonts w:eastAsia="Calibri"/>
                  <w:color w:val="0000FF"/>
                  <w:sz w:val="20"/>
                  <w:szCs w:val="20"/>
                  <w:u w:val="single"/>
                  <w:lang w:val="fr-CA"/>
                </w:rPr>
                <w:t>2012 QCCS 1797</w:t>
              </w:r>
            </w:hyperlink>
          </w:p>
          <w:p w:rsidR="003521F0" w:rsidRPr="0071003D" w:rsidRDefault="003521F0" w:rsidP="001A5310">
            <w:pPr>
              <w:jc w:val="both"/>
              <w:rPr>
                <w:rFonts w:eastAsia="Calibri"/>
                <w:sz w:val="20"/>
                <w:szCs w:val="20"/>
                <w:lang w:val="fr-CA"/>
              </w:rPr>
            </w:pPr>
          </w:p>
        </w:tc>
        <w:tc>
          <w:tcPr>
            <w:tcW w:w="243" w:type="pct"/>
          </w:tcPr>
          <w:p w:rsidR="003521F0" w:rsidRPr="0071003D" w:rsidRDefault="003521F0" w:rsidP="001A5310">
            <w:pPr>
              <w:jc w:val="both"/>
              <w:rPr>
                <w:rFonts w:eastAsia="Calibri"/>
                <w:sz w:val="20"/>
                <w:szCs w:val="20"/>
                <w:lang w:val="fr-CA"/>
              </w:rPr>
            </w:pPr>
          </w:p>
        </w:tc>
        <w:tc>
          <w:tcPr>
            <w:tcW w:w="2330"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Action en divorce accueillie; mesures accessoires au divorce prononcées</w:t>
            </w:r>
          </w:p>
        </w:tc>
      </w:tr>
      <w:tr w:rsidR="003521F0" w:rsidRPr="00BF341F" w:rsidTr="001A5310">
        <w:tc>
          <w:tcPr>
            <w:tcW w:w="2427"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Le 26 août 2014</w:t>
            </w:r>
          </w:p>
          <w:p w:rsidR="003521F0" w:rsidRPr="0071003D" w:rsidRDefault="003521F0" w:rsidP="001A5310">
            <w:pPr>
              <w:jc w:val="both"/>
              <w:rPr>
                <w:rFonts w:eastAsia="Calibri"/>
                <w:sz w:val="20"/>
                <w:szCs w:val="20"/>
                <w:lang w:val="fr-CA"/>
              </w:rPr>
            </w:pPr>
            <w:r w:rsidRPr="0071003D">
              <w:rPr>
                <w:rFonts w:eastAsia="Calibri"/>
                <w:sz w:val="20"/>
                <w:szCs w:val="20"/>
                <w:lang w:val="fr-CA"/>
              </w:rPr>
              <w:t>Cour d’appel du Québec (Montréal)</w:t>
            </w:r>
          </w:p>
          <w:p w:rsidR="003521F0" w:rsidRPr="0071003D" w:rsidRDefault="003521F0" w:rsidP="001A5310">
            <w:pPr>
              <w:jc w:val="both"/>
              <w:rPr>
                <w:rFonts w:eastAsia="Calibri"/>
                <w:sz w:val="20"/>
                <w:szCs w:val="20"/>
                <w:lang w:val="fr-CA"/>
              </w:rPr>
            </w:pPr>
            <w:r w:rsidRPr="0071003D">
              <w:rPr>
                <w:rFonts w:eastAsia="Calibri"/>
                <w:sz w:val="20"/>
                <w:szCs w:val="20"/>
                <w:lang w:val="fr-CA"/>
              </w:rPr>
              <w:t xml:space="preserve">(Les juges Morissette, Doyon et St-Pierre) </w:t>
            </w:r>
          </w:p>
          <w:p w:rsidR="003521F0" w:rsidRPr="0071003D" w:rsidRDefault="00BF341F" w:rsidP="001A5310">
            <w:pPr>
              <w:jc w:val="both"/>
              <w:rPr>
                <w:rFonts w:eastAsia="Calibri"/>
                <w:sz w:val="20"/>
                <w:szCs w:val="20"/>
                <w:u w:val="single"/>
                <w:lang w:val="fr-CA"/>
              </w:rPr>
            </w:pPr>
            <w:hyperlink r:id="rId28" w:history="1">
              <w:r w:rsidR="003521F0" w:rsidRPr="0071003D">
                <w:rPr>
                  <w:rFonts w:eastAsia="Calibri"/>
                  <w:color w:val="0000FF"/>
                  <w:sz w:val="20"/>
                  <w:szCs w:val="20"/>
                  <w:u w:val="single"/>
                  <w:lang w:val="fr-CA"/>
                </w:rPr>
                <w:t>2014 QCCA 1562</w:t>
              </w:r>
            </w:hyperlink>
            <w:r w:rsidR="003521F0" w:rsidRPr="0071003D">
              <w:rPr>
                <w:rFonts w:eastAsia="Calibri"/>
                <w:sz w:val="20"/>
                <w:szCs w:val="20"/>
                <w:lang w:val="fr-CA"/>
              </w:rPr>
              <w:t>; 500-09-023573-132</w:t>
            </w:r>
          </w:p>
          <w:p w:rsidR="003521F0" w:rsidRPr="0071003D" w:rsidRDefault="003521F0" w:rsidP="001A5310">
            <w:pPr>
              <w:jc w:val="both"/>
              <w:rPr>
                <w:rFonts w:eastAsia="Calibri"/>
                <w:sz w:val="20"/>
                <w:szCs w:val="20"/>
                <w:lang w:val="fr-CA"/>
              </w:rPr>
            </w:pPr>
          </w:p>
        </w:tc>
        <w:tc>
          <w:tcPr>
            <w:tcW w:w="243" w:type="pct"/>
          </w:tcPr>
          <w:p w:rsidR="003521F0" w:rsidRPr="0071003D" w:rsidRDefault="003521F0" w:rsidP="001A5310">
            <w:pPr>
              <w:jc w:val="both"/>
              <w:rPr>
                <w:rFonts w:eastAsia="Calibri"/>
                <w:sz w:val="20"/>
                <w:szCs w:val="20"/>
                <w:lang w:val="fr-CA"/>
              </w:rPr>
            </w:pPr>
          </w:p>
        </w:tc>
        <w:tc>
          <w:tcPr>
            <w:tcW w:w="2330"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Appel et appel incident accueillis en partie</w:t>
            </w:r>
          </w:p>
        </w:tc>
      </w:tr>
      <w:tr w:rsidR="003521F0" w:rsidRPr="00BF341F" w:rsidTr="001A5310">
        <w:tc>
          <w:tcPr>
            <w:tcW w:w="2427"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lastRenderedPageBreak/>
              <w:t>Les 27 octobre et 25 novembre 2014</w:t>
            </w:r>
          </w:p>
          <w:p w:rsidR="003521F0" w:rsidRPr="0071003D" w:rsidRDefault="003521F0" w:rsidP="001A5310">
            <w:pPr>
              <w:jc w:val="both"/>
              <w:rPr>
                <w:rFonts w:eastAsia="Calibri"/>
                <w:sz w:val="20"/>
                <w:szCs w:val="20"/>
                <w:lang w:val="fr-CA"/>
              </w:rPr>
            </w:pPr>
            <w:r w:rsidRPr="0071003D">
              <w:rPr>
                <w:rFonts w:eastAsia="Calibri"/>
                <w:sz w:val="20"/>
                <w:szCs w:val="20"/>
                <w:lang w:val="fr-CA"/>
              </w:rPr>
              <w:t>Cour suprême du Canada</w:t>
            </w:r>
          </w:p>
        </w:tc>
        <w:tc>
          <w:tcPr>
            <w:tcW w:w="243" w:type="pct"/>
          </w:tcPr>
          <w:p w:rsidR="003521F0" w:rsidRPr="0071003D" w:rsidRDefault="003521F0" w:rsidP="001A5310">
            <w:pPr>
              <w:jc w:val="both"/>
              <w:rPr>
                <w:rFonts w:eastAsia="Calibri"/>
                <w:sz w:val="20"/>
                <w:szCs w:val="20"/>
                <w:lang w:val="fr-CA"/>
              </w:rPr>
            </w:pPr>
          </w:p>
        </w:tc>
        <w:tc>
          <w:tcPr>
            <w:tcW w:w="2330"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Demandes d’autorisation d’appel et d’appel incident déposées</w:t>
            </w:r>
          </w:p>
        </w:tc>
      </w:tr>
    </w:tbl>
    <w:p w:rsidR="008E7C88" w:rsidRPr="003521F0" w:rsidRDefault="008E7C88" w:rsidP="000E2959">
      <w:pPr>
        <w:rPr>
          <w:sz w:val="20"/>
          <w:szCs w:val="20"/>
          <w:lang w:val="fr-CA"/>
        </w:rPr>
      </w:pPr>
    </w:p>
    <w:p w:rsidR="008E7C88" w:rsidRDefault="00BF341F" w:rsidP="000E2959">
      <w:pPr>
        <w:rPr>
          <w:sz w:val="20"/>
          <w:szCs w:val="20"/>
          <w:lang w:val="fr-CA"/>
        </w:rPr>
      </w:pPr>
      <w:r>
        <w:rPr>
          <w:sz w:val="20"/>
          <w:szCs w:val="20"/>
          <w:lang w:val="fr-CA"/>
        </w:rPr>
        <w:pict>
          <v:rect id="_x0000_i1035" style="width:2in;height:1pt" o:hrpct="0" o:hralign="center" o:hrstd="t" o:hrnoshade="t" o:hr="t" fillcolor="black [3213]" stroked="f"/>
        </w:pict>
      </w:r>
    </w:p>
    <w:p w:rsidR="008E7C88" w:rsidRDefault="008E7C88" w:rsidP="000E2959">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52D05" w:rsidRPr="00C719F1" w:rsidTr="00F52D05">
        <w:tc>
          <w:tcPr>
            <w:tcW w:w="1458" w:type="dxa"/>
          </w:tcPr>
          <w:p w:rsidR="00F52D05" w:rsidRPr="00C719F1" w:rsidRDefault="00F52D05" w:rsidP="001A5310">
            <w:pPr>
              <w:rPr>
                <w:sz w:val="20"/>
                <w:szCs w:val="20"/>
              </w:rPr>
            </w:pPr>
            <w:r w:rsidRPr="00C719F1">
              <w:rPr>
                <w:rStyle w:val="SCCFileNumberChar"/>
                <w:sz w:val="20"/>
                <w:szCs w:val="20"/>
              </w:rPr>
              <w:t>36121</w:t>
            </w:r>
          </w:p>
          <w:p w:rsidR="00F52D05" w:rsidRPr="00C719F1" w:rsidRDefault="00F52D05" w:rsidP="001A5310">
            <w:pPr>
              <w:rPr>
                <w:b/>
                <w:sz w:val="20"/>
                <w:szCs w:val="20"/>
                <w:lang w:val="fr-CA"/>
              </w:rPr>
            </w:pPr>
          </w:p>
        </w:tc>
        <w:tc>
          <w:tcPr>
            <w:tcW w:w="8118" w:type="dxa"/>
          </w:tcPr>
          <w:p w:rsidR="00F52D05" w:rsidRPr="00C719F1" w:rsidRDefault="00F52D05" w:rsidP="001A5310">
            <w:pPr>
              <w:rPr>
                <w:sz w:val="20"/>
                <w:szCs w:val="20"/>
              </w:rPr>
            </w:pPr>
            <w:r w:rsidRPr="00C719F1">
              <w:rPr>
                <w:rStyle w:val="SCCLsocChar"/>
                <w:sz w:val="20"/>
                <w:szCs w:val="20"/>
                <w:lang w:val="en-CA"/>
              </w:rPr>
              <w:t>Albert George Muckle v. Her Majesty the Queen</w:t>
            </w:r>
            <w:r w:rsidRPr="00C719F1">
              <w:rPr>
                <w:sz w:val="20"/>
                <w:szCs w:val="20"/>
              </w:rPr>
              <w:t xml:space="preserve"> (Alta.) (Criminal) (By Leave)</w:t>
            </w:r>
          </w:p>
          <w:p w:rsidR="00F52D05" w:rsidRPr="00C719F1" w:rsidRDefault="00F52D05" w:rsidP="001A5310">
            <w:pPr>
              <w:rPr>
                <w:sz w:val="20"/>
                <w:szCs w:val="20"/>
              </w:rPr>
            </w:pPr>
          </w:p>
        </w:tc>
      </w:tr>
      <w:tr w:rsidR="00F52D05" w:rsidRPr="00BF341F" w:rsidTr="00F52D05">
        <w:tc>
          <w:tcPr>
            <w:tcW w:w="1458" w:type="dxa"/>
          </w:tcPr>
          <w:p w:rsidR="00F52D05" w:rsidRPr="00C719F1" w:rsidRDefault="00F52D05" w:rsidP="001A5310">
            <w:pPr>
              <w:rPr>
                <w:sz w:val="20"/>
                <w:szCs w:val="20"/>
              </w:rPr>
            </w:pPr>
            <w:r w:rsidRPr="00C719F1">
              <w:rPr>
                <w:sz w:val="20"/>
                <w:szCs w:val="20"/>
              </w:rPr>
              <w:t>Coram :</w:t>
            </w:r>
          </w:p>
        </w:tc>
        <w:tc>
          <w:tcPr>
            <w:tcW w:w="8118" w:type="dxa"/>
          </w:tcPr>
          <w:p w:rsidR="00F52D05" w:rsidRPr="00C719F1" w:rsidRDefault="00F52D05" w:rsidP="001A5310">
            <w:pPr>
              <w:rPr>
                <w:sz w:val="20"/>
                <w:szCs w:val="20"/>
                <w:lang w:val="fr-CA"/>
              </w:rPr>
            </w:pPr>
            <w:r w:rsidRPr="00C719F1">
              <w:rPr>
                <w:rStyle w:val="SCCCoramChar"/>
                <w:sz w:val="20"/>
                <w:szCs w:val="20"/>
              </w:rPr>
              <w:t>Abella, Karakatsanis and Côté JJ.</w:t>
            </w:r>
          </w:p>
          <w:p w:rsidR="00F52D05" w:rsidRPr="00C719F1" w:rsidRDefault="00F52D05" w:rsidP="001A5310">
            <w:pPr>
              <w:rPr>
                <w:sz w:val="20"/>
                <w:szCs w:val="20"/>
                <w:u w:val="single"/>
                <w:lang w:val="fr-CA"/>
              </w:rPr>
            </w:pPr>
          </w:p>
        </w:tc>
      </w:tr>
      <w:tr w:rsidR="00F52D05" w:rsidRPr="00C3091A" w:rsidTr="00F52D05">
        <w:tc>
          <w:tcPr>
            <w:tcW w:w="9576" w:type="dxa"/>
            <w:gridSpan w:val="2"/>
          </w:tcPr>
          <w:p w:rsidR="00F52D05" w:rsidRPr="00C719F1" w:rsidRDefault="00F52D05" w:rsidP="001A5310">
            <w:pPr>
              <w:pStyle w:val="SCCShortJudgment"/>
              <w:rPr>
                <w:szCs w:val="20"/>
              </w:rPr>
            </w:pPr>
            <w:r w:rsidRPr="00C719F1">
              <w:rPr>
                <w:szCs w:val="20"/>
              </w:rPr>
              <w:t>The motion to appoint counsel and the motion for an extension of time to serve and file the application for leave to appeal from the judgment of the Court of Appeal of Alberta (Calgary), Number 1201-0071A, dated April 25, 2013, are dismissed. In any event, had such motions been granted, the application for leave to appeal would have been dismissed.</w:t>
            </w:r>
          </w:p>
          <w:p w:rsidR="00F52D05" w:rsidRPr="00C719F1" w:rsidRDefault="00F52D05" w:rsidP="001A5310">
            <w:pPr>
              <w:pStyle w:val="SCCShortJudgment"/>
              <w:ind w:firstLine="0"/>
              <w:rPr>
                <w:szCs w:val="20"/>
              </w:rPr>
            </w:pPr>
          </w:p>
          <w:p w:rsidR="00F52D05" w:rsidRPr="00C719F1" w:rsidRDefault="00F52D05" w:rsidP="001A5310">
            <w:pPr>
              <w:pStyle w:val="SCCShortJudgment"/>
              <w:rPr>
                <w:szCs w:val="20"/>
                <w:lang w:val="fr-CA"/>
              </w:rPr>
            </w:pPr>
            <w:r w:rsidRPr="00C719F1">
              <w:rPr>
                <w:szCs w:val="20"/>
                <w:lang w:val="fr-CA"/>
              </w:rPr>
              <w:t>La requête en nomination d’un procureur et la requête en prorogation du délai de signification et de dépôt de la demande d’autorisation d’appel de l’arrêt de la Cour d'appel de l’Alberta (Calgary), numéro 1201-0071A, daté du 25 avril 2013, sont rejetées.  Quoi qu’il en soit, même si les requêtes avaient été accueillies, la demande d’autorisation d’appel aurait été rejetée.</w:t>
            </w:r>
          </w:p>
        </w:tc>
      </w:tr>
    </w:tbl>
    <w:p w:rsidR="008E7C88" w:rsidRPr="00F52D05" w:rsidRDefault="008E7C88" w:rsidP="008E7C88">
      <w:pPr>
        <w:rPr>
          <w:sz w:val="20"/>
          <w:szCs w:val="20"/>
          <w:lang w:val="fr-CA"/>
        </w:rPr>
      </w:pPr>
    </w:p>
    <w:p w:rsidR="008E7C88" w:rsidRPr="001B157C" w:rsidRDefault="008E7C88" w:rsidP="008E7C88">
      <w:pPr>
        <w:rPr>
          <w:sz w:val="20"/>
          <w:szCs w:val="20"/>
          <w:u w:val="single"/>
        </w:rPr>
      </w:pPr>
      <w:r w:rsidRPr="001B157C">
        <w:rPr>
          <w:sz w:val="20"/>
          <w:szCs w:val="20"/>
          <w:u w:val="single"/>
        </w:rPr>
        <w:t>CASE SUMMARY</w:t>
      </w:r>
    </w:p>
    <w:p w:rsidR="008E7C88" w:rsidRDefault="008E7C88" w:rsidP="008E7C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521F0" w:rsidRPr="0071003D" w:rsidTr="001A5310">
        <w:tc>
          <w:tcPr>
            <w:tcW w:w="5000" w:type="pct"/>
            <w:gridSpan w:val="3"/>
          </w:tcPr>
          <w:p w:rsidR="003521F0" w:rsidRPr="0071003D" w:rsidRDefault="003521F0" w:rsidP="001A5310">
            <w:pPr>
              <w:jc w:val="both"/>
              <w:rPr>
                <w:rFonts w:eastAsia="Calibri"/>
                <w:sz w:val="20"/>
                <w:szCs w:val="20"/>
              </w:rPr>
            </w:pPr>
            <w:r w:rsidRPr="0071003D">
              <w:rPr>
                <w:rFonts w:eastAsia="Calibri"/>
                <w:sz w:val="20"/>
                <w:szCs w:val="20"/>
              </w:rPr>
              <w:t>(</w:t>
            </w:r>
            <w:r w:rsidRPr="0071003D">
              <w:rPr>
                <w:rFonts w:eastAsia="Calibri"/>
                <w:smallCaps/>
                <w:sz w:val="20"/>
                <w:szCs w:val="20"/>
              </w:rPr>
              <w:t xml:space="preserve">Publication </w:t>
            </w:r>
            <w:r>
              <w:rPr>
                <w:rFonts w:eastAsia="Calibri"/>
                <w:smallCaps/>
                <w:sz w:val="20"/>
              </w:rPr>
              <w:t>B</w:t>
            </w:r>
            <w:r w:rsidRPr="0071003D">
              <w:rPr>
                <w:rFonts w:eastAsia="Calibri"/>
                <w:smallCaps/>
                <w:sz w:val="20"/>
                <w:szCs w:val="20"/>
              </w:rPr>
              <w:t xml:space="preserve">an in </w:t>
            </w:r>
            <w:r>
              <w:rPr>
                <w:rFonts w:eastAsia="Calibri"/>
                <w:smallCaps/>
                <w:sz w:val="20"/>
              </w:rPr>
              <w:t>C</w:t>
            </w:r>
            <w:r w:rsidRPr="0071003D">
              <w:rPr>
                <w:rFonts w:eastAsia="Calibri"/>
                <w:smallCaps/>
                <w:sz w:val="20"/>
                <w:szCs w:val="20"/>
              </w:rPr>
              <w:t>ase</w:t>
            </w:r>
            <w:r w:rsidRPr="0071003D">
              <w:rPr>
                <w:rFonts w:eastAsia="Calibri"/>
                <w:sz w:val="20"/>
                <w:szCs w:val="20"/>
              </w:rPr>
              <w:t>)</w:t>
            </w:r>
          </w:p>
          <w:p w:rsidR="003521F0" w:rsidRPr="0071003D" w:rsidRDefault="003521F0" w:rsidP="001A5310">
            <w:pPr>
              <w:jc w:val="both"/>
              <w:rPr>
                <w:rFonts w:eastAsia="Calibri"/>
                <w:sz w:val="20"/>
                <w:szCs w:val="20"/>
              </w:rPr>
            </w:pPr>
          </w:p>
        </w:tc>
      </w:tr>
      <w:tr w:rsidR="003521F0" w:rsidRPr="0071003D" w:rsidTr="001A5310">
        <w:tc>
          <w:tcPr>
            <w:tcW w:w="5000" w:type="pct"/>
            <w:gridSpan w:val="3"/>
          </w:tcPr>
          <w:p w:rsidR="003521F0" w:rsidRPr="0071003D" w:rsidRDefault="003521F0" w:rsidP="001A5310">
            <w:pPr>
              <w:jc w:val="both"/>
              <w:rPr>
                <w:rFonts w:eastAsia="Calibri"/>
                <w:sz w:val="20"/>
                <w:szCs w:val="20"/>
              </w:rPr>
            </w:pPr>
            <w:r w:rsidRPr="0071003D">
              <w:rPr>
                <w:rFonts w:eastAsia="Calibri"/>
                <w:sz w:val="20"/>
                <w:szCs w:val="20"/>
              </w:rPr>
              <w:t>Criminal law – Did Court of Appeal judge err in dismissing extension of time.</w:t>
            </w:r>
          </w:p>
          <w:p w:rsidR="003521F0" w:rsidRPr="0071003D" w:rsidRDefault="003521F0" w:rsidP="001A5310">
            <w:pPr>
              <w:jc w:val="both"/>
              <w:rPr>
                <w:rFonts w:eastAsia="Calibri"/>
                <w:sz w:val="20"/>
                <w:szCs w:val="20"/>
              </w:rPr>
            </w:pPr>
          </w:p>
        </w:tc>
      </w:tr>
      <w:tr w:rsidR="003521F0" w:rsidRPr="0071003D" w:rsidTr="001A5310">
        <w:tc>
          <w:tcPr>
            <w:tcW w:w="5000" w:type="pct"/>
            <w:gridSpan w:val="3"/>
          </w:tcPr>
          <w:p w:rsidR="003521F0" w:rsidRPr="0071003D" w:rsidRDefault="003521F0" w:rsidP="001A5310">
            <w:pPr>
              <w:jc w:val="both"/>
              <w:rPr>
                <w:rFonts w:eastAsia="Calibri"/>
                <w:sz w:val="20"/>
                <w:szCs w:val="20"/>
              </w:rPr>
            </w:pPr>
            <w:r w:rsidRPr="0071003D">
              <w:rPr>
                <w:rFonts w:eastAsia="Calibri"/>
                <w:sz w:val="20"/>
                <w:szCs w:val="20"/>
              </w:rPr>
              <w:t xml:space="preserve">Albert George Muckle was charged with attempted murder and aggravated sexual assault, and pleaded guilty.  On July 27, 2006, Muckle was declared a dangerous offender and he is now incarcerated indefinitely.  In 2012, he filed a notice of appeal in the Alberta Court of Appeal, and in 2013, he brought a motion for an extension of time.  This motion was dismissed on April 25, 2013. </w:t>
            </w:r>
          </w:p>
          <w:p w:rsidR="003521F0" w:rsidRPr="0071003D" w:rsidRDefault="003521F0" w:rsidP="001A5310">
            <w:pPr>
              <w:jc w:val="both"/>
              <w:rPr>
                <w:rFonts w:eastAsia="Calibri"/>
                <w:sz w:val="20"/>
                <w:szCs w:val="20"/>
              </w:rPr>
            </w:pPr>
          </w:p>
        </w:tc>
      </w:tr>
      <w:tr w:rsidR="003521F0" w:rsidRPr="0071003D" w:rsidTr="001A5310">
        <w:tc>
          <w:tcPr>
            <w:tcW w:w="2427" w:type="pct"/>
          </w:tcPr>
          <w:p w:rsidR="003521F0" w:rsidRPr="0071003D" w:rsidRDefault="003521F0" w:rsidP="001A5310">
            <w:pPr>
              <w:jc w:val="both"/>
              <w:rPr>
                <w:rFonts w:eastAsia="Calibri"/>
                <w:sz w:val="20"/>
                <w:szCs w:val="20"/>
              </w:rPr>
            </w:pPr>
            <w:r w:rsidRPr="0071003D">
              <w:rPr>
                <w:rFonts w:eastAsia="Calibri"/>
                <w:sz w:val="20"/>
                <w:szCs w:val="20"/>
              </w:rPr>
              <w:t>September 19, 2005</w:t>
            </w:r>
          </w:p>
          <w:p w:rsidR="003521F0" w:rsidRPr="0071003D" w:rsidRDefault="003521F0" w:rsidP="001A5310">
            <w:pPr>
              <w:jc w:val="both"/>
              <w:rPr>
                <w:rFonts w:eastAsia="Calibri"/>
                <w:sz w:val="20"/>
                <w:szCs w:val="20"/>
              </w:rPr>
            </w:pPr>
            <w:r w:rsidRPr="0071003D">
              <w:rPr>
                <w:rFonts w:eastAsia="Calibri"/>
                <w:sz w:val="20"/>
                <w:szCs w:val="20"/>
              </w:rPr>
              <w:t>Provincial Court of Alberta</w:t>
            </w:r>
          </w:p>
          <w:p w:rsidR="003521F0" w:rsidRPr="0071003D" w:rsidRDefault="003521F0" w:rsidP="001A5310">
            <w:pPr>
              <w:jc w:val="both"/>
              <w:rPr>
                <w:rFonts w:eastAsia="Calibri"/>
                <w:sz w:val="20"/>
                <w:szCs w:val="20"/>
              </w:rPr>
            </w:pPr>
            <w:r w:rsidRPr="0071003D">
              <w:rPr>
                <w:rFonts w:eastAsia="Calibri"/>
                <w:sz w:val="20"/>
                <w:szCs w:val="20"/>
              </w:rPr>
              <w:t>(Hamilton P.C.J.)</w:t>
            </w:r>
          </w:p>
          <w:p w:rsidR="003521F0" w:rsidRPr="0071003D" w:rsidRDefault="003521F0" w:rsidP="001A5310">
            <w:pPr>
              <w:jc w:val="both"/>
              <w:rPr>
                <w:rFonts w:eastAsia="Calibri"/>
                <w:sz w:val="20"/>
                <w:szCs w:val="20"/>
              </w:rPr>
            </w:pPr>
          </w:p>
        </w:tc>
        <w:tc>
          <w:tcPr>
            <w:tcW w:w="243" w:type="pct"/>
          </w:tcPr>
          <w:p w:rsidR="003521F0" w:rsidRPr="0071003D" w:rsidRDefault="003521F0" w:rsidP="001A5310">
            <w:pPr>
              <w:jc w:val="both"/>
              <w:rPr>
                <w:rFonts w:eastAsia="Calibri"/>
                <w:sz w:val="20"/>
                <w:szCs w:val="20"/>
              </w:rPr>
            </w:pPr>
          </w:p>
        </w:tc>
        <w:tc>
          <w:tcPr>
            <w:tcW w:w="2330" w:type="pct"/>
          </w:tcPr>
          <w:p w:rsidR="003521F0" w:rsidRPr="0071003D" w:rsidRDefault="003521F0" w:rsidP="001A5310">
            <w:pPr>
              <w:jc w:val="both"/>
              <w:rPr>
                <w:rFonts w:eastAsia="Calibri"/>
                <w:sz w:val="20"/>
                <w:szCs w:val="20"/>
              </w:rPr>
            </w:pPr>
            <w:r w:rsidRPr="0071003D">
              <w:rPr>
                <w:rFonts w:eastAsia="Calibri"/>
                <w:sz w:val="20"/>
                <w:szCs w:val="20"/>
              </w:rPr>
              <w:t>Conviction following guilty plea:   Attempted murder and aggravated sexual assault</w:t>
            </w:r>
          </w:p>
        </w:tc>
      </w:tr>
      <w:tr w:rsidR="003521F0" w:rsidRPr="0071003D" w:rsidTr="001A5310">
        <w:tc>
          <w:tcPr>
            <w:tcW w:w="2427" w:type="pct"/>
          </w:tcPr>
          <w:p w:rsidR="003521F0" w:rsidRPr="0071003D" w:rsidRDefault="003521F0" w:rsidP="001A5310">
            <w:pPr>
              <w:jc w:val="both"/>
              <w:rPr>
                <w:rFonts w:eastAsia="Calibri"/>
                <w:sz w:val="20"/>
                <w:szCs w:val="20"/>
              </w:rPr>
            </w:pPr>
            <w:r w:rsidRPr="0071003D">
              <w:rPr>
                <w:rFonts w:eastAsia="Calibri"/>
                <w:sz w:val="20"/>
                <w:szCs w:val="20"/>
              </w:rPr>
              <w:t>April 25, 2013</w:t>
            </w:r>
          </w:p>
          <w:p w:rsidR="003521F0" w:rsidRPr="0071003D" w:rsidRDefault="003521F0" w:rsidP="001A5310">
            <w:pPr>
              <w:jc w:val="both"/>
              <w:rPr>
                <w:rFonts w:eastAsia="Calibri"/>
                <w:sz w:val="20"/>
                <w:szCs w:val="20"/>
              </w:rPr>
            </w:pPr>
            <w:r w:rsidRPr="0071003D">
              <w:rPr>
                <w:rFonts w:eastAsia="Calibri"/>
                <w:sz w:val="20"/>
                <w:szCs w:val="20"/>
              </w:rPr>
              <w:t>Court of Appeal of Alberta (Calgary)</w:t>
            </w:r>
          </w:p>
          <w:p w:rsidR="003521F0" w:rsidRPr="0071003D" w:rsidRDefault="003521F0" w:rsidP="001A5310">
            <w:pPr>
              <w:jc w:val="both"/>
              <w:rPr>
                <w:rFonts w:eastAsia="Calibri"/>
                <w:sz w:val="20"/>
                <w:szCs w:val="20"/>
              </w:rPr>
            </w:pPr>
            <w:r w:rsidRPr="0071003D">
              <w:rPr>
                <w:rFonts w:eastAsia="Calibri"/>
                <w:sz w:val="20"/>
                <w:szCs w:val="20"/>
              </w:rPr>
              <w:t>(McDonald J.A.)</w:t>
            </w:r>
          </w:p>
          <w:p w:rsidR="003521F0" w:rsidRPr="0071003D" w:rsidRDefault="003521F0" w:rsidP="001A5310">
            <w:pPr>
              <w:jc w:val="both"/>
              <w:rPr>
                <w:rFonts w:eastAsia="Calibri"/>
                <w:sz w:val="20"/>
                <w:szCs w:val="20"/>
              </w:rPr>
            </w:pPr>
          </w:p>
        </w:tc>
        <w:tc>
          <w:tcPr>
            <w:tcW w:w="243" w:type="pct"/>
          </w:tcPr>
          <w:p w:rsidR="003521F0" w:rsidRPr="0071003D" w:rsidRDefault="003521F0" w:rsidP="001A5310">
            <w:pPr>
              <w:jc w:val="both"/>
              <w:rPr>
                <w:rFonts w:eastAsia="Calibri"/>
                <w:sz w:val="20"/>
                <w:szCs w:val="20"/>
              </w:rPr>
            </w:pPr>
          </w:p>
        </w:tc>
        <w:tc>
          <w:tcPr>
            <w:tcW w:w="2330" w:type="pct"/>
          </w:tcPr>
          <w:p w:rsidR="003521F0" w:rsidRPr="0071003D" w:rsidRDefault="003521F0" w:rsidP="001A5310">
            <w:pPr>
              <w:jc w:val="both"/>
              <w:rPr>
                <w:rFonts w:eastAsia="Calibri"/>
                <w:sz w:val="20"/>
                <w:szCs w:val="20"/>
              </w:rPr>
            </w:pPr>
            <w:r w:rsidRPr="0071003D">
              <w:rPr>
                <w:rFonts w:eastAsia="Calibri"/>
                <w:sz w:val="20"/>
                <w:szCs w:val="20"/>
              </w:rPr>
              <w:t>Motion to extend time to bring an appeal dismissed</w:t>
            </w:r>
          </w:p>
          <w:p w:rsidR="003521F0" w:rsidRPr="0071003D" w:rsidRDefault="003521F0" w:rsidP="001A5310">
            <w:pPr>
              <w:jc w:val="both"/>
              <w:rPr>
                <w:rFonts w:eastAsia="Calibri"/>
                <w:sz w:val="20"/>
                <w:szCs w:val="20"/>
              </w:rPr>
            </w:pPr>
          </w:p>
        </w:tc>
      </w:tr>
      <w:tr w:rsidR="003521F0" w:rsidRPr="0071003D" w:rsidTr="001A5310">
        <w:tc>
          <w:tcPr>
            <w:tcW w:w="2427" w:type="pct"/>
          </w:tcPr>
          <w:p w:rsidR="003521F0" w:rsidRPr="0071003D" w:rsidRDefault="003521F0" w:rsidP="001A5310">
            <w:pPr>
              <w:jc w:val="both"/>
              <w:rPr>
                <w:rFonts w:eastAsia="Calibri"/>
                <w:sz w:val="20"/>
                <w:szCs w:val="20"/>
              </w:rPr>
            </w:pPr>
            <w:r w:rsidRPr="0071003D">
              <w:rPr>
                <w:rFonts w:eastAsia="Calibri"/>
                <w:sz w:val="20"/>
                <w:szCs w:val="20"/>
              </w:rPr>
              <w:t>September 23, 2014</w:t>
            </w:r>
          </w:p>
          <w:p w:rsidR="003521F0" w:rsidRPr="0071003D" w:rsidRDefault="003521F0" w:rsidP="001A5310">
            <w:pPr>
              <w:jc w:val="both"/>
              <w:rPr>
                <w:rFonts w:eastAsia="Calibri"/>
                <w:sz w:val="20"/>
                <w:szCs w:val="20"/>
              </w:rPr>
            </w:pPr>
            <w:r w:rsidRPr="0071003D">
              <w:rPr>
                <w:rFonts w:eastAsia="Calibri"/>
                <w:sz w:val="20"/>
                <w:szCs w:val="20"/>
              </w:rPr>
              <w:t>Supreme Court of Canada</w:t>
            </w:r>
          </w:p>
        </w:tc>
        <w:tc>
          <w:tcPr>
            <w:tcW w:w="243" w:type="pct"/>
          </w:tcPr>
          <w:p w:rsidR="003521F0" w:rsidRPr="0071003D" w:rsidRDefault="003521F0" w:rsidP="001A5310">
            <w:pPr>
              <w:jc w:val="both"/>
              <w:rPr>
                <w:rFonts w:eastAsia="Calibri"/>
                <w:sz w:val="20"/>
                <w:szCs w:val="20"/>
              </w:rPr>
            </w:pPr>
          </w:p>
        </w:tc>
        <w:tc>
          <w:tcPr>
            <w:tcW w:w="2330" w:type="pct"/>
          </w:tcPr>
          <w:p w:rsidR="003521F0" w:rsidRPr="0071003D" w:rsidRDefault="003521F0" w:rsidP="001A5310">
            <w:pPr>
              <w:jc w:val="both"/>
              <w:rPr>
                <w:rFonts w:eastAsia="Calibri"/>
                <w:sz w:val="20"/>
                <w:szCs w:val="20"/>
              </w:rPr>
            </w:pPr>
            <w:r w:rsidRPr="0071003D">
              <w:rPr>
                <w:rFonts w:eastAsia="Calibri"/>
                <w:sz w:val="20"/>
                <w:szCs w:val="20"/>
              </w:rPr>
              <w:t>Application for leave to appeal, motion for extension of time and motion to appoint counsel filed</w:t>
            </w:r>
          </w:p>
        </w:tc>
      </w:tr>
    </w:tbl>
    <w:p w:rsidR="008E7C88" w:rsidRDefault="008E7C88" w:rsidP="008E7C88">
      <w:pPr>
        <w:rPr>
          <w:sz w:val="20"/>
          <w:szCs w:val="20"/>
        </w:rPr>
      </w:pPr>
    </w:p>
    <w:p w:rsidR="008E7C88" w:rsidRPr="00C50A5C" w:rsidRDefault="00BF341F" w:rsidP="008E7C88">
      <w:pPr>
        <w:rPr>
          <w:sz w:val="20"/>
          <w:szCs w:val="20"/>
        </w:rPr>
      </w:pPr>
      <w:r>
        <w:rPr>
          <w:sz w:val="20"/>
          <w:szCs w:val="20"/>
          <w:lang w:val="fr-CA"/>
        </w:rPr>
        <w:pict>
          <v:rect id="_x0000_i1036" style="width:2in;height:1pt" o:hrpct="0" o:hralign="center" o:hrstd="t" o:hrnoshade="t" o:hr="t" fillcolor="black [3213]" stroked="f"/>
        </w:pict>
      </w:r>
    </w:p>
    <w:p w:rsidR="008E7C88" w:rsidRDefault="008E7C88" w:rsidP="008E7C88">
      <w:pPr>
        <w:rPr>
          <w:sz w:val="20"/>
          <w:szCs w:val="20"/>
        </w:rPr>
      </w:pPr>
    </w:p>
    <w:p w:rsidR="008E7C88" w:rsidRPr="001B157C" w:rsidRDefault="008E7C88" w:rsidP="008E7C88">
      <w:pPr>
        <w:rPr>
          <w:sz w:val="20"/>
          <w:szCs w:val="20"/>
          <w:u w:val="single"/>
          <w:lang w:val="fr-CA"/>
        </w:rPr>
      </w:pPr>
      <w:r w:rsidRPr="001B157C">
        <w:rPr>
          <w:sz w:val="20"/>
          <w:szCs w:val="20"/>
          <w:u w:val="single"/>
          <w:lang w:val="fr-CA"/>
        </w:rPr>
        <w:t>RÉSUMÉ DE L’AFFAIRE</w:t>
      </w:r>
    </w:p>
    <w:p w:rsidR="008E7C88" w:rsidRDefault="008E7C88" w:rsidP="008E7C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521F0" w:rsidRPr="00C3091A" w:rsidTr="001A5310">
        <w:tc>
          <w:tcPr>
            <w:tcW w:w="5000" w:type="pct"/>
            <w:gridSpan w:val="3"/>
          </w:tcPr>
          <w:p w:rsidR="003521F0" w:rsidRPr="0071003D" w:rsidRDefault="003521F0" w:rsidP="001A5310">
            <w:pPr>
              <w:jc w:val="both"/>
              <w:rPr>
                <w:rFonts w:eastAsia="Calibri"/>
                <w:sz w:val="20"/>
                <w:szCs w:val="20"/>
                <w:lang w:val="fr-CA"/>
              </w:rPr>
            </w:pPr>
            <w:r w:rsidRPr="0071003D">
              <w:rPr>
                <w:rFonts w:eastAsia="Calibri"/>
                <w:sz w:val="20"/>
                <w:szCs w:val="20"/>
                <w:lang w:val="fr-CA"/>
              </w:rPr>
              <w:t>(</w:t>
            </w:r>
            <w:r w:rsidRPr="0071003D">
              <w:rPr>
                <w:rFonts w:eastAsia="Calibri"/>
                <w:smallCaps/>
                <w:sz w:val="20"/>
                <w:lang w:val="fr-CA"/>
              </w:rPr>
              <w:t>O</w:t>
            </w:r>
            <w:r w:rsidRPr="0071003D">
              <w:rPr>
                <w:rFonts w:eastAsia="Calibri"/>
                <w:smallCaps/>
                <w:sz w:val="20"/>
                <w:szCs w:val="20"/>
                <w:lang w:val="fr-CA"/>
              </w:rPr>
              <w:t>rdonnance de non-publication dans le dossier</w:t>
            </w:r>
            <w:r w:rsidRPr="0071003D">
              <w:rPr>
                <w:rFonts w:eastAsia="Calibri"/>
                <w:sz w:val="20"/>
                <w:szCs w:val="20"/>
                <w:lang w:val="fr-CA"/>
              </w:rPr>
              <w:t>)</w:t>
            </w:r>
          </w:p>
          <w:p w:rsidR="003521F0" w:rsidRPr="0071003D" w:rsidRDefault="003521F0" w:rsidP="001A5310">
            <w:pPr>
              <w:jc w:val="both"/>
              <w:rPr>
                <w:rFonts w:eastAsia="Calibri"/>
                <w:sz w:val="20"/>
                <w:szCs w:val="20"/>
                <w:lang w:val="fr-CA"/>
              </w:rPr>
            </w:pPr>
          </w:p>
        </w:tc>
      </w:tr>
      <w:tr w:rsidR="003521F0" w:rsidRPr="00C3091A" w:rsidTr="001A5310">
        <w:tc>
          <w:tcPr>
            <w:tcW w:w="5000" w:type="pct"/>
            <w:gridSpan w:val="3"/>
          </w:tcPr>
          <w:p w:rsidR="003521F0" w:rsidRPr="0071003D" w:rsidRDefault="003521F0" w:rsidP="001A5310">
            <w:pPr>
              <w:jc w:val="both"/>
              <w:rPr>
                <w:rFonts w:eastAsia="Calibri"/>
                <w:sz w:val="20"/>
                <w:szCs w:val="20"/>
                <w:lang w:val="fr-CA"/>
              </w:rPr>
            </w:pPr>
            <w:r w:rsidRPr="0071003D">
              <w:rPr>
                <w:rFonts w:eastAsia="Calibri"/>
                <w:sz w:val="20"/>
                <w:szCs w:val="20"/>
                <w:lang w:val="fr-CA"/>
              </w:rPr>
              <w:t>Droit criminel – La juge de la Cour d’appel a-t-elle eu tort de rejeter la requête en prorogation de délai?</w:t>
            </w:r>
          </w:p>
          <w:p w:rsidR="003521F0" w:rsidRPr="0071003D" w:rsidRDefault="003521F0" w:rsidP="001A5310">
            <w:pPr>
              <w:jc w:val="both"/>
              <w:rPr>
                <w:rFonts w:eastAsia="Calibri"/>
                <w:sz w:val="20"/>
                <w:szCs w:val="20"/>
                <w:lang w:val="fr-CA"/>
              </w:rPr>
            </w:pPr>
          </w:p>
        </w:tc>
      </w:tr>
      <w:tr w:rsidR="003521F0" w:rsidRPr="0071003D" w:rsidTr="001A5310">
        <w:tc>
          <w:tcPr>
            <w:tcW w:w="5000" w:type="pct"/>
            <w:gridSpan w:val="3"/>
          </w:tcPr>
          <w:p w:rsidR="003521F0" w:rsidRPr="0071003D" w:rsidRDefault="003521F0" w:rsidP="001A5310">
            <w:pPr>
              <w:jc w:val="both"/>
              <w:rPr>
                <w:rFonts w:eastAsia="Calibri"/>
                <w:sz w:val="20"/>
                <w:szCs w:val="20"/>
                <w:lang w:val="fr-CA"/>
              </w:rPr>
            </w:pPr>
            <w:r w:rsidRPr="0071003D">
              <w:rPr>
                <w:rFonts w:eastAsia="Calibri"/>
                <w:sz w:val="20"/>
                <w:szCs w:val="20"/>
                <w:lang w:val="fr-CA"/>
              </w:rPr>
              <w:lastRenderedPageBreak/>
              <w:t xml:space="preserve">Albert George Muckle a plaidé coupable à des accusations de tentative de meurtre et d’agression sexuelle grave.  Le 27 juillet 2006, M. Muckle a été déclaré délinquant dangereux et il est maintenant incarcéré pour une période indéterminée.  En 2012, il a déposé un avis d’appel à la Cour d’appel de l’Alberta et, en 2013, il a présenté une requête en prorogation de délai.  Cette requête a été rejetée le 25 avril 2013. </w:t>
            </w:r>
          </w:p>
          <w:p w:rsidR="003521F0" w:rsidRPr="0071003D" w:rsidRDefault="003521F0" w:rsidP="001A5310">
            <w:pPr>
              <w:jc w:val="both"/>
              <w:rPr>
                <w:rFonts w:eastAsia="Calibri"/>
                <w:sz w:val="20"/>
                <w:szCs w:val="20"/>
                <w:lang w:val="fr-CA"/>
              </w:rPr>
            </w:pPr>
          </w:p>
        </w:tc>
      </w:tr>
      <w:tr w:rsidR="003521F0" w:rsidRPr="00C3091A" w:rsidTr="001A5310">
        <w:tc>
          <w:tcPr>
            <w:tcW w:w="2427"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19 septembre 2005</w:t>
            </w:r>
          </w:p>
          <w:p w:rsidR="003521F0" w:rsidRPr="0071003D" w:rsidRDefault="003521F0" w:rsidP="001A5310">
            <w:pPr>
              <w:jc w:val="both"/>
              <w:rPr>
                <w:rFonts w:eastAsia="Calibri"/>
                <w:sz w:val="20"/>
                <w:szCs w:val="20"/>
                <w:lang w:val="fr-CA"/>
              </w:rPr>
            </w:pPr>
            <w:r w:rsidRPr="0071003D">
              <w:rPr>
                <w:rFonts w:eastAsia="Calibri"/>
                <w:sz w:val="20"/>
                <w:szCs w:val="20"/>
                <w:lang w:val="fr-CA"/>
              </w:rPr>
              <w:t>Cour provinciale de l’Alberta</w:t>
            </w:r>
          </w:p>
          <w:p w:rsidR="003521F0" w:rsidRPr="0071003D" w:rsidRDefault="003521F0" w:rsidP="001A5310">
            <w:pPr>
              <w:jc w:val="both"/>
              <w:rPr>
                <w:rFonts w:eastAsia="Calibri"/>
                <w:sz w:val="20"/>
                <w:szCs w:val="20"/>
                <w:lang w:val="fr-CA"/>
              </w:rPr>
            </w:pPr>
            <w:r w:rsidRPr="0071003D">
              <w:rPr>
                <w:rFonts w:eastAsia="Calibri"/>
                <w:sz w:val="20"/>
                <w:szCs w:val="20"/>
                <w:lang w:val="fr-CA"/>
              </w:rPr>
              <w:t>(Juge Hamilton)</w:t>
            </w:r>
          </w:p>
          <w:p w:rsidR="003521F0" w:rsidRPr="0071003D" w:rsidRDefault="003521F0" w:rsidP="001A5310">
            <w:pPr>
              <w:jc w:val="both"/>
              <w:rPr>
                <w:rFonts w:eastAsia="Calibri"/>
                <w:sz w:val="20"/>
                <w:szCs w:val="20"/>
                <w:lang w:val="fr-CA"/>
              </w:rPr>
            </w:pPr>
          </w:p>
        </w:tc>
        <w:tc>
          <w:tcPr>
            <w:tcW w:w="243" w:type="pct"/>
          </w:tcPr>
          <w:p w:rsidR="003521F0" w:rsidRPr="0071003D" w:rsidRDefault="003521F0" w:rsidP="001A5310">
            <w:pPr>
              <w:jc w:val="both"/>
              <w:rPr>
                <w:rFonts w:eastAsia="Calibri"/>
                <w:sz w:val="20"/>
                <w:szCs w:val="20"/>
                <w:lang w:val="fr-CA"/>
              </w:rPr>
            </w:pPr>
          </w:p>
        </w:tc>
        <w:tc>
          <w:tcPr>
            <w:tcW w:w="2330"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Déclaration de culpabilité à la suite d’un plaidoyer de culpabilité :   tentative de meurtre et agression sexuelle grave</w:t>
            </w:r>
          </w:p>
        </w:tc>
      </w:tr>
      <w:tr w:rsidR="003521F0" w:rsidRPr="00C3091A" w:rsidTr="00F52D05">
        <w:trPr>
          <w:cantSplit/>
        </w:trPr>
        <w:tc>
          <w:tcPr>
            <w:tcW w:w="2427"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25 avril 2013</w:t>
            </w:r>
          </w:p>
          <w:p w:rsidR="003521F0" w:rsidRPr="0071003D" w:rsidRDefault="003521F0" w:rsidP="001A5310">
            <w:pPr>
              <w:jc w:val="both"/>
              <w:rPr>
                <w:rFonts w:eastAsia="Calibri"/>
                <w:sz w:val="20"/>
                <w:szCs w:val="20"/>
                <w:lang w:val="fr-CA"/>
              </w:rPr>
            </w:pPr>
            <w:r w:rsidRPr="0071003D">
              <w:rPr>
                <w:rFonts w:eastAsia="Calibri"/>
                <w:sz w:val="20"/>
                <w:szCs w:val="20"/>
                <w:lang w:val="fr-CA"/>
              </w:rPr>
              <w:t>Cour d’appel de l’Alberta (Calgary)</w:t>
            </w:r>
          </w:p>
          <w:p w:rsidR="003521F0" w:rsidRPr="0071003D" w:rsidRDefault="003521F0" w:rsidP="001A5310">
            <w:pPr>
              <w:jc w:val="both"/>
              <w:rPr>
                <w:rFonts w:eastAsia="Calibri"/>
                <w:sz w:val="20"/>
                <w:szCs w:val="20"/>
                <w:lang w:val="fr-CA"/>
              </w:rPr>
            </w:pPr>
            <w:r w:rsidRPr="0071003D">
              <w:rPr>
                <w:rFonts w:eastAsia="Calibri"/>
                <w:sz w:val="20"/>
                <w:szCs w:val="20"/>
                <w:lang w:val="fr-CA"/>
              </w:rPr>
              <w:t>(Juge McDonald)</w:t>
            </w:r>
          </w:p>
          <w:p w:rsidR="003521F0" w:rsidRPr="0071003D" w:rsidRDefault="003521F0" w:rsidP="001A5310">
            <w:pPr>
              <w:jc w:val="both"/>
              <w:rPr>
                <w:rFonts w:eastAsia="Calibri"/>
                <w:sz w:val="20"/>
                <w:szCs w:val="20"/>
                <w:lang w:val="fr-CA"/>
              </w:rPr>
            </w:pPr>
          </w:p>
        </w:tc>
        <w:tc>
          <w:tcPr>
            <w:tcW w:w="243" w:type="pct"/>
          </w:tcPr>
          <w:p w:rsidR="003521F0" w:rsidRPr="0071003D" w:rsidRDefault="003521F0" w:rsidP="001A5310">
            <w:pPr>
              <w:jc w:val="both"/>
              <w:rPr>
                <w:rFonts w:eastAsia="Calibri"/>
                <w:sz w:val="20"/>
                <w:szCs w:val="20"/>
                <w:lang w:val="fr-CA"/>
              </w:rPr>
            </w:pPr>
          </w:p>
        </w:tc>
        <w:tc>
          <w:tcPr>
            <w:tcW w:w="2330"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Rejet de la requête en prorogation du délai pour interjeter appel</w:t>
            </w:r>
          </w:p>
          <w:p w:rsidR="003521F0" w:rsidRPr="0071003D" w:rsidRDefault="003521F0" w:rsidP="001A5310">
            <w:pPr>
              <w:jc w:val="both"/>
              <w:rPr>
                <w:rFonts w:eastAsia="Calibri"/>
                <w:sz w:val="20"/>
                <w:szCs w:val="20"/>
                <w:lang w:val="fr-CA"/>
              </w:rPr>
            </w:pPr>
          </w:p>
        </w:tc>
      </w:tr>
      <w:tr w:rsidR="003521F0" w:rsidRPr="00C3091A" w:rsidTr="00F52D05">
        <w:trPr>
          <w:cantSplit/>
        </w:trPr>
        <w:tc>
          <w:tcPr>
            <w:tcW w:w="2427"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23 septembre 2014</w:t>
            </w:r>
          </w:p>
          <w:p w:rsidR="003521F0" w:rsidRPr="0071003D" w:rsidRDefault="003521F0" w:rsidP="001A5310">
            <w:pPr>
              <w:jc w:val="both"/>
              <w:rPr>
                <w:rFonts w:eastAsia="Calibri"/>
                <w:sz w:val="20"/>
                <w:szCs w:val="20"/>
                <w:lang w:val="fr-CA"/>
              </w:rPr>
            </w:pPr>
            <w:r w:rsidRPr="0071003D">
              <w:rPr>
                <w:rFonts w:eastAsia="Calibri"/>
                <w:sz w:val="20"/>
                <w:szCs w:val="20"/>
                <w:lang w:val="fr-CA"/>
              </w:rPr>
              <w:t>Cour suprême du Canada</w:t>
            </w:r>
          </w:p>
          <w:p w:rsidR="003521F0" w:rsidRPr="0071003D" w:rsidRDefault="003521F0" w:rsidP="001A5310">
            <w:pPr>
              <w:jc w:val="both"/>
              <w:rPr>
                <w:rFonts w:eastAsia="Calibri"/>
                <w:sz w:val="20"/>
                <w:szCs w:val="20"/>
                <w:lang w:val="fr-CA"/>
              </w:rPr>
            </w:pPr>
          </w:p>
        </w:tc>
        <w:tc>
          <w:tcPr>
            <w:tcW w:w="243" w:type="pct"/>
          </w:tcPr>
          <w:p w:rsidR="003521F0" w:rsidRPr="0071003D" w:rsidRDefault="003521F0" w:rsidP="001A5310">
            <w:pPr>
              <w:jc w:val="both"/>
              <w:rPr>
                <w:rFonts w:eastAsia="Calibri"/>
                <w:sz w:val="20"/>
                <w:szCs w:val="20"/>
                <w:lang w:val="fr-CA"/>
              </w:rPr>
            </w:pPr>
          </w:p>
        </w:tc>
        <w:tc>
          <w:tcPr>
            <w:tcW w:w="2330"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Dépôt de la demande d’autorisation d’appel, de la requête en prorogation de délai et de la requête en nomination d’un procureur</w:t>
            </w:r>
          </w:p>
        </w:tc>
      </w:tr>
    </w:tbl>
    <w:p w:rsidR="008E7C88" w:rsidRPr="003521F0" w:rsidRDefault="008E7C88" w:rsidP="008E7C88">
      <w:pPr>
        <w:rPr>
          <w:sz w:val="20"/>
          <w:szCs w:val="20"/>
          <w:lang w:val="fr-CA"/>
        </w:rPr>
      </w:pPr>
    </w:p>
    <w:p w:rsidR="008E7C88" w:rsidRDefault="00BF341F" w:rsidP="008E7C88">
      <w:pPr>
        <w:rPr>
          <w:sz w:val="20"/>
          <w:szCs w:val="20"/>
          <w:lang w:val="fr-CA"/>
        </w:rPr>
      </w:pPr>
      <w:r>
        <w:rPr>
          <w:sz w:val="20"/>
          <w:szCs w:val="20"/>
          <w:lang w:val="fr-CA"/>
        </w:rPr>
        <w:pict>
          <v:rect id="_x0000_i1037" style="width:2in;height:1pt" o:hrpct="0" o:hralign="center" o:hrstd="t" o:hrnoshade="t" o:hr="t" fillcolor="black [3213]" stroked="f"/>
        </w:pict>
      </w:r>
    </w:p>
    <w:p w:rsidR="008E7C88" w:rsidRDefault="008E7C88" w:rsidP="008E7C8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248E0" w:rsidRPr="00D52851" w:rsidTr="001A5310">
        <w:trPr>
          <w:cantSplit/>
        </w:trPr>
        <w:tc>
          <w:tcPr>
            <w:tcW w:w="1458" w:type="dxa"/>
          </w:tcPr>
          <w:p w:rsidR="002248E0" w:rsidRPr="00C719F1" w:rsidRDefault="002248E0" w:rsidP="001A5310">
            <w:pPr>
              <w:rPr>
                <w:sz w:val="20"/>
                <w:szCs w:val="20"/>
              </w:rPr>
            </w:pPr>
            <w:r w:rsidRPr="00C719F1">
              <w:rPr>
                <w:rStyle w:val="SCCFileNumberChar"/>
                <w:sz w:val="20"/>
                <w:szCs w:val="20"/>
              </w:rPr>
              <w:t>36142</w:t>
            </w:r>
          </w:p>
          <w:p w:rsidR="002248E0" w:rsidRPr="00C719F1" w:rsidRDefault="002248E0" w:rsidP="001A5310">
            <w:pPr>
              <w:rPr>
                <w:b/>
                <w:sz w:val="20"/>
                <w:szCs w:val="20"/>
                <w:lang w:val="fr-CA"/>
              </w:rPr>
            </w:pPr>
          </w:p>
        </w:tc>
        <w:tc>
          <w:tcPr>
            <w:tcW w:w="8118" w:type="dxa"/>
          </w:tcPr>
          <w:p w:rsidR="002248E0" w:rsidRPr="00C719F1" w:rsidRDefault="002248E0" w:rsidP="001A5310">
            <w:pPr>
              <w:jc w:val="both"/>
              <w:rPr>
                <w:sz w:val="20"/>
                <w:szCs w:val="20"/>
                <w:lang w:val="fr-CA"/>
              </w:rPr>
            </w:pPr>
            <w:r w:rsidRPr="00C719F1">
              <w:rPr>
                <w:rStyle w:val="SCCLsocChar"/>
                <w:sz w:val="20"/>
                <w:szCs w:val="20"/>
              </w:rPr>
              <w:t>Kerfalla Toure</w:t>
            </w:r>
            <w:r w:rsidR="00D52851">
              <w:rPr>
                <w:rStyle w:val="SCCLsocChar"/>
                <w:sz w:val="20"/>
                <w:szCs w:val="20"/>
              </w:rPr>
              <w:t xml:space="preserve"> et</w:t>
            </w:r>
            <w:r w:rsidRPr="00C719F1">
              <w:rPr>
                <w:rStyle w:val="SCCLsocChar"/>
                <w:sz w:val="20"/>
                <w:szCs w:val="20"/>
              </w:rPr>
              <w:t xml:space="preserve"> Gisèle Tremblay c. Brault &amp; Martineau Inc.</w:t>
            </w:r>
            <w:r w:rsidR="00D52851">
              <w:rPr>
                <w:rStyle w:val="SCCLsocChar"/>
                <w:sz w:val="20"/>
                <w:szCs w:val="20"/>
              </w:rPr>
              <w:t xml:space="preserve"> et</w:t>
            </w:r>
            <w:r w:rsidRPr="00C719F1">
              <w:rPr>
                <w:rStyle w:val="SCCLsocChar"/>
                <w:sz w:val="20"/>
                <w:szCs w:val="20"/>
              </w:rPr>
              <w:t xml:space="preserve"> Ameublements Tanguay Inc.</w:t>
            </w:r>
            <w:r w:rsidRPr="00C719F1">
              <w:rPr>
                <w:sz w:val="20"/>
                <w:szCs w:val="20"/>
                <w:lang w:val="fr-CA"/>
              </w:rPr>
              <w:t xml:space="preserve"> (Qc) (Civile) (Autorisation)</w:t>
            </w:r>
          </w:p>
          <w:p w:rsidR="002248E0" w:rsidRPr="00C719F1" w:rsidRDefault="002248E0" w:rsidP="001A5310">
            <w:pPr>
              <w:jc w:val="both"/>
              <w:rPr>
                <w:sz w:val="20"/>
                <w:szCs w:val="20"/>
                <w:lang w:val="fr-CA"/>
              </w:rPr>
            </w:pPr>
          </w:p>
        </w:tc>
      </w:tr>
      <w:tr w:rsidR="002248E0" w:rsidRPr="00C3091A" w:rsidTr="001A5310">
        <w:trPr>
          <w:cantSplit/>
        </w:trPr>
        <w:tc>
          <w:tcPr>
            <w:tcW w:w="1458" w:type="dxa"/>
          </w:tcPr>
          <w:p w:rsidR="002248E0" w:rsidRPr="00D52851" w:rsidRDefault="002248E0" w:rsidP="001A5310">
            <w:pPr>
              <w:rPr>
                <w:sz w:val="20"/>
                <w:szCs w:val="20"/>
                <w:lang w:val="fr-CA"/>
              </w:rPr>
            </w:pPr>
            <w:r w:rsidRPr="00D52851">
              <w:rPr>
                <w:sz w:val="20"/>
                <w:szCs w:val="20"/>
                <w:lang w:val="fr-CA"/>
              </w:rPr>
              <w:t>Coram :</w:t>
            </w:r>
          </w:p>
        </w:tc>
        <w:tc>
          <w:tcPr>
            <w:tcW w:w="8118" w:type="dxa"/>
          </w:tcPr>
          <w:p w:rsidR="002248E0" w:rsidRPr="00C719F1" w:rsidRDefault="002248E0" w:rsidP="001A5310">
            <w:pPr>
              <w:rPr>
                <w:sz w:val="20"/>
                <w:szCs w:val="20"/>
                <w:lang w:val="fr-CA"/>
              </w:rPr>
            </w:pPr>
            <w:r w:rsidRPr="00C719F1">
              <w:rPr>
                <w:rStyle w:val="SCCCoramChar"/>
                <w:sz w:val="20"/>
                <w:szCs w:val="20"/>
              </w:rPr>
              <w:t>Les juges Abella, Karakatsanis et Côté</w:t>
            </w:r>
          </w:p>
          <w:p w:rsidR="002248E0" w:rsidRPr="00C719F1" w:rsidRDefault="002248E0" w:rsidP="001A5310">
            <w:pPr>
              <w:rPr>
                <w:sz w:val="20"/>
                <w:szCs w:val="20"/>
                <w:u w:val="single"/>
                <w:lang w:val="fr-CA"/>
              </w:rPr>
            </w:pPr>
          </w:p>
        </w:tc>
      </w:tr>
      <w:tr w:rsidR="002248E0" w:rsidRPr="00C719F1" w:rsidTr="001A5310">
        <w:trPr>
          <w:cantSplit/>
        </w:trPr>
        <w:tc>
          <w:tcPr>
            <w:tcW w:w="9576" w:type="dxa"/>
            <w:gridSpan w:val="2"/>
          </w:tcPr>
          <w:p w:rsidR="002248E0" w:rsidRPr="00C719F1" w:rsidRDefault="002248E0" w:rsidP="001A5310">
            <w:pPr>
              <w:pStyle w:val="SCCShortJudgment"/>
              <w:rPr>
                <w:szCs w:val="20"/>
                <w:lang w:val="fr-CA"/>
              </w:rPr>
            </w:pPr>
            <w:r w:rsidRPr="00C719F1">
              <w:rPr>
                <w:szCs w:val="20"/>
                <w:lang w:val="fr-CA"/>
              </w:rPr>
              <w:t>La demande d’autorisation d’appel de l’arrêt de la Cour d’appel du Québec (Montréal), numéros 500-09-022116-115 et 200-09-007853-127, 2014 QCCA 1577, daté du 26 août 2014, est rejetée sans dépens.</w:t>
            </w:r>
          </w:p>
          <w:p w:rsidR="002248E0" w:rsidRPr="00C719F1" w:rsidRDefault="002248E0" w:rsidP="001A5310">
            <w:pPr>
              <w:pStyle w:val="SCCShortJudgment"/>
              <w:ind w:firstLine="0"/>
              <w:rPr>
                <w:szCs w:val="20"/>
                <w:lang w:val="fr-CA"/>
              </w:rPr>
            </w:pPr>
          </w:p>
          <w:p w:rsidR="002248E0" w:rsidRPr="00C719F1" w:rsidRDefault="002248E0" w:rsidP="001A5310">
            <w:pPr>
              <w:pStyle w:val="SCCShortJudgment"/>
              <w:rPr>
                <w:szCs w:val="20"/>
              </w:rPr>
            </w:pPr>
            <w:r w:rsidRPr="00C719F1">
              <w:rPr>
                <w:szCs w:val="20"/>
              </w:rPr>
              <w:t>The application for leave to appeal from the judgment of the Court of Appeal of Quebec (Montréal), Numbers 500-09-022116-115 and 200-09-007853-127, 2014 QCCA 1577, dated August 26, 2014, is dismissed without costs.</w:t>
            </w:r>
          </w:p>
        </w:tc>
      </w:tr>
    </w:tbl>
    <w:p w:rsidR="008E7C88" w:rsidRDefault="008E7C88" w:rsidP="008E7C88">
      <w:pPr>
        <w:rPr>
          <w:sz w:val="20"/>
          <w:szCs w:val="20"/>
        </w:rPr>
      </w:pPr>
    </w:p>
    <w:p w:rsidR="008E7C88" w:rsidRPr="001B157C" w:rsidRDefault="008E7C88" w:rsidP="008E7C88">
      <w:pPr>
        <w:rPr>
          <w:sz w:val="20"/>
          <w:szCs w:val="20"/>
          <w:u w:val="single"/>
        </w:rPr>
      </w:pPr>
      <w:r w:rsidRPr="001B157C">
        <w:rPr>
          <w:sz w:val="20"/>
          <w:szCs w:val="20"/>
          <w:u w:val="single"/>
        </w:rPr>
        <w:t>CASE SUMMARY</w:t>
      </w:r>
    </w:p>
    <w:p w:rsidR="008E7C88" w:rsidRDefault="008E7C88" w:rsidP="008E7C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521F0" w:rsidRPr="0071003D" w:rsidTr="001A5310">
        <w:tc>
          <w:tcPr>
            <w:tcW w:w="5000" w:type="pct"/>
            <w:gridSpan w:val="3"/>
          </w:tcPr>
          <w:p w:rsidR="003521F0" w:rsidRPr="0071003D" w:rsidRDefault="003521F0" w:rsidP="001A5310">
            <w:pPr>
              <w:jc w:val="both"/>
              <w:rPr>
                <w:rFonts w:eastAsia="Calibri"/>
                <w:sz w:val="20"/>
                <w:szCs w:val="20"/>
              </w:rPr>
            </w:pPr>
            <w:r w:rsidRPr="0071003D">
              <w:rPr>
                <w:rFonts w:eastAsia="Calibri"/>
                <w:sz w:val="20"/>
                <w:szCs w:val="20"/>
              </w:rPr>
              <w:t>Contracts – Consumer protection – Class actions</w:t>
            </w:r>
            <w:r w:rsidRPr="0071003D">
              <w:rPr>
                <w:rFonts w:eastAsia="Calibri"/>
                <w:i/>
                <w:iCs/>
                <w:sz w:val="20"/>
                <w:szCs w:val="20"/>
              </w:rPr>
              <w:t xml:space="preserve"> </w:t>
            </w:r>
            <w:r w:rsidRPr="0071003D">
              <w:rPr>
                <w:rFonts w:eastAsia="Calibri"/>
                <w:iCs/>
                <w:sz w:val="20"/>
                <w:szCs w:val="20"/>
              </w:rPr>
              <w:t xml:space="preserve">– Are the financing plans offered by furniture and electrical appliance retailers </w:t>
            </w:r>
            <w:r w:rsidRPr="0071003D">
              <w:rPr>
                <w:rFonts w:eastAsia="Calibri"/>
                <w:sz w:val="20"/>
                <w:szCs w:val="20"/>
              </w:rPr>
              <w:t xml:space="preserve">contracts for the loan of money? – Can the credit charges collected by furniture and electrical appliance retailers on financing plans be subject to the requirements of the </w:t>
            </w:r>
            <w:hyperlink r:id="rId29" w:history="1">
              <w:r w:rsidRPr="0071003D">
                <w:rPr>
                  <w:rFonts w:eastAsia="Calibri"/>
                  <w:i/>
                  <w:iCs/>
                  <w:sz w:val="20"/>
                  <w:szCs w:val="20"/>
                </w:rPr>
                <w:t>Consumer Protection Act</w:t>
              </w:r>
              <w:r w:rsidRPr="0071003D">
                <w:rPr>
                  <w:rFonts w:eastAsia="Calibri"/>
                  <w:sz w:val="20"/>
                  <w:szCs w:val="20"/>
                </w:rPr>
                <w:t xml:space="preserve"> (C.Q.L.R., c. P-40.1</w:t>
              </w:r>
            </w:hyperlink>
            <w:r w:rsidRPr="0071003D">
              <w:rPr>
                <w:rFonts w:eastAsia="Calibri"/>
                <w:sz w:val="20"/>
                <w:szCs w:val="20"/>
              </w:rPr>
              <w:t xml:space="preserve">)? – Can the credit charges collected by furniture and electrical appliance retailers on financing plans be characterized as “interest” within the meaning of the </w:t>
            </w:r>
            <w:r w:rsidRPr="0071003D">
              <w:rPr>
                <w:rFonts w:eastAsia="Calibri"/>
                <w:i/>
                <w:iCs/>
                <w:sz w:val="20"/>
                <w:szCs w:val="20"/>
              </w:rPr>
              <w:t xml:space="preserve">Interest Act </w:t>
            </w:r>
            <w:r w:rsidRPr="0071003D">
              <w:rPr>
                <w:rFonts w:eastAsia="Calibri"/>
                <w:sz w:val="20"/>
                <w:szCs w:val="20"/>
              </w:rPr>
              <w:t xml:space="preserve">(R.S.C., 1985, c. I-15) and the </w:t>
            </w:r>
            <w:r w:rsidRPr="0071003D">
              <w:rPr>
                <w:rFonts w:eastAsia="Calibri"/>
                <w:i/>
                <w:iCs/>
                <w:sz w:val="20"/>
                <w:szCs w:val="20"/>
              </w:rPr>
              <w:t>Civil Code of Québec</w:t>
            </w:r>
            <w:r w:rsidRPr="0071003D">
              <w:rPr>
                <w:rFonts w:eastAsia="Calibri"/>
                <w:sz w:val="20"/>
                <w:szCs w:val="20"/>
              </w:rPr>
              <w:t>?</w:t>
            </w:r>
          </w:p>
        </w:tc>
      </w:tr>
      <w:tr w:rsidR="003521F0" w:rsidRPr="0071003D" w:rsidTr="001A5310">
        <w:tc>
          <w:tcPr>
            <w:tcW w:w="5000" w:type="pct"/>
            <w:gridSpan w:val="3"/>
          </w:tcPr>
          <w:p w:rsidR="003521F0" w:rsidRPr="0071003D" w:rsidRDefault="003521F0" w:rsidP="001A5310">
            <w:pPr>
              <w:jc w:val="both"/>
              <w:rPr>
                <w:rFonts w:eastAsia="Calibri"/>
                <w:sz w:val="20"/>
                <w:szCs w:val="20"/>
              </w:rPr>
            </w:pPr>
          </w:p>
        </w:tc>
      </w:tr>
      <w:tr w:rsidR="003521F0" w:rsidRPr="0071003D" w:rsidTr="001A5310">
        <w:tc>
          <w:tcPr>
            <w:tcW w:w="5000" w:type="pct"/>
            <w:gridSpan w:val="3"/>
          </w:tcPr>
          <w:p w:rsidR="003521F0" w:rsidRPr="0071003D" w:rsidRDefault="003521F0" w:rsidP="001A5310">
            <w:pPr>
              <w:jc w:val="both"/>
              <w:rPr>
                <w:rFonts w:eastAsia="Calibri"/>
                <w:sz w:val="20"/>
                <w:szCs w:val="20"/>
              </w:rPr>
            </w:pPr>
            <w:r w:rsidRPr="0071003D">
              <w:rPr>
                <w:rFonts w:eastAsia="Calibri"/>
                <w:sz w:val="20"/>
                <w:szCs w:val="20"/>
              </w:rPr>
              <w:t xml:space="preserve">This case concerns two appeals.  In the first appeal, the appellant purchased from the respondent, in this instance Brault &amp; Martineau Inc., a stove, a range hood, a refrigerator, a moulding, a cleaning kit and an extra protection plan for the price of $3,785.95.  The purchase was made at a time when the respondent was offering clients a rebate amounting to the sales taxes if they paid cash or the option of paying their purchase in 50 equal monthly instalments, without fees or interest.  Rather than paying cash and benefiting from the tax-equivalent rebate, the appellant chose the Visa Desjardins (“Desjardins”) financing plan and paid the equivalent of the taxes, $528.14, on the spot.  Arguing that the tax-equivalent rebate offered to clients paying cash constitutes a non-disclosed credit charge that had to be paid upon purchase in violation of the </w:t>
            </w:r>
            <w:hyperlink r:id="rId30" w:history="1">
              <w:r w:rsidRPr="0071003D">
                <w:rPr>
                  <w:rFonts w:eastAsia="Calibri"/>
                  <w:i/>
                  <w:iCs/>
                  <w:sz w:val="20"/>
                  <w:szCs w:val="20"/>
                </w:rPr>
                <w:t>Consumer Protection Act</w:t>
              </w:r>
            </w:hyperlink>
            <w:r w:rsidRPr="0071003D">
              <w:rPr>
                <w:rFonts w:eastAsia="Calibri"/>
                <w:sz w:val="20"/>
                <w:szCs w:val="20"/>
              </w:rPr>
              <w:t xml:space="preserve">, the </w:t>
            </w:r>
            <w:hyperlink r:id="rId31" w:history="1">
              <w:r w:rsidRPr="0071003D">
                <w:rPr>
                  <w:rFonts w:eastAsia="Calibri"/>
                  <w:i/>
                  <w:iCs/>
                  <w:sz w:val="20"/>
                  <w:szCs w:val="20"/>
                </w:rPr>
                <w:t>Civil Code of Québec</w:t>
              </w:r>
            </w:hyperlink>
            <w:r w:rsidRPr="0071003D">
              <w:rPr>
                <w:rFonts w:eastAsia="Calibri"/>
                <w:sz w:val="20"/>
                <w:szCs w:val="20"/>
              </w:rPr>
              <w:t xml:space="preserve"> and the </w:t>
            </w:r>
            <w:hyperlink r:id="rId32" w:history="1">
              <w:r w:rsidRPr="0071003D">
                <w:rPr>
                  <w:rFonts w:eastAsia="Calibri"/>
                  <w:i/>
                  <w:iCs/>
                  <w:sz w:val="20"/>
                  <w:szCs w:val="20"/>
                </w:rPr>
                <w:t>Interest Act</w:t>
              </w:r>
            </w:hyperlink>
            <w:r w:rsidRPr="0071003D">
              <w:rPr>
                <w:rFonts w:eastAsia="Calibri"/>
                <w:sz w:val="20"/>
                <w:szCs w:val="20"/>
              </w:rPr>
              <w:t>, the appellant filed an application for authorization to institute a class action against the respondent.</w:t>
            </w:r>
          </w:p>
          <w:p w:rsidR="003521F0" w:rsidRPr="0071003D" w:rsidRDefault="003521F0" w:rsidP="001A5310">
            <w:pPr>
              <w:jc w:val="both"/>
              <w:rPr>
                <w:rFonts w:eastAsia="Calibri"/>
                <w:sz w:val="20"/>
                <w:szCs w:val="20"/>
              </w:rPr>
            </w:pPr>
          </w:p>
          <w:p w:rsidR="003521F0" w:rsidRPr="0071003D" w:rsidRDefault="003521F0" w:rsidP="001A5310">
            <w:pPr>
              <w:shd w:val="clear" w:color="auto" w:fill="FFFFFF"/>
              <w:jc w:val="both"/>
              <w:rPr>
                <w:sz w:val="20"/>
                <w:szCs w:val="20"/>
                <w:lang w:eastAsia="fr-CA"/>
              </w:rPr>
            </w:pPr>
            <w:r w:rsidRPr="0071003D">
              <w:rPr>
                <w:sz w:val="20"/>
                <w:szCs w:val="20"/>
                <w:lang w:eastAsia="fr-CA"/>
              </w:rPr>
              <w:t>In the second appeal, the appellant purchased from the respondent, in this instance Ameublements Tanguay Inc., a laptop computer and an extended two-year guarantee for the price of $924.90, plus tax.  The purchase was also made at a time when the respondent was offering clients its [</w:t>
            </w:r>
            <w:r w:rsidRPr="0071003D">
              <w:rPr>
                <w:smallCaps/>
                <w:sz w:val="20"/>
                <w:szCs w:val="20"/>
                <w:lang w:eastAsia="fr-CA"/>
              </w:rPr>
              <w:t>translation</w:t>
            </w:r>
            <w:r w:rsidRPr="0071003D">
              <w:rPr>
                <w:sz w:val="20"/>
                <w:szCs w:val="20"/>
                <w:lang w:eastAsia="fr-CA"/>
              </w:rPr>
              <w:t>] “we’ll pay both taxes, or opt for our 50-instalment payment plan”.  Since she was already a Visa Desjardins card holder, the appellant chose to finance her purchase through Desjardins’s</w:t>
            </w:r>
            <w:r w:rsidRPr="0071003D">
              <w:rPr>
                <w:i/>
                <w:iCs/>
                <w:sz w:val="20"/>
                <w:szCs w:val="20"/>
                <w:lang w:eastAsia="fr-CA"/>
              </w:rPr>
              <w:t xml:space="preserve"> </w:t>
            </w:r>
            <w:r w:rsidRPr="0071003D">
              <w:rPr>
                <w:iCs/>
                <w:sz w:val="20"/>
                <w:szCs w:val="20"/>
                <w:lang w:eastAsia="fr-CA"/>
              </w:rPr>
              <w:t>Accord D</w:t>
            </w:r>
            <w:r w:rsidRPr="0071003D">
              <w:rPr>
                <w:sz w:val="20"/>
                <w:szCs w:val="20"/>
                <w:lang w:eastAsia="fr-CA"/>
              </w:rPr>
              <w:t xml:space="preserve"> plan.  She understood that because of her choice, she would not receive the rebate amounting to the value of the GST and PST, but not having read the note on the terms and conditions of the promotion, she expected that the amount corresponding to the taxes would be spread over the 50 consecutive monthly instalments; however, she was asked to pay the taxes of $119.08 immediately, and she did so using her Visa Desjardins credit card.  The price of the laptop computer, $924.90, was also charged to her credit card account and became payable in 50 equal monthly instalments at an annual interest rate of 0% under the </w:t>
            </w:r>
            <w:r w:rsidRPr="0071003D">
              <w:rPr>
                <w:iCs/>
                <w:sz w:val="20"/>
                <w:szCs w:val="20"/>
                <w:lang w:eastAsia="fr-CA"/>
              </w:rPr>
              <w:t>Accord D financing plan</w:t>
            </w:r>
            <w:r w:rsidRPr="0071003D">
              <w:rPr>
                <w:sz w:val="20"/>
                <w:szCs w:val="20"/>
                <w:lang w:eastAsia="fr-CA"/>
              </w:rPr>
              <w:t>.  Finding that the tax-equivalent rebate granted when paying cash constituted an undisclosed credit charge that should not have been payable immediately, the appellant filed an application for authorization to institute a class action against the respondent.</w:t>
            </w:r>
          </w:p>
          <w:p w:rsidR="003521F0" w:rsidRPr="0071003D" w:rsidRDefault="003521F0" w:rsidP="001A5310">
            <w:pPr>
              <w:shd w:val="clear" w:color="auto" w:fill="FFFFFF"/>
              <w:jc w:val="both"/>
              <w:rPr>
                <w:sz w:val="20"/>
                <w:szCs w:val="20"/>
                <w:lang w:eastAsia="fr-CA"/>
              </w:rPr>
            </w:pPr>
          </w:p>
          <w:p w:rsidR="003521F0" w:rsidRPr="0071003D" w:rsidRDefault="003521F0" w:rsidP="001A5310">
            <w:pPr>
              <w:jc w:val="both"/>
              <w:rPr>
                <w:rFonts w:eastAsia="Calibri"/>
                <w:sz w:val="20"/>
                <w:szCs w:val="20"/>
              </w:rPr>
            </w:pPr>
            <w:r w:rsidRPr="0071003D">
              <w:rPr>
                <w:rFonts w:eastAsia="Calibri"/>
                <w:sz w:val="20"/>
                <w:szCs w:val="20"/>
              </w:rPr>
              <w:t>In both cases, the claim was for the reimbursement of the alleged credit charges or, in the alternative, a reduction in credit charges, in addition to punitive damages.</w:t>
            </w:r>
          </w:p>
          <w:p w:rsidR="003521F0" w:rsidRPr="0071003D" w:rsidRDefault="003521F0" w:rsidP="001A5310">
            <w:pPr>
              <w:jc w:val="both"/>
              <w:rPr>
                <w:rFonts w:eastAsia="Calibri"/>
                <w:sz w:val="20"/>
                <w:szCs w:val="20"/>
              </w:rPr>
            </w:pPr>
          </w:p>
        </w:tc>
      </w:tr>
      <w:tr w:rsidR="003521F0" w:rsidRPr="0071003D" w:rsidTr="001A5310">
        <w:tc>
          <w:tcPr>
            <w:tcW w:w="2427" w:type="pct"/>
          </w:tcPr>
          <w:p w:rsidR="003521F0" w:rsidRPr="0071003D" w:rsidRDefault="003521F0" w:rsidP="001A5310">
            <w:pPr>
              <w:jc w:val="both"/>
              <w:rPr>
                <w:rFonts w:eastAsia="Calibri"/>
                <w:sz w:val="20"/>
                <w:szCs w:val="20"/>
              </w:rPr>
            </w:pPr>
            <w:r w:rsidRPr="0071003D">
              <w:rPr>
                <w:rFonts w:eastAsia="Calibri"/>
                <w:sz w:val="20"/>
                <w:szCs w:val="20"/>
              </w:rPr>
              <w:lastRenderedPageBreak/>
              <w:t>September 23, 2011</w:t>
            </w:r>
          </w:p>
          <w:p w:rsidR="003521F0" w:rsidRPr="0071003D" w:rsidRDefault="003521F0" w:rsidP="001A5310">
            <w:pPr>
              <w:jc w:val="both"/>
              <w:rPr>
                <w:rFonts w:eastAsia="Calibri"/>
                <w:sz w:val="20"/>
                <w:szCs w:val="20"/>
              </w:rPr>
            </w:pPr>
            <w:r w:rsidRPr="0071003D">
              <w:rPr>
                <w:rFonts w:eastAsia="Calibri"/>
                <w:sz w:val="20"/>
                <w:szCs w:val="20"/>
              </w:rPr>
              <w:t>Quebec Superior Court</w:t>
            </w:r>
          </w:p>
          <w:p w:rsidR="003521F0" w:rsidRPr="0071003D" w:rsidRDefault="003521F0" w:rsidP="001A5310">
            <w:pPr>
              <w:jc w:val="both"/>
              <w:rPr>
                <w:rFonts w:eastAsia="Calibri"/>
                <w:sz w:val="20"/>
                <w:szCs w:val="20"/>
              </w:rPr>
            </w:pPr>
            <w:r w:rsidRPr="0071003D">
              <w:rPr>
                <w:rFonts w:eastAsia="Calibri"/>
                <w:sz w:val="20"/>
                <w:szCs w:val="20"/>
              </w:rPr>
              <w:t>(Cullen J.)</w:t>
            </w:r>
          </w:p>
          <w:p w:rsidR="003521F0" w:rsidRPr="0071003D" w:rsidRDefault="003521F0" w:rsidP="001A5310">
            <w:pPr>
              <w:jc w:val="both"/>
              <w:rPr>
                <w:rFonts w:eastAsia="Calibri"/>
                <w:sz w:val="20"/>
                <w:szCs w:val="20"/>
              </w:rPr>
            </w:pPr>
            <w:r w:rsidRPr="0071003D">
              <w:rPr>
                <w:rFonts w:eastAsia="Calibri"/>
                <w:sz w:val="20"/>
                <w:szCs w:val="20"/>
              </w:rPr>
              <w:t>No. 500-06-000546-107</w:t>
            </w:r>
          </w:p>
          <w:p w:rsidR="003521F0" w:rsidRPr="0071003D" w:rsidRDefault="00BF341F" w:rsidP="001A5310">
            <w:pPr>
              <w:jc w:val="both"/>
              <w:rPr>
                <w:rFonts w:eastAsia="Calibri"/>
                <w:sz w:val="20"/>
                <w:szCs w:val="20"/>
              </w:rPr>
            </w:pPr>
            <w:hyperlink r:id="rId33" w:history="1">
              <w:r w:rsidR="003521F0" w:rsidRPr="0071003D">
                <w:rPr>
                  <w:rFonts w:eastAsia="Calibri"/>
                  <w:color w:val="0000FF"/>
                  <w:sz w:val="20"/>
                  <w:szCs w:val="20"/>
                  <w:u w:val="single"/>
                </w:rPr>
                <w:t>2011 QCCS 5343</w:t>
              </w:r>
            </w:hyperlink>
          </w:p>
          <w:p w:rsidR="003521F0" w:rsidRPr="0071003D" w:rsidRDefault="003521F0" w:rsidP="001A5310">
            <w:pPr>
              <w:jc w:val="both"/>
              <w:rPr>
                <w:rFonts w:eastAsia="Calibri"/>
                <w:sz w:val="20"/>
                <w:szCs w:val="20"/>
              </w:rPr>
            </w:pPr>
          </w:p>
        </w:tc>
        <w:tc>
          <w:tcPr>
            <w:tcW w:w="243" w:type="pct"/>
          </w:tcPr>
          <w:p w:rsidR="003521F0" w:rsidRPr="0071003D" w:rsidRDefault="003521F0" w:rsidP="001A5310">
            <w:pPr>
              <w:jc w:val="both"/>
              <w:rPr>
                <w:rFonts w:eastAsia="Calibri"/>
                <w:sz w:val="20"/>
                <w:szCs w:val="20"/>
              </w:rPr>
            </w:pPr>
          </w:p>
        </w:tc>
        <w:tc>
          <w:tcPr>
            <w:tcW w:w="2330" w:type="pct"/>
          </w:tcPr>
          <w:p w:rsidR="003521F0" w:rsidRPr="0071003D" w:rsidRDefault="003521F0" w:rsidP="001A5310">
            <w:pPr>
              <w:jc w:val="both"/>
              <w:rPr>
                <w:rFonts w:eastAsia="Calibri"/>
                <w:sz w:val="20"/>
                <w:szCs w:val="20"/>
              </w:rPr>
            </w:pPr>
            <w:r w:rsidRPr="0071003D">
              <w:rPr>
                <w:rFonts w:eastAsia="Calibri"/>
                <w:sz w:val="20"/>
                <w:szCs w:val="20"/>
              </w:rPr>
              <w:t>Application for authorization to institute a class action dismissed.</w:t>
            </w:r>
          </w:p>
          <w:p w:rsidR="003521F0" w:rsidRPr="0071003D" w:rsidRDefault="003521F0" w:rsidP="001A5310">
            <w:pPr>
              <w:jc w:val="both"/>
              <w:rPr>
                <w:rFonts w:eastAsia="Calibri"/>
                <w:sz w:val="20"/>
                <w:szCs w:val="20"/>
              </w:rPr>
            </w:pPr>
          </w:p>
        </w:tc>
      </w:tr>
      <w:tr w:rsidR="003521F0" w:rsidRPr="0071003D" w:rsidTr="001A5310">
        <w:tc>
          <w:tcPr>
            <w:tcW w:w="2427" w:type="pct"/>
          </w:tcPr>
          <w:p w:rsidR="003521F0" w:rsidRPr="0071003D" w:rsidRDefault="003521F0" w:rsidP="001A5310">
            <w:pPr>
              <w:jc w:val="both"/>
              <w:rPr>
                <w:rFonts w:eastAsia="Calibri"/>
                <w:sz w:val="20"/>
                <w:szCs w:val="20"/>
              </w:rPr>
            </w:pPr>
            <w:r w:rsidRPr="0071003D">
              <w:rPr>
                <w:rFonts w:eastAsia="Calibri"/>
                <w:sz w:val="20"/>
                <w:szCs w:val="20"/>
              </w:rPr>
              <w:t>September 10, 2012</w:t>
            </w:r>
          </w:p>
          <w:p w:rsidR="003521F0" w:rsidRPr="0071003D" w:rsidRDefault="003521F0" w:rsidP="001A5310">
            <w:pPr>
              <w:jc w:val="both"/>
              <w:rPr>
                <w:rFonts w:eastAsia="Calibri"/>
                <w:sz w:val="20"/>
                <w:szCs w:val="20"/>
              </w:rPr>
            </w:pPr>
            <w:r w:rsidRPr="0071003D">
              <w:rPr>
                <w:rFonts w:eastAsia="Calibri"/>
                <w:sz w:val="20"/>
                <w:szCs w:val="20"/>
              </w:rPr>
              <w:t>Quebec Superior Court</w:t>
            </w:r>
          </w:p>
          <w:p w:rsidR="003521F0" w:rsidRPr="0071003D" w:rsidRDefault="003521F0" w:rsidP="001A5310">
            <w:pPr>
              <w:jc w:val="both"/>
              <w:rPr>
                <w:rFonts w:eastAsia="Calibri"/>
                <w:sz w:val="20"/>
                <w:szCs w:val="20"/>
              </w:rPr>
            </w:pPr>
            <w:r w:rsidRPr="0071003D">
              <w:rPr>
                <w:rFonts w:eastAsia="Calibri"/>
                <w:sz w:val="20"/>
                <w:szCs w:val="20"/>
              </w:rPr>
              <w:t>(Bouchard J.)</w:t>
            </w:r>
          </w:p>
          <w:p w:rsidR="003521F0" w:rsidRPr="0071003D" w:rsidRDefault="003521F0" w:rsidP="001A5310">
            <w:pPr>
              <w:jc w:val="both"/>
              <w:rPr>
                <w:rFonts w:eastAsia="Calibri"/>
                <w:sz w:val="20"/>
                <w:szCs w:val="20"/>
              </w:rPr>
            </w:pPr>
            <w:r w:rsidRPr="0071003D">
              <w:rPr>
                <w:rFonts w:eastAsia="Calibri"/>
                <w:sz w:val="20"/>
                <w:szCs w:val="20"/>
              </w:rPr>
              <w:t>No. 200-06-000136-112</w:t>
            </w:r>
          </w:p>
          <w:p w:rsidR="003521F0" w:rsidRPr="0071003D" w:rsidRDefault="00BF341F" w:rsidP="001A5310">
            <w:pPr>
              <w:jc w:val="both"/>
              <w:rPr>
                <w:rFonts w:eastAsia="Calibri"/>
                <w:sz w:val="20"/>
                <w:szCs w:val="20"/>
              </w:rPr>
            </w:pPr>
            <w:hyperlink r:id="rId34" w:history="1">
              <w:r w:rsidR="003521F0" w:rsidRPr="0071003D">
                <w:rPr>
                  <w:rFonts w:eastAsia="Calibri"/>
                  <w:color w:val="0000FF"/>
                  <w:sz w:val="20"/>
                  <w:szCs w:val="20"/>
                  <w:u w:val="single"/>
                </w:rPr>
                <w:t>2012 QCCS 6251</w:t>
              </w:r>
            </w:hyperlink>
          </w:p>
          <w:p w:rsidR="003521F0" w:rsidRPr="0071003D" w:rsidRDefault="003521F0" w:rsidP="001A5310">
            <w:pPr>
              <w:jc w:val="both"/>
              <w:rPr>
                <w:rFonts w:eastAsia="Calibri"/>
                <w:sz w:val="20"/>
                <w:szCs w:val="20"/>
              </w:rPr>
            </w:pPr>
          </w:p>
        </w:tc>
        <w:tc>
          <w:tcPr>
            <w:tcW w:w="243" w:type="pct"/>
          </w:tcPr>
          <w:p w:rsidR="003521F0" w:rsidRPr="0071003D" w:rsidRDefault="003521F0" w:rsidP="001A5310">
            <w:pPr>
              <w:jc w:val="both"/>
              <w:rPr>
                <w:rFonts w:eastAsia="Calibri"/>
                <w:sz w:val="20"/>
                <w:szCs w:val="20"/>
              </w:rPr>
            </w:pPr>
          </w:p>
        </w:tc>
        <w:tc>
          <w:tcPr>
            <w:tcW w:w="2330" w:type="pct"/>
          </w:tcPr>
          <w:p w:rsidR="003521F0" w:rsidRPr="0071003D" w:rsidRDefault="003521F0" w:rsidP="001A5310">
            <w:pPr>
              <w:jc w:val="both"/>
              <w:rPr>
                <w:rFonts w:eastAsia="Calibri"/>
                <w:sz w:val="20"/>
                <w:szCs w:val="20"/>
              </w:rPr>
            </w:pPr>
            <w:r w:rsidRPr="0071003D">
              <w:rPr>
                <w:rFonts w:eastAsia="Calibri"/>
                <w:sz w:val="20"/>
                <w:szCs w:val="20"/>
              </w:rPr>
              <w:t>Application for authorization to institute a class action dismissed.</w:t>
            </w:r>
          </w:p>
        </w:tc>
      </w:tr>
      <w:tr w:rsidR="003521F0" w:rsidRPr="0071003D" w:rsidTr="001A5310">
        <w:tc>
          <w:tcPr>
            <w:tcW w:w="2427" w:type="pct"/>
          </w:tcPr>
          <w:p w:rsidR="003521F0" w:rsidRPr="0071003D" w:rsidRDefault="003521F0" w:rsidP="001A5310">
            <w:pPr>
              <w:jc w:val="both"/>
              <w:rPr>
                <w:rFonts w:eastAsia="Calibri"/>
                <w:sz w:val="20"/>
                <w:szCs w:val="20"/>
              </w:rPr>
            </w:pPr>
            <w:r w:rsidRPr="0071003D">
              <w:rPr>
                <w:rFonts w:eastAsia="Calibri"/>
                <w:sz w:val="20"/>
                <w:szCs w:val="20"/>
              </w:rPr>
              <w:t>August 26, 2014</w:t>
            </w:r>
          </w:p>
          <w:p w:rsidR="003521F0" w:rsidRPr="0071003D" w:rsidRDefault="003521F0" w:rsidP="001A5310">
            <w:pPr>
              <w:jc w:val="both"/>
              <w:rPr>
                <w:rFonts w:eastAsia="Calibri"/>
                <w:sz w:val="20"/>
                <w:szCs w:val="20"/>
              </w:rPr>
            </w:pPr>
            <w:r w:rsidRPr="0071003D">
              <w:rPr>
                <w:rFonts w:eastAsia="Calibri"/>
                <w:sz w:val="20"/>
                <w:szCs w:val="20"/>
              </w:rPr>
              <w:t>Quebec Court of Appeal (Montréal)</w:t>
            </w:r>
          </w:p>
          <w:p w:rsidR="003521F0" w:rsidRPr="0071003D" w:rsidRDefault="003521F0" w:rsidP="001A5310">
            <w:pPr>
              <w:jc w:val="both"/>
              <w:rPr>
                <w:rFonts w:eastAsia="Calibri"/>
                <w:sz w:val="20"/>
                <w:szCs w:val="20"/>
              </w:rPr>
            </w:pPr>
            <w:r w:rsidRPr="0071003D">
              <w:rPr>
                <w:rFonts w:eastAsia="Calibri"/>
                <w:sz w:val="20"/>
                <w:szCs w:val="20"/>
              </w:rPr>
              <w:t>(Morissette, Savard and Gagnon JJ.A.)</w:t>
            </w:r>
          </w:p>
          <w:p w:rsidR="003521F0" w:rsidRPr="0071003D" w:rsidRDefault="003521F0" w:rsidP="001A5310">
            <w:pPr>
              <w:jc w:val="both"/>
              <w:rPr>
                <w:rFonts w:eastAsia="Calibri"/>
                <w:sz w:val="20"/>
                <w:szCs w:val="20"/>
              </w:rPr>
            </w:pPr>
            <w:r w:rsidRPr="0071003D">
              <w:rPr>
                <w:rFonts w:eastAsia="Calibri"/>
                <w:sz w:val="20"/>
                <w:szCs w:val="20"/>
              </w:rPr>
              <w:t xml:space="preserve">Nos. </w:t>
            </w:r>
            <w:bookmarkStart w:id="2" w:name="NoDossier"/>
            <w:r w:rsidRPr="0071003D">
              <w:rPr>
                <w:rFonts w:eastAsia="Calibri"/>
                <w:sz w:val="20"/>
                <w:szCs w:val="20"/>
              </w:rPr>
              <w:t>500-09-022116-115</w:t>
            </w:r>
            <w:bookmarkEnd w:id="2"/>
            <w:r w:rsidRPr="0071003D">
              <w:rPr>
                <w:rFonts w:eastAsia="Calibri"/>
                <w:sz w:val="20"/>
                <w:szCs w:val="20"/>
              </w:rPr>
              <w:t xml:space="preserve"> and 200-09-007853-127</w:t>
            </w:r>
          </w:p>
          <w:p w:rsidR="003521F0" w:rsidRPr="0071003D" w:rsidRDefault="00BF341F" w:rsidP="001A5310">
            <w:pPr>
              <w:jc w:val="both"/>
              <w:rPr>
                <w:rFonts w:eastAsia="Calibri"/>
                <w:sz w:val="20"/>
                <w:szCs w:val="20"/>
              </w:rPr>
            </w:pPr>
            <w:hyperlink r:id="rId35" w:history="1">
              <w:r w:rsidR="003521F0" w:rsidRPr="0071003D">
                <w:rPr>
                  <w:rFonts w:eastAsia="Calibri"/>
                  <w:color w:val="0000FF"/>
                  <w:sz w:val="20"/>
                  <w:szCs w:val="20"/>
                  <w:u w:val="single"/>
                </w:rPr>
                <w:t>2014 QCCA 1577</w:t>
              </w:r>
            </w:hyperlink>
          </w:p>
          <w:p w:rsidR="003521F0" w:rsidRPr="0071003D" w:rsidRDefault="003521F0" w:rsidP="001A5310">
            <w:pPr>
              <w:jc w:val="both"/>
              <w:rPr>
                <w:rFonts w:eastAsia="Calibri"/>
                <w:sz w:val="20"/>
                <w:szCs w:val="20"/>
              </w:rPr>
            </w:pPr>
          </w:p>
        </w:tc>
        <w:tc>
          <w:tcPr>
            <w:tcW w:w="243" w:type="pct"/>
          </w:tcPr>
          <w:p w:rsidR="003521F0" w:rsidRPr="0071003D" w:rsidRDefault="003521F0" w:rsidP="001A5310">
            <w:pPr>
              <w:jc w:val="both"/>
              <w:rPr>
                <w:rFonts w:eastAsia="Calibri"/>
                <w:sz w:val="20"/>
                <w:szCs w:val="20"/>
              </w:rPr>
            </w:pPr>
          </w:p>
        </w:tc>
        <w:tc>
          <w:tcPr>
            <w:tcW w:w="2330" w:type="pct"/>
          </w:tcPr>
          <w:p w:rsidR="003521F0" w:rsidRPr="0071003D" w:rsidRDefault="003521F0" w:rsidP="001A5310">
            <w:pPr>
              <w:jc w:val="both"/>
              <w:rPr>
                <w:rFonts w:eastAsia="Calibri"/>
                <w:sz w:val="20"/>
                <w:szCs w:val="20"/>
              </w:rPr>
            </w:pPr>
            <w:r w:rsidRPr="0071003D">
              <w:rPr>
                <w:rFonts w:eastAsia="Calibri"/>
                <w:sz w:val="20"/>
                <w:szCs w:val="20"/>
              </w:rPr>
              <w:t>Appeals dismissed.</w:t>
            </w:r>
          </w:p>
          <w:p w:rsidR="003521F0" w:rsidRPr="0071003D" w:rsidRDefault="003521F0" w:rsidP="001A5310">
            <w:pPr>
              <w:jc w:val="both"/>
              <w:rPr>
                <w:rFonts w:eastAsia="Calibri"/>
                <w:sz w:val="20"/>
                <w:szCs w:val="20"/>
              </w:rPr>
            </w:pPr>
          </w:p>
        </w:tc>
      </w:tr>
      <w:tr w:rsidR="003521F0" w:rsidRPr="0071003D" w:rsidTr="001A5310">
        <w:tc>
          <w:tcPr>
            <w:tcW w:w="2427" w:type="pct"/>
          </w:tcPr>
          <w:p w:rsidR="003521F0" w:rsidRPr="0071003D" w:rsidRDefault="003521F0" w:rsidP="001A5310">
            <w:pPr>
              <w:jc w:val="both"/>
              <w:rPr>
                <w:rFonts w:eastAsia="Calibri"/>
                <w:sz w:val="20"/>
                <w:szCs w:val="20"/>
              </w:rPr>
            </w:pPr>
            <w:r w:rsidRPr="0071003D">
              <w:rPr>
                <w:rFonts w:eastAsia="Calibri"/>
                <w:sz w:val="20"/>
                <w:szCs w:val="20"/>
              </w:rPr>
              <w:t>October 27, 2014</w:t>
            </w:r>
          </w:p>
          <w:p w:rsidR="003521F0" w:rsidRPr="0071003D" w:rsidRDefault="003521F0" w:rsidP="001A5310">
            <w:pPr>
              <w:jc w:val="both"/>
              <w:rPr>
                <w:rFonts w:eastAsia="Calibri"/>
                <w:sz w:val="20"/>
                <w:szCs w:val="20"/>
              </w:rPr>
            </w:pPr>
            <w:r w:rsidRPr="0071003D">
              <w:rPr>
                <w:rFonts w:eastAsia="Calibri"/>
                <w:sz w:val="20"/>
                <w:szCs w:val="20"/>
              </w:rPr>
              <w:t>Supreme Court of Canada</w:t>
            </w:r>
          </w:p>
        </w:tc>
        <w:tc>
          <w:tcPr>
            <w:tcW w:w="243" w:type="pct"/>
          </w:tcPr>
          <w:p w:rsidR="003521F0" w:rsidRPr="0071003D" w:rsidRDefault="003521F0" w:rsidP="001A5310">
            <w:pPr>
              <w:jc w:val="both"/>
              <w:rPr>
                <w:rFonts w:eastAsia="Calibri"/>
                <w:sz w:val="20"/>
                <w:szCs w:val="20"/>
              </w:rPr>
            </w:pPr>
          </w:p>
        </w:tc>
        <w:tc>
          <w:tcPr>
            <w:tcW w:w="2330" w:type="pct"/>
          </w:tcPr>
          <w:p w:rsidR="003521F0" w:rsidRPr="0071003D" w:rsidRDefault="003521F0" w:rsidP="001A5310">
            <w:pPr>
              <w:jc w:val="both"/>
              <w:rPr>
                <w:rFonts w:eastAsia="Calibri"/>
                <w:sz w:val="20"/>
                <w:szCs w:val="20"/>
              </w:rPr>
            </w:pPr>
            <w:r w:rsidRPr="0071003D">
              <w:rPr>
                <w:rFonts w:eastAsia="Calibri"/>
                <w:sz w:val="20"/>
                <w:szCs w:val="20"/>
              </w:rPr>
              <w:t>Application for leave to appeal filed.</w:t>
            </w:r>
          </w:p>
          <w:p w:rsidR="003521F0" w:rsidRPr="0071003D" w:rsidRDefault="003521F0" w:rsidP="001A5310">
            <w:pPr>
              <w:jc w:val="both"/>
              <w:rPr>
                <w:rFonts w:eastAsia="Calibri"/>
                <w:sz w:val="20"/>
                <w:szCs w:val="20"/>
              </w:rPr>
            </w:pPr>
          </w:p>
        </w:tc>
      </w:tr>
    </w:tbl>
    <w:p w:rsidR="008E7C88" w:rsidRDefault="008E7C88" w:rsidP="008E7C88">
      <w:pPr>
        <w:rPr>
          <w:sz w:val="20"/>
          <w:szCs w:val="20"/>
        </w:rPr>
      </w:pPr>
    </w:p>
    <w:p w:rsidR="008E7C88" w:rsidRPr="00C50A5C" w:rsidRDefault="00BF341F" w:rsidP="008E7C88">
      <w:pPr>
        <w:rPr>
          <w:sz w:val="20"/>
          <w:szCs w:val="20"/>
        </w:rPr>
      </w:pPr>
      <w:r>
        <w:rPr>
          <w:sz w:val="20"/>
          <w:szCs w:val="20"/>
          <w:lang w:val="fr-CA"/>
        </w:rPr>
        <w:pict>
          <v:rect id="_x0000_i1038" style="width:2in;height:1pt" o:hrpct="0" o:hralign="center" o:hrstd="t" o:hrnoshade="t" o:hr="t" fillcolor="black [3213]" stroked="f"/>
        </w:pict>
      </w:r>
    </w:p>
    <w:p w:rsidR="008E7C88" w:rsidRDefault="008E7C88" w:rsidP="008E7C88">
      <w:pPr>
        <w:rPr>
          <w:sz w:val="20"/>
          <w:szCs w:val="20"/>
        </w:rPr>
      </w:pPr>
    </w:p>
    <w:p w:rsidR="008E7C88" w:rsidRPr="001B157C" w:rsidRDefault="008E7C88" w:rsidP="008E7C88">
      <w:pPr>
        <w:rPr>
          <w:sz w:val="20"/>
          <w:szCs w:val="20"/>
          <w:u w:val="single"/>
          <w:lang w:val="fr-CA"/>
        </w:rPr>
      </w:pPr>
      <w:r w:rsidRPr="001B157C">
        <w:rPr>
          <w:sz w:val="20"/>
          <w:szCs w:val="20"/>
          <w:u w:val="single"/>
          <w:lang w:val="fr-CA"/>
        </w:rPr>
        <w:lastRenderedPageBreak/>
        <w:t>RÉSUMÉ DE L’AFFAIRE</w:t>
      </w:r>
    </w:p>
    <w:p w:rsidR="008E7C88" w:rsidRDefault="008E7C88" w:rsidP="008E7C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521F0" w:rsidRPr="00C3091A" w:rsidTr="001A5310">
        <w:tc>
          <w:tcPr>
            <w:tcW w:w="5000" w:type="pct"/>
            <w:gridSpan w:val="3"/>
          </w:tcPr>
          <w:p w:rsidR="003521F0" w:rsidRPr="0071003D" w:rsidRDefault="003521F0" w:rsidP="001A5310">
            <w:pPr>
              <w:jc w:val="both"/>
              <w:rPr>
                <w:rFonts w:eastAsia="Calibri"/>
                <w:sz w:val="20"/>
                <w:szCs w:val="20"/>
                <w:lang w:val="fr-CA"/>
              </w:rPr>
            </w:pPr>
            <w:r w:rsidRPr="0071003D">
              <w:rPr>
                <w:rFonts w:eastAsia="Calibri"/>
                <w:sz w:val="20"/>
                <w:szCs w:val="20"/>
                <w:lang w:val="fr-CA"/>
              </w:rPr>
              <w:t>Contrats – Protection du consommateur – Recours collectifs</w:t>
            </w:r>
            <w:r w:rsidRPr="0071003D">
              <w:rPr>
                <w:rFonts w:eastAsia="Calibri"/>
                <w:i/>
                <w:iCs/>
                <w:sz w:val="20"/>
                <w:szCs w:val="20"/>
                <w:lang w:val="fr-FR"/>
              </w:rPr>
              <w:t xml:space="preserve"> </w:t>
            </w:r>
            <w:r w:rsidRPr="0071003D">
              <w:rPr>
                <w:rFonts w:eastAsia="Calibri"/>
                <w:iCs/>
                <w:sz w:val="20"/>
                <w:szCs w:val="20"/>
                <w:lang w:val="fr-FR"/>
              </w:rPr>
              <w:t xml:space="preserve">– </w:t>
            </w:r>
            <w:r w:rsidRPr="0071003D">
              <w:rPr>
                <w:rFonts w:eastAsia="Calibri"/>
                <w:sz w:val="20"/>
                <w:szCs w:val="20"/>
                <w:lang w:val="fr-CA"/>
              </w:rPr>
              <w:t xml:space="preserve">Est-ce que les plans de financement offerts par des détaillants de meubles et d’électroménagers sont des contrats de prêt? – Est-ce que les frais de crédit perçus par des détaillants de meubles et d’électroménagers sur les plans de financement offerts peuvent être soumis aux exigences de la </w:t>
            </w:r>
            <w:hyperlink r:id="rId36" w:history="1">
              <w:r w:rsidRPr="0071003D">
                <w:rPr>
                  <w:rFonts w:eastAsia="Calibri"/>
                  <w:i/>
                  <w:iCs/>
                  <w:sz w:val="20"/>
                  <w:szCs w:val="20"/>
                  <w:lang w:val="fr-CA"/>
                </w:rPr>
                <w:t>Loi sur la protection du consommateur</w:t>
              </w:r>
              <w:r w:rsidRPr="0071003D">
                <w:rPr>
                  <w:rFonts w:eastAsia="Calibri"/>
                  <w:sz w:val="20"/>
                  <w:szCs w:val="20"/>
                  <w:lang w:val="fr-CA"/>
                </w:rPr>
                <w:t xml:space="preserve"> (RLRQ, c. P-40.1</w:t>
              </w:r>
            </w:hyperlink>
            <w:r w:rsidRPr="0071003D">
              <w:rPr>
                <w:rFonts w:eastAsia="Calibri"/>
                <w:sz w:val="20"/>
                <w:szCs w:val="20"/>
                <w:lang w:val="fr-CA"/>
              </w:rPr>
              <w:t xml:space="preserve">)? – Est-ce que les frais de crédit perçus par des détaillants de meubles et d’électroménagers sur les plans de financement offerts peuvent être qualifiés d’« intérêts » au sens de la </w:t>
            </w:r>
            <w:r w:rsidRPr="0071003D">
              <w:rPr>
                <w:rFonts w:eastAsia="Calibri"/>
                <w:i/>
                <w:iCs/>
                <w:sz w:val="20"/>
                <w:szCs w:val="20"/>
                <w:lang w:val="fr-CA"/>
              </w:rPr>
              <w:t xml:space="preserve">Loi sur l’intérêt </w:t>
            </w:r>
            <w:r w:rsidRPr="0071003D">
              <w:rPr>
                <w:rFonts w:eastAsia="Calibri"/>
                <w:sz w:val="20"/>
                <w:szCs w:val="20"/>
                <w:lang w:val="fr-CA"/>
              </w:rPr>
              <w:t xml:space="preserve">(L.R.C. (1985), c. I-15) et du </w:t>
            </w:r>
            <w:r w:rsidRPr="0071003D">
              <w:rPr>
                <w:rFonts w:eastAsia="Calibri"/>
                <w:i/>
                <w:iCs/>
                <w:sz w:val="20"/>
                <w:szCs w:val="20"/>
                <w:lang w:val="fr-CA"/>
              </w:rPr>
              <w:t>Code civil du Québec</w:t>
            </w:r>
            <w:r w:rsidRPr="0071003D">
              <w:rPr>
                <w:rFonts w:eastAsia="Calibri"/>
                <w:sz w:val="20"/>
                <w:szCs w:val="20"/>
                <w:lang w:val="fr-CA"/>
              </w:rPr>
              <w:t>?</w:t>
            </w:r>
          </w:p>
        </w:tc>
      </w:tr>
      <w:tr w:rsidR="003521F0" w:rsidRPr="00C3091A" w:rsidTr="001A5310">
        <w:tc>
          <w:tcPr>
            <w:tcW w:w="5000" w:type="pct"/>
            <w:gridSpan w:val="3"/>
          </w:tcPr>
          <w:p w:rsidR="003521F0" w:rsidRPr="0071003D" w:rsidRDefault="003521F0" w:rsidP="001A5310">
            <w:pPr>
              <w:jc w:val="both"/>
              <w:rPr>
                <w:rFonts w:eastAsia="Calibri"/>
                <w:sz w:val="20"/>
                <w:szCs w:val="20"/>
                <w:lang w:val="fr-CA"/>
              </w:rPr>
            </w:pPr>
          </w:p>
        </w:tc>
      </w:tr>
      <w:tr w:rsidR="003521F0" w:rsidRPr="00C3091A" w:rsidTr="001A5310">
        <w:tc>
          <w:tcPr>
            <w:tcW w:w="5000" w:type="pct"/>
            <w:gridSpan w:val="3"/>
          </w:tcPr>
          <w:p w:rsidR="003521F0" w:rsidRPr="0071003D" w:rsidRDefault="003521F0" w:rsidP="001A5310">
            <w:pPr>
              <w:jc w:val="both"/>
              <w:rPr>
                <w:rFonts w:eastAsia="Calibri"/>
                <w:sz w:val="20"/>
                <w:szCs w:val="20"/>
                <w:lang w:val="fr-CA"/>
              </w:rPr>
            </w:pPr>
            <w:r w:rsidRPr="0071003D">
              <w:rPr>
                <w:rFonts w:eastAsia="Calibri"/>
                <w:sz w:val="20"/>
                <w:szCs w:val="20"/>
                <w:lang w:val="fr-CA"/>
              </w:rPr>
              <w:t xml:space="preserve">Cette affaire porte sur deux pourvois.  Dans le cas du premier, l’appelant a acheté de l’intimée, en l’occurrence  Brault &amp; Martineau Inc., une cuisinière, une hotte, un réfrigérateur, une moulure, une trousse de nettoyage et un plan de protection additionnelle pour un prix de 3 785,95 $.  L’achat survient à un moment où l’intimée offre à ses clients qui paient leur achat comptant un rabais équivalant aux taxes ou la possibilité de payer leur achat en 50 versements mensuels égaux, sans frais ni intérêt.  Plutôt que payer comptant et profiter d’un rabais équivalant aux taxes, l’appelant opte pour le plan de financement avec Visa Desjardins (« Desjardins ») et paie sur-le-champ le montant correspondant aux taxes, soit 528,14 $.  Soutenant que les rabais équivalant aux taxes offerts aux clients qui paient leur achat comptant constituent des frais de crédit non divulgués qui ont dû être déboursés à l’achat en contravention de la </w:t>
            </w:r>
            <w:hyperlink r:id="rId37" w:history="1">
              <w:r w:rsidRPr="0071003D">
                <w:rPr>
                  <w:rFonts w:eastAsia="Calibri"/>
                  <w:i/>
                  <w:iCs/>
                  <w:sz w:val="20"/>
                  <w:szCs w:val="20"/>
                  <w:lang w:val="fr-CA"/>
                </w:rPr>
                <w:t>Loi sur la protection du consommateur</w:t>
              </w:r>
            </w:hyperlink>
            <w:r w:rsidRPr="0071003D">
              <w:rPr>
                <w:rFonts w:eastAsia="Calibri"/>
                <w:sz w:val="20"/>
                <w:szCs w:val="20"/>
                <w:lang w:val="fr-CA"/>
              </w:rPr>
              <w:t xml:space="preserve">, du </w:t>
            </w:r>
            <w:hyperlink r:id="rId38" w:history="1">
              <w:r w:rsidRPr="0071003D">
                <w:rPr>
                  <w:rFonts w:eastAsia="Calibri"/>
                  <w:i/>
                  <w:iCs/>
                  <w:sz w:val="20"/>
                  <w:szCs w:val="20"/>
                  <w:lang w:val="fr-CA"/>
                </w:rPr>
                <w:t>Code civil du Québec</w:t>
              </w:r>
            </w:hyperlink>
            <w:r w:rsidRPr="0071003D">
              <w:rPr>
                <w:rFonts w:eastAsia="Calibri"/>
                <w:sz w:val="20"/>
                <w:szCs w:val="20"/>
                <w:lang w:val="fr-CA"/>
              </w:rPr>
              <w:t xml:space="preserve"> et de la </w:t>
            </w:r>
            <w:hyperlink r:id="rId39" w:history="1">
              <w:r w:rsidRPr="0071003D">
                <w:rPr>
                  <w:rFonts w:eastAsia="Calibri"/>
                  <w:i/>
                  <w:iCs/>
                  <w:sz w:val="20"/>
                  <w:szCs w:val="20"/>
                  <w:lang w:val="fr-CA"/>
                </w:rPr>
                <w:t>Loi sur l’intérêt</w:t>
              </w:r>
            </w:hyperlink>
            <w:r w:rsidRPr="0071003D">
              <w:rPr>
                <w:rFonts w:eastAsia="Calibri"/>
                <w:sz w:val="20"/>
                <w:szCs w:val="20"/>
                <w:lang w:val="fr-CA"/>
              </w:rPr>
              <w:t>, l’appelant dépose une demande d’autorisation d’exercer un recours collectif contre l’intimée.</w:t>
            </w:r>
          </w:p>
          <w:p w:rsidR="003521F0" w:rsidRPr="0071003D" w:rsidRDefault="003521F0" w:rsidP="001A5310">
            <w:pPr>
              <w:jc w:val="both"/>
              <w:rPr>
                <w:rFonts w:eastAsia="Calibri"/>
                <w:sz w:val="20"/>
                <w:szCs w:val="20"/>
                <w:lang w:val="fr-CA"/>
              </w:rPr>
            </w:pPr>
          </w:p>
          <w:p w:rsidR="003521F0" w:rsidRPr="0071003D" w:rsidRDefault="003521F0" w:rsidP="001A5310">
            <w:pPr>
              <w:shd w:val="clear" w:color="auto" w:fill="FFFFFF"/>
              <w:jc w:val="both"/>
              <w:rPr>
                <w:sz w:val="20"/>
                <w:szCs w:val="20"/>
                <w:lang w:val="fr-CA" w:eastAsia="fr-CA"/>
              </w:rPr>
            </w:pPr>
            <w:r w:rsidRPr="0071003D">
              <w:rPr>
                <w:sz w:val="20"/>
                <w:szCs w:val="20"/>
                <w:lang w:val="fr-CA" w:eastAsia="fr-CA"/>
              </w:rPr>
              <w:t xml:space="preserve">Dans le cas du second pourvoi, l’appelante achète de l’intimée, en l’occurrence Ameublements Tanguay Inc., un ordinateur portable et une garantie prolongée d’une période de deux années pour le prix de 924,90 $, auquel s’ajouteraient les taxes.  L’achat survient également à un moment où l’intimée offre à ses clients la promotion « nous payons les deux taxes ou profitez de nos facilités de paiement en 50 versements ».  Déjà titulaire d’une carte Visa Desjardins, l’appelante opte pour le financement de son achat au moyen du crédit </w:t>
            </w:r>
            <w:r w:rsidRPr="0071003D">
              <w:rPr>
                <w:i/>
                <w:iCs/>
                <w:sz w:val="20"/>
                <w:szCs w:val="20"/>
                <w:lang w:val="fr-CA" w:eastAsia="fr-CA"/>
              </w:rPr>
              <w:t>Accord D</w:t>
            </w:r>
            <w:r w:rsidRPr="0071003D">
              <w:rPr>
                <w:sz w:val="20"/>
                <w:szCs w:val="20"/>
                <w:lang w:val="fr-CA" w:eastAsia="fr-CA"/>
              </w:rPr>
              <w:t xml:space="preserve"> Desjardins.  Elle a compris qu’en raison de ce choix elle ne pouvait bénéficier du rabais équivalant à la valeur de la TPS et de la TVQ, mais n’ayant pas lu la mention relative aux modalités d’application de la promotion, elle s’attendait à ce que la somme correspondant aux taxes soit également répartie dans les 50 versements mensuels consécutifs, mais on exige d’elle le paiement immédiat des taxes qui s’élèvent à 119,08 $, qu’elle effectue au moyen de sa carte de crédit Visa Desjardins.  Le prix de l’ordinateur portable, soit 924,90 $, est aussi porté au compte de sa carte de crédit et devient, en raison du plan de financement </w:t>
            </w:r>
            <w:r w:rsidRPr="0071003D">
              <w:rPr>
                <w:i/>
                <w:iCs/>
                <w:sz w:val="20"/>
                <w:szCs w:val="20"/>
                <w:lang w:val="fr-CA" w:eastAsia="fr-CA"/>
              </w:rPr>
              <w:t>Accord D</w:t>
            </w:r>
            <w:r w:rsidRPr="0071003D">
              <w:rPr>
                <w:sz w:val="20"/>
                <w:szCs w:val="20"/>
                <w:lang w:val="fr-CA" w:eastAsia="fr-CA"/>
              </w:rPr>
              <w:t>, payable en 50 versements mensuels égaux au taux annuel de 0 %.  Estimant que le rabais équivalant aux taxes lors d’un paiement comptant constitue des frais de crédit non-divulgués et ne pouvaient être exigés immédiatement, l’appelante dépose une demande pour être autorisée à exercer un recours collectif contre l’intimée.</w:t>
            </w:r>
          </w:p>
          <w:p w:rsidR="003521F0" w:rsidRPr="0071003D" w:rsidRDefault="003521F0" w:rsidP="001A5310">
            <w:pPr>
              <w:shd w:val="clear" w:color="auto" w:fill="FFFFFF"/>
              <w:jc w:val="both"/>
              <w:rPr>
                <w:sz w:val="20"/>
                <w:szCs w:val="20"/>
                <w:lang w:val="fr-CA" w:eastAsia="fr-CA"/>
              </w:rPr>
            </w:pPr>
          </w:p>
          <w:p w:rsidR="003521F0" w:rsidRPr="0071003D" w:rsidRDefault="003521F0" w:rsidP="001A5310">
            <w:pPr>
              <w:jc w:val="both"/>
              <w:rPr>
                <w:rFonts w:eastAsia="Calibri"/>
                <w:sz w:val="20"/>
                <w:szCs w:val="20"/>
                <w:lang w:val="fr-CA"/>
              </w:rPr>
            </w:pPr>
            <w:r w:rsidRPr="0071003D">
              <w:rPr>
                <w:rFonts w:eastAsia="Calibri"/>
                <w:sz w:val="20"/>
                <w:szCs w:val="20"/>
                <w:lang w:val="fr-CA"/>
              </w:rPr>
              <w:t>Dans les deux cas, la réclamation vise le remboursement de frais de crédit allégués ou, subsidiairement, leur réduction, de même que des dommages-intérêts punitifs.</w:t>
            </w:r>
          </w:p>
          <w:p w:rsidR="003521F0" w:rsidRPr="0071003D" w:rsidRDefault="003521F0" w:rsidP="001A5310">
            <w:pPr>
              <w:jc w:val="both"/>
              <w:rPr>
                <w:rFonts w:eastAsia="Calibri"/>
                <w:sz w:val="20"/>
                <w:szCs w:val="20"/>
                <w:lang w:val="fr-CA"/>
              </w:rPr>
            </w:pPr>
          </w:p>
        </w:tc>
      </w:tr>
      <w:tr w:rsidR="003521F0" w:rsidRPr="00C3091A" w:rsidTr="001A5310">
        <w:tc>
          <w:tcPr>
            <w:tcW w:w="2427"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Le 23 septembre 2011</w:t>
            </w:r>
          </w:p>
          <w:p w:rsidR="003521F0" w:rsidRPr="0071003D" w:rsidRDefault="003521F0" w:rsidP="001A5310">
            <w:pPr>
              <w:jc w:val="both"/>
              <w:rPr>
                <w:rFonts w:eastAsia="Calibri"/>
                <w:sz w:val="20"/>
                <w:szCs w:val="20"/>
                <w:lang w:val="fr-CA"/>
              </w:rPr>
            </w:pPr>
            <w:r w:rsidRPr="0071003D">
              <w:rPr>
                <w:rFonts w:eastAsia="Calibri"/>
                <w:sz w:val="20"/>
                <w:szCs w:val="20"/>
                <w:lang w:val="fr-CA"/>
              </w:rPr>
              <w:t>Cour supérieure du Québec</w:t>
            </w:r>
          </w:p>
          <w:p w:rsidR="003521F0" w:rsidRPr="0071003D" w:rsidRDefault="003521F0" w:rsidP="001A5310">
            <w:pPr>
              <w:jc w:val="both"/>
              <w:rPr>
                <w:rFonts w:eastAsia="Calibri"/>
                <w:sz w:val="20"/>
                <w:szCs w:val="20"/>
                <w:lang w:val="fr-CA"/>
              </w:rPr>
            </w:pPr>
            <w:r w:rsidRPr="0071003D">
              <w:rPr>
                <w:rFonts w:eastAsia="Calibri"/>
                <w:sz w:val="20"/>
                <w:szCs w:val="20"/>
                <w:lang w:val="fr-CA"/>
              </w:rPr>
              <w:t>(Le juge Cullen)</w:t>
            </w:r>
          </w:p>
          <w:p w:rsidR="003521F0" w:rsidRPr="0071003D" w:rsidRDefault="003521F0" w:rsidP="001A5310">
            <w:pPr>
              <w:jc w:val="both"/>
              <w:rPr>
                <w:rFonts w:eastAsia="Calibri"/>
                <w:sz w:val="20"/>
                <w:szCs w:val="20"/>
                <w:lang w:val="fr-CA"/>
              </w:rPr>
            </w:pPr>
            <w:r w:rsidRPr="0071003D">
              <w:rPr>
                <w:rFonts w:eastAsia="Calibri"/>
                <w:sz w:val="20"/>
                <w:szCs w:val="20"/>
                <w:lang w:val="fr-CA"/>
              </w:rPr>
              <w:t>No. 500-06-000546-107</w:t>
            </w:r>
          </w:p>
          <w:p w:rsidR="003521F0" w:rsidRPr="0071003D" w:rsidRDefault="00A62C48" w:rsidP="001A5310">
            <w:pPr>
              <w:jc w:val="both"/>
              <w:rPr>
                <w:rFonts w:eastAsia="Calibri"/>
                <w:sz w:val="20"/>
                <w:szCs w:val="20"/>
                <w:lang w:val="fr-CA"/>
              </w:rPr>
            </w:pPr>
            <w:hyperlink r:id="rId40" w:history="1">
              <w:r w:rsidR="003521F0" w:rsidRPr="0071003D">
                <w:rPr>
                  <w:rFonts w:eastAsia="Calibri"/>
                  <w:color w:val="0000FF"/>
                  <w:sz w:val="20"/>
                  <w:szCs w:val="20"/>
                  <w:u w:val="single"/>
                  <w:lang w:val="fr-CA"/>
                </w:rPr>
                <w:t>2011 QCCS 5343</w:t>
              </w:r>
            </w:hyperlink>
          </w:p>
          <w:p w:rsidR="003521F0" w:rsidRPr="0071003D" w:rsidRDefault="003521F0" w:rsidP="001A5310">
            <w:pPr>
              <w:jc w:val="both"/>
              <w:rPr>
                <w:rFonts w:eastAsia="Calibri"/>
                <w:sz w:val="20"/>
                <w:szCs w:val="20"/>
                <w:lang w:val="fr-CA"/>
              </w:rPr>
            </w:pPr>
          </w:p>
        </w:tc>
        <w:tc>
          <w:tcPr>
            <w:tcW w:w="243" w:type="pct"/>
          </w:tcPr>
          <w:p w:rsidR="003521F0" w:rsidRPr="0071003D" w:rsidRDefault="003521F0" w:rsidP="001A5310">
            <w:pPr>
              <w:jc w:val="both"/>
              <w:rPr>
                <w:rFonts w:eastAsia="Calibri"/>
                <w:sz w:val="20"/>
                <w:szCs w:val="20"/>
                <w:lang w:val="fr-CA"/>
              </w:rPr>
            </w:pPr>
          </w:p>
        </w:tc>
        <w:tc>
          <w:tcPr>
            <w:tcW w:w="2330"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Requête pour autorisation d’exercer un recours collectif rejetée.</w:t>
            </w:r>
          </w:p>
          <w:p w:rsidR="003521F0" w:rsidRPr="0071003D" w:rsidRDefault="003521F0" w:rsidP="001A5310">
            <w:pPr>
              <w:jc w:val="both"/>
              <w:rPr>
                <w:rFonts w:eastAsia="Calibri"/>
                <w:sz w:val="20"/>
                <w:szCs w:val="20"/>
                <w:lang w:val="fr-CA"/>
              </w:rPr>
            </w:pPr>
          </w:p>
        </w:tc>
      </w:tr>
      <w:tr w:rsidR="003521F0" w:rsidRPr="00C3091A" w:rsidTr="001A5310">
        <w:tc>
          <w:tcPr>
            <w:tcW w:w="2427"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lastRenderedPageBreak/>
              <w:t>Le 10 septembre 2012</w:t>
            </w:r>
          </w:p>
          <w:p w:rsidR="003521F0" w:rsidRPr="0071003D" w:rsidRDefault="003521F0" w:rsidP="001A5310">
            <w:pPr>
              <w:jc w:val="both"/>
              <w:rPr>
                <w:rFonts w:eastAsia="Calibri"/>
                <w:sz w:val="20"/>
                <w:szCs w:val="20"/>
                <w:lang w:val="fr-CA"/>
              </w:rPr>
            </w:pPr>
            <w:r w:rsidRPr="0071003D">
              <w:rPr>
                <w:rFonts w:eastAsia="Calibri"/>
                <w:sz w:val="20"/>
                <w:szCs w:val="20"/>
                <w:lang w:val="fr-CA"/>
              </w:rPr>
              <w:t>Cour supérieure du Québec</w:t>
            </w:r>
          </w:p>
          <w:p w:rsidR="003521F0" w:rsidRPr="0071003D" w:rsidRDefault="003521F0" w:rsidP="001A5310">
            <w:pPr>
              <w:jc w:val="both"/>
              <w:rPr>
                <w:rFonts w:eastAsia="Calibri"/>
                <w:sz w:val="20"/>
                <w:szCs w:val="20"/>
                <w:lang w:val="fr-CA"/>
              </w:rPr>
            </w:pPr>
            <w:r w:rsidRPr="0071003D">
              <w:rPr>
                <w:rFonts w:eastAsia="Calibri"/>
                <w:sz w:val="20"/>
                <w:szCs w:val="20"/>
                <w:lang w:val="fr-CA"/>
              </w:rPr>
              <w:t>(Le juge Bouchard)</w:t>
            </w:r>
          </w:p>
          <w:p w:rsidR="003521F0" w:rsidRPr="0071003D" w:rsidRDefault="003521F0" w:rsidP="001A5310">
            <w:pPr>
              <w:jc w:val="both"/>
              <w:rPr>
                <w:rFonts w:eastAsia="Calibri"/>
                <w:sz w:val="20"/>
                <w:szCs w:val="20"/>
                <w:lang w:val="fr-CA"/>
              </w:rPr>
            </w:pPr>
            <w:r w:rsidRPr="0071003D">
              <w:rPr>
                <w:rFonts w:eastAsia="Calibri"/>
                <w:sz w:val="20"/>
                <w:szCs w:val="20"/>
                <w:lang w:val="fr-CA"/>
              </w:rPr>
              <w:t>No. 200-06-000136-112</w:t>
            </w:r>
          </w:p>
          <w:p w:rsidR="003521F0" w:rsidRPr="0071003D" w:rsidRDefault="00A62C48" w:rsidP="001A5310">
            <w:pPr>
              <w:jc w:val="both"/>
              <w:rPr>
                <w:rFonts w:eastAsia="Calibri"/>
                <w:sz w:val="20"/>
                <w:szCs w:val="20"/>
                <w:lang w:val="fr-CA"/>
              </w:rPr>
            </w:pPr>
            <w:hyperlink r:id="rId41" w:history="1">
              <w:r w:rsidR="003521F0" w:rsidRPr="0071003D">
                <w:rPr>
                  <w:rFonts w:eastAsia="Calibri"/>
                  <w:color w:val="0000FF"/>
                  <w:sz w:val="20"/>
                  <w:szCs w:val="20"/>
                  <w:u w:val="single"/>
                  <w:lang w:val="fr-CA"/>
                </w:rPr>
                <w:t>2012 QCCS 6251</w:t>
              </w:r>
            </w:hyperlink>
          </w:p>
          <w:p w:rsidR="003521F0" w:rsidRPr="0071003D" w:rsidRDefault="003521F0" w:rsidP="001A5310">
            <w:pPr>
              <w:jc w:val="both"/>
              <w:rPr>
                <w:rFonts w:eastAsia="Calibri"/>
                <w:sz w:val="20"/>
                <w:szCs w:val="20"/>
                <w:lang w:val="fr-CA"/>
              </w:rPr>
            </w:pPr>
          </w:p>
        </w:tc>
        <w:tc>
          <w:tcPr>
            <w:tcW w:w="243" w:type="pct"/>
          </w:tcPr>
          <w:p w:rsidR="003521F0" w:rsidRPr="0071003D" w:rsidRDefault="003521F0" w:rsidP="001A5310">
            <w:pPr>
              <w:jc w:val="both"/>
              <w:rPr>
                <w:rFonts w:eastAsia="Calibri"/>
                <w:sz w:val="20"/>
                <w:szCs w:val="20"/>
                <w:lang w:val="fr-CA"/>
              </w:rPr>
            </w:pPr>
          </w:p>
        </w:tc>
        <w:tc>
          <w:tcPr>
            <w:tcW w:w="2330"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Requête pour autorisation d’exercer un recours collectif rejetée.</w:t>
            </w:r>
          </w:p>
        </w:tc>
      </w:tr>
      <w:tr w:rsidR="003521F0" w:rsidRPr="0071003D" w:rsidTr="001A5310">
        <w:tc>
          <w:tcPr>
            <w:tcW w:w="2427"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Le 26 août 2014</w:t>
            </w:r>
          </w:p>
          <w:p w:rsidR="003521F0" w:rsidRPr="0071003D" w:rsidRDefault="003521F0" w:rsidP="001A5310">
            <w:pPr>
              <w:jc w:val="both"/>
              <w:rPr>
                <w:rFonts w:eastAsia="Calibri"/>
                <w:sz w:val="20"/>
                <w:szCs w:val="20"/>
                <w:lang w:val="fr-CA"/>
              </w:rPr>
            </w:pPr>
            <w:r w:rsidRPr="0071003D">
              <w:rPr>
                <w:rFonts w:eastAsia="Calibri"/>
                <w:sz w:val="20"/>
                <w:szCs w:val="20"/>
                <w:lang w:val="fr-CA"/>
              </w:rPr>
              <w:t>Cour d’appel du Québec (Montréal)</w:t>
            </w:r>
          </w:p>
          <w:p w:rsidR="003521F0" w:rsidRPr="0071003D" w:rsidRDefault="003521F0" w:rsidP="001A5310">
            <w:pPr>
              <w:jc w:val="both"/>
              <w:rPr>
                <w:rFonts w:eastAsia="Calibri"/>
                <w:sz w:val="20"/>
                <w:szCs w:val="20"/>
                <w:lang w:val="fr-CA"/>
              </w:rPr>
            </w:pPr>
            <w:r w:rsidRPr="0071003D">
              <w:rPr>
                <w:rFonts w:eastAsia="Calibri"/>
                <w:sz w:val="20"/>
                <w:szCs w:val="20"/>
                <w:lang w:val="fr-CA"/>
              </w:rPr>
              <w:t>(Les juges Morissette, Savard et Gagnon)</w:t>
            </w:r>
          </w:p>
          <w:p w:rsidR="003521F0" w:rsidRPr="0071003D" w:rsidRDefault="003521F0" w:rsidP="001A5310">
            <w:pPr>
              <w:jc w:val="both"/>
              <w:rPr>
                <w:rFonts w:eastAsia="Calibri"/>
                <w:sz w:val="20"/>
                <w:szCs w:val="20"/>
                <w:lang w:val="fr-CA"/>
              </w:rPr>
            </w:pPr>
            <w:r w:rsidRPr="0071003D">
              <w:rPr>
                <w:rFonts w:eastAsia="Calibri"/>
                <w:sz w:val="20"/>
                <w:szCs w:val="20"/>
                <w:lang w:val="fr-CA"/>
              </w:rPr>
              <w:t>Nos. 500-09-022116-115 et 200-09-007853-127</w:t>
            </w:r>
          </w:p>
          <w:p w:rsidR="003521F0" w:rsidRPr="0071003D" w:rsidRDefault="00BF341F" w:rsidP="001A5310">
            <w:pPr>
              <w:jc w:val="both"/>
              <w:rPr>
                <w:rFonts w:eastAsia="Calibri"/>
                <w:sz w:val="20"/>
                <w:szCs w:val="20"/>
                <w:lang w:val="fr-CA"/>
              </w:rPr>
            </w:pPr>
            <w:hyperlink r:id="rId42" w:history="1">
              <w:r w:rsidR="003521F0" w:rsidRPr="0071003D">
                <w:rPr>
                  <w:rFonts w:eastAsia="Calibri"/>
                  <w:color w:val="0000FF"/>
                  <w:sz w:val="20"/>
                  <w:szCs w:val="20"/>
                  <w:u w:val="single"/>
                  <w:lang w:val="fr-CA"/>
                </w:rPr>
                <w:t>2014 QCCA 1577</w:t>
              </w:r>
            </w:hyperlink>
          </w:p>
          <w:p w:rsidR="003521F0" w:rsidRPr="0071003D" w:rsidRDefault="003521F0" w:rsidP="001A5310">
            <w:pPr>
              <w:jc w:val="both"/>
              <w:rPr>
                <w:rFonts w:eastAsia="Calibri"/>
                <w:sz w:val="20"/>
                <w:szCs w:val="20"/>
                <w:lang w:val="fr-CA"/>
              </w:rPr>
            </w:pPr>
          </w:p>
        </w:tc>
        <w:tc>
          <w:tcPr>
            <w:tcW w:w="243" w:type="pct"/>
          </w:tcPr>
          <w:p w:rsidR="003521F0" w:rsidRPr="0071003D" w:rsidRDefault="003521F0" w:rsidP="001A5310">
            <w:pPr>
              <w:jc w:val="both"/>
              <w:rPr>
                <w:rFonts w:eastAsia="Calibri"/>
                <w:sz w:val="20"/>
                <w:szCs w:val="20"/>
                <w:lang w:val="fr-CA"/>
              </w:rPr>
            </w:pPr>
          </w:p>
        </w:tc>
        <w:tc>
          <w:tcPr>
            <w:tcW w:w="2330"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Appels rejetés.</w:t>
            </w:r>
          </w:p>
          <w:p w:rsidR="003521F0" w:rsidRPr="0071003D" w:rsidRDefault="003521F0" w:rsidP="001A5310">
            <w:pPr>
              <w:jc w:val="both"/>
              <w:rPr>
                <w:rFonts w:eastAsia="Calibri"/>
                <w:sz w:val="20"/>
                <w:szCs w:val="20"/>
                <w:lang w:val="fr-CA"/>
              </w:rPr>
            </w:pPr>
          </w:p>
        </w:tc>
      </w:tr>
      <w:tr w:rsidR="003521F0" w:rsidRPr="0071003D" w:rsidTr="001A5310">
        <w:tc>
          <w:tcPr>
            <w:tcW w:w="2427"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Le 27 octobre 2014</w:t>
            </w:r>
          </w:p>
          <w:p w:rsidR="003521F0" w:rsidRPr="0071003D" w:rsidRDefault="003521F0" w:rsidP="001A5310">
            <w:pPr>
              <w:jc w:val="both"/>
              <w:rPr>
                <w:rFonts w:eastAsia="Calibri"/>
                <w:sz w:val="20"/>
                <w:szCs w:val="20"/>
                <w:lang w:val="fr-CA"/>
              </w:rPr>
            </w:pPr>
            <w:r w:rsidRPr="0071003D">
              <w:rPr>
                <w:rFonts w:eastAsia="Calibri"/>
                <w:sz w:val="20"/>
                <w:szCs w:val="20"/>
                <w:lang w:val="fr-CA"/>
              </w:rPr>
              <w:t>Cour suprême du Canada</w:t>
            </w:r>
          </w:p>
        </w:tc>
        <w:tc>
          <w:tcPr>
            <w:tcW w:w="243" w:type="pct"/>
          </w:tcPr>
          <w:p w:rsidR="003521F0" w:rsidRPr="0071003D" w:rsidRDefault="003521F0" w:rsidP="001A5310">
            <w:pPr>
              <w:jc w:val="both"/>
              <w:rPr>
                <w:rFonts w:eastAsia="Calibri"/>
                <w:sz w:val="20"/>
                <w:szCs w:val="20"/>
                <w:lang w:val="fr-CA"/>
              </w:rPr>
            </w:pPr>
          </w:p>
        </w:tc>
        <w:tc>
          <w:tcPr>
            <w:tcW w:w="2330"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Demande d'autorisation d'appel déposée.</w:t>
            </w:r>
          </w:p>
          <w:p w:rsidR="003521F0" w:rsidRPr="0071003D" w:rsidRDefault="003521F0" w:rsidP="001A5310">
            <w:pPr>
              <w:jc w:val="both"/>
              <w:rPr>
                <w:rFonts w:eastAsia="Calibri"/>
                <w:sz w:val="20"/>
                <w:szCs w:val="20"/>
                <w:lang w:val="fr-CA"/>
              </w:rPr>
            </w:pPr>
          </w:p>
        </w:tc>
      </w:tr>
    </w:tbl>
    <w:p w:rsidR="008E7C88" w:rsidRDefault="008E7C88" w:rsidP="008E7C88">
      <w:pPr>
        <w:rPr>
          <w:sz w:val="20"/>
          <w:szCs w:val="20"/>
        </w:rPr>
      </w:pPr>
    </w:p>
    <w:p w:rsidR="008E7C88" w:rsidRDefault="00BF341F" w:rsidP="008E7C88">
      <w:pPr>
        <w:rPr>
          <w:sz w:val="20"/>
          <w:szCs w:val="20"/>
          <w:lang w:val="fr-CA"/>
        </w:rPr>
      </w:pPr>
      <w:r>
        <w:rPr>
          <w:sz w:val="20"/>
          <w:szCs w:val="20"/>
          <w:lang w:val="fr-CA"/>
        </w:rPr>
        <w:pict>
          <v:rect id="_x0000_i1039" style="width:2in;height:1pt" o:hrpct="0" o:hralign="center" o:hrstd="t" o:hrnoshade="t" o:hr="t" fillcolor="black [3213]" stroked="f"/>
        </w:pict>
      </w:r>
    </w:p>
    <w:p w:rsidR="008E7C88" w:rsidRDefault="008E7C88" w:rsidP="008E7C8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248E0" w:rsidRPr="00C719F1" w:rsidTr="001A5310">
        <w:trPr>
          <w:cantSplit/>
        </w:trPr>
        <w:tc>
          <w:tcPr>
            <w:tcW w:w="1458" w:type="dxa"/>
          </w:tcPr>
          <w:p w:rsidR="002248E0" w:rsidRPr="00C719F1" w:rsidRDefault="002248E0" w:rsidP="001A5310">
            <w:pPr>
              <w:rPr>
                <w:sz w:val="20"/>
                <w:szCs w:val="20"/>
              </w:rPr>
            </w:pPr>
            <w:r w:rsidRPr="00C719F1">
              <w:rPr>
                <w:rStyle w:val="SCCFileNumberChar"/>
                <w:sz w:val="20"/>
                <w:szCs w:val="20"/>
              </w:rPr>
              <w:t>36168</w:t>
            </w:r>
          </w:p>
          <w:p w:rsidR="002248E0" w:rsidRPr="00C719F1" w:rsidRDefault="002248E0" w:rsidP="001A5310">
            <w:pPr>
              <w:rPr>
                <w:b/>
                <w:sz w:val="20"/>
                <w:szCs w:val="20"/>
                <w:lang w:val="fr-CA"/>
              </w:rPr>
            </w:pPr>
          </w:p>
        </w:tc>
        <w:tc>
          <w:tcPr>
            <w:tcW w:w="8118" w:type="dxa"/>
          </w:tcPr>
          <w:p w:rsidR="002248E0" w:rsidRPr="00C719F1" w:rsidRDefault="002248E0" w:rsidP="001A5310">
            <w:pPr>
              <w:jc w:val="both"/>
              <w:rPr>
                <w:sz w:val="20"/>
                <w:szCs w:val="20"/>
              </w:rPr>
            </w:pPr>
            <w:r w:rsidRPr="00C719F1">
              <w:rPr>
                <w:rStyle w:val="SCCLsocChar"/>
                <w:sz w:val="20"/>
                <w:szCs w:val="20"/>
                <w:lang w:val="en-CA"/>
              </w:rPr>
              <w:t>Workers</w:t>
            </w:r>
            <w:r w:rsidRPr="002248E0">
              <w:rPr>
                <w:rStyle w:val="SCCLsocChar"/>
                <w:szCs w:val="20"/>
                <w:lang w:val="en-CA"/>
              </w:rPr>
              <w:t>’</w:t>
            </w:r>
            <w:r w:rsidRPr="00C719F1">
              <w:rPr>
                <w:rStyle w:val="SCCLsocChar"/>
                <w:sz w:val="20"/>
                <w:szCs w:val="20"/>
                <w:lang w:val="en-CA"/>
              </w:rPr>
              <w:t xml:space="preserve"> Compensation Board of British Columbia v. British Columbia Hydro and Power Authority</w:t>
            </w:r>
            <w:r w:rsidRPr="00C719F1">
              <w:rPr>
                <w:sz w:val="20"/>
                <w:szCs w:val="20"/>
              </w:rPr>
              <w:t xml:space="preserve"> (B.C.) (Civil) (By Leave)</w:t>
            </w:r>
          </w:p>
          <w:p w:rsidR="002248E0" w:rsidRPr="00C719F1" w:rsidRDefault="002248E0" w:rsidP="001A5310">
            <w:pPr>
              <w:jc w:val="both"/>
              <w:rPr>
                <w:sz w:val="20"/>
                <w:szCs w:val="20"/>
              </w:rPr>
            </w:pPr>
          </w:p>
        </w:tc>
      </w:tr>
      <w:tr w:rsidR="002248E0" w:rsidRPr="00C3091A" w:rsidTr="001A5310">
        <w:trPr>
          <w:cantSplit/>
        </w:trPr>
        <w:tc>
          <w:tcPr>
            <w:tcW w:w="1458" w:type="dxa"/>
          </w:tcPr>
          <w:p w:rsidR="002248E0" w:rsidRPr="00C719F1" w:rsidRDefault="002248E0" w:rsidP="001A5310">
            <w:pPr>
              <w:rPr>
                <w:sz w:val="20"/>
                <w:szCs w:val="20"/>
              </w:rPr>
            </w:pPr>
            <w:r w:rsidRPr="00C719F1">
              <w:rPr>
                <w:sz w:val="20"/>
                <w:szCs w:val="20"/>
              </w:rPr>
              <w:t>Coram :</w:t>
            </w:r>
          </w:p>
        </w:tc>
        <w:tc>
          <w:tcPr>
            <w:tcW w:w="8118" w:type="dxa"/>
          </w:tcPr>
          <w:p w:rsidR="002248E0" w:rsidRPr="00C719F1" w:rsidRDefault="002248E0" w:rsidP="001A5310">
            <w:pPr>
              <w:rPr>
                <w:sz w:val="20"/>
                <w:szCs w:val="20"/>
                <w:lang w:val="fr-CA"/>
              </w:rPr>
            </w:pPr>
            <w:r w:rsidRPr="00C719F1">
              <w:rPr>
                <w:rStyle w:val="SCCCoramChar"/>
                <w:sz w:val="20"/>
                <w:szCs w:val="20"/>
              </w:rPr>
              <w:t>Abella, Karakatsanis and Côté JJ.</w:t>
            </w:r>
          </w:p>
          <w:p w:rsidR="002248E0" w:rsidRPr="00C719F1" w:rsidRDefault="002248E0" w:rsidP="001A5310">
            <w:pPr>
              <w:rPr>
                <w:sz w:val="20"/>
                <w:szCs w:val="20"/>
                <w:u w:val="single"/>
                <w:lang w:val="fr-CA"/>
              </w:rPr>
            </w:pPr>
          </w:p>
        </w:tc>
      </w:tr>
      <w:tr w:rsidR="002248E0" w:rsidRPr="00C3091A" w:rsidTr="001A5310">
        <w:trPr>
          <w:cantSplit/>
        </w:trPr>
        <w:tc>
          <w:tcPr>
            <w:tcW w:w="9576" w:type="dxa"/>
            <w:gridSpan w:val="2"/>
          </w:tcPr>
          <w:p w:rsidR="002248E0" w:rsidRPr="00C719F1" w:rsidRDefault="002248E0" w:rsidP="001A5310">
            <w:pPr>
              <w:pStyle w:val="SCCShortJudgment"/>
              <w:rPr>
                <w:szCs w:val="20"/>
              </w:rPr>
            </w:pPr>
            <w:r w:rsidRPr="00C719F1">
              <w:rPr>
                <w:szCs w:val="20"/>
              </w:rPr>
              <w:t>The application for leave to appeal from the judgment of the Court of Appeal for British Columbia (Vancouver), Number CA041408, 2014 BCCA 353, dated September 15, 2014, is dismissed with costs.</w:t>
            </w:r>
          </w:p>
          <w:p w:rsidR="002248E0" w:rsidRPr="00C719F1" w:rsidRDefault="002248E0" w:rsidP="001A5310">
            <w:pPr>
              <w:pStyle w:val="SCCShortJudgment"/>
              <w:ind w:firstLine="0"/>
              <w:rPr>
                <w:szCs w:val="20"/>
              </w:rPr>
            </w:pPr>
          </w:p>
          <w:p w:rsidR="002248E0" w:rsidRPr="00C719F1" w:rsidRDefault="002248E0" w:rsidP="001A5310">
            <w:pPr>
              <w:pStyle w:val="SCCShortJudgment"/>
              <w:rPr>
                <w:szCs w:val="20"/>
                <w:lang w:val="fr-CA"/>
              </w:rPr>
            </w:pPr>
            <w:r w:rsidRPr="00C719F1">
              <w:rPr>
                <w:szCs w:val="20"/>
                <w:lang w:val="fr-CA"/>
              </w:rPr>
              <w:t>La demande d’autorisation d’appel de l’arrêt de la Cour d’appel de la Colombie-Britannique (Vancouver), numéro CA041408, 2014 BCCA 353, daté du 15 septembre 2014, est rejetée avec dépens.</w:t>
            </w:r>
          </w:p>
        </w:tc>
      </w:tr>
    </w:tbl>
    <w:p w:rsidR="008E7C88" w:rsidRPr="002248E0" w:rsidRDefault="008E7C88" w:rsidP="008E7C88">
      <w:pPr>
        <w:rPr>
          <w:sz w:val="20"/>
          <w:szCs w:val="20"/>
          <w:lang w:val="fr-CA"/>
        </w:rPr>
      </w:pPr>
    </w:p>
    <w:p w:rsidR="008E7C88" w:rsidRPr="001B157C" w:rsidRDefault="008E7C88" w:rsidP="008E7C88">
      <w:pPr>
        <w:rPr>
          <w:sz w:val="20"/>
          <w:szCs w:val="20"/>
          <w:u w:val="single"/>
        </w:rPr>
      </w:pPr>
      <w:r w:rsidRPr="001B157C">
        <w:rPr>
          <w:sz w:val="20"/>
          <w:szCs w:val="20"/>
          <w:u w:val="single"/>
        </w:rPr>
        <w:t>CASE SUMMARY</w:t>
      </w:r>
    </w:p>
    <w:p w:rsidR="008E7C88" w:rsidRDefault="008E7C88" w:rsidP="008E7C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521F0" w:rsidRPr="0071003D" w:rsidTr="001A5310">
        <w:tc>
          <w:tcPr>
            <w:tcW w:w="5000" w:type="pct"/>
            <w:gridSpan w:val="3"/>
          </w:tcPr>
          <w:p w:rsidR="003521F0" w:rsidRPr="0071003D" w:rsidRDefault="003521F0" w:rsidP="001A5310">
            <w:pPr>
              <w:jc w:val="both"/>
              <w:rPr>
                <w:rFonts w:eastAsia="Calibri"/>
                <w:sz w:val="20"/>
                <w:szCs w:val="20"/>
              </w:rPr>
            </w:pPr>
            <w:r w:rsidRPr="0071003D">
              <w:rPr>
                <w:rFonts w:eastAsia="Calibri"/>
                <w:sz w:val="20"/>
                <w:szCs w:val="20"/>
              </w:rPr>
              <w:t>Administrative law – Standard of review – Legislation – Interpretation – Does reasonableness require an administrative tribunal to expressly apply the principles of statutory interpretation in its reasons for decision interpreting a provision of its home statute – To what extent should legal formalism constrain administrative decision making – Does reasonableness review ever permit the court to focus on the reasons of an administrative tribunal without regard to the result – How in practice does a court assess the outcome and reasons of a tribunal’s decision as parts of an organic whole.</w:t>
            </w:r>
          </w:p>
        </w:tc>
      </w:tr>
      <w:tr w:rsidR="003521F0" w:rsidRPr="0071003D" w:rsidTr="001A5310">
        <w:tc>
          <w:tcPr>
            <w:tcW w:w="5000" w:type="pct"/>
            <w:gridSpan w:val="3"/>
          </w:tcPr>
          <w:p w:rsidR="003521F0" w:rsidRPr="0071003D" w:rsidRDefault="003521F0" w:rsidP="001A5310">
            <w:pPr>
              <w:jc w:val="both"/>
              <w:rPr>
                <w:rFonts w:eastAsia="Calibri"/>
                <w:sz w:val="20"/>
                <w:szCs w:val="20"/>
              </w:rPr>
            </w:pPr>
          </w:p>
        </w:tc>
      </w:tr>
      <w:tr w:rsidR="003521F0" w:rsidRPr="0071003D" w:rsidTr="001A5310">
        <w:tc>
          <w:tcPr>
            <w:tcW w:w="5000" w:type="pct"/>
            <w:gridSpan w:val="3"/>
          </w:tcPr>
          <w:p w:rsidR="003521F0" w:rsidRPr="0071003D" w:rsidRDefault="003521F0" w:rsidP="001A5310">
            <w:pPr>
              <w:jc w:val="both"/>
              <w:rPr>
                <w:rFonts w:eastAsia="Calibri"/>
                <w:sz w:val="20"/>
                <w:szCs w:val="20"/>
              </w:rPr>
            </w:pPr>
            <w:r w:rsidRPr="0071003D">
              <w:rPr>
                <w:rFonts w:eastAsia="Calibri"/>
                <w:sz w:val="20"/>
                <w:szCs w:val="20"/>
              </w:rPr>
              <w:t xml:space="preserve">The respondent contracted with a company to replace cut-outs on the respondent’s overhead electrical distribution system near Fernie B.C. One of the contractor’s employees was seriously injured while working on a power line.  A Hydro crew that responded to a radioed call for assistance rescued the worker and restored power but did not report the accident to the applicant.  The contractor reported the accident more than five hours after it occurred.  The applicant’s officers investigated the site the next day and issued orders citing the respondent in violation of the </w:t>
            </w:r>
            <w:r w:rsidRPr="0071003D">
              <w:rPr>
                <w:rFonts w:eastAsia="Calibri"/>
                <w:i/>
                <w:sz w:val="20"/>
                <w:szCs w:val="20"/>
              </w:rPr>
              <w:t>Workers Compensation Act</w:t>
            </w:r>
            <w:r w:rsidRPr="0071003D">
              <w:rPr>
                <w:rFonts w:eastAsia="Calibri"/>
                <w:sz w:val="20"/>
                <w:szCs w:val="20"/>
              </w:rPr>
              <w:t>, R.S.B.C. 1996, c. 492 (the “</w:t>
            </w:r>
            <w:r w:rsidRPr="0071003D">
              <w:rPr>
                <w:rFonts w:eastAsia="Calibri"/>
                <w:i/>
                <w:sz w:val="20"/>
                <w:szCs w:val="20"/>
              </w:rPr>
              <w:t>Act</w:t>
            </w:r>
            <w:r w:rsidRPr="0071003D">
              <w:rPr>
                <w:rFonts w:eastAsia="Calibri"/>
                <w:sz w:val="20"/>
                <w:szCs w:val="20"/>
              </w:rPr>
              <w:t xml:space="preserve">”).  One order was for a violation under s. 172(1)(a), which requires an employer to immediately notify the applicant of the occurrence of any accident that resulted in serious injury to or the death of a worker.  The respondent asked for a review, arguing that it had no duty to report the </w:t>
            </w:r>
            <w:r w:rsidRPr="0071003D">
              <w:rPr>
                <w:rFonts w:eastAsia="Calibri"/>
                <w:sz w:val="20"/>
                <w:szCs w:val="20"/>
              </w:rPr>
              <w:lastRenderedPageBreak/>
              <w:t xml:space="preserve">accident as it is not the worker’s employer.  When the applicant’s Review Division issued a decision confirming the Order, the respondent brought a petition for judicial review. </w:t>
            </w:r>
          </w:p>
          <w:p w:rsidR="003521F0" w:rsidRPr="0071003D" w:rsidRDefault="003521F0" w:rsidP="001A5310">
            <w:pPr>
              <w:jc w:val="both"/>
              <w:rPr>
                <w:rFonts w:eastAsia="Calibri"/>
                <w:sz w:val="20"/>
                <w:szCs w:val="20"/>
              </w:rPr>
            </w:pPr>
          </w:p>
          <w:p w:rsidR="003521F0" w:rsidRPr="0071003D" w:rsidRDefault="003521F0" w:rsidP="001A5310">
            <w:pPr>
              <w:jc w:val="both"/>
              <w:rPr>
                <w:rFonts w:eastAsia="Calibri"/>
                <w:sz w:val="20"/>
                <w:szCs w:val="20"/>
              </w:rPr>
            </w:pPr>
            <w:r w:rsidRPr="0071003D">
              <w:rPr>
                <w:rFonts w:eastAsia="Calibri"/>
                <w:sz w:val="20"/>
                <w:szCs w:val="20"/>
              </w:rPr>
              <w:t xml:space="preserve">The Supreme Court of British Columbia quashed the Review Division’s decision as unreasonable and remitted the matter to it for reconsideration.  The Court found it unreasonable to impose a reporting requirement on an employer other than that of the injured worker, on the basis of a “significant connection” as the owner of the system, when the </w:t>
            </w:r>
            <w:r w:rsidRPr="0071003D">
              <w:rPr>
                <w:rFonts w:eastAsia="Calibri"/>
                <w:i/>
                <w:sz w:val="20"/>
                <w:szCs w:val="20"/>
              </w:rPr>
              <w:t>Act</w:t>
            </w:r>
            <w:r w:rsidRPr="0071003D">
              <w:rPr>
                <w:rFonts w:eastAsia="Calibri"/>
                <w:sz w:val="20"/>
                <w:szCs w:val="20"/>
              </w:rPr>
              <w:t xml:space="preserve"> did not impose that obligation on owners.  The Court of Appeal for British Columbia dismissed the appeal.</w:t>
            </w:r>
          </w:p>
          <w:p w:rsidR="003521F0" w:rsidRPr="0071003D" w:rsidRDefault="003521F0" w:rsidP="001A5310">
            <w:pPr>
              <w:jc w:val="both"/>
              <w:rPr>
                <w:rFonts w:eastAsia="Calibri"/>
                <w:sz w:val="20"/>
                <w:szCs w:val="20"/>
              </w:rPr>
            </w:pPr>
          </w:p>
        </w:tc>
      </w:tr>
      <w:tr w:rsidR="003521F0" w:rsidRPr="0071003D" w:rsidTr="001A5310">
        <w:tc>
          <w:tcPr>
            <w:tcW w:w="2427" w:type="pct"/>
          </w:tcPr>
          <w:p w:rsidR="003521F0" w:rsidRPr="0071003D" w:rsidRDefault="003521F0" w:rsidP="001A5310">
            <w:pPr>
              <w:jc w:val="both"/>
              <w:rPr>
                <w:rFonts w:eastAsia="Calibri"/>
                <w:sz w:val="20"/>
                <w:szCs w:val="20"/>
              </w:rPr>
            </w:pPr>
            <w:r w:rsidRPr="0071003D">
              <w:rPr>
                <w:rFonts w:eastAsia="Calibri"/>
                <w:sz w:val="20"/>
                <w:szCs w:val="20"/>
              </w:rPr>
              <w:lastRenderedPageBreak/>
              <w:t>November 4, 2013</w:t>
            </w:r>
          </w:p>
          <w:p w:rsidR="003521F0" w:rsidRPr="0071003D" w:rsidRDefault="003521F0" w:rsidP="001A5310">
            <w:pPr>
              <w:jc w:val="both"/>
              <w:rPr>
                <w:rFonts w:eastAsia="Calibri"/>
                <w:sz w:val="20"/>
                <w:szCs w:val="20"/>
              </w:rPr>
            </w:pPr>
            <w:r w:rsidRPr="0071003D">
              <w:rPr>
                <w:rFonts w:eastAsia="Calibri"/>
                <w:sz w:val="20"/>
                <w:szCs w:val="20"/>
              </w:rPr>
              <w:t>Supreme Court of British Columbia</w:t>
            </w:r>
          </w:p>
          <w:p w:rsidR="003521F0" w:rsidRPr="0071003D" w:rsidRDefault="003521F0" w:rsidP="001A5310">
            <w:pPr>
              <w:jc w:val="both"/>
              <w:rPr>
                <w:rFonts w:eastAsia="Calibri"/>
                <w:sz w:val="20"/>
                <w:szCs w:val="20"/>
              </w:rPr>
            </w:pPr>
            <w:r w:rsidRPr="0071003D">
              <w:rPr>
                <w:rFonts w:eastAsia="Calibri"/>
                <w:sz w:val="20"/>
                <w:szCs w:val="20"/>
              </w:rPr>
              <w:t>(Ehrcke J.)</w:t>
            </w:r>
          </w:p>
          <w:p w:rsidR="003521F0" w:rsidRPr="0071003D" w:rsidRDefault="00BF341F" w:rsidP="001A5310">
            <w:pPr>
              <w:jc w:val="both"/>
              <w:rPr>
                <w:rFonts w:eastAsia="Calibri"/>
                <w:sz w:val="20"/>
                <w:szCs w:val="20"/>
              </w:rPr>
            </w:pPr>
            <w:hyperlink r:id="rId43" w:history="1">
              <w:r w:rsidR="003521F0" w:rsidRPr="0071003D">
                <w:rPr>
                  <w:rFonts w:eastAsia="Calibri"/>
                  <w:color w:val="0000FF"/>
                  <w:sz w:val="20"/>
                  <w:szCs w:val="20"/>
                  <w:u w:val="single"/>
                </w:rPr>
                <w:t>2013 BCSC 2007</w:t>
              </w:r>
            </w:hyperlink>
          </w:p>
          <w:p w:rsidR="003521F0" w:rsidRPr="0071003D" w:rsidRDefault="003521F0" w:rsidP="001A5310">
            <w:pPr>
              <w:jc w:val="both"/>
              <w:rPr>
                <w:rFonts w:eastAsia="Calibri"/>
                <w:sz w:val="20"/>
                <w:szCs w:val="20"/>
              </w:rPr>
            </w:pPr>
          </w:p>
        </w:tc>
        <w:tc>
          <w:tcPr>
            <w:tcW w:w="243" w:type="pct"/>
          </w:tcPr>
          <w:p w:rsidR="003521F0" w:rsidRPr="0071003D" w:rsidRDefault="003521F0" w:rsidP="001A5310">
            <w:pPr>
              <w:jc w:val="both"/>
              <w:rPr>
                <w:rFonts w:eastAsia="Calibri"/>
                <w:sz w:val="20"/>
                <w:szCs w:val="20"/>
              </w:rPr>
            </w:pPr>
          </w:p>
        </w:tc>
        <w:tc>
          <w:tcPr>
            <w:tcW w:w="2330" w:type="pct"/>
          </w:tcPr>
          <w:p w:rsidR="003521F0" w:rsidRPr="0071003D" w:rsidRDefault="003521F0" w:rsidP="001A5310">
            <w:pPr>
              <w:jc w:val="both"/>
              <w:rPr>
                <w:rFonts w:eastAsia="Calibri"/>
                <w:sz w:val="20"/>
                <w:szCs w:val="20"/>
              </w:rPr>
            </w:pPr>
            <w:r w:rsidRPr="0071003D">
              <w:rPr>
                <w:rFonts w:eastAsia="Calibri"/>
                <w:sz w:val="20"/>
                <w:szCs w:val="20"/>
              </w:rPr>
              <w:t xml:space="preserve">Board’s Review Decision confirming the order against BC Hydro under </w:t>
            </w:r>
            <w:hyperlink r:id="rId44" w:anchor="sec172subsec1_smooth" w:history="1">
              <w:r w:rsidRPr="0071003D">
                <w:rPr>
                  <w:rFonts w:eastAsia="Calibri"/>
                  <w:sz w:val="20"/>
                  <w:szCs w:val="20"/>
                </w:rPr>
                <w:t>s. 172(1)</w:t>
              </w:r>
            </w:hyperlink>
            <w:r w:rsidRPr="0071003D">
              <w:rPr>
                <w:rFonts w:eastAsia="Calibri"/>
                <w:sz w:val="20"/>
                <w:szCs w:val="20"/>
              </w:rPr>
              <w:t xml:space="preserve">(a) of the </w:t>
            </w:r>
            <w:hyperlink r:id="rId45" w:history="1">
              <w:r w:rsidRPr="0071003D">
                <w:rPr>
                  <w:rFonts w:eastAsia="Calibri"/>
                  <w:sz w:val="20"/>
                  <w:szCs w:val="20"/>
                </w:rPr>
                <w:t>Act</w:t>
              </w:r>
            </w:hyperlink>
            <w:r w:rsidRPr="0071003D">
              <w:rPr>
                <w:rFonts w:eastAsia="Calibri"/>
                <w:sz w:val="20"/>
                <w:szCs w:val="20"/>
              </w:rPr>
              <w:t xml:space="preserve"> quashed and matter remitted to the Review Division for reconsideration</w:t>
            </w:r>
          </w:p>
        </w:tc>
      </w:tr>
      <w:tr w:rsidR="003521F0" w:rsidRPr="0071003D" w:rsidTr="001A5310">
        <w:tc>
          <w:tcPr>
            <w:tcW w:w="2427" w:type="pct"/>
          </w:tcPr>
          <w:p w:rsidR="003521F0" w:rsidRPr="0071003D" w:rsidRDefault="003521F0" w:rsidP="001A5310">
            <w:pPr>
              <w:jc w:val="both"/>
              <w:rPr>
                <w:rFonts w:eastAsia="Calibri"/>
                <w:sz w:val="20"/>
                <w:szCs w:val="20"/>
              </w:rPr>
            </w:pPr>
            <w:r w:rsidRPr="0071003D">
              <w:rPr>
                <w:rFonts w:eastAsia="Calibri"/>
                <w:sz w:val="20"/>
                <w:szCs w:val="20"/>
              </w:rPr>
              <w:t>September 15, 2014</w:t>
            </w:r>
          </w:p>
          <w:p w:rsidR="003521F0" w:rsidRPr="0071003D" w:rsidRDefault="003521F0" w:rsidP="001A5310">
            <w:pPr>
              <w:jc w:val="both"/>
              <w:rPr>
                <w:rFonts w:eastAsia="Calibri"/>
                <w:sz w:val="20"/>
                <w:szCs w:val="20"/>
              </w:rPr>
            </w:pPr>
            <w:r w:rsidRPr="0071003D">
              <w:rPr>
                <w:rFonts w:eastAsia="Calibri"/>
                <w:sz w:val="20"/>
                <w:szCs w:val="20"/>
              </w:rPr>
              <w:t xml:space="preserve">Court of Appeal for British Columbia </w:t>
            </w:r>
          </w:p>
          <w:p w:rsidR="003521F0" w:rsidRPr="0071003D" w:rsidRDefault="003521F0" w:rsidP="001A5310">
            <w:pPr>
              <w:jc w:val="both"/>
              <w:rPr>
                <w:rFonts w:eastAsia="Calibri"/>
                <w:sz w:val="20"/>
                <w:szCs w:val="20"/>
              </w:rPr>
            </w:pPr>
            <w:r w:rsidRPr="0071003D">
              <w:rPr>
                <w:rFonts w:eastAsia="Calibri"/>
                <w:sz w:val="20"/>
                <w:szCs w:val="20"/>
              </w:rPr>
              <w:t>(Vancouver)</w:t>
            </w:r>
          </w:p>
          <w:p w:rsidR="003521F0" w:rsidRPr="0071003D" w:rsidRDefault="003521F0" w:rsidP="001A5310">
            <w:pPr>
              <w:jc w:val="both"/>
              <w:rPr>
                <w:rFonts w:eastAsia="Calibri"/>
                <w:sz w:val="20"/>
                <w:szCs w:val="20"/>
              </w:rPr>
            </w:pPr>
            <w:r w:rsidRPr="0071003D">
              <w:rPr>
                <w:rFonts w:eastAsia="Calibri"/>
                <w:sz w:val="20"/>
                <w:szCs w:val="20"/>
              </w:rPr>
              <w:t>(Neilson, Bennett and Garson JJ.A.)</w:t>
            </w:r>
          </w:p>
          <w:p w:rsidR="003521F0" w:rsidRPr="0071003D" w:rsidRDefault="00BF341F" w:rsidP="001A5310">
            <w:pPr>
              <w:jc w:val="both"/>
              <w:rPr>
                <w:rFonts w:eastAsia="Calibri"/>
                <w:sz w:val="20"/>
                <w:szCs w:val="20"/>
              </w:rPr>
            </w:pPr>
            <w:hyperlink r:id="rId46" w:history="1">
              <w:r w:rsidR="003521F0" w:rsidRPr="0071003D">
                <w:rPr>
                  <w:rFonts w:eastAsia="Calibri"/>
                  <w:color w:val="0000FF"/>
                  <w:sz w:val="20"/>
                  <w:szCs w:val="20"/>
                  <w:u w:val="single"/>
                </w:rPr>
                <w:t>2014 BCCA 353</w:t>
              </w:r>
            </w:hyperlink>
          </w:p>
          <w:p w:rsidR="003521F0" w:rsidRPr="0071003D" w:rsidRDefault="003521F0" w:rsidP="001A5310">
            <w:pPr>
              <w:jc w:val="both"/>
              <w:rPr>
                <w:rFonts w:eastAsia="Calibri"/>
                <w:sz w:val="20"/>
                <w:szCs w:val="20"/>
              </w:rPr>
            </w:pPr>
          </w:p>
        </w:tc>
        <w:tc>
          <w:tcPr>
            <w:tcW w:w="243" w:type="pct"/>
          </w:tcPr>
          <w:p w:rsidR="003521F0" w:rsidRPr="0071003D" w:rsidRDefault="003521F0" w:rsidP="001A5310">
            <w:pPr>
              <w:jc w:val="both"/>
              <w:rPr>
                <w:rFonts w:eastAsia="Calibri"/>
                <w:sz w:val="20"/>
                <w:szCs w:val="20"/>
              </w:rPr>
            </w:pPr>
          </w:p>
        </w:tc>
        <w:tc>
          <w:tcPr>
            <w:tcW w:w="2330" w:type="pct"/>
          </w:tcPr>
          <w:p w:rsidR="003521F0" w:rsidRPr="0071003D" w:rsidRDefault="003521F0" w:rsidP="001A5310">
            <w:pPr>
              <w:jc w:val="both"/>
              <w:rPr>
                <w:rFonts w:eastAsia="Calibri"/>
                <w:sz w:val="20"/>
                <w:szCs w:val="20"/>
              </w:rPr>
            </w:pPr>
            <w:r w:rsidRPr="0071003D">
              <w:rPr>
                <w:rFonts w:eastAsia="Calibri"/>
                <w:sz w:val="20"/>
                <w:szCs w:val="20"/>
              </w:rPr>
              <w:t xml:space="preserve">Appeal dismissed, Order quashing the Review Decision affirmed, matter remitted to the Review Division for reconsideration </w:t>
            </w:r>
          </w:p>
        </w:tc>
      </w:tr>
      <w:tr w:rsidR="003521F0" w:rsidRPr="0071003D" w:rsidTr="001A5310">
        <w:tc>
          <w:tcPr>
            <w:tcW w:w="2427" w:type="pct"/>
          </w:tcPr>
          <w:p w:rsidR="003521F0" w:rsidRPr="0071003D" w:rsidRDefault="003521F0" w:rsidP="001A5310">
            <w:pPr>
              <w:jc w:val="both"/>
              <w:rPr>
                <w:rFonts w:eastAsia="Calibri"/>
                <w:sz w:val="20"/>
                <w:szCs w:val="20"/>
              </w:rPr>
            </w:pPr>
            <w:r w:rsidRPr="0071003D">
              <w:rPr>
                <w:rFonts w:eastAsia="Calibri"/>
                <w:sz w:val="20"/>
                <w:szCs w:val="20"/>
              </w:rPr>
              <w:t>November 14, 2014</w:t>
            </w:r>
          </w:p>
          <w:p w:rsidR="003521F0" w:rsidRPr="0071003D" w:rsidRDefault="003521F0" w:rsidP="001A5310">
            <w:pPr>
              <w:jc w:val="both"/>
              <w:rPr>
                <w:rFonts w:eastAsia="Calibri"/>
                <w:sz w:val="20"/>
                <w:szCs w:val="20"/>
              </w:rPr>
            </w:pPr>
            <w:r w:rsidRPr="0071003D">
              <w:rPr>
                <w:rFonts w:eastAsia="Calibri"/>
                <w:sz w:val="20"/>
                <w:szCs w:val="20"/>
              </w:rPr>
              <w:t>Supreme Court of Canada</w:t>
            </w:r>
          </w:p>
        </w:tc>
        <w:tc>
          <w:tcPr>
            <w:tcW w:w="243" w:type="pct"/>
          </w:tcPr>
          <w:p w:rsidR="003521F0" w:rsidRPr="0071003D" w:rsidRDefault="003521F0" w:rsidP="001A5310">
            <w:pPr>
              <w:jc w:val="both"/>
              <w:rPr>
                <w:rFonts w:eastAsia="Calibri"/>
                <w:sz w:val="20"/>
                <w:szCs w:val="20"/>
              </w:rPr>
            </w:pPr>
          </w:p>
        </w:tc>
        <w:tc>
          <w:tcPr>
            <w:tcW w:w="2330" w:type="pct"/>
          </w:tcPr>
          <w:p w:rsidR="003521F0" w:rsidRPr="0071003D" w:rsidRDefault="003521F0" w:rsidP="001A5310">
            <w:pPr>
              <w:jc w:val="both"/>
              <w:rPr>
                <w:rFonts w:eastAsia="Calibri"/>
                <w:sz w:val="20"/>
                <w:szCs w:val="20"/>
              </w:rPr>
            </w:pPr>
            <w:r w:rsidRPr="0071003D">
              <w:rPr>
                <w:rFonts w:eastAsia="Calibri"/>
                <w:sz w:val="20"/>
                <w:szCs w:val="20"/>
              </w:rPr>
              <w:t>Application for leave to appeal filed</w:t>
            </w:r>
          </w:p>
        </w:tc>
      </w:tr>
    </w:tbl>
    <w:p w:rsidR="008E7C88" w:rsidRDefault="008E7C88" w:rsidP="008E7C88">
      <w:pPr>
        <w:rPr>
          <w:sz w:val="20"/>
          <w:szCs w:val="20"/>
        </w:rPr>
      </w:pPr>
    </w:p>
    <w:p w:rsidR="008E7C88" w:rsidRPr="00C50A5C" w:rsidRDefault="00BF341F" w:rsidP="008E7C88">
      <w:pPr>
        <w:rPr>
          <w:sz w:val="20"/>
          <w:szCs w:val="20"/>
        </w:rPr>
      </w:pPr>
      <w:r>
        <w:rPr>
          <w:sz w:val="20"/>
          <w:szCs w:val="20"/>
          <w:lang w:val="fr-CA"/>
        </w:rPr>
        <w:pict>
          <v:rect id="_x0000_i1040" style="width:2in;height:1pt" o:hrpct="0" o:hralign="center" o:hrstd="t" o:hrnoshade="t" o:hr="t" fillcolor="black [3213]" stroked="f"/>
        </w:pict>
      </w:r>
    </w:p>
    <w:p w:rsidR="008E7C88" w:rsidRDefault="008E7C88" w:rsidP="008E7C88">
      <w:pPr>
        <w:rPr>
          <w:sz w:val="20"/>
          <w:szCs w:val="20"/>
        </w:rPr>
      </w:pPr>
    </w:p>
    <w:p w:rsidR="008E7C88" w:rsidRPr="001B157C" w:rsidRDefault="008E7C88" w:rsidP="008E7C88">
      <w:pPr>
        <w:rPr>
          <w:sz w:val="20"/>
          <w:szCs w:val="20"/>
          <w:u w:val="single"/>
          <w:lang w:val="fr-CA"/>
        </w:rPr>
      </w:pPr>
      <w:r w:rsidRPr="001B157C">
        <w:rPr>
          <w:sz w:val="20"/>
          <w:szCs w:val="20"/>
          <w:u w:val="single"/>
          <w:lang w:val="fr-CA"/>
        </w:rPr>
        <w:t>RÉSUMÉ DE L’AFFAIRE</w:t>
      </w:r>
    </w:p>
    <w:p w:rsidR="008E7C88" w:rsidRDefault="008E7C88" w:rsidP="008E7C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521F0" w:rsidRPr="00C3091A" w:rsidTr="001A5310">
        <w:tc>
          <w:tcPr>
            <w:tcW w:w="5000" w:type="pct"/>
            <w:gridSpan w:val="3"/>
          </w:tcPr>
          <w:p w:rsidR="003521F0" w:rsidRPr="0071003D" w:rsidRDefault="003521F0" w:rsidP="001A5310">
            <w:pPr>
              <w:jc w:val="both"/>
              <w:rPr>
                <w:rFonts w:eastAsia="Calibri"/>
                <w:sz w:val="20"/>
                <w:szCs w:val="20"/>
                <w:lang w:val="fr-CA"/>
              </w:rPr>
            </w:pPr>
            <w:r w:rsidRPr="0071003D">
              <w:rPr>
                <w:rFonts w:eastAsia="Calibri"/>
                <w:sz w:val="20"/>
                <w:szCs w:val="20"/>
                <w:lang w:val="fr-CA"/>
              </w:rPr>
              <w:t>Droit administratif – Norme de contrôle – Législation – Interprétation – La norme de la raisonnabilité oblige-t-elle un tribunal administratif à appliquer expressément les principes de l’interprétation législative dans ses motifs de décision interprétant une disposition de sa loi constitutive? – Dans quelle mesure le formalisme juridique doit-il restreindre la prise de décisions administratives? – Y a-t-il des cas où l’appréciation de la raisonnabilité permet à la cour de s’attacher aux motifs d’un tribunal administratif sans égard au résultat? – Comment, en pratique, une cour évalue-t-elle le résultat et les motifs de la décision d’un tribunal administratif comme éléments d’un tout?</w:t>
            </w:r>
          </w:p>
        </w:tc>
      </w:tr>
      <w:tr w:rsidR="003521F0" w:rsidRPr="00C3091A" w:rsidTr="001A5310">
        <w:tc>
          <w:tcPr>
            <w:tcW w:w="5000" w:type="pct"/>
            <w:gridSpan w:val="3"/>
          </w:tcPr>
          <w:p w:rsidR="003521F0" w:rsidRPr="0071003D" w:rsidRDefault="003521F0" w:rsidP="001A5310">
            <w:pPr>
              <w:jc w:val="both"/>
              <w:rPr>
                <w:rFonts w:eastAsia="Calibri"/>
                <w:sz w:val="20"/>
                <w:szCs w:val="20"/>
                <w:lang w:val="fr-CA"/>
              </w:rPr>
            </w:pPr>
          </w:p>
        </w:tc>
      </w:tr>
      <w:tr w:rsidR="003521F0" w:rsidRPr="00C3091A" w:rsidTr="001A5310">
        <w:tc>
          <w:tcPr>
            <w:tcW w:w="5000" w:type="pct"/>
            <w:gridSpan w:val="3"/>
          </w:tcPr>
          <w:p w:rsidR="003521F0" w:rsidRPr="0071003D" w:rsidRDefault="003521F0" w:rsidP="001A5310">
            <w:pPr>
              <w:jc w:val="both"/>
              <w:rPr>
                <w:rFonts w:eastAsia="Calibri"/>
                <w:sz w:val="20"/>
                <w:szCs w:val="20"/>
                <w:lang w:val="fr-CA"/>
              </w:rPr>
            </w:pPr>
            <w:r w:rsidRPr="0071003D">
              <w:rPr>
                <w:rFonts w:eastAsia="Calibri"/>
                <w:sz w:val="20"/>
                <w:szCs w:val="20"/>
                <w:lang w:val="fr-CA"/>
              </w:rPr>
              <w:t xml:space="preserve">L’intimée a conclu un contrat avec une entreprise pour le remplacement de coupe-circuits à fusibles d’un système de distribution d’électricité par câbles aériens près de Fernie (Colombie-Britannique).  Un des employés de l’entrepreneur a été grièvement blessé pendant qu’il travaillait sur une ligne électrique.  Une équipe d’Hydro qui a répondu à l’appel d’aide lancé à la radio a secouru le travailleur et a rétabli le courant, mais elle n’a pas signalé l’accident au demandeur.  L’entrepreneur a déclaré l’accident plus de cinq heures après sa survenance.  Les agents du demandeur ont enquêté sur </w:t>
            </w:r>
            <w:r w:rsidRPr="0071003D">
              <w:rPr>
                <w:rFonts w:eastAsia="Calibri"/>
                <w:sz w:val="20"/>
                <w:szCs w:val="20"/>
                <w:lang w:val="fr-CA"/>
              </w:rPr>
              <w:lastRenderedPageBreak/>
              <w:t xml:space="preserve">les lieux le lendemain et ils ont délivré des constats d’infraction contre l’intimée en application de la </w:t>
            </w:r>
            <w:r w:rsidRPr="0071003D">
              <w:rPr>
                <w:rFonts w:eastAsia="Calibri"/>
                <w:i/>
                <w:sz w:val="20"/>
                <w:szCs w:val="20"/>
                <w:lang w:val="fr-CA"/>
              </w:rPr>
              <w:t>Workers Compensation Act</w:t>
            </w:r>
            <w:r w:rsidRPr="0071003D">
              <w:rPr>
                <w:rFonts w:eastAsia="Calibri"/>
                <w:sz w:val="20"/>
                <w:szCs w:val="20"/>
                <w:lang w:val="fr-CA"/>
              </w:rPr>
              <w:t>, R.S.B.C. 1996, ch. 492 (la « </w:t>
            </w:r>
            <w:r w:rsidRPr="0071003D">
              <w:rPr>
                <w:rFonts w:eastAsia="Calibri"/>
                <w:i/>
                <w:sz w:val="20"/>
                <w:szCs w:val="20"/>
                <w:lang w:val="fr-CA"/>
              </w:rPr>
              <w:t>Loi</w:t>
            </w:r>
            <w:r w:rsidRPr="0071003D">
              <w:rPr>
                <w:rFonts w:eastAsia="Calibri"/>
                <w:sz w:val="20"/>
                <w:szCs w:val="20"/>
                <w:lang w:val="fr-CA"/>
              </w:rPr>
              <w:t> »).  Un des constats avait pour objet une violation de l’al. 172(1)</w:t>
            </w:r>
            <w:r w:rsidRPr="0071003D">
              <w:rPr>
                <w:rFonts w:eastAsia="Calibri"/>
                <w:i/>
                <w:sz w:val="20"/>
                <w:szCs w:val="20"/>
                <w:lang w:val="fr-CA"/>
              </w:rPr>
              <w:t>a)</w:t>
            </w:r>
            <w:r w:rsidRPr="0071003D">
              <w:rPr>
                <w:rFonts w:eastAsia="Calibri"/>
                <w:sz w:val="20"/>
                <w:szCs w:val="20"/>
                <w:lang w:val="fr-CA"/>
              </w:rPr>
              <w:t xml:space="preserve">, qui oblige l’employeur à aviser immédiatement le demandeur en cas d’accident causant des blessures graves ou la mort d’un travailleur.  L’intimée a demandé la révision, plaidant qu’elle n’avait pas l’obligation de signaler l’accident, puisqu’elle n’était pas l’employeur du travailleur.  Lorsque la division des révisions du demandeur a rendu une décision confirmant le constat, l’intimée a présenté une requête en contrôle judiciaire. </w:t>
            </w:r>
          </w:p>
          <w:p w:rsidR="003521F0" w:rsidRPr="0071003D" w:rsidRDefault="003521F0" w:rsidP="001A5310">
            <w:pPr>
              <w:jc w:val="both"/>
              <w:rPr>
                <w:rFonts w:eastAsia="Calibri"/>
                <w:sz w:val="20"/>
                <w:szCs w:val="20"/>
                <w:lang w:val="fr-CA"/>
              </w:rPr>
            </w:pPr>
          </w:p>
          <w:p w:rsidR="003521F0" w:rsidRPr="0071003D" w:rsidRDefault="003521F0" w:rsidP="001A5310">
            <w:pPr>
              <w:jc w:val="both"/>
              <w:rPr>
                <w:rFonts w:eastAsia="Calibri"/>
                <w:sz w:val="20"/>
                <w:szCs w:val="20"/>
                <w:lang w:val="fr-CA"/>
              </w:rPr>
            </w:pPr>
            <w:r w:rsidRPr="0071003D">
              <w:rPr>
                <w:rFonts w:eastAsia="Calibri"/>
                <w:sz w:val="20"/>
                <w:szCs w:val="20"/>
                <w:lang w:val="fr-CA"/>
              </w:rPr>
              <w:t xml:space="preserve">La Cour suprême de la Colombie-Britannique a annulé la décision de la division des révisions parce que déraisonnable et lui a renvoyé l’affaire pour qu’elle l’examine de nouveau.  La Cour a conclu qu’il était déraisonnable d’imposer une obligation d’aviser à un employeur autre que celui du travailleur blessé, au motif qu’il y avait un « lien important » comme propriétaire du système, alors que la </w:t>
            </w:r>
            <w:r w:rsidRPr="0071003D">
              <w:rPr>
                <w:rFonts w:eastAsia="Calibri"/>
                <w:i/>
                <w:sz w:val="20"/>
                <w:szCs w:val="20"/>
                <w:lang w:val="fr-CA"/>
              </w:rPr>
              <w:t>Loi</w:t>
            </w:r>
            <w:r w:rsidRPr="0071003D">
              <w:rPr>
                <w:rFonts w:eastAsia="Calibri"/>
                <w:sz w:val="20"/>
                <w:szCs w:val="20"/>
                <w:lang w:val="fr-CA"/>
              </w:rPr>
              <w:t xml:space="preserve"> n’imposait pas cette obligation aux propriétaires.  La Cour d’appel de la Colombie-Britannique a rejeté l’appel.</w:t>
            </w:r>
          </w:p>
          <w:p w:rsidR="003521F0" w:rsidRPr="0071003D" w:rsidRDefault="003521F0" w:rsidP="001A5310">
            <w:pPr>
              <w:jc w:val="both"/>
              <w:rPr>
                <w:rFonts w:eastAsia="Calibri"/>
                <w:sz w:val="20"/>
                <w:szCs w:val="20"/>
                <w:lang w:val="fr-CA"/>
              </w:rPr>
            </w:pPr>
          </w:p>
        </w:tc>
      </w:tr>
      <w:tr w:rsidR="003521F0" w:rsidRPr="00C3091A" w:rsidTr="001A5310">
        <w:tc>
          <w:tcPr>
            <w:tcW w:w="2427"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lastRenderedPageBreak/>
              <w:t>4 novembre 2013</w:t>
            </w:r>
          </w:p>
          <w:p w:rsidR="003521F0" w:rsidRPr="0071003D" w:rsidRDefault="003521F0" w:rsidP="001A5310">
            <w:pPr>
              <w:jc w:val="both"/>
              <w:rPr>
                <w:rFonts w:eastAsia="Calibri"/>
                <w:sz w:val="20"/>
                <w:szCs w:val="20"/>
                <w:lang w:val="fr-CA"/>
              </w:rPr>
            </w:pPr>
            <w:r w:rsidRPr="0071003D">
              <w:rPr>
                <w:rFonts w:eastAsia="Calibri"/>
                <w:sz w:val="20"/>
                <w:szCs w:val="20"/>
                <w:lang w:val="fr-CA"/>
              </w:rPr>
              <w:t>Cour suprême de la Colombie-Britannique</w:t>
            </w:r>
          </w:p>
          <w:p w:rsidR="003521F0" w:rsidRPr="0071003D" w:rsidRDefault="003521F0" w:rsidP="001A5310">
            <w:pPr>
              <w:jc w:val="both"/>
              <w:rPr>
                <w:rFonts w:eastAsia="Calibri"/>
                <w:sz w:val="20"/>
                <w:szCs w:val="20"/>
                <w:lang w:val="fr-CA"/>
              </w:rPr>
            </w:pPr>
            <w:r w:rsidRPr="0071003D">
              <w:rPr>
                <w:rFonts w:eastAsia="Calibri"/>
                <w:sz w:val="20"/>
                <w:szCs w:val="20"/>
                <w:lang w:val="fr-CA"/>
              </w:rPr>
              <w:t>(Juge Ehrcke)</w:t>
            </w:r>
          </w:p>
          <w:p w:rsidR="003521F0" w:rsidRPr="0071003D" w:rsidRDefault="00BF341F" w:rsidP="001A5310">
            <w:pPr>
              <w:jc w:val="both"/>
              <w:rPr>
                <w:rFonts w:eastAsia="Calibri"/>
                <w:sz w:val="20"/>
                <w:szCs w:val="20"/>
                <w:lang w:val="fr-CA"/>
              </w:rPr>
            </w:pPr>
            <w:hyperlink r:id="rId47" w:history="1">
              <w:r w:rsidR="003521F0" w:rsidRPr="0071003D">
                <w:rPr>
                  <w:rFonts w:eastAsia="Calibri"/>
                  <w:color w:val="0000FF"/>
                  <w:sz w:val="20"/>
                  <w:szCs w:val="20"/>
                  <w:u w:val="single"/>
                  <w:lang w:val="fr-CA"/>
                </w:rPr>
                <w:t>2013 BCSC 2007</w:t>
              </w:r>
            </w:hyperlink>
          </w:p>
          <w:p w:rsidR="003521F0" w:rsidRPr="0071003D" w:rsidRDefault="003521F0" w:rsidP="001A5310">
            <w:pPr>
              <w:jc w:val="both"/>
              <w:rPr>
                <w:rFonts w:eastAsia="Calibri"/>
                <w:sz w:val="20"/>
                <w:szCs w:val="20"/>
                <w:lang w:val="fr-CA"/>
              </w:rPr>
            </w:pPr>
          </w:p>
        </w:tc>
        <w:tc>
          <w:tcPr>
            <w:tcW w:w="243" w:type="pct"/>
          </w:tcPr>
          <w:p w:rsidR="003521F0" w:rsidRPr="0071003D" w:rsidRDefault="003521F0" w:rsidP="001A5310">
            <w:pPr>
              <w:jc w:val="both"/>
              <w:rPr>
                <w:rFonts w:eastAsia="Calibri"/>
                <w:sz w:val="20"/>
                <w:szCs w:val="20"/>
                <w:lang w:val="fr-CA"/>
              </w:rPr>
            </w:pPr>
          </w:p>
        </w:tc>
        <w:tc>
          <w:tcPr>
            <w:tcW w:w="2330"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Annulation de la décision en révision du demandeur confirmant le constat émis contre l’intimée en application de l’al</w:t>
            </w:r>
            <w:hyperlink r:id="rId48" w:anchor="sec172subsec1_smooth" w:history="1">
              <w:r w:rsidRPr="0071003D">
                <w:rPr>
                  <w:rFonts w:eastAsia="Calibri"/>
                  <w:sz w:val="20"/>
                  <w:szCs w:val="20"/>
                  <w:lang w:val="fr-CA"/>
                </w:rPr>
                <w:t>. 172(1)</w:t>
              </w:r>
            </w:hyperlink>
            <w:r w:rsidRPr="0071003D">
              <w:rPr>
                <w:rFonts w:eastAsia="Calibri"/>
                <w:i/>
                <w:sz w:val="20"/>
                <w:szCs w:val="20"/>
                <w:lang w:val="fr-CA"/>
              </w:rPr>
              <w:t>a)</w:t>
            </w:r>
            <w:r w:rsidRPr="0071003D">
              <w:rPr>
                <w:rFonts w:eastAsia="Calibri"/>
                <w:sz w:val="20"/>
                <w:szCs w:val="20"/>
                <w:lang w:val="fr-CA"/>
              </w:rPr>
              <w:t xml:space="preserve"> de la Loi et renvoi de l’affaire à la division des révisions pour qu’elle l’examine de nouveau</w:t>
            </w:r>
          </w:p>
          <w:p w:rsidR="003521F0" w:rsidRPr="0071003D" w:rsidRDefault="003521F0" w:rsidP="001A5310">
            <w:pPr>
              <w:jc w:val="both"/>
              <w:rPr>
                <w:rFonts w:eastAsia="Calibri"/>
                <w:sz w:val="20"/>
                <w:szCs w:val="20"/>
                <w:lang w:val="fr-CA"/>
              </w:rPr>
            </w:pPr>
          </w:p>
        </w:tc>
      </w:tr>
      <w:tr w:rsidR="003521F0" w:rsidRPr="00C3091A" w:rsidTr="001A5310">
        <w:tc>
          <w:tcPr>
            <w:tcW w:w="2427"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15 septembre 2014</w:t>
            </w:r>
          </w:p>
          <w:p w:rsidR="003521F0" w:rsidRPr="0071003D" w:rsidRDefault="003521F0" w:rsidP="001A5310">
            <w:pPr>
              <w:jc w:val="both"/>
              <w:rPr>
                <w:rFonts w:eastAsia="Calibri"/>
                <w:sz w:val="20"/>
                <w:szCs w:val="20"/>
                <w:lang w:val="fr-CA"/>
              </w:rPr>
            </w:pPr>
            <w:r w:rsidRPr="0071003D">
              <w:rPr>
                <w:rFonts w:eastAsia="Calibri"/>
                <w:sz w:val="20"/>
                <w:szCs w:val="20"/>
                <w:lang w:val="fr-CA"/>
              </w:rPr>
              <w:t xml:space="preserve">Cour d’appel de la Colombie-Britannique </w:t>
            </w:r>
          </w:p>
          <w:p w:rsidR="003521F0" w:rsidRPr="0071003D" w:rsidRDefault="003521F0" w:rsidP="001A5310">
            <w:pPr>
              <w:jc w:val="both"/>
              <w:rPr>
                <w:rFonts w:eastAsia="Calibri"/>
                <w:sz w:val="20"/>
                <w:szCs w:val="20"/>
                <w:lang w:val="fr-CA"/>
              </w:rPr>
            </w:pPr>
            <w:r w:rsidRPr="0071003D">
              <w:rPr>
                <w:rFonts w:eastAsia="Calibri"/>
                <w:sz w:val="20"/>
                <w:szCs w:val="20"/>
                <w:lang w:val="fr-CA"/>
              </w:rPr>
              <w:t>(Vancouver)</w:t>
            </w:r>
          </w:p>
          <w:p w:rsidR="003521F0" w:rsidRPr="0071003D" w:rsidRDefault="003521F0" w:rsidP="001A5310">
            <w:pPr>
              <w:jc w:val="both"/>
              <w:rPr>
                <w:rFonts w:eastAsia="Calibri"/>
                <w:sz w:val="20"/>
                <w:szCs w:val="20"/>
                <w:lang w:val="fr-CA"/>
              </w:rPr>
            </w:pPr>
            <w:r w:rsidRPr="0071003D">
              <w:rPr>
                <w:rFonts w:eastAsia="Calibri"/>
                <w:sz w:val="20"/>
                <w:szCs w:val="20"/>
                <w:lang w:val="fr-CA"/>
              </w:rPr>
              <w:t>(Juges Neilson, Bennett et Garson)</w:t>
            </w:r>
          </w:p>
          <w:p w:rsidR="003521F0" w:rsidRPr="0071003D" w:rsidRDefault="00BF341F" w:rsidP="001A5310">
            <w:pPr>
              <w:jc w:val="both"/>
              <w:rPr>
                <w:rFonts w:eastAsia="Calibri"/>
                <w:sz w:val="20"/>
                <w:szCs w:val="20"/>
                <w:lang w:val="fr-CA"/>
              </w:rPr>
            </w:pPr>
            <w:hyperlink r:id="rId49" w:history="1">
              <w:r w:rsidR="003521F0" w:rsidRPr="0071003D">
                <w:rPr>
                  <w:rFonts w:eastAsia="Calibri"/>
                  <w:color w:val="0000FF"/>
                  <w:sz w:val="20"/>
                  <w:szCs w:val="20"/>
                  <w:u w:val="single"/>
                  <w:lang w:val="fr-CA"/>
                </w:rPr>
                <w:t>2014 BCCA 353</w:t>
              </w:r>
            </w:hyperlink>
          </w:p>
          <w:p w:rsidR="003521F0" w:rsidRPr="0071003D" w:rsidRDefault="003521F0" w:rsidP="001A5310">
            <w:pPr>
              <w:jc w:val="both"/>
              <w:rPr>
                <w:rFonts w:eastAsia="Calibri"/>
                <w:sz w:val="20"/>
                <w:szCs w:val="20"/>
                <w:lang w:val="fr-CA"/>
              </w:rPr>
            </w:pPr>
          </w:p>
        </w:tc>
        <w:tc>
          <w:tcPr>
            <w:tcW w:w="243" w:type="pct"/>
          </w:tcPr>
          <w:p w:rsidR="003521F0" w:rsidRPr="0071003D" w:rsidRDefault="003521F0" w:rsidP="001A5310">
            <w:pPr>
              <w:jc w:val="both"/>
              <w:rPr>
                <w:rFonts w:eastAsia="Calibri"/>
                <w:sz w:val="20"/>
                <w:szCs w:val="20"/>
                <w:lang w:val="fr-CA"/>
              </w:rPr>
            </w:pPr>
          </w:p>
        </w:tc>
        <w:tc>
          <w:tcPr>
            <w:tcW w:w="2330"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Rejet de l’appel, confirmation de l’ordonnance annulant la décision de la division des révisions, renvoi de l’affaire à la division des révisions pour qu’elle l’examine de nouveau</w:t>
            </w:r>
          </w:p>
        </w:tc>
      </w:tr>
      <w:tr w:rsidR="003521F0" w:rsidRPr="00C3091A" w:rsidTr="001A5310">
        <w:tc>
          <w:tcPr>
            <w:tcW w:w="2427"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14 novembre 2014</w:t>
            </w:r>
          </w:p>
          <w:p w:rsidR="003521F0" w:rsidRPr="0071003D" w:rsidRDefault="003521F0" w:rsidP="001A5310">
            <w:pPr>
              <w:jc w:val="both"/>
              <w:rPr>
                <w:rFonts w:eastAsia="Calibri"/>
                <w:sz w:val="20"/>
                <w:szCs w:val="20"/>
                <w:lang w:val="fr-CA"/>
              </w:rPr>
            </w:pPr>
            <w:r w:rsidRPr="0071003D">
              <w:rPr>
                <w:rFonts w:eastAsia="Calibri"/>
                <w:sz w:val="20"/>
                <w:szCs w:val="20"/>
                <w:lang w:val="fr-CA"/>
              </w:rPr>
              <w:t>Cour suprême du Canada</w:t>
            </w:r>
          </w:p>
        </w:tc>
        <w:tc>
          <w:tcPr>
            <w:tcW w:w="243" w:type="pct"/>
          </w:tcPr>
          <w:p w:rsidR="003521F0" w:rsidRPr="0071003D" w:rsidRDefault="003521F0" w:rsidP="001A5310">
            <w:pPr>
              <w:jc w:val="both"/>
              <w:rPr>
                <w:rFonts w:eastAsia="Calibri"/>
                <w:sz w:val="20"/>
                <w:szCs w:val="20"/>
                <w:lang w:val="fr-CA"/>
              </w:rPr>
            </w:pPr>
          </w:p>
        </w:tc>
        <w:tc>
          <w:tcPr>
            <w:tcW w:w="2330" w:type="pct"/>
          </w:tcPr>
          <w:p w:rsidR="003521F0" w:rsidRPr="0071003D" w:rsidRDefault="003521F0" w:rsidP="001A5310">
            <w:pPr>
              <w:jc w:val="both"/>
              <w:rPr>
                <w:rFonts w:eastAsia="Calibri"/>
                <w:sz w:val="20"/>
                <w:szCs w:val="20"/>
                <w:lang w:val="fr-CA"/>
              </w:rPr>
            </w:pPr>
            <w:r w:rsidRPr="0071003D">
              <w:rPr>
                <w:rFonts w:eastAsia="Calibri"/>
                <w:sz w:val="20"/>
                <w:szCs w:val="20"/>
                <w:lang w:val="fr-CA"/>
              </w:rPr>
              <w:t>Dépôt de la demande d’autorisation d’appel</w:t>
            </w:r>
          </w:p>
        </w:tc>
      </w:tr>
    </w:tbl>
    <w:p w:rsidR="008E7C88" w:rsidRPr="003521F0" w:rsidRDefault="008E7C88" w:rsidP="008E7C88">
      <w:pPr>
        <w:rPr>
          <w:sz w:val="20"/>
          <w:szCs w:val="20"/>
          <w:lang w:val="fr-CA"/>
        </w:rPr>
      </w:pPr>
    </w:p>
    <w:p w:rsidR="008E7C88" w:rsidRDefault="00BF341F" w:rsidP="008E7C88">
      <w:pPr>
        <w:rPr>
          <w:sz w:val="20"/>
          <w:szCs w:val="20"/>
          <w:lang w:val="fr-CA"/>
        </w:rPr>
      </w:pPr>
      <w:r>
        <w:rPr>
          <w:sz w:val="20"/>
          <w:szCs w:val="20"/>
          <w:lang w:val="fr-CA"/>
        </w:rPr>
        <w:pict>
          <v:rect id="_x0000_i1041" style="width:2in;height:1pt" o:hrpct="0" o:hralign="center" o:hrstd="t" o:hrnoshade="t" o:hr="t" fillcolor="black [3213]" stroked="f"/>
        </w:pict>
      </w:r>
    </w:p>
    <w:p w:rsidR="008E7C88" w:rsidRDefault="008E7C88" w:rsidP="008E7C8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248E0" w:rsidRPr="00C719F1" w:rsidTr="001A5310">
        <w:trPr>
          <w:cantSplit/>
        </w:trPr>
        <w:tc>
          <w:tcPr>
            <w:tcW w:w="1458" w:type="dxa"/>
          </w:tcPr>
          <w:p w:rsidR="002248E0" w:rsidRPr="00C719F1" w:rsidRDefault="002248E0" w:rsidP="001A5310">
            <w:pPr>
              <w:rPr>
                <w:sz w:val="20"/>
                <w:szCs w:val="20"/>
              </w:rPr>
            </w:pPr>
            <w:r w:rsidRPr="00C719F1">
              <w:rPr>
                <w:rStyle w:val="SCCFileNumberChar"/>
                <w:sz w:val="20"/>
                <w:szCs w:val="20"/>
              </w:rPr>
              <w:t>36169</w:t>
            </w:r>
          </w:p>
          <w:p w:rsidR="002248E0" w:rsidRPr="00C719F1" w:rsidRDefault="002248E0" w:rsidP="001A5310">
            <w:pPr>
              <w:rPr>
                <w:b/>
                <w:sz w:val="20"/>
                <w:szCs w:val="20"/>
                <w:lang w:val="fr-CA"/>
              </w:rPr>
            </w:pPr>
          </w:p>
        </w:tc>
        <w:tc>
          <w:tcPr>
            <w:tcW w:w="8118" w:type="dxa"/>
          </w:tcPr>
          <w:p w:rsidR="002248E0" w:rsidRPr="00C719F1" w:rsidRDefault="002248E0" w:rsidP="001A5310">
            <w:pPr>
              <w:rPr>
                <w:sz w:val="20"/>
                <w:szCs w:val="20"/>
              </w:rPr>
            </w:pPr>
            <w:r w:rsidRPr="00C719F1">
              <w:rPr>
                <w:rStyle w:val="SCCLsocChar"/>
                <w:sz w:val="20"/>
                <w:szCs w:val="20"/>
                <w:lang w:val="en-CA"/>
              </w:rPr>
              <w:t>Omari White v. Her Majesty the Queen</w:t>
            </w:r>
            <w:r w:rsidRPr="00C719F1">
              <w:rPr>
                <w:sz w:val="20"/>
                <w:szCs w:val="20"/>
              </w:rPr>
              <w:t xml:space="preserve"> (Ont.) (Criminal) (By Leave)</w:t>
            </w:r>
          </w:p>
          <w:p w:rsidR="002248E0" w:rsidRPr="00C719F1" w:rsidRDefault="002248E0" w:rsidP="001A5310">
            <w:pPr>
              <w:rPr>
                <w:sz w:val="20"/>
                <w:szCs w:val="20"/>
              </w:rPr>
            </w:pPr>
          </w:p>
        </w:tc>
      </w:tr>
      <w:tr w:rsidR="002248E0" w:rsidRPr="00C3091A" w:rsidTr="001A5310">
        <w:trPr>
          <w:cantSplit/>
        </w:trPr>
        <w:tc>
          <w:tcPr>
            <w:tcW w:w="1458" w:type="dxa"/>
          </w:tcPr>
          <w:p w:rsidR="002248E0" w:rsidRPr="00C719F1" w:rsidRDefault="002248E0" w:rsidP="001A5310">
            <w:pPr>
              <w:rPr>
                <w:sz w:val="20"/>
                <w:szCs w:val="20"/>
              </w:rPr>
            </w:pPr>
            <w:r w:rsidRPr="00C719F1">
              <w:rPr>
                <w:sz w:val="20"/>
                <w:szCs w:val="20"/>
              </w:rPr>
              <w:t>Coram :</w:t>
            </w:r>
          </w:p>
        </w:tc>
        <w:tc>
          <w:tcPr>
            <w:tcW w:w="8118" w:type="dxa"/>
          </w:tcPr>
          <w:p w:rsidR="002248E0" w:rsidRPr="00C719F1" w:rsidRDefault="002248E0" w:rsidP="001A5310">
            <w:pPr>
              <w:rPr>
                <w:sz w:val="20"/>
                <w:szCs w:val="20"/>
                <w:lang w:val="fr-CA"/>
              </w:rPr>
            </w:pPr>
            <w:r w:rsidRPr="00C719F1">
              <w:rPr>
                <w:rStyle w:val="SCCCoramChar"/>
                <w:sz w:val="20"/>
                <w:szCs w:val="20"/>
              </w:rPr>
              <w:t>Abella, Karakatsanis and Côté JJ.</w:t>
            </w:r>
          </w:p>
          <w:p w:rsidR="002248E0" w:rsidRPr="00C719F1" w:rsidRDefault="002248E0" w:rsidP="001A5310">
            <w:pPr>
              <w:rPr>
                <w:sz w:val="20"/>
                <w:szCs w:val="20"/>
                <w:u w:val="single"/>
                <w:lang w:val="fr-CA"/>
              </w:rPr>
            </w:pPr>
          </w:p>
        </w:tc>
      </w:tr>
      <w:tr w:rsidR="002248E0" w:rsidRPr="00C3091A" w:rsidTr="001A5310">
        <w:trPr>
          <w:cantSplit/>
        </w:trPr>
        <w:tc>
          <w:tcPr>
            <w:tcW w:w="9576" w:type="dxa"/>
            <w:gridSpan w:val="2"/>
          </w:tcPr>
          <w:p w:rsidR="002248E0" w:rsidRPr="00C719F1" w:rsidRDefault="002248E0" w:rsidP="001A5310">
            <w:pPr>
              <w:pStyle w:val="SCCShortJudgment"/>
              <w:rPr>
                <w:szCs w:val="20"/>
              </w:rPr>
            </w:pPr>
            <w:r w:rsidRPr="00C719F1">
              <w:rPr>
                <w:szCs w:val="20"/>
              </w:rPr>
              <w:lastRenderedPageBreak/>
              <w:t>The motion for an extension of time to serve and file the application for leave to appeal is granted. The application for leave to appeal from the judgment of the Court of Appeal for Ontario, Number C51993, 2014 ONCA 64, dated January 24, 2014, is dismissed.</w:t>
            </w:r>
          </w:p>
          <w:p w:rsidR="002248E0" w:rsidRPr="00C719F1" w:rsidRDefault="002248E0" w:rsidP="001A5310">
            <w:pPr>
              <w:pStyle w:val="SCCShortJudgment"/>
              <w:ind w:firstLine="0"/>
              <w:rPr>
                <w:szCs w:val="20"/>
              </w:rPr>
            </w:pPr>
          </w:p>
          <w:p w:rsidR="002248E0" w:rsidRPr="00C719F1" w:rsidRDefault="002248E0" w:rsidP="001A5310">
            <w:pPr>
              <w:pStyle w:val="SCCShortJudgment"/>
              <w:rPr>
                <w:szCs w:val="20"/>
                <w:lang w:val="fr-CA"/>
              </w:rPr>
            </w:pPr>
            <w:r w:rsidRPr="00C719F1">
              <w:rPr>
                <w:szCs w:val="20"/>
                <w:lang w:val="fr-CA"/>
              </w:rPr>
              <w:t>La requête en prorogation du délai de signification et de dépôt de la demande d’autorisation est accueillie. La demande d’autorisation d’appel de l’arrêt de la Cour d’appel de l’Ontario, numéro C51993, 2014 ONCA 64, daté du 24 janvier 2014, est rejetée.</w:t>
            </w:r>
          </w:p>
        </w:tc>
      </w:tr>
    </w:tbl>
    <w:p w:rsidR="008E7C88" w:rsidRPr="002248E0" w:rsidRDefault="008E7C88" w:rsidP="008E7C88">
      <w:pPr>
        <w:rPr>
          <w:sz w:val="20"/>
          <w:szCs w:val="20"/>
          <w:lang w:val="fr-CA"/>
        </w:rPr>
      </w:pPr>
    </w:p>
    <w:p w:rsidR="008E7C88" w:rsidRPr="001B157C" w:rsidRDefault="008E7C88" w:rsidP="008E7C88">
      <w:pPr>
        <w:rPr>
          <w:sz w:val="20"/>
          <w:szCs w:val="20"/>
          <w:u w:val="single"/>
        </w:rPr>
      </w:pPr>
      <w:r w:rsidRPr="001B157C">
        <w:rPr>
          <w:sz w:val="20"/>
          <w:szCs w:val="20"/>
          <w:u w:val="single"/>
        </w:rPr>
        <w:t>CASE SUMMARY</w:t>
      </w:r>
    </w:p>
    <w:p w:rsidR="008E7C88" w:rsidRDefault="008E7C88" w:rsidP="008E7C88">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131D5C" w:rsidRPr="0071003D" w:rsidTr="001A5310">
        <w:trPr>
          <w:gridAfter w:val="1"/>
          <w:wAfter w:w="48" w:type="pct"/>
        </w:trPr>
        <w:tc>
          <w:tcPr>
            <w:tcW w:w="4952" w:type="pct"/>
            <w:gridSpan w:val="3"/>
          </w:tcPr>
          <w:p w:rsidR="00131D5C" w:rsidRPr="0071003D" w:rsidRDefault="00131D5C" w:rsidP="001A5310">
            <w:pPr>
              <w:jc w:val="both"/>
              <w:rPr>
                <w:rFonts w:eastAsia="Calibri"/>
                <w:sz w:val="20"/>
                <w:szCs w:val="20"/>
              </w:rPr>
            </w:pPr>
            <w:r w:rsidRPr="0071003D">
              <w:rPr>
                <w:rFonts w:eastAsia="Calibri"/>
                <w:sz w:val="20"/>
                <w:szCs w:val="20"/>
              </w:rPr>
              <w:t>Criminal Law – Sentencing – Offences – Murder – Constructive first degree murder – Classification of murder as first degree murder when death is caused while committing or attempting to commit forcible confinement – Whether attempted unlawful confinement on its own should ever lead to liability for first degree murder under s. 231(5)(</w:t>
            </w:r>
            <w:r w:rsidRPr="0071003D">
              <w:rPr>
                <w:rFonts w:eastAsia="Calibri"/>
                <w:i/>
                <w:sz w:val="20"/>
                <w:szCs w:val="20"/>
              </w:rPr>
              <w:t>e</w:t>
            </w:r>
            <w:r w:rsidRPr="0071003D">
              <w:rPr>
                <w:rFonts w:eastAsia="Calibri"/>
                <w:sz w:val="20"/>
                <w:szCs w:val="20"/>
              </w:rPr>
              <w:t>) of the</w:t>
            </w:r>
            <w:r w:rsidRPr="0071003D">
              <w:rPr>
                <w:rFonts w:eastAsia="Calibri"/>
                <w:i/>
                <w:sz w:val="20"/>
                <w:szCs w:val="20"/>
              </w:rPr>
              <w:t xml:space="preserve"> Criminal Code</w:t>
            </w:r>
            <w:r w:rsidRPr="0071003D">
              <w:rPr>
                <w:rFonts w:eastAsia="Calibri"/>
                <w:sz w:val="20"/>
                <w:szCs w:val="20"/>
              </w:rPr>
              <w:t xml:space="preserve"> – Whether it is just or fair to hold individuals accountable under s. 231(5)(</w:t>
            </w:r>
            <w:r w:rsidRPr="0071003D">
              <w:rPr>
                <w:rFonts w:eastAsia="Calibri"/>
                <w:i/>
                <w:sz w:val="20"/>
                <w:szCs w:val="20"/>
              </w:rPr>
              <w:t>e</w:t>
            </w:r>
            <w:r w:rsidRPr="0071003D">
              <w:rPr>
                <w:rFonts w:eastAsia="Calibri"/>
                <w:sz w:val="20"/>
                <w:szCs w:val="20"/>
              </w:rPr>
              <w:t xml:space="preserve">) both for attempted unlawful confinement and unlawful confinement – Whether provincial appellate courts diverge in their interpretation and application of the distinct criminal acts test – </w:t>
            </w:r>
            <w:r w:rsidRPr="0071003D">
              <w:rPr>
                <w:rFonts w:eastAsia="Calibri"/>
                <w:i/>
                <w:sz w:val="20"/>
                <w:szCs w:val="20"/>
              </w:rPr>
              <w:t>Criminal Code</w:t>
            </w:r>
            <w:r w:rsidRPr="0071003D">
              <w:rPr>
                <w:rFonts w:eastAsia="Calibri"/>
                <w:sz w:val="20"/>
                <w:szCs w:val="20"/>
              </w:rPr>
              <w:t>, s. 231(5)(</w:t>
            </w:r>
            <w:r w:rsidRPr="0071003D">
              <w:rPr>
                <w:rFonts w:eastAsia="Calibri"/>
                <w:i/>
                <w:sz w:val="20"/>
                <w:szCs w:val="20"/>
              </w:rPr>
              <w:t>e</w:t>
            </w:r>
            <w:r w:rsidRPr="0071003D">
              <w:rPr>
                <w:rFonts w:eastAsia="Calibri"/>
                <w:sz w:val="20"/>
                <w:szCs w:val="20"/>
              </w:rPr>
              <w:t>).</w:t>
            </w:r>
          </w:p>
        </w:tc>
      </w:tr>
      <w:tr w:rsidR="00131D5C" w:rsidRPr="0071003D" w:rsidTr="001A5310">
        <w:trPr>
          <w:gridAfter w:val="1"/>
          <w:wAfter w:w="48" w:type="pct"/>
        </w:trPr>
        <w:tc>
          <w:tcPr>
            <w:tcW w:w="4952" w:type="pct"/>
            <w:gridSpan w:val="3"/>
          </w:tcPr>
          <w:p w:rsidR="00131D5C" w:rsidRPr="0071003D" w:rsidRDefault="00131D5C" w:rsidP="001A5310">
            <w:pPr>
              <w:jc w:val="both"/>
              <w:rPr>
                <w:rFonts w:eastAsia="Calibri"/>
                <w:sz w:val="20"/>
                <w:szCs w:val="20"/>
              </w:rPr>
            </w:pPr>
          </w:p>
        </w:tc>
      </w:tr>
      <w:tr w:rsidR="00131D5C" w:rsidRPr="0071003D" w:rsidTr="001A5310">
        <w:trPr>
          <w:gridAfter w:val="1"/>
          <w:wAfter w:w="48" w:type="pct"/>
        </w:trPr>
        <w:tc>
          <w:tcPr>
            <w:tcW w:w="4952" w:type="pct"/>
            <w:gridSpan w:val="3"/>
          </w:tcPr>
          <w:p w:rsidR="00131D5C" w:rsidRPr="0071003D" w:rsidRDefault="00131D5C" w:rsidP="001A5310">
            <w:pPr>
              <w:jc w:val="both"/>
              <w:rPr>
                <w:rFonts w:eastAsia="Calibri"/>
                <w:sz w:val="20"/>
                <w:szCs w:val="20"/>
              </w:rPr>
            </w:pPr>
            <w:r w:rsidRPr="0071003D">
              <w:rPr>
                <w:rFonts w:eastAsia="Calibri"/>
                <w:sz w:val="20"/>
                <w:szCs w:val="20"/>
              </w:rPr>
              <w:t>The accused and three friends decided to rob a teenage boy.  Crown counsel argued at trial that they caught up to the victim in a catwalk connecting a residential street to a busy intersection, they attempted to rob their victim at knifepoint, the accused cut the victim’s fingertip with a knife, the victim fled, and the assailants pursued the victim.  A witness in the intersection saw the victim being chased out of the catwalk.  A co-accused caught up to victim, grabbed him from behind, and held him in a bear hug while he struggled to break free.  Two or three seconds later, the accused caught up and made two jabbing motions to the victim’s chest.  A few seconds later, the other two assailants caught up.  All four assailants then fled.  The victim died from a single stab wound to his chest.  The Crown alleged constructive first degree murder under s. 231(5)(</w:t>
            </w:r>
            <w:r w:rsidRPr="0071003D">
              <w:rPr>
                <w:rFonts w:eastAsia="Calibri"/>
                <w:i/>
                <w:sz w:val="20"/>
                <w:szCs w:val="20"/>
              </w:rPr>
              <w:t>e</w:t>
            </w:r>
            <w:r w:rsidRPr="0071003D">
              <w:rPr>
                <w:rFonts w:eastAsia="Calibri"/>
                <w:sz w:val="20"/>
                <w:szCs w:val="20"/>
              </w:rPr>
              <w:t xml:space="preserve">) of the </w:t>
            </w:r>
            <w:r w:rsidRPr="0071003D">
              <w:rPr>
                <w:rFonts w:eastAsia="Calibri"/>
                <w:i/>
                <w:sz w:val="20"/>
                <w:szCs w:val="20"/>
              </w:rPr>
              <w:t>Criminal Code</w:t>
            </w:r>
            <w:r w:rsidRPr="0071003D">
              <w:rPr>
                <w:rFonts w:eastAsia="Calibri"/>
                <w:sz w:val="20"/>
                <w:szCs w:val="20"/>
              </w:rPr>
              <w:t xml:space="preserve"> based on unlawful confinement and attempted unlawful confinement.   </w:t>
            </w:r>
          </w:p>
          <w:p w:rsidR="00131D5C" w:rsidRPr="0071003D" w:rsidRDefault="00131D5C" w:rsidP="001A5310">
            <w:pPr>
              <w:jc w:val="both"/>
              <w:rPr>
                <w:rFonts w:eastAsia="Calibri"/>
                <w:sz w:val="20"/>
                <w:szCs w:val="20"/>
              </w:rPr>
            </w:pPr>
          </w:p>
        </w:tc>
      </w:tr>
      <w:tr w:rsidR="00131D5C" w:rsidRPr="0071003D" w:rsidTr="001A5310">
        <w:tblPrEx>
          <w:tblCellMar>
            <w:bottom w:w="0" w:type="dxa"/>
          </w:tblCellMar>
        </w:tblPrEx>
        <w:tc>
          <w:tcPr>
            <w:tcW w:w="2367" w:type="pct"/>
          </w:tcPr>
          <w:p w:rsidR="00131D5C" w:rsidRPr="0071003D" w:rsidRDefault="00131D5C" w:rsidP="001A5310">
            <w:pPr>
              <w:jc w:val="both"/>
              <w:rPr>
                <w:rFonts w:eastAsia="Calibri"/>
                <w:sz w:val="20"/>
                <w:szCs w:val="20"/>
              </w:rPr>
            </w:pPr>
            <w:r w:rsidRPr="0071003D">
              <w:rPr>
                <w:rFonts w:eastAsia="Calibri"/>
                <w:sz w:val="20"/>
                <w:szCs w:val="20"/>
              </w:rPr>
              <w:t>July 10, 2009</w:t>
            </w:r>
          </w:p>
          <w:p w:rsidR="00131D5C" w:rsidRPr="0071003D" w:rsidRDefault="00131D5C" w:rsidP="001A5310">
            <w:pPr>
              <w:jc w:val="both"/>
              <w:rPr>
                <w:rFonts w:eastAsia="Calibri"/>
                <w:sz w:val="20"/>
                <w:szCs w:val="20"/>
              </w:rPr>
            </w:pPr>
            <w:r w:rsidRPr="0071003D">
              <w:rPr>
                <w:rFonts w:eastAsia="Calibri"/>
                <w:sz w:val="20"/>
                <w:szCs w:val="20"/>
              </w:rPr>
              <w:t>Ontario Superior Court of Justice</w:t>
            </w:r>
          </w:p>
          <w:p w:rsidR="00131D5C" w:rsidRPr="0071003D" w:rsidRDefault="00131D5C" w:rsidP="001A5310">
            <w:pPr>
              <w:jc w:val="both"/>
              <w:rPr>
                <w:rFonts w:eastAsia="Calibri"/>
                <w:sz w:val="20"/>
                <w:szCs w:val="20"/>
              </w:rPr>
            </w:pPr>
            <w:r w:rsidRPr="0071003D">
              <w:rPr>
                <w:rFonts w:eastAsia="Calibri"/>
                <w:sz w:val="20"/>
                <w:szCs w:val="20"/>
              </w:rPr>
              <w:t>(Sproat J.)</w:t>
            </w:r>
          </w:p>
          <w:p w:rsidR="00131D5C" w:rsidRPr="0071003D" w:rsidRDefault="00131D5C" w:rsidP="001A5310">
            <w:pPr>
              <w:jc w:val="both"/>
              <w:rPr>
                <w:rFonts w:eastAsia="Calibri"/>
                <w:sz w:val="20"/>
                <w:szCs w:val="20"/>
              </w:rPr>
            </w:pPr>
          </w:p>
        </w:tc>
        <w:tc>
          <w:tcPr>
            <w:tcW w:w="267" w:type="pct"/>
          </w:tcPr>
          <w:p w:rsidR="00131D5C" w:rsidRPr="0071003D" w:rsidRDefault="00131D5C" w:rsidP="001A5310">
            <w:pPr>
              <w:jc w:val="both"/>
              <w:rPr>
                <w:rFonts w:eastAsia="Calibri"/>
                <w:sz w:val="20"/>
                <w:szCs w:val="20"/>
              </w:rPr>
            </w:pPr>
          </w:p>
        </w:tc>
        <w:tc>
          <w:tcPr>
            <w:tcW w:w="2366" w:type="pct"/>
            <w:gridSpan w:val="2"/>
          </w:tcPr>
          <w:p w:rsidR="00131D5C" w:rsidRPr="0071003D" w:rsidRDefault="00131D5C" w:rsidP="001A5310">
            <w:pPr>
              <w:jc w:val="both"/>
              <w:rPr>
                <w:rFonts w:eastAsia="Calibri"/>
                <w:sz w:val="20"/>
                <w:szCs w:val="20"/>
              </w:rPr>
            </w:pPr>
            <w:r w:rsidRPr="0071003D">
              <w:rPr>
                <w:rFonts w:eastAsia="Calibri"/>
                <w:sz w:val="20"/>
                <w:szCs w:val="20"/>
              </w:rPr>
              <w:t>Motion for directed verdict of acquittal of first degree murder dismissed</w:t>
            </w:r>
          </w:p>
        </w:tc>
      </w:tr>
      <w:tr w:rsidR="00131D5C" w:rsidRPr="0071003D" w:rsidTr="001A5310">
        <w:tblPrEx>
          <w:tblCellMar>
            <w:bottom w:w="0" w:type="dxa"/>
          </w:tblCellMar>
        </w:tblPrEx>
        <w:tc>
          <w:tcPr>
            <w:tcW w:w="2367" w:type="pct"/>
          </w:tcPr>
          <w:p w:rsidR="00131D5C" w:rsidRPr="0071003D" w:rsidRDefault="00131D5C" w:rsidP="001A5310">
            <w:pPr>
              <w:jc w:val="both"/>
              <w:rPr>
                <w:rFonts w:eastAsia="Calibri"/>
                <w:sz w:val="20"/>
                <w:szCs w:val="20"/>
              </w:rPr>
            </w:pPr>
            <w:r w:rsidRPr="0071003D">
              <w:rPr>
                <w:rFonts w:eastAsia="Calibri"/>
                <w:sz w:val="20"/>
                <w:szCs w:val="20"/>
              </w:rPr>
              <w:t>July 10, 2009</w:t>
            </w:r>
          </w:p>
          <w:p w:rsidR="00131D5C" w:rsidRPr="0071003D" w:rsidRDefault="00131D5C" w:rsidP="001A5310">
            <w:pPr>
              <w:jc w:val="both"/>
              <w:rPr>
                <w:rFonts w:eastAsia="Calibri"/>
                <w:sz w:val="20"/>
                <w:szCs w:val="20"/>
              </w:rPr>
            </w:pPr>
            <w:r w:rsidRPr="0071003D">
              <w:rPr>
                <w:rFonts w:eastAsia="Calibri"/>
                <w:sz w:val="20"/>
                <w:szCs w:val="20"/>
              </w:rPr>
              <w:t>Ontario Superior Court of Justice</w:t>
            </w:r>
          </w:p>
          <w:p w:rsidR="00131D5C" w:rsidRPr="0071003D" w:rsidRDefault="00131D5C" w:rsidP="001A5310">
            <w:pPr>
              <w:jc w:val="both"/>
              <w:rPr>
                <w:rFonts w:eastAsia="Calibri"/>
                <w:sz w:val="20"/>
                <w:szCs w:val="20"/>
              </w:rPr>
            </w:pPr>
            <w:r w:rsidRPr="0071003D">
              <w:rPr>
                <w:rFonts w:eastAsia="Calibri"/>
                <w:sz w:val="20"/>
                <w:szCs w:val="20"/>
              </w:rPr>
              <w:t>(Sproat J.)</w:t>
            </w:r>
          </w:p>
          <w:p w:rsidR="00131D5C" w:rsidRPr="0071003D" w:rsidRDefault="00131D5C" w:rsidP="001A5310">
            <w:pPr>
              <w:jc w:val="both"/>
              <w:rPr>
                <w:rFonts w:eastAsia="Calibri"/>
                <w:sz w:val="20"/>
                <w:szCs w:val="20"/>
              </w:rPr>
            </w:pPr>
          </w:p>
        </w:tc>
        <w:tc>
          <w:tcPr>
            <w:tcW w:w="267" w:type="pct"/>
          </w:tcPr>
          <w:p w:rsidR="00131D5C" w:rsidRPr="0071003D" w:rsidRDefault="00131D5C" w:rsidP="001A5310">
            <w:pPr>
              <w:jc w:val="both"/>
              <w:rPr>
                <w:rFonts w:eastAsia="Calibri"/>
                <w:sz w:val="20"/>
                <w:szCs w:val="20"/>
              </w:rPr>
            </w:pPr>
          </w:p>
        </w:tc>
        <w:tc>
          <w:tcPr>
            <w:tcW w:w="2366" w:type="pct"/>
            <w:gridSpan w:val="2"/>
          </w:tcPr>
          <w:p w:rsidR="00131D5C" w:rsidRPr="0071003D" w:rsidRDefault="00131D5C" w:rsidP="001A5310">
            <w:pPr>
              <w:jc w:val="both"/>
              <w:rPr>
                <w:rFonts w:eastAsia="Calibri"/>
                <w:sz w:val="20"/>
                <w:szCs w:val="20"/>
              </w:rPr>
            </w:pPr>
            <w:r w:rsidRPr="0071003D">
              <w:rPr>
                <w:rFonts w:eastAsia="Calibri"/>
                <w:sz w:val="20"/>
                <w:szCs w:val="20"/>
              </w:rPr>
              <w:t>Conviction by jury of first degree murder</w:t>
            </w:r>
          </w:p>
          <w:p w:rsidR="00131D5C" w:rsidRPr="0071003D" w:rsidRDefault="00131D5C" w:rsidP="001A5310">
            <w:pPr>
              <w:jc w:val="both"/>
              <w:rPr>
                <w:rFonts w:eastAsia="Calibri"/>
                <w:sz w:val="20"/>
                <w:szCs w:val="20"/>
              </w:rPr>
            </w:pPr>
          </w:p>
        </w:tc>
      </w:tr>
      <w:tr w:rsidR="00131D5C" w:rsidRPr="0071003D" w:rsidTr="001A5310">
        <w:tblPrEx>
          <w:tblCellMar>
            <w:bottom w:w="0" w:type="dxa"/>
          </w:tblCellMar>
        </w:tblPrEx>
        <w:tc>
          <w:tcPr>
            <w:tcW w:w="2367" w:type="pct"/>
          </w:tcPr>
          <w:p w:rsidR="00131D5C" w:rsidRPr="0071003D" w:rsidRDefault="00131D5C" w:rsidP="001A5310">
            <w:pPr>
              <w:jc w:val="both"/>
              <w:rPr>
                <w:rFonts w:eastAsia="Calibri"/>
                <w:sz w:val="20"/>
                <w:szCs w:val="20"/>
              </w:rPr>
            </w:pPr>
            <w:r w:rsidRPr="0071003D">
              <w:rPr>
                <w:rFonts w:eastAsia="Calibri"/>
                <w:sz w:val="20"/>
                <w:szCs w:val="20"/>
              </w:rPr>
              <w:t>January 24, 2014</w:t>
            </w:r>
          </w:p>
          <w:p w:rsidR="00131D5C" w:rsidRPr="0071003D" w:rsidRDefault="00131D5C" w:rsidP="001A5310">
            <w:pPr>
              <w:jc w:val="both"/>
              <w:rPr>
                <w:rFonts w:eastAsia="Calibri"/>
                <w:sz w:val="20"/>
                <w:szCs w:val="20"/>
              </w:rPr>
            </w:pPr>
            <w:r w:rsidRPr="0071003D">
              <w:rPr>
                <w:rFonts w:eastAsia="Calibri"/>
                <w:sz w:val="20"/>
                <w:szCs w:val="20"/>
              </w:rPr>
              <w:t>Court of Appeal for Ontario</w:t>
            </w:r>
          </w:p>
          <w:p w:rsidR="00131D5C" w:rsidRPr="0071003D" w:rsidRDefault="00131D5C" w:rsidP="001A5310">
            <w:pPr>
              <w:jc w:val="both"/>
              <w:rPr>
                <w:rFonts w:eastAsia="Calibri"/>
                <w:sz w:val="20"/>
                <w:szCs w:val="20"/>
              </w:rPr>
            </w:pPr>
            <w:r w:rsidRPr="0071003D">
              <w:rPr>
                <w:rFonts w:eastAsia="Calibri"/>
                <w:sz w:val="20"/>
                <w:szCs w:val="20"/>
              </w:rPr>
              <w:t>(Laskin, Simmons, Cronk JJ.A.)</w:t>
            </w:r>
          </w:p>
          <w:p w:rsidR="00131D5C" w:rsidRPr="0071003D" w:rsidRDefault="00131D5C" w:rsidP="001A5310">
            <w:pPr>
              <w:jc w:val="both"/>
              <w:rPr>
                <w:rFonts w:eastAsia="Calibri"/>
                <w:sz w:val="20"/>
                <w:szCs w:val="20"/>
              </w:rPr>
            </w:pPr>
            <w:r w:rsidRPr="0071003D">
              <w:rPr>
                <w:rFonts w:eastAsia="Calibri"/>
                <w:sz w:val="20"/>
                <w:szCs w:val="20"/>
              </w:rPr>
              <w:t>C51993; 2014 ONCA 64</w:t>
            </w:r>
          </w:p>
          <w:p w:rsidR="00131D5C" w:rsidRPr="0071003D" w:rsidRDefault="00131D5C" w:rsidP="001A5310">
            <w:pPr>
              <w:jc w:val="both"/>
              <w:rPr>
                <w:rFonts w:eastAsia="Calibri"/>
                <w:sz w:val="20"/>
                <w:szCs w:val="20"/>
              </w:rPr>
            </w:pPr>
          </w:p>
        </w:tc>
        <w:tc>
          <w:tcPr>
            <w:tcW w:w="267" w:type="pct"/>
          </w:tcPr>
          <w:p w:rsidR="00131D5C" w:rsidRPr="0071003D" w:rsidRDefault="00131D5C" w:rsidP="001A5310">
            <w:pPr>
              <w:jc w:val="both"/>
              <w:rPr>
                <w:rFonts w:eastAsia="Calibri"/>
                <w:sz w:val="20"/>
                <w:szCs w:val="20"/>
              </w:rPr>
            </w:pPr>
          </w:p>
        </w:tc>
        <w:tc>
          <w:tcPr>
            <w:tcW w:w="2366" w:type="pct"/>
            <w:gridSpan w:val="2"/>
          </w:tcPr>
          <w:p w:rsidR="00131D5C" w:rsidRPr="0071003D" w:rsidRDefault="00131D5C" w:rsidP="001A5310">
            <w:pPr>
              <w:jc w:val="both"/>
              <w:rPr>
                <w:rFonts w:eastAsia="Calibri"/>
                <w:sz w:val="20"/>
                <w:szCs w:val="20"/>
              </w:rPr>
            </w:pPr>
            <w:r w:rsidRPr="0071003D">
              <w:rPr>
                <w:rFonts w:eastAsia="Calibri"/>
                <w:sz w:val="20"/>
                <w:szCs w:val="20"/>
              </w:rPr>
              <w:t>Appeal dismissed</w:t>
            </w:r>
          </w:p>
          <w:p w:rsidR="00131D5C" w:rsidRPr="0071003D" w:rsidRDefault="00131D5C" w:rsidP="001A5310">
            <w:pPr>
              <w:jc w:val="both"/>
              <w:rPr>
                <w:rFonts w:eastAsia="Calibri"/>
                <w:sz w:val="20"/>
                <w:szCs w:val="20"/>
              </w:rPr>
            </w:pPr>
          </w:p>
        </w:tc>
      </w:tr>
      <w:tr w:rsidR="00131D5C" w:rsidRPr="0071003D" w:rsidTr="001A5310">
        <w:tblPrEx>
          <w:tblCellMar>
            <w:bottom w:w="0" w:type="dxa"/>
          </w:tblCellMar>
        </w:tblPrEx>
        <w:tc>
          <w:tcPr>
            <w:tcW w:w="2367" w:type="pct"/>
          </w:tcPr>
          <w:p w:rsidR="00131D5C" w:rsidRPr="0071003D" w:rsidRDefault="00131D5C" w:rsidP="001A5310">
            <w:pPr>
              <w:jc w:val="both"/>
              <w:rPr>
                <w:rFonts w:eastAsia="Calibri"/>
                <w:sz w:val="20"/>
                <w:szCs w:val="20"/>
              </w:rPr>
            </w:pPr>
            <w:r w:rsidRPr="0071003D">
              <w:rPr>
                <w:rFonts w:eastAsia="Calibri"/>
                <w:sz w:val="20"/>
                <w:szCs w:val="20"/>
              </w:rPr>
              <w:t>November 13, 2014</w:t>
            </w:r>
          </w:p>
          <w:p w:rsidR="00131D5C" w:rsidRPr="0071003D" w:rsidRDefault="00131D5C" w:rsidP="001A5310">
            <w:pPr>
              <w:jc w:val="both"/>
              <w:rPr>
                <w:rFonts w:eastAsia="Calibri"/>
                <w:sz w:val="20"/>
                <w:szCs w:val="20"/>
              </w:rPr>
            </w:pPr>
            <w:r w:rsidRPr="0071003D">
              <w:rPr>
                <w:rFonts w:eastAsia="Calibri"/>
                <w:sz w:val="20"/>
                <w:szCs w:val="20"/>
              </w:rPr>
              <w:t>Supreme Court of Canada</w:t>
            </w:r>
          </w:p>
        </w:tc>
        <w:tc>
          <w:tcPr>
            <w:tcW w:w="267" w:type="pct"/>
          </w:tcPr>
          <w:p w:rsidR="00131D5C" w:rsidRPr="0071003D" w:rsidRDefault="00131D5C" w:rsidP="001A5310">
            <w:pPr>
              <w:jc w:val="both"/>
              <w:rPr>
                <w:rFonts w:eastAsia="Calibri"/>
                <w:sz w:val="20"/>
                <w:szCs w:val="20"/>
              </w:rPr>
            </w:pPr>
          </w:p>
        </w:tc>
        <w:tc>
          <w:tcPr>
            <w:tcW w:w="2366" w:type="pct"/>
            <w:gridSpan w:val="2"/>
          </w:tcPr>
          <w:p w:rsidR="00131D5C" w:rsidRPr="0071003D" w:rsidRDefault="00131D5C" w:rsidP="001A5310">
            <w:pPr>
              <w:jc w:val="both"/>
              <w:rPr>
                <w:rFonts w:eastAsia="Calibri"/>
                <w:sz w:val="20"/>
                <w:szCs w:val="20"/>
              </w:rPr>
            </w:pPr>
            <w:r w:rsidRPr="0071003D">
              <w:rPr>
                <w:rFonts w:eastAsia="Calibri"/>
                <w:sz w:val="20"/>
                <w:szCs w:val="20"/>
              </w:rPr>
              <w:t>Application for extension of time to serve and file application for leave to appeal and Application for leave to appeal filed</w:t>
            </w:r>
          </w:p>
        </w:tc>
      </w:tr>
    </w:tbl>
    <w:p w:rsidR="008E7C88" w:rsidRDefault="008E7C88" w:rsidP="008E7C88">
      <w:pPr>
        <w:rPr>
          <w:sz w:val="20"/>
          <w:szCs w:val="20"/>
        </w:rPr>
      </w:pPr>
    </w:p>
    <w:p w:rsidR="008E7C88" w:rsidRPr="00C50A5C" w:rsidRDefault="00BF341F" w:rsidP="008E7C88">
      <w:pPr>
        <w:rPr>
          <w:sz w:val="20"/>
          <w:szCs w:val="20"/>
        </w:rPr>
      </w:pPr>
      <w:r>
        <w:rPr>
          <w:sz w:val="20"/>
          <w:szCs w:val="20"/>
          <w:lang w:val="fr-CA"/>
        </w:rPr>
        <w:pict>
          <v:rect id="_x0000_i1042" style="width:2in;height:1pt" o:hrpct="0" o:hralign="center" o:hrstd="t" o:hrnoshade="t" o:hr="t" fillcolor="black [3213]" stroked="f"/>
        </w:pict>
      </w:r>
    </w:p>
    <w:p w:rsidR="008E7C88" w:rsidRDefault="008E7C88" w:rsidP="008E7C88">
      <w:pPr>
        <w:rPr>
          <w:sz w:val="20"/>
          <w:szCs w:val="20"/>
        </w:rPr>
      </w:pPr>
    </w:p>
    <w:p w:rsidR="008E7C88" w:rsidRPr="001B157C" w:rsidRDefault="008E7C88" w:rsidP="008E7C88">
      <w:pPr>
        <w:rPr>
          <w:sz w:val="20"/>
          <w:szCs w:val="20"/>
          <w:u w:val="single"/>
          <w:lang w:val="fr-CA"/>
        </w:rPr>
      </w:pPr>
      <w:r w:rsidRPr="001B157C">
        <w:rPr>
          <w:sz w:val="20"/>
          <w:szCs w:val="20"/>
          <w:u w:val="single"/>
          <w:lang w:val="fr-CA"/>
        </w:rPr>
        <w:t>RÉSUMÉ DE L’AFFAIRE</w:t>
      </w:r>
    </w:p>
    <w:p w:rsidR="008E7C88" w:rsidRDefault="008E7C88" w:rsidP="008E7C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131D5C" w:rsidRPr="00C3091A" w:rsidTr="001A5310">
        <w:tc>
          <w:tcPr>
            <w:tcW w:w="5000" w:type="pct"/>
            <w:gridSpan w:val="3"/>
          </w:tcPr>
          <w:p w:rsidR="00131D5C" w:rsidRPr="0071003D" w:rsidRDefault="00131D5C" w:rsidP="001A5310">
            <w:pPr>
              <w:jc w:val="both"/>
              <w:rPr>
                <w:rFonts w:eastAsia="Calibri"/>
                <w:sz w:val="20"/>
                <w:szCs w:val="20"/>
                <w:lang w:val="fr-CA"/>
              </w:rPr>
            </w:pPr>
            <w:r w:rsidRPr="0071003D">
              <w:rPr>
                <w:rFonts w:eastAsia="Calibri"/>
                <w:sz w:val="20"/>
                <w:szCs w:val="20"/>
                <w:lang w:val="fr-CA"/>
              </w:rPr>
              <w:t>Droit criminel – Détermination de la peine – Infractions – Meurtre – Meurtre au premier degré par imputation – Classification d’un meurtre comme meurtre au premier degré lorsque la mort est causée au cours de la perpétration ou de la tentative de perpétration d’une séquestration – Y a-t-il des cas où la tentative de séquestration, à elle seule, est susceptible de rendre son auteur coupable de meurtre au premier degré en application de l’al. 231(5)</w:t>
            </w:r>
            <w:r w:rsidRPr="0071003D">
              <w:rPr>
                <w:rFonts w:eastAsia="Calibri"/>
                <w:i/>
                <w:sz w:val="20"/>
                <w:szCs w:val="20"/>
                <w:lang w:val="fr-CA"/>
              </w:rPr>
              <w:t>e</w:t>
            </w:r>
            <w:r w:rsidRPr="0071003D">
              <w:rPr>
                <w:rFonts w:eastAsia="Calibri"/>
                <w:sz w:val="20"/>
                <w:szCs w:val="20"/>
                <w:lang w:val="fr-CA"/>
              </w:rPr>
              <w:t>) du</w:t>
            </w:r>
            <w:r w:rsidRPr="0071003D">
              <w:rPr>
                <w:rFonts w:eastAsia="Calibri"/>
                <w:i/>
                <w:sz w:val="20"/>
                <w:szCs w:val="20"/>
                <w:lang w:val="fr-CA"/>
              </w:rPr>
              <w:t xml:space="preserve"> Code </w:t>
            </w:r>
            <w:r w:rsidRPr="0071003D">
              <w:rPr>
                <w:rFonts w:eastAsia="Calibri"/>
                <w:i/>
                <w:sz w:val="20"/>
                <w:szCs w:val="20"/>
                <w:lang w:val="fr-CA"/>
              </w:rPr>
              <w:lastRenderedPageBreak/>
              <w:t>criminel</w:t>
            </w:r>
            <w:r w:rsidRPr="0071003D">
              <w:rPr>
                <w:rFonts w:eastAsia="Calibri"/>
                <w:sz w:val="20"/>
                <w:szCs w:val="20"/>
                <w:lang w:val="fr-CA"/>
              </w:rPr>
              <w:t>? – Est-il juste ou équitable de tenir des personnes responsables, en application de l’al. 231(5)</w:t>
            </w:r>
            <w:r w:rsidRPr="0071003D">
              <w:rPr>
                <w:rFonts w:eastAsia="Calibri"/>
                <w:i/>
                <w:sz w:val="20"/>
                <w:szCs w:val="20"/>
                <w:lang w:val="fr-CA"/>
              </w:rPr>
              <w:t>e</w:t>
            </w:r>
            <w:r w:rsidRPr="0071003D">
              <w:rPr>
                <w:rFonts w:eastAsia="Calibri"/>
                <w:sz w:val="20"/>
                <w:szCs w:val="20"/>
                <w:lang w:val="fr-CA"/>
              </w:rPr>
              <w:t xml:space="preserve">), à la fois de tentative de séquestration et de séquestration? – Les cours d’appel provinciales divergent-elles dans leur interprétation et leur application du critère relatif aux actes criminels distincts? – </w:t>
            </w:r>
            <w:r w:rsidRPr="0071003D">
              <w:rPr>
                <w:rFonts w:eastAsia="Calibri"/>
                <w:i/>
                <w:sz w:val="20"/>
                <w:szCs w:val="20"/>
                <w:lang w:val="fr-CA"/>
              </w:rPr>
              <w:t>Code criminel</w:t>
            </w:r>
            <w:r w:rsidRPr="0071003D">
              <w:rPr>
                <w:rFonts w:eastAsia="Calibri"/>
                <w:sz w:val="20"/>
                <w:szCs w:val="20"/>
                <w:lang w:val="fr-CA"/>
              </w:rPr>
              <w:t>, al. 231(5)</w:t>
            </w:r>
            <w:r w:rsidRPr="0071003D">
              <w:rPr>
                <w:rFonts w:eastAsia="Calibri"/>
                <w:i/>
                <w:sz w:val="20"/>
                <w:szCs w:val="20"/>
                <w:lang w:val="fr-CA"/>
              </w:rPr>
              <w:t>e</w:t>
            </w:r>
            <w:r w:rsidRPr="0071003D">
              <w:rPr>
                <w:rFonts w:eastAsia="Calibri"/>
                <w:sz w:val="20"/>
                <w:szCs w:val="20"/>
                <w:lang w:val="fr-CA"/>
              </w:rPr>
              <w:t>).</w:t>
            </w:r>
          </w:p>
        </w:tc>
      </w:tr>
      <w:tr w:rsidR="00131D5C" w:rsidRPr="00C3091A" w:rsidTr="001A5310">
        <w:tc>
          <w:tcPr>
            <w:tcW w:w="5000" w:type="pct"/>
            <w:gridSpan w:val="3"/>
          </w:tcPr>
          <w:p w:rsidR="00131D5C" w:rsidRPr="0071003D" w:rsidRDefault="00131D5C" w:rsidP="001A5310">
            <w:pPr>
              <w:jc w:val="both"/>
              <w:rPr>
                <w:rFonts w:eastAsia="Calibri"/>
                <w:sz w:val="20"/>
                <w:szCs w:val="20"/>
                <w:lang w:val="fr-CA"/>
              </w:rPr>
            </w:pPr>
          </w:p>
        </w:tc>
      </w:tr>
      <w:tr w:rsidR="00131D5C" w:rsidRPr="00C3091A" w:rsidTr="001A5310">
        <w:tc>
          <w:tcPr>
            <w:tcW w:w="5000" w:type="pct"/>
            <w:gridSpan w:val="3"/>
          </w:tcPr>
          <w:p w:rsidR="00131D5C" w:rsidRPr="0071003D" w:rsidRDefault="00131D5C" w:rsidP="001A5310">
            <w:pPr>
              <w:jc w:val="both"/>
              <w:rPr>
                <w:rFonts w:eastAsia="Calibri"/>
                <w:sz w:val="20"/>
                <w:szCs w:val="20"/>
                <w:lang w:val="fr-CA"/>
              </w:rPr>
            </w:pPr>
            <w:r w:rsidRPr="0071003D">
              <w:rPr>
                <w:rFonts w:eastAsia="Calibri"/>
                <w:sz w:val="20"/>
                <w:szCs w:val="20"/>
                <w:lang w:val="fr-CA"/>
              </w:rPr>
              <w:t>L’accusé et trois amis ont décidé de voler un adolescent.  L’avocat du ministère public a plaidé au procès que les accusés avaient rejoint la victime dans un passe-pied reliant une rue résidentielle à une intersection achalandée, qu’ils avaient tenté de voler leur victime à la pointe d’un couteau, que l’accusé avait blessé la victime au bout du doigt avec un couteau, que la victime s’était enfuie et que les agresseurs l’avait poursuivie.  Un témoin à l’intersection a vu la victime se faire poursuivre en sortant du passe-pied.  Un coaccusé a rattrapé la victime, l’a saisie par derrière et lui a fait la prise de l’ours pendant que la victime se débattait pour se libérer.  Deux ou trois secondes plus tard, l’accusé les a rejoints et a fait deux mouvements comme des coups de poignard dirigés vers la poitrine de la victime.  Quelques secondes plus tard, les deux autres agresseurs ont rejoint le groupe.  Les quatre agresseurs se sont alors enfuis.  La victime est décédée d’un seul coup de couteau à la poitrine.  Le ministère public a allégué le meurtre au premier degré par imputation en application de l’al. 231(5)</w:t>
            </w:r>
            <w:r w:rsidRPr="0071003D">
              <w:rPr>
                <w:rFonts w:eastAsia="Calibri"/>
                <w:i/>
                <w:sz w:val="20"/>
                <w:szCs w:val="20"/>
                <w:lang w:val="fr-CA"/>
              </w:rPr>
              <w:t>e</w:t>
            </w:r>
            <w:r w:rsidRPr="0071003D">
              <w:rPr>
                <w:rFonts w:eastAsia="Calibri"/>
                <w:sz w:val="20"/>
                <w:szCs w:val="20"/>
                <w:lang w:val="fr-CA"/>
              </w:rPr>
              <w:t xml:space="preserve">) du </w:t>
            </w:r>
            <w:r w:rsidRPr="0071003D">
              <w:rPr>
                <w:rFonts w:eastAsia="Calibri"/>
                <w:i/>
                <w:sz w:val="20"/>
                <w:szCs w:val="20"/>
                <w:lang w:val="fr-CA"/>
              </w:rPr>
              <w:t>Code criminel</w:t>
            </w:r>
            <w:r w:rsidRPr="0071003D">
              <w:rPr>
                <w:rFonts w:eastAsia="Calibri"/>
                <w:sz w:val="20"/>
                <w:szCs w:val="20"/>
                <w:lang w:val="fr-CA"/>
              </w:rPr>
              <w:t xml:space="preserve"> sur le fondement de la séquestration et de la tentative de séquestration.</w:t>
            </w:r>
          </w:p>
          <w:p w:rsidR="00131D5C" w:rsidRPr="0071003D" w:rsidRDefault="00131D5C" w:rsidP="001A5310">
            <w:pPr>
              <w:jc w:val="both"/>
              <w:rPr>
                <w:rFonts w:eastAsia="Calibri"/>
                <w:sz w:val="20"/>
                <w:szCs w:val="20"/>
                <w:lang w:val="fr-CA"/>
              </w:rPr>
            </w:pPr>
          </w:p>
        </w:tc>
      </w:tr>
      <w:tr w:rsidR="00131D5C" w:rsidRPr="00C3091A" w:rsidTr="001A5310">
        <w:tblPrEx>
          <w:tblCellMar>
            <w:bottom w:w="0" w:type="dxa"/>
          </w:tblCellMar>
        </w:tblPrEx>
        <w:tc>
          <w:tcPr>
            <w:tcW w:w="2390" w:type="pct"/>
          </w:tcPr>
          <w:p w:rsidR="00131D5C" w:rsidRPr="0071003D" w:rsidRDefault="00131D5C" w:rsidP="001A5310">
            <w:pPr>
              <w:jc w:val="both"/>
              <w:rPr>
                <w:rFonts w:eastAsia="Calibri"/>
                <w:sz w:val="20"/>
                <w:szCs w:val="20"/>
                <w:lang w:val="fr-CA"/>
              </w:rPr>
            </w:pPr>
            <w:r w:rsidRPr="0071003D">
              <w:rPr>
                <w:rFonts w:eastAsia="Calibri"/>
                <w:sz w:val="20"/>
                <w:szCs w:val="20"/>
                <w:lang w:val="fr-CA"/>
              </w:rPr>
              <w:t>10 juillet 2009</w:t>
            </w:r>
          </w:p>
          <w:p w:rsidR="00131D5C" w:rsidRPr="0071003D" w:rsidRDefault="00131D5C" w:rsidP="001A5310">
            <w:pPr>
              <w:jc w:val="both"/>
              <w:rPr>
                <w:rFonts w:eastAsia="Calibri"/>
                <w:sz w:val="20"/>
                <w:szCs w:val="20"/>
                <w:lang w:val="fr-CA"/>
              </w:rPr>
            </w:pPr>
            <w:r w:rsidRPr="0071003D">
              <w:rPr>
                <w:rFonts w:eastAsia="Calibri"/>
                <w:sz w:val="20"/>
                <w:szCs w:val="20"/>
                <w:lang w:val="fr-CA"/>
              </w:rPr>
              <w:t>Cour supérieure de justice de l’Ontario</w:t>
            </w:r>
          </w:p>
          <w:p w:rsidR="00131D5C" w:rsidRPr="0071003D" w:rsidRDefault="00131D5C" w:rsidP="001A5310">
            <w:pPr>
              <w:jc w:val="both"/>
              <w:rPr>
                <w:rFonts w:eastAsia="Calibri"/>
                <w:sz w:val="20"/>
                <w:szCs w:val="20"/>
                <w:lang w:val="fr-CA"/>
              </w:rPr>
            </w:pPr>
            <w:r w:rsidRPr="0071003D">
              <w:rPr>
                <w:rFonts w:eastAsia="Calibri"/>
                <w:sz w:val="20"/>
                <w:szCs w:val="20"/>
                <w:lang w:val="fr-CA"/>
              </w:rPr>
              <w:t>(Juge Sproat)</w:t>
            </w:r>
          </w:p>
          <w:p w:rsidR="00131D5C" w:rsidRPr="0071003D" w:rsidRDefault="00131D5C" w:rsidP="001A5310">
            <w:pPr>
              <w:jc w:val="both"/>
              <w:rPr>
                <w:rFonts w:eastAsia="Calibri"/>
                <w:sz w:val="20"/>
                <w:szCs w:val="20"/>
                <w:lang w:val="fr-CA"/>
              </w:rPr>
            </w:pPr>
            <w:r w:rsidRPr="0071003D">
              <w:rPr>
                <w:rFonts w:eastAsia="Calibri"/>
                <w:sz w:val="20"/>
                <w:szCs w:val="20"/>
                <w:lang w:val="fr-CA"/>
              </w:rPr>
              <w:t xml:space="preserve"> </w:t>
            </w:r>
          </w:p>
        </w:tc>
        <w:tc>
          <w:tcPr>
            <w:tcW w:w="270" w:type="pct"/>
          </w:tcPr>
          <w:p w:rsidR="00131D5C" w:rsidRPr="0071003D" w:rsidRDefault="00131D5C" w:rsidP="001A5310">
            <w:pPr>
              <w:jc w:val="both"/>
              <w:rPr>
                <w:rFonts w:eastAsia="Calibri"/>
                <w:sz w:val="20"/>
                <w:szCs w:val="20"/>
                <w:lang w:val="fr-CA"/>
              </w:rPr>
            </w:pPr>
          </w:p>
        </w:tc>
        <w:tc>
          <w:tcPr>
            <w:tcW w:w="2340" w:type="pct"/>
          </w:tcPr>
          <w:p w:rsidR="00131D5C" w:rsidRPr="0071003D" w:rsidRDefault="00131D5C" w:rsidP="001A5310">
            <w:pPr>
              <w:jc w:val="both"/>
              <w:rPr>
                <w:rFonts w:eastAsia="Calibri"/>
                <w:sz w:val="20"/>
                <w:szCs w:val="20"/>
                <w:lang w:val="fr-CA"/>
              </w:rPr>
            </w:pPr>
            <w:r w:rsidRPr="0071003D">
              <w:rPr>
                <w:rFonts w:eastAsia="Calibri"/>
                <w:sz w:val="20"/>
                <w:szCs w:val="20"/>
                <w:lang w:val="fr-CA"/>
              </w:rPr>
              <w:t>Rejet de la motion pour verdict imposé d’acquittement de meurtre au premier degré</w:t>
            </w:r>
          </w:p>
        </w:tc>
      </w:tr>
      <w:tr w:rsidR="00131D5C" w:rsidRPr="00C3091A" w:rsidTr="001A5310">
        <w:tblPrEx>
          <w:tblCellMar>
            <w:bottom w:w="0" w:type="dxa"/>
          </w:tblCellMar>
        </w:tblPrEx>
        <w:tc>
          <w:tcPr>
            <w:tcW w:w="2390" w:type="pct"/>
          </w:tcPr>
          <w:p w:rsidR="00131D5C" w:rsidRPr="0071003D" w:rsidRDefault="00131D5C" w:rsidP="001A5310">
            <w:pPr>
              <w:jc w:val="both"/>
              <w:rPr>
                <w:rFonts w:eastAsia="Calibri"/>
                <w:sz w:val="20"/>
                <w:szCs w:val="20"/>
                <w:lang w:val="fr-CA"/>
              </w:rPr>
            </w:pPr>
            <w:r w:rsidRPr="0071003D">
              <w:rPr>
                <w:rFonts w:eastAsia="Calibri"/>
                <w:sz w:val="20"/>
                <w:szCs w:val="20"/>
                <w:lang w:val="fr-CA"/>
              </w:rPr>
              <w:t>10 juillet 2009</w:t>
            </w:r>
          </w:p>
          <w:p w:rsidR="00131D5C" w:rsidRPr="0071003D" w:rsidRDefault="00131D5C" w:rsidP="001A5310">
            <w:pPr>
              <w:jc w:val="both"/>
              <w:rPr>
                <w:rFonts w:eastAsia="Calibri"/>
                <w:sz w:val="20"/>
                <w:szCs w:val="20"/>
                <w:lang w:val="fr-CA"/>
              </w:rPr>
            </w:pPr>
            <w:r w:rsidRPr="0071003D">
              <w:rPr>
                <w:rFonts w:eastAsia="Calibri"/>
                <w:sz w:val="20"/>
                <w:szCs w:val="20"/>
                <w:lang w:val="fr-CA"/>
              </w:rPr>
              <w:t>Cour supérieure de justice de l’Ontario</w:t>
            </w:r>
          </w:p>
          <w:p w:rsidR="00131D5C" w:rsidRPr="0071003D" w:rsidRDefault="00131D5C" w:rsidP="001A5310">
            <w:pPr>
              <w:jc w:val="both"/>
              <w:rPr>
                <w:rFonts w:eastAsia="Calibri"/>
                <w:sz w:val="20"/>
                <w:szCs w:val="20"/>
                <w:lang w:val="fr-CA"/>
              </w:rPr>
            </w:pPr>
            <w:r w:rsidRPr="0071003D">
              <w:rPr>
                <w:rFonts w:eastAsia="Calibri"/>
                <w:sz w:val="20"/>
                <w:szCs w:val="20"/>
                <w:lang w:val="fr-CA"/>
              </w:rPr>
              <w:t>(Juge Sproat)</w:t>
            </w:r>
          </w:p>
          <w:p w:rsidR="00131D5C" w:rsidRPr="0071003D" w:rsidRDefault="00131D5C" w:rsidP="001A5310">
            <w:pPr>
              <w:jc w:val="both"/>
              <w:rPr>
                <w:rFonts w:eastAsia="Calibri"/>
                <w:sz w:val="20"/>
                <w:szCs w:val="20"/>
                <w:lang w:val="fr-CA"/>
              </w:rPr>
            </w:pPr>
          </w:p>
        </w:tc>
        <w:tc>
          <w:tcPr>
            <w:tcW w:w="270" w:type="pct"/>
          </w:tcPr>
          <w:p w:rsidR="00131D5C" w:rsidRPr="0071003D" w:rsidRDefault="00131D5C" w:rsidP="001A5310">
            <w:pPr>
              <w:jc w:val="both"/>
              <w:rPr>
                <w:rFonts w:eastAsia="Calibri"/>
                <w:sz w:val="20"/>
                <w:szCs w:val="20"/>
                <w:lang w:val="fr-CA"/>
              </w:rPr>
            </w:pPr>
          </w:p>
        </w:tc>
        <w:tc>
          <w:tcPr>
            <w:tcW w:w="2340" w:type="pct"/>
          </w:tcPr>
          <w:p w:rsidR="00131D5C" w:rsidRPr="0071003D" w:rsidRDefault="00131D5C" w:rsidP="001A5310">
            <w:pPr>
              <w:jc w:val="both"/>
              <w:rPr>
                <w:rFonts w:eastAsia="Calibri"/>
                <w:sz w:val="20"/>
                <w:szCs w:val="20"/>
                <w:lang w:val="fr-CA"/>
              </w:rPr>
            </w:pPr>
            <w:r w:rsidRPr="0071003D">
              <w:rPr>
                <w:rFonts w:eastAsia="Calibri"/>
                <w:sz w:val="20"/>
                <w:szCs w:val="20"/>
                <w:lang w:val="fr-CA"/>
              </w:rPr>
              <w:t>Déclaration de culpabilité par un jury de meurtre au premier degré</w:t>
            </w:r>
          </w:p>
          <w:p w:rsidR="00131D5C" w:rsidRPr="0071003D" w:rsidRDefault="00131D5C" w:rsidP="001A5310">
            <w:pPr>
              <w:jc w:val="both"/>
              <w:rPr>
                <w:rFonts w:eastAsia="Calibri"/>
                <w:sz w:val="20"/>
                <w:szCs w:val="20"/>
                <w:lang w:val="fr-CA"/>
              </w:rPr>
            </w:pPr>
          </w:p>
        </w:tc>
      </w:tr>
      <w:tr w:rsidR="00131D5C" w:rsidRPr="0071003D" w:rsidTr="001A5310">
        <w:tblPrEx>
          <w:tblCellMar>
            <w:bottom w:w="0" w:type="dxa"/>
          </w:tblCellMar>
        </w:tblPrEx>
        <w:tc>
          <w:tcPr>
            <w:tcW w:w="2390" w:type="pct"/>
          </w:tcPr>
          <w:p w:rsidR="00131D5C" w:rsidRPr="0071003D" w:rsidRDefault="00131D5C" w:rsidP="001A5310">
            <w:pPr>
              <w:jc w:val="both"/>
              <w:rPr>
                <w:rFonts w:eastAsia="Calibri"/>
                <w:sz w:val="20"/>
                <w:szCs w:val="20"/>
                <w:lang w:val="fr-CA"/>
              </w:rPr>
            </w:pPr>
            <w:r w:rsidRPr="0071003D">
              <w:rPr>
                <w:rFonts w:eastAsia="Calibri"/>
                <w:sz w:val="20"/>
                <w:szCs w:val="20"/>
                <w:lang w:val="fr-CA"/>
              </w:rPr>
              <w:t>24 janvier 2014</w:t>
            </w:r>
          </w:p>
          <w:p w:rsidR="00131D5C" w:rsidRPr="0071003D" w:rsidRDefault="00131D5C" w:rsidP="001A5310">
            <w:pPr>
              <w:jc w:val="both"/>
              <w:rPr>
                <w:rFonts w:eastAsia="Calibri"/>
                <w:sz w:val="20"/>
                <w:szCs w:val="20"/>
                <w:lang w:val="fr-CA"/>
              </w:rPr>
            </w:pPr>
            <w:r w:rsidRPr="0071003D">
              <w:rPr>
                <w:rFonts w:eastAsia="Calibri"/>
                <w:sz w:val="20"/>
                <w:szCs w:val="20"/>
                <w:lang w:val="fr-CA"/>
              </w:rPr>
              <w:t>Cour d’appel de l’Ontario</w:t>
            </w:r>
          </w:p>
          <w:p w:rsidR="00131D5C" w:rsidRPr="0071003D" w:rsidRDefault="00131D5C" w:rsidP="001A5310">
            <w:pPr>
              <w:jc w:val="both"/>
              <w:rPr>
                <w:rFonts w:eastAsia="Calibri"/>
                <w:sz w:val="20"/>
                <w:szCs w:val="20"/>
                <w:lang w:val="fr-CA"/>
              </w:rPr>
            </w:pPr>
            <w:r w:rsidRPr="0071003D">
              <w:rPr>
                <w:rFonts w:eastAsia="Calibri"/>
                <w:sz w:val="20"/>
                <w:szCs w:val="20"/>
                <w:lang w:val="fr-CA"/>
              </w:rPr>
              <w:t>(Juges Laskin, Simmons et Cronk)</w:t>
            </w:r>
          </w:p>
          <w:p w:rsidR="00131D5C" w:rsidRPr="0071003D" w:rsidRDefault="00131D5C" w:rsidP="001A5310">
            <w:pPr>
              <w:jc w:val="both"/>
              <w:rPr>
                <w:rFonts w:eastAsia="Calibri"/>
                <w:sz w:val="20"/>
                <w:szCs w:val="20"/>
                <w:lang w:val="fr-CA"/>
              </w:rPr>
            </w:pPr>
            <w:r w:rsidRPr="0071003D">
              <w:rPr>
                <w:rFonts w:eastAsia="Calibri"/>
                <w:sz w:val="20"/>
                <w:szCs w:val="20"/>
                <w:lang w:val="fr-CA"/>
              </w:rPr>
              <w:t>C51993; 2014 ONCA 64</w:t>
            </w:r>
          </w:p>
          <w:p w:rsidR="00131D5C" w:rsidRPr="0071003D" w:rsidRDefault="00131D5C" w:rsidP="001A5310">
            <w:pPr>
              <w:jc w:val="both"/>
              <w:rPr>
                <w:rFonts w:eastAsia="Calibri"/>
                <w:sz w:val="20"/>
                <w:szCs w:val="20"/>
                <w:lang w:val="fr-CA"/>
              </w:rPr>
            </w:pPr>
          </w:p>
        </w:tc>
        <w:tc>
          <w:tcPr>
            <w:tcW w:w="270" w:type="pct"/>
          </w:tcPr>
          <w:p w:rsidR="00131D5C" w:rsidRPr="0071003D" w:rsidRDefault="00131D5C" w:rsidP="001A5310">
            <w:pPr>
              <w:jc w:val="both"/>
              <w:rPr>
                <w:rFonts w:eastAsia="Calibri"/>
                <w:sz w:val="20"/>
                <w:szCs w:val="20"/>
                <w:lang w:val="fr-CA"/>
              </w:rPr>
            </w:pPr>
          </w:p>
        </w:tc>
        <w:tc>
          <w:tcPr>
            <w:tcW w:w="2340" w:type="pct"/>
          </w:tcPr>
          <w:p w:rsidR="00131D5C" w:rsidRPr="0071003D" w:rsidRDefault="00131D5C" w:rsidP="001A5310">
            <w:pPr>
              <w:jc w:val="both"/>
              <w:rPr>
                <w:rFonts w:eastAsia="Calibri"/>
                <w:sz w:val="20"/>
                <w:szCs w:val="20"/>
                <w:lang w:val="fr-CA"/>
              </w:rPr>
            </w:pPr>
            <w:r w:rsidRPr="0071003D">
              <w:rPr>
                <w:rFonts w:eastAsia="Calibri"/>
                <w:sz w:val="20"/>
                <w:szCs w:val="20"/>
                <w:lang w:val="fr-CA"/>
              </w:rPr>
              <w:t>Rejet de l’appel</w:t>
            </w:r>
          </w:p>
          <w:p w:rsidR="00131D5C" w:rsidRPr="0071003D" w:rsidRDefault="00131D5C" w:rsidP="001A5310">
            <w:pPr>
              <w:jc w:val="both"/>
              <w:rPr>
                <w:rFonts w:eastAsia="Calibri"/>
                <w:sz w:val="20"/>
                <w:szCs w:val="20"/>
                <w:lang w:val="fr-CA"/>
              </w:rPr>
            </w:pPr>
          </w:p>
        </w:tc>
      </w:tr>
      <w:tr w:rsidR="00131D5C" w:rsidRPr="00C3091A" w:rsidTr="001A5310">
        <w:tblPrEx>
          <w:tblCellMar>
            <w:bottom w:w="0" w:type="dxa"/>
          </w:tblCellMar>
        </w:tblPrEx>
        <w:tc>
          <w:tcPr>
            <w:tcW w:w="2390" w:type="pct"/>
          </w:tcPr>
          <w:p w:rsidR="00131D5C" w:rsidRPr="0071003D" w:rsidRDefault="00131D5C" w:rsidP="001A5310">
            <w:pPr>
              <w:jc w:val="both"/>
              <w:rPr>
                <w:rFonts w:eastAsia="Calibri"/>
                <w:sz w:val="20"/>
                <w:szCs w:val="20"/>
                <w:lang w:val="fr-CA"/>
              </w:rPr>
            </w:pPr>
            <w:r w:rsidRPr="0071003D">
              <w:rPr>
                <w:rFonts w:eastAsia="Calibri"/>
                <w:sz w:val="20"/>
                <w:szCs w:val="20"/>
                <w:lang w:val="fr-CA"/>
              </w:rPr>
              <w:t>13 novembre 2014</w:t>
            </w:r>
          </w:p>
          <w:p w:rsidR="00131D5C" w:rsidRPr="0071003D" w:rsidRDefault="00131D5C" w:rsidP="001A5310">
            <w:pPr>
              <w:jc w:val="both"/>
              <w:rPr>
                <w:rFonts w:eastAsia="Calibri"/>
                <w:sz w:val="20"/>
                <w:szCs w:val="20"/>
                <w:lang w:val="fr-CA"/>
              </w:rPr>
            </w:pPr>
            <w:r w:rsidRPr="0071003D">
              <w:rPr>
                <w:rFonts w:eastAsia="Calibri"/>
                <w:sz w:val="20"/>
                <w:szCs w:val="20"/>
                <w:lang w:val="fr-CA"/>
              </w:rPr>
              <w:t>Cour suprême du Canada</w:t>
            </w:r>
          </w:p>
        </w:tc>
        <w:tc>
          <w:tcPr>
            <w:tcW w:w="270" w:type="pct"/>
          </w:tcPr>
          <w:p w:rsidR="00131D5C" w:rsidRPr="0071003D" w:rsidRDefault="00131D5C" w:rsidP="001A5310">
            <w:pPr>
              <w:jc w:val="both"/>
              <w:rPr>
                <w:rFonts w:eastAsia="Calibri"/>
                <w:sz w:val="20"/>
                <w:szCs w:val="20"/>
                <w:lang w:val="fr-CA"/>
              </w:rPr>
            </w:pPr>
          </w:p>
        </w:tc>
        <w:tc>
          <w:tcPr>
            <w:tcW w:w="2340" w:type="pct"/>
          </w:tcPr>
          <w:p w:rsidR="00131D5C" w:rsidRPr="0071003D" w:rsidRDefault="00131D5C" w:rsidP="001A5310">
            <w:pPr>
              <w:jc w:val="both"/>
              <w:rPr>
                <w:rFonts w:eastAsia="Calibri"/>
                <w:sz w:val="20"/>
                <w:szCs w:val="20"/>
                <w:lang w:val="fr-CA"/>
              </w:rPr>
            </w:pPr>
            <w:r w:rsidRPr="0071003D">
              <w:rPr>
                <w:rFonts w:eastAsia="Calibri"/>
                <w:sz w:val="20"/>
                <w:szCs w:val="20"/>
                <w:lang w:val="fr-CA"/>
              </w:rPr>
              <w:t>Dépôt de la demande de prorogation du délai de signification et de dépôt de la demande d’autorisation d’appel et de la demande d’autorisation d’appel</w:t>
            </w:r>
          </w:p>
        </w:tc>
      </w:tr>
    </w:tbl>
    <w:p w:rsidR="008E7C88" w:rsidRPr="00131D5C" w:rsidRDefault="008E7C88" w:rsidP="008E7C88">
      <w:pPr>
        <w:rPr>
          <w:sz w:val="20"/>
          <w:szCs w:val="20"/>
          <w:lang w:val="fr-CA"/>
        </w:rPr>
      </w:pPr>
    </w:p>
    <w:p w:rsidR="008E7C88" w:rsidRDefault="00BF341F" w:rsidP="008E7C88">
      <w:pPr>
        <w:rPr>
          <w:sz w:val="20"/>
          <w:szCs w:val="20"/>
          <w:lang w:val="fr-CA"/>
        </w:rPr>
      </w:pPr>
      <w:r>
        <w:rPr>
          <w:sz w:val="20"/>
          <w:szCs w:val="20"/>
          <w:lang w:val="fr-CA"/>
        </w:rPr>
        <w:pict>
          <v:rect id="_x0000_i1043" style="width:2in;height:1pt" o:hrpct="0" o:hralign="center" o:hrstd="t" o:hrnoshade="t" o:hr="t" fillcolor="black [3213]" stroked="f"/>
        </w:pict>
      </w:r>
    </w:p>
    <w:p w:rsidR="008E7C88" w:rsidRDefault="008E7C88" w:rsidP="008E7C8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248E0" w:rsidRPr="00C3091A" w:rsidTr="001A5310">
        <w:trPr>
          <w:cantSplit/>
        </w:trPr>
        <w:tc>
          <w:tcPr>
            <w:tcW w:w="1458" w:type="dxa"/>
          </w:tcPr>
          <w:p w:rsidR="002248E0" w:rsidRPr="00C719F1" w:rsidRDefault="002248E0" w:rsidP="001A5310">
            <w:pPr>
              <w:rPr>
                <w:sz w:val="20"/>
                <w:szCs w:val="20"/>
              </w:rPr>
            </w:pPr>
            <w:r w:rsidRPr="00C719F1">
              <w:rPr>
                <w:rStyle w:val="SCCFileNumberChar"/>
                <w:sz w:val="20"/>
                <w:szCs w:val="20"/>
              </w:rPr>
              <w:t>36214</w:t>
            </w:r>
          </w:p>
          <w:p w:rsidR="002248E0" w:rsidRPr="00C719F1" w:rsidRDefault="002248E0" w:rsidP="001A5310">
            <w:pPr>
              <w:rPr>
                <w:b/>
                <w:sz w:val="20"/>
                <w:szCs w:val="20"/>
                <w:lang w:val="fr-CA"/>
              </w:rPr>
            </w:pPr>
          </w:p>
        </w:tc>
        <w:tc>
          <w:tcPr>
            <w:tcW w:w="8118" w:type="dxa"/>
          </w:tcPr>
          <w:p w:rsidR="002248E0" w:rsidRPr="00C719F1" w:rsidRDefault="002248E0" w:rsidP="001A5310">
            <w:pPr>
              <w:jc w:val="both"/>
              <w:rPr>
                <w:sz w:val="20"/>
                <w:szCs w:val="20"/>
                <w:lang w:val="fr-CA"/>
              </w:rPr>
            </w:pPr>
            <w:r w:rsidRPr="00C719F1">
              <w:rPr>
                <w:rStyle w:val="SCCLsocChar"/>
                <w:sz w:val="20"/>
                <w:szCs w:val="20"/>
              </w:rPr>
              <w:t>Denis Vachon c. Procureur général du Canada représentant les États-Unis d</w:t>
            </w:r>
            <w:r>
              <w:rPr>
                <w:rStyle w:val="SCCLsocChar"/>
                <w:sz w:val="20"/>
                <w:szCs w:val="20"/>
              </w:rPr>
              <w:t>’</w:t>
            </w:r>
            <w:r w:rsidRPr="00C719F1">
              <w:rPr>
                <w:rStyle w:val="SCCLsocChar"/>
                <w:sz w:val="20"/>
                <w:szCs w:val="20"/>
              </w:rPr>
              <w:t>Amérique</w:t>
            </w:r>
            <w:r w:rsidRPr="00C719F1">
              <w:rPr>
                <w:sz w:val="20"/>
                <w:szCs w:val="20"/>
                <w:lang w:val="fr-CA"/>
              </w:rPr>
              <w:t xml:space="preserve"> (Qc) (Criminelle) (Autorisation)</w:t>
            </w:r>
          </w:p>
          <w:p w:rsidR="002248E0" w:rsidRPr="00C719F1" w:rsidRDefault="002248E0" w:rsidP="001A5310">
            <w:pPr>
              <w:jc w:val="both"/>
              <w:rPr>
                <w:sz w:val="20"/>
                <w:szCs w:val="20"/>
                <w:lang w:val="fr-CA"/>
              </w:rPr>
            </w:pPr>
          </w:p>
        </w:tc>
      </w:tr>
      <w:tr w:rsidR="002248E0" w:rsidRPr="00C3091A" w:rsidTr="001A5310">
        <w:trPr>
          <w:cantSplit/>
        </w:trPr>
        <w:tc>
          <w:tcPr>
            <w:tcW w:w="1458" w:type="dxa"/>
          </w:tcPr>
          <w:p w:rsidR="002248E0" w:rsidRPr="00C719F1" w:rsidRDefault="002248E0" w:rsidP="001A5310">
            <w:pPr>
              <w:rPr>
                <w:sz w:val="20"/>
                <w:szCs w:val="20"/>
              </w:rPr>
            </w:pPr>
            <w:r w:rsidRPr="00C719F1">
              <w:rPr>
                <w:sz w:val="20"/>
                <w:szCs w:val="20"/>
              </w:rPr>
              <w:t>Coram :</w:t>
            </w:r>
          </w:p>
        </w:tc>
        <w:tc>
          <w:tcPr>
            <w:tcW w:w="8118" w:type="dxa"/>
          </w:tcPr>
          <w:p w:rsidR="002248E0" w:rsidRPr="00C719F1" w:rsidRDefault="002248E0" w:rsidP="001A5310">
            <w:pPr>
              <w:rPr>
                <w:sz w:val="20"/>
                <w:szCs w:val="20"/>
                <w:lang w:val="fr-CA"/>
              </w:rPr>
            </w:pPr>
            <w:r w:rsidRPr="00C719F1">
              <w:rPr>
                <w:rStyle w:val="SCCCoramChar"/>
                <w:sz w:val="20"/>
                <w:szCs w:val="20"/>
              </w:rPr>
              <w:t>Les juges Abella, Karakatsanis et Côté</w:t>
            </w:r>
          </w:p>
          <w:p w:rsidR="002248E0" w:rsidRPr="00C719F1" w:rsidRDefault="002248E0" w:rsidP="001A5310">
            <w:pPr>
              <w:rPr>
                <w:sz w:val="20"/>
                <w:szCs w:val="20"/>
                <w:u w:val="single"/>
                <w:lang w:val="fr-CA"/>
              </w:rPr>
            </w:pPr>
          </w:p>
        </w:tc>
      </w:tr>
      <w:tr w:rsidR="002248E0" w:rsidRPr="00C719F1" w:rsidTr="001A5310">
        <w:trPr>
          <w:cantSplit/>
        </w:trPr>
        <w:tc>
          <w:tcPr>
            <w:tcW w:w="9576" w:type="dxa"/>
            <w:gridSpan w:val="2"/>
          </w:tcPr>
          <w:p w:rsidR="002248E0" w:rsidRPr="00C719F1" w:rsidRDefault="002248E0" w:rsidP="001A5310">
            <w:pPr>
              <w:pStyle w:val="SCCShortJudgment"/>
              <w:rPr>
                <w:szCs w:val="20"/>
                <w:lang w:val="fr-CA"/>
              </w:rPr>
            </w:pPr>
            <w:r w:rsidRPr="00C719F1">
              <w:rPr>
                <w:szCs w:val="20"/>
                <w:lang w:val="fr-CA"/>
              </w:rPr>
              <w:t>La demande d’autorisation d’appel de l’arrêt de la Cour d’appel du Québec (Montréal), numéro 500-10-005467-137, 2014 QCCA 2076, daté du 6 novembre 2014, est rejetée.</w:t>
            </w:r>
          </w:p>
          <w:p w:rsidR="002248E0" w:rsidRPr="00C719F1" w:rsidRDefault="002248E0" w:rsidP="001A5310">
            <w:pPr>
              <w:pStyle w:val="SCCShortJudgment"/>
              <w:ind w:firstLine="0"/>
              <w:rPr>
                <w:szCs w:val="20"/>
                <w:lang w:val="fr-CA"/>
              </w:rPr>
            </w:pPr>
          </w:p>
          <w:p w:rsidR="002248E0" w:rsidRPr="00C719F1" w:rsidRDefault="002248E0" w:rsidP="001A5310">
            <w:pPr>
              <w:pStyle w:val="SCCShortJudgment"/>
              <w:rPr>
                <w:szCs w:val="20"/>
              </w:rPr>
            </w:pPr>
            <w:r w:rsidRPr="00C719F1">
              <w:rPr>
                <w:szCs w:val="20"/>
              </w:rPr>
              <w:t>The application for leave to appeal from the judgment of the Court of Appeal of Quebec (Montréal), Number 500-10-005467-137, 2014 QCCA 2076, dated November 6, 2014, is dismissed.</w:t>
            </w:r>
          </w:p>
        </w:tc>
      </w:tr>
    </w:tbl>
    <w:p w:rsidR="008E7C88" w:rsidRDefault="008E7C88" w:rsidP="008E7C88">
      <w:pPr>
        <w:rPr>
          <w:sz w:val="20"/>
          <w:szCs w:val="20"/>
        </w:rPr>
      </w:pPr>
    </w:p>
    <w:p w:rsidR="008E7C88" w:rsidRPr="001B157C" w:rsidRDefault="008E7C88" w:rsidP="008E7C88">
      <w:pPr>
        <w:rPr>
          <w:sz w:val="20"/>
          <w:szCs w:val="20"/>
          <w:u w:val="single"/>
        </w:rPr>
      </w:pPr>
      <w:r w:rsidRPr="001B157C">
        <w:rPr>
          <w:sz w:val="20"/>
          <w:szCs w:val="20"/>
          <w:u w:val="single"/>
        </w:rPr>
        <w:t>CASE SUMMARY</w:t>
      </w:r>
    </w:p>
    <w:p w:rsidR="008E7C88" w:rsidRDefault="008E7C88" w:rsidP="008E7C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1D5C" w:rsidRPr="0071003D" w:rsidTr="001A5310">
        <w:tc>
          <w:tcPr>
            <w:tcW w:w="5000" w:type="pct"/>
            <w:gridSpan w:val="3"/>
          </w:tcPr>
          <w:p w:rsidR="00131D5C" w:rsidRPr="0071003D" w:rsidRDefault="00131D5C" w:rsidP="001A5310">
            <w:pPr>
              <w:jc w:val="both"/>
              <w:rPr>
                <w:rFonts w:eastAsia="Calibri"/>
                <w:sz w:val="20"/>
                <w:szCs w:val="20"/>
              </w:rPr>
            </w:pPr>
            <w:r w:rsidRPr="0071003D">
              <w:rPr>
                <w:rFonts w:eastAsia="Calibri"/>
                <w:i/>
                <w:sz w:val="20"/>
                <w:szCs w:val="20"/>
              </w:rPr>
              <w:t>Canadian Charter of Rights and Freedoms</w:t>
            </w:r>
            <w:r w:rsidRPr="0071003D">
              <w:rPr>
                <w:rFonts w:eastAsia="Calibri"/>
                <w:sz w:val="20"/>
                <w:szCs w:val="20"/>
              </w:rPr>
              <w:t xml:space="preserve"> – Criminal law – Extradition – Application for judicial review of decision of Minister of Justice – Whether Minister has obligation to consult Public Prosecution Service of Canada (PPSC) regarding possibility of charging Canadian citizen when crime is punishable in Canada, and if so, whether Minister has </w:t>
            </w:r>
            <w:r w:rsidRPr="0071003D">
              <w:rPr>
                <w:rFonts w:eastAsia="Calibri"/>
                <w:sz w:val="20"/>
                <w:szCs w:val="20"/>
              </w:rPr>
              <w:lastRenderedPageBreak/>
              <w:t xml:space="preserve">to inform PPSC of medical condition of applicant in this case – Whether extradition of Canadian citizen living with serious medical condition who promises to plead guilty in Canada violates s. 43(1) of </w:t>
            </w:r>
            <w:r w:rsidRPr="0071003D">
              <w:rPr>
                <w:rFonts w:eastAsia="Calibri"/>
                <w:i/>
                <w:sz w:val="20"/>
                <w:szCs w:val="20"/>
              </w:rPr>
              <w:t xml:space="preserve">Extradition Act </w:t>
            </w:r>
            <w:r w:rsidRPr="0071003D">
              <w:rPr>
                <w:rFonts w:eastAsia="Calibri"/>
                <w:sz w:val="20"/>
                <w:szCs w:val="20"/>
              </w:rPr>
              <w:t xml:space="preserve">and s. 7 of </w:t>
            </w:r>
            <w:r w:rsidRPr="0071003D">
              <w:rPr>
                <w:rFonts w:eastAsia="Calibri"/>
                <w:i/>
                <w:sz w:val="20"/>
                <w:szCs w:val="20"/>
              </w:rPr>
              <w:t>Canadian Charter of Rights and Freedoms</w:t>
            </w:r>
            <w:r w:rsidRPr="0071003D">
              <w:rPr>
                <w:rFonts w:eastAsia="Calibri"/>
                <w:sz w:val="20"/>
                <w:szCs w:val="20"/>
              </w:rPr>
              <w:t xml:space="preserve"> – Whether Minister erred in not requiring assurance from American authorities that applicant could receive kidney transplant if necessary while incarcerated – </w:t>
            </w:r>
            <w:r w:rsidRPr="0071003D">
              <w:rPr>
                <w:rFonts w:eastAsia="Calibri"/>
                <w:i/>
                <w:sz w:val="20"/>
                <w:szCs w:val="20"/>
              </w:rPr>
              <w:t>Charter</w:t>
            </w:r>
            <w:r w:rsidRPr="0071003D">
              <w:rPr>
                <w:rFonts w:eastAsia="Calibri"/>
                <w:sz w:val="20"/>
                <w:szCs w:val="20"/>
              </w:rPr>
              <w:t>, ss. 6(1) and 7.</w:t>
            </w:r>
          </w:p>
        </w:tc>
      </w:tr>
      <w:tr w:rsidR="00131D5C" w:rsidRPr="0071003D" w:rsidTr="001A5310">
        <w:tc>
          <w:tcPr>
            <w:tcW w:w="5000" w:type="pct"/>
            <w:gridSpan w:val="3"/>
          </w:tcPr>
          <w:p w:rsidR="00131D5C" w:rsidRPr="0071003D" w:rsidRDefault="00131D5C" w:rsidP="001A5310">
            <w:pPr>
              <w:jc w:val="both"/>
              <w:rPr>
                <w:rFonts w:eastAsia="Calibri"/>
                <w:sz w:val="20"/>
                <w:szCs w:val="20"/>
              </w:rPr>
            </w:pPr>
          </w:p>
        </w:tc>
      </w:tr>
      <w:tr w:rsidR="00131D5C" w:rsidRPr="0071003D" w:rsidTr="001A5310">
        <w:tc>
          <w:tcPr>
            <w:tcW w:w="5000" w:type="pct"/>
            <w:gridSpan w:val="3"/>
          </w:tcPr>
          <w:p w:rsidR="00131D5C" w:rsidRPr="0071003D" w:rsidRDefault="00131D5C" w:rsidP="001A5310">
            <w:pPr>
              <w:jc w:val="both"/>
              <w:rPr>
                <w:rFonts w:eastAsia="Calibri"/>
                <w:sz w:val="20"/>
                <w:szCs w:val="20"/>
              </w:rPr>
            </w:pPr>
            <w:r w:rsidRPr="0071003D">
              <w:rPr>
                <w:rFonts w:eastAsia="Calibri"/>
                <w:color w:val="000000"/>
                <w:sz w:val="20"/>
                <w:szCs w:val="20"/>
              </w:rPr>
              <w:t xml:space="preserve">The applicant filed an application for judicial review of a decision of the Minister of Justice of Canada ordering his surrender to the United States of America to answer charges of conspiracy to traffic in marijuana and conspiracy to possess property obtained by crime.  He submitted to the Minister that his surrender should be refused because, among other grounds, his case should be prosecuted in Canada, not the United States, particularly since he states that he is prepared to plead guilty if he is prosecuted here.  He also raised his state of health; the distance from his family and his need for their support, in light of his medical condition; his inability to speak English; and the time it would take to have him transferred to Canada to serve out his sentence here.  The applicant submits that the Minister erred in refusing to recognize that his surrender violates ss. 6(1) and 7 of the </w:t>
            </w:r>
            <w:r w:rsidRPr="0071003D">
              <w:rPr>
                <w:rFonts w:eastAsia="Calibri"/>
                <w:i/>
                <w:color w:val="000000"/>
                <w:sz w:val="20"/>
                <w:szCs w:val="20"/>
              </w:rPr>
              <w:t>Charter</w:t>
            </w:r>
            <w:r w:rsidRPr="0071003D">
              <w:rPr>
                <w:rFonts w:eastAsia="Calibri"/>
                <w:color w:val="000000"/>
                <w:sz w:val="20"/>
                <w:szCs w:val="20"/>
              </w:rPr>
              <w:t xml:space="preserve"> and is unjust and oppressive.</w:t>
            </w:r>
          </w:p>
          <w:p w:rsidR="00131D5C" w:rsidRPr="0071003D" w:rsidRDefault="00131D5C" w:rsidP="001A5310">
            <w:pPr>
              <w:jc w:val="both"/>
              <w:rPr>
                <w:rFonts w:eastAsia="Calibri"/>
                <w:sz w:val="20"/>
                <w:szCs w:val="20"/>
              </w:rPr>
            </w:pPr>
          </w:p>
        </w:tc>
      </w:tr>
      <w:tr w:rsidR="00131D5C" w:rsidRPr="0071003D" w:rsidTr="001A5310">
        <w:tc>
          <w:tcPr>
            <w:tcW w:w="2427" w:type="pct"/>
          </w:tcPr>
          <w:p w:rsidR="00131D5C" w:rsidRPr="0071003D" w:rsidRDefault="00131D5C" w:rsidP="001A5310">
            <w:pPr>
              <w:jc w:val="both"/>
              <w:rPr>
                <w:rFonts w:eastAsia="Calibri"/>
                <w:sz w:val="20"/>
                <w:szCs w:val="20"/>
              </w:rPr>
            </w:pPr>
            <w:r w:rsidRPr="0071003D">
              <w:rPr>
                <w:rFonts w:eastAsia="Calibri"/>
                <w:sz w:val="20"/>
                <w:szCs w:val="20"/>
              </w:rPr>
              <w:t>July 24, 2013</w:t>
            </w:r>
          </w:p>
          <w:p w:rsidR="00131D5C" w:rsidRPr="0071003D" w:rsidRDefault="00131D5C" w:rsidP="001A5310">
            <w:pPr>
              <w:jc w:val="both"/>
              <w:rPr>
                <w:rFonts w:eastAsia="Calibri"/>
                <w:sz w:val="20"/>
                <w:szCs w:val="20"/>
              </w:rPr>
            </w:pPr>
            <w:r w:rsidRPr="0071003D">
              <w:rPr>
                <w:rFonts w:eastAsia="Calibri"/>
                <w:sz w:val="20"/>
                <w:szCs w:val="20"/>
              </w:rPr>
              <w:t>Minister of Justice (Quebec)</w:t>
            </w:r>
          </w:p>
          <w:p w:rsidR="00131D5C" w:rsidRPr="0071003D" w:rsidRDefault="00131D5C" w:rsidP="001A5310">
            <w:pPr>
              <w:jc w:val="both"/>
              <w:rPr>
                <w:rFonts w:eastAsia="Calibri"/>
                <w:sz w:val="20"/>
                <w:szCs w:val="20"/>
              </w:rPr>
            </w:pPr>
            <w:r w:rsidRPr="0071003D">
              <w:rPr>
                <w:rFonts w:eastAsia="Calibri"/>
                <w:sz w:val="20"/>
                <w:szCs w:val="20"/>
              </w:rPr>
              <w:t>(Minister MacKay)</w:t>
            </w:r>
          </w:p>
          <w:p w:rsidR="00131D5C" w:rsidRPr="0071003D" w:rsidRDefault="00131D5C" w:rsidP="001A5310">
            <w:pPr>
              <w:jc w:val="both"/>
              <w:rPr>
                <w:rFonts w:eastAsia="Calibri"/>
                <w:sz w:val="20"/>
                <w:szCs w:val="20"/>
              </w:rPr>
            </w:pPr>
          </w:p>
        </w:tc>
        <w:tc>
          <w:tcPr>
            <w:tcW w:w="243" w:type="pct"/>
          </w:tcPr>
          <w:p w:rsidR="00131D5C" w:rsidRPr="0071003D" w:rsidRDefault="00131D5C" w:rsidP="001A5310">
            <w:pPr>
              <w:jc w:val="both"/>
              <w:rPr>
                <w:rFonts w:eastAsia="Calibri"/>
                <w:sz w:val="20"/>
                <w:szCs w:val="20"/>
              </w:rPr>
            </w:pPr>
          </w:p>
        </w:tc>
        <w:tc>
          <w:tcPr>
            <w:tcW w:w="2330" w:type="pct"/>
          </w:tcPr>
          <w:p w:rsidR="00131D5C" w:rsidRPr="0071003D" w:rsidRDefault="00131D5C" w:rsidP="001A5310">
            <w:pPr>
              <w:jc w:val="both"/>
              <w:rPr>
                <w:rFonts w:eastAsia="Calibri"/>
                <w:sz w:val="20"/>
                <w:szCs w:val="20"/>
              </w:rPr>
            </w:pPr>
            <w:r w:rsidRPr="0071003D">
              <w:rPr>
                <w:rFonts w:eastAsia="Calibri"/>
                <w:sz w:val="20"/>
                <w:szCs w:val="20"/>
              </w:rPr>
              <w:t xml:space="preserve">Surrender order:  to answer </w:t>
            </w:r>
            <w:r w:rsidRPr="0071003D">
              <w:rPr>
                <w:rFonts w:eastAsia="Calibri"/>
                <w:color w:val="000000"/>
                <w:sz w:val="20"/>
                <w:szCs w:val="20"/>
              </w:rPr>
              <w:t>charges of conspiracy to traffic in marijuana and conspiracy to possess property obtained by crime</w:t>
            </w:r>
          </w:p>
          <w:p w:rsidR="00131D5C" w:rsidRPr="0071003D" w:rsidRDefault="00131D5C" w:rsidP="001A5310">
            <w:pPr>
              <w:jc w:val="both"/>
              <w:rPr>
                <w:rFonts w:eastAsia="Calibri"/>
                <w:sz w:val="20"/>
                <w:szCs w:val="20"/>
              </w:rPr>
            </w:pPr>
          </w:p>
        </w:tc>
      </w:tr>
      <w:tr w:rsidR="00131D5C" w:rsidRPr="0071003D" w:rsidTr="001A5310">
        <w:tc>
          <w:tcPr>
            <w:tcW w:w="2427" w:type="pct"/>
          </w:tcPr>
          <w:p w:rsidR="00131D5C" w:rsidRPr="0071003D" w:rsidRDefault="00131D5C" w:rsidP="001A5310">
            <w:pPr>
              <w:jc w:val="both"/>
              <w:rPr>
                <w:rFonts w:eastAsia="Calibri"/>
                <w:sz w:val="20"/>
                <w:szCs w:val="20"/>
              </w:rPr>
            </w:pPr>
            <w:r w:rsidRPr="0071003D">
              <w:rPr>
                <w:rFonts w:eastAsia="Calibri"/>
                <w:sz w:val="20"/>
                <w:szCs w:val="20"/>
              </w:rPr>
              <w:t>November 6, 2014</w:t>
            </w:r>
          </w:p>
          <w:p w:rsidR="00131D5C" w:rsidRPr="0071003D" w:rsidRDefault="00131D5C" w:rsidP="001A5310">
            <w:pPr>
              <w:jc w:val="both"/>
              <w:rPr>
                <w:rFonts w:eastAsia="Calibri"/>
                <w:sz w:val="20"/>
                <w:szCs w:val="20"/>
              </w:rPr>
            </w:pPr>
            <w:r w:rsidRPr="0071003D">
              <w:rPr>
                <w:rFonts w:eastAsia="Calibri"/>
                <w:sz w:val="20"/>
                <w:szCs w:val="20"/>
              </w:rPr>
              <w:t>Quebec Court of Appeal (Montréal)</w:t>
            </w:r>
          </w:p>
          <w:p w:rsidR="00131D5C" w:rsidRPr="0071003D" w:rsidRDefault="00131D5C" w:rsidP="001A5310">
            <w:pPr>
              <w:jc w:val="both"/>
              <w:rPr>
                <w:rFonts w:eastAsia="Calibri"/>
                <w:sz w:val="20"/>
                <w:szCs w:val="20"/>
              </w:rPr>
            </w:pPr>
            <w:r w:rsidRPr="0071003D">
              <w:rPr>
                <w:rFonts w:eastAsia="Calibri"/>
                <w:sz w:val="20"/>
                <w:szCs w:val="20"/>
              </w:rPr>
              <w:t>(Dufresne, St-Pierre and Savard JJ.A.)</w:t>
            </w:r>
          </w:p>
          <w:p w:rsidR="00131D5C" w:rsidRPr="0071003D" w:rsidRDefault="00131D5C" w:rsidP="001A5310">
            <w:pPr>
              <w:jc w:val="both"/>
              <w:rPr>
                <w:rFonts w:eastAsia="Calibri"/>
                <w:sz w:val="20"/>
                <w:szCs w:val="20"/>
              </w:rPr>
            </w:pPr>
          </w:p>
        </w:tc>
        <w:tc>
          <w:tcPr>
            <w:tcW w:w="243" w:type="pct"/>
          </w:tcPr>
          <w:p w:rsidR="00131D5C" w:rsidRPr="0071003D" w:rsidRDefault="00131D5C" w:rsidP="001A5310">
            <w:pPr>
              <w:jc w:val="both"/>
              <w:rPr>
                <w:rFonts w:eastAsia="Calibri"/>
                <w:sz w:val="20"/>
                <w:szCs w:val="20"/>
              </w:rPr>
            </w:pPr>
          </w:p>
        </w:tc>
        <w:tc>
          <w:tcPr>
            <w:tcW w:w="2330" w:type="pct"/>
          </w:tcPr>
          <w:p w:rsidR="00131D5C" w:rsidRPr="0071003D" w:rsidRDefault="00131D5C" w:rsidP="001A5310">
            <w:pPr>
              <w:jc w:val="both"/>
              <w:rPr>
                <w:rFonts w:eastAsia="Calibri"/>
                <w:sz w:val="20"/>
                <w:szCs w:val="20"/>
              </w:rPr>
            </w:pPr>
            <w:r w:rsidRPr="0071003D">
              <w:rPr>
                <w:rFonts w:eastAsia="Calibri"/>
                <w:sz w:val="20"/>
                <w:szCs w:val="20"/>
              </w:rPr>
              <w:t>Application for judicial review dismissed</w:t>
            </w:r>
          </w:p>
          <w:p w:rsidR="00131D5C" w:rsidRPr="0071003D" w:rsidRDefault="00131D5C" w:rsidP="001A5310">
            <w:pPr>
              <w:jc w:val="both"/>
              <w:rPr>
                <w:rFonts w:eastAsia="Calibri"/>
                <w:sz w:val="20"/>
                <w:szCs w:val="20"/>
              </w:rPr>
            </w:pPr>
          </w:p>
          <w:p w:rsidR="00131D5C" w:rsidRPr="0071003D" w:rsidRDefault="00131D5C" w:rsidP="001A5310">
            <w:pPr>
              <w:jc w:val="both"/>
              <w:rPr>
                <w:rFonts w:eastAsia="Calibri"/>
                <w:sz w:val="20"/>
                <w:szCs w:val="20"/>
              </w:rPr>
            </w:pPr>
          </w:p>
        </w:tc>
      </w:tr>
      <w:tr w:rsidR="00131D5C" w:rsidRPr="0071003D" w:rsidTr="001A5310">
        <w:tc>
          <w:tcPr>
            <w:tcW w:w="2427" w:type="pct"/>
          </w:tcPr>
          <w:p w:rsidR="00131D5C" w:rsidRPr="0071003D" w:rsidRDefault="00131D5C" w:rsidP="001A5310">
            <w:pPr>
              <w:jc w:val="both"/>
              <w:rPr>
                <w:rFonts w:eastAsia="Calibri"/>
                <w:sz w:val="20"/>
                <w:szCs w:val="20"/>
              </w:rPr>
            </w:pPr>
            <w:r w:rsidRPr="0071003D">
              <w:rPr>
                <w:rFonts w:eastAsia="Calibri"/>
                <w:sz w:val="20"/>
                <w:szCs w:val="20"/>
              </w:rPr>
              <w:t>December 17, 2014</w:t>
            </w:r>
          </w:p>
          <w:p w:rsidR="00131D5C" w:rsidRPr="0071003D" w:rsidRDefault="00131D5C" w:rsidP="001A5310">
            <w:pPr>
              <w:jc w:val="both"/>
              <w:rPr>
                <w:rFonts w:eastAsia="Calibri"/>
                <w:sz w:val="20"/>
                <w:szCs w:val="20"/>
              </w:rPr>
            </w:pPr>
            <w:r w:rsidRPr="0071003D">
              <w:rPr>
                <w:rFonts w:eastAsia="Calibri"/>
                <w:sz w:val="20"/>
                <w:szCs w:val="20"/>
              </w:rPr>
              <w:t>Supreme Court of Canada</w:t>
            </w:r>
          </w:p>
        </w:tc>
        <w:tc>
          <w:tcPr>
            <w:tcW w:w="243" w:type="pct"/>
          </w:tcPr>
          <w:p w:rsidR="00131D5C" w:rsidRPr="0071003D" w:rsidRDefault="00131D5C" w:rsidP="001A5310">
            <w:pPr>
              <w:jc w:val="both"/>
              <w:rPr>
                <w:rFonts w:eastAsia="Calibri"/>
                <w:sz w:val="20"/>
                <w:szCs w:val="20"/>
              </w:rPr>
            </w:pPr>
          </w:p>
        </w:tc>
        <w:tc>
          <w:tcPr>
            <w:tcW w:w="2330" w:type="pct"/>
          </w:tcPr>
          <w:p w:rsidR="00131D5C" w:rsidRPr="0071003D" w:rsidRDefault="00131D5C" w:rsidP="001A5310">
            <w:pPr>
              <w:jc w:val="both"/>
              <w:rPr>
                <w:rFonts w:eastAsia="Calibri"/>
                <w:sz w:val="20"/>
                <w:szCs w:val="20"/>
              </w:rPr>
            </w:pPr>
            <w:r w:rsidRPr="0071003D">
              <w:rPr>
                <w:rFonts w:eastAsia="Calibri"/>
                <w:sz w:val="20"/>
                <w:szCs w:val="20"/>
              </w:rPr>
              <w:t>Application for leave to appeal filed</w:t>
            </w:r>
          </w:p>
          <w:p w:rsidR="00131D5C" w:rsidRPr="0071003D" w:rsidRDefault="00131D5C" w:rsidP="001A5310">
            <w:pPr>
              <w:jc w:val="both"/>
              <w:rPr>
                <w:rFonts w:eastAsia="Calibri"/>
                <w:sz w:val="20"/>
                <w:szCs w:val="20"/>
              </w:rPr>
            </w:pPr>
          </w:p>
        </w:tc>
      </w:tr>
    </w:tbl>
    <w:p w:rsidR="008E7C88" w:rsidRDefault="008E7C88" w:rsidP="008E7C88">
      <w:pPr>
        <w:rPr>
          <w:sz w:val="20"/>
          <w:szCs w:val="20"/>
        </w:rPr>
      </w:pPr>
    </w:p>
    <w:p w:rsidR="008E7C88" w:rsidRPr="00C50A5C" w:rsidRDefault="00BF341F" w:rsidP="008E7C88">
      <w:pPr>
        <w:rPr>
          <w:sz w:val="20"/>
          <w:szCs w:val="20"/>
        </w:rPr>
      </w:pPr>
      <w:r>
        <w:rPr>
          <w:sz w:val="20"/>
          <w:szCs w:val="20"/>
          <w:lang w:val="fr-CA"/>
        </w:rPr>
        <w:pict>
          <v:rect id="_x0000_i1044" style="width:2in;height:1pt" o:hrpct="0" o:hralign="center" o:hrstd="t" o:hrnoshade="t" o:hr="t" fillcolor="black [3213]" stroked="f"/>
        </w:pict>
      </w:r>
    </w:p>
    <w:p w:rsidR="008E7C88" w:rsidRDefault="008E7C88" w:rsidP="008E7C88">
      <w:pPr>
        <w:rPr>
          <w:sz w:val="20"/>
          <w:szCs w:val="20"/>
        </w:rPr>
      </w:pPr>
    </w:p>
    <w:p w:rsidR="008E7C88" w:rsidRPr="001B157C" w:rsidRDefault="008E7C88" w:rsidP="008E7C88">
      <w:pPr>
        <w:rPr>
          <w:sz w:val="20"/>
          <w:szCs w:val="20"/>
          <w:u w:val="single"/>
          <w:lang w:val="fr-CA"/>
        </w:rPr>
      </w:pPr>
      <w:r w:rsidRPr="001B157C">
        <w:rPr>
          <w:sz w:val="20"/>
          <w:szCs w:val="20"/>
          <w:u w:val="single"/>
          <w:lang w:val="fr-CA"/>
        </w:rPr>
        <w:t>RÉSUMÉ DE L’AFFAIRE</w:t>
      </w:r>
    </w:p>
    <w:p w:rsidR="008E7C88" w:rsidRDefault="008E7C88" w:rsidP="008E7C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1D5C" w:rsidRPr="00C3091A" w:rsidTr="001A5310">
        <w:tc>
          <w:tcPr>
            <w:tcW w:w="5000" w:type="pct"/>
            <w:gridSpan w:val="3"/>
          </w:tcPr>
          <w:p w:rsidR="00131D5C" w:rsidRPr="0071003D" w:rsidRDefault="00131D5C" w:rsidP="001A5310">
            <w:pPr>
              <w:jc w:val="both"/>
              <w:rPr>
                <w:rFonts w:eastAsia="Calibri"/>
                <w:sz w:val="20"/>
                <w:szCs w:val="20"/>
                <w:lang w:val="fr-CA"/>
              </w:rPr>
            </w:pPr>
            <w:r w:rsidRPr="0071003D">
              <w:rPr>
                <w:rFonts w:eastAsia="Calibri"/>
                <w:i/>
                <w:sz w:val="20"/>
                <w:szCs w:val="20"/>
                <w:lang w:val="fr-CA"/>
              </w:rPr>
              <w:t>Charte Canadienne des droits et libertés</w:t>
            </w:r>
            <w:r w:rsidRPr="0071003D">
              <w:rPr>
                <w:rFonts w:eastAsia="Calibri"/>
                <w:sz w:val="20"/>
                <w:szCs w:val="20"/>
                <w:lang w:val="fr-CA"/>
              </w:rPr>
              <w:t xml:space="preserve"> – Droit criminel – Extradition – Demande en révision juridique de la décision du ministre de la Justice – Le Ministre a-t-il l’obligation de consulter le Service canadien des poursuites pénales sur la possibilité d’accuser un citoyen Canadien lorsque le crime est punissable au Canada? Le cas échéant, le Ministre devrait-il informer le SCPP de la situation médicale du requérant en l’espèce? – Est-ce que l’Extradition d’un citoyen Canadien qui souffre d’une condition médicale grave et qui s’engage à enregistrer un plaidoyer de culpabilité au Canada viole l’article 43 (1) de la</w:t>
            </w:r>
            <w:r w:rsidRPr="0071003D">
              <w:rPr>
                <w:rFonts w:eastAsia="Calibri"/>
                <w:i/>
                <w:sz w:val="20"/>
                <w:szCs w:val="20"/>
                <w:lang w:val="fr-CA"/>
              </w:rPr>
              <w:t xml:space="preserve"> Loi sur l’extradition</w:t>
            </w:r>
            <w:r w:rsidRPr="0071003D">
              <w:rPr>
                <w:rFonts w:eastAsia="Calibri"/>
                <w:sz w:val="20"/>
                <w:szCs w:val="20"/>
                <w:lang w:val="fr-CA"/>
              </w:rPr>
              <w:t xml:space="preserve"> ainsi que l’article 7 de la </w:t>
            </w:r>
            <w:r w:rsidRPr="0071003D">
              <w:rPr>
                <w:rFonts w:eastAsia="Calibri"/>
                <w:i/>
                <w:sz w:val="20"/>
                <w:szCs w:val="20"/>
                <w:lang w:val="fr-CA"/>
              </w:rPr>
              <w:t>Charte Canadienne des droits et libertés</w:t>
            </w:r>
            <w:r w:rsidRPr="0071003D">
              <w:rPr>
                <w:rFonts w:eastAsia="Calibri"/>
                <w:sz w:val="20"/>
                <w:szCs w:val="20"/>
                <w:lang w:val="fr-CA"/>
              </w:rPr>
              <w:t xml:space="preserve">? – Est-ce que le Ministre a commis une erreur en n’exigeant pas des autorités américaines l’assurance que le demandeur pourrait bénéficier d’une greffe rénale durant son incarcération si nécessaire? – Paragraphe 6(1) et article 7 de la </w:t>
            </w:r>
            <w:r w:rsidRPr="0071003D">
              <w:rPr>
                <w:rFonts w:eastAsia="Calibri"/>
                <w:i/>
                <w:sz w:val="20"/>
                <w:szCs w:val="20"/>
                <w:lang w:val="fr-CA"/>
              </w:rPr>
              <w:t>Charte</w:t>
            </w:r>
            <w:r w:rsidRPr="0071003D">
              <w:rPr>
                <w:rFonts w:eastAsia="Calibri"/>
                <w:sz w:val="20"/>
                <w:szCs w:val="20"/>
                <w:lang w:val="fr-CA"/>
              </w:rPr>
              <w:t>.</w:t>
            </w:r>
          </w:p>
        </w:tc>
      </w:tr>
      <w:tr w:rsidR="00131D5C" w:rsidRPr="00C3091A" w:rsidTr="001A5310">
        <w:tc>
          <w:tcPr>
            <w:tcW w:w="5000" w:type="pct"/>
            <w:gridSpan w:val="3"/>
          </w:tcPr>
          <w:p w:rsidR="00131D5C" w:rsidRPr="0071003D" w:rsidRDefault="00131D5C" w:rsidP="001A5310">
            <w:pPr>
              <w:jc w:val="both"/>
              <w:rPr>
                <w:rFonts w:eastAsia="Calibri"/>
                <w:sz w:val="20"/>
                <w:szCs w:val="20"/>
                <w:lang w:val="fr-CA"/>
              </w:rPr>
            </w:pPr>
          </w:p>
        </w:tc>
      </w:tr>
      <w:tr w:rsidR="00131D5C" w:rsidRPr="00C3091A" w:rsidTr="001A5310">
        <w:tc>
          <w:tcPr>
            <w:tcW w:w="5000" w:type="pct"/>
            <w:gridSpan w:val="3"/>
          </w:tcPr>
          <w:p w:rsidR="00131D5C" w:rsidRPr="0071003D" w:rsidRDefault="00131D5C" w:rsidP="001A5310">
            <w:pPr>
              <w:jc w:val="both"/>
              <w:rPr>
                <w:rFonts w:eastAsia="Calibri"/>
                <w:sz w:val="20"/>
                <w:szCs w:val="20"/>
                <w:lang w:val="fr-CA"/>
              </w:rPr>
            </w:pPr>
            <w:r w:rsidRPr="0071003D">
              <w:rPr>
                <w:rFonts w:eastAsia="Calibri"/>
                <w:color w:val="000000"/>
                <w:sz w:val="20"/>
                <w:szCs w:val="20"/>
                <w:lang w:val="fr-CA"/>
              </w:rPr>
              <w:t xml:space="preserve">Le demandeur présente une demande en révision judiciaire de la décision du ministre de la Justice du Canada d’ordonner son extradition vers les États-Unis d’Amérique afin qu’il réponde à des accusations de complot en vue de faire le trafic de marijuana et de complot en vue de la possession de biens criminellement obtenus.  Il a fait valoir au ministre que son extradition devait être refusée en raison notamment du fait que la poursuite devrait, en l’espèce, être intentée au Canada plutôt qu’aux États-Unis, d’autant qu’il déclare être prêt à plaider coupable s’il est poursuivi ici.  Il invoquait également son état de santé, l’éloignement de sa famille et le besoin du soutien de celle-ci, compte tenu de sa condition médicale, son unilinguisme, ainsi que le délai pour être transféré au Canada pour y purger sa peine.  Le demandeur soutient que le ministre a commis une erreur en refusant de reconnaître que son extradition viole le paragraphe 6(1) et l’article 7 de la </w:t>
            </w:r>
            <w:r w:rsidRPr="0071003D">
              <w:rPr>
                <w:rFonts w:eastAsia="Calibri"/>
                <w:i/>
                <w:color w:val="000000"/>
                <w:sz w:val="20"/>
                <w:szCs w:val="20"/>
                <w:lang w:val="fr-CA"/>
              </w:rPr>
              <w:t>Charte</w:t>
            </w:r>
            <w:r w:rsidRPr="0071003D">
              <w:rPr>
                <w:rFonts w:eastAsia="Calibri"/>
                <w:color w:val="000000"/>
                <w:sz w:val="20"/>
                <w:szCs w:val="20"/>
                <w:lang w:val="fr-CA"/>
              </w:rPr>
              <w:t xml:space="preserve"> et qu’elle est injuste et tyrannique</w:t>
            </w:r>
            <w:r w:rsidRPr="0071003D">
              <w:rPr>
                <w:rFonts w:eastAsia="Calibri"/>
                <w:sz w:val="20"/>
                <w:szCs w:val="20"/>
                <w:lang w:val="fr-CA"/>
              </w:rPr>
              <w:t>.</w:t>
            </w:r>
          </w:p>
          <w:p w:rsidR="00131D5C" w:rsidRPr="0071003D" w:rsidRDefault="00131D5C" w:rsidP="001A5310">
            <w:pPr>
              <w:jc w:val="both"/>
              <w:rPr>
                <w:rFonts w:eastAsia="Calibri"/>
                <w:sz w:val="20"/>
                <w:szCs w:val="20"/>
                <w:lang w:val="fr-CA"/>
              </w:rPr>
            </w:pPr>
          </w:p>
        </w:tc>
      </w:tr>
      <w:tr w:rsidR="00131D5C" w:rsidRPr="00C3091A" w:rsidTr="001A5310">
        <w:tc>
          <w:tcPr>
            <w:tcW w:w="2427" w:type="pct"/>
          </w:tcPr>
          <w:p w:rsidR="00131D5C" w:rsidRPr="0071003D" w:rsidRDefault="00131D5C" w:rsidP="001A5310">
            <w:pPr>
              <w:jc w:val="both"/>
              <w:rPr>
                <w:rFonts w:eastAsia="Calibri"/>
                <w:sz w:val="20"/>
                <w:szCs w:val="20"/>
                <w:lang w:val="fr-CA"/>
              </w:rPr>
            </w:pPr>
            <w:r w:rsidRPr="0071003D">
              <w:rPr>
                <w:rFonts w:eastAsia="Calibri"/>
                <w:sz w:val="20"/>
                <w:szCs w:val="20"/>
                <w:lang w:val="fr-CA"/>
              </w:rPr>
              <w:t>Le 24 juillet 2013</w:t>
            </w:r>
          </w:p>
          <w:p w:rsidR="00131D5C" w:rsidRPr="0071003D" w:rsidRDefault="00131D5C" w:rsidP="001A5310">
            <w:pPr>
              <w:jc w:val="both"/>
              <w:rPr>
                <w:rFonts w:eastAsia="Calibri"/>
                <w:sz w:val="20"/>
                <w:szCs w:val="20"/>
                <w:lang w:val="fr-CA"/>
              </w:rPr>
            </w:pPr>
            <w:r w:rsidRPr="0071003D">
              <w:rPr>
                <w:rFonts w:eastAsia="Calibri"/>
                <w:sz w:val="20"/>
                <w:szCs w:val="20"/>
                <w:lang w:val="fr-CA"/>
              </w:rPr>
              <w:lastRenderedPageBreak/>
              <w:t>Ministre de la Justice (Québec)</w:t>
            </w:r>
          </w:p>
          <w:p w:rsidR="00131D5C" w:rsidRPr="0071003D" w:rsidRDefault="00131D5C" w:rsidP="001A5310">
            <w:pPr>
              <w:jc w:val="both"/>
              <w:rPr>
                <w:rFonts w:eastAsia="Calibri"/>
                <w:sz w:val="20"/>
                <w:szCs w:val="20"/>
                <w:lang w:val="fr-CA"/>
              </w:rPr>
            </w:pPr>
            <w:r w:rsidRPr="0071003D">
              <w:rPr>
                <w:rFonts w:eastAsia="Calibri"/>
                <w:sz w:val="20"/>
                <w:szCs w:val="20"/>
                <w:lang w:val="fr-CA"/>
              </w:rPr>
              <w:t>(Le ministre MacKay)</w:t>
            </w:r>
          </w:p>
          <w:p w:rsidR="00131D5C" w:rsidRPr="0071003D" w:rsidRDefault="00131D5C" w:rsidP="001A5310">
            <w:pPr>
              <w:jc w:val="both"/>
              <w:rPr>
                <w:rFonts w:eastAsia="Calibri"/>
                <w:sz w:val="20"/>
                <w:szCs w:val="20"/>
              </w:rPr>
            </w:pPr>
          </w:p>
        </w:tc>
        <w:tc>
          <w:tcPr>
            <w:tcW w:w="243" w:type="pct"/>
          </w:tcPr>
          <w:p w:rsidR="00131D5C" w:rsidRPr="0071003D" w:rsidRDefault="00131D5C" w:rsidP="001A5310">
            <w:pPr>
              <w:jc w:val="both"/>
              <w:rPr>
                <w:rFonts w:eastAsia="Calibri"/>
                <w:sz w:val="20"/>
                <w:szCs w:val="20"/>
              </w:rPr>
            </w:pPr>
          </w:p>
        </w:tc>
        <w:tc>
          <w:tcPr>
            <w:tcW w:w="2330" w:type="pct"/>
          </w:tcPr>
          <w:p w:rsidR="00131D5C" w:rsidRPr="0071003D" w:rsidRDefault="00131D5C" w:rsidP="001A5310">
            <w:pPr>
              <w:jc w:val="both"/>
              <w:rPr>
                <w:rFonts w:eastAsia="Calibri"/>
                <w:sz w:val="20"/>
                <w:szCs w:val="20"/>
                <w:lang w:val="fr-CA"/>
              </w:rPr>
            </w:pPr>
            <w:r w:rsidRPr="0071003D">
              <w:rPr>
                <w:rFonts w:eastAsia="Calibri"/>
                <w:sz w:val="20"/>
                <w:szCs w:val="20"/>
                <w:lang w:val="fr-CA"/>
              </w:rPr>
              <w:t xml:space="preserve">Ordonnance d’extradition: pour répondre à des </w:t>
            </w:r>
            <w:r w:rsidRPr="0071003D">
              <w:rPr>
                <w:rFonts w:eastAsia="Calibri"/>
                <w:sz w:val="20"/>
                <w:szCs w:val="20"/>
                <w:lang w:val="fr-CA"/>
              </w:rPr>
              <w:lastRenderedPageBreak/>
              <w:t>accusations de complot en vue de faire le trafic de marijuana et de complot en vue de la possession de biens criminellement obtenus</w:t>
            </w:r>
          </w:p>
          <w:p w:rsidR="00131D5C" w:rsidRPr="0071003D" w:rsidRDefault="00131D5C" w:rsidP="001A5310">
            <w:pPr>
              <w:jc w:val="both"/>
              <w:rPr>
                <w:rFonts w:eastAsia="Calibri"/>
                <w:sz w:val="20"/>
                <w:szCs w:val="20"/>
                <w:lang w:val="fr-CA"/>
              </w:rPr>
            </w:pPr>
          </w:p>
        </w:tc>
      </w:tr>
      <w:tr w:rsidR="00131D5C" w:rsidRPr="0071003D" w:rsidTr="001A5310">
        <w:tc>
          <w:tcPr>
            <w:tcW w:w="2427" w:type="pct"/>
          </w:tcPr>
          <w:p w:rsidR="00131D5C" w:rsidRPr="0071003D" w:rsidRDefault="00131D5C" w:rsidP="001A5310">
            <w:pPr>
              <w:jc w:val="both"/>
              <w:rPr>
                <w:rFonts w:eastAsia="Calibri"/>
                <w:sz w:val="20"/>
                <w:szCs w:val="20"/>
                <w:lang w:val="fr-CA"/>
              </w:rPr>
            </w:pPr>
            <w:r w:rsidRPr="0071003D">
              <w:rPr>
                <w:rFonts w:eastAsia="Calibri"/>
                <w:sz w:val="20"/>
                <w:szCs w:val="20"/>
                <w:lang w:val="fr-CA"/>
              </w:rPr>
              <w:lastRenderedPageBreak/>
              <w:t>Le 6 novembre 2014</w:t>
            </w:r>
          </w:p>
          <w:p w:rsidR="00131D5C" w:rsidRPr="0071003D" w:rsidRDefault="00131D5C" w:rsidP="001A5310">
            <w:pPr>
              <w:jc w:val="both"/>
              <w:rPr>
                <w:rFonts w:eastAsia="Calibri"/>
                <w:sz w:val="20"/>
                <w:szCs w:val="20"/>
                <w:lang w:val="fr-CA"/>
              </w:rPr>
            </w:pPr>
            <w:r w:rsidRPr="0071003D">
              <w:rPr>
                <w:rFonts w:eastAsia="Calibri"/>
                <w:sz w:val="20"/>
                <w:szCs w:val="20"/>
                <w:lang w:val="fr-CA"/>
              </w:rPr>
              <w:t>Cour d’appel du Québec (Montréal)</w:t>
            </w:r>
          </w:p>
          <w:p w:rsidR="00131D5C" w:rsidRPr="0071003D" w:rsidRDefault="00131D5C" w:rsidP="001A5310">
            <w:pPr>
              <w:jc w:val="both"/>
              <w:rPr>
                <w:rFonts w:eastAsia="Calibri"/>
                <w:sz w:val="20"/>
                <w:szCs w:val="20"/>
                <w:lang w:val="fr-CA"/>
              </w:rPr>
            </w:pPr>
            <w:r w:rsidRPr="0071003D">
              <w:rPr>
                <w:rFonts w:eastAsia="Calibri"/>
                <w:sz w:val="20"/>
                <w:szCs w:val="20"/>
                <w:lang w:val="fr-CA"/>
              </w:rPr>
              <w:t>(Les juges Dufresne, St-Pierre et Savard)</w:t>
            </w:r>
          </w:p>
          <w:p w:rsidR="00131D5C" w:rsidRPr="0071003D" w:rsidRDefault="00131D5C" w:rsidP="001A5310">
            <w:pPr>
              <w:jc w:val="both"/>
              <w:rPr>
                <w:rFonts w:eastAsia="Calibri"/>
                <w:sz w:val="20"/>
                <w:szCs w:val="20"/>
                <w:lang w:val="fr-CA"/>
              </w:rPr>
            </w:pPr>
          </w:p>
        </w:tc>
        <w:tc>
          <w:tcPr>
            <w:tcW w:w="243" w:type="pct"/>
          </w:tcPr>
          <w:p w:rsidR="00131D5C" w:rsidRPr="0071003D" w:rsidRDefault="00131D5C" w:rsidP="001A5310">
            <w:pPr>
              <w:jc w:val="both"/>
              <w:rPr>
                <w:rFonts w:eastAsia="Calibri"/>
                <w:sz w:val="20"/>
                <w:szCs w:val="20"/>
                <w:lang w:val="fr-CA"/>
              </w:rPr>
            </w:pPr>
          </w:p>
        </w:tc>
        <w:tc>
          <w:tcPr>
            <w:tcW w:w="2330" w:type="pct"/>
          </w:tcPr>
          <w:p w:rsidR="00131D5C" w:rsidRPr="0071003D" w:rsidRDefault="00131D5C" w:rsidP="001A5310">
            <w:pPr>
              <w:jc w:val="both"/>
              <w:rPr>
                <w:rFonts w:eastAsia="Calibri"/>
                <w:sz w:val="20"/>
                <w:szCs w:val="20"/>
                <w:lang w:val="fr-CA"/>
              </w:rPr>
            </w:pPr>
            <w:r w:rsidRPr="0071003D">
              <w:rPr>
                <w:rFonts w:eastAsia="Calibri"/>
                <w:sz w:val="20"/>
                <w:szCs w:val="20"/>
                <w:lang w:val="fr-CA"/>
              </w:rPr>
              <w:t>Demande de révision judiciaire rejetée</w:t>
            </w:r>
          </w:p>
          <w:p w:rsidR="00131D5C" w:rsidRPr="0071003D" w:rsidRDefault="00131D5C" w:rsidP="001A5310">
            <w:pPr>
              <w:jc w:val="both"/>
              <w:rPr>
                <w:rFonts w:eastAsia="Calibri"/>
                <w:sz w:val="20"/>
                <w:szCs w:val="20"/>
                <w:lang w:val="fr-CA"/>
              </w:rPr>
            </w:pPr>
          </w:p>
          <w:p w:rsidR="00131D5C" w:rsidRPr="0071003D" w:rsidRDefault="00131D5C" w:rsidP="001A5310">
            <w:pPr>
              <w:jc w:val="both"/>
              <w:rPr>
                <w:rFonts w:eastAsia="Calibri"/>
                <w:sz w:val="20"/>
                <w:szCs w:val="20"/>
                <w:lang w:val="fr-CA"/>
              </w:rPr>
            </w:pPr>
          </w:p>
        </w:tc>
      </w:tr>
      <w:tr w:rsidR="00131D5C" w:rsidRPr="0071003D" w:rsidTr="001A5310">
        <w:tc>
          <w:tcPr>
            <w:tcW w:w="2427" w:type="pct"/>
          </w:tcPr>
          <w:p w:rsidR="00131D5C" w:rsidRPr="0071003D" w:rsidRDefault="00131D5C" w:rsidP="001A5310">
            <w:pPr>
              <w:jc w:val="both"/>
              <w:rPr>
                <w:rFonts w:eastAsia="Calibri"/>
                <w:sz w:val="20"/>
                <w:szCs w:val="20"/>
                <w:lang w:val="fr-CA"/>
              </w:rPr>
            </w:pPr>
            <w:r w:rsidRPr="0071003D">
              <w:rPr>
                <w:rFonts w:eastAsia="Calibri"/>
                <w:sz w:val="20"/>
                <w:szCs w:val="20"/>
                <w:lang w:val="fr-CA"/>
              </w:rPr>
              <w:t>Le 17 décembre 2014</w:t>
            </w:r>
          </w:p>
          <w:p w:rsidR="00131D5C" w:rsidRPr="0071003D" w:rsidRDefault="00131D5C" w:rsidP="001A5310">
            <w:pPr>
              <w:jc w:val="both"/>
              <w:rPr>
                <w:rFonts w:eastAsia="Calibri"/>
                <w:sz w:val="20"/>
                <w:szCs w:val="20"/>
                <w:lang w:val="fr-CA"/>
              </w:rPr>
            </w:pPr>
            <w:r w:rsidRPr="0071003D">
              <w:rPr>
                <w:rFonts w:eastAsia="Calibri"/>
                <w:sz w:val="20"/>
                <w:szCs w:val="20"/>
                <w:lang w:val="fr-CA"/>
              </w:rPr>
              <w:t>Cour suprême du Canada</w:t>
            </w:r>
          </w:p>
        </w:tc>
        <w:tc>
          <w:tcPr>
            <w:tcW w:w="243" w:type="pct"/>
          </w:tcPr>
          <w:p w:rsidR="00131D5C" w:rsidRPr="0071003D" w:rsidRDefault="00131D5C" w:rsidP="001A5310">
            <w:pPr>
              <w:jc w:val="both"/>
              <w:rPr>
                <w:rFonts w:eastAsia="Calibri"/>
                <w:sz w:val="20"/>
                <w:szCs w:val="20"/>
                <w:lang w:val="fr-CA"/>
              </w:rPr>
            </w:pPr>
          </w:p>
        </w:tc>
        <w:tc>
          <w:tcPr>
            <w:tcW w:w="2330" w:type="pct"/>
          </w:tcPr>
          <w:p w:rsidR="00131D5C" w:rsidRPr="0071003D" w:rsidRDefault="00131D5C" w:rsidP="001A5310">
            <w:pPr>
              <w:jc w:val="both"/>
              <w:rPr>
                <w:rFonts w:eastAsia="Calibri"/>
                <w:sz w:val="20"/>
                <w:szCs w:val="20"/>
                <w:lang w:val="fr-CA"/>
              </w:rPr>
            </w:pPr>
            <w:r w:rsidRPr="0071003D">
              <w:rPr>
                <w:rFonts w:eastAsia="Calibri"/>
                <w:sz w:val="20"/>
                <w:szCs w:val="20"/>
                <w:lang w:val="fr-CA"/>
              </w:rPr>
              <w:t>Demande d’autorisation d’appel déposée</w:t>
            </w:r>
          </w:p>
          <w:p w:rsidR="00131D5C" w:rsidRPr="0071003D" w:rsidRDefault="00131D5C" w:rsidP="001A5310">
            <w:pPr>
              <w:jc w:val="both"/>
              <w:rPr>
                <w:rFonts w:eastAsia="Calibri"/>
                <w:sz w:val="20"/>
                <w:szCs w:val="20"/>
                <w:lang w:val="fr-CA"/>
              </w:rPr>
            </w:pPr>
          </w:p>
        </w:tc>
      </w:tr>
    </w:tbl>
    <w:p w:rsidR="008E7C88" w:rsidRDefault="008E7C88" w:rsidP="008E7C88">
      <w:pPr>
        <w:rPr>
          <w:sz w:val="20"/>
          <w:szCs w:val="20"/>
        </w:rPr>
      </w:pPr>
    </w:p>
    <w:p w:rsidR="008E7C88" w:rsidRDefault="00BF341F" w:rsidP="008E7C88">
      <w:pPr>
        <w:rPr>
          <w:sz w:val="20"/>
          <w:szCs w:val="20"/>
          <w:lang w:val="fr-CA"/>
        </w:rPr>
      </w:pPr>
      <w:r>
        <w:rPr>
          <w:sz w:val="20"/>
          <w:szCs w:val="20"/>
          <w:lang w:val="fr-CA"/>
        </w:rPr>
        <w:pict>
          <v:rect id="_x0000_i1045" style="width:2in;height:1pt" o:hrpct="0" o:hralign="center" o:hrstd="t" o:hrnoshade="t" o:hr="t" fillcolor="black [3213]" stroked="f"/>
        </w:pict>
      </w:r>
    </w:p>
    <w:p w:rsidR="008E7C88" w:rsidRDefault="008E7C88" w:rsidP="008E7C8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248E0" w:rsidRPr="00C719F1" w:rsidTr="001A5310">
        <w:trPr>
          <w:cantSplit/>
        </w:trPr>
        <w:tc>
          <w:tcPr>
            <w:tcW w:w="1458" w:type="dxa"/>
          </w:tcPr>
          <w:p w:rsidR="002248E0" w:rsidRPr="00C719F1" w:rsidRDefault="002248E0" w:rsidP="001A5310">
            <w:pPr>
              <w:rPr>
                <w:sz w:val="20"/>
                <w:szCs w:val="20"/>
              </w:rPr>
            </w:pPr>
            <w:r w:rsidRPr="00C719F1">
              <w:rPr>
                <w:rStyle w:val="SCCFileNumberChar"/>
                <w:sz w:val="20"/>
                <w:szCs w:val="20"/>
              </w:rPr>
              <w:t>36219</w:t>
            </w:r>
          </w:p>
          <w:p w:rsidR="002248E0" w:rsidRPr="00C719F1" w:rsidRDefault="002248E0" w:rsidP="001A5310">
            <w:pPr>
              <w:rPr>
                <w:b/>
                <w:sz w:val="20"/>
                <w:szCs w:val="20"/>
                <w:lang w:val="fr-CA"/>
              </w:rPr>
            </w:pPr>
          </w:p>
        </w:tc>
        <w:tc>
          <w:tcPr>
            <w:tcW w:w="8118" w:type="dxa"/>
          </w:tcPr>
          <w:p w:rsidR="002248E0" w:rsidRPr="00C719F1" w:rsidRDefault="002248E0" w:rsidP="001A5310">
            <w:pPr>
              <w:rPr>
                <w:sz w:val="20"/>
                <w:szCs w:val="20"/>
              </w:rPr>
            </w:pPr>
            <w:r w:rsidRPr="00C719F1">
              <w:rPr>
                <w:rStyle w:val="SCCLsocChar"/>
                <w:sz w:val="20"/>
                <w:szCs w:val="20"/>
                <w:lang w:val="en-CA"/>
              </w:rPr>
              <w:t>Larry Peter Klippenstein v. Her Majesty the Queen</w:t>
            </w:r>
            <w:r w:rsidRPr="00C719F1">
              <w:rPr>
                <w:sz w:val="20"/>
                <w:szCs w:val="20"/>
              </w:rPr>
              <w:t xml:space="preserve"> (F</w:t>
            </w:r>
            <w:r>
              <w:rPr>
                <w:szCs w:val="20"/>
              </w:rPr>
              <w:t>.</w:t>
            </w:r>
            <w:r w:rsidRPr="00C719F1">
              <w:rPr>
                <w:sz w:val="20"/>
                <w:szCs w:val="20"/>
              </w:rPr>
              <w:t>C</w:t>
            </w:r>
            <w:r>
              <w:rPr>
                <w:szCs w:val="20"/>
              </w:rPr>
              <w:t>.</w:t>
            </w:r>
            <w:r w:rsidRPr="00C719F1">
              <w:rPr>
                <w:sz w:val="20"/>
                <w:szCs w:val="20"/>
              </w:rPr>
              <w:t>) (Civil) (By Leave)</w:t>
            </w:r>
          </w:p>
          <w:p w:rsidR="002248E0" w:rsidRPr="00C719F1" w:rsidRDefault="002248E0" w:rsidP="001A5310">
            <w:pPr>
              <w:rPr>
                <w:sz w:val="20"/>
                <w:szCs w:val="20"/>
              </w:rPr>
            </w:pPr>
          </w:p>
        </w:tc>
      </w:tr>
      <w:tr w:rsidR="002248E0" w:rsidRPr="00C3091A" w:rsidTr="001A5310">
        <w:trPr>
          <w:cantSplit/>
        </w:trPr>
        <w:tc>
          <w:tcPr>
            <w:tcW w:w="1458" w:type="dxa"/>
          </w:tcPr>
          <w:p w:rsidR="002248E0" w:rsidRPr="00C719F1" w:rsidRDefault="002248E0" w:rsidP="001A5310">
            <w:pPr>
              <w:rPr>
                <w:sz w:val="20"/>
                <w:szCs w:val="20"/>
              </w:rPr>
            </w:pPr>
            <w:r w:rsidRPr="00C719F1">
              <w:rPr>
                <w:sz w:val="20"/>
                <w:szCs w:val="20"/>
              </w:rPr>
              <w:t>Coram :</w:t>
            </w:r>
          </w:p>
        </w:tc>
        <w:tc>
          <w:tcPr>
            <w:tcW w:w="8118" w:type="dxa"/>
          </w:tcPr>
          <w:p w:rsidR="002248E0" w:rsidRPr="002248E0" w:rsidRDefault="002248E0" w:rsidP="001A5310">
            <w:pPr>
              <w:rPr>
                <w:sz w:val="20"/>
                <w:szCs w:val="20"/>
                <w:lang w:val="fr-CA"/>
              </w:rPr>
            </w:pPr>
            <w:r w:rsidRPr="002248E0">
              <w:rPr>
                <w:rStyle w:val="SCCCoramChar"/>
                <w:sz w:val="20"/>
                <w:szCs w:val="20"/>
              </w:rPr>
              <w:t>Abella, Karakatsanis and Côté JJ.</w:t>
            </w:r>
          </w:p>
          <w:p w:rsidR="002248E0" w:rsidRPr="002248E0" w:rsidRDefault="002248E0" w:rsidP="001A5310">
            <w:pPr>
              <w:rPr>
                <w:sz w:val="20"/>
                <w:szCs w:val="20"/>
                <w:u w:val="single"/>
                <w:lang w:val="fr-CA"/>
              </w:rPr>
            </w:pPr>
          </w:p>
        </w:tc>
      </w:tr>
      <w:tr w:rsidR="002248E0" w:rsidRPr="00C3091A" w:rsidTr="001A5310">
        <w:trPr>
          <w:cantSplit/>
        </w:trPr>
        <w:tc>
          <w:tcPr>
            <w:tcW w:w="9576" w:type="dxa"/>
            <w:gridSpan w:val="2"/>
          </w:tcPr>
          <w:p w:rsidR="002248E0" w:rsidRPr="00C719F1" w:rsidRDefault="002248E0" w:rsidP="001A5310">
            <w:pPr>
              <w:pStyle w:val="SCCShortJudgment"/>
              <w:rPr>
                <w:szCs w:val="20"/>
              </w:rPr>
            </w:pPr>
            <w:r w:rsidRPr="00C719F1">
              <w:rPr>
                <w:szCs w:val="20"/>
              </w:rPr>
              <w:t>The application for leave to appeal from the judgment of the Federal Court of Appeal, Number A-135-14,  2014 FCA 216, dated September 30, 2014, is dismissed with costs.</w:t>
            </w:r>
          </w:p>
          <w:p w:rsidR="002248E0" w:rsidRPr="00C719F1" w:rsidRDefault="002248E0" w:rsidP="001A5310">
            <w:pPr>
              <w:pStyle w:val="SCCShortJudgment"/>
              <w:ind w:firstLine="0"/>
              <w:rPr>
                <w:szCs w:val="20"/>
              </w:rPr>
            </w:pPr>
          </w:p>
          <w:p w:rsidR="002248E0" w:rsidRPr="00C719F1" w:rsidRDefault="002248E0" w:rsidP="001A5310">
            <w:pPr>
              <w:pStyle w:val="SCCShortJudgment"/>
              <w:rPr>
                <w:szCs w:val="20"/>
                <w:lang w:val="fr-CA"/>
              </w:rPr>
            </w:pPr>
            <w:r w:rsidRPr="00C719F1">
              <w:rPr>
                <w:szCs w:val="20"/>
                <w:lang w:val="fr-CA"/>
              </w:rPr>
              <w:t>La demande d’autorisation d’appel de l’arrêt de la Cour d’appel fédérale, numéro A-135-14,  2014 CAF 216, daté du 30 septembre 2014, est rejetée avec dépens.</w:t>
            </w:r>
          </w:p>
        </w:tc>
      </w:tr>
    </w:tbl>
    <w:p w:rsidR="008E7C88" w:rsidRPr="002248E0" w:rsidRDefault="008E7C88" w:rsidP="008E7C88">
      <w:pPr>
        <w:rPr>
          <w:sz w:val="20"/>
          <w:szCs w:val="20"/>
          <w:lang w:val="fr-CA"/>
        </w:rPr>
      </w:pPr>
    </w:p>
    <w:p w:rsidR="008E7C88" w:rsidRPr="001B157C" w:rsidRDefault="008E7C88" w:rsidP="008E7C88">
      <w:pPr>
        <w:rPr>
          <w:sz w:val="20"/>
          <w:szCs w:val="20"/>
          <w:u w:val="single"/>
        </w:rPr>
      </w:pPr>
      <w:r w:rsidRPr="001B157C">
        <w:rPr>
          <w:sz w:val="20"/>
          <w:szCs w:val="20"/>
          <w:u w:val="single"/>
        </w:rPr>
        <w:t>CASE SUMMARY</w:t>
      </w:r>
    </w:p>
    <w:p w:rsidR="008E7C88" w:rsidRDefault="008E7C88" w:rsidP="008E7C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1D5C" w:rsidRPr="0071003D" w:rsidTr="001A5310">
        <w:tc>
          <w:tcPr>
            <w:tcW w:w="5000" w:type="pct"/>
            <w:gridSpan w:val="3"/>
          </w:tcPr>
          <w:p w:rsidR="00131D5C" w:rsidRPr="0071003D" w:rsidRDefault="00131D5C" w:rsidP="001A5310">
            <w:pPr>
              <w:jc w:val="both"/>
              <w:rPr>
                <w:rFonts w:eastAsia="Calibri"/>
                <w:smallCaps/>
                <w:sz w:val="20"/>
                <w:szCs w:val="20"/>
              </w:rPr>
            </w:pPr>
            <w:r w:rsidRPr="0071003D">
              <w:rPr>
                <w:rFonts w:eastAsia="Calibri"/>
                <w:smallCaps/>
                <w:sz w:val="20"/>
                <w:szCs w:val="20"/>
              </w:rPr>
              <w:t xml:space="preserve">(Court file </w:t>
            </w:r>
            <w:r>
              <w:rPr>
                <w:rFonts w:eastAsia="Calibri"/>
                <w:smallCaps/>
                <w:sz w:val="20"/>
              </w:rPr>
              <w:t>C</w:t>
            </w:r>
            <w:r w:rsidRPr="0071003D">
              <w:rPr>
                <w:rFonts w:eastAsia="Calibri"/>
                <w:smallCaps/>
                <w:sz w:val="20"/>
                <w:szCs w:val="20"/>
              </w:rPr>
              <w:t xml:space="preserve">ontains </w:t>
            </w:r>
            <w:r>
              <w:rPr>
                <w:rFonts w:eastAsia="Calibri"/>
                <w:smallCaps/>
                <w:sz w:val="20"/>
              </w:rPr>
              <w:t>I</w:t>
            </w:r>
            <w:r w:rsidRPr="0071003D">
              <w:rPr>
                <w:rFonts w:eastAsia="Calibri"/>
                <w:smallCaps/>
                <w:sz w:val="20"/>
                <w:szCs w:val="20"/>
              </w:rPr>
              <w:t xml:space="preserve">nformation that is not </w:t>
            </w:r>
            <w:r>
              <w:rPr>
                <w:rFonts w:eastAsia="Calibri"/>
                <w:smallCaps/>
                <w:sz w:val="20"/>
              </w:rPr>
              <w:t>A</w:t>
            </w:r>
            <w:r w:rsidRPr="0071003D">
              <w:rPr>
                <w:rFonts w:eastAsia="Calibri"/>
                <w:smallCaps/>
                <w:sz w:val="20"/>
                <w:szCs w:val="20"/>
              </w:rPr>
              <w:t xml:space="preserve">vailable for </w:t>
            </w:r>
            <w:r>
              <w:rPr>
                <w:rFonts w:eastAsia="Calibri"/>
                <w:smallCaps/>
                <w:sz w:val="20"/>
              </w:rPr>
              <w:t>I</w:t>
            </w:r>
            <w:r w:rsidRPr="0071003D">
              <w:rPr>
                <w:rFonts w:eastAsia="Calibri"/>
                <w:smallCaps/>
                <w:sz w:val="20"/>
                <w:szCs w:val="20"/>
              </w:rPr>
              <w:t xml:space="preserve">nspection by the </w:t>
            </w:r>
            <w:r>
              <w:rPr>
                <w:rFonts w:eastAsia="Calibri"/>
                <w:smallCaps/>
                <w:sz w:val="20"/>
              </w:rPr>
              <w:t>P</w:t>
            </w:r>
            <w:r w:rsidRPr="0071003D">
              <w:rPr>
                <w:rFonts w:eastAsia="Calibri"/>
                <w:smallCaps/>
                <w:sz w:val="20"/>
                <w:szCs w:val="20"/>
              </w:rPr>
              <w:t>ublic)</w:t>
            </w:r>
          </w:p>
          <w:p w:rsidR="00131D5C" w:rsidRPr="0071003D" w:rsidRDefault="00131D5C" w:rsidP="001A5310">
            <w:pPr>
              <w:jc w:val="both"/>
              <w:rPr>
                <w:rFonts w:eastAsia="Calibri"/>
                <w:i/>
                <w:sz w:val="20"/>
                <w:szCs w:val="20"/>
              </w:rPr>
            </w:pPr>
          </w:p>
          <w:p w:rsidR="00131D5C" w:rsidRPr="0071003D" w:rsidRDefault="00131D5C" w:rsidP="001A5310">
            <w:pPr>
              <w:jc w:val="both"/>
              <w:rPr>
                <w:rFonts w:eastAsia="Calibri"/>
                <w:sz w:val="20"/>
                <w:szCs w:val="20"/>
              </w:rPr>
            </w:pPr>
            <w:r w:rsidRPr="0071003D">
              <w:rPr>
                <w:rFonts w:eastAsia="Calibri"/>
                <w:i/>
                <w:sz w:val="20"/>
                <w:szCs w:val="20"/>
              </w:rPr>
              <w:t>Charter of Rights</w:t>
            </w:r>
            <w:r w:rsidRPr="0071003D">
              <w:rPr>
                <w:rFonts w:eastAsia="Calibri"/>
                <w:sz w:val="20"/>
                <w:szCs w:val="20"/>
              </w:rPr>
              <w:t xml:space="preserve"> – Freedom of religion – Right to equality – Courts – Jurisdiction – Whether Federal Court had jurisdiction to make order because it denied rights guaranteed by statute – Whether Federal Court lacked jurisdiction to make the judgment as it was in breach of founding statute – Whether Federal Court had a disqualifying conflict of interest to make the judgment as it is agent of Federal Crown that is subject of a law suit.</w:t>
            </w:r>
          </w:p>
        </w:tc>
      </w:tr>
      <w:tr w:rsidR="00131D5C" w:rsidRPr="0071003D" w:rsidTr="001A5310">
        <w:tc>
          <w:tcPr>
            <w:tcW w:w="5000" w:type="pct"/>
            <w:gridSpan w:val="3"/>
          </w:tcPr>
          <w:p w:rsidR="00131D5C" w:rsidRPr="0071003D" w:rsidRDefault="00131D5C" w:rsidP="001A5310">
            <w:pPr>
              <w:jc w:val="both"/>
              <w:rPr>
                <w:rFonts w:eastAsia="Calibri"/>
                <w:sz w:val="20"/>
                <w:szCs w:val="20"/>
              </w:rPr>
            </w:pPr>
          </w:p>
        </w:tc>
      </w:tr>
      <w:tr w:rsidR="00131D5C" w:rsidRPr="0071003D" w:rsidTr="001A5310">
        <w:tc>
          <w:tcPr>
            <w:tcW w:w="5000" w:type="pct"/>
            <w:gridSpan w:val="3"/>
          </w:tcPr>
          <w:p w:rsidR="00131D5C" w:rsidRPr="0071003D" w:rsidRDefault="00131D5C" w:rsidP="001A5310">
            <w:pPr>
              <w:jc w:val="both"/>
              <w:rPr>
                <w:rFonts w:eastAsia="Calibri"/>
                <w:sz w:val="20"/>
                <w:szCs w:val="20"/>
              </w:rPr>
            </w:pPr>
            <w:r w:rsidRPr="0071003D">
              <w:rPr>
                <w:rFonts w:eastAsia="Calibri"/>
                <w:sz w:val="20"/>
                <w:szCs w:val="20"/>
              </w:rPr>
              <w:t>In 2012, Mr. Klippenstein applied for judicial review of a decision of the Canadian Human Rights Commission not to hear his complaint.  He attempted to file unsworn affidavits and refused to swear his affidavits on the Bible provided by the court’s registry because it was not undefiled.  An order issued from the court that he either access an undefiled Bible or solemnly affirm his affidavits.  In 2013, an order issued dismissing his application for judicial review for delay.  Mr. Klippenstein subsequently filed a statement of claim against the Crown, seeking an order that the Federal Court Registry was in contempt of court, an order that a court with jurisdiction hear his application and an order providing a means for him to affirm or swear his affidavits in a manner that did not offend his conscience.  The Crown brought a motion seeking to strike his statement of claim.</w:t>
            </w:r>
          </w:p>
          <w:p w:rsidR="00131D5C" w:rsidRPr="0071003D" w:rsidRDefault="00131D5C" w:rsidP="001A5310">
            <w:pPr>
              <w:jc w:val="both"/>
              <w:rPr>
                <w:rFonts w:eastAsia="Calibri"/>
                <w:sz w:val="20"/>
                <w:szCs w:val="20"/>
              </w:rPr>
            </w:pPr>
          </w:p>
        </w:tc>
      </w:tr>
      <w:tr w:rsidR="00131D5C" w:rsidRPr="0071003D" w:rsidTr="001A5310">
        <w:tc>
          <w:tcPr>
            <w:tcW w:w="2427" w:type="pct"/>
          </w:tcPr>
          <w:p w:rsidR="00131D5C" w:rsidRPr="0071003D" w:rsidRDefault="00131D5C" w:rsidP="001A5310">
            <w:pPr>
              <w:jc w:val="both"/>
              <w:rPr>
                <w:rFonts w:eastAsia="Calibri"/>
                <w:sz w:val="20"/>
                <w:szCs w:val="20"/>
              </w:rPr>
            </w:pPr>
            <w:r w:rsidRPr="0071003D">
              <w:rPr>
                <w:rFonts w:eastAsia="Calibri"/>
                <w:sz w:val="20"/>
                <w:szCs w:val="20"/>
              </w:rPr>
              <w:t>July 8, 2013</w:t>
            </w:r>
          </w:p>
          <w:p w:rsidR="00131D5C" w:rsidRPr="0071003D" w:rsidRDefault="00131D5C" w:rsidP="001A5310">
            <w:pPr>
              <w:jc w:val="both"/>
              <w:rPr>
                <w:rFonts w:eastAsia="Calibri"/>
                <w:sz w:val="20"/>
                <w:szCs w:val="20"/>
              </w:rPr>
            </w:pPr>
            <w:r w:rsidRPr="0071003D">
              <w:rPr>
                <w:rFonts w:eastAsia="Calibri"/>
                <w:sz w:val="20"/>
                <w:szCs w:val="20"/>
              </w:rPr>
              <w:t>Federal Court of Canada</w:t>
            </w:r>
          </w:p>
          <w:p w:rsidR="00131D5C" w:rsidRPr="0071003D" w:rsidRDefault="00131D5C" w:rsidP="001A5310">
            <w:pPr>
              <w:jc w:val="both"/>
              <w:rPr>
                <w:rFonts w:eastAsia="Calibri"/>
                <w:sz w:val="20"/>
                <w:szCs w:val="20"/>
              </w:rPr>
            </w:pPr>
            <w:r w:rsidRPr="0071003D">
              <w:rPr>
                <w:rFonts w:eastAsia="Calibri"/>
                <w:sz w:val="20"/>
                <w:szCs w:val="20"/>
              </w:rPr>
              <w:t>(Lafrenière, Esq. Prothonotary)</w:t>
            </w:r>
          </w:p>
          <w:p w:rsidR="00131D5C" w:rsidRPr="0071003D" w:rsidRDefault="00131D5C" w:rsidP="001A5310">
            <w:pPr>
              <w:jc w:val="both"/>
              <w:rPr>
                <w:rFonts w:eastAsia="Calibri"/>
                <w:sz w:val="20"/>
                <w:szCs w:val="20"/>
              </w:rPr>
            </w:pPr>
            <w:r w:rsidRPr="0071003D">
              <w:rPr>
                <w:rFonts w:eastAsia="Calibri"/>
                <w:sz w:val="20"/>
                <w:szCs w:val="20"/>
              </w:rPr>
              <w:t>Unreported</w:t>
            </w:r>
          </w:p>
          <w:p w:rsidR="00131D5C" w:rsidRPr="0071003D" w:rsidRDefault="00131D5C" w:rsidP="001A5310">
            <w:pPr>
              <w:jc w:val="both"/>
              <w:rPr>
                <w:rFonts w:eastAsia="Calibri"/>
                <w:sz w:val="20"/>
                <w:szCs w:val="20"/>
              </w:rPr>
            </w:pPr>
          </w:p>
        </w:tc>
        <w:tc>
          <w:tcPr>
            <w:tcW w:w="243" w:type="pct"/>
          </w:tcPr>
          <w:p w:rsidR="00131D5C" w:rsidRPr="0071003D" w:rsidRDefault="00131D5C" w:rsidP="001A5310">
            <w:pPr>
              <w:jc w:val="both"/>
              <w:rPr>
                <w:rFonts w:eastAsia="Calibri"/>
                <w:sz w:val="20"/>
                <w:szCs w:val="20"/>
              </w:rPr>
            </w:pPr>
          </w:p>
        </w:tc>
        <w:tc>
          <w:tcPr>
            <w:tcW w:w="2330" w:type="pct"/>
          </w:tcPr>
          <w:p w:rsidR="00131D5C" w:rsidRPr="0071003D" w:rsidRDefault="00131D5C" w:rsidP="001A5310">
            <w:pPr>
              <w:jc w:val="both"/>
              <w:rPr>
                <w:rFonts w:eastAsia="Calibri"/>
                <w:sz w:val="20"/>
                <w:szCs w:val="20"/>
              </w:rPr>
            </w:pPr>
            <w:r w:rsidRPr="0071003D">
              <w:rPr>
                <w:rFonts w:eastAsia="Calibri"/>
                <w:sz w:val="20"/>
                <w:szCs w:val="20"/>
              </w:rPr>
              <w:t>Respondent’s motion to strike applicant’s statement of claim granted</w:t>
            </w:r>
          </w:p>
        </w:tc>
      </w:tr>
      <w:tr w:rsidR="00131D5C" w:rsidRPr="0071003D" w:rsidTr="001A5310">
        <w:tc>
          <w:tcPr>
            <w:tcW w:w="2427" w:type="pct"/>
          </w:tcPr>
          <w:p w:rsidR="00131D5C" w:rsidRPr="0071003D" w:rsidRDefault="00131D5C" w:rsidP="001A5310">
            <w:pPr>
              <w:jc w:val="both"/>
              <w:rPr>
                <w:rFonts w:eastAsia="Calibri"/>
                <w:sz w:val="20"/>
                <w:szCs w:val="20"/>
              </w:rPr>
            </w:pPr>
            <w:r w:rsidRPr="0071003D">
              <w:rPr>
                <w:rFonts w:eastAsia="Calibri"/>
                <w:sz w:val="20"/>
                <w:szCs w:val="20"/>
              </w:rPr>
              <w:t>February 25, 2014</w:t>
            </w:r>
          </w:p>
          <w:p w:rsidR="00131D5C" w:rsidRPr="0071003D" w:rsidRDefault="00131D5C" w:rsidP="001A5310">
            <w:pPr>
              <w:jc w:val="both"/>
              <w:rPr>
                <w:rFonts w:eastAsia="Calibri"/>
                <w:sz w:val="20"/>
                <w:szCs w:val="20"/>
              </w:rPr>
            </w:pPr>
            <w:r w:rsidRPr="0071003D">
              <w:rPr>
                <w:rFonts w:eastAsia="Calibri"/>
                <w:sz w:val="20"/>
                <w:szCs w:val="20"/>
              </w:rPr>
              <w:t>Federal Court</w:t>
            </w:r>
          </w:p>
          <w:p w:rsidR="00131D5C" w:rsidRPr="0071003D" w:rsidRDefault="00131D5C" w:rsidP="001A5310">
            <w:pPr>
              <w:jc w:val="both"/>
              <w:rPr>
                <w:rFonts w:eastAsia="Calibri"/>
                <w:sz w:val="20"/>
                <w:szCs w:val="20"/>
              </w:rPr>
            </w:pPr>
            <w:r w:rsidRPr="0071003D">
              <w:rPr>
                <w:rFonts w:eastAsia="Calibri"/>
                <w:sz w:val="20"/>
                <w:szCs w:val="20"/>
              </w:rPr>
              <w:t>(Boivin J.)</w:t>
            </w:r>
          </w:p>
          <w:p w:rsidR="00131D5C" w:rsidRPr="0071003D" w:rsidRDefault="00131D5C" w:rsidP="001A5310">
            <w:pPr>
              <w:jc w:val="both"/>
              <w:rPr>
                <w:rFonts w:eastAsia="Calibri"/>
                <w:sz w:val="20"/>
                <w:szCs w:val="20"/>
              </w:rPr>
            </w:pPr>
            <w:r w:rsidRPr="0071003D">
              <w:rPr>
                <w:rFonts w:eastAsia="Calibri"/>
                <w:sz w:val="20"/>
                <w:szCs w:val="20"/>
              </w:rPr>
              <w:lastRenderedPageBreak/>
              <w:t>2014 FC 174</w:t>
            </w:r>
          </w:p>
          <w:p w:rsidR="00131D5C" w:rsidRPr="0071003D" w:rsidRDefault="00131D5C" w:rsidP="001A5310">
            <w:pPr>
              <w:jc w:val="both"/>
              <w:rPr>
                <w:rFonts w:eastAsia="Calibri"/>
                <w:sz w:val="20"/>
                <w:szCs w:val="20"/>
              </w:rPr>
            </w:pPr>
          </w:p>
        </w:tc>
        <w:tc>
          <w:tcPr>
            <w:tcW w:w="243" w:type="pct"/>
          </w:tcPr>
          <w:p w:rsidR="00131D5C" w:rsidRPr="0071003D" w:rsidRDefault="00131D5C" w:rsidP="001A5310">
            <w:pPr>
              <w:jc w:val="both"/>
              <w:rPr>
                <w:rFonts w:eastAsia="Calibri"/>
                <w:sz w:val="20"/>
                <w:szCs w:val="20"/>
              </w:rPr>
            </w:pPr>
          </w:p>
        </w:tc>
        <w:tc>
          <w:tcPr>
            <w:tcW w:w="2330" w:type="pct"/>
          </w:tcPr>
          <w:p w:rsidR="00131D5C" w:rsidRPr="0071003D" w:rsidRDefault="00131D5C" w:rsidP="001A5310">
            <w:pPr>
              <w:jc w:val="both"/>
              <w:rPr>
                <w:rFonts w:eastAsia="Calibri"/>
                <w:sz w:val="20"/>
                <w:szCs w:val="20"/>
              </w:rPr>
            </w:pPr>
            <w:r w:rsidRPr="0071003D">
              <w:rPr>
                <w:rFonts w:eastAsia="Calibri"/>
                <w:sz w:val="20"/>
                <w:szCs w:val="20"/>
              </w:rPr>
              <w:t>Applicant’s appeal from order of prothonotary striking his statement of claim as disclosing no reasonable cause of action dismissed</w:t>
            </w:r>
          </w:p>
          <w:p w:rsidR="00131D5C" w:rsidRPr="0071003D" w:rsidRDefault="00131D5C" w:rsidP="001A5310">
            <w:pPr>
              <w:jc w:val="both"/>
              <w:rPr>
                <w:rFonts w:eastAsia="Calibri"/>
                <w:sz w:val="20"/>
                <w:szCs w:val="20"/>
              </w:rPr>
            </w:pPr>
          </w:p>
        </w:tc>
      </w:tr>
      <w:tr w:rsidR="00131D5C" w:rsidRPr="0071003D" w:rsidTr="001A5310">
        <w:tc>
          <w:tcPr>
            <w:tcW w:w="2427" w:type="pct"/>
          </w:tcPr>
          <w:p w:rsidR="00131D5C" w:rsidRPr="0071003D" w:rsidRDefault="00131D5C" w:rsidP="001A5310">
            <w:pPr>
              <w:jc w:val="both"/>
              <w:rPr>
                <w:rFonts w:eastAsia="Calibri"/>
                <w:sz w:val="20"/>
                <w:szCs w:val="20"/>
              </w:rPr>
            </w:pPr>
            <w:r w:rsidRPr="0071003D">
              <w:rPr>
                <w:rFonts w:eastAsia="Calibri"/>
                <w:sz w:val="20"/>
                <w:szCs w:val="20"/>
              </w:rPr>
              <w:lastRenderedPageBreak/>
              <w:t>September 30, 2014</w:t>
            </w:r>
          </w:p>
          <w:p w:rsidR="00131D5C" w:rsidRPr="0071003D" w:rsidRDefault="00131D5C" w:rsidP="001A5310">
            <w:pPr>
              <w:jc w:val="both"/>
              <w:rPr>
                <w:rFonts w:eastAsia="Calibri"/>
                <w:sz w:val="20"/>
                <w:szCs w:val="20"/>
              </w:rPr>
            </w:pPr>
            <w:r w:rsidRPr="0071003D">
              <w:rPr>
                <w:rFonts w:eastAsia="Calibri"/>
                <w:sz w:val="20"/>
                <w:szCs w:val="20"/>
              </w:rPr>
              <w:t>Federal Court of Appeal</w:t>
            </w:r>
          </w:p>
          <w:p w:rsidR="00131D5C" w:rsidRPr="0071003D" w:rsidRDefault="00131D5C" w:rsidP="001A5310">
            <w:pPr>
              <w:jc w:val="both"/>
              <w:rPr>
                <w:rFonts w:eastAsia="Calibri"/>
                <w:sz w:val="20"/>
                <w:szCs w:val="20"/>
              </w:rPr>
            </w:pPr>
            <w:r w:rsidRPr="0071003D">
              <w:rPr>
                <w:rFonts w:eastAsia="Calibri"/>
                <w:sz w:val="20"/>
                <w:szCs w:val="20"/>
              </w:rPr>
              <w:t>(Dawson, Sharlow and Near JJ.A.)</w:t>
            </w:r>
          </w:p>
          <w:p w:rsidR="00131D5C" w:rsidRPr="0071003D" w:rsidRDefault="00131D5C" w:rsidP="001A5310">
            <w:pPr>
              <w:jc w:val="both"/>
              <w:rPr>
                <w:rFonts w:eastAsia="Calibri"/>
                <w:sz w:val="20"/>
                <w:szCs w:val="20"/>
              </w:rPr>
            </w:pPr>
            <w:r w:rsidRPr="0071003D">
              <w:rPr>
                <w:rFonts w:eastAsia="Calibri"/>
                <w:sz w:val="20"/>
                <w:szCs w:val="20"/>
              </w:rPr>
              <w:t>2014 FCA 216</w:t>
            </w:r>
          </w:p>
          <w:p w:rsidR="00131D5C" w:rsidRPr="0071003D" w:rsidRDefault="00131D5C" w:rsidP="001A5310">
            <w:pPr>
              <w:jc w:val="both"/>
              <w:rPr>
                <w:rFonts w:eastAsia="Calibri"/>
                <w:sz w:val="20"/>
                <w:szCs w:val="20"/>
              </w:rPr>
            </w:pPr>
          </w:p>
        </w:tc>
        <w:tc>
          <w:tcPr>
            <w:tcW w:w="243" w:type="pct"/>
          </w:tcPr>
          <w:p w:rsidR="00131D5C" w:rsidRPr="0071003D" w:rsidRDefault="00131D5C" w:rsidP="001A5310">
            <w:pPr>
              <w:jc w:val="both"/>
              <w:rPr>
                <w:rFonts w:eastAsia="Calibri"/>
                <w:sz w:val="20"/>
                <w:szCs w:val="20"/>
              </w:rPr>
            </w:pPr>
          </w:p>
        </w:tc>
        <w:tc>
          <w:tcPr>
            <w:tcW w:w="2330" w:type="pct"/>
          </w:tcPr>
          <w:p w:rsidR="00131D5C" w:rsidRPr="0071003D" w:rsidRDefault="00131D5C" w:rsidP="001A5310">
            <w:pPr>
              <w:jc w:val="both"/>
              <w:rPr>
                <w:rFonts w:eastAsia="Calibri"/>
                <w:sz w:val="20"/>
                <w:szCs w:val="20"/>
              </w:rPr>
            </w:pPr>
            <w:r w:rsidRPr="0071003D">
              <w:rPr>
                <w:rFonts w:eastAsia="Calibri"/>
                <w:sz w:val="20"/>
                <w:szCs w:val="20"/>
              </w:rPr>
              <w:t>Applicant’s appeal dismissed</w:t>
            </w:r>
          </w:p>
          <w:p w:rsidR="00131D5C" w:rsidRPr="0071003D" w:rsidRDefault="00131D5C" w:rsidP="001A5310">
            <w:pPr>
              <w:jc w:val="both"/>
              <w:rPr>
                <w:rFonts w:eastAsia="Calibri"/>
                <w:sz w:val="20"/>
                <w:szCs w:val="20"/>
              </w:rPr>
            </w:pPr>
          </w:p>
        </w:tc>
      </w:tr>
      <w:tr w:rsidR="00131D5C" w:rsidRPr="0071003D" w:rsidTr="001A5310">
        <w:tc>
          <w:tcPr>
            <w:tcW w:w="2427" w:type="pct"/>
          </w:tcPr>
          <w:p w:rsidR="00131D5C" w:rsidRPr="0071003D" w:rsidRDefault="00131D5C" w:rsidP="001A5310">
            <w:pPr>
              <w:jc w:val="both"/>
              <w:rPr>
                <w:rFonts w:eastAsia="Calibri"/>
                <w:sz w:val="20"/>
                <w:szCs w:val="20"/>
              </w:rPr>
            </w:pPr>
            <w:r w:rsidRPr="0071003D">
              <w:rPr>
                <w:rFonts w:eastAsia="Calibri"/>
                <w:sz w:val="20"/>
                <w:szCs w:val="20"/>
              </w:rPr>
              <w:t>November 25, 2014</w:t>
            </w:r>
          </w:p>
          <w:p w:rsidR="00131D5C" w:rsidRPr="0071003D" w:rsidRDefault="00131D5C" w:rsidP="001A5310">
            <w:pPr>
              <w:jc w:val="both"/>
              <w:rPr>
                <w:rFonts w:eastAsia="Calibri"/>
                <w:sz w:val="20"/>
                <w:szCs w:val="20"/>
              </w:rPr>
            </w:pPr>
            <w:r w:rsidRPr="0071003D">
              <w:rPr>
                <w:rFonts w:eastAsia="Calibri"/>
                <w:sz w:val="20"/>
                <w:szCs w:val="20"/>
              </w:rPr>
              <w:t>Supreme Court of Canada</w:t>
            </w:r>
          </w:p>
        </w:tc>
        <w:tc>
          <w:tcPr>
            <w:tcW w:w="243" w:type="pct"/>
          </w:tcPr>
          <w:p w:rsidR="00131D5C" w:rsidRPr="0071003D" w:rsidRDefault="00131D5C" w:rsidP="001A5310">
            <w:pPr>
              <w:jc w:val="both"/>
              <w:rPr>
                <w:rFonts w:eastAsia="Calibri"/>
                <w:sz w:val="20"/>
                <w:szCs w:val="20"/>
              </w:rPr>
            </w:pPr>
          </w:p>
        </w:tc>
        <w:tc>
          <w:tcPr>
            <w:tcW w:w="2330" w:type="pct"/>
          </w:tcPr>
          <w:p w:rsidR="00131D5C" w:rsidRPr="0071003D" w:rsidRDefault="00131D5C" w:rsidP="001A5310">
            <w:pPr>
              <w:jc w:val="both"/>
              <w:rPr>
                <w:rFonts w:eastAsia="Calibri"/>
                <w:sz w:val="20"/>
                <w:szCs w:val="20"/>
              </w:rPr>
            </w:pPr>
            <w:r w:rsidRPr="0071003D">
              <w:rPr>
                <w:rFonts w:eastAsia="Calibri"/>
                <w:sz w:val="20"/>
                <w:szCs w:val="20"/>
              </w:rPr>
              <w:t>Application for leave to appeal filed</w:t>
            </w:r>
          </w:p>
          <w:p w:rsidR="00131D5C" w:rsidRPr="0071003D" w:rsidRDefault="00131D5C" w:rsidP="001A5310">
            <w:pPr>
              <w:jc w:val="both"/>
              <w:rPr>
                <w:rFonts w:eastAsia="Calibri"/>
                <w:sz w:val="20"/>
                <w:szCs w:val="20"/>
              </w:rPr>
            </w:pPr>
          </w:p>
        </w:tc>
      </w:tr>
    </w:tbl>
    <w:p w:rsidR="008E7C88" w:rsidRDefault="008E7C88" w:rsidP="008E7C88">
      <w:pPr>
        <w:rPr>
          <w:sz w:val="20"/>
          <w:szCs w:val="20"/>
        </w:rPr>
      </w:pPr>
    </w:p>
    <w:p w:rsidR="008E7C88" w:rsidRPr="00C50A5C" w:rsidRDefault="00BF341F" w:rsidP="008E7C88">
      <w:pPr>
        <w:rPr>
          <w:sz w:val="20"/>
          <w:szCs w:val="20"/>
        </w:rPr>
      </w:pPr>
      <w:r>
        <w:rPr>
          <w:sz w:val="20"/>
          <w:szCs w:val="20"/>
          <w:lang w:val="fr-CA"/>
        </w:rPr>
        <w:pict>
          <v:rect id="_x0000_i1046" style="width:2in;height:1pt" o:hrpct="0" o:hralign="center" o:hrstd="t" o:hrnoshade="t" o:hr="t" fillcolor="black [3213]" stroked="f"/>
        </w:pict>
      </w:r>
    </w:p>
    <w:p w:rsidR="002248E0" w:rsidRDefault="002248E0">
      <w:pPr>
        <w:rPr>
          <w:sz w:val="20"/>
          <w:szCs w:val="20"/>
        </w:rPr>
      </w:pPr>
    </w:p>
    <w:p w:rsidR="002248E0" w:rsidRDefault="002248E0">
      <w:pPr>
        <w:rPr>
          <w:sz w:val="20"/>
          <w:szCs w:val="20"/>
        </w:rPr>
      </w:pPr>
      <w:r>
        <w:rPr>
          <w:sz w:val="20"/>
          <w:szCs w:val="20"/>
        </w:rPr>
        <w:br w:type="page"/>
      </w:r>
    </w:p>
    <w:p w:rsidR="008E7C88" w:rsidRPr="001B157C" w:rsidRDefault="008E7C88" w:rsidP="008E7C88">
      <w:pPr>
        <w:rPr>
          <w:sz w:val="20"/>
          <w:szCs w:val="20"/>
          <w:u w:val="single"/>
          <w:lang w:val="fr-CA"/>
        </w:rPr>
      </w:pPr>
      <w:r w:rsidRPr="001B157C">
        <w:rPr>
          <w:sz w:val="20"/>
          <w:szCs w:val="20"/>
          <w:u w:val="single"/>
          <w:lang w:val="fr-CA"/>
        </w:rPr>
        <w:lastRenderedPageBreak/>
        <w:t>RÉSUMÉ DE L’AFFAIRE</w:t>
      </w:r>
    </w:p>
    <w:p w:rsidR="008E7C88" w:rsidRDefault="008E7C88" w:rsidP="008E7C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1D5C" w:rsidRPr="00C3091A" w:rsidTr="001A5310">
        <w:tc>
          <w:tcPr>
            <w:tcW w:w="5000" w:type="pct"/>
            <w:gridSpan w:val="3"/>
          </w:tcPr>
          <w:p w:rsidR="00131D5C" w:rsidRPr="0071003D" w:rsidRDefault="00131D5C" w:rsidP="001A5310">
            <w:pPr>
              <w:jc w:val="both"/>
              <w:rPr>
                <w:rFonts w:eastAsia="Calibri"/>
                <w:smallCaps/>
                <w:sz w:val="20"/>
                <w:szCs w:val="20"/>
                <w:lang w:val="fr-CA"/>
              </w:rPr>
            </w:pPr>
            <w:r w:rsidRPr="0071003D">
              <w:rPr>
                <w:rFonts w:eastAsia="Calibri"/>
                <w:smallCaps/>
                <w:sz w:val="20"/>
                <w:szCs w:val="20"/>
                <w:lang w:val="fr-CA"/>
              </w:rPr>
              <w:t>(Le dossier de la Cour renferme des données que le public n’est pas autorisé à consulter)</w:t>
            </w:r>
          </w:p>
          <w:p w:rsidR="00131D5C" w:rsidRPr="0071003D" w:rsidRDefault="00131D5C" w:rsidP="001A5310">
            <w:pPr>
              <w:jc w:val="both"/>
              <w:rPr>
                <w:rFonts w:eastAsia="Calibri"/>
                <w:i/>
                <w:sz w:val="20"/>
                <w:szCs w:val="20"/>
                <w:lang w:val="fr-CA"/>
              </w:rPr>
            </w:pPr>
          </w:p>
          <w:p w:rsidR="00131D5C" w:rsidRPr="0071003D" w:rsidRDefault="00131D5C" w:rsidP="001A5310">
            <w:pPr>
              <w:jc w:val="both"/>
              <w:rPr>
                <w:rFonts w:eastAsia="Calibri"/>
                <w:sz w:val="20"/>
                <w:szCs w:val="20"/>
                <w:lang w:val="fr-CA"/>
              </w:rPr>
            </w:pPr>
            <w:r w:rsidRPr="0071003D">
              <w:rPr>
                <w:rFonts w:eastAsia="Calibri"/>
                <w:i/>
                <w:sz w:val="20"/>
                <w:szCs w:val="20"/>
                <w:lang w:val="fr-CA"/>
              </w:rPr>
              <w:t>Charte des droits</w:t>
            </w:r>
            <w:r w:rsidRPr="0071003D">
              <w:rPr>
                <w:rFonts w:eastAsia="Calibri"/>
                <w:sz w:val="20"/>
                <w:szCs w:val="20"/>
                <w:lang w:val="fr-CA"/>
              </w:rPr>
              <w:t xml:space="preserve"> – Liberté de religion – Droit à l’égalité – Tribunaux – Compétence – La Cour fédérale avait-elle compétence pour rendre l’ordonnance, vu que celle-ci niait des droits garantis par la loi? – La Cour fédérale est-elle incompétente pour rendre le jugement, vu qu’elle contrevenait à sa loi constitutive? – La Cour fédérale avait-elle un conflit d’intérêt la rendant inhabile à rendre le jugement en sa qualité de mandataire de l’État fédéral susceptible d’être l’objet d’une poursuite civile?</w:t>
            </w:r>
          </w:p>
        </w:tc>
      </w:tr>
      <w:tr w:rsidR="00131D5C" w:rsidRPr="00C3091A" w:rsidTr="001A5310">
        <w:tc>
          <w:tcPr>
            <w:tcW w:w="5000" w:type="pct"/>
            <w:gridSpan w:val="3"/>
          </w:tcPr>
          <w:p w:rsidR="00131D5C" w:rsidRPr="0071003D" w:rsidRDefault="00131D5C" w:rsidP="001A5310">
            <w:pPr>
              <w:jc w:val="both"/>
              <w:rPr>
                <w:rFonts w:eastAsia="Calibri"/>
                <w:sz w:val="20"/>
                <w:szCs w:val="20"/>
                <w:lang w:val="fr-CA"/>
              </w:rPr>
            </w:pPr>
          </w:p>
        </w:tc>
      </w:tr>
      <w:tr w:rsidR="00131D5C" w:rsidRPr="00C3091A" w:rsidTr="001A5310">
        <w:tc>
          <w:tcPr>
            <w:tcW w:w="5000" w:type="pct"/>
            <w:gridSpan w:val="3"/>
          </w:tcPr>
          <w:p w:rsidR="00131D5C" w:rsidRPr="0071003D" w:rsidRDefault="00131D5C" w:rsidP="001A5310">
            <w:pPr>
              <w:jc w:val="both"/>
              <w:rPr>
                <w:rFonts w:eastAsia="Calibri"/>
                <w:sz w:val="20"/>
                <w:szCs w:val="20"/>
                <w:lang w:val="fr-CA"/>
              </w:rPr>
            </w:pPr>
            <w:r w:rsidRPr="0071003D">
              <w:rPr>
                <w:rFonts w:eastAsia="Calibri"/>
                <w:sz w:val="20"/>
                <w:szCs w:val="20"/>
                <w:lang w:val="fr-CA"/>
              </w:rPr>
              <w:t>En 2012, M. Klippenstein a présenté une demande de contrôle judiciaire d’une décision de la Commission canadienne des droits de la personne de ne pas entendre sa plainte.  Il a tenté de présenter en preuve des affidavits qui n’avaient pas été faits sous serment et a refusé de prêter serment au soutien de ses affidavits sur la Bible qui avait été fournie par le greffe de la Cour parce que ce n’était pas une Bible [</w:t>
            </w:r>
            <w:r w:rsidRPr="0071003D">
              <w:rPr>
                <w:rFonts w:eastAsia="Calibri"/>
                <w:smallCaps/>
                <w:sz w:val="20"/>
                <w:szCs w:val="20"/>
                <w:lang w:val="fr-CA"/>
              </w:rPr>
              <w:t>traduction</w:t>
            </w:r>
            <w:r w:rsidRPr="0071003D">
              <w:rPr>
                <w:rFonts w:eastAsia="Calibri"/>
                <w:sz w:val="20"/>
                <w:szCs w:val="20"/>
                <w:lang w:val="fr-CA"/>
              </w:rPr>
              <w:t>] « immaculée ».  Un juge de la Cour a ordonné au</w:t>
            </w:r>
            <w:r w:rsidRPr="0071003D">
              <w:rPr>
                <w:rFonts w:eastAsia="Calibri"/>
                <w:color w:val="000000"/>
                <w:spacing w:val="-3"/>
                <w:sz w:val="20"/>
                <w:szCs w:val="20"/>
                <w:shd w:val="clear" w:color="auto" w:fill="FFFFFF"/>
                <w:lang w:val="fr-CA"/>
              </w:rPr>
              <w:t xml:space="preserve"> demandeur d’avoir</w:t>
            </w:r>
            <w:r w:rsidRPr="0071003D">
              <w:rPr>
                <w:rFonts w:eastAsia="Calibri"/>
                <w:sz w:val="20"/>
                <w:szCs w:val="20"/>
                <w:lang w:val="fr-CA"/>
              </w:rPr>
              <w:t xml:space="preserve"> accès à une Bible « immaculée » ou de faire une affirmation solennelle pour assurer la véracité de son affidavit.  En 2013, un juge de la Cour a rendu une ordonnance rejetant sa demande de contrôle judiciaire pour cause de retard.  Monsieur Klippenstein a subséquemment déposé une déclaration contre Sa Majesté, demandant une ordonnance déclarant le greffe de la Cour fédérale coupable d’outrage au tribunal, une ordonnance enjoignant à une cour ayant compétence d’entendre sa demande et une ordonnance lui donnant les moyens de faire une affirmation solennelle ou de prêter serment à l’égard de sa preuve par affidavit sans troubler sa conscience.  Sa Majesté a présenté une requête en radiation de sa déclaration.</w:t>
            </w:r>
          </w:p>
          <w:p w:rsidR="00131D5C" w:rsidRPr="0071003D" w:rsidRDefault="00131D5C" w:rsidP="001A5310">
            <w:pPr>
              <w:jc w:val="both"/>
              <w:rPr>
                <w:rFonts w:eastAsia="Calibri"/>
                <w:sz w:val="20"/>
                <w:szCs w:val="20"/>
                <w:lang w:val="fr-CA"/>
              </w:rPr>
            </w:pPr>
          </w:p>
        </w:tc>
      </w:tr>
      <w:tr w:rsidR="00131D5C" w:rsidRPr="00C3091A" w:rsidTr="001A5310">
        <w:tc>
          <w:tcPr>
            <w:tcW w:w="2427" w:type="pct"/>
          </w:tcPr>
          <w:p w:rsidR="00131D5C" w:rsidRPr="0071003D" w:rsidRDefault="00131D5C" w:rsidP="001A5310">
            <w:pPr>
              <w:jc w:val="both"/>
              <w:rPr>
                <w:rFonts w:eastAsia="Calibri"/>
                <w:sz w:val="20"/>
                <w:szCs w:val="20"/>
                <w:lang w:val="fr-CA"/>
              </w:rPr>
            </w:pPr>
            <w:r w:rsidRPr="0071003D">
              <w:rPr>
                <w:rFonts w:eastAsia="Calibri"/>
                <w:sz w:val="20"/>
                <w:szCs w:val="20"/>
                <w:lang w:val="fr-CA"/>
              </w:rPr>
              <w:t>8 juillet 2013</w:t>
            </w:r>
          </w:p>
          <w:p w:rsidR="00131D5C" w:rsidRPr="0071003D" w:rsidRDefault="00131D5C" w:rsidP="001A5310">
            <w:pPr>
              <w:jc w:val="both"/>
              <w:rPr>
                <w:rFonts w:eastAsia="Calibri"/>
                <w:sz w:val="20"/>
                <w:szCs w:val="20"/>
                <w:lang w:val="fr-CA"/>
              </w:rPr>
            </w:pPr>
            <w:r w:rsidRPr="0071003D">
              <w:rPr>
                <w:rFonts w:eastAsia="Calibri"/>
                <w:sz w:val="20"/>
                <w:szCs w:val="20"/>
                <w:lang w:val="fr-CA"/>
              </w:rPr>
              <w:t>Cour fédérale du Canada</w:t>
            </w:r>
          </w:p>
          <w:p w:rsidR="00131D5C" w:rsidRPr="0071003D" w:rsidRDefault="00131D5C" w:rsidP="001A5310">
            <w:pPr>
              <w:jc w:val="both"/>
              <w:rPr>
                <w:rFonts w:eastAsia="Calibri"/>
                <w:sz w:val="20"/>
                <w:szCs w:val="20"/>
                <w:lang w:val="fr-CA"/>
              </w:rPr>
            </w:pPr>
            <w:r w:rsidRPr="0071003D">
              <w:rPr>
                <w:rFonts w:eastAsia="Calibri"/>
                <w:sz w:val="20"/>
                <w:szCs w:val="20"/>
                <w:lang w:val="fr-CA"/>
              </w:rPr>
              <w:t>(Protonotaire Lafrenière)</w:t>
            </w:r>
          </w:p>
          <w:p w:rsidR="00131D5C" w:rsidRPr="0071003D" w:rsidRDefault="00131D5C" w:rsidP="001A5310">
            <w:pPr>
              <w:jc w:val="both"/>
              <w:rPr>
                <w:rFonts w:eastAsia="Calibri"/>
                <w:sz w:val="20"/>
                <w:szCs w:val="20"/>
                <w:lang w:val="fr-CA"/>
              </w:rPr>
            </w:pPr>
            <w:r w:rsidRPr="0071003D">
              <w:rPr>
                <w:rFonts w:eastAsia="Calibri"/>
                <w:sz w:val="20"/>
                <w:szCs w:val="20"/>
                <w:lang w:val="fr-CA"/>
              </w:rPr>
              <w:t>Non publié</w:t>
            </w:r>
          </w:p>
          <w:p w:rsidR="00131D5C" w:rsidRPr="0071003D" w:rsidRDefault="00131D5C" w:rsidP="001A5310">
            <w:pPr>
              <w:jc w:val="both"/>
              <w:rPr>
                <w:rFonts w:eastAsia="Calibri"/>
                <w:sz w:val="20"/>
                <w:szCs w:val="20"/>
                <w:lang w:val="fr-CA"/>
              </w:rPr>
            </w:pPr>
          </w:p>
        </w:tc>
        <w:tc>
          <w:tcPr>
            <w:tcW w:w="243" w:type="pct"/>
          </w:tcPr>
          <w:p w:rsidR="00131D5C" w:rsidRPr="0071003D" w:rsidRDefault="00131D5C" w:rsidP="001A5310">
            <w:pPr>
              <w:jc w:val="both"/>
              <w:rPr>
                <w:rFonts w:eastAsia="Calibri"/>
                <w:sz w:val="20"/>
                <w:szCs w:val="20"/>
                <w:lang w:val="fr-CA"/>
              </w:rPr>
            </w:pPr>
          </w:p>
        </w:tc>
        <w:tc>
          <w:tcPr>
            <w:tcW w:w="2330" w:type="pct"/>
          </w:tcPr>
          <w:p w:rsidR="00131D5C" w:rsidRPr="0071003D" w:rsidRDefault="00131D5C" w:rsidP="001A5310">
            <w:pPr>
              <w:jc w:val="both"/>
              <w:rPr>
                <w:rFonts w:eastAsia="Calibri"/>
                <w:sz w:val="20"/>
                <w:szCs w:val="20"/>
                <w:lang w:val="fr-CA"/>
              </w:rPr>
            </w:pPr>
            <w:r w:rsidRPr="0071003D">
              <w:rPr>
                <w:rFonts w:eastAsia="Calibri"/>
                <w:sz w:val="20"/>
                <w:szCs w:val="20"/>
                <w:lang w:val="fr-CA"/>
              </w:rPr>
              <w:t>Décision accueillant la requête de l’intimée en radiation de la déclaration du demandeur</w:t>
            </w:r>
          </w:p>
        </w:tc>
      </w:tr>
      <w:tr w:rsidR="00131D5C" w:rsidRPr="00C3091A" w:rsidTr="001A5310">
        <w:tc>
          <w:tcPr>
            <w:tcW w:w="2427" w:type="pct"/>
          </w:tcPr>
          <w:p w:rsidR="00131D5C" w:rsidRPr="0071003D" w:rsidRDefault="00131D5C" w:rsidP="001A5310">
            <w:pPr>
              <w:jc w:val="both"/>
              <w:rPr>
                <w:rFonts w:eastAsia="Calibri"/>
                <w:sz w:val="20"/>
                <w:szCs w:val="20"/>
                <w:lang w:val="fr-CA"/>
              </w:rPr>
            </w:pPr>
            <w:r w:rsidRPr="0071003D">
              <w:rPr>
                <w:rFonts w:eastAsia="Calibri"/>
                <w:sz w:val="20"/>
                <w:szCs w:val="20"/>
                <w:lang w:val="fr-CA"/>
              </w:rPr>
              <w:t>25 février 2014</w:t>
            </w:r>
          </w:p>
          <w:p w:rsidR="00131D5C" w:rsidRPr="0071003D" w:rsidRDefault="00131D5C" w:rsidP="001A5310">
            <w:pPr>
              <w:jc w:val="both"/>
              <w:rPr>
                <w:rFonts w:eastAsia="Calibri"/>
                <w:sz w:val="20"/>
                <w:szCs w:val="20"/>
                <w:lang w:val="fr-CA"/>
              </w:rPr>
            </w:pPr>
            <w:r w:rsidRPr="0071003D">
              <w:rPr>
                <w:rFonts w:eastAsia="Calibri"/>
                <w:sz w:val="20"/>
                <w:szCs w:val="20"/>
                <w:lang w:val="fr-CA"/>
              </w:rPr>
              <w:t>Cour fédérale</w:t>
            </w:r>
          </w:p>
          <w:p w:rsidR="00131D5C" w:rsidRPr="0071003D" w:rsidRDefault="00131D5C" w:rsidP="001A5310">
            <w:pPr>
              <w:jc w:val="both"/>
              <w:rPr>
                <w:rFonts w:eastAsia="Calibri"/>
                <w:sz w:val="20"/>
                <w:szCs w:val="20"/>
                <w:lang w:val="fr-CA"/>
              </w:rPr>
            </w:pPr>
            <w:r w:rsidRPr="0071003D">
              <w:rPr>
                <w:rFonts w:eastAsia="Calibri"/>
                <w:sz w:val="20"/>
                <w:szCs w:val="20"/>
                <w:lang w:val="fr-CA"/>
              </w:rPr>
              <w:t>(Juge Boivin)</w:t>
            </w:r>
          </w:p>
          <w:p w:rsidR="00131D5C" w:rsidRPr="0071003D" w:rsidRDefault="00131D5C" w:rsidP="001A5310">
            <w:pPr>
              <w:jc w:val="both"/>
              <w:rPr>
                <w:rFonts w:eastAsia="Calibri"/>
                <w:sz w:val="20"/>
                <w:szCs w:val="20"/>
                <w:lang w:val="fr-CA"/>
              </w:rPr>
            </w:pPr>
            <w:r w:rsidRPr="0071003D">
              <w:rPr>
                <w:rFonts w:eastAsia="Calibri"/>
                <w:sz w:val="20"/>
                <w:szCs w:val="20"/>
                <w:lang w:val="fr-CA"/>
              </w:rPr>
              <w:t>2014 FC 174</w:t>
            </w:r>
          </w:p>
          <w:p w:rsidR="00131D5C" w:rsidRPr="0071003D" w:rsidRDefault="00131D5C" w:rsidP="001A5310">
            <w:pPr>
              <w:jc w:val="both"/>
              <w:rPr>
                <w:rFonts w:eastAsia="Calibri"/>
                <w:sz w:val="20"/>
                <w:szCs w:val="20"/>
                <w:lang w:val="fr-CA"/>
              </w:rPr>
            </w:pPr>
          </w:p>
        </w:tc>
        <w:tc>
          <w:tcPr>
            <w:tcW w:w="243" w:type="pct"/>
          </w:tcPr>
          <w:p w:rsidR="00131D5C" w:rsidRPr="0071003D" w:rsidRDefault="00131D5C" w:rsidP="001A5310">
            <w:pPr>
              <w:jc w:val="both"/>
              <w:rPr>
                <w:rFonts w:eastAsia="Calibri"/>
                <w:sz w:val="20"/>
                <w:szCs w:val="20"/>
                <w:lang w:val="fr-CA"/>
              </w:rPr>
            </w:pPr>
          </w:p>
        </w:tc>
        <w:tc>
          <w:tcPr>
            <w:tcW w:w="2330" w:type="pct"/>
          </w:tcPr>
          <w:p w:rsidR="00131D5C" w:rsidRPr="0071003D" w:rsidRDefault="00131D5C" w:rsidP="001A5310">
            <w:pPr>
              <w:jc w:val="both"/>
              <w:rPr>
                <w:rFonts w:eastAsia="Calibri"/>
                <w:sz w:val="20"/>
                <w:szCs w:val="20"/>
                <w:lang w:val="fr-CA"/>
              </w:rPr>
            </w:pPr>
            <w:r w:rsidRPr="0071003D">
              <w:rPr>
                <w:rFonts w:eastAsia="Calibri"/>
                <w:sz w:val="20"/>
                <w:szCs w:val="20"/>
                <w:lang w:val="fr-CA"/>
              </w:rPr>
              <w:t>Rejet de l’appel du demandeur de l’ordonnance du protonotaire radiant sa déclaration parce qu’elle ne révélait pas l’existence d’une cause d’action valable</w:t>
            </w:r>
          </w:p>
          <w:p w:rsidR="00131D5C" w:rsidRPr="0071003D" w:rsidRDefault="00131D5C" w:rsidP="001A5310">
            <w:pPr>
              <w:jc w:val="both"/>
              <w:rPr>
                <w:rFonts w:eastAsia="Calibri"/>
                <w:sz w:val="20"/>
                <w:szCs w:val="20"/>
                <w:lang w:val="fr-CA"/>
              </w:rPr>
            </w:pPr>
          </w:p>
        </w:tc>
      </w:tr>
      <w:tr w:rsidR="00131D5C" w:rsidRPr="0071003D" w:rsidTr="001A5310">
        <w:tc>
          <w:tcPr>
            <w:tcW w:w="2427" w:type="pct"/>
          </w:tcPr>
          <w:p w:rsidR="00131D5C" w:rsidRPr="0071003D" w:rsidRDefault="00131D5C" w:rsidP="001A5310">
            <w:pPr>
              <w:jc w:val="both"/>
              <w:rPr>
                <w:rFonts w:eastAsia="Calibri"/>
                <w:sz w:val="20"/>
                <w:szCs w:val="20"/>
                <w:lang w:val="fr-CA"/>
              </w:rPr>
            </w:pPr>
            <w:r w:rsidRPr="0071003D">
              <w:rPr>
                <w:rFonts w:eastAsia="Calibri"/>
                <w:sz w:val="20"/>
                <w:szCs w:val="20"/>
                <w:lang w:val="fr-CA"/>
              </w:rPr>
              <w:t>30 septembre 2014</w:t>
            </w:r>
          </w:p>
          <w:p w:rsidR="00131D5C" w:rsidRPr="0071003D" w:rsidRDefault="00131D5C" w:rsidP="001A5310">
            <w:pPr>
              <w:jc w:val="both"/>
              <w:rPr>
                <w:rFonts w:eastAsia="Calibri"/>
                <w:sz w:val="20"/>
                <w:szCs w:val="20"/>
                <w:lang w:val="fr-CA"/>
              </w:rPr>
            </w:pPr>
            <w:r w:rsidRPr="0071003D">
              <w:rPr>
                <w:rFonts w:eastAsia="Calibri"/>
                <w:sz w:val="20"/>
                <w:szCs w:val="20"/>
                <w:lang w:val="fr-CA"/>
              </w:rPr>
              <w:t>Cour d’appel fédérale</w:t>
            </w:r>
          </w:p>
          <w:p w:rsidR="00131D5C" w:rsidRPr="0071003D" w:rsidRDefault="00131D5C" w:rsidP="001A5310">
            <w:pPr>
              <w:jc w:val="both"/>
              <w:rPr>
                <w:rFonts w:eastAsia="Calibri"/>
                <w:sz w:val="20"/>
                <w:szCs w:val="20"/>
                <w:lang w:val="fr-CA"/>
              </w:rPr>
            </w:pPr>
            <w:r w:rsidRPr="0071003D">
              <w:rPr>
                <w:rFonts w:eastAsia="Calibri"/>
                <w:sz w:val="20"/>
                <w:szCs w:val="20"/>
                <w:lang w:val="fr-CA"/>
              </w:rPr>
              <w:t>(Juges Dawson, Sharlow et Near)</w:t>
            </w:r>
          </w:p>
          <w:p w:rsidR="00131D5C" w:rsidRPr="0071003D" w:rsidRDefault="00131D5C" w:rsidP="001A5310">
            <w:pPr>
              <w:jc w:val="both"/>
              <w:rPr>
                <w:rFonts w:eastAsia="Calibri"/>
                <w:sz w:val="20"/>
                <w:szCs w:val="20"/>
                <w:lang w:val="fr-CA"/>
              </w:rPr>
            </w:pPr>
            <w:r w:rsidRPr="0071003D">
              <w:rPr>
                <w:rFonts w:eastAsia="Calibri"/>
                <w:sz w:val="20"/>
                <w:szCs w:val="20"/>
                <w:lang w:val="fr-CA"/>
              </w:rPr>
              <w:t>2014 FCA 216</w:t>
            </w:r>
          </w:p>
          <w:p w:rsidR="00131D5C" w:rsidRPr="0071003D" w:rsidRDefault="00131D5C" w:rsidP="001A5310">
            <w:pPr>
              <w:jc w:val="both"/>
              <w:rPr>
                <w:rFonts w:eastAsia="Calibri"/>
                <w:sz w:val="20"/>
                <w:szCs w:val="20"/>
                <w:lang w:val="fr-CA"/>
              </w:rPr>
            </w:pPr>
          </w:p>
        </w:tc>
        <w:tc>
          <w:tcPr>
            <w:tcW w:w="243" w:type="pct"/>
          </w:tcPr>
          <w:p w:rsidR="00131D5C" w:rsidRPr="0071003D" w:rsidRDefault="00131D5C" w:rsidP="001A5310">
            <w:pPr>
              <w:jc w:val="both"/>
              <w:rPr>
                <w:rFonts w:eastAsia="Calibri"/>
                <w:sz w:val="20"/>
                <w:szCs w:val="20"/>
                <w:lang w:val="fr-CA"/>
              </w:rPr>
            </w:pPr>
          </w:p>
        </w:tc>
        <w:tc>
          <w:tcPr>
            <w:tcW w:w="2330" w:type="pct"/>
          </w:tcPr>
          <w:p w:rsidR="00131D5C" w:rsidRPr="0071003D" w:rsidRDefault="00131D5C" w:rsidP="001A5310">
            <w:pPr>
              <w:jc w:val="both"/>
              <w:rPr>
                <w:rFonts w:eastAsia="Calibri"/>
                <w:sz w:val="20"/>
                <w:szCs w:val="20"/>
                <w:lang w:val="fr-CA"/>
              </w:rPr>
            </w:pPr>
            <w:r w:rsidRPr="0071003D">
              <w:rPr>
                <w:rFonts w:eastAsia="Calibri"/>
                <w:sz w:val="20"/>
                <w:szCs w:val="20"/>
                <w:lang w:val="fr-CA"/>
              </w:rPr>
              <w:t>Rejet de l’appel du demandeur</w:t>
            </w:r>
          </w:p>
          <w:p w:rsidR="00131D5C" w:rsidRPr="0071003D" w:rsidRDefault="00131D5C" w:rsidP="001A5310">
            <w:pPr>
              <w:jc w:val="both"/>
              <w:rPr>
                <w:rFonts w:eastAsia="Calibri"/>
                <w:sz w:val="20"/>
                <w:szCs w:val="20"/>
                <w:lang w:val="fr-CA"/>
              </w:rPr>
            </w:pPr>
          </w:p>
        </w:tc>
      </w:tr>
      <w:tr w:rsidR="00131D5C" w:rsidRPr="00C3091A" w:rsidTr="001A5310">
        <w:tc>
          <w:tcPr>
            <w:tcW w:w="2427" w:type="pct"/>
          </w:tcPr>
          <w:p w:rsidR="00131D5C" w:rsidRPr="0071003D" w:rsidRDefault="00131D5C" w:rsidP="001A5310">
            <w:pPr>
              <w:jc w:val="both"/>
              <w:rPr>
                <w:rFonts w:eastAsia="Calibri"/>
                <w:sz w:val="20"/>
                <w:szCs w:val="20"/>
                <w:lang w:val="fr-CA"/>
              </w:rPr>
            </w:pPr>
            <w:r w:rsidRPr="0071003D">
              <w:rPr>
                <w:rFonts w:eastAsia="Calibri"/>
                <w:sz w:val="20"/>
                <w:szCs w:val="20"/>
                <w:lang w:val="fr-CA"/>
              </w:rPr>
              <w:t>25 novembre 2014</w:t>
            </w:r>
          </w:p>
          <w:p w:rsidR="00131D5C" w:rsidRPr="0071003D" w:rsidRDefault="00131D5C" w:rsidP="001A5310">
            <w:pPr>
              <w:jc w:val="both"/>
              <w:rPr>
                <w:rFonts w:eastAsia="Calibri"/>
                <w:sz w:val="20"/>
                <w:szCs w:val="20"/>
                <w:lang w:val="fr-CA"/>
              </w:rPr>
            </w:pPr>
            <w:r w:rsidRPr="0071003D">
              <w:rPr>
                <w:rFonts w:eastAsia="Calibri"/>
                <w:sz w:val="20"/>
                <w:szCs w:val="20"/>
                <w:lang w:val="fr-CA"/>
              </w:rPr>
              <w:t>Cour suprême du Canada</w:t>
            </w:r>
          </w:p>
        </w:tc>
        <w:tc>
          <w:tcPr>
            <w:tcW w:w="243" w:type="pct"/>
          </w:tcPr>
          <w:p w:rsidR="00131D5C" w:rsidRPr="0071003D" w:rsidRDefault="00131D5C" w:rsidP="001A5310">
            <w:pPr>
              <w:jc w:val="both"/>
              <w:rPr>
                <w:rFonts w:eastAsia="Calibri"/>
                <w:sz w:val="20"/>
                <w:szCs w:val="20"/>
                <w:lang w:val="fr-CA"/>
              </w:rPr>
            </w:pPr>
          </w:p>
        </w:tc>
        <w:tc>
          <w:tcPr>
            <w:tcW w:w="2330" w:type="pct"/>
          </w:tcPr>
          <w:p w:rsidR="00131D5C" w:rsidRPr="0071003D" w:rsidRDefault="00131D5C" w:rsidP="001A5310">
            <w:pPr>
              <w:jc w:val="both"/>
              <w:rPr>
                <w:rFonts w:eastAsia="Calibri"/>
                <w:sz w:val="20"/>
                <w:szCs w:val="20"/>
                <w:lang w:val="fr-CA"/>
              </w:rPr>
            </w:pPr>
            <w:r w:rsidRPr="0071003D">
              <w:rPr>
                <w:rFonts w:eastAsia="Calibri"/>
                <w:sz w:val="20"/>
                <w:szCs w:val="20"/>
                <w:lang w:val="fr-CA"/>
              </w:rPr>
              <w:t>Dépôt de la demande d’autorisation d’appel</w:t>
            </w:r>
          </w:p>
          <w:p w:rsidR="00131D5C" w:rsidRPr="0071003D" w:rsidRDefault="00131D5C" w:rsidP="001A5310">
            <w:pPr>
              <w:jc w:val="both"/>
              <w:rPr>
                <w:rFonts w:eastAsia="Calibri"/>
                <w:sz w:val="20"/>
                <w:szCs w:val="20"/>
                <w:lang w:val="fr-CA"/>
              </w:rPr>
            </w:pPr>
          </w:p>
        </w:tc>
      </w:tr>
    </w:tbl>
    <w:p w:rsidR="008E7C88" w:rsidRPr="00131D5C" w:rsidRDefault="008E7C88" w:rsidP="008E7C88">
      <w:pPr>
        <w:rPr>
          <w:sz w:val="20"/>
          <w:szCs w:val="20"/>
          <w:lang w:val="fr-CA"/>
        </w:rPr>
      </w:pPr>
    </w:p>
    <w:p w:rsidR="008E7C88" w:rsidRDefault="00BF341F" w:rsidP="008E7C88">
      <w:pPr>
        <w:rPr>
          <w:sz w:val="20"/>
          <w:szCs w:val="20"/>
          <w:lang w:val="fr-CA"/>
        </w:rPr>
      </w:pPr>
      <w:r>
        <w:rPr>
          <w:sz w:val="20"/>
          <w:szCs w:val="20"/>
          <w:lang w:val="fr-CA"/>
        </w:rPr>
        <w:pict>
          <v:rect id="_x0000_i1047" style="width:2in;height:1pt" o:hrpct="0" o:hralign="center" o:hrstd="t" o:hrnoshade="t" o:hr="t" fillcolor="black [3213]" stroked="f"/>
        </w:pict>
      </w:r>
    </w:p>
    <w:p w:rsidR="008E7C88" w:rsidRDefault="008E7C88" w:rsidP="008E7C88">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0A2923" w:rsidRPr="000A2923" w:rsidRDefault="000A2923" w:rsidP="000A2923">
      <w:pPr>
        <w:tabs>
          <w:tab w:val="left" w:pos="-1440"/>
          <w:tab w:val="left" w:pos="-720"/>
        </w:tabs>
        <w:jc w:val="both"/>
        <w:rPr>
          <w:rFonts w:eastAsia="Times New Roman" w:cs="Times New Roman"/>
          <w:sz w:val="20"/>
          <w:szCs w:val="20"/>
          <w:lang w:val="fr-CA" w:eastAsia="en-CA"/>
        </w:rPr>
      </w:pPr>
      <w:r w:rsidRPr="000A2923">
        <w:rPr>
          <w:rFonts w:eastAsia="Times New Roman" w:cs="Times New Roman"/>
          <w:sz w:val="20"/>
          <w:szCs w:val="20"/>
          <w:lang w:val="fr-CA" w:eastAsia="en-CA"/>
        </w:rPr>
        <w:t>05.03.2015</w:t>
      </w:r>
    </w:p>
    <w:p w:rsidR="000A2923" w:rsidRPr="000A2923" w:rsidRDefault="000A2923" w:rsidP="000A2923">
      <w:pPr>
        <w:tabs>
          <w:tab w:val="left" w:pos="-1440"/>
          <w:tab w:val="left" w:pos="-720"/>
        </w:tabs>
        <w:jc w:val="both"/>
        <w:rPr>
          <w:rFonts w:eastAsia="Times New Roman" w:cs="Times New Roman"/>
          <w:sz w:val="20"/>
          <w:szCs w:val="20"/>
          <w:lang w:val="fr-CA" w:eastAsia="en-CA"/>
        </w:rPr>
      </w:pPr>
    </w:p>
    <w:p w:rsidR="000A2923" w:rsidRPr="000A2923" w:rsidRDefault="000A2923" w:rsidP="000A2923">
      <w:pPr>
        <w:tabs>
          <w:tab w:val="left" w:pos="-1440"/>
          <w:tab w:val="left" w:pos="-720"/>
        </w:tabs>
        <w:jc w:val="both"/>
        <w:rPr>
          <w:rFonts w:eastAsia="Times New Roman" w:cs="Times New Roman"/>
          <w:sz w:val="20"/>
          <w:szCs w:val="20"/>
          <w:lang w:val="fr-CA" w:eastAsia="en-CA"/>
        </w:rPr>
      </w:pPr>
      <w:r w:rsidRPr="000A2923">
        <w:rPr>
          <w:rFonts w:eastAsia="Times New Roman" w:cs="Times New Roman"/>
          <w:sz w:val="20"/>
          <w:szCs w:val="20"/>
          <w:lang w:val="fr-CA" w:eastAsia="en-CA"/>
        </w:rPr>
        <w:t>Before / Devant :   ROTHSTEIN J. / LE JUGE ROTHSTEIN</w:t>
      </w:r>
    </w:p>
    <w:p w:rsidR="000A2923" w:rsidRPr="000A2923" w:rsidRDefault="000A2923" w:rsidP="000A2923">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0A2923" w:rsidRPr="00C3091A" w:rsidTr="00BF5229">
        <w:tc>
          <w:tcPr>
            <w:tcW w:w="4338" w:type="dxa"/>
            <w:gridSpan w:val="2"/>
          </w:tcPr>
          <w:p w:rsidR="000A2923" w:rsidRPr="000A2923" w:rsidRDefault="000A2923" w:rsidP="000A2923">
            <w:pPr>
              <w:jc w:val="both"/>
              <w:rPr>
                <w:b/>
              </w:rPr>
            </w:pPr>
            <w:r w:rsidRPr="000A2923">
              <w:rPr>
                <w:b/>
                <w:lang w:val="en-US"/>
              </w:rPr>
              <w:t xml:space="preserve">Order on interventions with respect to oral argument </w:t>
            </w:r>
            <w:r w:rsidR="00A62C48" w:rsidRPr="000A2923">
              <w:rPr>
                <w:b/>
                <w:lang w:val="en-US"/>
              </w:rPr>
              <w:fldChar w:fldCharType="begin"/>
            </w:r>
            <w:r w:rsidRPr="000A2923">
              <w:rPr>
                <w:b/>
              </w:rPr>
              <w:instrText xml:space="preserve"> SEQ CHAPTER \h \r 1</w:instrText>
            </w:r>
            <w:r w:rsidR="00A62C48" w:rsidRPr="000A2923">
              <w:rPr>
                <w:b/>
                <w:lang w:val="en-US"/>
              </w:rPr>
              <w:fldChar w:fldCharType="end"/>
            </w:r>
          </w:p>
        </w:tc>
        <w:tc>
          <w:tcPr>
            <w:tcW w:w="1170" w:type="dxa"/>
          </w:tcPr>
          <w:p w:rsidR="000A2923" w:rsidRPr="000A2923" w:rsidRDefault="000A2923" w:rsidP="000A2923"/>
          <w:p w:rsidR="000A2923" w:rsidRPr="000A2923" w:rsidRDefault="000A2923" w:rsidP="000A2923"/>
          <w:p w:rsidR="000A2923" w:rsidRPr="000A2923" w:rsidRDefault="000A2923" w:rsidP="000A2923"/>
        </w:tc>
        <w:tc>
          <w:tcPr>
            <w:tcW w:w="4327" w:type="dxa"/>
          </w:tcPr>
          <w:p w:rsidR="000A2923" w:rsidRPr="000A2923" w:rsidRDefault="000A2923" w:rsidP="000A2923">
            <w:pPr>
              <w:jc w:val="both"/>
              <w:rPr>
                <w:b/>
                <w:lang w:val="fr-CA"/>
              </w:rPr>
            </w:pPr>
            <w:r w:rsidRPr="000A2923">
              <w:rPr>
                <w:b/>
                <w:lang w:val="fr-CA"/>
              </w:rPr>
              <w:t>Ordonnance relative à la présentation d’une plaidoirie orale par les intervenants</w:t>
            </w:r>
            <w:r w:rsidR="00A62C48" w:rsidRPr="000A2923">
              <w:rPr>
                <w:b/>
                <w:lang w:val="en-US"/>
              </w:rPr>
              <w:fldChar w:fldCharType="begin"/>
            </w:r>
            <w:r w:rsidRPr="000A2923">
              <w:rPr>
                <w:b/>
                <w:lang w:val="fr-CA"/>
              </w:rPr>
              <w:instrText xml:space="preserve"> SEQ CHAPTER \h \r 1</w:instrText>
            </w:r>
            <w:r w:rsidR="00A62C48" w:rsidRPr="000A2923">
              <w:rPr>
                <w:b/>
                <w:lang w:val="en-US"/>
              </w:rPr>
              <w:fldChar w:fldCharType="end"/>
            </w:r>
          </w:p>
        </w:tc>
      </w:tr>
      <w:tr w:rsidR="000A2923" w:rsidRPr="000A2923" w:rsidTr="00BF5229">
        <w:trPr>
          <w:trHeight w:hRule="exact" w:val="2304"/>
        </w:trPr>
        <w:tc>
          <w:tcPr>
            <w:tcW w:w="1368" w:type="dxa"/>
          </w:tcPr>
          <w:p w:rsidR="000A2923" w:rsidRPr="000A2923" w:rsidRDefault="000A2923" w:rsidP="000A2923">
            <w:r w:rsidRPr="000A2923">
              <w:t>RE:</w:t>
            </w:r>
          </w:p>
        </w:tc>
        <w:tc>
          <w:tcPr>
            <w:tcW w:w="2970" w:type="dxa"/>
          </w:tcPr>
          <w:p w:rsidR="000A2923" w:rsidRPr="000A2923" w:rsidRDefault="000A2923" w:rsidP="000A2923">
            <w:r w:rsidRPr="000A2923">
              <w:rPr>
                <w:rFonts w:eastAsiaTheme="minorEastAsia"/>
              </w:rPr>
              <w:t>Music Canada, the International Federation of the Phonographic Industry, the Canadian Council of Music Industry Associations, the Canadian Independent Music Association and the Association québécoise de l’industrie du disque, du spectacle et de la vidéo (jointly)</w:t>
            </w:r>
            <w:r w:rsidRPr="000A2923">
              <w:rPr>
                <w:lang w:val="en-US"/>
              </w:rPr>
              <w:t>;</w:t>
            </w:r>
          </w:p>
        </w:tc>
        <w:tc>
          <w:tcPr>
            <w:tcW w:w="1170" w:type="dxa"/>
          </w:tcPr>
          <w:p w:rsidR="000A2923" w:rsidRPr="000A2923" w:rsidRDefault="000A2923" w:rsidP="000A2923"/>
        </w:tc>
        <w:tc>
          <w:tcPr>
            <w:tcW w:w="4327" w:type="dxa"/>
          </w:tcPr>
          <w:p w:rsidR="000A2923" w:rsidRPr="000A2923" w:rsidRDefault="000A2923" w:rsidP="000A2923"/>
        </w:tc>
      </w:tr>
      <w:tr w:rsidR="000A2923" w:rsidRPr="000A2923" w:rsidTr="00BF5229">
        <w:trPr>
          <w:trHeight w:hRule="exact" w:val="1368"/>
        </w:trPr>
        <w:tc>
          <w:tcPr>
            <w:tcW w:w="1368" w:type="dxa"/>
          </w:tcPr>
          <w:p w:rsidR="000A2923" w:rsidRPr="000A2923" w:rsidRDefault="000A2923" w:rsidP="000A2923"/>
        </w:tc>
        <w:tc>
          <w:tcPr>
            <w:tcW w:w="2970" w:type="dxa"/>
          </w:tcPr>
          <w:p w:rsidR="000A2923" w:rsidRPr="000A2923" w:rsidRDefault="000A2923" w:rsidP="000A2923">
            <w:r w:rsidRPr="000A2923">
              <w:rPr>
                <w:rFonts w:eastAsiaTheme="minorEastAsia"/>
              </w:rPr>
              <w:t>Canadian Musical Reproduction Rights Agency Ltd., the Canadian Music Publishers Association and the International Confederation of Music Publishers (jointly)</w:t>
            </w:r>
            <w:r w:rsidRPr="000A2923">
              <w:rPr>
                <w:lang w:val="en-US"/>
              </w:rPr>
              <w:t>;</w:t>
            </w:r>
          </w:p>
        </w:tc>
        <w:tc>
          <w:tcPr>
            <w:tcW w:w="1170" w:type="dxa"/>
          </w:tcPr>
          <w:p w:rsidR="000A2923" w:rsidRPr="000A2923" w:rsidRDefault="000A2923" w:rsidP="000A2923"/>
        </w:tc>
        <w:tc>
          <w:tcPr>
            <w:tcW w:w="4327" w:type="dxa"/>
          </w:tcPr>
          <w:p w:rsidR="000A2923" w:rsidRPr="000A2923" w:rsidRDefault="000A2923" w:rsidP="000A2923"/>
        </w:tc>
      </w:tr>
      <w:tr w:rsidR="000A2923" w:rsidRPr="000A2923" w:rsidTr="00BF5229">
        <w:trPr>
          <w:trHeight w:hRule="exact" w:val="648"/>
        </w:trPr>
        <w:tc>
          <w:tcPr>
            <w:tcW w:w="1368" w:type="dxa"/>
          </w:tcPr>
          <w:p w:rsidR="000A2923" w:rsidRPr="000A2923" w:rsidRDefault="000A2923" w:rsidP="000A2923"/>
        </w:tc>
        <w:tc>
          <w:tcPr>
            <w:tcW w:w="2970" w:type="dxa"/>
          </w:tcPr>
          <w:p w:rsidR="000A2923" w:rsidRPr="000A2923" w:rsidRDefault="000A2923" w:rsidP="000A2923">
            <w:r w:rsidRPr="000A2923">
              <w:rPr>
                <w:rFonts w:eastAsiaTheme="minorEastAsia"/>
              </w:rPr>
              <w:t>Centre for Intellectual Property Policy and Ariel Katz (jointly)</w:t>
            </w:r>
            <w:r w:rsidRPr="000A2923">
              <w:rPr>
                <w:lang w:val="en-US"/>
              </w:rPr>
              <w:t>;</w:t>
            </w:r>
          </w:p>
        </w:tc>
        <w:tc>
          <w:tcPr>
            <w:tcW w:w="1170" w:type="dxa"/>
          </w:tcPr>
          <w:p w:rsidR="000A2923" w:rsidRPr="000A2923" w:rsidRDefault="000A2923" w:rsidP="000A2923"/>
        </w:tc>
        <w:tc>
          <w:tcPr>
            <w:tcW w:w="4327" w:type="dxa"/>
          </w:tcPr>
          <w:p w:rsidR="000A2923" w:rsidRPr="000A2923" w:rsidRDefault="000A2923" w:rsidP="000A2923"/>
        </w:tc>
      </w:tr>
      <w:tr w:rsidR="000A2923" w:rsidRPr="000A2923" w:rsidTr="00BF5229">
        <w:trPr>
          <w:trHeight w:hRule="exact" w:val="864"/>
        </w:trPr>
        <w:tc>
          <w:tcPr>
            <w:tcW w:w="1368" w:type="dxa"/>
          </w:tcPr>
          <w:p w:rsidR="000A2923" w:rsidRPr="000A2923" w:rsidRDefault="000A2923" w:rsidP="000A2923"/>
        </w:tc>
        <w:tc>
          <w:tcPr>
            <w:tcW w:w="2970" w:type="dxa"/>
          </w:tcPr>
          <w:p w:rsidR="000A2923" w:rsidRPr="000A2923" w:rsidRDefault="000A2923" w:rsidP="000A2923">
            <w:r w:rsidRPr="000A2923">
              <w:rPr>
                <w:rFonts w:eastAsiaTheme="minorEastAsia"/>
              </w:rPr>
              <w:t>Samuelson-Glushko Canadian Internet Policy and Public Interest Clinic</w:t>
            </w:r>
          </w:p>
        </w:tc>
        <w:tc>
          <w:tcPr>
            <w:tcW w:w="1170" w:type="dxa"/>
          </w:tcPr>
          <w:p w:rsidR="000A2923" w:rsidRPr="000A2923" w:rsidRDefault="000A2923" w:rsidP="000A2923"/>
        </w:tc>
        <w:tc>
          <w:tcPr>
            <w:tcW w:w="4327" w:type="dxa"/>
          </w:tcPr>
          <w:p w:rsidR="000A2923" w:rsidRPr="000A2923" w:rsidRDefault="000A2923" w:rsidP="000A2923"/>
        </w:tc>
      </w:tr>
      <w:tr w:rsidR="000A2923" w:rsidRPr="000A2923" w:rsidTr="00BF5229">
        <w:tc>
          <w:tcPr>
            <w:tcW w:w="1368" w:type="dxa"/>
          </w:tcPr>
          <w:p w:rsidR="000A2923" w:rsidRPr="000A2923" w:rsidRDefault="000A2923" w:rsidP="000A2923"/>
        </w:tc>
        <w:tc>
          <w:tcPr>
            <w:tcW w:w="2970" w:type="dxa"/>
          </w:tcPr>
          <w:p w:rsidR="000A2923" w:rsidRPr="000A2923" w:rsidRDefault="000A2923" w:rsidP="000A2923"/>
        </w:tc>
        <w:tc>
          <w:tcPr>
            <w:tcW w:w="1170" w:type="dxa"/>
          </w:tcPr>
          <w:p w:rsidR="000A2923" w:rsidRPr="000A2923" w:rsidRDefault="000A2923" w:rsidP="000A2923"/>
        </w:tc>
        <w:tc>
          <w:tcPr>
            <w:tcW w:w="4327" w:type="dxa"/>
          </w:tcPr>
          <w:p w:rsidR="000A2923" w:rsidRPr="000A2923" w:rsidRDefault="000A2923" w:rsidP="000A2923"/>
        </w:tc>
      </w:tr>
      <w:tr w:rsidR="000A2923" w:rsidRPr="00C3091A" w:rsidTr="00BF5229">
        <w:tc>
          <w:tcPr>
            <w:tcW w:w="1368" w:type="dxa"/>
          </w:tcPr>
          <w:p w:rsidR="000A2923" w:rsidRPr="000A2923" w:rsidRDefault="000A2923" w:rsidP="000A2923">
            <w:r w:rsidRPr="000A2923">
              <w:t>IN / DANS :</w:t>
            </w:r>
          </w:p>
        </w:tc>
        <w:tc>
          <w:tcPr>
            <w:tcW w:w="2970" w:type="dxa"/>
          </w:tcPr>
          <w:p w:rsidR="000A2923" w:rsidRPr="000A2923" w:rsidRDefault="000A2923" w:rsidP="000A2923">
            <w:r w:rsidRPr="000A2923">
              <w:t>Canadian Broadcasting Corporation / Société Radio-Canada</w:t>
            </w:r>
          </w:p>
          <w:p w:rsidR="000A2923" w:rsidRPr="000A2923" w:rsidRDefault="000A2923" w:rsidP="000A2923"/>
          <w:p w:rsidR="000A2923" w:rsidRPr="000A2923" w:rsidRDefault="000A2923" w:rsidP="000A2923">
            <w:pPr>
              <w:rPr>
                <w:lang w:val="fr-CA"/>
              </w:rPr>
            </w:pPr>
            <w:r w:rsidRPr="000A2923">
              <w:tab/>
            </w:r>
            <w:r w:rsidRPr="000A2923">
              <w:rPr>
                <w:lang w:val="fr-CA"/>
              </w:rPr>
              <w:t>v. (35918)</w:t>
            </w:r>
          </w:p>
          <w:p w:rsidR="000A2923" w:rsidRPr="000A2923" w:rsidRDefault="000A2923" w:rsidP="000A2923">
            <w:pPr>
              <w:rPr>
                <w:lang w:val="fr-CA"/>
              </w:rPr>
            </w:pPr>
          </w:p>
          <w:p w:rsidR="000A2923" w:rsidRPr="000A2923" w:rsidRDefault="000A2923" w:rsidP="000A2923">
            <w:pPr>
              <w:rPr>
                <w:lang w:val="fr-CA"/>
              </w:rPr>
            </w:pPr>
            <w:r w:rsidRPr="000A2923">
              <w:rPr>
                <w:lang w:val="fr-CA"/>
              </w:rPr>
              <w:t>SODRAC 2003 Inc. et al (F.C.)</w:t>
            </w:r>
          </w:p>
        </w:tc>
        <w:tc>
          <w:tcPr>
            <w:tcW w:w="1170" w:type="dxa"/>
          </w:tcPr>
          <w:p w:rsidR="000A2923" w:rsidRPr="000A2923" w:rsidRDefault="000A2923" w:rsidP="000A2923">
            <w:pPr>
              <w:rPr>
                <w:lang w:val="fr-CA"/>
              </w:rPr>
            </w:pPr>
          </w:p>
        </w:tc>
        <w:tc>
          <w:tcPr>
            <w:tcW w:w="4327" w:type="dxa"/>
          </w:tcPr>
          <w:p w:rsidR="000A2923" w:rsidRPr="000A2923" w:rsidRDefault="000A2923" w:rsidP="000A2923">
            <w:pPr>
              <w:rPr>
                <w:lang w:val="fr-CA"/>
              </w:rPr>
            </w:pPr>
          </w:p>
        </w:tc>
      </w:tr>
    </w:tbl>
    <w:p w:rsidR="000A2923" w:rsidRPr="000A2923" w:rsidRDefault="000A2923" w:rsidP="000A2923">
      <w:pPr>
        <w:tabs>
          <w:tab w:val="left" w:pos="-1440"/>
          <w:tab w:val="left" w:pos="-720"/>
        </w:tabs>
        <w:jc w:val="both"/>
        <w:rPr>
          <w:rFonts w:eastAsia="Times New Roman" w:cs="Times New Roman"/>
          <w:sz w:val="20"/>
          <w:szCs w:val="20"/>
          <w:lang w:val="fr-CA" w:eastAsia="en-CA"/>
        </w:rPr>
      </w:pPr>
    </w:p>
    <w:p w:rsidR="000A2923" w:rsidRPr="000A2923" w:rsidRDefault="000A2923" w:rsidP="000A2923">
      <w:pPr>
        <w:autoSpaceDE w:val="0"/>
        <w:autoSpaceDN w:val="0"/>
        <w:adjustRightInd w:val="0"/>
        <w:jc w:val="both"/>
        <w:rPr>
          <w:rFonts w:eastAsiaTheme="minorEastAsia" w:cs="Times New Roman"/>
          <w:b/>
          <w:bCs/>
          <w:sz w:val="20"/>
          <w:szCs w:val="20"/>
        </w:rPr>
      </w:pPr>
      <w:r w:rsidRPr="000A2923">
        <w:rPr>
          <w:rFonts w:eastAsiaTheme="minorEastAsia" w:cs="Times New Roman"/>
          <w:b/>
          <w:bCs/>
          <w:sz w:val="20"/>
          <w:szCs w:val="20"/>
        </w:rPr>
        <w:t xml:space="preserve">FURTHER TO THE ORDER </w:t>
      </w:r>
      <w:r w:rsidRPr="000A2923">
        <w:rPr>
          <w:rFonts w:eastAsiaTheme="minorEastAsia" w:cs="Times New Roman"/>
          <w:bCs/>
          <w:sz w:val="20"/>
          <w:szCs w:val="20"/>
        </w:rPr>
        <w:t xml:space="preserve">dated February 11, 2015, granting leave to intervene to </w:t>
      </w:r>
      <w:r w:rsidRPr="000A2923">
        <w:rPr>
          <w:rFonts w:eastAsiaTheme="minorEastAsia" w:cs="Times New Roman"/>
          <w:sz w:val="20"/>
          <w:szCs w:val="20"/>
        </w:rPr>
        <w:t xml:space="preserve">Music Canada, the International Federation of the Phonographic Industry, the Canadian Council of Music Industry Associations, the Canadian Independent Music Association and the Association québécoise de l’industrie du disque, du spectacle et de la vidéo (jointly), the Canadian Musical Reproduction Rights Agency Ltd., the Canadian Music Publishers Association and the International Confederation of Music Publishers (jointly), </w:t>
      </w:r>
      <w:r w:rsidRPr="000A2923">
        <w:rPr>
          <w:rFonts w:eastAsiaTheme="minorEastAsia" w:cs="Times New Roman"/>
          <w:sz w:val="20"/>
          <w:szCs w:val="20"/>
          <w:lang w:val="en-US"/>
        </w:rPr>
        <w:t xml:space="preserve">the </w:t>
      </w:r>
      <w:r w:rsidRPr="000A2923">
        <w:rPr>
          <w:rFonts w:eastAsiaTheme="minorEastAsia" w:cs="Times New Roman"/>
          <w:sz w:val="20"/>
          <w:szCs w:val="20"/>
        </w:rPr>
        <w:t>Centre for Intellectual Property Policy and Ariel Katz (jointly) and the Samuelson-Glushko Canadian Internet Policy and Public Interest Clinic;</w:t>
      </w:r>
    </w:p>
    <w:p w:rsidR="000A2923" w:rsidRPr="000A2923" w:rsidRDefault="000A2923" w:rsidP="000A2923">
      <w:pPr>
        <w:rPr>
          <w:rFonts w:eastAsiaTheme="minorEastAsia" w:cs="Times New Roman"/>
          <w:sz w:val="20"/>
          <w:szCs w:val="20"/>
        </w:rPr>
      </w:pPr>
    </w:p>
    <w:p w:rsidR="000A2923" w:rsidRPr="000A2923" w:rsidRDefault="000A2923" w:rsidP="000A2923">
      <w:pPr>
        <w:widowControl w:val="0"/>
        <w:autoSpaceDE w:val="0"/>
        <w:autoSpaceDN w:val="0"/>
        <w:adjustRightInd w:val="0"/>
        <w:spacing w:line="232" w:lineRule="auto"/>
        <w:jc w:val="both"/>
        <w:rPr>
          <w:rFonts w:eastAsiaTheme="minorEastAsia" w:cs="Times New Roman"/>
          <w:sz w:val="20"/>
          <w:szCs w:val="20"/>
          <w:lang w:val="en-US"/>
        </w:rPr>
      </w:pPr>
      <w:r w:rsidRPr="000A2923">
        <w:rPr>
          <w:rFonts w:eastAsiaTheme="minorEastAsia" w:cs="Times New Roman"/>
          <w:b/>
          <w:bCs/>
          <w:sz w:val="20"/>
          <w:szCs w:val="20"/>
          <w:lang w:val="en-US"/>
        </w:rPr>
        <w:t>IT IS HEREBY FURTHER ORDERED THAT</w:t>
      </w:r>
      <w:r w:rsidRPr="000A2923">
        <w:rPr>
          <w:rFonts w:eastAsiaTheme="minorEastAsia" w:cs="Times New Roman"/>
          <w:sz w:val="20"/>
          <w:szCs w:val="20"/>
          <w:lang w:val="en-US"/>
        </w:rPr>
        <w:t xml:space="preserve"> </w:t>
      </w:r>
      <w:r w:rsidRPr="000A2923">
        <w:rPr>
          <w:rFonts w:eastAsiaTheme="minorEastAsia" w:cs="Times New Roman"/>
          <w:sz w:val="20"/>
          <w:szCs w:val="20"/>
        </w:rPr>
        <w:t xml:space="preserve">the said interveners are each granted permission to present oral argument not exceeding ten (10) minutes at the hearing of the appeal.  </w:t>
      </w:r>
    </w:p>
    <w:p w:rsidR="000A2923" w:rsidRPr="000A2923" w:rsidRDefault="000A2923" w:rsidP="000A2923">
      <w:pPr>
        <w:widowControl w:val="0"/>
        <w:autoSpaceDE w:val="0"/>
        <w:autoSpaceDN w:val="0"/>
        <w:adjustRightInd w:val="0"/>
        <w:spacing w:line="232" w:lineRule="auto"/>
        <w:jc w:val="both"/>
        <w:rPr>
          <w:rFonts w:eastAsiaTheme="minorEastAsia" w:cs="Times New Roman"/>
          <w:sz w:val="20"/>
          <w:szCs w:val="20"/>
          <w:lang w:val="en-US"/>
        </w:rPr>
      </w:pPr>
    </w:p>
    <w:p w:rsidR="000A2923" w:rsidRPr="000A2923" w:rsidRDefault="000A2923" w:rsidP="000A2923">
      <w:pPr>
        <w:widowControl w:val="0"/>
        <w:autoSpaceDE w:val="0"/>
        <w:autoSpaceDN w:val="0"/>
        <w:adjustRightInd w:val="0"/>
        <w:spacing w:line="232" w:lineRule="auto"/>
        <w:jc w:val="both"/>
        <w:rPr>
          <w:rFonts w:eastAsiaTheme="minorEastAsia" w:cs="Times New Roman"/>
          <w:sz w:val="20"/>
          <w:szCs w:val="20"/>
          <w:lang w:val="en-US"/>
        </w:rPr>
      </w:pPr>
    </w:p>
    <w:p w:rsidR="000A2923" w:rsidRPr="000A2923" w:rsidRDefault="000A2923" w:rsidP="000A2923">
      <w:pPr>
        <w:widowControl w:val="0"/>
        <w:autoSpaceDE w:val="0"/>
        <w:autoSpaceDN w:val="0"/>
        <w:adjustRightInd w:val="0"/>
        <w:spacing w:line="232" w:lineRule="auto"/>
        <w:jc w:val="both"/>
        <w:rPr>
          <w:rFonts w:eastAsiaTheme="minorEastAsia" w:cs="Times New Roman"/>
          <w:sz w:val="20"/>
          <w:szCs w:val="20"/>
          <w:lang w:val="en-US"/>
        </w:rPr>
      </w:pPr>
    </w:p>
    <w:p w:rsidR="000A2923" w:rsidRPr="000A2923" w:rsidRDefault="000A2923" w:rsidP="000A2923">
      <w:pPr>
        <w:widowControl w:val="0"/>
        <w:autoSpaceDE w:val="0"/>
        <w:autoSpaceDN w:val="0"/>
        <w:adjustRightInd w:val="0"/>
        <w:spacing w:line="232" w:lineRule="auto"/>
        <w:jc w:val="both"/>
        <w:rPr>
          <w:rFonts w:eastAsiaTheme="minorEastAsia" w:cs="Times New Roman"/>
          <w:sz w:val="20"/>
          <w:szCs w:val="20"/>
          <w:lang w:val="fr-CA"/>
        </w:rPr>
      </w:pPr>
      <w:r w:rsidRPr="000A2923">
        <w:rPr>
          <w:rFonts w:eastAsiaTheme="minorEastAsia" w:cs="Times New Roman"/>
          <w:b/>
          <w:sz w:val="20"/>
          <w:szCs w:val="20"/>
          <w:lang w:val="fr-CA"/>
        </w:rPr>
        <w:t xml:space="preserve">À LA SUITE DE L’ORDONNANCE </w:t>
      </w:r>
      <w:r w:rsidRPr="000A2923">
        <w:rPr>
          <w:rFonts w:eastAsiaTheme="minorEastAsia" w:cs="Times New Roman"/>
          <w:sz w:val="20"/>
          <w:szCs w:val="20"/>
          <w:lang w:val="fr-CA"/>
        </w:rPr>
        <w:t xml:space="preserve">datée du 11 février 2015, autorisant Music Canada, l’International Federation of the Phonographic Industry, le Canadian Council of Music Industry Associations, la Canadian Independent Music Association et l’Association Québecoise de l’industrie du disque, du spectacle et de la vidéo (conjointement), la Canadian Musical Reproduction Rights Agency Ltd., la Canadian Music Publishers Association et l’International </w:t>
      </w:r>
      <w:r w:rsidRPr="000A2923">
        <w:rPr>
          <w:rFonts w:eastAsiaTheme="minorEastAsia" w:cs="Times New Roman"/>
          <w:sz w:val="20"/>
          <w:szCs w:val="20"/>
          <w:lang w:val="fr-CA"/>
        </w:rPr>
        <w:lastRenderedPageBreak/>
        <w:t>Confederation of Music Publishers (conjointement), la Centre for Intellectual Property Policy et Ariel Katz (conjointement) et Samuelson-Glushko Canadian Internet Policy and Public Interest Clinic à intervenir;</w:t>
      </w:r>
    </w:p>
    <w:p w:rsidR="000A2923" w:rsidRPr="000A2923" w:rsidRDefault="000A2923" w:rsidP="000A2923">
      <w:pPr>
        <w:widowControl w:val="0"/>
        <w:autoSpaceDE w:val="0"/>
        <w:autoSpaceDN w:val="0"/>
        <w:adjustRightInd w:val="0"/>
        <w:spacing w:line="232" w:lineRule="auto"/>
        <w:jc w:val="both"/>
        <w:rPr>
          <w:rFonts w:eastAsiaTheme="minorEastAsia" w:cs="Times New Roman"/>
          <w:sz w:val="20"/>
          <w:szCs w:val="20"/>
          <w:lang w:val="fr-CA"/>
        </w:rPr>
      </w:pPr>
    </w:p>
    <w:p w:rsidR="000A2923" w:rsidRPr="000A2923" w:rsidRDefault="000A2923" w:rsidP="000A2923">
      <w:pPr>
        <w:widowControl w:val="0"/>
        <w:autoSpaceDE w:val="0"/>
        <w:autoSpaceDN w:val="0"/>
        <w:adjustRightInd w:val="0"/>
        <w:spacing w:line="232" w:lineRule="auto"/>
        <w:jc w:val="both"/>
        <w:rPr>
          <w:rFonts w:eastAsiaTheme="minorEastAsia" w:cs="Times New Roman"/>
          <w:sz w:val="20"/>
          <w:szCs w:val="20"/>
          <w:lang w:val="fr-CA"/>
        </w:rPr>
      </w:pPr>
      <w:r w:rsidRPr="000A2923">
        <w:rPr>
          <w:rFonts w:eastAsiaTheme="minorEastAsia" w:cs="Times New Roman"/>
          <w:b/>
          <w:sz w:val="20"/>
          <w:szCs w:val="20"/>
          <w:lang w:val="fr-CA"/>
        </w:rPr>
        <w:t>IL EST EN OUTRE ORDONNÉ QUE</w:t>
      </w:r>
      <w:r w:rsidRPr="000A2923">
        <w:rPr>
          <w:rFonts w:eastAsiaTheme="minorEastAsia" w:cs="Times New Roman"/>
          <w:sz w:val="20"/>
          <w:szCs w:val="20"/>
          <w:lang w:val="fr-CA"/>
        </w:rPr>
        <w:t xml:space="preserve"> ces intervenants auront chacun le droit de présenter une plaidoirie orale d’au plus dix (10) minutes lors de l’audition de l’appel.   </w:t>
      </w:r>
    </w:p>
    <w:p w:rsidR="000A2923" w:rsidRPr="000A2923" w:rsidRDefault="000A2923" w:rsidP="000A2923">
      <w:pPr>
        <w:tabs>
          <w:tab w:val="left" w:pos="-1440"/>
          <w:tab w:val="left" w:pos="-720"/>
        </w:tabs>
        <w:jc w:val="both"/>
        <w:rPr>
          <w:rFonts w:eastAsia="Times New Roman" w:cs="Times New Roman"/>
          <w:sz w:val="20"/>
          <w:szCs w:val="20"/>
          <w:lang w:val="fr-CA" w:eastAsia="en-CA"/>
        </w:rPr>
      </w:pPr>
    </w:p>
    <w:p w:rsidR="000A2923" w:rsidRPr="000A2923" w:rsidRDefault="00BF341F" w:rsidP="000A292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0" style="width:2in;height:1pt" o:hrpct="0" o:hralign="center" o:hrstd="t" o:hrnoshade="t" o:hr="t" fillcolor="black [3213]" stroked="f"/>
        </w:pict>
      </w:r>
    </w:p>
    <w:p w:rsidR="000A2923" w:rsidRPr="000A2923" w:rsidRDefault="000A2923" w:rsidP="000A2923">
      <w:pPr>
        <w:tabs>
          <w:tab w:val="left" w:pos="-1440"/>
          <w:tab w:val="left" w:pos="-720"/>
        </w:tabs>
        <w:jc w:val="both"/>
        <w:rPr>
          <w:rFonts w:eastAsia="Times New Roman" w:cs="Times New Roman"/>
          <w:sz w:val="20"/>
          <w:szCs w:val="20"/>
          <w:lang w:eastAsia="en-CA"/>
        </w:rPr>
      </w:pPr>
    </w:p>
    <w:p w:rsidR="000A2923" w:rsidRPr="000A2923" w:rsidRDefault="000A2923" w:rsidP="000A2923">
      <w:pPr>
        <w:tabs>
          <w:tab w:val="left" w:pos="-1440"/>
          <w:tab w:val="left" w:pos="-720"/>
        </w:tabs>
        <w:jc w:val="both"/>
        <w:rPr>
          <w:rFonts w:eastAsia="Times New Roman" w:cs="Times New Roman"/>
          <w:sz w:val="20"/>
          <w:szCs w:val="20"/>
          <w:lang w:val="fr-CA" w:eastAsia="en-CA"/>
        </w:rPr>
      </w:pPr>
      <w:r w:rsidRPr="000A2923">
        <w:rPr>
          <w:rFonts w:eastAsia="Times New Roman" w:cs="Times New Roman"/>
          <w:sz w:val="20"/>
          <w:szCs w:val="20"/>
          <w:lang w:val="fr-CA" w:eastAsia="en-CA"/>
        </w:rPr>
        <w:t>05.03.2015</w:t>
      </w:r>
    </w:p>
    <w:p w:rsidR="000A2923" w:rsidRPr="000A2923" w:rsidRDefault="000A2923" w:rsidP="000A2923">
      <w:pPr>
        <w:tabs>
          <w:tab w:val="left" w:pos="-1440"/>
          <w:tab w:val="left" w:pos="-720"/>
        </w:tabs>
        <w:jc w:val="both"/>
        <w:rPr>
          <w:rFonts w:eastAsia="Times New Roman" w:cs="Times New Roman"/>
          <w:sz w:val="20"/>
          <w:szCs w:val="20"/>
          <w:lang w:val="fr-CA" w:eastAsia="en-CA"/>
        </w:rPr>
      </w:pPr>
    </w:p>
    <w:p w:rsidR="000A2923" w:rsidRPr="000A2923" w:rsidRDefault="000A2923" w:rsidP="000A2923">
      <w:pPr>
        <w:tabs>
          <w:tab w:val="left" w:pos="-1440"/>
          <w:tab w:val="left" w:pos="-720"/>
        </w:tabs>
        <w:jc w:val="both"/>
        <w:rPr>
          <w:rFonts w:eastAsia="Times New Roman" w:cs="Times New Roman"/>
          <w:sz w:val="20"/>
          <w:szCs w:val="20"/>
          <w:lang w:val="fr-CA" w:eastAsia="en-CA"/>
        </w:rPr>
      </w:pPr>
      <w:r w:rsidRPr="000A2923">
        <w:rPr>
          <w:rFonts w:eastAsia="Times New Roman" w:cs="Times New Roman"/>
          <w:sz w:val="20"/>
          <w:szCs w:val="20"/>
          <w:lang w:val="fr-CA" w:eastAsia="en-CA"/>
        </w:rPr>
        <w:t>Before / Devant :   THE CHIEF JUSTICE / LA JUGE EN CHEF</w:t>
      </w:r>
    </w:p>
    <w:p w:rsidR="000A2923" w:rsidRPr="000A2923" w:rsidRDefault="000A2923" w:rsidP="000A2923">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A2923" w:rsidRPr="000A2923" w:rsidTr="00BF5229">
        <w:trPr>
          <w:trHeight w:val="151"/>
        </w:trPr>
        <w:tc>
          <w:tcPr>
            <w:tcW w:w="4338" w:type="dxa"/>
          </w:tcPr>
          <w:p w:rsidR="000A2923" w:rsidRPr="000A2923" w:rsidRDefault="00A62C48" w:rsidP="000A2923">
            <w:pPr>
              <w:tabs>
                <w:tab w:val="left" w:pos="-1440"/>
                <w:tab w:val="left" w:pos="-720"/>
              </w:tabs>
              <w:jc w:val="both"/>
              <w:rPr>
                <w:lang w:val="fr-CA"/>
              </w:rPr>
            </w:pPr>
            <w:r w:rsidRPr="000A2923">
              <w:rPr>
                <w:lang w:val="en-US"/>
              </w:rPr>
              <w:fldChar w:fldCharType="begin"/>
            </w:r>
            <w:r w:rsidR="000A2923" w:rsidRPr="000A2923">
              <w:rPr>
                <w:lang w:val="fr-CA"/>
              </w:rPr>
              <w:instrText xml:space="preserve"> SEQ CHAPTER \h \r 1</w:instrText>
            </w:r>
            <w:r w:rsidRPr="000A2923">
              <w:rPr>
                <w:lang w:val="en-US"/>
              </w:rPr>
              <w:fldChar w:fldCharType="end"/>
            </w:r>
            <w:r w:rsidR="000A2923" w:rsidRPr="000A2923">
              <w:rPr>
                <w:b/>
                <w:bCs/>
                <w:lang w:val="fr-CA"/>
              </w:rPr>
              <w:t>Miscellaneous motions</w:t>
            </w:r>
          </w:p>
          <w:p w:rsidR="000A2923" w:rsidRPr="000A2923" w:rsidRDefault="00A62C48" w:rsidP="000A2923">
            <w:pPr>
              <w:tabs>
                <w:tab w:val="left" w:pos="-1440"/>
                <w:tab w:val="left" w:pos="-720"/>
              </w:tabs>
              <w:jc w:val="both"/>
              <w:rPr>
                <w:lang w:val="fr-CA"/>
              </w:rPr>
            </w:pPr>
            <w:r w:rsidRPr="000A2923">
              <w:rPr>
                <w:lang w:val="en-US"/>
              </w:rPr>
              <w:fldChar w:fldCharType="begin"/>
            </w:r>
            <w:r w:rsidR="000A2923" w:rsidRPr="000A2923">
              <w:rPr>
                <w:lang w:val="fr-CA"/>
              </w:rPr>
              <w:instrText xml:space="preserve"> SEQ CHAPTER \h \r 1</w:instrText>
            </w:r>
            <w:r w:rsidRPr="000A2923">
              <w:rPr>
                <w:lang w:val="en-US"/>
              </w:rPr>
              <w:fldChar w:fldCharType="end"/>
            </w:r>
          </w:p>
        </w:tc>
        <w:tc>
          <w:tcPr>
            <w:tcW w:w="1170" w:type="dxa"/>
          </w:tcPr>
          <w:p w:rsidR="000A2923" w:rsidRPr="000A2923" w:rsidRDefault="000A2923" w:rsidP="000A2923">
            <w:pPr>
              <w:jc w:val="both"/>
              <w:rPr>
                <w:lang w:val="fr-CA"/>
              </w:rPr>
            </w:pPr>
          </w:p>
          <w:p w:rsidR="000A2923" w:rsidRPr="000A2923" w:rsidRDefault="000A2923" w:rsidP="000A2923">
            <w:pPr>
              <w:jc w:val="both"/>
              <w:rPr>
                <w:lang w:val="fr-CA"/>
              </w:rPr>
            </w:pPr>
          </w:p>
        </w:tc>
        <w:tc>
          <w:tcPr>
            <w:tcW w:w="4327" w:type="dxa"/>
          </w:tcPr>
          <w:p w:rsidR="000A2923" w:rsidRPr="000A2923" w:rsidRDefault="00A62C48" w:rsidP="000A2923">
            <w:pPr>
              <w:jc w:val="both"/>
              <w:rPr>
                <w:b/>
                <w:lang w:val="fr-CA"/>
              </w:rPr>
            </w:pPr>
            <w:r w:rsidRPr="000A2923">
              <w:rPr>
                <w:lang w:val="en-US"/>
              </w:rPr>
              <w:fldChar w:fldCharType="begin"/>
            </w:r>
            <w:r w:rsidR="000A2923" w:rsidRPr="000A2923">
              <w:rPr>
                <w:lang w:val="fr-CA"/>
              </w:rPr>
              <w:instrText xml:space="preserve"> SEQ CHAPTER \h \r 1</w:instrText>
            </w:r>
            <w:r w:rsidRPr="000A2923">
              <w:rPr>
                <w:lang w:val="en-US"/>
              </w:rPr>
              <w:fldChar w:fldCharType="end"/>
            </w:r>
            <w:r w:rsidR="000A2923" w:rsidRPr="000A2923">
              <w:rPr>
                <w:b/>
                <w:bCs/>
                <w:lang w:val="fr-CA"/>
              </w:rPr>
              <w:t>Requêtes diverses</w:t>
            </w:r>
          </w:p>
          <w:p w:rsidR="000A2923" w:rsidRPr="000A2923" w:rsidRDefault="00A62C48" w:rsidP="000A2923">
            <w:pPr>
              <w:jc w:val="both"/>
              <w:rPr>
                <w:b/>
                <w:lang w:val="fr-CA"/>
              </w:rPr>
            </w:pPr>
            <w:r w:rsidRPr="000A2923">
              <w:rPr>
                <w:b/>
                <w:lang w:val="en-US"/>
              </w:rPr>
              <w:fldChar w:fldCharType="begin"/>
            </w:r>
            <w:r w:rsidR="000A2923" w:rsidRPr="000A2923">
              <w:rPr>
                <w:b/>
                <w:lang w:val="fr-CA"/>
              </w:rPr>
              <w:instrText xml:space="preserve"> SEQ CHAPTER \h \r 1</w:instrText>
            </w:r>
            <w:r w:rsidRPr="000A2923">
              <w:rPr>
                <w:b/>
                <w:lang w:val="en-US"/>
              </w:rPr>
              <w:fldChar w:fldCharType="end"/>
            </w:r>
            <w:r w:rsidRPr="000A2923">
              <w:rPr>
                <w:b/>
                <w:lang w:val="en-US"/>
              </w:rPr>
              <w:fldChar w:fldCharType="begin"/>
            </w:r>
            <w:r w:rsidR="000A2923" w:rsidRPr="000A2923">
              <w:rPr>
                <w:b/>
                <w:lang w:val="fr-CA"/>
              </w:rPr>
              <w:instrText xml:space="preserve"> SEQ CHAPTER \h \r 1</w:instrText>
            </w:r>
            <w:r w:rsidRPr="000A2923">
              <w:rPr>
                <w:b/>
                <w:lang w:val="en-US"/>
              </w:rPr>
              <w:fldChar w:fldCharType="end"/>
            </w:r>
          </w:p>
        </w:tc>
      </w:tr>
      <w:tr w:rsidR="000A2923" w:rsidRPr="000A2923" w:rsidTr="00BF5229">
        <w:trPr>
          <w:trHeight w:val="150"/>
        </w:trPr>
        <w:tc>
          <w:tcPr>
            <w:tcW w:w="4338" w:type="dxa"/>
          </w:tcPr>
          <w:p w:rsidR="000A2923" w:rsidRPr="000A2923" w:rsidRDefault="000A2923" w:rsidP="000A2923">
            <w:pPr>
              <w:tabs>
                <w:tab w:val="left" w:pos="-1440"/>
                <w:tab w:val="left" w:pos="-720"/>
              </w:tabs>
              <w:jc w:val="both"/>
            </w:pPr>
            <w:r w:rsidRPr="000A2923">
              <w:t>Attorney General for Saskatchewan</w:t>
            </w:r>
          </w:p>
          <w:p w:rsidR="000A2923" w:rsidRPr="000A2923" w:rsidRDefault="000A2923" w:rsidP="000A2923">
            <w:pPr>
              <w:tabs>
                <w:tab w:val="left" w:pos="-1440"/>
                <w:tab w:val="left" w:pos="-720"/>
              </w:tabs>
              <w:jc w:val="both"/>
            </w:pPr>
          </w:p>
          <w:p w:rsidR="000A2923" w:rsidRPr="000A2923" w:rsidRDefault="000A2923" w:rsidP="000A2923">
            <w:pPr>
              <w:tabs>
                <w:tab w:val="left" w:pos="-1440"/>
                <w:tab w:val="left" w:pos="-720"/>
              </w:tabs>
              <w:jc w:val="both"/>
            </w:pPr>
            <w:r w:rsidRPr="000A2923">
              <w:tab/>
              <w:t>v. (35923)</w:t>
            </w:r>
          </w:p>
          <w:p w:rsidR="000A2923" w:rsidRPr="000A2923" w:rsidRDefault="000A2923" w:rsidP="000A2923">
            <w:pPr>
              <w:tabs>
                <w:tab w:val="left" w:pos="-1440"/>
                <w:tab w:val="left" w:pos="-720"/>
              </w:tabs>
              <w:jc w:val="both"/>
            </w:pPr>
          </w:p>
          <w:p w:rsidR="000A2923" w:rsidRPr="000A2923" w:rsidRDefault="000A2923" w:rsidP="000A2923">
            <w:pPr>
              <w:tabs>
                <w:tab w:val="left" w:pos="-1440"/>
                <w:tab w:val="left" w:pos="-720"/>
              </w:tabs>
              <w:jc w:val="both"/>
            </w:pPr>
            <w:r w:rsidRPr="000A2923">
              <w:t>Lemare Lake Logging Ltd. (Sask.)</w:t>
            </w:r>
          </w:p>
        </w:tc>
        <w:tc>
          <w:tcPr>
            <w:tcW w:w="1170" w:type="dxa"/>
          </w:tcPr>
          <w:p w:rsidR="000A2923" w:rsidRPr="000A2923" w:rsidRDefault="000A2923" w:rsidP="000A2923">
            <w:pPr>
              <w:jc w:val="both"/>
            </w:pPr>
          </w:p>
        </w:tc>
        <w:tc>
          <w:tcPr>
            <w:tcW w:w="4327" w:type="dxa"/>
          </w:tcPr>
          <w:p w:rsidR="000A2923" w:rsidRPr="000A2923" w:rsidRDefault="000A2923" w:rsidP="000A2923">
            <w:pPr>
              <w:jc w:val="both"/>
            </w:pPr>
          </w:p>
        </w:tc>
      </w:tr>
    </w:tbl>
    <w:p w:rsidR="000A2923" w:rsidRPr="000A2923" w:rsidRDefault="000A2923" w:rsidP="000A2923">
      <w:pPr>
        <w:tabs>
          <w:tab w:val="left" w:pos="-1440"/>
          <w:tab w:val="left" w:pos="-720"/>
        </w:tabs>
        <w:jc w:val="both"/>
        <w:rPr>
          <w:rFonts w:eastAsia="Times New Roman" w:cs="Times New Roman"/>
          <w:sz w:val="20"/>
          <w:szCs w:val="20"/>
          <w:lang w:eastAsia="en-CA"/>
        </w:rPr>
      </w:pPr>
    </w:p>
    <w:p w:rsidR="000A2923" w:rsidRPr="000A2923" w:rsidRDefault="000A2923" w:rsidP="000A2923">
      <w:pPr>
        <w:tabs>
          <w:tab w:val="left" w:pos="-1440"/>
          <w:tab w:val="left" w:pos="-720"/>
        </w:tabs>
        <w:jc w:val="both"/>
        <w:rPr>
          <w:rFonts w:eastAsia="Times New Roman" w:cs="Times New Roman"/>
          <w:b/>
          <w:sz w:val="20"/>
          <w:szCs w:val="20"/>
          <w:lang w:eastAsia="en-CA"/>
        </w:rPr>
      </w:pPr>
      <w:r w:rsidRPr="000A2923">
        <w:rPr>
          <w:rFonts w:eastAsia="Times New Roman" w:cs="Times New Roman"/>
          <w:b/>
          <w:sz w:val="20"/>
          <w:szCs w:val="20"/>
          <w:lang w:eastAsia="en-CA"/>
        </w:rPr>
        <w:t>GRANTED / ACCORDÉE</w:t>
      </w:r>
      <w:r w:rsidR="00C3091A">
        <w:rPr>
          <w:rFonts w:eastAsia="Times New Roman" w:cs="Times New Roman"/>
          <w:b/>
          <w:sz w:val="20"/>
          <w:szCs w:val="20"/>
          <w:lang w:eastAsia="en-CA"/>
        </w:rPr>
        <w:t>S</w:t>
      </w:r>
    </w:p>
    <w:p w:rsidR="000A2923" w:rsidRPr="000A2923" w:rsidRDefault="000A2923" w:rsidP="000A2923">
      <w:pPr>
        <w:tabs>
          <w:tab w:val="left" w:pos="-1440"/>
          <w:tab w:val="left" w:pos="-720"/>
        </w:tabs>
        <w:jc w:val="both"/>
        <w:rPr>
          <w:rFonts w:eastAsia="Times New Roman" w:cs="Times New Roman"/>
          <w:sz w:val="20"/>
          <w:szCs w:val="20"/>
          <w:lang w:eastAsia="en-CA"/>
        </w:rPr>
      </w:pPr>
    </w:p>
    <w:p w:rsidR="00620EAE" w:rsidRPr="002313B6" w:rsidRDefault="00620EAE" w:rsidP="00620EAE">
      <w:pPr>
        <w:pStyle w:val="BodyText"/>
        <w:spacing w:after="0"/>
        <w:jc w:val="both"/>
        <w:rPr>
          <w:sz w:val="20"/>
          <w:szCs w:val="20"/>
          <w:lang w:val="en-US"/>
        </w:rPr>
      </w:pPr>
      <w:r w:rsidRPr="002313B6">
        <w:rPr>
          <w:b/>
          <w:sz w:val="20"/>
          <w:szCs w:val="20"/>
          <w:lang w:val="en-US"/>
        </w:rPr>
        <w:t>UPON APPLICATION</w:t>
      </w:r>
      <w:r w:rsidRPr="002313B6">
        <w:rPr>
          <w:sz w:val="20"/>
          <w:szCs w:val="20"/>
          <w:lang w:val="en-US"/>
        </w:rPr>
        <w:t xml:space="preserve"> by counsel for the appellant for an order extending the time within which to serve and file their record, factum and book of authorities to March 13, 2015, and for an adjournment of the hearing tentatively set for April 22, 2015, to any day during the week of May 18, 2015;</w:t>
      </w:r>
    </w:p>
    <w:p w:rsidR="00620EAE" w:rsidRPr="002313B6" w:rsidRDefault="00620EAE" w:rsidP="00620EAE">
      <w:pPr>
        <w:pStyle w:val="BodyText"/>
        <w:spacing w:after="0"/>
        <w:jc w:val="both"/>
        <w:rPr>
          <w:sz w:val="20"/>
          <w:szCs w:val="20"/>
          <w:lang w:val="en-US"/>
        </w:rPr>
      </w:pPr>
    </w:p>
    <w:p w:rsidR="00620EAE" w:rsidRPr="002313B6" w:rsidRDefault="00620EAE" w:rsidP="00620EAE">
      <w:pPr>
        <w:pStyle w:val="BodyText"/>
        <w:spacing w:after="0"/>
        <w:jc w:val="both"/>
        <w:rPr>
          <w:sz w:val="20"/>
          <w:szCs w:val="20"/>
          <w:lang w:val="en-US"/>
        </w:rPr>
      </w:pPr>
      <w:r w:rsidRPr="002313B6">
        <w:rPr>
          <w:b/>
          <w:sz w:val="20"/>
          <w:szCs w:val="20"/>
          <w:lang w:val="en-US"/>
        </w:rPr>
        <w:t>AND UPON APPLICATION</w:t>
      </w:r>
      <w:r w:rsidRPr="002313B6">
        <w:rPr>
          <w:sz w:val="20"/>
          <w:szCs w:val="20"/>
          <w:lang w:val="en-US"/>
        </w:rPr>
        <w:t xml:space="preserve"> by counsel for the respondent for leave to withdraw as counsel for the respondent; </w:t>
      </w:r>
    </w:p>
    <w:p w:rsidR="00620EAE" w:rsidRPr="002313B6" w:rsidRDefault="00620EAE" w:rsidP="00620EAE">
      <w:pPr>
        <w:pStyle w:val="BodyText"/>
        <w:spacing w:after="0"/>
        <w:jc w:val="both"/>
        <w:rPr>
          <w:sz w:val="20"/>
          <w:szCs w:val="20"/>
          <w:lang w:val="en-US"/>
        </w:rPr>
      </w:pPr>
    </w:p>
    <w:p w:rsidR="00620EAE" w:rsidRPr="002313B6" w:rsidRDefault="00620EAE" w:rsidP="00620EAE">
      <w:pPr>
        <w:pStyle w:val="BodyText"/>
        <w:spacing w:after="0"/>
        <w:jc w:val="both"/>
        <w:rPr>
          <w:sz w:val="20"/>
          <w:szCs w:val="20"/>
          <w:lang w:val="en-US"/>
        </w:rPr>
      </w:pPr>
      <w:r w:rsidRPr="002313B6">
        <w:rPr>
          <w:b/>
          <w:sz w:val="20"/>
          <w:szCs w:val="20"/>
          <w:lang w:val="en-US"/>
        </w:rPr>
        <w:t>AND NOTING THAT</w:t>
      </w:r>
      <w:r w:rsidRPr="002313B6">
        <w:rPr>
          <w:sz w:val="20"/>
          <w:szCs w:val="20"/>
          <w:lang w:val="en-US"/>
        </w:rPr>
        <w:t xml:space="preserve"> the appellant will pay the reasonable fees and disbursements of an </w:t>
      </w:r>
      <w:r w:rsidRPr="002313B6">
        <w:rPr>
          <w:i/>
          <w:sz w:val="20"/>
          <w:szCs w:val="20"/>
          <w:lang w:val="en-US"/>
        </w:rPr>
        <w:t>amicus curiae</w:t>
      </w:r>
      <w:r w:rsidRPr="002313B6">
        <w:rPr>
          <w:sz w:val="20"/>
          <w:szCs w:val="20"/>
          <w:lang w:val="en-US"/>
        </w:rPr>
        <w:t xml:space="preserve"> in this appeal; </w:t>
      </w:r>
    </w:p>
    <w:p w:rsidR="00620EAE" w:rsidRPr="002313B6" w:rsidRDefault="00620EAE" w:rsidP="00620EAE">
      <w:pPr>
        <w:pStyle w:val="BodyText"/>
        <w:spacing w:after="0"/>
        <w:jc w:val="both"/>
        <w:rPr>
          <w:sz w:val="20"/>
          <w:szCs w:val="20"/>
          <w:lang w:val="en-US"/>
        </w:rPr>
      </w:pPr>
    </w:p>
    <w:p w:rsidR="00620EAE" w:rsidRPr="002313B6" w:rsidRDefault="00620EAE" w:rsidP="00620EAE">
      <w:pPr>
        <w:pStyle w:val="BodyText"/>
        <w:spacing w:after="0"/>
        <w:jc w:val="both"/>
        <w:rPr>
          <w:b/>
          <w:sz w:val="20"/>
          <w:szCs w:val="20"/>
          <w:lang w:val="en-US"/>
        </w:rPr>
      </w:pPr>
      <w:r w:rsidRPr="002313B6">
        <w:rPr>
          <w:b/>
          <w:sz w:val="20"/>
          <w:szCs w:val="20"/>
          <w:lang w:val="en-US"/>
        </w:rPr>
        <w:t xml:space="preserve">AND THE MATERIAL FILED </w:t>
      </w:r>
      <w:r w:rsidRPr="002313B6">
        <w:rPr>
          <w:sz w:val="20"/>
          <w:szCs w:val="20"/>
          <w:lang w:val="en-US"/>
        </w:rPr>
        <w:t>having been read;</w:t>
      </w:r>
    </w:p>
    <w:p w:rsidR="00620EAE" w:rsidRPr="002313B6" w:rsidRDefault="00620EAE" w:rsidP="00620EAE">
      <w:pPr>
        <w:pStyle w:val="BodyText"/>
        <w:spacing w:after="0"/>
        <w:jc w:val="both"/>
        <w:rPr>
          <w:b/>
          <w:sz w:val="20"/>
          <w:szCs w:val="20"/>
          <w:lang w:val="en-US"/>
        </w:rPr>
      </w:pPr>
    </w:p>
    <w:p w:rsidR="00620EAE" w:rsidRPr="002313B6" w:rsidRDefault="00620EAE" w:rsidP="00620EAE">
      <w:pPr>
        <w:pStyle w:val="BodyText"/>
        <w:spacing w:after="0"/>
        <w:jc w:val="both"/>
        <w:rPr>
          <w:b/>
          <w:sz w:val="20"/>
          <w:szCs w:val="20"/>
          <w:lang w:val="en-US"/>
        </w:rPr>
      </w:pPr>
      <w:r w:rsidRPr="002313B6">
        <w:rPr>
          <w:b/>
          <w:sz w:val="20"/>
          <w:szCs w:val="20"/>
          <w:lang w:val="en-US"/>
        </w:rPr>
        <w:t>IT IS HEREBY ORDERED THAT:</w:t>
      </w:r>
    </w:p>
    <w:p w:rsidR="00620EAE" w:rsidRPr="002313B6" w:rsidRDefault="00620EAE" w:rsidP="00620EAE">
      <w:pPr>
        <w:pStyle w:val="BodyText"/>
        <w:spacing w:after="0"/>
        <w:jc w:val="both"/>
        <w:rPr>
          <w:b/>
          <w:sz w:val="20"/>
          <w:szCs w:val="20"/>
          <w:lang w:val="en-US"/>
        </w:rPr>
      </w:pPr>
    </w:p>
    <w:p w:rsidR="00620EAE" w:rsidRPr="002313B6" w:rsidRDefault="00620EAE" w:rsidP="00620EAE">
      <w:pPr>
        <w:pStyle w:val="BodyText"/>
        <w:spacing w:after="0"/>
        <w:jc w:val="both"/>
        <w:rPr>
          <w:sz w:val="20"/>
          <w:szCs w:val="20"/>
          <w:lang w:val="en-US"/>
        </w:rPr>
      </w:pPr>
      <w:r w:rsidRPr="002313B6">
        <w:rPr>
          <w:sz w:val="20"/>
          <w:szCs w:val="20"/>
          <w:lang w:val="en-US"/>
        </w:rPr>
        <w:t xml:space="preserve">The motion by counsel for the respondent for leave to withdraw as counsel for the respondent is granted.  Mr. Jeffrey M. Lee, Q.C. is appointed as </w:t>
      </w:r>
      <w:r w:rsidRPr="002313B6">
        <w:rPr>
          <w:i/>
          <w:sz w:val="20"/>
          <w:szCs w:val="20"/>
          <w:lang w:val="en-US"/>
        </w:rPr>
        <w:t>amicus curiae</w:t>
      </w:r>
      <w:r w:rsidRPr="002313B6">
        <w:rPr>
          <w:sz w:val="20"/>
          <w:szCs w:val="20"/>
          <w:lang w:val="en-US"/>
        </w:rPr>
        <w:t xml:space="preserve"> to assist the Court by filing a factum of no more than 40 pages and a book of authorities, and by presenting oral argument not exceeding 60 minutes at the hearing of the appeal. Mr. Lee is permitted to be assisted by a junior counsel.</w:t>
      </w:r>
    </w:p>
    <w:p w:rsidR="00620EAE" w:rsidRPr="002313B6" w:rsidRDefault="00620EAE" w:rsidP="00620EAE">
      <w:pPr>
        <w:pStyle w:val="BodyText"/>
        <w:spacing w:after="0"/>
        <w:jc w:val="both"/>
        <w:rPr>
          <w:sz w:val="20"/>
          <w:szCs w:val="20"/>
          <w:lang w:val="en-US"/>
        </w:rPr>
      </w:pPr>
    </w:p>
    <w:p w:rsidR="00620EAE" w:rsidRPr="002313B6" w:rsidRDefault="00620EAE" w:rsidP="00620EAE">
      <w:pPr>
        <w:pStyle w:val="BodyText"/>
        <w:spacing w:after="0"/>
        <w:jc w:val="both"/>
        <w:rPr>
          <w:sz w:val="20"/>
          <w:szCs w:val="20"/>
          <w:lang w:val="en-US"/>
        </w:rPr>
      </w:pPr>
      <w:r w:rsidRPr="002313B6">
        <w:rPr>
          <w:sz w:val="20"/>
          <w:szCs w:val="20"/>
          <w:lang w:val="en-US"/>
        </w:rPr>
        <w:t>The reasonable fees and disbursements of Mr. Lee, and any junior counsel, shall be paid by the Attorney General for Saskatchewan.</w:t>
      </w:r>
    </w:p>
    <w:p w:rsidR="00620EAE" w:rsidRPr="002313B6" w:rsidRDefault="00620EAE" w:rsidP="00620EAE">
      <w:pPr>
        <w:pStyle w:val="BodyText"/>
        <w:spacing w:after="0"/>
        <w:jc w:val="both"/>
        <w:rPr>
          <w:b/>
          <w:sz w:val="20"/>
          <w:szCs w:val="20"/>
          <w:lang w:val="en-US"/>
        </w:rPr>
      </w:pPr>
    </w:p>
    <w:p w:rsidR="00620EAE" w:rsidRPr="002313B6" w:rsidRDefault="00620EAE" w:rsidP="00620EAE">
      <w:pPr>
        <w:pStyle w:val="BodyText"/>
        <w:spacing w:after="0"/>
        <w:jc w:val="both"/>
        <w:rPr>
          <w:sz w:val="20"/>
          <w:szCs w:val="20"/>
          <w:lang w:val="en-US"/>
        </w:rPr>
      </w:pPr>
      <w:r w:rsidRPr="002313B6">
        <w:rPr>
          <w:sz w:val="20"/>
          <w:szCs w:val="20"/>
          <w:lang w:val="en-US"/>
        </w:rPr>
        <w:t>The motion for an extension of time by the appellant is granted.</w:t>
      </w:r>
    </w:p>
    <w:p w:rsidR="00620EAE" w:rsidRPr="002313B6" w:rsidRDefault="00620EAE" w:rsidP="00620EAE">
      <w:pPr>
        <w:pStyle w:val="BodyText"/>
        <w:spacing w:after="0"/>
        <w:jc w:val="both"/>
        <w:rPr>
          <w:sz w:val="20"/>
          <w:szCs w:val="20"/>
          <w:lang w:val="en-US"/>
        </w:rPr>
      </w:pPr>
    </w:p>
    <w:p w:rsidR="00620EAE" w:rsidRPr="002313B6" w:rsidRDefault="00620EAE" w:rsidP="00620EAE">
      <w:pPr>
        <w:pStyle w:val="BodyText"/>
        <w:spacing w:after="0"/>
        <w:jc w:val="both"/>
        <w:rPr>
          <w:sz w:val="20"/>
          <w:szCs w:val="20"/>
          <w:lang w:val="en-US"/>
        </w:rPr>
      </w:pPr>
      <w:r w:rsidRPr="002313B6">
        <w:rPr>
          <w:sz w:val="20"/>
          <w:szCs w:val="20"/>
          <w:lang w:val="en-US"/>
        </w:rPr>
        <w:t>The materials in this appeal shall be served and filed in accordance with the following schedule:</w:t>
      </w:r>
    </w:p>
    <w:p w:rsidR="00620EAE" w:rsidRPr="002313B6" w:rsidRDefault="00620EAE" w:rsidP="00620EAE">
      <w:pPr>
        <w:pStyle w:val="BodyText"/>
        <w:spacing w:after="0"/>
        <w:jc w:val="both"/>
        <w:rPr>
          <w:sz w:val="20"/>
          <w:szCs w:val="20"/>
          <w:lang w:val="en-US"/>
        </w:rPr>
      </w:pPr>
    </w:p>
    <w:p w:rsidR="00620EAE" w:rsidRPr="002313B6" w:rsidRDefault="00620EAE" w:rsidP="00620EAE">
      <w:pPr>
        <w:pStyle w:val="ListParagraph"/>
        <w:widowControl w:val="0"/>
        <w:numPr>
          <w:ilvl w:val="0"/>
          <w:numId w:val="8"/>
        </w:numPr>
        <w:autoSpaceDE w:val="0"/>
        <w:autoSpaceDN w:val="0"/>
        <w:adjustRightInd w:val="0"/>
        <w:jc w:val="both"/>
        <w:rPr>
          <w:rFonts w:cs="Times New Roman"/>
          <w:sz w:val="20"/>
          <w:szCs w:val="20"/>
        </w:rPr>
      </w:pPr>
      <w:r w:rsidRPr="002313B6">
        <w:rPr>
          <w:rFonts w:cs="Times New Roman"/>
          <w:sz w:val="20"/>
          <w:szCs w:val="20"/>
        </w:rPr>
        <w:t>The appellant’s record, factum and book of authorities shall be served and filed on or before March 13, 2015.</w:t>
      </w:r>
    </w:p>
    <w:p w:rsidR="00620EAE" w:rsidRPr="002313B6" w:rsidRDefault="00620EAE" w:rsidP="00620EAE">
      <w:pPr>
        <w:ind w:left="1440" w:hanging="1440"/>
        <w:rPr>
          <w:rFonts w:cs="Times New Roman"/>
          <w:sz w:val="20"/>
          <w:szCs w:val="20"/>
        </w:rPr>
      </w:pPr>
    </w:p>
    <w:p w:rsidR="00620EAE" w:rsidRPr="002313B6" w:rsidRDefault="00620EAE" w:rsidP="00620EAE">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2313B6">
        <w:rPr>
          <w:rFonts w:cs="Times New Roman"/>
          <w:sz w:val="20"/>
          <w:szCs w:val="20"/>
        </w:rPr>
        <w:t xml:space="preserve">Any person wishing to intervene in this appeal under Rule 55 of the </w:t>
      </w:r>
      <w:r w:rsidRPr="002313B6">
        <w:rPr>
          <w:rFonts w:cs="Times New Roman"/>
          <w:i/>
          <w:sz w:val="20"/>
          <w:szCs w:val="20"/>
        </w:rPr>
        <w:t>Rules of the Supreme Court of Canada</w:t>
      </w:r>
      <w:r w:rsidRPr="002313B6">
        <w:rPr>
          <w:rFonts w:cs="Times New Roman"/>
          <w:sz w:val="20"/>
          <w:szCs w:val="20"/>
        </w:rPr>
        <w:t xml:space="preserve"> shall serve and file a motion for leave to intervene on or before April 7, 2015. </w:t>
      </w:r>
    </w:p>
    <w:p w:rsidR="00620EAE" w:rsidRPr="002313B6" w:rsidRDefault="00620EAE" w:rsidP="00620EAE">
      <w:pPr>
        <w:pStyle w:val="ListParagraph"/>
        <w:rPr>
          <w:rFonts w:cs="Times New Roman"/>
          <w:sz w:val="20"/>
          <w:szCs w:val="20"/>
        </w:rPr>
      </w:pPr>
    </w:p>
    <w:p w:rsidR="00620EAE" w:rsidRPr="002313B6" w:rsidRDefault="00620EAE" w:rsidP="00620EAE">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2313B6">
        <w:rPr>
          <w:rFonts w:cs="Times New Roman"/>
          <w:sz w:val="20"/>
          <w:szCs w:val="20"/>
        </w:rPr>
        <w:t xml:space="preserve">The appellant and respondent shall serve and file their responses, if any, to the motions for leave to intervene on or before April 13, 2015. </w:t>
      </w:r>
    </w:p>
    <w:p w:rsidR="00620EAE" w:rsidRDefault="00620EAE">
      <w:pPr>
        <w:rPr>
          <w:rFonts w:cs="Times New Roman"/>
          <w:sz w:val="20"/>
          <w:szCs w:val="20"/>
        </w:rPr>
      </w:pPr>
      <w:r>
        <w:rPr>
          <w:rFonts w:cs="Times New Roman"/>
          <w:sz w:val="20"/>
          <w:szCs w:val="20"/>
        </w:rPr>
        <w:br w:type="page"/>
      </w:r>
    </w:p>
    <w:p w:rsidR="00620EAE" w:rsidRPr="002313B6" w:rsidRDefault="00620EAE" w:rsidP="00620EAE">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2313B6">
        <w:rPr>
          <w:rFonts w:cs="Times New Roman"/>
          <w:sz w:val="20"/>
          <w:szCs w:val="20"/>
        </w:rPr>
        <w:lastRenderedPageBreak/>
        <w:t>Replies to any responses to the motions for leave to intervene shall be served and filed on or before April 15, 2015.</w:t>
      </w:r>
    </w:p>
    <w:p w:rsidR="00620EAE" w:rsidRPr="002313B6" w:rsidRDefault="00620EAE" w:rsidP="00620EAE">
      <w:pPr>
        <w:rPr>
          <w:rFonts w:cs="Times New Roman"/>
          <w:sz w:val="20"/>
          <w:szCs w:val="20"/>
        </w:rPr>
      </w:pPr>
    </w:p>
    <w:p w:rsidR="00620EAE" w:rsidRPr="002313B6" w:rsidRDefault="00620EAE" w:rsidP="00620EAE">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2313B6">
        <w:rPr>
          <w:rFonts w:cs="Times New Roman"/>
          <w:sz w:val="20"/>
          <w:szCs w:val="20"/>
        </w:rPr>
        <w:t>The respondent’s record, factum and book of authorities shall be served and filed on or before May 1, 2015.</w:t>
      </w:r>
    </w:p>
    <w:p w:rsidR="00620EAE" w:rsidRPr="002313B6" w:rsidRDefault="00620EAE" w:rsidP="00620EAE">
      <w:pPr>
        <w:rPr>
          <w:rFonts w:cs="Times New Roman"/>
          <w:sz w:val="20"/>
          <w:szCs w:val="20"/>
        </w:rPr>
      </w:pPr>
    </w:p>
    <w:p w:rsidR="00620EAE" w:rsidRPr="002313B6" w:rsidRDefault="00620EAE" w:rsidP="00620EAE">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2313B6">
        <w:rPr>
          <w:rFonts w:cs="Times New Roman"/>
          <w:sz w:val="20"/>
          <w:szCs w:val="20"/>
        </w:rPr>
        <w:t xml:space="preserve">Any attorney general wishing to intervene pursuant to par. 61(4) of the </w:t>
      </w:r>
      <w:r w:rsidRPr="002313B6">
        <w:rPr>
          <w:rFonts w:cs="Times New Roman"/>
          <w:i/>
          <w:sz w:val="20"/>
          <w:szCs w:val="20"/>
        </w:rPr>
        <w:t>Rules of the Supreme Court of Canada</w:t>
      </w:r>
      <w:r w:rsidRPr="002313B6">
        <w:rPr>
          <w:rFonts w:cs="Times New Roman"/>
          <w:sz w:val="20"/>
          <w:szCs w:val="20"/>
        </w:rPr>
        <w:t xml:space="preserve"> shall serve and file their factum and book of authorities on or before May 7, 2015.</w:t>
      </w:r>
    </w:p>
    <w:p w:rsidR="00620EAE" w:rsidRPr="002313B6" w:rsidRDefault="00620EAE" w:rsidP="00620EAE">
      <w:pPr>
        <w:pStyle w:val="ListParagraph"/>
        <w:ind w:left="1065"/>
        <w:rPr>
          <w:rFonts w:cs="Times New Roman"/>
          <w:sz w:val="20"/>
          <w:szCs w:val="20"/>
        </w:rPr>
      </w:pPr>
    </w:p>
    <w:p w:rsidR="00620EAE" w:rsidRPr="002313B6" w:rsidRDefault="00620EAE" w:rsidP="00620EAE">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bCs/>
          <w:sz w:val="20"/>
          <w:szCs w:val="20"/>
        </w:rPr>
      </w:pPr>
      <w:r w:rsidRPr="002313B6">
        <w:rPr>
          <w:rFonts w:cs="Times New Roman"/>
          <w:bCs/>
          <w:sz w:val="20"/>
          <w:szCs w:val="20"/>
        </w:rPr>
        <w:t xml:space="preserve">Any interveners granted leave to intervene under Rule 59 of the </w:t>
      </w:r>
      <w:r w:rsidRPr="002313B6">
        <w:rPr>
          <w:rFonts w:cs="Times New Roman"/>
          <w:bCs/>
          <w:i/>
          <w:sz w:val="20"/>
          <w:szCs w:val="20"/>
        </w:rPr>
        <w:t>Rules of the Supreme Court of Canada</w:t>
      </w:r>
      <w:r w:rsidRPr="002313B6">
        <w:rPr>
          <w:rFonts w:cs="Times New Roman"/>
          <w:bCs/>
          <w:sz w:val="20"/>
          <w:szCs w:val="20"/>
        </w:rPr>
        <w:t xml:space="preserve"> shall serve and file their factums and books of authorities on or before May 7, 2015.</w:t>
      </w:r>
    </w:p>
    <w:p w:rsidR="00620EAE" w:rsidRPr="002313B6" w:rsidRDefault="00620EAE" w:rsidP="00620EAE">
      <w:pPr>
        <w:pStyle w:val="ListParagraph"/>
        <w:rPr>
          <w:rFonts w:cs="Times New Roman"/>
          <w:bCs/>
          <w:sz w:val="20"/>
          <w:szCs w:val="20"/>
        </w:rPr>
      </w:pPr>
    </w:p>
    <w:p w:rsidR="00620EAE" w:rsidRPr="002313B6" w:rsidRDefault="00620EAE" w:rsidP="00620EAE">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bCs/>
          <w:sz w:val="20"/>
          <w:szCs w:val="20"/>
        </w:rPr>
      </w:pPr>
      <w:r w:rsidRPr="002313B6">
        <w:rPr>
          <w:rFonts w:cs="Times New Roman"/>
          <w:bCs/>
          <w:sz w:val="20"/>
          <w:szCs w:val="20"/>
        </w:rPr>
        <w:t xml:space="preserve">A tentative hearing date of May 21, 2015 has been set and shall be confirmed in due course by the Registrar. </w:t>
      </w:r>
    </w:p>
    <w:p w:rsidR="00620EAE" w:rsidRDefault="00620EAE" w:rsidP="00620EAE">
      <w:pPr>
        <w:spacing w:line="233" w:lineRule="auto"/>
      </w:pPr>
    </w:p>
    <w:p w:rsidR="00620EAE" w:rsidRPr="002313B6" w:rsidRDefault="00620EAE" w:rsidP="00620EAE">
      <w:pPr>
        <w:spacing w:line="233" w:lineRule="auto"/>
        <w:rPr>
          <w:rFonts w:cs="Times New Roman"/>
          <w:sz w:val="20"/>
          <w:szCs w:val="20"/>
        </w:rPr>
      </w:pPr>
    </w:p>
    <w:p w:rsidR="00620EAE" w:rsidRPr="00DE4DA8" w:rsidRDefault="00620EAE" w:rsidP="00620EAE">
      <w:pPr>
        <w:pStyle w:val="BodyText"/>
        <w:spacing w:after="0"/>
        <w:jc w:val="both"/>
        <w:rPr>
          <w:sz w:val="20"/>
          <w:szCs w:val="20"/>
          <w:lang w:val="en-US"/>
        </w:rPr>
      </w:pPr>
    </w:p>
    <w:p w:rsidR="00620EAE" w:rsidRPr="002313B6" w:rsidRDefault="00620EAE" w:rsidP="00620EAE">
      <w:pPr>
        <w:pStyle w:val="BodyText"/>
        <w:spacing w:after="0"/>
        <w:jc w:val="both"/>
        <w:rPr>
          <w:sz w:val="20"/>
          <w:szCs w:val="20"/>
          <w:lang w:val="fr-CA"/>
        </w:rPr>
      </w:pPr>
      <w:r w:rsidRPr="002313B6">
        <w:rPr>
          <w:b/>
          <w:sz w:val="20"/>
          <w:szCs w:val="20"/>
          <w:lang w:val="fr-CA"/>
        </w:rPr>
        <w:t xml:space="preserve">À LA SUITE DE LA DEMANDE </w:t>
      </w:r>
      <w:r w:rsidRPr="002313B6">
        <w:rPr>
          <w:sz w:val="20"/>
          <w:szCs w:val="20"/>
          <w:lang w:val="fr-CA"/>
        </w:rPr>
        <w:t>présentée par l’avocat de l’appelant afin d’obtenir une ordonnance prorogeant au 13 mars 2015 la date limite pour signifier et déposer leurs dossier, mémoire et recueil de sources ainsi que le report de l’audience, fixée provisoirement au 22 avril 2015, à n’importe quel jour de la semaine du 18 mai 2015;</w:t>
      </w:r>
    </w:p>
    <w:p w:rsidR="00620EAE" w:rsidRPr="002313B6" w:rsidRDefault="00620EAE" w:rsidP="00620EAE">
      <w:pPr>
        <w:pStyle w:val="BodyText"/>
        <w:spacing w:after="0"/>
        <w:jc w:val="both"/>
        <w:rPr>
          <w:sz w:val="20"/>
          <w:szCs w:val="20"/>
          <w:lang w:val="fr-CA"/>
        </w:rPr>
      </w:pPr>
    </w:p>
    <w:p w:rsidR="00620EAE" w:rsidRPr="002313B6" w:rsidRDefault="00620EAE" w:rsidP="00620EAE">
      <w:pPr>
        <w:pStyle w:val="BodyText"/>
        <w:spacing w:after="0"/>
        <w:jc w:val="both"/>
        <w:rPr>
          <w:sz w:val="20"/>
          <w:szCs w:val="20"/>
          <w:lang w:val="fr-CA"/>
        </w:rPr>
      </w:pPr>
      <w:r w:rsidRPr="002313B6">
        <w:rPr>
          <w:b/>
          <w:sz w:val="20"/>
          <w:szCs w:val="20"/>
          <w:lang w:val="fr-CA"/>
        </w:rPr>
        <w:t xml:space="preserve">ET À LA SUITE DE LA DEMANDE </w:t>
      </w:r>
      <w:r w:rsidRPr="002313B6">
        <w:rPr>
          <w:sz w:val="20"/>
          <w:szCs w:val="20"/>
          <w:lang w:val="fr-CA"/>
        </w:rPr>
        <w:t xml:space="preserve">présentée par l’avocate de l’intimée en vue d’obtenir l’autorisation de cesser d’occuper pour cette dernière; </w:t>
      </w:r>
    </w:p>
    <w:p w:rsidR="00620EAE" w:rsidRPr="002313B6" w:rsidRDefault="00620EAE" w:rsidP="00620EAE">
      <w:pPr>
        <w:pStyle w:val="BodyText"/>
        <w:spacing w:after="0"/>
        <w:jc w:val="both"/>
        <w:rPr>
          <w:sz w:val="20"/>
          <w:szCs w:val="20"/>
          <w:lang w:val="fr-CA"/>
        </w:rPr>
      </w:pPr>
    </w:p>
    <w:p w:rsidR="00620EAE" w:rsidRPr="002313B6" w:rsidRDefault="00620EAE" w:rsidP="00620EAE">
      <w:pPr>
        <w:pStyle w:val="BodyText"/>
        <w:spacing w:after="0"/>
        <w:jc w:val="both"/>
        <w:rPr>
          <w:sz w:val="20"/>
          <w:szCs w:val="20"/>
          <w:lang w:val="fr-CA"/>
        </w:rPr>
      </w:pPr>
      <w:r w:rsidRPr="002313B6">
        <w:rPr>
          <w:b/>
          <w:sz w:val="20"/>
          <w:szCs w:val="20"/>
          <w:lang w:val="fr-CA"/>
        </w:rPr>
        <w:t xml:space="preserve">ET PRENANT NOTE QUE </w:t>
      </w:r>
      <w:r w:rsidRPr="002313B6">
        <w:rPr>
          <w:sz w:val="20"/>
          <w:szCs w:val="20"/>
          <w:lang w:val="fr-CA"/>
        </w:rPr>
        <w:t xml:space="preserve">l’appelant paiera les honoraires et débours raisonnables d’un </w:t>
      </w:r>
      <w:r w:rsidRPr="002313B6">
        <w:rPr>
          <w:i/>
          <w:sz w:val="20"/>
          <w:szCs w:val="20"/>
          <w:lang w:val="fr-CA"/>
        </w:rPr>
        <w:t>amicus curiae</w:t>
      </w:r>
      <w:r w:rsidRPr="002313B6">
        <w:rPr>
          <w:sz w:val="20"/>
          <w:szCs w:val="20"/>
          <w:lang w:val="fr-CA"/>
        </w:rPr>
        <w:t xml:space="preserve"> dans le présent pourvoi; </w:t>
      </w:r>
    </w:p>
    <w:p w:rsidR="00620EAE" w:rsidRPr="002313B6" w:rsidRDefault="00620EAE" w:rsidP="00620EAE">
      <w:pPr>
        <w:pStyle w:val="BodyText"/>
        <w:spacing w:after="0"/>
        <w:jc w:val="both"/>
        <w:rPr>
          <w:sz w:val="20"/>
          <w:szCs w:val="20"/>
          <w:lang w:val="fr-CA"/>
        </w:rPr>
      </w:pPr>
    </w:p>
    <w:p w:rsidR="00620EAE" w:rsidRPr="002313B6" w:rsidRDefault="00620EAE" w:rsidP="00620EAE">
      <w:pPr>
        <w:pStyle w:val="BodyText"/>
        <w:spacing w:after="0"/>
        <w:jc w:val="both"/>
        <w:rPr>
          <w:b/>
          <w:sz w:val="20"/>
          <w:szCs w:val="20"/>
          <w:lang w:val="fr-CA"/>
        </w:rPr>
      </w:pPr>
      <w:r w:rsidRPr="002313B6">
        <w:rPr>
          <w:b/>
          <w:sz w:val="20"/>
          <w:szCs w:val="20"/>
          <w:lang w:val="fr-CA"/>
        </w:rPr>
        <w:t xml:space="preserve">ET APRÈS EXAMEN </w:t>
      </w:r>
      <w:r w:rsidRPr="002313B6">
        <w:rPr>
          <w:sz w:val="20"/>
          <w:szCs w:val="20"/>
          <w:lang w:val="fr-CA"/>
        </w:rPr>
        <w:t>des documents déposés;</w:t>
      </w:r>
    </w:p>
    <w:p w:rsidR="00620EAE" w:rsidRPr="002313B6" w:rsidRDefault="00620EAE" w:rsidP="00620EAE">
      <w:pPr>
        <w:pStyle w:val="BodyText"/>
        <w:spacing w:after="0"/>
        <w:jc w:val="both"/>
        <w:rPr>
          <w:b/>
          <w:sz w:val="20"/>
          <w:szCs w:val="20"/>
          <w:lang w:val="fr-CA"/>
        </w:rPr>
      </w:pPr>
    </w:p>
    <w:p w:rsidR="00620EAE" w:rsidRPr="002313B6" w:rsidRDefault="00620EAE" w:rsidP="00620EAE">
      <w:pPr>
        <w:pStyle w:val="BodyText"/>
        <w:spacing w:after="0"/>
        <w:jc w:val="both"/>
        <w:rPr>
          <w:b/>
          <w:sz w:val="20"/>
          <w:szCs w:val="20"/>
          <w:lang w:val="fr-CA"/>
        </w:rPr>
      </w:pPr>
      <w:r w:rsidRPr="002313B6">
        <w:rPr>
          <w:b/>
          <w:sz w:val="20"/>
          <w:szCs w:val="20"/>
          <w:lang w:val="fr-CA"/>
        </w:rPr>
        <w:t>IL EST ORDONNÉ CE QUI SUIT :</w:t>
      </w:r>
    </w:p>
    <w:p w:rsidR="00620EAE" w:rsidRPr="002313B6" w:rsidRDefault="00620EAE" w:rsidP="00620EAE">
      <w:pPr>
        <w:pStyle w:val="BodyText"/>
        <w:spacing w:after="0"/>
        <w:jc w:val="both"/>
        <w:rPr>
          <w:b/>
          <w:sz w:val="20"/>
          <w:szCs w:val="20"/>
          <w:lang w:val="fr-CA"/>
        </w:rPr>
      </w:pPr>
    </w:p>
    <w:p w:rsidR="00620EAE" w:rsidRPr="002313B6" w:rsidRDefault="00620EAE" w:rsidP="00620EAE">
      <w:pPr>
        <w:pStyle w:val="BodyText"/>
        <w:spacing w:after="0"/>
        <w:jc w:val="both"/>
        <w:rPr>
          <w:sz w:val="20"/>
          <w:szCs w:val="20"/>
          <w:lang w:val="fr-CA"/>
        </w:rPr>
      </w:pPr>
      <w:r w:rsidRPr="002313B6">
        <w:rPr>
          <w:sz w:val="20"/>
          <w:szCs w:val="20"/>
          <w:lang w:val="fr-CA"/>
        </w:rPr>
        <w:t>La requête de l’avocate de l’intimée en vue d’obtenir l’autorisation de cesser d’occuper pour cette dernière est accueillie. Me Jeffrey M. Lee, c.r., est nommé à titre d’</w:t>
      </w:r>
      <w:r w:rsidRPr="002313B6">
        <w:rPr>
          <w:i/>
          <w:sz w:val="20"/>
          <w:szCs w:val="20"/>
          <w:lang w:val="fr-CA"/>
        </w:rPr>
        <w:t>amicus curiae</w:t>
      </w:r>
      <w:r w:rsidRPr="002313B6">
        <w:rPr>
          <w:sz w:val="20"/>
          <w:szCs w:val="20"/>
          <w:lang w:val="fr-CA"/>
        </w:rPr>
        <w:t xml:space="preserve"> pour aider la Cour en déposant un mémoire d’au plus 40 pages et un recueil de sources, et en présentant une plaidoirie d’au plus 60 minutes à l’audition de l’appel. M</w:t>
      </w:r>
      <w:r w:rsidRPr="002313B6">
        <w:rPr>
          <w:sz w:val="20"/>
          <w:szCs w:val="20"/>
          <w:vertAlign w:val="superscript"/>
          <w:lang w:val="fr-CA"/>
        </w:rPr>
        <w:t>e</w:t>
      </w:r>
      <w:r w:rsidRPr="002313B6">
        <w:rPr>
          <w:sz w:val="20"/>
          <w:szCs w:val="20"/>
          <w:lang w:val="fr-CA"/>
        </w:rPr>
        <w:t xml:space="preserve"> Lee peut recevoir l’assistance d’un avocat subordonné.</w:t>
      </w:r>
    </w:p>
    <w:p w:rsidR="00620EAE" w:rsidRPr="002313B6" w:rsidRDefault="00620EAE" w:rsidP="00620EAE">
      <w:pPr>
        <w:pStyle w:val="BodyText"/>
        <w:spacing w:after="0"/>
        <w:jc w:val="both"/>
        <w:rPr>
          <w:sz w:val="20"/>
          <w:szCs w:val="20"/>
          <w:lang w:val="fr-CA"/>
        </w:rPr>
      </w:pPr>
    </w:p>
    <w:p w:rsidR="00620EAE" w:rsidRPr="002313B6" w:rsidRDefault="00620EAE" w:rsidP="00620EAE">
      <w:pPr>
        <w:pStyle w:val="BodyText"/>
        <w:spacing w:after="0"/>
        <w:jc w:val="both"/>
        <w:rPr>
          <w:sz w:val="20"/>
          <w:szCs w:val="20"/>
          <w:lang w:val="fr-CA"/>
        </w:rPr>
      </w:pPr>
      <w:r w:rsidRPr="002313B6">
        <w:rPr>
          <w:sz w:val="20"/>
          <w:szCs w:val="20"/>
          <w:lang w:val="fr-CA"/>
        </w:rPr>
        <w:t>Les honoraires et débours raisonnables de M</w:t>
      </w:r>
      <w:r w:rsidRPr="002313B6">
        <w:rPr>
          <w:sz w:val="20"/>
          <w:szCs w:val="20"/>
          <w:vertAlign w:val="superscript"/>
          <w:lang w:val="fr-CA"/>
        </w:rPr>
        <w:t>e</w:t>
      </w:r>
      <w:r w:rsidRPr="002313B6">
        <w:rPr>
          <w:sz w:val="20"/>
          <w:szCs w:val="20"/>
          <w:lang w:val="fr-CA"/>
        </w:rPr>
        <w:t xml:space="preserve"> Lee et de l’avocat subordonné, le cas échéant, seront payés par le procureur général de la Saskatchewan.</w:t>
      </w:r>
    </w:p>
    <w:p w:rsidR="00620EAE" w:rsidRPr="002313B6" w:rsidRDefault="00620EAE" w:rsidP="00620EAE">
      <w:pPr>
        <w:pStyle w:val="BodyText"/>
        <w:spacing w:after="0"/>
        <w:jc w:val="both"/>
        <w:rPr>
          <w:b/>
          <w:sz w:val="20"/>
          <w:szCs w:val="20"/>
          <w:lang w:val="fr-CA"/>
        </w:rPr>
      </w:pPr>
    </w:p>
    <w:p w:rsidR="00620EAE" w:rsidRPr="002313B6" w:rsidRDefault="00620EAE" w:rsidP="00620EAE">
      <w:pPr>
        <w:pStyle w:val="BodyText"/>
        <w:spacing w:after="0"/>
        <w:jc w:val="both"/>
        <w:rPr>
          <w:sz w:val="20"/>
          <w:szCs w:val="20"/>
          <w:lang w:val="fr-CA"/>
        </w:rPr>
      </w:pPr>
      <w:r w:rsidRPr="002313B6">
        <w:rPr>
          <w:sz w:val="20"/>
          <w:szCs w:val="20"/>
          <w:lang w:val="fr-CA"/>
        </w:rPr>
        <w:t xml:space="preserve">La requête de l’appelant en prorogation de délai est accueillie. </w:t>
      </w:r>
    </w:p>
    <w:p w:rsidR="00620EAE" w:rsidRPr="002313B6" w:rsidRDefault="00620EAE" w:rsidP="00620EAE">
      <w:pPr>
        <w:pStyle w:val="BodyText"/>
        <w:spacing w:after="0"/>
        <w:jc w:val="both"/>
        <w:rPr>
          <w:sz w:val="20"/>
          <w:szCs w:val="20"/>
          <w:lang w:val="fr-CA"/>
        </w:rPr>
      </w:pPr>
    </w:p>
    <w:p w:rsidR="00620EAE" w:rsidRPr="002313B6" w:rsidRDefault="00620EAE" w:rsidP="00620EAE">
      <w:pPr>
        <w:pStyle w:val="BodyText"/>
        <w:spacing w:after="0"/>
        <w:jc w:val="both"/>
        <w:rPr>
          <w:sz w:val="20"/>
          <w:szCs w:val="20"/>
          <w:lang w:val="fr-CA"/>
        </w:rPr>
      </w:pPr>
      <w:r w:rsidRPr="002313B6">
        <w:rPr>
          <w:sz w:val="20"/>
          <w:szCs w:val="20"/>
          <w:lang w:val="fr-CA"/>
        </w:rPr>
        <w:t>Les documents en l’espèce doivent être signifiés et déposés conformément à l’échéancier suivant :</w:t>
      </w:r>
    </w:p>
    <w:p w:rsidR="00620EAE" w:rsidRPr="002313B6" w:rsidRDefault="00620EAE" w:rsidP="00620EAE">
      <w:pPr>
        <w:pStyle w:val="BodyText"/>
        <w:spacing w:after="0"/>
        <w:jc w:val="both"/>
        <w:rPr>
          <w:sz w:val="20"/>
          <w:szCs w:val="20"/>
          <w:lang w:val="fr-CA"/>
        </w:rPr>
      </w:pPr>
    </w:p>
    <w:p w:rsidR="00620EAE" w:rsidRPr="002313B6" w:rsidRDefault="00620EAE" w:rsidP="00620EAE">
      <w:pPr>
        <w:pStyle w:val="ListParagraph"/>
        <w:widowControl w:val="0"/>
        <w:numPr>
          <w:ilvl w:val="0"/>
          <w:numId w:val="10"/>
        </w:numPr>
        <w:autoSpaceDE w:val="0"/>
        <w:autoSpaceDN w:val="0"/>
        <w:adjustRightInd w:val="0"/>
        <w:jc w:val="both"/>
        <w:rPr>
          <w:rFonts w:cs="Times New Roman"/>
          <w:sz w:val="20"/>
          <w:szCs w:val="20"/>
          <w:lang w:val="fr-CA"/>
        </w:rPr>
      </w:pPr>
      <w:r w:rsidRPr="002313B6">
        <w:rPr>
          <w:rFonts w:cs="Times New Roman"/>
          <w:sz w:val="20"/>
          <w:szCs w:val="20"/>
          <w:lang w:val="fr-CA"/>
        </w:rPr>
        <w:t>Les dossier, mémoire et recueil de sources de l’appelant doivent être signifiés et déposés au plus tard le 13 mars 2015.</w:t>
      </w:r>
    </w:p>
    <w:p w:rsidR="00620EAE" w:rsidRPr="002313B6" w:rsidRDefault="00620EAE" w:rsidP="00620EAE">
      <w:pPr>
        <w:ind w:left="1440" w:hanging="1440"/>
        <w:rPr>
          <w:rFonts w:cs="Times New Roman"/>
          <w:sz w:val="20"/>
          <w:szCs w:val="20"/>
          <w:lang w:val="fr-CA"/>
        </w:rPr>
      </w:pPr>
    </w:p>
    <w:p w:rsidR="00620EAE" w:rsidRPr="002313B6" w:rsidRDefault="00620EAE" w:rsidP="00620EAE">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2313B6">
        <w:rPr>
          <w:rFonts w:cs="Times New Roman"/>
          <w:sz w:val="20"/>
          <w:szCs w:val="20"/>
          <w:lang w:val="fr-CA"/>
        </w:rPr>
        <w:t xml:space="preserve">Toute personne souhaitant intervenir dans le présent pourvoi en vertu de l’art. 55 des </w:t>
      </w:r>
      <w:r w:rsidRPr="002313B6">
        <w:rPr>
          <w:rFonts w:cs="Times New Roman"/>
          <w:i/>
          <w:sz w:val="20"/>
          <w:szCs w:val="20"/>
          <w:lang w:val="fr-CA"/>
        </w:rPr>
        <w:t>Règles de la Cour suprême du Canada</w:t>
      </w:r>
      <w:r w:rsidRPr="002313B6">
        <w:rPr>
          <w:rFonts w:cs="Times New Roman"/>
          <w:sz w:val="20"/>
          <w:szCs w:val="20"/>
          <w:lang w:val="fr-CA"/>
        </w:rPr>
        <w:t xml:space="preserve"> doit signifier et déposer une requête en autorisation d’intervenir au plus tard le 7 avril 2015. </w:t>
      </w:r>
    </w:p>
    <w:p w:rsidR="00620EAE" w:rsidRPr="002313B6" w:rsidRDefault="00620EAE" w:rsidP="00620EAE">
      <w:pPr>
        <w:pStyle w:val="ListParagraph"/>
        <w:rPr>
          <w:rFonts w:cs="Times New Roman"/>
          <w:sz w:val="20"/>
          <w:szCs w:val="20"/>
          <w:lang w:val="fr-CA"/>
        </w:rPr>
      </w:pPr>
    </w:p>
    <w:p w:rsidR="00620EAE" w:rsidRPr="002313B6" w:rsidRDefault="00620EAE" w:rsidP="00620EAE">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2313B6">
        <w:rPr>
          <w:rFonts w:cs="Times New Roman"/>
          <w:sz w:val="20"/>
          <w:szCs w:val="20"/>
          <w:lang w:val="fr-CA"/>
        </w:rPr>
        <w:t xml:space="preserve">L’appelant et l’intimée doivent signifier et déposer leurs réponses, s’il en est, aux requêtes en autorisation d’intervenir au plus tard le 13 avril 2015. </w:t>
      </w:r>
    </w:p>
    <w:p w:rsidR="00620EAE" w:rsidRPr="002313B6" w:rsidRDefault="00620EAE" w:rsidP="00620EAE">
      <w:pPr>
        <w:pStyle w:val="ListParagraph"/>
        <w:rPr>
          <w:rFonts w:cs="Times New Roman"/>
          <w:sz w:val="20"/>
          <w:szCs w:val="20"/>
          <w:lang w:val="fr-CA"/>
        </w:rPr>
      </w:pPr>
    </w:p>
    <w:p w:rsidR="00620EAE" w:rsidRPr="002313B6" w:rsidRDefault="00620EAE" w:rsidP="00620EAE">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2313B6">
        <w:rPr>
          <w:rFonts w:cs="Times New Roman"/>
          <w:sz w:val="20"/>
          <w:szCs w:val="20"/>
          <w:lang w:val="fr-CA"/>
        </w:rPr>
        <w:t>Les répliques à toute réponse aux requêtes en autorisation d’intervenir doivent être signifiées et déposées au plus tard le 15 avril 2015.</w:t>
      </w:r>
    </w:p>
    <w:p w:rsidR="00620EAE" w:rsidRDefault="00620EAE">
      <w:pPr>
        <w:rPr>
          <w:rFonts w:cs="Times New Roman"/>
          <w:sz w:val="20"/>
          <w:szCs w:val="20"/>
          <w:lang w:val="fr-CA"/>
        </w:rPr>
      </w:pPr>
    </w:p>
    <w:p w:rsidR="00620EAE" w:rsidRDefault="00620EAE">
      <w:pPr>
        <w:rPr>
          <w:rFonts w:cs="Times New Roman"/>
          <w:sz w:val="20"/>
          <w:szCs w:val="20"/>
          <w:lang w:val="fr-CA"/>
        </w:rPr>
      </w:pPr>
      <w:r>
        <w:rPr>
          <w:rFonts w:cs="Times New Roman"/>
          <w:sz w:val="20"/>
          <w:szCs w:val="20"/>
          <w:lang w:val="fr-CA"/>
        </w:rPr>
        <w:br w:type="page"/>
      </w:r>
    </w:p>
    <w:p w:rsidR="00620EAE" w:rsidRPr="002313B6" w:rsidRDefault="00620EAE" w:rsidP="00620EAE">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2313B6">
        <w:rPr>
          <w:rFonts w:cs="Times New Roman"/>
          <w:sz w:val="20"/>
          <w:szCs w:val="20"/>
          <w:lang w:val="fr-CA"/>
        </w:rPr>
        <w:lastRenderedPageBreak/>
        <w:t>Les dossier, mémoire et recueil de sources de l’intimée doivent être signifiés et déposés au plus tard le 1</w:t>
      </w:r>
      <w:r w:rsidRPr="002313B6">
        <w:rPr>
          <w:rFonts w:cs="Times New Roman"/>
          <w:sz w:val="20"/>
          <w:szCs w:val="20"/>
          <w:vertAlign w:val="superscript"/>
          <w:lang w:val="fr-CA"/>
        </w:rPr>
        <w:t>er</w:t>
      </w:r>
      <w:r w:rsidRPr="002313B6">
        <w:rPr>
          <w:rFonts w:cs="Times New Roman"/>
          <w:sz w:val="20"/>
          <w:szCs w:val="20"/>
          <w:lang w:val="fr-CA"/>
        </w:rPr>
        <w:t xml:space="preserve"> mai 2015.</w:t>
      </w:r>
    </w:p>
    <w:p w:rsidR="00620EAE" w:rsidRPr="002313B6" w:rsidRDefault="00620EAE" w:rsidP="00620EAE">
      <w:pPr>
        <w:rPr>
          <w:rFonts w:cs="Times New Roman"/>
          <w:sz w:val="20"/>
          <w:szCs w:val="20"/>
          <w:lang w:val="fr-CA"/>
        </w:rPr>
      </w:pPr>
    </w:p>
    <w:p w:rsidR="00620EAE" w:rsidRPr="002313B6" w:rsidRDefault="00620EAE" w:rsidP="00620EAE">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2313B6">
        <w:rPr>
          <w:rFonts w:cs="Times New Roman"/>
          <w:sz w:val="20"/>
          <w:szCs w:val="20"/>
          <w:lang w:val="fr-CA"/>
        </w:rPr>
        <w:t xml:space="preserve">Le procureur général qui souhaite intervenir en vertu du par. 61(4) des </w:t>
      </w:r>
      <w:r w:rsidRPr="002313B6">
        <w:rPr>
          <w:rFonts w:cs="Times New Roman"/>
          <w:i/>
          <w:sz w:val="20"/>
          <w:szCs w:val="20"/>
          <w:lang w:val="fr-CA"/>
        </w:rPr>
        <w:t>Règles de la Cour suprême du Canada</w:t>
      </w:r>
      <w:r w:rsidRPr="002313B6">
        <w:rPr>
          <w:rFonts w:cs="Times New Roman"/>
          <w:sz w:val="20"/>
          <w:szCs w:val="20"/>
          <w:lang w:val="fr-CA"/>
        </w:rPr>
        <w:t xml:space="preserve"> doit signifier et déposer son mémoire et son recueil de sources au plus tard le 7 mai 2015.</w:t>
      </w:r>
    </w:p>
    <w:p w:rsidR="00620EAE" w:rsidRPr="002313B6" w:rsidRDefault="00620EAE" w:rsidP="00620EAE">
      <w:pPr>
        <w:pStyle w:val="ListParagraph"/>
        <w:ind w:left="1065"/>
        <w:rPr>
          <w:rFonts w:cs="Times New Roman"/>
          <w:sz w:val="20"/>
          <w:szCs w:val="20"/>
          <w:lang w:val="fr-CA"/>
        </w:rPr>
      </w:pPr>
    </w:p>
    <w:p w:rsidR="00620EAE" w:rsidRPr="002313B6" w:rsidRDefault="00620EAE" w:rsidP="00620EAE">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bCs/>
          <w:sz w:val="20"/>
          <w:szCs w:val="20"/>
          <w:lang w:val="fr-CA"/>
        </w:rPr>
      </w:pPr>
      <w:r w:rsidRPr="002313B6">
        <w:rPr>
          <w:rFonts w:cs="Times New Roman"/>
          <w:bCs/>
          <w:sz w:val="20"/>
          <w:szCs w:val="20"/>
          <w:lang w:val="fr-CA"/>
        </w:rPr>
        <w:t xml:space="preserve">La personne autorisée à intervenir en vertu de l’art. 59 des </w:t>
      </w:r>
      <w:r w:rsidRPr="002313B6">
        <w:rPr>
          <w:rFonts w:cs="Times New Roman"/>
          <w:i/>
          <w:sz w:val="20"/>
          <w:szCs w:val="20"/>
          <w:lang w:val="fr-CA"/>
        </w:rPr>
        <w:t>Règles de la Cour suprême du Canada</w:t>
      </w:r>
      <w:r w:rsidRPr="002313B6">
        <w:rPr>
          <w:rFonts w:cs="Times New Roman"/>
          <w:bCs/>
          <w:sz w:val="20"/>
          <w:szCs w:val="20"/>
          <w:lang w:val="fr-CA"/>
        </w:rPr>
        <w:t xml:space="preserve"> doit signifier et déposer ses mémoire et recueil de sources au plus tard le 7 mai 2015.</w:t>
      </w:r>
    </w:p>
    <w:p w:rsidR="00620EAE" w:rsidRPr="002313B6" w:rsidRDefault="00620EAE" w:rsidP="00620EAE">
      <w:pPr>
        <w:pStyle w:val="ListParagraph"/>
        <w:rPr>
          <w:rFonts w:cs="Times New Roman"/>
          <w:bCs/>
          <w:sz w:val="20"/>
          <w:szCs w:val="20"/>
          <w:lang w:val="fr-CA"/>
        </w:rPr>
      </w:pPr>
    </w:p>
    <w:p w:rsidR="00620EAE" w:rsidRPr="002313B6" w:rsidRDefault="00620EAE" w:rsidP="00620EAE">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sz w:val="20"/>
          <w:szCs w:val="20"/>
          <w:lang w:val="fr-CA"/>
        </w:rPr>
      </w:pPr>
      <w:r w:rsidRPr="002313B6">
        <w:rPr>
          <w:rFonts w:cs="Times New Roman"/>
          <w:bCs/>
          <w:sz w:val="20"/>
          <w:szCs w:val="20"/>
          <w:lang w:val="fr-CA"/>
        </w:rPr>
        <w:t>L’audience est fixée temporairement au 21 mai 2015 et cette date sera confirmée en temps utile par le registraire.</w:t>
      </w:r>
    </w:p>
    <w:p w:rsidR="000A2923" w:rsidRPr="00620EAE" w:rsidRDefault="000A2923" w:rsidP="000A2923">
      <w:pPr>
        <w:tabs>
          <w:tab w:val="left" w:pos="-1440"/>
          <w:tab w:val="left" w:pos="-720"/>
        </w:tabs>
        <w:jc w:val="both"/>
        <w:rPr>
          <w:rFonts w:eastAsia="Times New Roman" w:cs="Times New Roman"/>
          <w:sz w:val="20"/>
          <w:szCs w:val="20"/>
          <w:lang w:val="fr-CA" w:eastAsia="en-CA"/>
        </w:rPr>
      </w:pPr>
    </w:p>
    <w:p w:rsidR="000A2923" w:rsidRPr="000A2923" w:rsidRDefault="00BF341F" w:rsidP="000A292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1" style="width:2in;height:1pt" o:hrpct="0" o:hralign="center" o:hrstd="t" o:hrnoshade="t" o:hr="t" fillcolor="black [3213]" stroked="f"/>
        </w:pict>
      </w:r>
    </w:p>
    <w:p w:rsidR="000A2923" w:rsidRPr="000A2923" w:rsidRDefault="000A2923" w:rsidP="000A2923">
      <w:pPr>
        <w:tabs>
          <w:tab w:val="left" w:pos="-1440"/>
          <w:tab w:val="left" w:pos="-720"/>
        </w:tabs>
        <w:jc w:val="both"/>
        <w:rPr>
          <w:rFonts w:eastAsia="Times New Roman" w:cs="Times New Roman"/>
          <w:sz w:val="20"/>
          <w:szCs w:val="20"/>
          <w:lang w:eastAsia="en-CA"/>
        </w:rPr>
      </w:pPr>
    </w:p>
    <w:p w:rsidR="000A2923" w:rsidRPr="000A2923" w:rsidRDefault="000A2923" w:rsidP="000A2923">
      <w:pPr>
        <w:tabs>
          <w:tab w:val="left" w:pos="-1440"/>
          <w:tab w:val="left" w:pos="-720"/>
        </w:tabs>
        <w:jc w:val="both"/>
        <w:rPr>
          <w:rFonts w:eastAsia="Times New Roman" w:cs="Times New Roman"/>
          <w:sz w:val="20"/>
          <w:szCs w:val="20"/>
          <w:lang w:val="fr-CA" w:eastAsia="en-CA"/>
        </w:rPr>
      </w:pPr>
      <w:r w:rsidRPr="000A2923">
        <w:rPr>
          <w:rFonts w:eastAsia="Times New Roman" w:cs="Times New Roman"/>
          <w:sz w:val="20"/>
          <w:szCs w:val="20"/>
          <w:lang w:val="fr-CA" w:eastAsia="en-CA"/>
        </w:rPr>
        <w:t>06.03.2015</w:t>
      </w:r>
    </w:p>
    <w:p w:rsidR="000A2923" w:rsidRPr="000A2923" w:rsidRDefault="000A2923" w:rsidP="000A2923">
      <w:pPr>
        <w:tabs>
          <w:tab w:val="left" w:pos="-1440"/>
          <w:tab w:val="left" w:pos="-720"/>
        </w:tabs>
        <w:jc w:val="both"/>
        <w:rPr>
          <w:rFonts w:eastAsia="Times New Roman" w:cs="Times New Roman"/>
          <w:sz w:val="20"/>
          <w:szCs w:val="20"/>
          <w:lang w:val="fr-CA" w:eastAsia="en-CA"/>
        </w:rPr>
      </w:pPr>
    </w:p>
    <w:p w:rsidR="000A2923" w:rsidRPr="000A2923" w:rsidRDefault="000A2923" w:rsidP="000A2923">
      <w:pPr>
        <w:tabs>
          <w:tab w:val="left" w:pos="-1440"/>
          <w:tab w:val="left" w:pos="-720"/>
        </w:tabs>
        <w:jc w:val="both"/>
        <w:rPr>
          <w:rFonts w:eastAsia="Times New Roman" w:cs="Times New Roman"/>
          <w:sz w:val="20"/>
          <w:szCs w:val="20"/>
          <w:lang w:val="fr-CA" w:eastAsia="en-CA"/>
        </w:rPr>
      </w:pPr>
      <w:r w:rsidRPr="000A2923">
        <w:rPr>
          <w:rFonts w:eastAsia="Times New Roman" w:cs="Times New Roman"/>
          <w:sz w:val="20"/>
          <w:szCs w:val="20"/>
          <w:lang w:val="fr-CA" w:eastAsia="en-CA"/>
        </w:rPr>
        <w:t>Before / Devant :   KARAKATSANIS J. / LA JUGE KARAKATSANIS</w:t>
      </w:r>
    </w:p>
    <w:p w:rsidR="000A2923" w:rsidRPr="000A2923" w:rsidRDefault="000A2923" w:rsidP="000A2923">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0A2923" w:rsidRPr="000A2923" w:rsidTr="00BF5229">
        <w:tc>
          <w:tcPr>
            <w:tcW w:w="4338" w:type="dxa"/>
            <w:gridSpan w:val="2"/>
          </w:tcPr>
          <w:p w:rsidR="000A2923" w:rsidRPr="000A2923" w:rsidRDefault="000A2923" w:rsidP="000A2923">
            <w:pPr>
              <w:rPr>
                <w:b/>
              </w:rPr>
            </w:pPr>
            <w:r w:rsidRPr="000A2923">
              <w:rPr>
                <w:b/>
              </w:rPr>
              <w:t>Motions for leave to intervene</w:t>
            </w:r>
            <w:r w:rsidRPr="000A2923">
              <w:rPr>
                <w:lang w:val="en-US"/>
              </w:rPr>
              <w:t xml:space="preserve"> </w:t>
            </w:r>
            <w:r w:rsidR="00A62C48" w:rsidRPr="000A2923">
              <w:rPr>
                <w:lang w:val="en-US"/>
              </w:rPr>
              <w:fldChar w:fldCharType="begin"/>
            </w:r>
            <w:r w:rsidRPr="000A2923">
              <w:instrText xml:space="preserve"> SEQ CHAPTER \h \r 1</w:instrText>
            </w:r>
            <w:r w:rsidR="00A62C48" w:rsidRPr="000A2923">
              <w:rPr>
                <w:lang w:val="en-US"/>
              </w:rPr>
              <w:fldChar w:fldCharType="end"/>
            </w:r>
          </w:p>
        </w:tc>
        <w:tc>
          <w:tcPr>
            <w:tcW w:w="1170" w:type="dxa"/>
          </w:tcPr>
          <w:p w:rsidR="000A2923" w:rsidRPr="000A2923" w:rsidRDefault="000A2923" w:rsidP="000A2923"/>
          <w:p w:rsidR="000A2923" w:rsidRPr="000A2923" w:rsidRDefault="000A2923" w:rsidP="000A2923"/>
        </w:tc>
        <w:tc>
          <w:tcPr>
            <w:tcW w:w="4327" w:type="dxa"/>
          </w:tcPr>
          <w:p w:rsidR="000A2923" w:rsidRPr="000A2923" w:rsidRDefault="000A2923" w:rsidP="000A2923">
            <w:pPr>
              <w:rPr>
                <w:b/>
              </w:rPr>
            </w:pPr>
            <w:r w:rsidRPr="000A2923">
              <w:rPr>
                <w:b/>
                <w:bCs/>
                <w:lang w:val="fr-CA"/>
              </w:rPr>
              <w:t>Requêtes en autorisation d’intervenir</w:t>
            </w:r>
            <w:r w:rsidRPr="000A2923">
              <w:rPr>
                <w:lang w:val="en-US"/>
              </w:rPr>
              <w:t xml:space="preserve"> </w:t>
            </w:r>
            <w:r w:rsidR="00A62C48" w:rsidRPr="000A2923">
              <w:rPr>
                <w:lang w:val="en-US"/>
              </w:rPr>
              <w:fldChar w:fldCharType="begin"/>
            </w:r>
            <w:r w:rsidRPr="000A2923">
              <w:instrText xml:space="preserve"> SEQ CHAPTER \h \r 1</w:instrText>
            </w:r>
            <w:r w:rsidR="00A62C48" w:rsidRPr="000A2923">
              <w:rPr>
                <w:lang w:val="en-US"/>
              </w:rPr>
              <w:fldChar w:fldCharType="end"/>
            </w:r>
          </w:p>
        </w:tc>
      </w:tr>
      <w:tr w:rsidR="000A2923" w:rsidRPr="000A2923" w:rsidTr="00BF5229">
        <w:trPr>
          <w:trHeight w:hRule="exact" w:val="576"/>
        </w:trPr>
        <w:tc>
          <w:tcPr>
            <w:tcW w:w="1368" w:type="dxa"/>
          </w:tcPr>
          <w:p w:rsidR="000A2923" w:rsidRPr="000A2923" w:rsidRDefault="000A2923" w:rsidP="000A2923">
            <w:r w:rsidRPr="000A2923">
              <w:t>BY / PAR</w:t>
            </w:r>
          </w:p>
        </w:tc>
        <w:tc>
          <w:tcPr>
            <w:tcW w:w="2970" w:type="dxa"/>
          </w:tcPr>
          <w:p w:rsidR="000A2923" w:rsidRPr="000A2923" w:rsidRDefault="000A2923" w:rsidP="000A2923">
            <w:r w:rsidRPr="000A2923">
              <w:rPr>
                <w:rFonts w:eastAsiaTheme="minorEastAsia"/>
                <w:lang w:val="en-US"/>
              </w:rPr>
              <w:t>Canadian Generic Pharmaceutical Association</w:t>
            </w:r>
            <w:r w:rsidRPr="000A2923">
              <w:rPr>
                <w:lang w:val="en-US"/>
              </w:rPr>
              <w:t>;</w:t>
            </w:r>
          </w:p>
        </w:tc>
        <w:tc>
          <w:tcPr>
            <w:tcW w:w="1170" w:type="dxa"/>
          </w:tcPr>
          <w:p w:rsidR="000A2923" w:rsidRPr="000A2923" w:rsidRDefault="000A2923" w:rsidP="000A2923"/>
        </w:tc>
        <w:tc>
          <w:tcPr>
            <w:tcW w:w="4327" w:type="dxa"/>
          </w:tcPr>
          <w:p w:rsidR="000A2923" w:rsidRPr="000A2923" w:rsidRDefault="000A2923" w:rsidP="000A2923"/>
        </w:tc>
      </w:tr>
      <w:tr w:rsidR="000A2923" w:rsidRPr="000A2923" w:rsidTr="00BF5229">
        <w:trPr>
          <w:trHeight w:hRule="exact" w:val="576"/>
        </w:trPr>
        <w:tc>
          <w:tcPr>
            <w:tcW w:w="1368" w:type="dxa"/>
          </w:tcPr>
          <w:p w:rsidR="000A2923" w:rsidRPr="000A2923" w:rsidRDefault="000A2923" w:rsidP="000A2923"/>
        </w:tc>
        <w:tc>
          <w:tcPr>
            <w:tcW w:w="2970" w:type="dxa"/>
          </w:tcPr>
          <w:p w:rsidR="000A2923" w:rsidRPr="000A2923" w:rsidRDefault="000A2923" w:rsidP="000A2923">
            <w:pPr>
              <w:rPr>
                <w:lang w:val="en-US"/>
              </w:rPr>
            </w:pPr>
            <w:r w:rsidRPr="000A2923">
              <w:rPr>
                <w:rFonts w:eastAsiaTheme="minorEastAsia"/>
                <w:lang w:val="en-US"/>
              </w:rPr>
              <w:t>Canada’s Research-Based Pharmaceutical Companies</w:t>
            </w:r>
            <w:r w:rsidRPr="000A2923">
              <w:rPr>
                <w:lang w:val="en-US"/>
              </w:rPr>
              <w:t>;</w:t>
            </w:r>
          </w:p>
        </w:tc>
        <w:tc>
          <w:tcPr>
            <w:tcW w:w="1170" w:type="dxa"/>
          </w:tcPr>
          <w:p w:rsidR="000A2923" w:rsidRPr="000A2923" w:rsidRDefault="000A2923" w:rsidP="000A2923"/>
        </w:tc>
        <w:tc>
          <w:tcPr>
            <w:tcW w:w="4327" w:type="dxa"/>
          </w:tcPr>
          <w:p w:rsidR="000A2923" w:rsidRPr="000A2923" w:rsidRDefault="000A2923" w:rsidP="000A2923"/>
        </w:tc>
      </w:tr>
      <w:tr w:rsidR="000A2923" w:rsidRPr="000A2923" w:rsidTr="00BF5229">
        <w:trPr>
          <w:trHeight w:hRule="exact" w:val="360"/>
        </w:trPr>
        <w:tc>
          <w:tcPr>
            <w:tcW w:w="1368" w:type="dxa"/>
          </w:tcPr>
          <w:p w:rsidR="000A2923" w:rsidRPr="000A2923" w:rsidRDefault="000A2923" w:rsidP="000A2923"/>
        </w:tc>
        <w:tc>
          <w:tcPr>
            <w:tcW w:w="2970" w:type="dxa"/>
          </w:tcPr>
          <w:p w:rsidR="000A2923" w:rsidRPr="000A2923" w:rsidRDefault="000A2923" w:rsidP="000A2923">
            <w:r w:rsidRPr="000A2923">
              <w:rPr>
                <w:rFonts w:eastAsiaTheme="minorEastAsia"/>
                <w:lang w:val="en-US"/>
              </w:rPr>
              <w:t>Laboratoire Riva Inc.</w:t>
            </w:r>
          </w:p>
        </w:tc>
        <w:tc>
          <w:tcPr>
            <w:tcW w:w="1170" w:type="dxa"/>
          </w:tcPr>
          <w:p w:rsidR="000A2923" w:rsidRPr="000A2923" w:rsidRDefault="000A2923" w:rsidP="000A2923"/>
        </w:tc>
        <w:tc>
          <w:tcPr>
            <w:tcW w:w="4327" w:type="dxa"/>
          </w:tcPr>
          <w:p w:rsidR="000A2923" w:rsidRPr="000A2923" w:rsidRDefault="000A2923" w:rsidP="000A2923"/>
        </w:tc>
      </w:tr>
      <w:tr w:rsidR="000A2923" w:rsidRPr="000A2923" w:rsidTr="00BF5229">
        <w:tc>
          <w:tcPr>
            <w:tcW w:w="1368" w:type="dxa"/>
          </w:tcPr>
          <w:p w:rsidR="000A2923" w:rsidRPr="000A2923" w:rsidRDefault="000A2923" w:rsidP="000A2923"/>
        </w:tc>
        <w:tc>
          <w:tcPr>
            <w:tcW w:w="2970" w:type="dxa"/>
          </w:tcPr>
          <w:p w:rsidR="000A2923" w:rsidRPr="000A2923" w:rsidRDefault="000A2923" w:rsidP="000A2923">
            <w:pPr>
              <w:rPr>
                <w:lang w:val="en-US"/>
              </w:rPr>
            </w:pPr>
          </w:p>
        </w:tc>
        <w:tc>
          <w:tcPr>
            <w:tcW w:w="1170" w:type="dxa"/>
          </w:tcPr>
          <w:p w:rsidR="000A2923" w:rsidRPr="000A2923" w:rsidRDefault="000A2923" w:rsidP="000A2923"/>
        </w:tc>
        <w:tc>
          <w:tcPr>
            <w:tcW w:w="4327" w:type="dxa"/>
          </w:tcPr>
          <w:p w:rsidR="000A2923" w:rsidRPr="000A2923" w:rsidRDefault="000A2923" w:rsidP="000A2923"/>
        </w:tc>
      </w:tr>
      <w:tr w:rsidR="000A2923" w:rsidRPr="000A2923" w:rsidTr="00BF5229">
        <w:tc>
          <w:tcPr>
            <w:tcW w:w="1368" w:type="dxa"/>
          </w:tcPr>
          <w:p w:rsidR="000A2923" w:rsidRPr="000A2923" w:rsidRDefault="000A2923" w:rsidP="000A2923">
            <w:r w:rsidRPr="000A2923">
              <w:t>IN / DANS :</w:t>
            </w:r>
          </w:p>
        </w:tc>
        <w:tc>
          <w:tcPr>
            <w:tcW w:w="2970" w:type="dxa"/>
          </w:tcPr>
          <w:p w:rsidR="000A2923" w:rsidRPr="000A2923" w:rsidRDefault="000A2923" w:rsidP="000A2923">
            <w:pPr>
              <w:rPr>
                <w:lang w:val="fr-CA"/>
              </w:rPr>
            </w:pPr>
            <w:r w:rsidRPr="000A2923">
              <w:rPr>
                <w:lang w:val="fr-CA"/>
              </w:rPr>
              <w:t>Sanofi-Aventis et al.</w:t>
            </w:r>
          </w:p>
          <w:p w:rsidR="000A2923" w:rsidRPr="000A2923" w:rsidRDefault="000A2923" w:rsidP="000A2923">
            <w:pPr>
              <w:rPr>
                <w:lang w:val="fr-CA"/>
              </w:rPr>
            </w:pPr>
          </w:p>
          <w:p w:rsidR="000A2923" w:rsidRPr="000A2923" w:rsidRDefault="000A2923" w:rsidP="000A2923">
            <w:pPr>
              <w:rPr>
                <w:lang w:val="fr-CA"/>
              </w:rPr>
            </w:pPr>
            <w:r w:rsidRPr="000A2923">
              <w:rPr>
                <w:lang w:val="fr-CA"/>
              </w:rPr>
              <w:tab/>
              <w:t>v. (35886)</w:t>
            </w:r>
          </w:p>
          <w:p w:rsidR="000A2923" w:rsidRPr="000A2923" w:rsidRDefault="000A2923" w:rsidP="000A2923">
            <w:pPr>
              <w:rPr>
                <w:lang w:val="fr-CA"/>
              </w:rPr>
            </w:pPr>
          </w:p>
          <w:p w:rsidR="000A2923" w:rsidRPr="000A2923" w:rsidRDefault="000A2923" w:rsidP="000A2923">
            <w:pPr>
              <w:rPr>
                <w:lang w:val="fr-CA"/>
              </w:rPr>
            </w:pPr>
            <w:r w:rsidRPr="000A2923">
              <w:rPr>
                <w:lang w:val="fr-CA"/>
              </w:rPr>
              <w:t>Apotex Inc. (F.C.)</w:t>
            </w:r>
          </w:p>
        </w:tc>
        <w:tc>
          <w:tcPr>
            <w:tcW w:w="1170" w:type="dxa"/>
          </w:tcPr>
          <w:p w:rsidR="000A2923" w:rsidRPr="000A2923" w:rsidRDefault="000A2923" w:rsidP="000A2923">
            <w:pPr>
              <w:rPr>
                <w:lang w:val="fr-CA"/>
              </w:rPr>
            </w:pPr>
          </w:p>
        </w:tc>
        <w:tc>
          <w:tcPr>
            <w:tcW w:w="4327" w:type="dxa"/>
          </w:tcPr>
          <w:p w:rsidR="000A2923" w:rsidRPr="000A2923" w:rsidRDefault="000A2923" w:rsidP="000A2923">
            <w:pPr>
              <w:rPr>
                <w:lang w:val="fr-CA"/>
              </w:rPr>
            </w:pPr>
          </w:p>
        </w:tc>
      </w:tr>
    </w:tbl>
    <w:p w:rsidR="000A2923" w:rsidRPr="000A2923" w:rsidRDefault="000A2923" w:rsidP="000A2923">
      <w:pPr>
        <w:tabs>
          <w:tab w:val="left" w:pos="-1440"/>
          <w:tab w:val="left" w:pos="-720"/>
        </w:tabs>
        <w:jc w:val="both"/>
        <w:rPr>
          <w:rFonts w:eastAsia="Times New Roman" w:cs="Times New Roman"/>
          <w:sz w:val="20"/>
          <w:szCs w:val="20"/>
          <w:lang w:val="fr-CA" w:eastAsia="en-CA"/>
        </w:rPr>
      </w:pPr>
    </w:p>
    <w:p w:rsidR="000A2923" w:rsidRPr="000A2923" w:rsidRDefault="000A2923" w:rsidP="000A2923">
      <w:pPr>
        <w:tabs>
          <w:tab w:val="left" w:pos="-1440"/>
          <w:tab w:val="left" w:pos="-720"/>
        </w:tabs>
        <w:jc w:val="both"/>
        <w:rPr>
          <w:rFonts w:eastAsia="Times New Roman" w:cs="Times New Roman"/>
          <w:b/>
          <w:sz w:val="20"/>
          <w:szCs w:val="20"/>
          <w:lang w:val="fr-CA" w:eastAsia="en-CA"/>
        </w:rPr>
      </w:pPr>
      <w:r w:rsidRPr="000A2923">
        <w:rPr>
          <w:rFonts w:eastAsia="Times New Roman" w:cs="Times New Roman"/>
          <w:b/>
          <w:sz w:val="20"/>
          <w:szCs w:val="20"/>
          <w:lang w:val="fr-CA" w:eastAsia="en-CA"/>
        </w:rPr>
        <w:t xml:space="preserve">GRANTED IN PART / ACCORDÉES EN PARTIE  </w:t>
      </w:r>
    </w:p>
    <w:p w:rsidR="000A2923" w:rsidRPr="000A2923" w:rsidRDefault="000A2923" w:rsidP="000A2923">
      <w:pPr>
        <w:tabs>
          <w:tab w:val="left" w:pos="-1440"/>
          <w:tab w:val="left" w:pos="-720"/>
        </w:tabs>
        <w:jc w:val="both"/>
        <w:rPr>
          <w:rFonts w:eastAsia="Times New Roman" w:cs="Times New Roman"/>
          <w:sz w:val="20"/>
          <w:szCs w:val="20"/>
          <w:lang w:val="fr-CA" w:eastAsia="en-CA"/>
        </w:rPr>
      </w:pPr>
    </w:p>
    <w:p w:rsidR="000A2923" w:rsidRPr="000A2923" w:rsidRDefault="000A2923" w:rsidP="000A2923">
      <w:pPr>
        <w:widowControl w:val="0"/>
        <w:autoSpaceDE w:val="0"/>
        <w:autoSpaceDN w:val="0"/>
        <w:adjustRightInd w:val="0"/>
        <w:spacing w:line="233" w:lineRule="auto"/>
        <w:jc w:val="both"/>
        <w:rPr>
          <w:rFonts w:eastAsiaTheme="minorEastAsia" w:cs="Times New Roman"/>
          <w:sz w:val="20"/>
          <w:szCs w:val="20"/>
          <w:lang w:val="en-US"/>
        </w:rPr>
      </w:pPr>
      <w:r w:rsidRPr="000A2923">
        <w:rPr>
          <w:rFonts w:eastAsiaTheme="minorEastAsia" w:cs="Times New Roman"/>
          <w:b/>
          <w:bCs/>
          <w:sz w:val="20"/>
          <w:szCs w:val="20"/>
          <w:lang w:val="en-US"/>
        </w:rPr>
        <w:t xml:space="preserve">UPON APPLICATIONS </w:t>
      </w:r>
      <w:r w:rsidRPr="000A2923">
        <w:rPr>
          <w:rFonts w:eastAsiaTheme="minorEastAsia" w:cs="Times New Roman"/>
          <w:sz w:val="20"/>
          <w:szCs w:val="20"/>
          <w:lang w:val="en-US"/>
        </w:rPr>
        <w:t>by the Canadian Generic Pharmaceutical Association, Canada’s Research-Based Pharmaceutical Companies and Laboratoire Riva Inc. for leave to intervene in the above appeal;</w:t>
      </w:r>
    </w:p>
    <w:p w:rsidR="000A2923" w:rsidRPr="000A2923" w:rsidRDefault="000A2923" w:rsidP="000A2923">
      <w:pPr>
        <w:widowControl w:val="0"/>
        <w:autoSpaceDE w:val="0"/>
        <w:autoSpaceDN w:val="0"/>
        <w:adjustRightInd w:val="0"/>
        <w:spacing w:line="233" w:lineRule="auto"/>
        <w:jc w:val="both"/>
        <w:rPr>
          <w:rFonts w:eastAsiaTheme="minorEastAsia" w:cs="Times New Roman"/>
          <w:sz w:val="20"/>
          <w:szCs w:val="20"/>
          <w:lang w:val="en-US"/>
        </w:rPr>
      </w:pPr>
    </w:p>
    <w:p w:rsidR="000A2923" w:rsidRPr="000A2923" w:rsidRDefault="000A2923" w:rsidP="000A2923">
      <w:pPr>
        <w:widowControl w:val="0"/>
        <w:autoSpaceDE w:val="0"/>
        <w:autoSpaceDN w:val="0"/>
        <w:adjustRightInd w:val="0"/>
        <w:spacing w:line="233" w:lineRule="auto"/>
        <w:jc w:val="both"/>
        <w:rPr>
          <w:rFonts w:eastAsiaTheme="minorEastAsia" w:cs="Times New Roman"/>
          <w:sz w:val="20"/>
          <w:szCs w:val="20"/>
          <w:lang w:val="en-US"/>
        </w:rPr>
      </w:pPr>
      <w:r w:rsidRPr="000A2923">
        <w:rPr>
          <w:rFonts w:eastAsiaTheme="minorEastAsia" w:cs="Times New Roman"/>
          <w:b/>
          <w:bCs/>
          <w:sz w:val="20"/>
          <w:szCs w:val="20"/>
          <w:lang w:val="en-US"/>
        </w:rPr>
        <w:t>AND THE MATERIAL FILED</w:t>
      </w:r>
      <w:r w:rsidRPr="000A2923">
        <w:rPr>
          <w:rFonts w:eastAsiaTheme="minorEastAsia" w:cs="Times New Roman"/>
          <w:sz w:val="20"/>
          <w:szCs w:val="20"/>
          <w:lang w:val="en-US"/>
        </w:rPr>
        <w:t xml:space="preserve"> having been read;</w:t>
      </w:r>
    </w:p>
    <w:p w:rsidR="000A2923" w:rsidRPr="000A2923" w:rsidRDefault="000A2923" w:rsidP="000A2923">
      <w:pPr>
        <w:widowControl w:val="0"/>
        <w:autoSpaceDE w:val="0"/>
        <w:autoSpaceDN w:val="0"/>
        <w:adjustRightInd w:val="0"/>
        <w:spacing w:line="233" w:lineRule="auto"/>
        <w:jc w:val="both"/>
        <w:rPr>
          <w:rFonts w:eastAsiaTheme="minorEastAsia" w:cs="Times New Roman"/>
          <w:sz w:val="20"/>
          <w:szCs w:val="20"/>
          <w:lang w:val="en-US"/>
        </w:rPr>
      </w:pPr>
    </w:p>
    <w:p w:rsidR="000A2923" w:rsidRPr="000A2923" w:rsidRDefault="000A2923" w:rsidP="000A2923">
      <w:pPr>
        <w:widowControl w:val="0"/>
        <w:autoSpaceDE w:val="0"/>
        <w:autoSpaceDN w:val="0"/>
        <w:adjustRightInd w:val="0"/>
        <w:spacing w:line="233" w:lineRule="auto"/>
        <w:jc w:val="both"/>
        <w:rPr>
          <w:rFonts w:eastAsiaTheme="minorEastAsia" w:cs="Times New Roman"/>
          <w:sz w:val="20"/>
          <w:szCs w:val="20"/>
          <w:lang w:val="en-US"/>
        </w:rPr>
      </w:pPr>
      <w:r w:rsidRPr="000A2923">
        <w:rPr>
          <w:rFonts w:eastAsiaTheme="minorEastAsia" w:cs="Times New Roman"/>
          <w:b/>
          <w:bCs/>
          <w:sz w:val="20"/>
          <w:szCs w:val="20"/>
          <w:lang w:val="en-US"/>
        </w:rPr>
        <w:t>IT IS HEREBY ORDERED THAT:</w:t>
      </w:r>
    </w:p>
    <w:p w:rsidR="000A2923" w:rsidRPr="000A2923" w:rsidRDefault="000A2923" w:rsidP="000A2923">
      <w:pPr>
        <w:widowControl w:val="0"/>
        <w:autoSpaceDE w:val="0"/>
        <w:autoSpaceDN w:val="0"/>
        <w:adjustRightInd w:val="0"/>
        <w:spacing w:line="233" w:lineRule="auto"/>
        <w:jc w:val="both"/>
        <w:rPr>
          <w:rFonts w:eastAsiaTheme="minorEastAsia" w:cs="Times New Roman"/>
          <w:sz w:val="20"/>
          <w:szCs w:val="20"/>
          <w:lang w:val="en-US"/>
        </w:rPr>
      </w:pPr>
    </w:p>
    <w:p w:rsidR="000A2923" w:rsidRPr="000A2923" w:rsidRDefault="000A2923" w:rsidP="000A2923">
      <w:pPr>
        <w:widowControl w:val="0"/>
        <w:autoSpaceDE w:val="0"/>
        <w:autoSpaceDN w:val="0"/>
        <w:adjustRightInd w:val="0"/>
        <w:spacing w:line="233" w:lineRule="auto"/>
        <w:jc w:val="both"/>
        <w:rPr>
          <w:rFonts w:eastAsiaTheme="minorEastAsia" w:cs="Times New Roman"/>
          <w:sz w:val="20"/>
          <w:szCs w:val="20"/>
          <w:lang w:val="en-US"/>
        </w:rPr>
      </w:pPr>
      <w:r w:rsidRPr="000A2923">
        <w:rPr>
          <w:rFonts w:eastAsiaTheme="minorEastAsia" w:cs="Times New Roman"/>
          <w:sz w:val="20"/>
          <w:szCs w:val="20"/>
          <w:lang w:val="en-US"/>
        </w:rPr>
        <w:t>The motions for leave to intervene of the Canadian Generic Pharmaceutical Association and Canada’s Research-Based Pharmaceutical Companies are granted and the said interveners shall be entitled to each serve and file a factum not exceeding ten (10) pages in length on or before March 31, 2015.</w:t>
      </w:r>
    </w:p>
    <w:p w:rsidR="000A2923" w:rsidRPr="000A2923" w:rsidRDefault="000A2923" w:rsidP="000A2923">
      <w:pPr>
        <w:widowControl w:val="0"/>
        <w:autoSpaceDE w:val="0"/>
        <w:autoSpaceDN w:val="0"/>
        <w:adjustRightInd w:val="0"/>
        <w:spacing w:line="233" w:lineRule="auto"/>
        <w:jc w:val="both"/>
        <w:rPr>
          <w:rFonts w:eastAsiaTheme="minorEastAsia" w:cs="Times New Roman"/>
          <w:sz w:val="20"/>
          <w:szCs w:val="20"/>
          <w:lang w:val="en-US"/>
        </w:rPr>
      </w:pPr>
    </w:p>
    <w:p w:rsidR="000A2923" w:rsidRPr="000A2923" w:rsidRDefault="000A2923" w:rsidP="000A2923">
      <w:pPr>
        <w:widowControl w:val="0"/>
        <w:autoSpaceDE w:val="0"/>
        <w:autoSpaceDN w:val="0"/>
        <w:adjustRightInd w:val="0"/>
        <w:spacing w:line="233" w:lineRule="auto"/>
        <w:jc w:val="both"/>
        <w:rPr>
          <w:rFonts w:eastAsiaTheme="minorEastAsia" w:cs="Times New Roman"/>
          <w:sz w:val="20"/>
          <w:szCs w:val="20"/>
          <w:lang w:val="en-US"/>
        </w:rPr>
      </w:pPr>
      <w:r w:rsidRPr="000A2923">
        <w:rPr>
          <w:rFonts w:eastAsiaTheme="minorEastAsia" w:cs="Times New Roman"/>
          <w:sz w:val="20"/>
          <w:szCs w:val="20"/>
          <w:lang w:val="en-US"/>
        </w:rPr>
        <w:t>The motion for leave to intervene by Laboratoire Riva Inc. is dismissed.</w:t>
      </w:r>
    </w:p>
    <w:p w:rsidR="000A2923" w:rsidRPr="000A2923" w:rsidRDefault="000A2923" w:rsidP="000A2923">
      <w:pPr>
        <w:widowControl w:val="0"/>
        <w:autoSpaceDE w:val="0"/>
        <w:autoSpaceDN w:val="0"/>
        <w:adjustRightInd w:val="0"/>
        <w:spacing w:line="233" w:lineRule="auto"/>
        <w:jc w:val="both"/>
        <w:rPr>
          <w:rFonts w:eastAsiaTheme="minorEastAsia" w:cs="Times New Roman"/>
          <w:sz w:val="20"/>
          <w:szCs w:val="20"/>
          <w:lang w:val="en-US"/>
        </w:rPr>
      </w:pPr>
    </w:p>
    <w:p w:rsidR="000A2923" w:rsidRPr="000A2923" w:rsidRDefault="000A2923" w:rsidP="000A2923">
      <w:pPr>
        <w:widowControl w:val="0"/>
        <w:autoSpaceDE w:val="0"/>
        <w:autoSpaceDN w:val="0"/>
        <w:adjustRightInd w:val="0"/>
        <w:spacing w:line="233" w:lineRule="auto"/>
        <w:jc w:val="both"/>
        <w:rPr>
          <w:rFonts w:eastAsiaTheme="minorEastAsia" w:cs="Times New Roman"/>
          <w:sz w:val="20"/>
          <w:szCs w:val="20"/>
          <w:lang w:val="en-US"/>
        </w:rPr>
      </w:pPr>
      <w:r w:rsidRPr="000A2923">
        <w:rPr>
          <w:rFonts w:eastAsiaTheme="minorEastAsia" w:cs="Times New Roman"/>
          <w:sz w:val="20"/>
          <w:szCs w:val="20"/>
          <w:lang w:val="en-US"/>
        </w:rPr>
        <w:t>The requests to present oral argument are deferred to a date following receipt and consideration of the written arguments of the parties and the interveners.</w:t>
      </w:r>
    </w:p>
    <w:p w:rsidR="000A2923" w:rsidRPr="000A2923" w:rsidRDefault="000A2923" w:rsidP="000A2923">
      <w:pPr>
        <w:widowControl w:val="0"/>
        <w:autoSpaceDE w:val="0"/>
        <w:autoSpaceDN w:val="0"/>
        <w:adjustRightInd w:val="0"/>
        <w:spacing w:line="233" w:lineRule="auto"/>
        <w:jc w:val="both"/>
        <w:rPr>
          <w:rFonts w:eastAsiaTheme="minorEastAsia" w:cs="Times New Roman"/>
          <w:sz w:val="20"/>
          <w:szCs w:val="20"/>
          <w:lang w:val="en-US"/>
        </w:rPr>
      </w:pPr>
    </w:p>
    <w:p w:rsidR="000A2923" w:rsidRPr="000A2923" w:rsidRDefault="000A2923" w:rsidP="000A2923">
      <w:pPr>
        <w:widowControl w:val="0"/>
        <w:autoSpaceDE w:val="0"/>
        <w:autoSpaceDN w:val="0"/>
        <w:adjustRightInd w:val="0"/>
        <w:spacing w:line="233" w:lineRule="auto"/>
        <w:jc w:val="both"/>
        <w:rPr>
          <w:rFonts w:eastAsiaTheme="minorEastAsia" w:cs="Times New Roman"/>
          <w:sz w:val="20"/>
          <w:szCs w:val="20"/>
          <w:lang w:val="en-US"/>
        </w:rPr>
      </w:pPr>
      <w:r w:rsidRPr="000A2923">
        <w:rPr>
          <w:rFonts w:eastAsiaTheme="minorEastAsia" w:cs="Times New Roman"/>
          <w:sz w:val="20"/>
          <w:szCs w:val="20"/>
          <w:lang w:val="en-US"/>
        </w:rPr>
        <w:t xml:space="preserve">The interveners are not entitled to raise new issues or to adduce further evidence or otherwise to supplement the record of the parties. </w:t>
      </w:r>
    </w:p>
    <w:p w:rsidR="000A2923" w:rsidRPr="000A2923" w:rsidRDefault="000A2923" w:rsidP="000A2923">
      <w:pPr>
        <w:widowControl w:val="0"/>
        <w:autoSpaceDE w:val="0"/>
        <w:autoSpaceDN w:val="0"/>
        <w:adjustRightInd w:val="0"/>
        <w:spacing w:line="233" w:lineRule="auto"/>
        <w:jc w:val="both"/>
        <w:rPr>
          <w:rFonts w:eastAsiaTheme="minorEastAsia" w:cs="Times New Roman"/>
          <w:sz w:val="20"/>
          <w:szCs w:val="20"/>
          <w:lang w:val="en-US"/>
        </w:rPr>
      </w:pPr>
    </w:p>
    <w:p w:rsidR="000A2923" w:rsidRPr="000A2923" w:rsidRDefault="000A2923" w:rsidP="000A2923">
      <w:pPr>
        <w:widowControl w:val="0"/>
        <w:autoSpaceDE w:val="0"/>
        <w:autoSpaceDN w:val="0"/>
        <w:adjustRightInd w:val="0"/>
        <w:spacing w:line="233" w:lineRule="auto"/>
        <w:jc w:val="both"/>
        <w:rPr>
          <w:rFonts w:eastAsiaTheme="minorEastAsia" w:cs="Times New Roman"/>
          <w:sz w:val="20"/>
          <w:szCs w:val="20"/>
          <w:lang w:val="en-US"/>
        </w:rPr>
      </w:pPr>
      <w:r w:rsidRPr="000A2923">
        <w:rPr>
          <w:rFonts w:eastAsiaTheme="minorEastAsia" w:cs="Times New Roman"/>
          <w:sz w:val="20"/>
          <w:szCs w:val="20"/>
          <w:lang w:val="en-US"/>
        </w:rPr>
        <w:t>Pursuant to Rule 59(1)(</w:t>
      </w:r>
      <w:r w:rsidRPr="000A2923">
        <w:rPr>
          <w:rFonts w:eastAsiaTheme="minorEastAsia" w:cs="Times New Roman"/>
          <w:i/>
          <w:iCs/>
          <w:sz w:val="20"/>
          <w:szCs w:val="20"/>
          <w:lang w:val="en-US"/>
        </w:rPr>
        <w:t>a</w:t>
      </w:r>
      <w:r w:rsidRPr="000A2923">
        <w:rPr>
          <w:rFonts w:eastAsiaTheme="minorEastAsia" w:cs="Times New Roman"/>
          <w:sz w:val="20"/>
          <w:szCs w:val="20"/>
          <w:lang w:val="en-US"/>
        </w:rPr>
        <w:t xml:space="preserve">) of the </w:t>
      </w:r>
      <w:r w:rsidRPr="000A2923">
        <w:rPr>
          <w:rFonts w:eastAsiaTheme="minorEastAsia" w:cs="Times New Roman"/>
          <w:i/>
          <w:iCs/>
          <w:sz w:val="20"/>
          <w:szCs w:val="20"/>
          <w:lang w:val="en-US"/>
        </w:rPr>
        <w:t>Rules of the Supreme Court of Canada</w:t>
      </w:r>
      <w:r w:rsidRPr="000A2923">
        <w:rPr>
          <w:rFonts w:eastAsiaTheme="minorEastAsia" w:cs="Times New Roman"/>
          <w:sz w:val="20"/>
          <w:szCs w:val="20"/>
          <w:lang w:val="en-US"/>
        </w:rPr>
        <w:t xml:space="preserve">, the interveners shall pay to the appellants and </w:t>
      </w:r>
      <w:r w:rsidRPr="000A2923">
        <w:rPr>
          <w:rFonts w:eastAsiaTheme="minorEastAsia" w:cs="Times New Roman"/>
          <w:sz w:val="20"/>
          <w:szCs w:val="20"/>
          <w:lang w:val="en-US"/>
        </w:rPr>
        <w:lastRenderedPageBreak/>
        <w:t>respondent any additional disbursements occasioned to the appellants and respondent by their intervention.</w:t>
      </w:r>
    </w:p>
    <w:p w:rsidR="000A2923" w:rsidRPr="000A2923" w:rsidRDefault="000A2923" w:rsidP="000A2923">
      <w:pPr>
        <w:widowControl w:val="0"/>
        <w:autoSpaceDE w:val="0"/>
        <w:autoSpaceDN w:val="0"/>
        <w:adjustRightInd w:val="0"/>
        <w:spacing w:line="233" w:lineRule="auto"/>
        <w:jc w:val="both"/>
        <w:rPr>
          <w:rFonts w:eastAsiaTheme="minorEastAsia" w:cs="Times New Roman"/>
          <w:sz w:val="20"/>
          <w:szCs w:val="20"/>
          <w:lang w:val="en-US"/>
        </w:rPr>
      </w:pPr>
    </w:p>
    <w:p w:rsidR="000A2923" w:rsidRPr="000A2923" w:rsidRDefault="000A2923" w:rsidP="000A2923">
      <w:pPr>
        <w:widowControl w:val="0"/>
        <w:autoSpaceDE w:val="0"/>
        <w:autoSpaceDN w:val="0"/>
        <w:adjustRightInd w:val="0"/>
        <w:spacing w:line="233" w:lineRule="auto"/>
        <w:jc w:val="both"/>
        <w:rPr>
          <w:rFonts w:eastAsiaTheme="minorEastAsia" w:cs="Times New Roman"/>
          <w:sz w:val="20"/>
          <w:szCs w:val="20"/>
          <w:lang w:val="en-US"/>
        </w:rPr>
      </w:pPr>
      <w:r w:rsidRPr="000A2923">
        <w:rPr>
          <w:rFonts w:eastAsiaTheme="minorEastAsia" w:cs="Times New Roman"/>
          <w:sz w:val="20"/>
          <w:szCs w:val="20"/>
          <w:lang w:val="en-US"/>
        </w:rPr>
        <w:t xml:space="preserve">The appellants and the respondent are permitted to serve and file a factum not exceeding ten (10) pages in reply to these interventions on or before April 7, 2014. </w:t>
      </w:r>
    </w:p>
    <w:p w:rsidR="000A2923" w:rsidRPr="000A2923" w:rsidRDefault="000A2923" w:rsidP="000A2923">
      <w:pPr>
        <w:widowControl w:val="0"/>
        <w:autoSpaceDE w:val="0"/>
        <w:autoSpaceDN w:val="0"/>
        <w:adjustRightInd w:val="0"/>
        <w:spacing w:line="233" w:lineRule="auto"/>
        <w:jc w:val="both"/>
        <w:rPr>
          <w:rFonts w:eastAsiaTheme="minorEastAsia" w:cs="Times New Roman"/>
          <w:sz w:val="20"/>
          <w:szCs w:val="20"/>
          <w:lang w:val="en-US"/>
        </w:rPr>
      </w:pPr>
    </w:p>
    <w:p w:rsidR="000A2923" w:rsidRPr="000A2923" w:rsidRDefault="000A2923" w:rsidP="000A2923">
      <w:pPr>
        <w:widowControl w:val="0"/>
        <w:autoSpaceDE w:val="0"/>
        <w:autoSpaceDN w:val="0"/>
        <w:adjustRightInd w:val="0"/>
        <w:spacing w:line="233" w:lineRule="auto"/>
        <w:jc w:val="both"/>
        <w:rPr>
          <w:rFonts w:eastAsiaTheme="minorEastAsia" w:cs="Times New Roman"/>
          <w:sz w:val="20"/>
          <w:szCs w:val="20"/>
          <w:lang w:val="en-US"/>
        </w:rPr>
      </w:pPr>
    </w:p>
    <w:p w:rsidR="000A2923" w:rsidRPr="000A2923" w:rsidRDefault="000A2923" w:rsidP="000A2923">
      <w:pPr>
        <w:widowControl w:val="0"/>
        <w:autoSpaceDE w:val="0"/>
        <w:autoSpaceDN w:val="0"/>
        <w:adjustRightInd w:val="0"/>
        <w:spacing w:line="233" w:lineRule="auto"/>
        <w:jc w:val="both"/>
        <w:rPr>
          <w:rFonts w:eastAsiaTheme="minorEastAsia" w:cs="Times New Roman"/>
          <w:sz w:val="20"/>
          <w:szCs w:val="20"/>
          <w:lang w:val="en-US"/>
        </w:rPr>
      </w:pPr>
    </w:p>
    <w:p w:rsidR="000A2923" w:rsidRPr="000A2923" w:rsidRDefault="000A2923" w:rsidP="000A2923">
      <w:pPr>
        <w:widowControl w:val="0"/>
        <w:autoSpaceDE w:val="0"/>
        <w:autoSpaceDN w:val="0"/>
        <w:adjustRightInd w:val="0"/>
        <w:jc w:val="both"/>
        <w:rPr>
          <w:rFonts w:eastAsiaTheme="minorEastAsia" w:cs="Times New Roman"/>
          <w:sz w:val="20"/>
          <w:szCs w:val="20"/>
          <w:lang w:val="fr-CA"/>
        </w:rPr>
      </w:pPr>
      <w:r w:rsidRPr="000A2923">
        <w:rPr>
          <w:rFonts w:eastAsiaTheme="minorEastAsia" w:cs="Times New Roman"/>
          <w:b/>
          <w:sz w:val="20"/>
          <w:szCs w:val="20"/>
          <w:lang w:val="fr-CA"/>
        </w:rPr>
        <w:t>À LA SUITE DES REQUÊTES</w:t>
      </w:r>
      <w:r w:rsidRPr="000A2923">
        <w:rPr>
          <w:rFonts w:eastAsiaTheme="minorEastAsia" w:cs="Times New Roman"/>
          <w:sz w:val="20"/>
          <w:szCs w:val="20"/>
          <w:lang w:val="fr-CA"/>
        </w:rPr>
        <w:t xml:space="preserve"> présentées par l’Association canadienne du médicament générique, par Les compagnies de recherche pharmaceutique du Canada et par Laboratoire Riva Inc. pour obtenir l’autorisation d’intervenir dans le présent appel;</w:t>
      </w:r>
    </w:p>
    <w:p w:rsidR="000A2923" w:rsidRPr="000A2923" w:rsidRDefault="000A2923" w:rsidP="000A2923">
      <w:pPr>
        <w:widowControl w:val="0"/>
        <w:autoSpaceDE w:val="0"/>
        <w:autoSpaceDN w:val="0"/>
        <w:adjustRightInd w:val="0"/>
        <w:contextualSpacing/>
        <w:jc w:val="both"/>
        <w:rPr>
          <w:rFonts w:eastAsiaTheme="minorEastAsia" w:cs="Times New Roman"/>
          <w:sz w:val="20"/>
          <w:szCs w:val="20"/>
          <w:lang w:val="fr-CA"/>
        </w:rPr>
      </w:pPr>
    </w:p>
    <w:p w:rsidR="000A2923" w:rsidRPr="000A2923" w:rsidRDefault="000A2923" w:rsidP="000A2923">
      <w:pPr>
        <w:widowControl w:val="0"/>
        <w:autoSpaceDE w:val="0"/>
        <w:autoSpaceDN w:val="0"/>
        <w:adjustRightInd w:val="0"/>
        <w:jc w:val="both"/>
        <w:rPr>
          <w:rFonts w:eastAsiaTheme="minorEastAsia" w:cs="Times New Roman"/>
          <w:sz w:val="20"/>
          <w:szCs w:val="20"/>
          <w:lang w:val="fr-CA"/>
        </w:rPr>
      </w:pPr>
      <w:r w:rsidRPr="000A2923">
        <w:rPr>
          <w:rFonts w:eastAsiaTheme="minorEastAsia" w:cs="Times New Roman"/>
          <w:b/>
          <w:sz w:val="20"/>
          <w:szCs w:val="20"/>
          <w:lang w:val="fr-CA"/>
        </w:rPr>
        <w:t>ET APRÈS EXAMEN</w:t>
      </w:r>
      <w:r w:rsidRPr="000A2923">
        <w:rPr>
          <w:rFonts w:eastAsiaTheme="minorEastAsia" w:cs="Times New Roman"/>
          <w:sz w:val="20"/>
          <w:szCs w:val="20"/>
          <w:lang w:val="fr-CA"/>
        </w:rPr>
        <w:t xml:space="preserve"> des documents déposés;</w:t>
      </w:r>
    </w:p>
    <w:p w:rsidR="000A2923" w:rsidRPr="000A2923" w:rsidRDefault="000A2923" w:rsidP="000A2923">
      <w:pPr>
        <w:widowControl w:val="0"/>
        <w:autoSpaceDE w:val="0"/>
        <w:autoSpaceDN w:val="0"/>
        <w:adjustRightInd w:val="0"/>
        <w:contextualSpacing/>
        <w:jc w:val="both"/>
        <w:rPr>
          <w:rFonts w:eastAsiaTheme="minorEastAsia" w:cs="Times New Roman"/>
          <w:sz w:val="20"/>
          <w:szCs w:val="20"/>
          <w:lang w:val="fr-CA"/>
        </w:rPr>
      </w:pPr>
    </w:p>
    <w:p w:rsidR="000A2923" w:rsidRPr="000A2923" w:rsidRDefault="000A2923" w:rsidP="000A2923">
      <w:pPr>
        <w:widowControl w:val="0"/>
        <w:autoSpaceDE w:val="0"/>
        <w:autoSpaceDN w:val="0"/>
        <w:adjustRightInd w:val="0"/>
        <w:jc w:val="both"/>
        <w:rPr>
          <w:rFonts w:eastAsiaTheme="minorEastAsia" w:cs="Times New Roman"/>
          <w:b/>
          <w:sz w:val="20"/>
          <w:szCs w:val="20"/>
          <w:lang w:val="fr-CA"/>
        </w:rPr>
      </w:pPr>
      <w:r w:rsidRPr="000A2923">
        <w:rPr>
          <w:rFonts w:eastAsiaTheme="minorEastAsia" w:cs="Times New Roman"/>
          <w:b/>
          <w:sz w:val="20"/>
          <w:szCs w:val="20"/>
          <w:lang w:val="fr-CA"/>
        </w:rPr>
        <w:t>IL EST ORDONNÉ CE QUI SUIT :</w:t>
      </w:r>
    </w:p>
    <w:p w:rsidR="000A2923" w:rsidRPr="000A2923" w:rsidRDefault="000A2923" w:rsidP="000A2923">
      <w:pPr>
        <w:widowControl w:val="0"/>
        <w:autoSpaceDE w:val="0"/>
        <w:autoSpaceDN w:val="0"/>
        <w:adjustRightInd w:val="0"/>
        <w:contextualSpacing/>
        <w:jc w:val="both"/>
        <w:rPr>
          <w:rFonts w:eastAsiaTheme="minorEastAsia" w:cs="Times New Roman"/>
          <w:sz w:val="20"/>
          <w:szCs w:val="20"/>
          <w:lang w:val="fr-CA"/>
        </w:rPr>
      </w:pPr>
    </w:p>
    <w:p w:rsidR="000A2923" w:rsidRPr="000A2923" w:rsidRDefault="000A2923" w:rsidP="000A2923">
      <w:pPr>
        <w:widowControl w:val="0"/>
        <w:autoSpaceDE w:val="0"/>
        <w:autoSpaceDN w:val="0"/>
        <w:adjustRightInd w:val="0"/>
        <w:jc w:val="both"/>
        <w:rPr>
          <w:rFonts w:eastAsiaTheme="minorEastAsia" w:cs="Times New Roman"/>
          <w:sz w:val="20"/>
          <w:szCs w:val="20"/>
          <w:lang w:val="fr-CA"/>
        </w:rPr>
      </w:pPr>
      <w:r w:rsidRPr="000A2923">
        <w:rPr>
          <w:rFonts w:eastAsiaTheme="minorEastAsia" w:cs="Times New Roman"/>
          <w:sz w:val="20"/>
          <w:szCs w:val="20"/>
          <w:lang w:val="fr-CA"/>
        </w:rPr>
        <w:t>Les requêtes en autorisation d’intervenir présentées par l’Association canadienne du médicament générique et par Les compagnies de recherche pharmaceutique du Canada sont accueillies et ces intervenantes sont autorisées à signifier et à déposer un mémoire d’au plus 10 pages au plus tard le 31 mars 2015</w:t>
      </w:r>
    </w:p>
    <w:p w:rsidR="000A2923" w:rsidRPr="000A2923" w:rsidRDefault="000A2923" w:rsidP="000A2923">
      <w:pPr>
        <w:widowControl w:val="0"/>
        <w:autoSpaceDE w:val="0"/>
        <w:autoSpaceDN w:val="0"/>
        <w:adjustRightInd w:val="0"/>
        <w:jc w:val="both"/>
        <w:rPr>
          <w:rFonts w:eastAsiaTheme="minorEastAsia" w:cs="Times New Roman"/>
          <w:sz w:val="20"/>
          <w:szCs w:val="20"/>
          <w:lang w:val="fr-CA"/>
        </w:rPr>
      </w:pPr>
    </w:p>
    <w:p w:rsidR="000A2923" w:rsidRPr="000A2923" w:rsidRDefault="000A2923" w:rsidP="000A2923">
      <w:pPr>
        <w:widowControl w:val="0"/>
        <w:autoSpaceDE w:val="0"/>
        <w:autoSpaceDN w:val="0"/>
        <w:adjustRightInd w:val="0"/>
        <w:jc w:val="both"/>
        <w:rPr>
          <w:rFonts w:eastAsiaTheme="minorEastAsia" w:cs="Times New Roman"/>
          <w:sz w:val="20"/>
          <w:szCs w:val="20"/>
          <w:lang w:val="fr-CA"/>
        </w:rPr>
      </w:pPr>
      <w:r w:rsidRPr="000A2923">
        <w:rPr>
          <w:rFonts w:eastAsiaTheme="minorEastAsia" w:cs="Times New Roman"/>
          <w:sz w:val="20"/>
          <w:szCs w:val="20"/>
          <w:lang w:val="fr-CA"/>
        </w:rPr>
        <w:t>La requête en autorisation d’intervenir de Laboratoire Riva Inc. est rejetée.</w:t>
      </w:r>
    </w:p>
    <w:p w:rsidR="000A2923" w:rsidRPr="000A2923" w:rsidRDefault="000A2923" w:rsidP="000A2923">
      <w:pPr>
        <w:widowControl w:val="0"/>
        <w:autoSpaceDE w:val="0"/>
        <w:autoSpaceDN w:val="0"/>
        <w:adjustRightInd w:val="0"/>
        <w:contextualSpacing/>
        <w:jc w:val="both"/>
        <w:rPr>
          <w:rFonts w:eastAsiaTheme="minorEastAsia" w:cs="Times New Roman"/>
          <w:sz w:val="20"/>
          <w:szCs w:val="20"/>
          <w:lang w:val="fr-CA"/>
        </w:rPr>
      </w:pPr>
    </w:p>
    <w:p w:rsidR="000A2923" w:rsidRPr="000A2923" w:rsidRDefault="000A2923" w:rsidP="000A2923">
      <w:pPr>
        <w:widowControl w:val="0"/>
        <w:autoSpaceDE w:val="0"/>
        <w:autoSpaceDN w:val="0"/>
        <w:adjustRightInd w:val="0"/>
        <w:jc w:val="both"/>
        <w:rPr>
          <w:rFonts w:eastAsiaTheme="minorEastAsia" w:cs="Times New Roman"/>
          <w:sz w:val="20"/>
          <w:szCs w:val="20"/>
          <w:lang w:val="fr-CA"/>
        </w:rPr>
      </w:pPr>
      <w:r w:rsidRPr="000A2923">
        <w:rPr>
          <w:rFonts w:eastAsiaTheme="minorEastAsia" w:cs="Times New Roman"/>
          <w:sz w:val="20"/>
          <w:szCs w:val="20"/>
          <w:lang w:val="fr-CA"/>
        </w:rPr>
        <w:t>La décision sur les demandes en vue de présenter des plaidoiries orales sera rendue après réception et examen des arguments écrits des parties et des intervenantes.</w:t>
      </w:r>
    </w:p>
    <w:p w:rsidR="000A2923" w:rsidRPr="000A2923" w:rsidRDefault="000A2923" w:rsidP="000A2923">
      <w:pPr>
        <w:widowControl w:val="0"/>
        <w:autoSpaceDE w:val="0"/>
        <w:autoSpaceDN w:val="0"/>
        <w:adjustRightInd w:val="0"/>
        <w:contextualSpacing/>
        <w:jc w:val="both"/>
        <w:rPr>
          <w:rFonts w:eastAsiaTheme="minorEastAsia" w:cs="Times New Roman"/>
          <w:sz w:val="20"/>
          <w:szCs w:val="20"/>
          <w:lang w:val="fr-CA"/>
        </w:rPr>
      </w:pPr>
    </w:p>
    <w:p w:rsidR="000A2923" w:rsidRPr="000A2923" w:rsidRDefault="000A2923" w:rsidP="000A2923">
      <w:pPr>
        <w:widowControl w:val="0"/>
        <w:autoSpaceDE w:val="0"/>
        <w:autoSpaceDN w:val="0"/>
        <w:adjustRightInd w:val="0"/>
        <w:jc w:val="both"/>
        <w:rPr>
          <w:rFonts w:eastAsiaTheme="minorEastAsia" w:cs="Times New Roman"/>
          <w:sz w:val="20"/>
          <w:szCs w:val="20"/>
          <w:lang w:val="fr-CA"/>
        </w:rPr>
      </w:pPr>
      <w:r w:rsidRPr="000A2923">
        <w:rPr>
          <w:rFonts w:eastAsiaTheme="minorEastAsia" w:cs="Times New Roman"/>
          <w:sz w:val="20"/>
          <w:szCs w:val="20"/>
          <w:lang w:val="fr-CA"/>
        </w:rPr>
        <w:t>Les intervenantes n’ont pas le droit de soulever de nouvelles questions, de produire d’autres éléments de preuve, ni de compléter de quelque autre façon le dossier des parties.</w:t>
      </w:r>
    </w:p>
    <w:p w:rsidR="000A2923" w:rsidRPr="000A2923" w:rsidRDefault="000A2923" w:rsidP="000A2923">
      <w:pPr>
        <w:widowControl w:val="0"/>
        <w:autoSpaceDE w:val="0"/>
        <w:autoSpaceDN w:val="0"/>
        <w:adjustRightInd w:val="0"/>
        <w:contextualSpacing/>
        <w:jc w:val="both"/>
        <w:rPr>
          <w:rFonts w:eastAsiaTheme="minorEastAsia" w:cs="Times New Roman"/>
          <w:sz w:val="20"/>
          <w:szCs w:val="20"/>
          <w:lang w:val="fr-CA"/>
        </w:rPr>
      </w:pPr>
    </w:p>
    <w:p w:rsidR="000A2923" w:rsidRPr="000A2923" w:rsidRDefault="000A2923" w:rsidP="000A2923">
      <w:pPr>
        <w:widowControl w:val="0"/>
        <w:autoSpaceDE w:val="0"/>
        <w:autoSpaceDN w:val="0"/>
        <w:adjustRightInd w:val="0"/>
        <w:jc w:val="both"/>
        <w:rPr>
          <w:rFonts w:eastAsiaTheme="minorEastAsia" w:cs="Times New Roman"/>
          <w:sz w:val="20"/>
          <w:szCs w:val="20"/>
          <w:lang w:val="fr-CA"/>
        </w:rPr>
      </w:pPr>
      <w:r w:rsidRPr="000A2923">
        <w:rPr>
          <w:rFonts w:eastAsiaTheme="minorEastAsia" w:cs="Times New Roman"/>
          <w:sz w:val="20"/>
          <w:szCs w:val="20"/>
          <w:lang w:val="fr-CA"/>
        </w:rPr>
        <w:t>Conformément à l’al. 59(1)</w:t>
      </w:r>
      <w:r w:rsidRPr="000A2923">
        <w:rPr>
          <w:rFonts w:eastAsiaTheme="minorEastAsia" w:cs="Times New Roman"/>
          <w:i/>
          <w:sz w:val="20"/>
          <w:szCs w:val="20"/>
          <w:lang w:val="fr-CA"/>
        </w:rPr>
        <w:t>a</w:t>
      </w:r>
      <w:r w:rsidRPr="000A2923">
        <w:rPr>
          <w:rFonts w:eastAsiaTheme="minorEastAsia" w:cs="Times New Roman"/>
          <w:sz w:val="20"/>
          <w:szCs w:val="20"/>
          <w:lang w:val="fr-CA"/>
        </w:rPr>
        <w:t xml:space="preserve">) des </w:t>
      </w:r>
      <w:r w:rsidRPr="000A2923">
        <w:rPr>
          <w:rFonts w:eastAsiaTheme="minorEastAsia" w:cs="Times New Roman"/>
          <w:i/>
          <w:sz w:val="20"/>
          <w:szCs w:val="20"/>
          <w:lang w:val="fr-CA"/>
        </w:rPr>
        <w:t>Règles de la Cour suprême du Canada</w:t>
      </w:r>
      <w:r w:rsidRPr="000A2923">
        <w:rPr>
          <w:rFonts w:eastAsiaTheme="minorEastAsia" w:cs="Times New Roman"/>
          <w:sz w:val="20"/>
          <w:szCs w:val="20"/>
          <w:lang w:val="fr-CA"/>
        </w:rPr>
        <w:t>, les intervenantes paieront aux appelantes et à l’intimée tous les débours supplémentaires résultant de leur intervention.</w:t>
      </w:r>
    </w:p>
    <w:p w:rsidR="000A2923" w:rsidRPr="000A2923" w:rsidRDefault="000A2923" w:rsidP="000A2923">
      <w:pPr>
        <w:widowControl w:val="0"/>
        <w:autoSpaceDE w:val="0"/>
        <w:autoSpaceDN w:val="0"/>
        <w:adjustRightInd w:val="0"/>
        <w:contextualSpacing/>
        <w:jc w:val="both"/>
        <w:rPr>
          <w:rFonts w:eastAsiaTheme="minorEastAsia" w:cs="Times New Roman"/>
          <w:sz w:val="20"/>
          <w:szCs w:val="20"/>
          <w:lang w:val="fr-CA"/>
        </w:rPr>
      </w:pPr>
    </w:p>
    <w:p w:rsidR="000A2923" w:rsidRPr="000A2923" w:rsidRDefault="000A2923" w:rsidP="000A2923">
      <w:pPr>
        <w:autoSpaceDE w:val="0"/>
        <w:autoSpaceDN w:val="0"/>
        <w:adjustRightInd w:val="0"/>
        <w:jc w:val="both"/>
        <w:rPr>
          <w:rFonts w:eastAsiaTheme="minorEastAsia" w:cs="Times New Roman"/>
          <w:sz w:val="20"/>
          <w:szCs w:val="20"/>
          <w:lang w:val="fr-CA"/>
        </w:rPr>
      </w:pPr>
      <w:r w:rsidRPr="000A2923">
        <w:rPr>
          <w:rFonts w:eastAsiaTheme="minorEastAsia" w:cs="Times New Roman"/>
          <w:sz w:val="20"/>
          <w:szCs w:val="20"/>
          <w:lang w:val="fr-CA"/>
        </w:rPr>
        <w:t>Les appelantes et l’intimée sont autorisées à signifier et à déposer un mémoire d’au plus dix (10) pages en réponse à ces interventions au plus tard le 7 avril 2014.</w:t>
      </w:r>
    </w:p>
    <w:p w:rsidR="000A2923" w:rsidRPr="000A2923" w:rsidRDefault="000A2923" w:rsidP="000A2923">
      <w:pPr>
        <w:tabs>
          <w:tab w:val="left" w:pos="-1440"/>
          <w:tab w:val="left" w:pos="-720"/>
        </w:tabs>
        <w:jc w:val="both"/>
        <w:rPr>
          <w:rFonts w:eastAsia="Times New Roman" w:cs="Times New Roman"/>
          <w:sz w:val="20"/>
          <w:szCs w:val="20"/>
          <w:lang w:val="fr-CA" w:eastAsia="en-CA"/>
        </w:rPr>
      </w:pPr>
    </w:p>
    <w:p w:rsidR="000A2923" w:rsidRPr="000A2923" w:rsidRDefault="00BF341F" w:rsidP="000A292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2" style="width:2in;height:1pt" o:hrpct="0" o:hralign="center" o:hrstd="t" o:hrnoshade="t" o:hr="t" fillcolor="black [3213]" stroked="f"/>
        </w:pict>
      </w:r>
    </w:p>
    <w:p w:rsidR="000A2923" w:rsidRPr="000A2923" w:rsidRDefault="000A2923" w:rsidP="000A2923">
      <w:pPr>
        <w:tabs>
          <w:tab w:val="left" w:pos="-1440"/>
          <w:tab w:val="left" w:pos="-720"/>
        </w:tabs>
        <w:jc w:val="both"/>
        <w:rPr>
          <w:rFonts w:eastAsia="Times New Roman" w:cs="Times New Roman"/>
          <w:sz w:val="20"/>
          <w:szCs w:val="20"/>
          <w:lang w:eastAsia="en-CA"/>
        </w:rPr>
      </w:pPr>
    </w:p>
    <w:p w:rsidR="000A2923" w:rsidRPr="000A2923" w:rsidRDefault="000A2923" w:rsidP="000A2923">
      <w:pPr>
        <w:tabs>
          <w:tab w:val="left" w:pos="-1440"/>
          <w:tab w:val="left" w:pos="-720"/>
        </w:tabs>
        <w:jc w:val="both"/>
        <w:rPr>
          <w:rFonts w:eastAsia="Times New Roman" w:cs="Times New Roman"/>
          <w:sz w:val="20"/>
          <w:szCs w:val="20"/>
          <w:lang w:val="fr-CA" w:eastAsia="en-CA"/>
        </w:rPr>
      </w:pPr>
      <w:r w:rsidRPr="000A2923">
        <w:rPr>
          <w:rFonts w:eastAsia="Times New Roman" w:cs="Times New Roman"/>
          <w:sz w:val="20"/>
          <w:szCs w:val="20"/>
          <w:lang w:val="fr-CA" w:eastAsia="en-CA"/>
        </w:rPr>
        <w:t>06.03.2015</w:t>
      </w:r>
    </w:p>
    <w:p w:rsidR="000A2923" w:rsidRPr="000A2923" w:rsidRDefault="000A2923" w:rsidP="000A2923">
      <w:pPr>
        <w:tabs>
          <w:tab w:val="left" w:pos="-1440"/>
          <w:tab w:val="left" w:pos="-720"/>
        </w:tabs>
        <w:jc w:val="both"/>
        <w:rPr>
          <w:rFonts w:eastAsia="Times New Roman" w:cs="Times New Roman"/>
          <w:sz w:val="20"/>
          <w:szCs w:val="20"/>
          <w:lang w:eastAsia="en-CA"/>
        </w:rPr>
      </w:pPr>
    </w:p>
    <w:p w:rsidR="000A2923" w:rsidRPr="000A2923" w:rsidRDefault="000A2923" w:rsidP="000A2923">
      <w:pPr>
        <w:tabs>
          <w:tab w:val="left" w:pos="-1440"/>
          <w:tab w:val="left" w:pos="-720"/>
        </w:tabs>
        <w:jc w:val="both"/>
        <w:rPr>
          <w:rFonts w:eastAsia="Times New Roman" w:cs="Times New Roman"/>
          <w:sz w:val="20"/>
          <w:szCs w:val="20"/>
          <w:lang w:eastAsia="en-CA"/>
        </w:rPr>
      </w:pPr>
      <w:r w:rsidRPr="000A2923">
        <w:rPr>
          <w:rFonts w:eastAsia="Times New Roman" w:cs="Times New Roman"/>
          <w:sz w:val="20"/>
          <w:szCs w:val="20"/>
          <w:lang w:eastAsia="en-CA"/>
        </w:rPr>
        <w:t>Before / Devant:   THE DEPUTY REGISTRAR / LE REGISTRAIRE ADJOINT</w:t>
      </w:r>
    </w:p>
    <w:p w:rsidR="000A2923" w:rsidRPr="000A2923" w:rsidRDefault="000A2923" w:rsidP="000A2923">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A2923" w:rsidRPr="00C3091A" w:rsidTr="00BF5229">
        <w:tc>
          <w:tcPr>
            <w:tcW w:w="4338" w:type="dxa"/>
          </w:tcPr>
          <w:p w:rsidR="000A2923" w:rsidRPr="000A2923" w:rsidRDefault="00A62C48" w:rsidP="000A2923">
            <w:pPr>
              <w:tabs>
                <w:tab w:val="left" w:pos="-1440"/>
                <w:tab w:val="left" w:pos="-720"/>
              </w:tabs>
              <w:jc w:val="both"/>
              <w:rPr>
                <w:b/>
              </w:rPr>
            </w:pPr>
            <w:r w:rsidRPr="000A2923">
              <w:rPr>
                <w:szCs w:val="24"/>
                <w:lang w:val="en-US"/>
              </w:rPr>
              <w:fldChar w:fldCharType="begin"/>
            </w:r>
            <w:r w:rsidR="000A2923" w:rsidRPr="000A2923">
              <w:rPr>
                <w:szCs w:val="24"/>
                <w:lang w:val="en-US"/>
              </w:rPr>
              <w:instrText xml:space="preserve"> SEQ CHAPTER \h \r 1</w:instrText>
            </w:r>
            <w:r w:rsidRPr="000A2923">
              <w:rPr>
                <w:szCs w:val="24"/>
                <w:lang w:val="en-US"/>
              </w:rPr>
              <w:fldChar w:fldCharType="end"/>
            </w:r>
            <w:r w:rsidR="000A2923" w:rsidRPr="000A2923">
              <w:rPr>
                <w:b/>
                <w:bCs/>
                <w:lang w:val="en-US"/>
              </w:rPr>
              <w:t>Motion to extend time</w:t>
            </w:r>
          </w:p>
        </w:tc>
        <w:tc>
          <w:tcPr>
            <w:tcW w:w="1170" w:type="dxa"/>
          </w:tcPr>
          <w:p w:rsidR="000A2923" w:rsidRPr="000A2923" w:rsidRDefault="000A2923" w:rsidP="000A2923">
            <w:pPr>
              <w:tabs>
                <w:tab w:val="left" w:pos="-1440"/>
                <w:tab w:val="left" w:pos="-720"/>
              </w:tabs>
              <w:jc w:val="both"/>
            </w:pPr>
          </w:p>
          <w:p w:rsidR="000A2923" w:rsidRPr="000A2923" w:rsidRDefault="000A2923" w:rsidP="000A2923">
            <w:pPr>
              <w:tabs>
                <w:tab w:val="left" w:pos="-1440"/>
                <w:tab w:val="left" w:pos="-720"/>
              </w:tabs>
              <w:jc w:val="both"/>
            </w:pPr>
          </w:p>
        </w:tc>
        <w:tc>
          <w:tcPr>
            <w:tcW w:w="4327" w:type="dxa"/>
          </w:tcPr>
          <w:p w:rsidR="000A2923" w:rsidRPr="000A2923" w:rsidRDefault="000A2923" w:rsidP="000A2923">
            <w:pPr>
              <w:tabs>
                <w:tab w:val="left" w:pos="-1440"/>
                <w:tab w:val="left" w:pos="-720"/>
              </w:tabs>
              <w:jc w:val="both"/>
              <w:rPr>
                <w:lang w:val="fr-CA"/>
              </w:rPr>
            </w:pPr>
            <w:r w:rsidRPr="000A2923">
              <w:rPr>
                <w:b/>
                <w:bCs/>
                <w:color w:val="000000"/>
                <w:lang w:val="fr-CA"/>
              </w:rPr>
              <w:t>Requête en prorogation de délai</w:t>
            </w:r>
            <w:r w:rsidRPr="000A2923">
              <w:rPr>
                <w:szCs w:val="24"/>
                <w:lang w:val="fr-CA"/>
              </w:rPr>
              <w:t xml:space="preserve"> </w:t>
            </w:r>
            <w:r w:rsidR="00A62C48" w:rsidRPr="000A2923">
              <w:rPr>
                <w:szCs w:val="24"/>
                <w:lang w:val="en-US"/>
              </w:rPr>
              <w:fldChar w:fldCharType="begin"/>
            </w:r>
            <w:r w:rsidRPr="000A2923">
              <w:rPr>
                <w:szCs w:val="24"/>
                <w:lang w:val="fr-CA"/>
              </w:rPr>
              <w:instrText xml:space="preserve"> SEQ CHAPTER \h \r 1</w:instrText>
            </w:r>
            <w:r w:rsidR="00A62C48" w:rsidRPr="000A2923">
              <w:rPr>
                <w:szCs w:val="24"/>
                <w:lang w:val="en-US"/>
              </w:rPr>
              <w:fldChar w:fldCharType="end"/>
            </w:r>
            <w:r w:rsidR="00A62C48" w:rsidRPr="000A2923">
              <w:rPr>
                <w:szCs w:val="24"/>
                <w:lang w:val="en-US"/>
              </w:rPr>
              <w:fldChar w:fldCharType="begin"/>
            </w:r>
            <w:r w:rsidRPr="000A2923">
              <w:rPr>
                <w:szCs w:val="24"/>
                <w:lang w:val="fr-CA"/>
              </w:rPr>
              <w:instrText xml:space="preserve"> SEQ CHAPTER \h \r 1</w:instrText>
            </w:r>
            <w:r w:rsidR="00A62C48" w:rsidRPr="000A2923">
              <w:rPr>
                <w:szCs w:val="24"/>
                <w:lang w:val="en-US"/>
              </w:rPr>
              <w:fldChar w:fldCharType="end"/>
            </w:r>
          </w:p>
        </w:tc>
      </w:tr>
      <w:tr w:rsidR="000A2923" w:rsidRPr="000A2923" w:rsidTr="00BF5229">
        <w:tc>
          <w:tcPr>
            <w:tcW w:w="4338" w:type="dxa"/>
          </w:tcPr>
          <w:p w:rsidR="000A2923" w:rsidRPr="000A2923" w:rsidRDefault="000A2923" w:rsidP="000A2923">
            <w:pPr>
              <w:tabs>
                <w:tab w:val="left" w:pos="-1440"/>
                <w:tab w:val="left" w:pos="-720"/>
              </w:tabs>
              <w:jc w:val="both"/>
            </w:pPr>
            <w:r w:rsidRPr="000A2923">
              <w:t>Attorney General for Saskatchewan</w:t>
            </w:r>
          </w:p>
          <w:p w:rsidR="000A2923" w:rsidRPr="000A2923" w:rsidRDefault="000A2923" w:rsidP="000A2923">
            <w:pPr>
              <w:tabs>
                <w:tab w:val="left" w:pos="-1440"/>
                <w:tab w:val="left" w:pos="-720"/>
              </w:tabs>
              <w:jc w:val="both"/>
            </w:pPr>
          </w:p>
          <w:p w:rsidR="000A2923" w:rsidRPr="000A2923" w:rsidRDefault="000A2923" w:rsidP="000A2923">
            <w:pPr>
              <w:tabs>
                <w:tab w:val="left" w:pos="-1440"/>
                <w:tab w:val="left" w:pos="-720"/>
              </w:tabs>
              <w:jc w:val="both"/>
            </w:pPr>
            <w:r w:rsidRPr="000A2923">
              <w:tab/>
              <w:t>v. (35923)</w:t>
            </w:r>
          </w:p>
          <w:p w:rsidR="000A2923" w:rsidRPr="000A2923" w:rsidRDefault="000A2923" w:rsidP="000A2923">
            <w:pPr>
              <w:tabs>
                <w:tab w:val="left" w:pos="-1440"/>
                <w:tab w:val="left" w:pos="-720"/>
              </w:tabs>
              <w:jc w:val="both"/>
            </w:pPr>
          </w:p>
          <w:p w:rsidR="000A2923" w:rsidRPr="000A2923" w:rsidRDefault="000A2923" w:rsidP="000A2923">
            <w:pPr>
              <w:tabs>
                <w:tab w:val="left" w:pos="-1440"/>
                <w:tab w:val="left" w:pos="-720"/>
              </w:tabs>
              <w:jc w:val="both"/>
            </w:pPr>
            <w:r w:rsidRPr="000A2923">
              <w:t>Lemare Lake Logging Ltd. (Sask.)</w:t>
            </w:r>
          </w:p>
        </w:tc>
        <w:tc>
          <w:tcPr>
            <w:tcW w:w="1170" w:type="dxa"/>
          </w:tcPr>
          <w:p w:rsidR="000A2923" w:rsidRPr="000A2923" w:rsidRDefault="000A2923" w:rsidP="000A2923">
            <w:pPr>
              <w:tabs>
                <w:tab w:val="left" w:pos="-1440"/>
                <w:tab w:val="left" w:pos="-720"/>
              </w:tabs>
              <w:jc w:val="both"/>
            </w:pPr>
          </w:p>
        </w:tc>
        <w:tc>
          <w:tcPr>
            <w:tcW w:w="4327" w:type="dxa"/>
          </w:tcPr>
          <w:p w:rsidR="000A2923" w:rsidRPr="000A2923" w:rsidRDefault="000A2923" w:rsidP="000A2923">
            <w:pPr>
              <w:tabs>
                <w:tab w:val="left" w:pos="-1440"/>
                <w:tab w:val="left" w:pos="-720"/>
              </w:tabs>
              <w:jc w:val="both"/>
            </w:pPr>
          </w:p>
        </w:tc>
      </w:tr>
    </w:tbl>
    <w:p w:rsidR="000A2923" w:rsidRPr="000A2923" w:rsidRDefault="000A2923" w:rsidP="000A2923">
      <w:pPr>
        <w:tabs>
          <w:tab w:val="left" w:pos="-1440"/>
          <w:tab w:val="left" w:pos="-720"/>
        </w:tabs>
        <w:jc w:val="both"/>
        <w:rPr>
          <w:rFonts w:eastAsia="Times New Roman" w:cs="Times New Roman"/>
          <w:sz w:val="20"/>
          <w:szCs w:val="20"/>
          <w:lang w:eastAsia="en-CA"/>
        </w:rPr>
      </w:pPr>
    </w:p>
    <w:p w:rsidR="000A2923" w:rsidRPr="000A2923" w:rsidRDefault="000A2923" w:rsidP="000A2923">
      <w:pPr>
        <w:tabs>
          <w:tab w:val="left" w:pos="-1440"/>
          <w:tab w:val="left" w:pos="-720"/>
        </w:tabs>
        <w:jc w:val="both"/>
        <w:rPr>
          <w:rFonts w:eastAsia="Times New Roman" w:cs="Times New Roman"/>
          <w:b/>
          <w:sz w:val="20"/>
          <w:szCs w:val="20"/>
          <w:lang w:eastAsia="en-CA"/>
        </w:rPr>
      </w:pPr>
      <w:r w:rsidRPr="000A2923">
        <w:rPr>
          <w:rFonts w:eastAsia="Times New Roman" w:cs="Times New Roman"/>
          <w:b/>
          <w:sz w:val="20"/>
          <w:szCs w:val="20"/>
          <w:lang w:eastAsia="en-CA"/>
        </w:rPr>
        <w:t>GRANTED / ACCORDÉE</w:t>
      </w:r>
    </w:p>
    <w:p w:rsidR="000A2923" w:rsidRPr="000A2923" w:rsidRDefault="000A2923" w:rsidP="000A2923">
      <w:pPr>
        <w:tabs>
          <w:tab w:val="left" w:pos="-1440"/>
          <w:tab w:val="left" w:pos="-720"/>
        </w:tabs>
        <w:jc w:val="both"/>
        <w:rPr>
          <w:rFonts w:eastAsia="Times New Roman" w:cs="Times New Roman"/>
          <w:sz w:val="20"/>
          <w:szCs w:val="20"/>
          <w:lang w:eastAsia="en-CA"/>
        </w:rPr>
      </w:pPr>
    </w:p>
    <w:p w:rsidR="000A2923" w:rsidRPr="000A2923" w:rsidRDefault="000A2923" w:rsidP="000A2923">
      <w:pPr>
        <w:jc w:val="both"/>
        <w:rPr>
          <w:rFonts w:eastAsia="Times New Roman" w:cs="Times New Roman"/>
          <w:sz w:val="20"/>
          <w:szCs w:val="20"/>
          <w:lang w:val="en-US"/>
        </w:rPr>
      </w:pPr>
      <w:r w:rsidRPr="000A2923">
        <w:rPr>
          <w:rFonts w:eastAsia="Times New Roman" w:cs="Times New Roman"/>
          <w:b/>
          <w:sz w:val="20"/>
          <w:szCs w:val="20"/>
          <w:lang w:val="en-US"/>
        </w:rPr>
        <w:t>UPON APPLICATION</w:t>
      </w:r>
      <w:r w:rsidRPr="000A2923">
        <w:rPr>
          <w:rFonts w:eastAsia="Times New Roman" w:cs="Times New Roman"/>
          <w:sz w:val="20"/>
          <w:szCs w:val="20"/>
          <w:lang w:val="en-US"/>
        </w:rPr>
        <w:t xml:space="preserve"> by the Attorney General of British Columbia for an order extending the time within which to serve and file its Notice of Intervention to February 20, 2015;</w:t>
      </w:r>
    </w:p>
    <w:p w:rsidR="000A2923" w:rsidRPr="000A2923" w:rsidRDefault="000A2923" w:rsidP="000A2923">
      <w:pPr>
        <w:jc w:val="both"/>
        <w:rPr>
          <w:rFonts w:eastAsia="Times New Roman" w:cs="Times New Roman"/>
          <w:sz w:val="20"/>
          <w:szCs w:val="20"/>
          <w:lang w:val="en-US"/>
        </w:rPr>
      </w:pPr>
    </w:p>
    <w:p w:rsidR="000A2923" w:rsidRPr="000A2923" w:rsidRDefault="000A2923" w:rsidP="000A2923">
      <w:pPr>
        <w:jc w:val="both"/>
        <w:rPr>
          <w:rFonts w:eastAsia="Times New Roman" w:cs="Times New Roman"/>
          <w:b/>
          <w:sz w:val="20"/>
          <w:szCs w:val="20"/>
          <w:lang w:val="en-US"/>
        </w:rPr>
      </w:pPr>
      <w:r w:rsidRPr="000A2923">
        <w:rPr>
          <w:rFonts w:eastAsia="Times New Roman" w:cs="Times New Roman"/>
          <w:b/>
          <w:sz w:val="20"/>
          <w:szCs w:val="20"/>
          <w:lang w:val="en-US"/>
        </w:rPr>
        <w:t xml:space="preserve">AND THE MATERIAL FILED </w:t>
      </w:r>
      <w:r w:rsidRPr="000A2923">
        <w:rPr>
          <w:rFonts w:eastAsia="Times New Roman" w:cs="Times New Roman"/>
          <w:sz w:val="20"/>
          <w:szCs w:val="20"/>
          <w:lang w:val="en-US"/>
        </w:rPr>
        <w:t>having been read;</w:t>
      </w:r>
    </w:p>
    <w:p w:rsidR="00620EAE" w:rsidRDefault="00620EAE">
      <w:pPr>
        <w:rPr>
          <w:rFonts w:eastAsia="Times New Roman" w:cs="Times New Roman"/>
          <w:b/>
          <w:sz w:val="20"/>
          <w:szCs w:val="20"/>
          <w:lang w:val="en-US"/>
        </w:rPr>
      </w:pPr>
    </w:p>
    <w:p w:rsidR="00620EAE" w:rsidRDefault="00620EAE">
      <w:pPr>
        <w:rPr>
          <w:rFonts w:eastAsia="Times New Roman" w:cs="Times New Roman"/>
          <w:b/>
          <w:sz w:val="20"/>
          <w:szCs w:val="20"/>
          <w:lang w:val="en-US"/>
        </w:rPr>
      </w:pPr>
      <w:r>
        <w:rPr>
          <w:rFonts w:eastAsia="Times New Roman" w:cs="Times New Roman"/>
          <w:b/>
          <w:sz w:val="20"/>
          <w:szCs w:val="20"/>
          <w:lang w:val="en-US"/>
        </w:rPr>
        <w:br w:type="page"/>
      </w:r>
    </w:p>
    <w:p w:rsidR="000A2923" w:rsidRPr="000A2923" w:rsidRDefault="000A2923" w:rsidP="000A2923">
      <w:pPr>
        <w:jc w:val="both"/>
        <w:rPr>
          <w:rFonts w:eastAsia="Times New Roman" w:cs="Times New Roman"/>
          <w:b/>
          <w:sz w:val="20"/>
          <w:szCs w:val="20"/>
          <w:lang w:val="en-US"/>
        </w:rPr>
      </w:pPr>
      <w:r w:rsidRPr="000A2923">
        <w:rPr>
          <w:rFonts w:eastAsia="Times New Roman" w:cs="Times New Roman"/>
          <w:b/>
          <w:sz w:val="20"/>
          <w:szCs w:val="20"/>
          <w:lang w:val="en-US"/>
        </w:rPr>
        <w:lastRenderedPageBreak/>
        <w:t>IT IS HEREBY ORDERED THAT:</w:t>
      </w:r>
    </w:p>
    <w:p w:rsidR="000A2923" w:rsidRPr="000A2923" w:rsidRDefault="000A2923" w:rsidP="000A2923">
      <w:pPr>
        <w:jc w:val="both"/>
        <w:rPr>
          <w:rFonts w:eastAsia="Times New Roman" w:cs="Times New Roman"/>
          <w:b/>
          <w:sz w:val="20"/>
          <w:szCs w:val="20"/>
          <w:lang w:val="en-US"/>
        </w:rPr>
      </w:pPr>
    </w:p>
    <w:p w:rsidR="000A2923" w:rsidRPr="000A2923" w:rsidRDefault="000A2923" w:rsidP="000A2923">
      <w:pPr>
        <w:ind w:firstLine="720"/>
        <w:jc w:val="both"/>
        <w:rPr>
          <w:rFonts w:eastAsia="Times New Roman" w:cs="Times New Roman"/>
          <w:sz w:val="20"/>
          <w:szCs w:val="20"/>
          <w:lang w:val="fr-CA"/>
        </w:rPr>
      </w:pPr>
      <w:r w:rsidRPr="000A2923">
        <w:rPr>
          <w:rFonts w:eastAsia="Times New Roman" w:cs="Times New Roman"/>
          <w:sz w:val="20"/>
          <w:szCs w:val="20"/>
          <w:lang w:val="fr-CA"/>
        </w:rPr>
        <w:t>The motion is granted.</w:t>
      </w:r>
    </w:p>
    <w:p w:rsidR="000A2923" w:rsidRPr="000A2923" w:rsidRDefault="000A2923" w:rsidP="000A2923">
      <w:pPr>
        <w:spacing w:line="233" w:lineRule="auto"/>
        <w:jc w:val="both"/>
        <w:rPr>
          <w:rFonts w:eastAsia="Times New Roman" w:cs="Times New Roman"/>
          <w:sz w:val="20"/>
          <w:szCs w:val="20"/>
          <w:lang w:val="fr-CA" w:eastAsia="en-CA"/>
        </w:rPr>
      </w:pPr>
    </w:p>
    <w:p w:rsidR="000A2923" w:rsidRPr="000A2923" w:rsidRDefault="000A2923" w:rsidP="000A2923">
      <w:pPr>
        <w:spacing w:line="233" w:lineRule="auto"/>
        <w:jc w:val="both"/>
        <w:rPr>
          <w:rFonts w:eastAsia="Times New Roman" w:cs="Times New Roman"/>
          <w:sz w:val="20"/>
          <w:szCs w:val="20"/>
          <w:lang w:val="fr-CA" w:eastAsia="en-CA"/>
        </w:rPr>
      </w:pPr>
    </w:p>
    <w:p w:rsidR="000A2923" w:rsidRPr="000A2923" w:rsidRDefault="000A2923" w:rsidP="000A2923">
      <w:pPr>
        <w:spacing w:line="233" w:lineRule="auto"/>
        <w:jc w:val="both"/>
        <w:rPr>
          <w:rFonts w:eastAsia="Times New Roman" w:cs="Times New Roman"/>
          <w:sz w:val="20"/>
          <w:szCs w:val="20"/>
          <w:lang w:val="fr-CA" w:eastAsia="en-CA"/>
        </w:rPr>
      </w:pPr>
    </w:p>
    <w:p w:rsidR="000A2923" w:rsidRPr="000A2923" w:rsidRDefault="000A2923" w:rsidP="000A2923">
      <w:pPr>
        <w:spacing w:line="233" w:lineRule="auto"/>
        <w:jc w:val="both"/>
        <w:rPr>
          <w:rFonts w:eastAsia="Times New Roman" w:cs="Times New Roman"/>
          <w:sz w:val="20"/>
          <w:szCs w:val="20"/>
          <w:lang w:val="fr-CA" w:eastAsia="en-CA"/>
        </w:rPr>
      </w:pPr>
      <w:r w:rsidRPr="000A2923">
        <w:rPr>
          <w:rFonts w:eastAsia="Times New Roman" w:cs="Times New Roman"/>
          <w:b/>
          <w:sz w:val="20"/>
          <w:szCs w:val="20"/>
          <w:lang w:val="fr-CA" w:eastAsia="en-CA"/>
        </w:rPr>
        <w:t>À LA SUITE DE LA DEMANDE</w:t>
      </w:r>
      <w:r w:rsidRPr="000A2923">
        <w:rPr>
          <w:rFonts w:eastAsia="Times New Roman" w:cs="Times New Roman"/>
          <w:sz w:val="20"/>
          <w:szCs w:val="20"/>
          <w:lang w:val="fr-CA" w:eastAsia="en-CA"/>
        </w:rPr>
        <w:t xml:space="preserve"> présentée par le procureur général de la Colombie-Britannique pour obtenir la prorogation du délai pour la signification et le dépôt de son avis d’intervention au 20 février 2015;</w:t>
      </w:r>
    </w:p>
    <w:p w:rsidR="000A2923" w:rsidRPr="000A2923" w:rsidRDefault="000A2923" w:rsidP="000A2923">
      <w:pPr>
        <w:spacing w:line="233" w:lineRule="auto"/>
        <w:jc w:val="both"/>
        <w:rPr>
          <w:rFonts w:eastAsia="Times New Roman" w:cs="Times New Roman"/>
          <w:sz w:val="20"/>
          <w:szCs w:val="20"/>
          <w:lang w:val="fr-CA" w:eastAsia="en-CA"/>
        </w:rPr>
      </w:pPr>
    </w:p>
    <w:p w:rsidR="000A2923" w:rsidRPr="000A2923" w:rsidRDefault="000A2923" w:rsidP="000A2923">
      <w:pPr>
        <w:spacing w:line="233" w:lineRule="auto"/>
        <w:jc w:val="both"/>
        <w:rPr>
          <w:rFonts w:eastAsia="Times New Roman" w:cs="Times New Roman"/>
          <w:sz w:val="20"/>
          <w:szCs w:val="20"/>
          <w:lang w:val="fr-CA" w:eastAsia="en-CA"/>
        </w:rPr>
      </w:pPr>
      <w:r w:rsidRPr="000A2923">
        <w:rPr>
          <w:rFonts w:eastAsia="Times New Roman" w:cs="Times New Roman"/>
          <w:b/>
          <w:sz w:val="20"/>
          <w:szCs w:val="20"/>
          <w:lang w:val="fr-CA" w:eastAsia="en-CA"/>
        </w:rPr>
        <w:t>ET APRÈS EXAMEN</w:t>
      </w:r>
      <w:r w:rsidRPr="000A2923">
        <w:rPr>
          <w:rFonts w:eastAsia="Times New Roman" w:cs="Times New Roman"/>
          <w:sz w:val="20"/>
          <w:szCs w:val="20"/>
          <w:lang w:val="fr-CA" w:eastAsia="en-CA"/>
        </w:rPr>
        <w:t xml:space="preserve"> des documents déposés;</w:t>
      </w:r>
    </w:p>
    <w:p w:rsidR="000A2923" w:rsidRPr="000A2923" w:rsidRDefault="000A2923" w:rsidP="000A2923">
      <w:pPr>
        <w:spacing w:line="233" w:lineRule="auto"/>
        <w:jc w:val="both"/>
        <w:rPr>
          <w:rFonts w:eastAsia="Times New Roman" w:cs="Times New Roman"/>
          <w:sz w:val="20"/>
          <w:szCs w:val="20"/>
          <w:lang w:val="fr-CA" w:eastAsia="en-CA"/>
        </w:rPr>
      </w:pPr>
    </w:p>
    <w:p w:rsidR="000A2923" w:rsidRPr="000A2923" w:rsidRDefault="000A2923" w:rsidP="000A2923">
      <w:pPr>
        <w:spacing w:line="233" w:lineRule="auto"/>
        <w:jc w:val="both"/>
        <w:rPr>
          <w:rFonts w:eastAsia="Times New Roman" w:cs="Times New Roman"/>
          <w:b/>
          <w:sz w:val="20"/>
          <w:szCs w:val="20"/>
          <w:lang w:val="fr-CA" w:eastAsia="en-CA"/>
        </w:rPr>
      </w:pPr>
      <w:r w:rsidRPr="000A2923">
        <w:rPr>
          <w:rFonts w:eastAsia="Times New Roman" w:cs="Times New Roman"/>
          <w:b/>
          <w:sz w:val="20"/>
          <w:szCs w:val="20"/>
          <w:lang w:val="fr-CA" w:eastAsia="en-CA"/>
        </w:rPr>
        <w:t>IL EST ORDONNÉ CE QUI SUIT :</w:t>
      </w:r>
    </w:p>
    <w:p w:rsidR="000A2923" w:rsidRPr="000A2923" w:rsidRDefault="000A2923" w:rsidP="000A2923">
      <w:pPr>
        <w:spacing w:line="233" w:lineRule="auto"/>
        <w:jc w:val="both"/>
        <w:rPr>
          <w:rFonts w:eastAsia="Times New Roman" w:cs="Times New Roman"/>
          <w:sz w:val="20"/>
          <w:szCs w:val="20"/>
          <w:lang w:val="fr-CA" w:eastAsia="en-CA"/>
        </w:rPr>
      </w:pPr>
    </w:p>
    <w:p w:rsidR="000A2923" w:rsidRPr="000A2923" w:rsidRDefault="000A2923" w:rsidP="000A2923">
      <w:pPr>
        <w:spacing w:line="233" w:lineRule="auto"/>
        <w:ind w:firstLine="720"/>
        <w:jc w:val="both"/>
        <w:rPr>
          <w:rFonts w:eastAsia="Times New Roman" w:cs="Times New Roman"/>
          <w:sz w:val="20"/>
          <w:szCs w:val="20"/>
          <w:lang w:val="fr-CA" w:eastAsia="en-CA"/>
        </w:rPr>
      </w:pPr>
      <w:r w:rsidRPr="000A2923">
        <w:rPr>
          <w:rFonts w:eastAsia="Times New Roman" w:cs="Times New Roman"/>
          <w:sz w:val="20"/>
          <w:szCs w:val="20"/>
          <w:lang w:val="fr-CA" w:eastAsia="en-CA"/>
        </w:rPr>
        <w:t>La requête est accueillie.</w:t>
      </w:r>
    </w:p>
    <w:p w:rsidR="000A2923" w:rsidRPr="000A2923" w:rsidRDefault="000A2923" w:rsidP="000A2923">
      <w:pPr>
        <w:tabs>
          <w:tab w:val="left" w:pos="-1440"/>
          <w:tab w:val="left" w:pos="-720"/>
        </w:tabs>
        <w:jc w:val="both"/>
        <w:rPr>
          <w:rFonts w:eastAsia="Times New Roman" w:cs="Times New Roman"/>
          <w:sz w:val="20"/>
          <w:szCs w:val="20"/>
          <w:lang w:eastAsia="en-CA"/>
        </w:rPr>
      </w:pPr>
    </w:p>
    <w:p w:rsidR="000A2923" w:rsidRPr="000A2923" w:rsidRDefault="00BF341F" w:rsidP="000A292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3" style="width:2in;height:1pt" o:hrpct="0" o:hralign="center" o:hrstd="t" o:hrnoshade="t" o:hr="t" fillcolor="black [3213]" stroked="f"/>
        </w:pict>
      </w:r>
    </w:p>
    <w:p w:rsidR="000A2923" w:rsidRPr="000A2923" w:rsidRDefault="000A2923" w:rsidP="000A2923">
      <w:pPr>
        <w:tabs>
          <w:tab w:val="left" w:pos="-1440"/>
          <w:tab w:val="left" w:pos="-720"/>
        </w:tabs>
        <w:jc w:val="both"/>
        <w:rPr>
          <w:rFonts w:eastAsia="Times New Roman" w:cs="Times New Roman"/>
          <w:sz w:val="20"/>
          <w:szCs w:val="20"/>
          <w:lang w:val="fr-CA" w:eastAsia="en-CA"/>
        </w:rPr>
      </w:pPr>
    </w:p>
    <w:p w:rsidR="000A2923" w:rsidRPr="000A2923" w:rsidRDefault="000A2923" w:rsidP="000A2923">
      <w:pPr>
        <w:tabs>
          <w:tab w:val="left" w:pos="-1440"/>
          <w:tab w:val="left" w:pos="-720"/>
        </w:tabs>
        <w:jc w:val="both"/>
        <w:rPr>
          <w:rFonts w:eastAsia="Times New Roman" w:cs="Times New Roman"/>
          <w:sz w:val="20"/>
          <w:szCs w:val="20"/>
          <w:lang w:val="fr-CA" w:eastAsia="en-CA"/>
        </w:rPr>
      </w:pPr>
      <w:r w:rsidRPr="000A2923">
        <w:rPr>
          <w:rFonts w:eastAsia="Times New Roman" w:cs="Times New Roman"/>
          <w:sz w:val="20"/>
          <w:szCs w:val="20"/>
          <w:lang w:val="fr-CA" w:eastAsia="en-CA"/>
        </w:rPr>
        <w:t>11.03.2015</w:t>
      </w:r>
    </w:p>
    <w:p w:rsidR="000A2923" w:rsidRPr="000A2923" w:rsidRDefault="000A2923" w:rsidP="000A2923">
      <w:pPr>
        <w:tabs>
          <w:tab w:val="left" w:pos="-1440"/>
          <w:tab w:val="left" w:pos="-720"/>
        </w:tabs>
        <w:jc w:val="both"/>
        <w:rPr>
          <w:rFonts w:eastAsia="Times New Roman" w:cs="Times New Roman"/>
          <w:sz w:val="20"/>
          <w:szCs w:val="20"/>
          <w:lang w:val="fr-CA" w:eastAsia="en-CA"/>
        </w:rPr>
      </w:pPr>
    </w:p>
    <w:p w:rsidR="000A2923" w:rsidRPr="000A2923" w:rsidRDefault="000A2923" w:rsidP="000A2923">
      <w:pPr>
        <w:tabs>
          <w:tab w:val="left" w:pos="-1440"/>
          <w:tab w:val="left" w:pos="-720"/>
        </w:tabs>
        <w:jc w:val="both"/>
        <w:rPr>
          <w:rFonts w:eastAsia="Times New Roman" w:cs="Times New Roman"/>
          <w:sz w:val="20"/>
          <w:szCs w:val="20"/>
          <w:lang w:val="fr-CA" w:eastAsia="en-CA"/>
        </w:rPr>
      </w:pPr>
      <w:r w:rsidRPr="000A2923">
        <w:rPr>
          <w:rFonts w:eastAsia="Times New Roman" w:cs="Times New Roman"/>
          <w:sz w:val="20"/>
          <w:szCs w:val="20"/>
          <w:lang w:val="fr-CA" w:eastAsia="en-CA"/>
        </w:rPr>
        <w:t>Before / Devant:   WAGNER J. / LE JUGE WAGNER</w:t>
      </w:r>
    </w:p>
    <w:p w:rsidR="000A2923" w:rsidRPr="000A2923" w:rsidRDefault="000A2923" w:rsidP="000A2923">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0A2923" w:rsidRPr="00C3091A" w:rsidTr="00BF5229">
        <w:tc>
          <w:tcPr>
            <w:tcW w:w="4338" w:type="dxa"/>
            <w:gridSpan w:val="2"/>
          </w:tcPr>
          <w:p w:rsidR="000A2923" w:rsidRPr="000A2923" w:rsidRDefault="000A2923" w:rsidP="000A2923">
            <w:pPr>
              <w:jc w:val="both"/>
              <w:rPr>
                <w:b/>
              </w:rPr>
            </w:pPr>
            <w:r w:rsidRPr="000A2923">
              <w:rPr>
                <w:b/>
                <w:lang w:val="en-US"/>
              </w:rPr>
              <w:t xml:space="preserve">Order on interventions with respect to oral argument </w:t>
            </w:r>
            <w:r w:rsidR="00A62C48" w:rsidRPr="000A2923">
              <w:rPr>
                <w:b/>
                <w:lang w:val="en-US"/>
              </w:rPr>
              <w:fldChar w:fldCharType="begin"/>
            </w:r>
            <w:r w:rsidRPr="000A2923">
              <w:rPr>
                <w:b/>
              </w:rPr>
              <w:instrText xml:space="preserve"> SEQ CHAPTER \h \r 1</w:instrText>
            </w:r>
            <w:r w:rsidR="00A62C48" w:rsidRPr="000A2923">
              <w:rPr>
                <w:b/>
                <w:lang w:val="en-US"/>
              </w:rPr>
              <w:fldChar w:fldCharType="end"/>
            </w:r>
          </w:p>
        </w:tc>
        <w:tc>
          <w:tcPr>
            <w:tcW w:w="1170" w:type="dxa"/>
          </w:tcPr>
          <w:p w:rsidR="000A2923" w:rsidRPr="000A2923" w:rsidRDefault="000A2923" w:rsidP="000A2923"/>
          <w:p w:rsidR="000A2923" w:rsidRPr="000A2923" w:rsidRDefault="000A2923" w:rsidP="000A2923"/>
          <w:p w:rsidR="000A2923" w:rsidRPr="000A2923" w:rsidRDefault="000A2923" w:rsidP="000A2923"/>
        </w:tc>
        <w:tc>
          <w:tcPr>
            <w:tcW w:w="4327" w:type="dxa"/>
          </w:tcPr>
          <w:p w:rsidR="000A2923" w:rsidRPr="000A2923" w:rsidRDefault="000A2923" w:rsidP="000A2923">
            <w:pPr>
              <w:jc w:val="both"/>
              <w:rPr>
                <w:b/>
                <w:lang w:val="fr-CA"/>
              </w:rPr>
            </w:pPr>
            <w:r w:rsidRPr="000A2923">
              <w:rPr>
                <w:b/>
                <w:lang w:val="fr-CA"/>
              </w:rPr>
              <w:t>Ordonnance relative à la présentation d’une plaidoirie orale par les intervenants</w:t>
            </w:r>
            <w:r w:rsidR="00A62C48" w:rsidRPr="000A2923">
              <w:rPr>
                <w:b/>
                <w:lang w:val="en-US"/>
              </w:rPr>
              <w:fldChar w:fldCharType="begin"/>
            </w:r>
            <w:r w:rsidRPr="000A2923">
              <w:rPr>
                <w:b/>
                <w:lang w:val="fr-CA"/>
              </w:rPr>
              <w:instrText xml:space="preserve"> SEQ CHAPTER \h \r 1</w:instrText>
            </w:r>
            <w:r w:rsidR="00A62C48" w:rsidRPr="000A2923">
              <w:rPr>
                <w:b/>
                <w:lang w:val="en-US"/>
              </w:rPr>
              <w:fldChar w:fldCharType="end"/>
            </w:r>
          </w:p>
        </w:tc>
      </w:tr>
      <w:tr w:rsidR="000A2923" w:rsidRPr="000A2923" w:rsidTr="00BF5229">
        <w:trPr>
          <w:trHeight w:hRule="exact" w:val="360"/>
        </w:trPr>
        <w:tc>
          <w:tcPr>
            <w:tcW w:w="1368" w:type="dxa"/>
          </w:tcPr>
          <w:p w:rsidR="000A2923" w:rsidRPr="000A2923" w:rsidRDefault="000A2923" w:rsidP="000A2923">
            <w:r w:rsidRPr="000A2923">
              <w:t>RE:</w:t>
            </w:r>
          </w:p>
        </w:tc>
        <w:tc>
          <w:tcPr>
            <w:tcW w:w="2970" w:type="dxa"/>
          </w:tcPr>
          <w:p w:rsidR="000A2923" w:rsidRPr="000A2923" w:rsidRDefault="000A2923" w:rsidP="000A2923">
            <w:r w:rsidRPr="000A2923">
              <w:rPr>
                <w:lang w:val="en-US"/>
              </w:rPr>
              <w:t>Santé Cannabis;</w:t>
            </w:r>
          </w:p>
        </w:tc>
        <w:tc>
          <w:tcPr>
            <w:tcW w:w="1170" w:type="dxa"/>
          </w:tcPr>
          <w:p w:rsidR="000A2923" w:rsidRPr="000A2923" w:rsidRDefault="000A2923" w:rsidP="000A2923"/>
        </w:tc>
        <w:tc>
          <w:tcPr>
            <w:tcW w:w="4327" w:type="dxa"/>
          </w:tcPr>
          <w:p w:rsidR="000A2923" w:rsidRPr="000A2923" w:rsidRDefault="000A2923" w:rsidP="000A2923"/>
        </w:tc>
      </w:tr>
      <w:tr w:rsidR="000A2923" w:rsidRPr="000A2923" w:rsidTr="00BF5229">
        <w:trPr>
          <w:trHeight w:hRule="exact" w:val="576"/>
        </w:trPr>
        <w:tc>
          <w:tcPr>
            <w:tcW w:w="1368" w:type="dxa"/>
          </w:tcPr>
          <w:p w:rsidR="000A2923" w:rsidRPr="000A2923" w:rsidRDefault="000A2923" w:rsidP="000A2923"/>
        </w:tc>
        <w:tc>
          <w:tcPr>
            <w:tcW w:w="2970" w:type="dxa"/>
          </w:tcPr>
          <w:p w:rsidR="000A2923" w:rsidRPr="000A2923" w:rsidRDefault="000A2923" w:rsidP="000A2923">
            <w:r w:rsidRPr="000A2923">
              <w:rPr>
                <w:lang w:val="en-US"/>
              </w:rPr>
              <w:t>Criminal Lawyers’ Association (Ontario);</w:t>
            </w:r>
          </w:p>
        </w:tc>
        <w:tc>
          <w:tcPr>
            <w:tcW w:w="1170" w:type="dxa"/>
          </w:tcPr>
          <w:p w:rsidR="000A2923" w:rsidRPr="000A2923" w:rsidRDefault="000A2923" w:rsidP="000A2923"/>
        </w:tc>
        <w:tc>
          <w:tcPr>
            <w:tcW w:w="4327" w:type="dxa"/>
          </w:tcPr>
          <w:p w:rsidR="000A2923" w:rsidRPr="000A2923" w:rsidRDefault="000A2923" w:rsidP="000A2923"/>
        </w:tc>
      </w:tr>
      <w:tr w:rsidR="000A2923" w:rsidRPr="000A2923" w:rsidTr="00BF5229">
        <w:trPr>
          <w:trHeight w:hRule="exact" w:val="576"/>
        </w:trPr>
        <w:tc>
          <w:tcPr>
            <w:tcW w:w="1368" w:type="dxa"/>
          </w:tcPr>
          <w:p w:rsidR="000A2923" w:rsidRPr="000A2923" w:rsidRDefault="000A2923" w:rsidP="000A2923"/>
        </w:tc>
        <w:tc>
          <w:tcPr>
            <w:tcW w:w="2970" w:type="dxa"/>
          </w:tcPr>
          <w:p w:rsidR="000A2923" w:rsidRPr="000A2923" w:rsidRDefault="000A2923" w:rsidP="000A2923">
            <w:pPr>
              <w:rPr>
                <w:lang w:val="en-US"/>
              </w:rPr>
            </w:pPr>
            <w:r w:rsidRPr="000A2923">
              <w:rPr>
                <w:lang w:val="en-US"/>
              </w:rPr>
              <w:t>Canadian Civil Liberties Association;</w:t>
            </w:r>
          </w:p>
        </w:tc>
        <w:tc>
          <w:tcPr>
            <w:tcW w:w="1170" w:type="dxa"/>
          </w:tcPr>
          <w:p w:rsidR="000A2923" w:rsidRPr="000A2923" w:rsidRDefault="000A2923" w:rsidP="000A2923"/>
        </w:tc>
        <w:tc>
          <w:tcPr>
            <w:tcW w:w="4327" w:type="dxa"/>
          </w:tcPr>
          <w:p w:rsidR="000A2923" w:rsidRPr="000A2923" w:rsidRDefault="000A2923" w:rsidP="000A2923"/>
        </w:tc>
      </w:tr>
      <w:tr w:rsidR="000A2923" w:rsidRPr="000A2923" w:rsidTr="00BF5229">
        <w:trPr>
          <w:trHeight w:hRule="exact" w:val="576"/>
        </w:trPr>
        <w:tc>
          <w:tcPr>
            <w:tcW w:w="1368" w:type="dxa"/>
          </w:tcPr>
          <w:p w:rsidR="000A2923" w:rsidRPr="000A2923" w:rsidRDefault="000A2923" w:rsidP="000A2923"/>
        </w:tc>
        <w:tc>
          <w:tcPr>
            <w:tcW w:w="2970" w:type="dxa"/>
          </w:tcPr>
          <w:p w:rsidR="000A2923" w:rsidRPr="000A2923" w:rsidRDefault="000A2923" w:rsidP="000A2923">
            <w:r w:rsidRPr="000A2923">
              <w:rPr>
                <w:lang w:val="en-US"/>
              </w:rPr>
              <w:t>British Columbia Civil Liberties Association;</w:t>
            </w:r>
          </w:p>
        </w:tc>
        <w:tc>
          <w:tcPr>
            <w:tcW w:w="1170" w:type="dxa"/>
          </w:tcPr>
          <w:p w:rsidR="000A2923" w:rsidRPr="000A2923" w:rsidRDefault="000A2923" w:rsidP="000A2923"/>
        </w:tc>
        <w:tc>
          <w:tcPr>
            <w:tcW w:w="4327" w:type="dxa"/>
          </w:tcPr>
          <w:p w:rsidR="000A2923" w:rsidRPr="000A2923" w:rsidRDefault="000A2923" w:rsidP="000A2923"/>
        </w:tc>
      </w:tr>
      <w:tr w:rsidR="000A2923" w:rsidRPr="000A2923" w:rsidTr="00BF5229">
        <w:trPr>
          <w:trHeight w:hRule="exact" w:val="864"/>
        </w:trPr>
        <w:tc>
          <w:tcPr>
            <w:tcW w:w="1368" w:type="dxa"/>
          </w:tcPr>
          <w:p w:rsidR="000A2923" w:rsidRPr="000A2923" w:rsidRDefault="000A2923" w:rsidP="000A2923"/>
        </w:tc>
        <w:tc>
          <w:tcPr>
            <w:tcW w:w="2970" w:type="dxa"/>
          </w:tcPr>
          <w:p w:rsidR="000A2923" w:rsidRPr="000A2923" w:rsidRDefault="000A2923" w:rsidP="000A2923">
            <w:r w:rsidRPr="000A2923">
              <w:rPr>
                <w:lang w:val="en-US"/>
              </w:rPr>
              <w:t>Canadian HIV/AIDS Legal Network and HIV &amp; AIDS Legal Clinic Ontario (jointly)</w:t>
            </w:r>
          </w:p>
        </w:tc>
        <w:tc>
          <w:tcPr>
            <w:tcW w:w="1170" w:type="dxa"/>
          </w:tcPr>
          <w:p w:rsidR="000A2923" w:rsidRPr="000A2923" w:rsidRDefault="000A2923" w:rsidP="000A2923"/>
        </w:tc>
        <w:tc>
          <w:tcPr>
            <w:tcW w:w="4327" w:type="dxa"/>
          </w:tcPr>
          <w:p w:rsidR="000A2923" w:rsidRPr="000A2923" w:rsidRDefault="000A2923" w:rsidP="000A2923"/>
        </w:tc>
      </w:tr>
      <w:tr w:rsidR="000A2923" w:rsidRPr="000A2923" w:rsidTr="00BF5229">
        <w:tc>
          <w:tcPr>
            <w:tcW w:w="1368" w:type="dxa"/>
          </w:tcPr>
          <w:p w:rsidR="000A2923" w:rsidRPr="000A2923" w:rsidRDefault="000A2923" w:rsidP="000A2923"/>
        </w:tc>
        <w:tc>
          <w:tcPr>
            <w:tcW w:w="2970" w:type="dxa"/>
          </w:tcPr>
          <w:p w:rsidR="000A2923" w:rsidRPr="000A2923" w:rsidRDefault="000A2923" w:rsidP="000A2923"/>
        </w:tc>
        <w:tc>
          <w:tcPr>
            <w:tcW w:w="1170" w:type="dxa"/>
          </w:tcPr>
          <w:p w:rsidR="000A2923" w:rsidRPr="000A2923" w:rsidRDefault="000A2923" w:rsidP="000A2923"/>
        </w:tc>
        <w:tc>
          <w:tcPr>
            <w:tcW w:w="4327" w:type="dxa"/>
          </w:tcPr>
          <w:p w:rsidR="000A2923" w:rsidRPr="000A2923" w:rsidRDefault="000A2923" w:rsidP="000A2923"/>
        </w:tc>
      </w:tr>
      <w:tr w:rsidR="000A2923" w:rsidRPr="000A2923" w:rsidTr="00BF5229">
        <w:tc>
          <w:tcPr>
            <w:tcW w:w="1368" w:type="dxa"/>
          </w:tcPr>
          <w:p w:rsidR="000A2923" w:rsidRPr="000A2923" w:rsidRDefault="000A2923" w:rsidP="000A2923">
            <w:r w:rsidRPr="000A2923">
              <w:t>IN / DANS :</w:t>
            </w:r>
          </w:p>
        </w:tc>
        <w:tc>
          <w:tcPr>
            <w:tcW w:w="2970" w:type="dxa"/>
          </w:tcPr>
          <w:p w:rsidR="000A2923" w:rsidRPr="000A2923" w:rsidRDefault="000A2923" w:rsidP="000A2923">
            <w:r w:rsidRPr="000A2923">
              <w:t>Her Majesty the Queen</w:t>
            </w:r>
          </w:p>
          <w:p w:rsidR="000A2923" w:rsidRPr="000A2923" w:rsidRDefault="000A2923" w:rsidP="000A2923"/>
          <w:p w:rsidR="000A2923" w:rsidRPr="000A2923" w:rsidRDefault="000A2923" w:rsidP="000A2923">
            <w:r w:rsidRPr="000A2923">
              <w:tab/>
              <w:t>v. (36059)</w:t>
            </w:r>
          </w:p>
          <w:p w:rsidR="000A2923" w:rsidRPr="000A2923" w:rsidRDefault="000A2923" w:rsidP="000A2923"/>
          <w:p w:rsidR="000A2923" w:rsidRPr="000A2923" w:rsidRDefault="000A2923" w:rsidP="000A2923">
            <w:r w:rsidRPr="000A2923">
              <w:t>Owen Edward Smith (Crim.) (B.C.)</w:t>
            </w:r>
          </w:p>
        </w:tc>
        <w:tc>
          <w:tcPr>
            <w:tcW w:w="1170" w:type="dxa"/>
          </w:tcPr>
          <w:p w:rsidR="000A2923" w:rsidRPr="000A2923" w:rsidRDefault="000A2923" w:rsidP="000A2923"/>
        </w:tc>
        <w:tc>
          <w:tcPr>
            <w:tcW w:w="4327" w:type="dxa"/>
          </w:tcPr>
          <w:p w:rsidR="000A2923" w:rsidRPr="000A2923" w:rsidRDefault="000A2923" w:rsidP="000A2923"/>
        </w:tc>
      </w:tr>
    </w:tbl>
    <w:p w:rsidR="000A2923" w:rsidRPr="000A2923" w:rsidRDefault="000A2923" w:rsidP="000A2923">
      <w:pPr>
        <w:tabs>
          <w:tab w:val="left" w:pos="-1440"/>
          <w:tab w:val="left" w:pos="-720"/>
        </w:tabs>
        <w:jc w:val="both"/>
        <w:rPr>
          <w:rFonts w:eastAsia="Times New Roman" w:cs="Times New Roman"/>
          <w:sz w:val="20"/>
          <w:szCs w:val="20"/>
          <w:lang w:eastAsia="en-CA"/>
        </w:rPr>
      </w:pPr>
    </w:p>
    <w:p w:rsidR="000A2923" w:rsidRPr="000A2923" w:rsidRDefault="000A2923" w:rsidP="000A2923">
      <w:pPr>
        <w:jc w:val="both"/>
        <w:rPr>
          <w:rFonts w:eastAsia="Times New Roman" w:cs="Times New Roman"/>
          <w:sz w:val="20"/>
          <w:szCs w:val="20"/>
          <w:lang w:eastAsia="en-CA"/>
        </w:rPr>
      </w:pPr>
      <w:r w:rsidRPr="000A2923">
        <w:rPr>
          <w:rFonts w:eastAsia="Times New Roman" w:cs="Times New Roman"/>
          <w:b/>
          <w:bCs/>
          <w:sz w:val="20"/>
          <w:szCs w:val="20"/>
          <w:lang w:eastAsia="en-CA"/>
        </w:rPr>
        <w:t xml:space="preserve">FURTHER TO THE ORDER </w:t>
      </w:r>
      <w:r w:rsidRPr="000A2923">
        <w:rPr>
          <w:rFonts w:eastAsia="Times New Roman" w:cs="Times New Roman"/>
          <w:bCs/>
          <w:sz w:val="20"/>
          <w:szCs w:val="20"/>
          <w:lang w:eastAsia="en-CA"/>
        </w:rPr>
        <w:t>dated February 19, 2015, granting leave to intervene to</w:t>
      </w:r>
      <w:r w:rsidRPr="000A2923">
        <w:rPr>
          <w:rFonts w:eastAsia="Times New Roman" w:cs="Times New Roman"/>
          <w:sz w:val="20"/>
          <w:szCs w:val="20"/>
          <w:lang w:val="en-US" w:eastAsia="en-CA"/>
        </w:rPr>
        <w:t xml:space="preserve"> Santé Cannabis, the Criminal Lawyers’ Association (Ontario), the Canadian Civil Liberties Association, the British Columbia Civil Liberties Association, as well as the Canadian AIDS Society, Canadian HIV/AIDS Legal Network and HIV &amp; AIDS Legal Clinic Ontario (jointly);</w:t>
      </w:r>
    </w:p>
    <w:p w:rsidR="000A2923" w:rsidRPr="000A2923" w:rsidRDefault="000A2923" w:rsidP="000A2923">
      <w:pPr>
        <w:jc w:val="both"/>
        <w:rPr>
          <w:rFonts w:eastAsia="Times New Roman" w:cs="Times New Roman"/>
          <w:b/>
          <w:bCs/>
          <w:sz w:val="20"/>
          <w:szCs w:val="20"/>
          <w:lang w:eastAsia="en-CA"/>
        </w:rPr>
      </w:pPr>
    </w:p>
    <w:p w:rsidR="000A2923" w:rsidRPr="000A2923" w:rsidRDefault="000A2923" w:rsidP="000A2923">
      <w:pPr>
        <w:spacing w:line="232" w:lineRule="auto"/>
        <w:jc w:val="both"/>
        <w:rPr>
          <w:rFonts w:eastAsia="Times New Roman" w:cs="Times New Roman"/>
          <w:b/>
          <w:bCs/>
          <w:sz w:val="20"/>
          <w:szCs w:val="20"/>
          <w:lang w:val="en-US" w:eastAsia="en-CA"/>
        </w:rPr>
      </w:pPr>
      <w:r w:rsidRPr="000A2923">
        <w:rPr>
          <w:rFonts w:eastAsia="Times New Roman" w:cs="Times New Roman"/>
          <w:b/>
          <w:bCs/>
          <w:sz w:val="20"/>
          <w:szCs w:val="20"/>
          <w:lang w:val="en-US" w:eastAsia="en-CA"/>
        </w:rPr>
        <w:t>IT IS HEREBY FURTHER ORDERED THAT:</w:t>
      </w:r>
    </w:p>
    <w:p w:rsidR="000A2923" w:rsidRPr="000A2923" w:rsidRDefault="000A2923" w:rsidP="000A2923">
      <w:pPr>
        <w:spacing w:line="232" w:lineRule="auto"/>
        <w:jc w:val="both"/>
        <w:rPr>
          <w:rFonts w:eastAsia="Times New Roman" w:cs="Times New Roman"/>
          <w:b/>
          <w:bCs/>
          <w:sz w:val="20"/>
          <w:szCs w:val="20"/>
          <w:lang w:val="en-US" w:eastAsia="en-CA"/>
        </w:rPr>
      </w:pPr>
    </w:p>
    <w:p w:rsidR="000A2923" w:rsidRPr="000A2923" w:rsidRDefault="000A2923" w:rsidP="000A2923">
      <w:pPr>
        <w:widowControl w:val="0"/>
        <w:numPr>
          <w:ilvl w:val="0"/>
          <w:numId w:val="7"/>
        </w:numPr>
        <w:autoSpaceDE w:val="0"/>
        <w:autoSpaceDN w:val="0"/>
        <w:adjustRightInd w:val="0"/>
        <w:spacing w:line="232" w:lineRule="auto"/>
        <w:contextualSpacing/>
        <w:jc w:val="both"/>
        <w:rPr>
          <w:rFonts w:cs="Times New Roman"/>
          <w:sz w:val="20"/>
          <w:szCs w:val="20"/>
        </w:rPr>
      </w:pPr>
      <w:r w:rsidRPr="000A2923">
        <w:rPr>
          <w:rFonts w:cs="Times New Roman"/>
          <w:sz w:val="20"/>
          <w:szCs w:val="20"/>
        </w:rPr>
        <w:t xml:space="preserve">The Criminal Lawyers’ Association (Ontario), the Canadian Civil Liberties Association and the British Columbia Civil Liberties Association are each granted permission to present oral argument not exceeding five (5) minutes at the hearing of the appeal. </w:t>
      </w:r>
    </w:p>
    <w:p w:rsidR="000A2923" w:rsidRPr="000A2923" w:rsidRDefault="000A2923" w:rsidP="000A2923">
      <w:pPr>
        <w:spacing w:line="232" w:lineRule="auto"/>
        <w:jc w:val="both"/>
        <w:rPr>
          <w:rFonts w:eastAsia="Times New Roman" w:cs="Times New Roman"/>
          <w:sz w:val="20"/>
          <w:szCs w:val="20"/>
          <w:lang w:eastAsia="en-CA"/>
        </w:rPr>
      </w:pPr>
    </w:p>
    <w:p w:rsidR="000A2923" w:rsidRPr="000A2923" w:rsidRDefault="000A2923" w:rsidP="000A2923">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rPr>
      </w:pPr>
      <w:r w:rsidRPr="000A2923">
        <w:rPr>
          <w:rFonts w:cs="Times New Roman"/>
          <w:sz w:val="20"/>
          <w:szCs w:val="20"/>
        </w:rPr>
        <w:lastRenderedPageBreak/>
        <w:t xml:space="preserve">The factums of Santé Cannabis and the Canadian AIDS Society, Canadian HIV/AIDS Legal Network and HIV &amp; AIDS Legal Clinic Ontario (jointly) will be considered without the need for oral argument. </w:t>
      </w:r>
    </w:p>
    <w:p w:rsidR="000A2923" w:rsidRPr="000A2923" w:rsidRDefault="000A2923" w:rsidP="000A2923">
      <w:pPr>
        <w:spacing w:line="233" w:lineRule="auto"/>
        <w:jc w:val="both"/>
        <w:rPr>
          <w:rFonts w:eastAsia="Times New Roman" w:cs="Times New Roman"/>
          <w:bCs/>
          <w:sz w:val="20"/>
          <w:szCs w:val="20"/>
          <w:lang w:val="en-US" w:eastAsia="en-CA"/>
        </w:rPr>
      </w:pPr>
    </w:p>
    <w:p w:rsidR="000A2923" w:rsidRPr="000A2923" w:rsidRDefault="000A2923" w:rsidP="000A2923">
      <w:pPr>
        <w:spacing w:line="233" w:lineRule="auto"/>
        <w:jc w:val="both"/>
        <w:rPr>
          <w:rFonts w:eastAsia="Times New Roman" w:cs="Times New Roman"/>
          <w:bCs/>
          <w:sz w:val="20"/>
          <w:szCs w:val="20"/>
          <w:lang w:val="en-US" w:eastAsia="en-CA"/>
        </w:rPr>
      </w:pPr>
    </w:p>
    <w:p w:rsidR="000A2923" w:rsidRPr="000A2923" w:rsidRDefault="000A2923" w:rsidP="000A2923">
      <w:pPr>
        <w:spacing w:line="233" w:lineRule="auto"/>
        <w:jc w:val="both"/>
        <w:rPr>
          <w:rFonts w:eastAsia="Times New Roman" w:cs="Times New Roman"/>
          <w:bCs/>
          <w:sz w:val="20"/>
          <w:szCs w:val="20"/>
          <w:lang w:val="en-US" w:eastAsia="en-CA"/>
        </w:rPr>
      </w:pPr>
    </w:p>
    <w:p w:rsidR="000A2923" w:rsidRPr="000A2923" w:rsidRDefault="000A2923" w:rsidP="000A2923">
      <w:pPr>
        <w:spacing w:line="233" w:lineRule="auto"/>
        <w:jc w:val="both"/>
        <w:rPr>
          <w:rFonts w:eastAsia="Times New Roman" w:cs="Times New Roman"/>
          <w:sz w:val="20"/>
          <w:szCs w:val="20"/>
          <w:lang w:val="fr-CA" w:eastAsia="en-CA"/>
        </w:rPr>
      </w:pPr>
      <w:r w:rsidRPr="000A2923">
        <w:rPr>
          <w:rFonts w:eastAsia="Times New Roman" w:cs="Times New Roman"/>
          <w:b/>
          <w:sz w:val="20"/>
          <w:szCs w:val="20"/>
          <w:lang w:val="fr-CA" w:eastAsia="en-CA"/>
        </w:rPr>
        <w:t xml:space="preserve">À LA SUITE DE L’ORDONNANCE </w:t>
      </w:r>
      <w:r w:rsidRPr="000A2923">
        <w:rPr>
          <w:rFonts w:eastAsia="Times New Roman" w:cs="Times New Roman"/>
          <w:sz w:val="20"/>
          <w:szCs w:val="20"/>
          <w:lang w:val="fr-CA" w:eastAsia="en-CA"/>
        </w:rPr>
        <w:t>datée du 19 février 2015 autorisant l’intervention de Santé Cannabis, de la Criminal Lawyers’ Association (Ontario), de l’Association canadienne des libertés civiles, de l’Association des libertés civiles de la Colombie-Britannique, ainsi que de la Société canadienne du sida, du Réseau juridique canadien VIH/sida et de la HIV &amp; AIDS Legal Clinic Ontario (conjointement);</w:t>
      </w:r>
    </w:p>
    <w:p w:rsidR="000A2923" w:rsidRPr="000A2923" w:rsidRDefault="000A2923" w:rsidP="000A2923">
      <w:pPr>
        <w:spacing w:line="233" w:lineRule="auto"/>
        <w:jc w:val="both"/>
        <w:rPr>
          <w:rFonts w:eastAsia="Times New Roman" w:cs="Times New Roman"/>
          <w:b/>
          <w:sz w:val="20"/>
          <w:szCs w:val="20"/>
          <w:lang w:val="fr-CA" w:eastAsia="en-CA"/>
        </w:rPr>
      </w:pPr>
    </w:p>
    <w:p w:rsidR="000A2923" w:rsidRPr="000A2923" w:rsidRDefault="000A2923" w:rsidP="000A2923">
      <w:pPr>
        <w:spacing w:line="233" w:lineRule="auto"/>
        <w:jc w:val="both"/>
        <w:rPr>
          <w:rFonts w:eastAsia="Times New Roman" w:cs="Times New Roman"/>
          <w:b/>
          <w:sz w:val="20"/>
          <w:szCs w:val="20"/>
          <w:lang w:val="fr-CA" w:eastAsia="en-CA"/>
        </w:rPr>
      </w:pPr>
      <w:r w:rsidRPr="000A2923">
        <w:rPr>
          <w:rFonts w:eastAsia="Times New Roman" w:cs="Times New Roman"/>
          <w:b/>
          <w:sz w:val="20"/>
          <w:szCs w:val="20"/>
          <w:lang w:val="fr-CA" w:eastAsia="en-CA"/>
        </w:rPr>
        <w:t>IL EST EN OUTRE ORDONNÉ QUE :</w:t>
      </w:r>
    </w:p>
    <w:p w:rsidR="000A2923" w:rsidRPr="000A2923" w:rsidRDefault="000A2923" w:rsidP="000A2923">
      <w:pPr>
        <w:spacing w:line="233" w:lineRule="auto"/>
        <w:jc w:val="both"/>
        <w:rPr>
          <w:rFonts w:eastAsia="Times New Roman" w:cs="Times New Roman"/>
          <w:b/>
          <w:sz w:val="20"/>
          <w:szCs w:val="20"/>
          <w:lang w:val="fr-CA" w:eastAsia="en-CA"/>
        </w:rPr>
      </w:pPr>
    </w:p>
    <w:p w:rsidR="000A2923" w:rsidRPr="000A2923" w:rsidRDefault="000A2923" w:rsidP="000A2923">
      <w:pPr>
        <w:widowControl w:val="0"/>
        <w:numPr>
          <w:ilvl w:val="0"/>
          <w:numId w:val="9"/>
        </w:numPr>
        <w:autoSpaceDE w:val="0"/>
        <w:autoSpaceDN w:val="0"/>
        <w:adjustRightInd w:val="0"/>
        <w:spacing w:line="232" w:lineRule="auto"/>
        <w:contextualSpacing/>
        <w:jc w:val="both"/>
        <w:rPr>
          <w:rFonts w:cs="Times New Roman"/>
          <w:sz w:val="20"/>
          <w:szCs w:val="20"/>
          <w:lang w:val="fr-CA"/>
        </w:rPr>
      </w:pPr>
      <w:r w:rsidRPr="000A2923">
        <w:rPr>
          <w:rFonts w:cs="Times New Roman"/>
          <w:sz w:val="20"/>
          <w:szCs w:val="20"/>
          <w:lang w:val="fr-CA"/>
        </w:rPr>
        <w:t xml:space="preserve">La Criminal Lawyers’ Association (Ontario), l’Association canadienne des libertés civiles et  l’Association des libertés civiles de la Colombie-Britannique sont chacunes autorisées à présenter une plaidoirie orale d’au plus cinq (5) minutes lors de l’audition de l’appel. </w:t>
      </w:r>
    </w:p>
    <w:p w:rsidR="000A2923" w:rsidRPr="000A2923" w:rsidRDefault="000A2923" w:rsidP="000A2923">
      <w:pPr>
        <w:spacing w:line="232" w:lineRule="auto"/>
        <w:jc w:val="both"/>
        <w:rPr>
          <w:rFonts w:eastAsia="Times New Roman" w:cs="Times New Roman"/>
          <w:sz w:val="20"/>
          <w:szCs w:val="20"/>
          <w:lang w:val="fr-CA" w:eastAsia="en-CA"/>
        </w:rPr>
      </w:pPr>
    </w:p>
    <w:p w:rsidR="000A2923" w:rsidRPr="000A2923" w:rsidRDefault="000A2923" w:rsidP="000A2923">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sz w:val="20"/>
          <w:szCs w:val="20"/>
          <w:lang w:val="fr-CA"/>
        </w:rPr>
      </w:pPr>
      <w:r w:rsidRPr="000A2923">
        <w:rPr>
          <w:rFonts w:cs="Times New Roman"/>
          <w:sz w:val="20"/>
          <w:szCs w:val="20"/>
          <w:lang w:val="fr-CA"/>
        </w:rPr>
        <w:t xml:space="preserve">Les mémoires de Santé Cannabis ainsi que de la Société canadienne du sida, du Réseau juridique canadien VIH/sida et de la HIV &amp; AIDS Legal Clinic Ontario (conjointement) seront examinés sans qu’il ne soit nécessaire d’entendre de plaidoirie orale. </w:t>
      </w:r>
    </w:p>
    <w:p w:rsidR="000A2923" w:rsidRPr="000A2923" w:rsidRDefault="000A2923" w:rsidP="000A2923">
      <w:pPr>
        <w:tabs>
          <w:tab w:val="left" w:pos="-1440"/>
          <w:tab w:val="left" w:pos="-720"/>
        </w:tabs>
        <w:jc w:val="both"/>
        <w:rPr>
          <w:rFonts w:eastAsia="Times New Roman" w:cs="Times New Roman"/>
          <w:sz w:val="20"/>
          <w:szCs w:val="20"/>
          <w:lang w:val="fr-CA" w:eastAsia="en-CA"/>
        </w:rPr>
      </w:pPr>
    </w:p>
    <w:p w:rsidR="000A2923" w:rsidRPr="000A2923" w:rsidRDefault="00BF341F" w:rsidP="000A292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4" style="width:2in;height:1pt" o:hrpct="0" o:hralign="center" o:hrstd="t" o:hrnoshade="t" o:hr="t" fillcolor="black [3213]" stroked="f"/>
        </w:pict>
      </w:r>
    </w:p>
    <w:p w:rsidR="000A2923" w:rsidRPr="000A2923" w:rsidRDefault="000A2923" w:rsidP="000A2923">
      <w:pPr>
        <w:tabs>
          <w:tab w:val="left" w:pos="-1440"/>
          <w:tab w:val="left" w:pos="-720"/>
        </w:tabs>
        <w:jc w:val="both"/>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C3091A"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Default="00732DB7" w:rsidP="00732DB7">
      <w:pPr>
        <w:widowControl w:val="0"/>
        <w:rPr>
          <w:sz w:val="20"/>
          <w:szCs w:val="20"/>
          <w:lang w:val="fr-CA"/>
        </w:rPr>
      </w:pPr>
    </w:p>
    <w:p w:rsidR="00E65DF0" w:rsidRPr="00DD0DB7" w:rsidRDefault="00E65DF0" w:rsidP="00732DB7">
      <w:pPr>
        <w:widowControl w:val="0"/>
        <w:rPr>
          <w:sz w:val="20"/>
          <w:szCs w:val="20"/>
        </w:rPr>
      </w:pPr>
      <w:r w:rsidRPr="00DD0DB7">
        <w:rPr>
          <w:sz w:val="20"/>
          <w:szCs w:val="20"/>
        </w:rPr>
        <w:t>16.03.2015</w:t>
      </w:r>
    </w:p>
    <w:p w:rsidR="00E65DF0" w:rsidRPr="00DD0DB7" w:rsidRDefault="00E65DF0" w:rsidP="00732DB7">
      <w:pPr>
        <w:widowControl w:val="0"/>
        <w:rPr>
          <w:sz w:val="20"/>
          <w:szCs w:val="20"/>
        </w:rPr>
      </w:pPr>
    </w:p>
    <w:p w:rsidR="00DD0DB7" w:rsidRPr="000819BB" w:rsidRDefault="00DD0DB7" w:rsidP="00DD0DB7">
      <w:pPr>
        <w:widowControl w:val="0"/>
        <w:ind w:left="720" w:hanging="720"/>
        <w:rPr>
          <w:sz w:val="20"/>
          <w:szCs w:val="20"/>
          <w:u w:val="single"/>
        </w:rPr>
      </w:pPr>
      <w:r w:rsidRPr="000819BB">
        <w:rPr>
          <w:sz w:val="20"/>
          <w:szCs w:val="20"/>
        </w:rPr>
        <w:t xml:space="preserve">Coram: </w:t>
      </w:r>
      <w:r w:rsidRPr="000819BB">
        <w:rPr>
          <w:sz w:val="20"/>
          <w:szCs w:val="20"/>
        </w:rPr>
        <w:tab/>
      </w:r>
      <w:r w:rsidRPr="000819BB">
        <w:rPr>
          <w:sz w:val="20"/>
          <w:szCs w:val="20"/>
          <w:u w:val="single"/>
        </w:rPr>
        <w:t>McLachlin C.J. and Abella, Rothstein, Cromwell, Moldaver, Karakatsanis, Wagner, Gascon and Côté JJ.</w:t>
      </w:r>
    </w:p>
    <w:p w:rsidR="00E65DF0" w:rsidRDefault="00E65DF0" w:rsidP="00732DB7">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D0DB7" w:rsidRPr="00DD0DB7" w:rsidTr="00DD0DB7">
        <w:tc>
          <w:tcPr>
            <w:tcW w:w="4380" w:type="dxa"/>
            <w:tcMar>
              <w:left w:w="0" w:type="dxa"/>
              <w:right w:w="0" w:type="dxa"/>
            </w:tcMar>
          </w:tcPr>
          <w:p w:rsidR="00DD0DB7" w:rsidRDefault="00DD0DB7" w:rsidP="00DD0DB7">
            <w:pPr>
              <w:rPr>
                <w:b/>
                <w:iCs/>
                <w:sz w:val="20"/>
                <w:szCs w:val="20"/>
              </w:rPr>
            </w:pPr>
            <w:r w:rsidRPr="000819BB">
              <w:rPr>
                <w:b/>
                <w:iCs/>
                <w:sz w:val="20"/>
                <w:szCs w:val="20"/>
              </w:rPr>
              <w:t xml:space="preserve">Canadian Broadcasting Corporation / Société Radio-Canada </w:t>
            </w:r>
          </w:p>
          <w:p w:rsidR="00DD0DB7" w:rsidRDefault="00DD0DB7" w:rsidP="00DD0DB7">
            <w:pPr>
              <w:rPr>
                <w:b/>
                <w:iCs/>
                <w:sz w:val="20"/>
                <w:szCs w:val="20"/>
              </w:rPr>
            </w:pPr>
          </w:p>
          <w:p w:rsidR="00DD0DB7" w:rsidRPr="00DD0DB7" w:rsidRDefault="00DD0DB7" w:rsidP="00DD0DB7">
            <w:pPr>
              <w:rPr>
                <w:b/>
                <w:iCs/>
                <w:sz w:val="20"/>
                <w:szCs w:val="20"/>
                <w:lang w:val="fr-CA"/>
              </w:rPr>
            </w:pPr>
            <w:r w:rsidRPr="000D71BD">
              <w:rPr>
                <w:b/>
                <w:iCs/>
                <w:sz w:val="20"/>
                <w:szCs w:val="20"/>
              </w:rPr>
              <w:tab/>
            </w:r>
            <w:r w:rsidRPr="00DD0DB7">
              <w:rPr>
                <w:b/>
                <w:iCs/>
                <w:sz w:val="20"/>
                <w:szCs w:val="20"/>
                <w:lang w:val="fr-CA"/>
              </w:rPr>
              <w:t xml:space="preserve">v. </w:t>
            </w:r>
            <w:r w:rsidRPr="00DD0DB7">
              <w:rPr>
                <w:sz w:val="20"/>
                <w:szCs w:val="20"/>
                <w:lang w:val="fr-CA"/>
              </w:rPr>
              <w:t>(</w:t>
            </w:r>
            <w:hyperlink r:id="rId62" w:history="1">
              <w:r w:rsidRPr="00DD0DB7">
                <w:rPr>
                  <w:rStyle w:val="Hyperlink"/>
                  <w:sz w:val="20"/>
                  <w:szCs w:val="20"/>
                  <w:lang w:val="fr-CA"/>
                </w:rPr>
                <w:t>35918</w:t>
              </w:r>
            </w:hyperlink>
            <w:r w:rsidRPr="00DD0DB7">
              <w:rPr>
                <w:sz w:val="20"/>
                <w:szCs w:val="20"/>
                <w:lang w:val="fr-CA"/>
              </w:rPr>
              <w:t>)</w:t>
            </w:r>
          </w:p>
          <w:p w:rsidR="00DD0DB7" w:rsidRDefault="00DD0DB7" w:rsidP="00DD0DB7">
            <w:pPr>
              <w:rPr>
                <w:b/>
                <w:iCs/>
                <w:sz w:val="20"/>
                <w:szCs w:val="20"/>
                <w:lang w:val="fr-CA"/>
              </w:rPr>
            </w:pPr>
          </w:p>
          <w:p w:rsidR="00DD0DB7" w:rsidRPr="00DD0DB7" w:rsidRDefault="00DD0DB7" w:rsidP="00DD0DB7">
            <w:pPr>
              <w:rPr>
                <w:sz w:val="20"/>
                <w:szCs w:val="20"/>
              </w:rPr>
            </w:pPr>
            <w:r w:rsidRPr="00DD0DB7">
              <w:rPr>
                <w:b/>
                <w:iCs/>
                <w:sz w:val="20"/>
                <w:szCs w:val="20"/>
                <w:lang w:val="fr-CA"/>
              </w:rPr>
              <w:t xml:space="preserve">SODRAC 2003 Inc. et al. </w:t>
            </w:r>
            <w:r w:rsidRPr="00DD0DB7">
              <w:rPr>
                <w:b/>
                <w:sz w:val="20"/>
                <w:szCs w:val="20"/>
              </w:rPr>
              <w:t>(F.C.) (Civil) (By Leave)</w:t>
            </w:r>
            <w:r w:rsidRPr="000819BB">
              <w:rPr>
                <w:sz w:val="20"/>
                <w:szCs w:val="20"/>
              </w:rPr>
              <w:t xml:space="preserve"> </w:t>
            </w:r>
          </w:p>
        </w:tc>
        <w:tc>
          <w:tcPr>
            <w:tcW w:w="720" w:type="dxa"/>
            <w:tcMar>
              <w:left w:w="0" w:type="dxa"/>
              <w:right w:w="0" w:type="dxa"/>
            </w:tcMar>
          </w:tcPr>
          <w:p w:rsidR="00DD0DB7" w:rsidRPr="00DD0DB7" w:rsidRDefault="00DD0DB7" w:rsidP="00DD0DB7">
            <w:pPr>
              <w:widowControl w:val="0"/>
              <w:jc w:val="center"/>
              <w:rPr>
                <w:sz w:val="20"/>
                <w:szCs w:val="20"/>
              </w:rPr>
            </w:pPr>
          </w:p>
        </w:tc>
        <w:tc>
          <w:tcPr>
            <w:tcW w:w="4380" w:type="dxa"/>
            <w:tcMar>
              <w:left w:w="0" w:type="dxa"/>
              <w:right w:w="0" w:type="dxa"/>
            </w:tcMar>
          </w:tcPr>
          <w:p w:rsidR="001A46D3" w:rsidRPr="00AC09B3" w:rsidRDefault="001A46D3" w:rsidP="001A46D3">
            <w:pPr>
              <w:jc w:val="both"/>
              <w:rPr>
                <w:sz w:val="20"/>
                <w:szCs w:val="20"/>
              </w:rPr>
            </w:pPr>
            <w:r w:rsidRPr="00AC09B3">
              <w:rPr>
                <w:sz w:val="20"/>
                <w:szCs w:val="20"/>
              </w:rPr>
              <w:t>Marek Nitoslawski</w:t>
            </w:r>
            <w:r>
              <w:rPr>
                <w:sz w:val="20"/>
                <w:szCs w:val="20"/>
              </w:rPr>
              <w:t xml:space="preserve"> and </w:t>
            </w:r>
            <w:r w:rsidRPr="00AC09B3">
              <w:rPr>
                <w:sz w:val="20"/>
                <w:szCs w:val="20"/>
              </w:rPr>
              <w:t>Joanie Lapalme</w:t>
            </w:r>
            <w:r>
              <w:rPr>
                <w:sz w:val="20"/>
                <w:szCs w:val="20"/>
              </w:rPr>
              <w:t xml:space="preserve"> f</w:t>
            </w:r>
            <w:r w:rsidRPr="00AC09B3">
              <w:rPr>
                <w:sz w:val="20"/>
                <w:szCs w:val="20"/>
              </w:rPr>
              <w:t>or the appellant.</w:t>
            </w:r>
          </w:p>
          <w:p w:rsidR="001A46D3" w:rsidRPr="00AC09B3" w:rsidRDefault="001A46D3" w:rsidP="001A46D3">
            <w:pPr>
              <w:jc w:val="both"/>
              <w:rPr>
                <w:sz w:val="20"/>
                <w:szCs w:val="20"/>
              </w:rPr>
            </w:pPr>
          </w:p>
          <w:p w:rsidR="001A46D3" w:rsidRDefault="001A46D3" w:rsidP="001A46D3">
            <w:pPr>
              <w:jc w:val="both"/>
              <w:rPr>
                <w:sz w:val="20"/>
                <w:szCs w:val="20"/>
              </w:rPr>
            </w:pPr>
            <w:r w:rsidRPr="00AC09B3">
              <w:rPr>
                <w:sz w:val="20"/>
                <w:szCs w:val="20"/>
              </w:rPr>
              <w:t>Howard P. Knopf</w:t>
            </w:r>
            <w:r>
              <w:rPr>
                <w:sz w:val="20"/>
                <w:szCs w:val="20"/>
              </w:rPr>
              <w:t xml:space="preserve">, </w:t>
            </w:r>
            <w:r w:rsidRPr="00AC09B3">
              <w:rPr>
                <w:sz w:val="20"/>
                <w:szCs w:val="20"/>
              </w:rPr>
              <w:t>David Lametti</w:t>
            </w:r>
            <w:r>
              <w:rPr>
                <w:sz w:val="20"/>
                <w:szCs w:val="20"/>
              </w:rPr>
              <w:t xml:space="preserve"> and </w:t>
            </w:r>
            <w:r w:rsidRPr="00AC09B3">
              <w:rPr>
                <w:sz w:val="20"/>
                <w:szCs w:val="20"/>
              </w:rPr>
              <w:t>Ariel Katz</w:t>
            </w:r>
            <w:r>
              <w:rPr>
                <w:sz w:val="20"/>
                <w:szCs w:val="20"/>
              </w:rPr>
              <w:t xml:space="preserve"> f</w:t>
            </w:r>
            <w:r w:rsidRPr="00AC09B3">
              <w:rPr>
                <w:sz w:val="20"/>
                <w:szCs w:val="20"/>
              </w:rPr>
              <w:t xml:space="preserve">or the </w:t>
            </w:r>
            <w:r>
              <w:rPr>
                <w:sz w:val="20"/>
                <w:szCs w:val="20"/>
              </w:rPr>
              <w:t>i</w:t>
            </w:r>
            <w:r w:rsidRPr="00AC09B3">
              <w:rPr>
                <w:sz w:val="20"/>
                <w:szCs w:val="20"/>
              </w:rPr>
              <w:t>nterveners</w:t>
            </w:r>
            <w:r>
              <w:rPr>
                <w:sz w:val="20"/>
                <w:szCs w:val="20"/>
              </w:rPr>
              <w:t xml:space="preserve"> </w:t>
            </w:r>
            <w:r w:rsidRPr="00AC09B3">
              <w:rPr>
                <w:sz w:val="20"/>
                <w:szCs w:val="20"/>
              </w:rPr>
              <w:t>Centre for Intellectual Property Policy et al.</w:t>
            </w:r>
          </w:p>
          <w:p w:rsidR="001A46D3" w:rsidRPr="00AC09B3" w:rsidRDefault="001A46D3" w:rsidP="001A46D3">
            <w:pPr>
              <w:jc w:val="both"/>
              <w:rPr>
                <w:sz w:val="20"/>
                <w:szCs w:val="20"/>
              </w:rPr>
            </w:pPr>
          </w:p>
          <w:p w:rsidR="001A46D3" w:rsidRPr="00AC09B3" w:rsidRDefault="001A46D3" w:rsidP="001A46D3">
            <w:pPr>
              <w:jc w:val="both"/>
              <w:rPr>
                <w:sz w:val="20"/>
                <w:szCs w:val="20"/>
              </w:rPr>
            </w:pPr>
            <w:r w:rsidRPr="00AC09B3">
              <w:rPr>
                <w:sz w:val="20"/>
                <w:szCs w:val="20"/>
              </w:rPr>
              <w:t>David Fewer</w:t>
            </w:r>
            <w:r>
              <w:rPr>
                <w:sz w:val="20"/>
                <w:szCs w:val="20"/>
              </w:rPr>
              <w:t xml:space="preserve"> and </w:t>
            </w:r>
            <w:r w:rsidRPr="00AC09B3">
              <w:rPr>
                <w:sz w:val="20"/>
                <w:szCs w:val="20"/>
              </w:rPr>
              <w:t>Jeremy de Beer</w:t>
            </w:r>
            <w:r>
              <w:rPr>
                <w:sz w:val="20"/>
                <w:szCs w:val="20"/>
              </w:rPr>
              <w:t xml:space="preserve"> f</w:t>
            </w:r>
            <w:r w:rsidRPr="00AC09B3">
              <w:rPr>
                <w:sz w:val="20"/>
                <w:szCs w:val="20"/>
              </w:rPr>
              <w:t xml:space="preserve">or the </w:t>
            </w:r>
            <w:r>
              <w:rPr>
                <w:sz w:val="20"/>
                <w:szCs w:val="20"/>
              </w:rPr>
              <w:t>i</w:t>
            </w:r>
            <w:r w:rsidRPr="00AC09B3">
              <w:rPr>
                <w:sz w:val="20"/>
                <w:szCs w:val="20"/>
              </w:rPr>
              <w:t>nterveners</w:t>
            </w:r>
            <w:r>
              <w:rPr>
                <w:sz w:val="20"/>
                <w:szCs w:val="20"/>
              </w:rPr>
              <w:t xml:space="preserve"> </w:t>
            </w:r>
            <w:r w:rsidRPr="00AC09B3">
              <w:rPr>
                <w:sz w:val="20"/>
                <w:szCs w:val="20"/>
              </w:rPr>
              <w:t>Samuelson-Glushko Canadian Internet Policy and Public Interest Clinic</w:t>
            </w:r>
            <w:r>
              <w:rPr>
                <w:sz w:val="20"/>
                <w:szCs w:val="20"/>
              </w:rPr>
              <w:t>.</w:t>
            </w:r>
          </w:p>
          <w:p w:rsidR="001A46D3" w:rsidRPr="00AC09B3" w:rsidRDefault="001A46D3" w:rsidP="001A46D3">
            <w:pPr>
              <w:jc w:val="both"/>
              <w:rPr>
                <w:sz w:val="20"/>
                <w:szCs w:val="20"/>
              </w:rPr>
            </w:pPr>
          </w:p>
          <w:p w:rsidR="001A46D3" w:rsidRDefault="001A46D3" w:rsidP="001A46D3">
            <w:pPr>
              <w:jc w:val="both"/>
              <w:rPr>
                <w:sz w:val="20"/>
                <w:szCs w:val="20"/>
                <w:lang w:val="fr-CA"/>
              </w:rPr>
            </w:pPr>
            <w:r w:rsidRPr="00AC09B3">
              <w:rPr>
                <w:sz w:val="20"/>
                <w:szCs w:val="20"/>
                <w:lang w:val="fr-CA"/>
              </w:rPr>
              <w:t>Colette Matteau</w:t>
            </w:r>
            <w:r>
              <w:rPr>
                <w:sz w:val="20"/>
                <w:szCs w:val="20"/>
                <w:lang w:val="fr-CA"/>
              </w:rPr>
              <w:t xml:space="preserve"> et Lisane Bertrand p</w:t>
            </w:r>
            <w:r w:rsidRPr="00AC09B3">
              <w:rPr>
                <w:sz w:val="20"/>
                <w:szCs w:val="20"/>
                <w:lang w:val="fr-CA"/>
              </w:rPr>
              <w:t>our les intimées</w:t>
            </w:r>
            <w:r>
              <w:rPr>
                <w:sz w:val="20"/>
                <w:szCs w:val="20"/>
                <w:lang w:val="fr-CA"/>
              </w:rPr>
              <w:t>.</w:t>
            </w:r>
          </w:p>
          <w:p w:rsidR="001A46D3" w:rsidRDefault="001A46D3" w:rsidP="001A46D3">
            <w:pPr>
              <w:jc w:val="both"/>
              <w:rPr>
                <w:sz w:val="20"/>
                <w:szCs w:val="20"/>
                <w:lang w:val="fr-CA"/>
              </w:rPr>
            </w:pPr>
          </w:p>
          <w:p w:rsidR="001A46D3" w:rsidRDefault="001A46D3" w:rsidP="001A46D3">
            <w:pPr>
              <w:jc w:val="both"/>
              <w:rPr>
                <w:sz w:val="20"/>
                <w:szCs w:val="20"/>
              </w:rPr>
            </w:pPr>
            <w:r w:rsidRPr="00AC09B3">
              <w:rPr>
                <w:sz w:val="20"/>
                <w:szCs w:val="20"/>
              </w:rPr>
              <w:t>Casey M. Chisick</w:t>
            </w:r>
            <w:r>
              <w:rPr>
                <w:sz w:val="20"/>
                <w:szCs w:val="20"/>
              </w:rPr>
              <w:t xml:space="preserve">, </w:t>
            </w:r>
            <w:r w:rsidRPr="00AC09B3">
              <w:rPr>
                <w:sz w:val="20"/>
                <w:szCs w:val="20"/>
              </w:rPr>
              <w:t>Peter J. Henein</w:t>
            </w:r>
            <w:r>
              <w:rPr>
                <w:sz w:val="20"/>
                <w:szCs w:val="20"/>
              </w:rPr>
              <w:t xml:space="preserve"> and </w:t>
            </w:r>
            <w:r w:rsidRPr="00AC09B3">
              <w:rPr>
                <w:sz w:val="20"/>
                <w:szCs w:val="20"/>
              </w:rPr>
              <w:t>Eric Mayzel</w:t>
            </w:r>
            <w:r>
              <w:rPr>
                <w:sz w:val="20"/>
                <w:szCs w:val="20"/>
              </w:rPr>
              <w:t xml:space="preserve"> f</w:t>
            </w:r>
            <w:r w:rsidRPr="00AC09B3">
              <w:rPr>
                <w:sz w:val="20"/>
                <w:szCs w:val="20"/>
              </w:rPr>
              <w:t xml:space="preserve">or the </w:t>
            </w:r>
            <w:r>
              <w:rPr>
                <w:sz w:val="20"/>
                <w:szCs w:val="20"/>
              </w:rPr>
              <w:t>i</w:t>
            </w:r>
            <w:r w:rsidRPr="00AC09B3">
              <w:rPr>
                <w:sz w:val="20"/>
                <w:szCs w:val="20"/>
              </w:rPr>
              <w:t>nterveners</w:t>
            </w:r>
            <w:r>
              <w:rPr>
                <w:sz w:val="20"/>
                <w:szCs w:val="20"/>
              </w:rPr>
              <w:t xml:space="preserve"> </w:t>
            </w:r>
            <w:r w:rsidRPr="00AC09B3">
              <w:rPr>
                <w:sz w:val="20"/>
                <w:szCs w:val="20"/>
              </w:rPr>
              <w:t>Canadian Musical Reproduction Rights Agency Ltd. et al.</w:t>
            </w:r>
          </w:p>
          <w:p w:rsidR="001A46D3" w:rsidRPr="00AC09B3" w:rsidRDefault="001A46D3" w:rsidP="001A46D3">
            <w:pPr>
              <w:jc w:val="both"/>
              <w:rPr>
                <w:sz w:val="20"/>
                <w:szCs w:val="20"/>
                <w:lang w:val="en-US"/>
              </w:rPr>
            </w:pPr>
          </w:p>
          <w:p w:rsidR="00DD0DB7" w:rsidRPr="00DD0DB7" w:rsidRDefault="001A46D3" w:rsidP="001A46D3">
            <w:pPr>
              <w:widowControl w:val="0"/>
              <w:jc w:val="both"/>
              <w:rPr>
                <w:sz w:val="20"/>
                <w:szCs w:val="20"/>
              </w:rPr>
            </w:pPr>
            <w:r w:rsidRPr="00AC09B3">
              <w:rPr>
                <w:sz w:val="20"/>
                <w:szCs w:val="20"/>
              </w:rPr>
              <w:t>Barry B. Sookman</w:t>
            </w:r>
            <w:r>
              <w:rPr>
                <w:sz w:val="20"/>
                <w:szCs w:val="20"/>
              </w:rPr>
              <w:t xml:space="preserve"> and </w:t>
            </w:r>
            <w:r w:rsidRPr="00AC09B3">
              <w:rPr>
                <w:sz w:val="20"/>
                <w:szCs w:val="20"/>
              </w:rPr>
              <w:t>Daniel G.C. Glover</w:t>
            </w:r>
            <w:r>
              <w:rPr>
                <w:sz w:val="20"/>
                <w:szCs w:val="20"/>
              </w:rPr>
              <w:t xml:space="preserve"> f</w:t>
            </w:r>
            <w:r w:rsidRPr="00AC09B3">
              <w:rPr>
                <w:sz w:val="20"/>
                <w:szCs w:val="20"/>
              </w:rPr>
              <w:t xml:space="preserve">or the </w:t>
            </w:r>
            <w:r>
              <w:rPr>
                <w:sz w:val="20"/>
                <w:szCs w:val="20"/>
              </w:rPr>
              <w:t>i</w:t>
            </w:r>
            <w:r w:rsidRPr="00AC09B3">
              <w:rPr>
                <w:sz w:val="20"/>
                <w:szCs w:val="20"/>
              </w:rPr>
              <w:t>nterveners</w:t>
            </w:r>
            <w:r>
              <w:rPr>
                <w:sz w:val="20"/>
                <w:szCs w:val="20"/>
              </w:rPr>
              <w:t xml:space="preserve"> </w:t>
            </w:r>
            <w:r w:rsidRPr="00AC09B3">
              <w:rPr>
                <w:sz w:val="20"/>
                <w:szCs w:val="20"/>
              </w:rPr>
              <w:t>Music Canada et al.</w:t>
            </w:r>
          </w:p>
        </w:tc>
      </w:tr>
    </w:tbl>
    <w:p w:rsidR="00DD0DB7" w:rsidRPr="00DD0DB7" w:rsidRDefault="00DD0DB7" w:rsidP="00732DB7">
      <w:pPr>
        <w:widowControl w:val="0"/>
        <w:rPr>
          <w:sz w:val="20"/>
          <w:szCs w:val="20"/>
        </w:rPr>
      </w:pPr>
    </w:p>
    <w:p w:rsidR="00DD0DB7" w:rsidRPr="0085476B" w:rsidRDefault="00DD0DB7" w:rsidP="00DD0DB7">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DD0DB7" w:rsidRDefault="00DD0DB7" w:rsidP="00DD0DB7"/>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D0DB7" w:rsidRPr="00C3091A" w:rsidTr="00DD0DB7">
        <w:tc>
          <w:tcPr>
            <w:tcW w:w="4380" w:type="dxa"/>
            <w:tcMar>
              <w:left w:w="0" w:type="dxa"/>
              <w:right w:w="0" w:type="dxa"/>
            </w:tcMar>
          </w:tcPr>
          <w:p w:rsidR="00DD0DB7" w:rsidRPr="00CC4D84" w:rsidRDefault="00DD0DB7" w:rsidP="00DD0DB7">
            <w:pPr>
              <w:widowControl w:val="0"/>
              <w:jc w:val="both"/>
              <w:rPr>
                <w:b/>
                <w:sz w:val="20"/>
                <w:szCs w:val="20"/>
                <w:u w:val="single"/>
              </w:rPr>
            </w:pPr>
            <w:r w:rsidRPr="00CC4D84">
              <w:rPr>
                <w:b/>
                <w:sz w:val="20"/>
                <w:szCs w:val="20"/>
                <w:u w:val="single"/>
              </w:rPr>
              <w:t>Nature of the case:</w:t>
            </w:r>
          </w:p>
          <w:p w:rsidR="00DD0DB7" w:rsidRPr="001A663B" w:rsidRDefault="00DD0DB7" w:rsidP="00DD0DB7">
            <w:pPr>
              <w:widowControl w:val="0"/>
              <w:jc w:val="both"/>
              <w:rPr>
                <w:b/>
                <w:sz w:val="20"/>
                <w:szCs w:val="20"/>
              </w:rPr>
            </w:pPr>
          </w:p>
          <w:p w:rsidR="00DD0DB7" w:rsidRPr="00C1697B" w:rsidRDefault="000021C0" w:rsidP="00DD0DB7">
            <w:pPr>
              <w:widowControl w:val="0"/>
              <w:jc w:val="both"/>
              <w:rPr>
                <w:b/>
                <w:sz w:val="20"/>
                <w:szCs w:val="20"/>
              </w:rPr>
            </w:pPr>
            <w:r w:rsidRPr="00C5603A">
              <w:rPr>
                <w:sz w:val="20"/>
                <w:szCs w:val="20"/>
              </w:rPr>
              <w:t xml:space="preserve">Intellectual property law - Judicial review - Copyright - Licenses - Licensing societies - Royalties - Ephemeral copies - Application by broadcaster for review of licenses issued by Copyright Board allowed in part - Collective society imposing royalties on producers of content and broadcasters - Licences allow collective society to collect royalties for copies incidental to use of new broadcast technologies - Whether broadcast-incidental copies require a separate licence under a technologically-neutral interpretation of the </w:t>
            </w:r>
            <w:r w:rsidRPr="00C5603A">
              <w:rPr>
                <w:i/>
                <w:sz w:val="20"/>
                <w:szCs w:val="20"/>
              </w:rPr>
              <w:t>Copyright Act</w:t>
            </w:r>
            <w:r w:rsidRPr="00C5603A">
              <w:rPr>
                <w:sz w:val="20"/>
                <w:szCs w:val="20"/>
              </w:rPr>
              <w:t>, R.S.C. 1985, c. C-42 - If a licence is required in FCA File No. A-516-12, what is a technologically-neutral royalty rate for broadcast-incidental copies - Whether the Board err in law by granting an interim licence in FCA File No. A-63-13.</w:t>
            </w:r>
          </w:p>
        </w:tc>
        <w:tc>
          <w:tcPr>
            <w:tcW w:w="720" w:type="dxa"/>
            <w:tcMar>
              <w:left w:w="0" w:type="dxa"/>
              <w:right w:w="0" w:type="dxa"/>
            </w:tcMar>
          </w:tcPr>
          <w:p w:rsidR="00DD0DB7" w:rsidRPr="00C1697B" w:rsidRDefault="00DD0DB7" w:rsidP="00DD0DB7">
            <w:pPr>
              <w:widowControl w:val="0"/>
              <w:jc w:val="center"/>
              <w:rPr>
                <w:sz w:val="20"/>
                <w:szCs w:val="20"/>
              </w:rPr>
            </w:pPr>
          </w:p>
        </w:tc>
        <w:tc>
          <w:tcPr>
            <w:tcW w:w="4380" w:type="dxa"/>
            <w:tcMar>
              <w:left w:w="0" w:type="dxa"/>
              <w:right w:w="0" w:type="dxa"/>
            </w:tcMar>
          </w:tcPr>
          <w:p w:rsidR="00DD0DB7" w:rsidRPr="00CC4D84" w:rsidRDefault="00DD0DB7" w:rsidP="00DD0DB7">
            <w:pPr>
              <w:widowControl w:val="0"/>
              <w:jc w:val="both"/>
              <w:rPr>
                <w:b/>
                <w:sz w:val="20"/>
                <w:szCs w:val="20"/>
                <w:u w:val="single"/>
                <w:lang w:val="fr-CA"/>
              </w:rPr>
            </w:pPr>
            <w:r w:rsidRPr="00CC4D84">
              <w:rPr>
                <w:b/>
                <w:sz w:val="20"/>
                <w:szCs w:val="20"/>
                <w:u w:val="single"/>
                <w:lang w:val="fr-CA"/>
              </w:rPr>
              <w:t>Nature de la cause :</w:t>
            </w:r>
          </w:p>
          <w:p w:rsidR="00DD0DB7" w:rsidRPr="00C1697B" w:rsidRDefault="00DD0DB7" w:rsidP="00DD0DB7">
            <w:pPr>
              <w:widowControl w:val="0"/>
              <w:jc w:val="both"/>
              <w:rPr>
                <w:sz w:val="20"/>
                <w:szCs w:val="20"/>
                <w:lang w:val="fr-CA"/>
              </w:rPr>
            </w:pPr>
          </w:p>
          <w:p w:rsidR="00DD0DB7" w:rsidRPr="00C1697B" w:rsidRDefault="00233503" w:rsidP="00DD0DB7">
            <w:pPr>
              <w:widowControl w:val="0"/>
              <w:jc w:val="both"/>
              <w:rPr>
                <w:sz w:val="20"/>
                <w:szCs w:val="20"/>
                <w:lang w:val="fr-CA"/>
              </w:rPr>
            </w:pPr>
            <w:r w:rsidRPr="000807FE">
              <w:rPr>
                <w:sz w:val="20"/>
                <w:szCs w:val="20"/>
                <w:lang w:val="fr-CA"/>
              </w:rPr>
              <w:t xml:space="preserve">Propriété intellectuelle - Contrôle judiciaire - Droit d’auteur - Licences - Sociétés d’octroi de licences - Redevances - Copies éphémères - Demande, par le télédiffuseur, de contrôle judiciaire des licences délivrées par la Commission du droit d’auteur, accueillie en partie - Redevances exigées des producteurs de contenu et des télédiffuseurs par la société de gestion - Licences permettant à la société de gestion de percevoir des redevances relativement à des copies accessoires à l’utilisation de nouvelles technologies de télédiffusion - Des copies accessoires de diffusion nécessitent-elles une licence distincte suivant une interprétation technologiquement neutre de la </w:t>
            </w:r>
            <w:r w:rsidRPr="000807FE">
              <w:rPr>
                <w:i/>
                <w:sz w:val="20"/>
                <w:szCs w:val="20"/>
                <w:lang w:val="fr-CA"/>
              </w:rPr>
              <w:t>Loi sur le droit d’auteur</w:t>
            </w:r>
            <w:r w:rsidRPr="000807FE">
              <w:rPr>
                <w:sz w:val="20"/>
                <w:szCs w:val="20"/>
                <w:lang w:val="fr-CA"/>
              </w:rPr>
              <w:t>, L.R.C. 1985, ch. C-42? - Si une licence est nécessaire dans le dossier A-516-12 de la CAF, quel serait un taux de redevances technologiquement neutre pour des copies accessoires de diffusion? - La Commission a-t-elle commis une erreur de droit en délivrant une licence provisoire dans le dossier A-63-13 de la CAF?</w:t>
            </w:r>
          </w:p>
        </w:tc>
      </w:tr>
    </w:tbl>
    <w:p w:rsidR="00DD0DB7" w:rsidRDefault="00DD0DB7" w:rsidP="00DD0DB7">
      <w:pPr>
        <w:widowControl w:val="0"/>
        <w:rPr>
          <w:sz w:val="20"/>
          <w:szCs w:val="20"/>
          <w:lang w:val="fr-CA"/>
        </w:rPr>
      </w:pPr>
    </w:p>
    <w:p w:rsidR="00DD0DB7" w:rsidRDefault="00BF341F" w:rsidP="00DD0DB7">
      <w:pPr>
        <w:widowControl w:val="0"/>
        <w:rPr>
          <w:sz w:val="20"/>
          <w:szCs w:val="20"/>
        </w:rPr>
      </w:pPr>
      <w:r>
        <w:rPr>
          <w:sz w:val="20"/>
          <w:szCs w:val="20"/>
          <w:lang w:val="fr-CA"/>
        </w:rPr>
        <w:pict>
          <v:rect id="_x0000_i1057" style="width:2in;height:1pt" o:hrpct="0" o:hralign="center" o:hrstd="t" o:hrnoshade="t" o:hr="t" fillcolor="black [3213]" stroked="f"/>
        </w:pict>
      </w:r>
    </w:p>
    <w:p w:rsidR="0080739D" w:rsidRDefault="0080739D">
      <w:pPr>
        <w:rPr>
          <w:sz w:val="20"/>
          <w:szCs w:val="20"/>
        </w:rPr>
      </w:pPr>
      <w:r>
        <w:rPr>
          <w:sz w:val="20"/>
          <w:szCs w:val="20"/>
        </w:rPr>
        <w:br w:type="page"/>
      </w:r>
    </w:p>
    <w:p w:rsidR="00E65DF0" w:rsidRPr="00794936" w:rsidRDefault="00E65DF0" w:rsidP="00E65DF0">
      <w:pPr>
        <w:widowControl w:val="0"/>
        <w:rPr>
          <w:sz w:val="20"/>
          <w:szCs w:val="20"/>
        </w:rPr>
      </w:pPr>
      <w:r w:rsidRPr="00794936">
        <w:rPr>
          <w:sz w:val="20"/>
          <w:szCs w:val="20"/>
        </w:rPr>
        <w:lastRenderedPageBreak/>
        <w:t>17.03.2015</w:t>
      </w:r>
    </w:p>
    <w:p w:rsidR="00E65DF0" w:rsidRPr="00794936" w:rsidRDefault="00E65DF0" w:rsidP="00732DB7">
      <w:pPr>
        <w:widowControl w:val="0"/>
        <w:rPr>
          <w:sz w:val="20"/>
          <w:szCs w:val="20"/>
        </w:rPr>
      </w:pPr>
    </w:p>
    <w:p w:rsidR="00794936" w:rsidRPr="000819BB" w:rsidRDefault="00794936" w:rsidP="00794936">
      <w:pPr>
        <w:widowControl w:val="0"/>
        <w:ind w:left="720" w:hanging="720"/>
        <w:rPr>
          <w:sz w:val="20"/>
          <w:szCs w:val="20"/>
          <w:u w:val="single"/>
        </w:rPr>
      </w:pPr>
      <w:r w:rsidRPr="000819BB">
        <w:rPr>
          <w:sz w:val="20"/>
          <w:szCs w:val="20"/>
        </w:rPr>
        <w:t xml:space="preserve">Coram: </w:t>
      </w:r>
      <w:r w:rsidRPr="000819BB">
        <w:rPr>
          <w:sz w:val="20"/>
          <w:szCs w:val="20"/>
        </w:rPr>
        <w:tab/>
      </w:r>
      <w:r w:rsidRPr="000819BB">
        <w:rPr>
          <w:sz w:val="20"/>
          <w:szCs w:val="20"/>
          <w:u w:val="single"/>
        </w:rPr>
        <w:t>McLachlin C.J. and Abella, Cromwell, Moldaver, Karakatsanis, Wagner and Côté JJ.</w:t>
      </w:r>
    </w:p>
    <w:p w:rsidR="00E65DF0" w:rsidRPr="00794936" w:rsidRDefault="00E65DF0" w:rsidP="00732DB7">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D0DB7" w:rsidRPr="00794936" w:rsidTr="00DD0DB7">
        <w:tc>
          <w:tcPr>
            <w:tcW w:w="4380" w:type="dxa"/>
            <w:tcMar>
              <w:left w:w="0" w:type="dxa"/>
              <w:right w:w="0" w:type="dxa"/>
            </w:tcMar>
          </w:tcPr>
          <w:p w:rsidR="006D146B" w:rsidRDefault="006D146B" w:rsidP="00DD0DB7">
            <w:pPr>
              <w:widowControl w:val="0"/>
              <w:rPr>
                <w:b/>
                <w:iCs/>
                <w:sz w:val="20"/>
                <w:szCs w:val="20"/>
              </w:rPr>
            </w:pPr>
            <w:r w:rsidRPr="0077738F">
              <w:rPr>
                <w:b/>
                <w:iCs/>
                <w:sz w:val="20"/>
                <w:szCs w:val="20"/>
              </w:rPr>
              <w:t xml:space="preserve">M.M. a.k.a. M.M.M. </w:t>
            </w:r>
          </w:p>
          <w:p w:rsidR="006D146B" w:rsidRDefault="006D146B" w:rsidP="00DD0DB7">
            <w:pPr>
              <w:widowControl w:val="0"/>
              <w:rPr>
                <w:b/>
                <w:iCs/>
                <w:sz w:val="20"/>
                <w:szCs w:val="20"/>
              </w:rPr>
            </w:pPr>
          </w:p>
          <w:p w:rsidR="006D146B" w:rsidRDefault="006D146B" w:rsidP="00DD0DB7">
            <w:pPr>
              <w:widowControl w:val="0"/>
              <w:rPr>
                <w:b/>
                <w:iCs/>
                <w:sz w:val="20"/>
                <w:szCs w:val="20"/>
              </w:rPr>
            </w:pPr>
            <w:r>
              <w:rPr>
                <w:b/>
                <w:iCs/>
                <w:sz w:val="20"/>
                <w:szCs w:val="20"/>
              </w:rPr>
              <w:tab/>
            </w:r>
            <w:r w:rsidRPr="0077738F">
              <w:rPr>
                <w:b/>
                <w:iCs/>
                <w:sz w:val="20"/>
                <w:szCs w:val="20"/>
              </w:rPr>
              <w:t xml:space="preserve">v. </w:t>
            </w:r>
            <w:r w:rsidRPr="0077738F">
              <w:rPr>
                <w:sz w:val="20"/>
                <w:szCs w:val="20"/>
              </w:rPr>
              <w:t>(</w:t>
            </w:r>
            <w:hyperlink r:id="rId63" w:history="1">
              <w:r w:rsidRPr="0077738F">
                <w:rPr>
                  <w:rStyle w:val="Hyperlink"/>
                  <w:sz w:val="20"/>
                  <w:szCs w:val="20"/>
                </w:rPr>
                <w:t>35838</w:t>
              </w:r>
            </w:hyperlink>
            <w:r w:rsidRPr="0077738F">
              <w:rPr>
                <w:sz w:val="20"/>
                <w:szCs w:val="20"/>
              </w:rPr>
              <w:t>)</w:t>
            </w:r>
          </w:p>
          <w:p w:rsidR="006D146B" w:rsidRDefault="006D146B" w:rsidP="00DD0DB7">
            <w:pPr>
              <w:widowControl w:val="0"/>
              <w:rPr>
                <w:b/>
                <w:iCs/>
                <w:sz w:val="20"/>
                <w:szCs w:val="20"/>
              </w:rPr>
            </w:pPr>
          </w:p>
          <w:p w:rsidR="00DD0DB7" w:rsidRPr="00794936" w:rsidRDefault="006D146B" w:rsidP="006D146B">
            <w:pPr>
              <w:widowControl w:val="0"/>
              <w:rPr>
                <w:sz w:val="20"/>
                <w:szCs w:val="20"/>
              </w:rPr>
            </w:pPr>
            <w:r w:rsidRPr="0077738F">
              <w:rPr>
                <w:b/>
                <w:iCs/>
                <w:sz w:val="20"/>
                <w:szCs w:val="20"/>
              </w:rPr>
              <w:t>Minister of Justice Canada on behalf of the United States of America</w:t>
            </w:r>
            <w:r w:rsidRPr="0077738F">
              <w:rPr>
                <w:b/>
                <w:sz w:val="20"/>
                <w:szCs w:val="20"/>
              </w:rPr>
              <w:t xml:space="preserve"> </w:t>
            </w:r>
            <w:r w:rsidRPr="006D146B">
              <w:rPr>
                <w:b/>
                <w:sz w:val="20"/>
                <w:szCs w:val="20"/>
              </w:rPr>
              <w:t>(Que.) (Criminal) (By Leave)</w:t>
            </w:r>
            <w:r w:rsidRPr="0077738F">
              <w:rPr>
                <w:sz w:val="20"/>
                <w:szCs w:val="20"/>
              </w:rPr>
              <w:t xml:space="preserve"> </w:t>
            </w:r>
          </w:p>
        </w:tc>
        <w:tc>
          <w:tcPr>
            <w:tcW w:w="720" w:type="dxa"/>
            <w:tcMar>
              <w:left w:w="0" w:type="dxa"/>
              <w:right w:w="0" w:type="dxa"/>
            </w:tcMar>
          </w:tcPr>
          <w:p w:rsidR="00DD0DB7" w:rsidRPr="00794936" w:rsidRDefault="00DD0DB7" w:rsidP="00DD0DB7">
            <w:pPr>
              <w:widowControl w:val="0"/>
              <w:jc w:val="center"/>
              <w:rPr>
                <w:sz w:val="20"/>
                <w:szCs w:val="20"/>
              </w:rPr>
            </w:pPr>
          </w:p>
        </w:tc>
        <w:tc>
          <w:tcPr>
            <w:tcW w:w="4380" w:type="dxa"/>
            <w:tcMar>
              <w:left w:w="0" w:type="dxa"/>
              <w:right w:w="0" w:type="dxa"/>
            </w:tcMar>
          </w:tcPr>
          <w:p w:rsidR="0080739D" w:rsidRPr="003007AD" w:rsidRDefault="0080739D" w:rsidP="0080739D">
            <w:pPr>
              <w:tabs>
                <w:tab w:val="left" w:pos="-2970"/>
              </w:tabs>
              <w:jc w:val="both"/>
              <w:rPr>
                <w:sz w:val="20"/>
                <w:szCs w:val="20"/>
                <w:lang w:val="en-US"/>
              </w:rPr>
            </w:pPr>
            <w:r w:rsidRPr="003007AD">
              <w:rPr>
                <w:sz w:val="20"/>
                <w:szCs w:val="20"/>
                <w:lang w:val="en-US"/>
              </w:rPr>
              <w:t>Julius H. Grey</w:t>
            </w:r>
            <w:r>
              <w:rPr>
                <w:sz w:val="20"/>
                <w:szCs w:val="20"/>
                <w:lang w:val="en-US"/>
              </w:rPr>
              <w:t xml:space="preserve">, </w:t>
            </w:r>
            <w:r w:rsidRPr="003007AD">
              <w:rPr>
                <w:sz w:val="20"/>
                <w:szCs w:val="20"/>
                <w:lang w:val="en-US"/>
              </w:rPr>
              <w:t>Cornelia Herta-Zvezdin</w:t>
            </w:r>
            <w:r>
              <w:rPr>
                <w:sz w:val="20"/>
                <w:szCs w:val="20"/>
                <w:lang w:val="en-US"/>
              </w:rPr>
              <w:t xml:space="preserve">, </w:t>
            </w:r>
            <w:r w:rsidRPr="003007AD">
              <w:rPr>
                <w:sz w:val="20"/>
                <w:szCs w:val="20"/>
                <w:lang w:val="en-US"/>
              </w:rPr>
              <w:t>Clemente Monterosso</w:t>
            </w:r>
            <w:r>
              <w:rPr>
                <w:sz w:val="20"/>
                <w:szCs w:val="20"/>
                <w:lang w:val="en-US"/>
              </w:rPr>
              <w:t xml:space="preserve"> and </w:t>
            </w:r>
            <w:r w:rsidRPr="003007AD">
              <w:rPr>
                <w:sz w:val="20"/>
                <w:szCs w:val="20"/>
                <w:lang w:val="en-US"/>
              </w:rPr>
              <w:t>Iris Simixhiu</w:t>
            </w:r>
            <w:r>
              <w:rPr>
                <w:sz w:val="20"/>
                <w:szCs w:val="20"/>
                <w:lang w:val="en-US"/>
              </w:rPr>
              <w:t xml:space="preserve"> f</w:t>
            </w:r>
            <w:r w:rsidRPr="003007AD">
              <w:rPr>
                <w:sz w:val="20"/>
                <w:szCs w:val="20"/>
                <w:lang w:val="en-US"/>
              </w:rPr>
              <w:t xml:space="preserve">or the </w:t>
            </w:r>
            <w:r>
              <w:rPr>
                <w:sz w:val="20"/>
                <w:szCs w:val="20"/>
                <w:lang w:val="en-US"/>
              </w:rPr>
              <w:t>a</w:t>
            </w:r>
            <w:r w:rsidRPr="003007AD">
              <w:rPr>
                <w:sz w:val="20"/>
                <w:szCs w:val="20"/>
                <w:lang w:val="en-US"/>
              </w:rPr>
              <w:t>ppellant</w:t>
            </w:r>
            <w:r>
              <w:rPr>
                <w:sz w:val="20"/>
                <w:szCs w:val="20"/>
                <w:lang w:val="en-US"/>
              </w:rPr>
              <w:t>.</w:t>
            </w:r>
          </w:p>
          <w:p w:rsidR="0080739D" w:rsidRPr="003007AD" w:rsidRDefault="0080739D" w:rsidP="0080739D">
            <w:pPr>
              <w:tabs>
                <w:tab w:val="left" w:pos="-2970"/>
              </w:tabs>
              <w:jc w:val="both"/>
              <w:rPr>
                <w:sz w:val="20"/>
                <w:szCs w:val="20"/>
                <w:lang w:val="en-US"/>
              </w:rPr>
            </w:pPr>
          </w:p>
          <w:p w:rsidR="0080739D" w:rsidRPr="003007AD" w:rsidRDefault="0080739D" w:rsidP="0080739D">
            <w:pPr>
              <w:tabs>
                <w:tab w:val="left" w:pos="-2970"/>
              </w:tabs>
              <w:jc w:val="both"/>
              <w:rPr>
                <w:sz w:val="20"/>
                <w:szCs w:val="20"/>
                <w:lang w:val="en-US"/>
              </w:rPr>
            </w:pPr>
            <w:r w:rsidRPr="003007AD">
              <w:rPr>
                <w:sz w:val="20"/>
                <w:szCs w:val="20"/>
                <w:lang w:val="en-US"/>
              </w:rPr>
              <w:t>John Norris</w:t>
            </w:r>
            <w:r>
              <w:rPr>
                <w:sz w:val="20"/>
                <w:szCs w:val="20"/>
                <w:lang w:val="en-US"/>
              </w:rPr>
              <w:t xml:space="preserve"> and </w:t>
            </w:r>
            <w:r w:rsidRPr="003007AD">
              <w:rPr>
                <w:sz w:val="20"/>
                <w:szCs w:val="20"/>
                <w:lang w:val="en-US"/>
              </w:rPr>
              <w:t>Meara Conway</w:t>
            </w:r>
            <w:r>
              <w:rPr>
                <w:sz w:val="20"/>
                <w:szCs w:val="20"/>
                <w:lang w:val="en-US"/>
              </w:rPr>
              <w:t xml:space="preserve"> f</w:t>
            </w:r>
            <w:r w:rsidRPr="003007AD">
              <w:rPr>
                <w:sz w:val="20"/>
                <w:szCs w:val="20"/>
                <w:lang w:val="en-US"/>
              </w:rPr>
              <w:t xml:space="preserve">or the </w:t>
            </w:r>
            <w:r>
              <w:rPr>
                <w:sz w:val="20"/>
                <w:szCs w:val="20"/>
                <w:lang w:val="en-US"/>
              </w:rPr>
              <w:t>i</w:t>
            </w:r>
            <w:r w:rsidRPr="003007AD">
              <w:rPr>
                <w:sz w:val="20"/>
                <w:szCs w:val="20"/>
                <w:lang w:val="en-US"/>
              </w:rPr>
              <w:t>ntervener</w:t>
            </w:r>
            <w:r>
              <w:rPr>
                <w:sz w:val="20"/>
                <w:szCs w:val="20"/>
                <w:lang w:val="en-US"/>
              </w:rPr>
              <w:t xml:space="preserve"> </w:t>
            </w:r>
            <w:r w:rsidRPr="003007AD">
              <w:rPr>
                <w:sz w:val="20"/>
                <w:szCs w:val="20"/>
                <w:lang w:val="en-US"/>
              </w:rPr>
              <w:t>Criminal Lawyers' Association (Ontario)</w:t>
            </w:r>
            <w:r>
              <w:rPr>
                <w:sz w:val="20"/>
                <w:szCs w:val="20"/>
                <w:lang w:val="en-US"/>
              </w:rPr>
              <w:t>.</w:t>
            </w:r>
          </w:p>
          <w:p w:rsidR="0080739D" w:rsidRPr="003007AD" w:rsidRDefault="0080739D" w:rsidP="0080739D">
            <w:pPr>
              <w:tabs>
                <w:tab w:val="left" w:pos="-2970"/>
              </w:tabs>
              <w:jc w:val="both"/>
              <w:rPr>
                <w:sz w:val="20"/>
                <w:szCs w:val="20"/>
                <w:lang w:val="en-US"/>
              </w:rPr>
            </w:pPr>
          </w:p>
          <w:p w:rsidR="0080739D" w:rsidRPr="003007AD" w:rsidRDefault="0080739D" w:rsidP="0080739D">
            <w:pPr>
              <w:tabs>
                <w:tab w:val="left" w:pos="-2970"/>
              </w:tabs>
              <w:jc w:val="both"/>
              <w:rPr>
                <w:sz w:val="20"/>
                <w:szCs w:val="20"/>
                <w:lang w:val="en-US"/>
              </w:rPr>
            </w:pPr>
            <w:r w:rsidRPr="003007AD">
              <w:rPr>
                <w:sz w:val="20"/>
                <w:szCs w:val="20"/>
                <w:lang w:val="en-US"/>
              </w:rPr>
              <w:t>Brent Olthuis</w:t>
            </w:r>
            <w:r>
              <w:rPr>
                <w:sz w:val="20"/>
                <w:szCs w:val="20"/>
                <w:lang w:val="en-US"/>
              </w:rPr>
              <w:t xml:space="preserve">, </w:t>
            </w:r>
            <w:r w:rsidRPr="003007AD">
              <w:rPr>
                <w:sz w:val="20"/>
                <w:szCs w:val="20"/>
                <w:lang w:val="en-US"/>
              </w:rPr>
              <w:t xml:space="preserve">Greg J. Allen </w:t>
            </w:r>
            <w:r>
              <w:rPr>
                <w:sz w:val="20"/>
                <w:szCs w:val="20"/>
                <w:lang w:val="en-US"/>
              </w:rPr>
              <w:t xml:space="preserve">and </w:t>
            </w:r>
            <w:r w:rsidRPr="003007AD">
              <w:rPr>
                <w:sz w:val="20"/>
                <w:szCs w:val="20"/>
                <w:lang w:val="en-US"/>
              </w:rPr>
              <w:t>Michael Sobkin</w:t>
            </w:r>
            <w:r>
              <w:rPr>
                <w:sz w:val="20"/>
                <w:szCs w:val="20"/>
                <w:lang w:val="en-US"/>
              </w:rPr>
              <w:t xml:space="preserve"> f</w:t>
            </w:r>
            <w:r w:rsidRPr="003007AD">
              <w:rPr>
                <w:sz w:val="20"/>
                <w:szCs w:val="20"/>
                <w:lang w:val="en-US"/>
              </w:rPr>
              <w:t xml:space="preserve">or the </w:t>
            </w:r>
            <w:r>
              <w:rPr>
                <w:sz w:val="20"/>
                <w:szCs w:val="20"/>
                <w:lang w:val="en-US"/>
              </w:rPr>
              <w:t>i</w:t>
            </w:r>
            <w:r w:rsidRPr="003007AD">
              <w:rPr>
                <w:sz w:val="20"/>
                <w:szCs w:val="20"/>
                <w:lang w:val="en-US"/>
              </w:rPr>
              <w:t>ntervener</w:t>
            </w:r>
            <w:r>
              <w:rPr>
                <w:sz w:val="20"/>
                <w:szCs w:val="20"/>
                <w:lang w:val="en-US"/>
              </w:rPr>
              <w:t xml:space="preserve"> </w:t>
            </w:r>
            <w:r w:rsidRPr="003007AD">
              <w:rPr>
                <w:sz w:val="20"/>
                <w:szCs w:val="20"/>
                <w:lang w:val="en-US"/>
              </w:rPr>
              <w:t>British Columbia Civil Liberties Association</w:t>
            </w:r>
            <w:r>
              <w:rPr>
                <w:sz w:val="20"/>
                <w:szCs w:val="20"/>
                <w:lang w:val="en-US"/>
              </w:rPr>
              <w:t xml:space="preserve">. </w:t>
            </w:r>
          </w:p>
          <w:p w:rsidR="0080739D" w:rsidRPr="003007AD" w:rsidRDefault="0080739D" w:rsidP="0080739D">
            <w:pPr>
              <w:tabs>
                <w:tab w:val="left" w:pos="-2970"/>
              </w:tabs>
              <w:jc w:val="both"/>
              <w:rPr>
                <w:sz w:val="20"/>
                <w:szCs w:val="20"/>
                <w:lang w:val="en-US"/>
              </w:rPr>
            </w:pPr>
          </w:p>
          <w:p w:rsidR="00DD0DB7" w:rsidRPr="00794936" w:rsidRDefault="0080739D" w:rsidP="0080739D">
            <w:pPr>
              <w:widowControl w:val="0"/>
              <w:jc w:val="both"/>
              <w:rPr>
                <w:sz w:val="20"/>
                <w:szCs w:val="20"/>
              </w:rPr>
            </w:pPr>
            <w:r w:rsidRPr="003007AD">
              <w:rPr>
                <w:sz w:val="20"/>
                <w:szCs w:val="20"/>
                <w:lang w:val="en-US"/>
              </w:rPr>
              <w:t>Ginette Gobeil</w:t>
            </w:r>
            <w:r>
              <w:rPr>
                <w:sz w:val="20"/>
                <w:szCs w:val="20"/>
                <w:lang w:val="en-US"/>
              </w:rPr>
              <w:t xml:space="preserve"> and </w:t>
            </w:r>
            <w:r w:rsidRPr="003007AD">
              <w:rPr>
                <w:sz w:val="20"/>
                <w:szCs w:val="20"/>
                <w:lang w:val="en-US"/>
              </w:rPr>
              <w:t>Diba Majzub</w:t>
            </w:r>
            <w:r>
              <w:rPr>
                <w:sz w:val="20"/>
                <w:szCs w:val="20"/>
                <w:lang w:val="en-US"/>
              </w:rPr>
              <w:t xml:space="preserve"> f</w:t>
            </w:r>
            <w:r w:rsidRPr="003007AD">
              <w:rPr>
                <w:sz w:val="20"/>
                <w:szCs w:val="20"/>
                <w:lang w:val="en-US"/>
              </w:rPr>
              <w:t xml:space="preserve">or the </w:t>
            </w:r>
            <w:r>
              <w:rPr>
                <w:sz w:val="20"/>
                <w:szCs w:val="20"/>
                <w:lang w:val="en-US"/>
              </w:rPr>
              <w:t>r</w:t>
            </w:r>
            <w:r w:rsidRPr="003007AD">
              <w:rPr>
                <w:sz w:val="20"/>
                <w:szCs w:val="20"/>
                <w:lang w:val="en-US"/>
              </w:rPr>
              <w:t>espondent</w:t>
            </w:r>
            <w:r>
              <w:rPr>
                <w:sz w:val="20"/>
                <w:szCs w:val="20"/>
                <w:lang w:val="en-US"/>
              </w:rPr>
              <w:t>.</w:t>
            </w:r>
          </w:p>
        </w:tc>
      </w:tr>
    </w:tbl>
    <w:p w:rsidR="00DD0DB7" w:rsidRPr="00794936" w:rsidRDefault="00DD0DB7" w:rsidP="00732DB7">
      <w:pPr>
        <w:widowControl w:val="0"/>
        <w:rPr>
          <w:sz w:val="20"/>
          <w:szCs w:val="20"/>
        </w:rPr>
      </w:pPr>
    </w:p>
    <w:p w:rsidR="00DD0DB7" w:rsidRPr="0085476B" w:rsidRDefault="00DD0DB7" w:rsidP="00DD0DB7">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DD0DB7" w:rsidRDefault="00DD0DB7" w:rsidP="00DD0DB7"/>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D0DB7" w:rsidRPr="00C3091A" w:rsidTr="00DD0DB7">
        <w:tc>
          <w:tcPr>
            <w:tcW w:w="4380" w:type="dxa"/>
            <w:tcMar>
              <w:left w:w="0" w:type="dxa"/>
              <w:right w:w="0" w:type="dxa"/>
            </w:tcMar>
          </w:tcPr>
          <w:p w:rsidR="00DD0DB7" w:rsidRPr="00CC4D84" w:rsidRDefault="00DD0DB7" w:rsidP="00DD0DB7">
            <w:pPr>
              <w:widowControl w:val="0"/>
              <w:jc w:val="both"/>
              <w:rPr>
                <w:b/>
                <w:sz w:val="20"/>
                <w:szCs w:val="20"/>
                <w:u w:val="single"/>
              </w:rPr>
            </w:pPr>
            <w:r w:rsidRPr="00CC4D84">
              <w:rPr>
                <w:b/>
                <w:sz w:val="20"/>
                <w:szCs w:val="20"/>
                <w:u w:val="single"/>
              </w:rPr>
              <w:t>Nature of the case:</w:t>
            </w:r>
          </w:p>
          <w:p w:rsidR="00343378" w:rsidRDefault="00343378" w:rsidP="00343378">
            <w:pPr>
              <w:pStyle w:val="SCCBanSummary"/>
              <w:rPr>
                <w:sz w:val="20"/>
                <w:szCs w:val="20"/>
              </w:rPr>
            </w:pPr>
          </w:p>
          <w:p w:rsidR="00343378" w:rsidRPr="008A5E02" w:rsidRDefault="00343378" w:rsidP="00343378">
            <w:pPr>
              <w:pStyle w:val="SCCBanSummary"/>
              <w:rPr>
                <w:sz w:val="20"/>
                <w:szCs w:val="20"/>
              </w:rPr>
            </w:pPr>
            <w:r w:rsidRPr="008A5E02">
              <w:rPr>
                <w:sz w:val="20"/>
                <w:szCs w:val="20"/>
              </w:rPr>
              <w:t xml:space="preserve">(Publication </w:t>
            </w:r>
            <w:r>
              <w:rPr>
                <w:sz w:val="20"/>
                <w:szCs w:val="20"/>
              </w:rPr>
              <w:t>B</w:t>
            </w:r>
            <w:r w:rsidRPr="008A5E02">
              <w:rPr>
                <w:sz w:val="20"/>
                <w:szCs w:val="20"/>
              </w:rPr>
              <w:t xml:space="preserve">an in </w:t>
            </w:r>
            <w:r>
              <w:rPr>
                <w:sz w:val="20"/>
                <w:szCs w:val="20"/>
              </w:rPr>
              <w:t>C</w:t>
            </w:r>
            <w:r w:rsidRPr="008A5E02">
              <w:rPr>
                <w:sz w:val="20"/>
                <w:szCs w:val="20"/>
              </w:rPr>
              <w:t xml:space="preserve">ase) (Publication </w:t>
            </w:r>
            <w:r>
              <w:rPr>
                <w:sz w:val="20"/>
                <w:szCs w:val="20"/>
              </w:rPr>
              <w:t>B</w:t>
            </w:r>
            <w:r w:rsidRPr="008A5E02">
              <w:rPr>
                <w:sz w:val="20"/>
                <w:szCs w:val="20"/>
              </w:rPr>
              <w:t xml:space="preserve">an on </w:t>
            </w:r>
            <w:r>
              <w:rPr>
                <w:sz w:val="20"/>
                <w:szCs w:val="20"/>
              </w:rPr>
              <w:t>P</w:t>
            </w:r>
            <w:r w:rsidRPr="008A5E02">
              <w:rPr>
                <w:sz w:val="20"/>
                <w:szCs w:val="20"/>
              </w:rPr>
              <w:t>arty)</w:t>
            </w:r>
          </w:p>
          <w:p w:rsidR="00343378" w:rsidRDefault="00343378" w:rsidP="00343378">
            <w:pPr>
              <w:widowControl w:val="0"/>
              <w:jc w:val="both"/>
              <w:rPr>
                <w:sz w:val="20"/>
                <w:szCs w:val="20"/>
              </w:rPr>
            </w:pPr>
          </w:p>
          <w:p w:rsidR="00343378" w:rsidRPr="008A5E02" w:rsidRDefault="00343378" w:rsidP="00343378">
            <w:pPr>
              <w:widowControl w:val="0"/>
              <w:jc w:val="both"/>
              <w:rPr>
                <w:sz w:val="20"/>
                <w:szCs w:val="20"/>
              </w:rPr>
            </w:pPr>
          </w:p>
          <w:p w:rsidR="00DD0DB7" w:rsidRPr="00C1697B" w:rsidRDefault="00343378" w:rsidP="00343378">
            <w:pPr>
              <w:jc w:val="both"/>
              <w:rPr>
                <w:b/>
                <w:sz w:val="20"/>
                <w:szCs w:val="20"/>
              </w:rPr>
            </w:pPr>
            <w:r w:rsidRPr="008A5E02">
              <w:rPr>
                <w:sz w:val="20"/>
                <w:szCs w:val="20"/>
              </w:rPr>
              <w:t xml:space="preserve">Extradition - Double criminality rule - Defence of necessity - Defence recognized in </w:t>
            </w:r>
            <w:r w:rsidRPr="008A5E02">
              <w:rPr>
                <w:i/>
                <w:sz w:val="20"/>
                <w:szCs w:val="20"/>
              </w:rPr>
              <w:t>Criminal Code</w:t>
            </w:r>
            <w:r w:rsidRPr="008A5E02">
              <w:rPr>
                <w:sz w:val="20"/>
                <w:szCs w:val="20"/>
              </w:rPr>
              <w:t xml:space="preserve"> but unavailable in requesting state - Whether defence negates </w:t>
            </w:r>
            <w:r w:rsidRPr="008A5E02">
              <w:rPr>
                <w:i/>
                <w:sz w:val="20"/>
                <w:szCs w:val="20"/>
              </w:rPr>
              <w:t>mens rea</w:t>
            </w:r>
            <w:r w:rsidRPr="008A5E02">
              <w:rPr>
                <w:sz w:val="20"/>
                <w:szCs w:val="20"/>
              </w:rPr>
              <w:t xml:space="preserve"> required for conviction of abduction in Canada such that Canadian offence cannot be held to be same as U.S. offence for which extradition sought? - Whether appellant’s acts were punishable in Canada and whether double criminality rule is met? - Whether unavailability of defence in U.S. must be considered by Minister of Justice at surrender stage? - Best interest of child - Whether Minister failed to properly consider and take into account best interest of appellant’s children? - </w:t>
            </w:r>
            <w:r w:rsidRPr="008A5E02">
              <w:rPr>
                <w:i/>
                <w:sz w:val="20"/>
                <w:szCs w:val="20"/>
              </w:rPr>
              <w:t>Criminal Code</w:t>
            </w:r>
            <w:r w:rsidRPr="008A5E02">
              <w:rPr>
                <w:sz w:val="20"/>
                <w:szCs w:val="20"/>
              </w:rPr>
              <w:t xml:space="preserve">, R.S.C., 1985, c. C-46, s. 285 - </w:t>
            </w:r>
            <w:r w:rsidRPr="008A5E02">
              <w:rPr>
                <w:i/>
                <w:sz w:val="20"/>
                <w:szCs w:val="20"/>
              </w:rPr>
              <w:t>Extradition Act</w:t>
            </w:r>
            <w:r w:rsidRPr="008A5E02">
              <w:rPr>
                <w:sz w:val="20"/>
                <w:szCs w:val="20"/>
              </w:rPr>
              <w:t>, S.C. 1999, c. 18, s. 44(1)</w:t>
            </w:r>
            <w:r w:rsidRPr="008A5E02">
              <w:rPr>
                <w:i/>
                <w:sz w:val="20"/>
                <w:szCs w:val="20"/>
              </w:rPr>
              <w:t>a</w:t>
            </w:r>
            <w:r w:rsidRPr="008A5E02">
              <w:rPr>
                <w:sz w:val="20"/>
                <w:szCs w:val="20"/>
              </w:rPr>
              <w:t xml:space="preserve">). </w:t>
            </w:r>
          </w:p>
        </w:tc>
        <w:tc>
          <w:tcPr>
            <w:tcW w:w="720" w:type="dxa"/>
            <w:tcMar>
              <w:left w:w="0" w:type="dxa"/>
              <w:right w:w="0" w:type="dxa"/>
            </w:tcMar>
          </w:tcPr>
          <w:p w:rsidR="00DD0DB7" w:rsidRPr="00C1697B" w:rsidRDefault="00DD0DB7" w:rsidP="00DD0DB7">
            <w:pPr>
              <w:widowControl w:val="0"/>
              <w:jc w:val="center"/>
              <w:rPr>
                <w:sz w:val="20"/>
                <w:szCs w:val="20"/>
              </w:rPr>
            </w:pPr>
          </w:p>
        </w:tc>
        <w:tc>
          <w:tcPr>
            <w:tcW w:w="4380" w:type="dxa"/>
            <w:tcMar>
              <w:left w:w="0" w:type="dxa"/>
              <w:right w:w="0" w:type="dxa"/>
            </w:tcMar>
          </w:tcPr>
          <w:p w:rsidR="00DD0DB7" w:rsidRPr="00CC4D84" w:rsidRDefault="00DD0DB7" w:rsidP="00DD0DB7">
            <w:pPr>
              <w:widowControl w:val="0"/>
              <w:jc w:val="both"/>
              <w:rPr>
                <w:b/>
                <w:sz w:val="20"/>
                <w:szCs w:val="20"/>
                <w:u w:val="single"/>
                <w:lang w:val="fr-CA"/>
              </w:rPr>
            </w:pPr>
            <w:r w:rsidRPr="00CC4D84">
              <w:rPr>
                <w:b/>
                <w:sz w:val="20"/>
                <w:szCs w:val="20"/>
                <w:u w:val="single"/>
                <w:lang w:val="fr-CA"/>
              </w:rPr>
              <w:t>Nature de la cause :</w:t>
            </w:r>
          </w:p>
          <w:p w:rsidR="00343378" w:rsidRPr="00B54106" w:rsidRDefault="00343378" w:rsidP="00343378">
            <w:pPr>
              <w:widowControl w:val="0"/>
              <w:ind w:left="720" w:hanging="720"/>
              <w:jc w:val="both"/>
              <w:rPr>
                <w:b/>
                <w:sz w:val="20"/>
                <w:szCs w:val="20"/>
                <w:lang w:val="fr-CA"/>
              </w:rPr>
            </w:pPr>
          </w:p>
          <w:p w:rsidR="00343378" w:rsidRPr="00B54106" w:rsidRDefault="00343378" w:rsidP="00343378">
            <w:pPr>
              <w:pStyle w:val="SCCBanSummary"/>
              <w:rPr>
                <w:sz w:val="20"/>
                <w:szCs w:val="20"/>
                <w:lang w:val="fr-CA"/>
              </w:rPr>
            </w:pPr>
            <w:r w:rsidRPr="00B54106">
              <w:rPr>
                <w:sz w:val="20"/>
                <w:szCs w:val="20"/>
                <w:lang w:val="fr-CA"/>
              </w:rPr>
              <w:t>(Ordonnance de non-publication au dossier) (Ordonnance de non-publication visant une partie)</w:t>
            </w:r>
          </w:p>
          <w:p w:rsidR="00343378" w:rsidRPr="00B54106" w:rsidRDefault="00343378" w:rsidP="00343378">
            <w:pPr>
              <w:widowControl w:val="0"/>
              <w:jc w:val="both"/>
              <w:rPr>
                <w:sz w:val="20"/>
                <w:szCs w:val="20"/>
                <w:lang w:val="fr-CA"/>
              </w:rPr>
            </w:pPr>
          </w:p>
          <w:p w:rsidR="00DD0DB7" w:rsidRPr="00C1697B" w:rsidRDefault="00343378" w:rsidP="00343378">
            <w:pPr>
              <w:widowControl w:val="0"/>
              <w:jc w:val="both"/>
              <w:rPr>
                <w:sz w:val="20"/>
                <w:szCs w:val="20"/>
                <w:lang w:val="fr-CA"/>
              </w:rPr>
            </w:pPr>
            <w:r w:rsidRPr="00B54106">
              <w:rPr>
                <w:sz w:val="20"/>
                <w:szCs w:val="20"/>
                <w:lang w:val="fr-CA"/>
              </w:rPr>
              <w:t xml:space="preserve">Extradition - Règle de la double incrimination - Moyen de défense fondé sur la nécessité - Moyen de défense reconnu au </w:t>
            </w:r>
            <w:r w:rsidRPr="00B54106">
              <w:rPr>
                <w:i/>
                <w:sz w:val="20"/>
                <w:szCs w:val="20"/>
                <w:lang w:val="fr-CA"/>
              </w:rPr>
              <w:t>Code criminel</w:t>
            </w:r>
            <w:r w:rsidRPr="00B54106">
              <w:rPr>
                <w:sz w:val="20"/>
                <w:szCs w:val="20"/>
                <w:lang w:val="fr-CA"/>
              </w:rPr>
              <w:t xml:space="preserve"> mais non dans l’État requérant - Le moyen de défense annule-t-il la </w:t>
            </w:r>
            <w:r w:rsidRPr="00B54106">
              <w:rPr>
                <w:i/>
                <w:sz w:val="20"/>
                <w:szCs w:val="20"/>
                <w:lang w:val="fr-CA"/>
              </w:rPr>
              <w:t>mens rea</w:t>
            </w:r>
            <w:r w:rsidRPr="00B54106">
              <w:rPr>
                <w:sz w:val="20"/>
                <w:szCs w:val="20"/>
                <w:lang w:val="fr-CA"/>
              </w:rPr>
              <w:t xml:space="preserve"> requise pour qu’une personne soit reconnue coupable d’enlèvement au Canada de sorte que l’on ne puisse conclure que l’infraction prévue au Canada est la même que l’infraction américaine pour laquelle l’extradition est demandée? - Les actes de l’appelante étaient-ils punissables au Canada, et la règle de la double incrimination s’applique-t-elle? - Le ministre de la Justice doit-il, à l’étape de l’arrêté d’extradition, prendre en compte l’irrecevabilité aux États-Unis du moyen de défense fondé sur la nécessité? - Intérêt supérieur de l’enfant - Le ministre a-t-il examiné et pris en compte comme il se doit l’intérêt supérieur des enfants de l’appelante? - </w:t>
            </w:r>
            <w:r w:rsidRPr="00B54106">
              <w:rPr>
                <w:i/>
                <w:sz w:val="20"/>
                <w:szCs w:val="20"/>
                <w:lang w:val="fr-CA"/>
              </w:rPr>
              <w:t>Code Criminel</w:t>
            </w:r>
            <w:r w:rsidRPr="00B54106">
              <w:rPr>
                <w:sz w:val="20"/>
                <w:szCs w:val="20"/>
                <w:lang w:val="fr-CA"/>
              </w:rPr>
              <w:t xml:space="preserve">, L.R.C. 1985, c. C-46, art. 285 - </w:t>
            </w:r>
            <w:r w:rsidRPr="00B54106">
              <w:rPr>
                <w:i/>
                <w:sz w:val="20"/>
                <w:szCs w:val="20"/>
                <w:lang w:val="fr-CA"/>
              </w:rPr>
              <w:t>Loi sur l’extradition</w:t>
            </w:r>
            <w:r w:rsidRPr="00B54106">
              <w:rPr>
                <w:sz w:val="20"/>
                <w:szCs w:val="20"/>
                <w:lang w:val="fr-CA"/>
              </w:rPr>
              <w:t>, L.C. 1999, c. 18, art. 44(1)</w:t>
            </w:r>
            <w:r w:rsidRPr="00B54106">
              <w:rPr>
                <w:i/>
                <w:sz w:val="20"/>
                <w:szCs w:val="20"/>
                <w:lang w:val="fr-CA"/>
              </w:rPr>
              <w:t>a</w:t>
            </w:r>
            <w:r w:rsidRPr="00B54106">
              <w:rPr>
                <w:sz w:val="20"/>
                <w:szCs w:val="20"/>
                <w:lang w:val="fr-CA"/>
              </w:rPr>
              <w:t>).</w:t>
            </w:r>
          </w:p>
        </w:tc>
      </w:tr>
    </w:tbl>
    <w:p w:rsidR="00DD0DB7" w:rsidRDefault="00DD0DB7" w:rsidP="00DD0DB7">
      <w:pPr>
        <w:widowControl w:val="0"/>
        <w:rPr>
          <w:sz w:val="20"/>
          <w:szCs w:val="20"/>
          <w:lang w:val="fr-CA"/>
        </w:rPr>
      </w:pPr>
    </w:p>
    <w:p w:rsidR="00DD0DB7" w:rsidRDefault="00BF341F" w:rsidP="00DD0DB7">
      <w:pPr>
        <w:widowControl w:val="0"/>
        <w:rPr>
          <w:sz w:val="20"/>
          <w:szCs w:val="20"/>
        </w:rPr>
      </w:pPr>
      <w:r>
        <w:rPr>
          <w:sz w:val="20"/>
          <w:szCs w:val="20"/>
          <w:lang w:val="fr-CA"/>
        </w:rPr>
        <w:pict>
          <v:rect id="_x0000_i1058" style="width:2in;height:1pt" o:hrpct="0" o:hralign="center" o:hrstd="t" o:hrnoshade="t" o:hr="t" fillcolor="black [3213]" stroked="f"/>
        </w:pict>
      </w:r>
    </w:p>
    <w:p w:rsidR="0080739D" w:rsidRDefault="0080739D">
      <w:pPr>
        <w:rPr>
          <w:sz w:val="20"/>
          <w:szCs w:val="20"/>
        </w:rPr>
      </w:pPr>
      <w:r>
        <w:rPr>
          <w:sz w:val="20"/>
          <w:szCs w:val="20"/>
        </w:rPr>
        <w:br w:type="page"/>
      </w:r>
    </w:p>
    <w:p w:rsidR="00E65DF0" w:rsidRPr="000D71BD" w:rsidRDefault="00E65DF0" w:rsidP="00E65DF0">
      <w:pPr>
        <w:widowControl w:val="0"/>
        <w:rPr>
          <w:sz w:val="20"/>
          <w:szCs w:val="20"/>
          <w:lang w:val="fr-CA"/>
        </w:rPr>
      </w:pPr>
      <w:r w:rsidRPr="000D71BD">
        <w:rPr>
          <w:sz w:val="20"/>
          <w:szCs w:val="20"/>
          <w:lang w:val="fr-CA"/>
        </w:rPr>
        <w:lastRenderedPageBreak/>
        <w:t>18.03.2015</w:t>
      </w:r>
    </w:p>
    <w:p w:rsidR="00E65DF0" w:rsidRPr="000D71BD" w:rsidRDefault="00E65DF0" w:rsidP="00732DB7">
      <w:pPr>
        <w:widowControl w:val="0"/>
        <w:rPr>
          <w:sz w:val="20"/>
          <w:szCs w:val="20"/>
          <w:lang w:val="fr-CA"/>
        </w:rPr>
      </w:pPr>
    </w:p>
    <w:p w:rsidR="00794936" w:rsidRPr="00E75133" w:rsidRDefault="00794936" w:rsidP="00794936">
      <w:pPr>
        <w:widowControl w:val="0"/>
        <w:ind w:left="720" w:hanging="720"/>
        <w:rPr>
          <w:sz w:val="20"/>
          <w:szCs w:val="20"/>
          <w:u w:val="single"/>
          <w:lang w:val="fr-CA"/>
        </w:rPr>
      </w:pPr>
      <w:r w:rsidRPr="00E75133">
        <w:rPr>
          <w:sz w:val="20"/>
          <w:szCs w:val="20"/>
          <w:lang w:val="fr-CA"/>
        </w:rPr>
        <w:t xml:space="preserve">Coram: </w:t>
      </w:r>
      <w:r w:rsidRPr="00E75133">
        <w:rPr>
          <w:sz w:val="20"/>
          <w:szCs w:val="20"/>
          <w:lang w:val="fr-CA"/>
        </w:rPr>
        <w:tab/>
      </w:r>
      <w:r w:rsidRPr="00E75133">
        <w:rPr>
          <w:sz w:val="20"/>
          <w:szCs w:val="20"/>
          <w:u w:val="single"/>
          <w:lang w:val="fr-CA"/>
        </w:rPr>
        <w:t xml:space="preserve">La juge en chef McLachlin et les juges Abella, Rothstein, </w:t>
      </w:r>
      <w:r>
        <w:rPr>
          <w:sz w:val="20"/>
          <w:szCs w:val="20"/>
          <w:u w:val="single"/>
          <w:lang w:val="fr-CA"/>
        </w:rPr>
        <w:t>Cr</w:t>
      </w:r>
      <w:r w:rsidRPr="00E75133">
        <w:rPr>
          <w:sz w:val="20"/>
          <w:szCs w:val="20"/>
          <w:u w:val="single"/>
          <w:lang w:val="fr-CA"/>
        </w:rPr>
        <w:t>o</w:t>
      </w:r>
      <w:r>
        <w:rPr>
          <w:sz w:val="20"/>
          <w:szCs w:val="20"/>
          <w:u w:val="single"/>
          <w:lang w:val="fr-CA"/>
        </w:rPr>
        <w:t>mwe</w:t>
      </w:r>
      <w:r w:rsidRPr="00E75133">
        <w:rPr>
          <w:sz w:val="20"/>
          <w:szCs w:val="20"/>
          <w:u w:val="single"/>
          <w:lang w:val="fr-CA"/>
        </w:rPr>
        <w:t>l</w:t>
      </w:r>
      <w:r>
        <w:rPr>
          <w:sz w:val="20"/>
          <w:szCs w:val="20"/>
          <w:u w:val="single"/>
          <w:lang w:val="fr-CA"/>
        </w:rPr>
        <w:t>l, Wagn</w:t>
      </w:r>
      <w:r w:rsidRPr="00E75133">
        <w:rPr>
          <w:sz w:val="20"/>
          <w:szCs w:val="20"/>
          <w:u w:val="single"/>
          <w:lang w:val="fr-CA"/>
        </w:rPr>
        <w:t xml:space="preserve">er, </w:t>
      </w:r>
      <w:r>
        <w:rPr>
          <w:sz w:val="20"/>
          <w:szCs w:val="20"/>
          <w:u w:val="single"/>
          <w:lang w:val="fr-CA"/>
        </w:rPr>
        <w:t>Gasco</w:t>
      </w:r>
      <w:r w:rsidRPr="00E75133">
        <w:rPr>
          <w:sz w:val="20"/>
          <w:szCs w:val="20"/>
          <w:u w:val="single"/>
          <w:lang w:val="fr-CA"/>
        </w:rPr>
        <w:t xml:space="preserve">n et </w:t>
      </w:r>
      <w:r>
        <w:rPr>
          <w:sz w:val="20"/>
          <w:szCs w:val="20"/>
          <w:u w:val="single"/>
          <w:lang w:val="fr-CA"/>
        </w:rPr>
        <w:t>Côté</w:t>
      </w:r>
    </w:p>
    <w:p w:rsidR="00E65DF0" w:rsidRPr="000D71BD" w:rsidRDefault="00E65DF0" w:rsidP="00732DB7">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D0DB7" w:rsidRPr="00C3091A" w:rsidTr="00DD0DB7">
        <w:tc>
          <w:tcPr>
            <w:tcW w:w="4380" w:type="dxa"/>
            <w:tcMar>
              <w:left w:w="0" w:type="dxa"/>
              <w:right w:w="0" w:type="dxa"/>
            </w:tcMar>
          </w:tcPr>
          <w:p w:rsidR="00106318" w:rsidRDefault="00106318" w:rsidP="00106318">
            <w:pPr>
              <w:widowControl w:val="0"/>
              <w:jc w:val="both"/>
              <w:rPr>
                <w:b/>
                <w:iCs/>
                <w:sz w:val="20"/>
                <w:szCs w:val="20"/>
                <w:lang w:val="fr-CA"/>
              </w:rPr>
            </w:pPr>
            <w:r w:rsidRPr="0027488A">
              <w:rPr>
                <w:b/>
                <w:iCs/>
                <w:sz w:val="20"/>
                <w:szCs w:val="20"/>
                <w:lang w:val="fr-CA"/>
              </w:rPr>
              <w:t xml:space="preserve">Société en commandite Place Mullins et autre </w:t>
            </w:r>
          </w:p>
          <w:p w:rsidR="00106318" w:rsidRDefault="00106318" w:rsidP="00106318">
            <w:pPr>
              <w:widowControl w:val="0"/>
              <w:jc w:val="both"/>
              <w:rPr>
                <w:b/>
                <w:iCs/>
                <w:sz w:val="20"/>
                <w:szCs w:val="20"/>
                <w:lang w:val="fr-CA"/>
              </w:rPr>
            </w:pPr>
          </w:p>
          <w:p w:rsidR="00106318" w:rsidRDefault="00106318" w:rsidP="00106318">
            <w:pPr>
              <w:widowControl w:val="0"/>
              <w:jc w:val="both"/>
              <w:rPr>
                <w:b/>
                <w:iCs/>
                <w:sz w:val="20"/>
                <w:szCs w:val="20"/>
                <w:lang w:val="fr-CA"/>
              </w:rPr>
            </w:pPr>
            <w:r>
              <w:rPr>
                <w:b/>
                <w:iCs/>
                <w:sz w:val="20"/>
                <w:szCs w:val="20"/>
                <w:lang w:val="fr-CA"/>
              </w:rPr>
              <w:tab/>
            </w:r>
            <w:r w:rsidRPr="0027488A">
              <w:rPr>
                <w:b/>
                <w:iCs/>
                <w:sz w:val="20"/>
                <w:szCs w:val="20"/>
                <w:lang w:val="fr-CA"/>
              </w:rPr>
              <w:t xml:space="preserve">c. </w:t>
            </w:r>
            <w:r w:rsidRPr="0027488A">
              <w:rPr>
                <w:sz w:val="20"/>
                <w:szCs w:val="20"/>
                <w:lang w:val="fr-CA"/>
              </w:rPr>
              <w:t>(</w:t>
            </w:r>
            <w:hyperlink r:id="rId64" w:history="1">
              <w:r w:rsidRPr="0027488A">
                <w:rPr>
                  <w:rStyle w:val="Hyperlink"/>
                  <w:sz w:val="20"/>
                  <w:szCs w:val="20"/>
                  <w:lang w:val="fr-CA"/>
                </w:rPr>
                <w:t>35461</w:t>
              </w:r>
            </w:hyperlink>
            <w:r w:rsidRPr="0027488A">
              <w:rPr>
                <w:sz w:val="20"/>
                <w:szCs w:val="20"/>
                <w:lang w:val="fr-CA"/>
              </w:rPr>
              <w:t>)</w:t>
            </w:r>
          </w:p>
          <w:p w:rsidR="00106318" w:rsidRDefault="00106318" w:rsidP="00106318">
            <w:pPr>
              <w:widowControl w:val="0"/>
              <w:jc w:val="both"/>
              <w:rPr>
                <w:b/>
                <w:iCs/>
                <w:sz w:val="20"/>
                <w:szCs w:val="20"/>
                <w:lang w:val="fr-CA"/>
              </w:rPr>
            </w:pPr>
          </w:p>
          <w:p w:rsidR="00DD0DB7" w:rsidRPr="000D71BD" w:rsidRDefault="00106318" w:rsidP="00106318">
            <w:pPr>
              <w:widowControl w:val="0"/>
              <w:jc w:val="both"/>
              <w:rPr>
                <w:sz w:val="20"/>
                <w:szCs w:val="20"/>
                <w:lang w:val="fr-CA"/>
              </w:rPr>
            </w:pPr>
            <w:r w:rsidRPr="0027488A">
              <w:rPr>
                <w:b/>
                <w:iCs/>
                <w:sz w:val="20"/>
                <w:szCs w:val="20"/>
                <w:lang w:val="fr-CA"/>
              </w:rPr>
              <w:t>Services immobiliers Diane Bisson Inc.</w:t>
            </w:r>
            <w:r w:rsidRPr="0027488A">
              <w:rPr>
                <w:b/>
                <w:sz w:val="20"/>
                <w:szCs w:val="20"/>
                <w:lang w:val="fr-CA"/>
              </w:rPr>
              <w:t xml:space="preserve"> </w:t>
            </w:r>
            <w:r w:rsidRPr="00106318">
              <w:rPr>
                <w:b/>
                <w:sz w:val="20"/>
                <w:szCs w:val="20"/>
                <w:lang w:val="fr-CA"/>
              </w:rPr>
              <w:t>(Qc) (Civile) (Autorisation)</w:t>
            </w:r>
            <w:r w:rsidRPr="00106318">
              <w:rPr>
                <w:sz w:val="20"/>
                <w:szCs w:val="20"/>
                <w:lang w:val="fr-CA"/>
              </w:rPr>
              <w:t xml:space="preserve"> </w:t>
            </w:r>
          </w:p>
        </w:tc>
        <w:tc>
          <w:tcPr>
            <w:tcW w:w="720" w:type="dxa"/>
            <w:tcMar>
              <w:left w:w="0" w:type="dxa"/>
              <w:right w:w="0" w:type="dxa"/>
            </w:tcMar>
          </w:tcPr>
          <w:p w:rsidR="00DD0DB7" w:rsidRPr="000D71BD" w:rsidRDefault="00DD0DB7" w:rsidP="00DD0DB7">
            <w:pPr>
              <w:widowControl w:val="0"/>
              <w:jc w:val="center"/>
              <w:rPr>
                <w:sz w:val="20"/>
                <w:szCs w:val="20"/>
                <w:lang w:val="fr-CA"/>
              </w:rPr>
            </w:pPr>
          </w:p>
        </w:tc>
        <w:tc>
          <w:tcPr>
            <w:tcW w:w="4380" w:type="dxa"/>
            <w:tcMar>
              <w:left w:w="0" w:type="dxa"/>
              <w:right w:w="0" w:type="dxa"/>
            </w:tcMar>
          </w:tcPr>
          <w:p w:rsidR="004C0D58" w:rsidRDefault="004C0D58" w:rsidP="004C0D58">
            <w:pPr>
              <w:tabs>
                <w:tab w:val="left" w:pos="-2970"/>
              </w:tabs>
              <w:jc w:val="both"/>
              <w:rPr>
                <w:sz w:val="20"/>
                <w:szCs w:val="20"/>
              </w:rPr>
            </w:pPr>
            <w:r w:rsidRPr="00D31A71">
              <w:rPr>
                <w:sz w:val="20"/>
                <w:szCs w:val="20"/>
              </w:rPr>
              <w:t>Vlatka (Carol) Kljajo and Gabriel Di Genova</w:t>
            </w:r>
            <w:r>
              <w:rPr>
                <w:sz w:val="20"/>
                <w:szCs w:val="20"/>
              </w:rPr>
              <w:t xml:space="preserve"> f</w:t>
            </w:r>
            <w:r w:rsidRPr="00D31A71">
              <w:rPr>
                <w:sz w:val="20"/>
                <w:szCs w:val="20"/>
              </w:rPr>
              <w:t xml:space="preserve">or the </w:t>
            </w:r>
            <w:r>
              <w:rPr>
                <w:sz w:val="20"/>
                <w:szCs w:val="20"/>
              </w:rPr>
              <w:t>a</w:t>
            </w:r>
            <w:r w:rsidRPr="00D31A71">
              <w:rPr>
                <w:sz w:val="20"/>
                <w:szCs w:val="20"/>
              </w:rPr>
              <w:t>ppellants</w:t>
            </w:r>
            <w:r>
              <w:rPr>
                <w:sz w:val="20"/>
                <w:szCs w:val="20"/>
              </w:rPr>
              <w:t>.</w:t>
            </w:r>
          </w:p>
          <w:p w:rsidR="004C0D58" w:rsidRPr="00D31A71" w:rsidRDefault="004C0D58" w:rsidP="004C0D58">
            <w:pPr>
              <w:tabs>
                <w:tab w:val="left" w:pos="-2970"/>
              </w:tabs>
              <w:jc w:val="both"/>
              <w:rPr>
                <w:sz w:val="20"/>
                <w:szCs w:val="20"/>
              </w:rPr>
            </w:pPr>
          </w:p>
          <w:p w:rsidR="00DD0DB7" w:rsidRPr="000D71BD" w:rsidRDefault="004C0D58" w:rsidP="004C0D58">
            <w:pPr>
              <w:widowControl w:val="0"/>
              <w:jc w:val="both"/>
              <w:rPr>
                <w:sz w:val="20"/>
                <w:szCs w:val="20"/>
                <w:lang w:val="fr-CA"/>
              </w:rPr>
            </w:pPr>
            <w:r w:rsidRPr="00D31A71">
              <w:rPr>
                <w:sz w:val="20"/>
                <w:szCs w:val="20"/>
                <w:lang w:val="fr-CA"/>
              </w:rPr>
              <w:t>Pierre-G. Champagne</w:t>
            </w:r>
            <w:r>
              <w:rPr>
                <w:sz w:val="20"/>
                <w:szCs w:val="20"/>
                <w:lang w:val="fr-CA"/>
              </w:rPr>
              <w:t xml:space="preserve"> p</w:t>
            </w:r>
            <w:r w:rsidRPr="00D31A71">
              <w:rPr>
                <w:sz w:val="20"/>
                <w:szCs w:val="20"/>
                <w:lang w:val="fr-CA"/>
              </w:rPr>
              <w:t>our l’intimée</w:t>
            </w:r>
            <w:r>
              <w:rPr>
                <w:sz w:val="20"/>
                <w:szCs w:val="20"/>
                <w:lang w:val="fr-CA"/>
              </w:rPr>
              <w:t>.</w:t>
            </w:r>
          </w:p>
        </w:tc>
      </w:tr>
    </w:tbl>
    <w:p w:rsidR="00DD0DB7" w:rsidRPr="000D71BD" w:rsidRDefault="00DD0DB7" w:rsidP="00732DB7">
      <w:pPr>
        <w:widowControl w:val="0"/>
        <w:rPr>
          <w:sz w:val="20"/>
          <w:szCs w:val="20"/>
          <w:lang w:val="fr-CA"/>
        </w:rPr>
      </w:pPr>
    </w:p>
    <w:p w:rsidR="004C0D58" w:rsidRPr="001D5BB2" w:rsidRDefault="004C0D58" w:rsidP="004C7555">
      <w:pPr>
        <w:widowControl w:val="0"/>
        <w:tabs>
          <w:tab w:val="left" w:pos="10224"/>
          <w:tab w:val="left" w:pos="11376"/>
        </w:tabs>
        <w:rPr>
          <w:rFonts w:eastAsia="Calibri" w:cs="Times New Roman"/>
          <w:sz w:val="20"/>
          <w:szCs w:val="20"/>
        </w:rPr>
      </w:pPr>
      <w:r w:rsidRPr="001D5BB2">
        <w:rPr>
          <w:rFonts w:eastAsia="Calibri" w:cs="Times New Roman"/>
          <w:b/>
          <w:sz w:val="20"/>
          <w:szCs w:val="20"/>
        </w:rPr>
        <w:t xml:space="preserve">ALLOWED, </w:t>
      </w:r>
      <w:r w:rsidR="00D803B6">
        <w:rPr>
          <w:rFonts w:eastAsia="Calibri" w:cs="Times New Roman"/>
          <w:b/>
          <w:sz w:val="20"/>
          <w:szCs w:val="20"/>
        </w:rPr>
        <w:t>(</w:t>
      </w:r>
      <w:r w:rsidRPr="001D5BB2">
        <w:rPr>
          <w:rFonts w:eastAsia="Calibri" w:cs="Times New Roman"/>
          <w:b/>
          <w:sz w:val="20"/>
          <w:szCs w:val="20"/>
        </w:rPr>
        <w:t>R</w:t>
      </w:r>
      <w:r w:rsidR="00D803B6">
        <w:rPr>
          <w:rFonts w:eastAsia="Calibri" w:cs="Times New Roman"/>
          <w:b/>
          <w:sz w:val="20"/>
          <w:szCs w:val="20"/>
        </w:rPr>
        <w:t>easons to follow</w:t>
      </w:r>
      <w:r w:rsidR="00C3091A">
        <w:rPr>
          <w:rFonts w:eastAsia="Calibri" w:cs="Times New Roman"/>
          <w:b/>
          <w:sz w:val="20"/>
          <w:szCs w:val="20"/>
        </w:rPr>
        <w:t>)</w:t>
      </w:r>
      <w:r w:rsidRPr="001D5BB2">
        <w:rPr>
          <w:rFonts w:eastAsia="Calibri" w:cs="Times New Roman"/>
          <w:b/>
          <w:sz w:val="20"/>
          <w:szCs w:val="20"/>
        </w:rPr>
        <w:t xml:space="preserve"> / ACCUEILLI</w:t>
      </w:r>
      <w:r w:rsidR="00D803B6">
        <w:rPr>
          <w:rFonts w:eastAsia="Calibri" w:cs="Times New Roman"/>
          <w:b/>
          <w:sz w:val="20"/>
          <w:szCs w:val="20"/>
        </w:rPr>
        <w:t xml:space="preserve"> (motifs à suivre)</w:t>
      </w:r>
    </w:p>
    <w:p w:rsidR="00DD0DB7" w:rsidRDefault="00DD0DB7" w:rsidP="00DD0DB7"/>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D0DB7" w:rsidRPr="00C3091A" w:rsidTr="00DD0DB7">
        <w:tc>
          <w:tcPr>
            <w:tcW w:w="4380" w:type="dxa"/>
            <w:tcMar>
              <w:left w:w="0" w:type="dxa"/>
              <w:right w:w="0" w:type="dxa"/>
            </w:tcMar>
          </w:tcPr>
          <w:p w:rsidR="00DD0DB7" w:rsidRPr="00CC4D84" w:rsidRDefault="00DD0DB7" w:rsidP="00DD0DB7">
            <w:pPr>
              <w:widowControl w:val="0"/>
              <w:jc w:val="both"/>
              <w:rPr>
                <w:b/>
                <w:sz w:val="20"/>
                <w:szCs w:val="20"/>
                <w:u w:val="single"/>
              </w:rPr>
            </w:pPr>
            <w:r w:rsidRPr="00CC4D84">
              <w:rPr>
                <w:b/>
                <w:sz w:val="20"/>
                <w:szCs w:val="20"/>
                <w:u w:val="single"/>
              </w:rPr>
              <w:t>Nature of the case:</w:t>
            </w:r>
          </w:p>
          <w:p w:rsidR="00DD0DB7" w:rsidRPr="001A663B" w:rsidRDefault="00DD0DB7" w:rsidP="00DD0DB7">
            <w:pPr>
              <w:widowControl w:val="0"/>
              <w:jc w:val="both"/>
              <w:rPr>
                <w:b/>
                <w:sz w:val="20"/>
                <w:szCs w:val="20"/>
              </w:rPr>
            </w:pPr>
          </w:p>
          <w:p w:rsidR="00DD0DB7" w:rsidRPr="00C1697B" w:rsidRDefault="000D0761" w:rsidP="00DD0DB7">
            <w:pPr>
              <w:widowControl w:val="0"/>
              <w:jc w:val="both"/>
              <w:rPr>
                <w:b/>
                <w:sz w:val="20"/>
                <w:szCs w:val="20"/>
              </w:rPr>
            </w:pPr>
            <w:r w:rsidRPr="0032470C">
              <w:rPr>
                <w:sz w:val="20"/>
                <w:szCs w:val="20"/>
              </w:rPr>
              <w:t>Sale - Conditional promises to purchase - Real estate brokers and agents - Remuneration - Whether promise to purchase followed by signing of act of sale - Whether Place Mullins voluntarily prevented free performance of contract of sale - Whether broker entitled to commission - If so, risks and consequences for public.</w:t>
            </w:r>
          </w:p>
        </w:tc>
        <w:tc>
          <w:tcPr>
            <w:tcW w:w="720" w:type="dxa"/>
            <w:tcMar>
              <w:left w:w="0" w:type="dxa"/>
              <w:right w:w="0" w:type="dxa"/>
            </w:tcMar>
          </w:tcPr>
          <w:p w:rsidR="00DD0DB7" w:rsidRPr="00C1697B" w:rsidRDefault="00DD0DB7" w:rsidP="00DD0DB7">
            <w:pPr>
              <w:widowControl w:val="0"/>
              <w:jc w:val="center"/>
              <w:rPr>
                <w:sz w:val="20"/>
                <w:szCs w:val="20"/>
              </w:rPr>
            </w:pPr>
          </w:p>
        </w:tc>
        <w:tc>
          <w:tcPr>
            <w:tcW w:w="4380" w:type="dxa"/>
            <w:tcMar>
              <w:left w:w="0" w:type="dxa"/>
              <w:right w:w="0" w:type="dxa"/>
            </w:tcMar>
          </w:tcPr>
          <w:p w:rsidR="00DD0DB7" w:rsidRPr="00CC4D84" w:rsidRDefault="00DD0DB7" w:rsidP="00DD0DB7">
            <w:pPr>
              <w:widowControl w:val="0"/>
              <w:jc w:val="both"/>
              <w:rPr>
                <w:b/>
                <w:sz w:val="20"/>
                <w:szCs w:val="20"/>
                <w:u w:val="single"/>
                <w:lang w:val="fr-CA"/>
              </w:rPr>
            </w:pPr>
            <w:r w:rsidRPr="00CC4D84">
              <w:rPr>
                <w:b/>
                <w:sz w:val="20"/>
                <w:szCs w:val="20"/>
                <w:u w:val="single"/>
                <w:lang w:val="fr-CA"/>
              </w:rPr>
              <w:t>Nature de la cause :</w:t>
            </w:r>
          </w:p>
          <w:p w:rsidR="00DD0DB7" w:rsidRPr="00C1697B" w:rsidRDefault="00DD0DB7" w:rsidP="00DD0DB7">
            <w:pPr>
              <w:widowControl w:val="0"/>
              <w:jc w:val="both"/>
              <w:rPr>
                <w:sz w:val="20"/>
                <w:szCs w:val="20"/>
                <w:lang w:val="fr-CA"/>
              </w:rPr>
            </w:pPr>
          </w:p>
          <w:p w:rsidR="00DD0DB7" w:rsidRPr="00C1697B" w:rsidRDefault="000D0761" w:rsidP="00DD0DB7">
            <w:pPr>
              <w:widowControl w:val="0"/>
              <w:jc w:val="both"/>
              <w:rPr>
                <w:sz w:val="20"/>
                <w:szCs w:val="20"/>
                <w:lang w:val="fr-CA"/>
              </w:rPr>
            </w:pPr>
            <w:r w:rsidRPr="00501BBE">
              <w:rPr>
                <w:sz w:val="20"/>
                <w:szCs w:val="20"/>
                <w:lang w:val="fr-CA"/>
              </w:rPr>
              <w:t>Vente - Promesses d’achat conditionnelles - Courtiers et agents immobiliers - Rétribution - Y a-t-il eu signature d’un acte de vente suite à la promesse d’achat? - Place Mullins a-t-elle volontairement empêché la libre exécution du contrat de vente? - La courtière a-t-elle droit à sa commission? - Dans l’affirmative, quels seraient les risques et conséquences pour le public?</w:t>
            </w:r>
          </w:p>
        </w:tc>
      </w:tr>
    </w:tbl>
    <w:p w:rsidR="00DD0DB7" w:rsidRDefault="00DD0DB7" w:rsidP="00DD0DB7">
      <w:pPr>
        <w:widowControl w:val="0"/>
        <w:rPr>
          <w:sz w:val="20"/>
          <w:szCs w:val="20"/>
          <w:lang w:val="fr-CA"/>
        </w:rPr>
      </w:pPr>
    </w:p>
    <w:p w:rsidR="00DD0DB7" w:rsidRDefault="00BF341F" w:rsidP="00DD0DB7">
      <w:pPr>
        <w:widowControl w:val="0"/>
        <w:rPr>
          <w:sz w:val="20"/>
          <w:szCs w:val="20"/>
        </w:rPr>
      </w:pPr>
      <w:r>
        <w:rPr>
          <w:sz w:val="20"/>
          <w:szCs w:val="20"/>
          <w:lang w:val="fr-CA"/>
        </w:rPr>
        <w:pict>
          <v:rect id="_x0000_i1059" style="width:2in;height:1pt" o:hrpct="0" o:hralign="center" o:hrstd="t" o:hrnoshade="t" o:hr="t" fillcolor="black [3213]" stroked="f"/>
        </w:pict>
      </w:r>
    </w:p>
    <w:p w:rsidR="00DD0DB7" w:rsidRDefault="00DD0DB7" w:rsidP="00DD0DB7">
      <w:pPr>
        <w:widowControl w:val="0"/>
        <w:rPr>
          <w:sz w:val="20"/>
          <w:szCs w:val="20"/>
        </w:rPr>
      </w:pPr>
    </w:p>
    <w:p w:rsidR="00E65DF0" w:rsidRPr="00794936" w:rsidRDefault="00E65DF0" w:rsidP="00E65DF0">
      <w:pPr>
        <w:widowControl w:val="0"/>
        <w:rPr>
          <w:sz w:val="20"/>
          <w:szCs w:val="20"/>
        </w:rPr>
      </w:pPr>
      <w:r w:rsidRPr="00794936">
        <w:rPr>
          <w:sz w:val="20"/>
          <w:szCs w:val="20"/>
        </w:rPr>
        <w:t>19.03.2015</w:t>
      </w:r>
    </w:p>
    <w:p w:rsidR="00E65DF0" w:rsidRPr="00794936" w:rsidRDefault="00E65DF0" w:rsidP="00732DB7">
      <w:pPr>
        <w:widowControl w:val="0"/>
        <w:rPr>
          <w:sz w:val="20"/>
          <w:szCs w:val="20"/>
        </w:rPr>
      </w:pPr>
    </w:p>
    <w:p w:rsidR="00794936" w:rsidRPr="000819BB" w:rsidRDefault="00794936" w:rsidP="00794936">
      <w:pPr>
        <w:widowControl w:val="0"/>
        <w:ind w:left="720" w:hanging="720"/>
        <w:rPr>
          <w:sz w:val="20"/>
          <w:szCs w:val="20"/>
          <w:u w:val="single"/>
        </w:rPr>
      </w:pPr>
      <w:r w:rsidRPr="000819BB">
        <w:rPr>
          <w:sz w:val="20"/>
          <w:szCs w:val="20"/>
        </w:rPr>
        <w:t xml:space="preserve">Coram: </w:t>
      </w:r>
      <w:r w:rsidRPr="000819BB">
        <w:rPr>
          <w:sz w:val="20"/>
          <w:szCs w:val="20"/>
        </w:rPr>
        <w:tab/>
      </w:r>
      <w:r w:rsidRPr="000819BB">
        <w:rPr>
          <w:sz w:val="20"/>
          <w:szCs w:val="20"/>
          <w:u w:val="single"/>
        </w:rPr>
        <w:t>McLachlin C.J. and Abella, Rothstein, Moldaver, Karakatsanis, Gascon and Côté JJ.</w:t>
      </w:r>
    </w:p>
    <w:p w:rsidR="00E65DF0" w:rsidRPr="00794936" w:rsidRDefault="00E65DF0" w:rsidP="00732DB7">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D0DB7" w:rsidRPr="00794936" w:rsidTr="00DD0DB7">
        <w:tc>
          <w:tcPr>
            <w:tcW w:w="4380" w:type="dxa"/>
            <w:tcMar>
              <w:left w:w="0" w:type="dxa"/>
              <w:right w:w="0" w:type="dxa"/>
            </w:tcMar>
          </w:tcPr>
          <w:p w:rsidR="00106318" w:rsidRDefault="00106318" w:rsidP="00106318">
            <w:pPr>
              <w:widowControl w:val="0"/>
              <w:jc w:val="both"/>
              <w:rPr>
                <w:b/>
                <w:iCs/>
                <w:sz w:val="20"/>
                <w:szCs w:val="20"/>
              </w:rPr>
            </w:pPr>
            <w:r w:rsidRPr="0092556A">
              <w:rPr>
                <w:b/>
                <w:iCs/>
                <w:sz w:val="20"/>
                <w:szCs w:val="20"/>
              </w:rPr>
              <w:t xml:space="preserve">Savdip Sanghera </w:t>
            </w:r>
          </w:p>
          <w:p w:rsidR="00106318" w:rsidRDefault="00106318" w:rsidP="00106318">
            <w:pPr>
              <w:widowControl w:val="0"/>
              <w:jc w:val="both"/>
              <w:rPr>
                <w:b/>
                <w:iCs/>
                <w:sz w:val="20"/>
                <w:szCs w:val="20"/>
              </w:rPr>
            </w:pPr>
          </w:p>
          <w:p w:rsidR="00106318" w:rsidRDefault="00106318" w:rsidP="00106318">
            <w:pPr>
              <w:widowControl w:val="0"/>
              <w:jc w:val="both"/>
              <w:rPr>
                <w:b/>
                <w:iCs/>
                <w:sz w:val="20"/>
                <w:szCs w:val="20"/>
              </w:rPr>
            </w:pPr>
            <w:r>
              <w:rPr>
                <w:b/>
                <w:iCs/>
                <w:sz w:val="20"/>
                <w:szCs w:val="20"/>
              </w:rPr>
              <w:tab/>
            </w:r>
            <w:r w:rsidRPr="0092556A">
              <w:rPr>
                <w:b/>
                <w:iCs/>
                <w:sz w:val="20"/>
                <w:szCs w:val="20"/>
              </w:rPr>
              <w:t xml:space="preserve">v. </w:t>
            </w:r>
            <w:r w:rsidRPr="00106318">
              <w:rPr>
                <w:sz w:val="20"/>
                <w:szCs w:val="20"/>
              </w:rPr>
              <w:t>(</w:t>
            </w:r>
            <w:hyperlink r:id="rId65" w:history="1">
              <w:r w:rsidRPr="00106318">
                <w:rPr>
                  <w:rStyle w:val="Hyperlink"/>
                  <w:sz w:val="20"/>
                  <w:szCs w:val="20"/>
                </w:rPr>
                <w:t>36017</w:t>
              </w:r>
            </w:hyperlink>
            <w:r w:rsidRPr="00106318">
              <w:rPr>
                <w:sz w:val="20"/>
                <w:szCs w:val="20"/>
              </w:rPr>
              <w:t>)</w:t>
            </w:r>
          </w:p>
          <w:p w:rsidR="00106318" w:rsidRDefault="00106318" w:rsidP="00106318">
            <w:pPr>
              <w:widowControl w:val="0"/>
              <w:jc w:val="both"/>
              <w:rPr>
                <w:b/>
                <w:iCs/>
                <w:sz w:val="20"/>
                <w:szCs w:val="20"/>
              </w:rPr>
            </w:pPr>
          </w:p>
          <w:p w:rsidR="00106318" w:rsidRDefault="00106318" w:rsidP="00106318">
            <w:pPr>
              <w:widowControl w:val="0"/>
              <w:jc w:val="both"/>
              <w:rPr>
                <w:b/>
                <w:sz w:val="20"/>
                <w:szCs w:val="20"/>
              </w:rPr>
            </w:pPr>
            <w:r w:rsidRPr="0092556A">
              <w:rPr>
                <w:b/>
                <w:iCs/>
                <w:sz w:val="20"/>
                <w:szCs w:val="20"/>
              </w:rPr>
              <w:t xml:space="preserve">Her Majesty the Queen </w:t>
            </w:r>
            <w:r w:rsidRPr="00106318">
              <w:rPr>
                <w:b/>
                <w:sz w:val="20"/>
                <w:szCs w:val="20"/>
              </w:rPr>
              <w:t xml:space="preserve">(B.C.) (Criminal) </w:t>
            </w:r>
          </w:p>
          <w:p w:rsidR="00DD0DB7" w:rsidRPr="00794936" w:rsidRDefault="00106318" w:rsidP="00106318">
            <w:pPr>
              <w:widowControl w:val="0"/>
              <w:jc w:val="both"/>
              <w:rPr>
                <w:sz w:val="20"/>
                <w:szCs w:val="20"/>
              </w:rPr>
            </w:pPr>
            <w:r w:rsidRPr="00106318">
              <w:rPr>
                <w:b/>
                <w:sz w:val="20"/>
                <w:szCs w:val="20"/>
              </w:rPr>
              <w:t>(As of Right)</w:t>
            </w:r>
          </w:p>
        </w:tc>
        <w:tc>
          <w:tcPr>
            <w:tcW w:w="720" w:type="dxa"/>
            <w:tcMar>
              <w:left w:w="0" w:type="dxa"/>
              <w:right w:w="0" w:type="dxa"/>
            </w:tcMar>
          </w:tcPr>
          <w:p w:rsidR="00DD0DB7" w:rsidRPr="00794936" w:rsidRDefault="00DD0DB7" w:rsidP="00DD0DB7">
            <w:pPr>
              <w:widowControl w:val="0"/>
              <w:jc w:val="center"/>
              <w:rPr>
                <w:sz w:val="20"/>
                <w:szCs w:val="20"/>
              </w:rPr>
            </w:pPr>
          </w:p>
        </w:tc>
        <w:tc>
          <w:tcPr>
            <w:tcW w:w="4380" w:type="dxa"/>
            <w:tcMar>
              <w:left w:w="0" w:type="dxa"/>
              <w:right w:w="0" w:type="dxa"/>
            </w:tcMar>
          </w:tcPr>
          <w:p w:rsidR="00B75E63" w:rsidRDefault="00B75E63" w:rsidP="00B75E63">
            <w:pPr>
              <w:tabs>
                <w:tab w:val="left" w:pos="-2970"/>
              </w:tabs>
              <w:jc w:val="both"/>
              <w:rPr>
                <w:sz w:val="20"/>
                <w:szCs w:val="20"/>
                <w:lang w:val="en-US"/>
              </w:rPr>
            </w:pPr>
            <w:r w:rsidRPr="00C24AE1">
              <w:rPr>
                <w:sz w:val="20"/>
                <w:szCs w:val="20"/>
                <w:lang w:val="en-US"/>
              </w:rPr>
              <w:t>Colleen E. Elden</w:t>
            </w:r>
            <w:r>
              <w:rPr>
                <w:sz w:val="20"/>
                <w:szCs w:val="20"/>
                <w:lang w:val="en-US"/>
              </w:rPr>
              <w:t xml:space="preserve"> f</w:t>
            </w:r>
            <w:r w:rsidRPr="00C24AE1">
              <w:rPr>
                <w:sz w:val="20"/>
                <w:szCs w:val="20"/>
                <w:lang w:val="en-US"/>
              </w:rPr>
              <w:t xml:space="preserve">or the </w:t>
            </w:r>
            <w:r>
              <w:rPr>
                <w:sz w:val="20"/>
                <w:szCs w:val="20"/>
                <w:lang w:val="en-US"/>
              </w:rPr>
              <w:t>a</w:t>
            </w:r>
            <w:r w:rsidRPr="00C24AE1">
              <w:rPr>
                <w:sz w:val="20"/>
                <w:szCs w:val="20"/>
                <w:lang w:val="en-US"/>
              </w:rPr>
              <w:t>ppellant</w:t>
            </w:r>
            <w:r>
              <w:rPr>
                <w:sz w:val="20"/>
                <w:szCs w:val="20"/>
                <w:lang w:val="en-US"/>
              </w:rPr>
              <w:t>.</w:t>
            </w:r>
          </w:p>
          <w:p w:rsidR="00B75E63" w:rsidRPr="00C24AE1" w:rsidRDefault="00B75E63" w:rsidP="00B75E63">
            <w:pPr>
              <w:tabs>
                <w:tab w:val="left" w:pos="-2970"/>
              </w:tabs>
              <w:jc w:val="both"/>
              <w:rPr>
                <w:sz w:val="20"/>
                <w:szCs w:val="20"/>
                <w:lang w:val="en-US"/>
              </w:rPr>
            </w:pPr>
          </w:p>
          <w:p w:rsidR="00DD0DB7" w:rsidRPr="00794936" w:rsidRDefault="00B75E63" w:rsidP="00B75E63">
            <w:pPr>
              <w:widowControl w:val="0"/>
              <w:jc w:val="both"/>
              <w:rPr>
                <w:sz w:val="20"/>
                <w:szCs w:val="20"/>
              </w:rPr>
            </w:pPr>
            <w:r w:rsidRPr="00C24AE1">
              <w:rPr>
                <w:sz w:val="20"/>
                <w:szCs w:val="20"/>
                <w:lang w:val="en-US"/>
              </w:rPr>
              <w:t>Christie Lusk</w:t>
            </w:r>
            <w:r>
              <w:rPr>
                <w:sz w:val="20"/>
                <w:szCs w:val="20"/>
                <w:lang w:val="en-US"/>
              </w:rPr>
              <w:t xml:space="preserve"> and </w:t>
            </w:r>
            <w:r w:rsidRPr="00C24AE1">
              <w:rPr>
                <w:sz w:val="20"/>
                <w:szCs w:val="20"/>
                <w:lang w:val="en-US"/>
              </w:rPr>
              <w:t>John Gordon, Q.C.</w:t>
            </w:r>
            <w:r>
              <w:rPr>
                <w:sz w:val="20"/>
                <w:szCs w:val="20"/>
                <w:lang w:val="en-US"/>
              </w:rPr>
              <w:t xml:space="preserve"> f</w:t>
            </w:r>
            <w:r w:rsidRPr="00C24AE1">
              <w:rPr>
                <w:sz w:val="20"/>
                <w:szCs w:val="20"/>
                <w:lang w:val="en-US"/>
              </w:rPr>
              <w:t xml:space="preserve">or the </w:t>
            </w:r>
            <w:r>
              <w:rPr>
                <w:sz w:val="20"/>
                <w:szCs w:val="20"/>
                <w:lang w:val="en-US"/>
              </w:rPr>
              <w:t>r</w:t>
            </w:r>
            <w:r w:rsidRPr="00C24AE1">
              <w:rPr>
                <w:sz w:val="20"/>
                <w:szCs w:val="20"/>
                <w:lang w:val="en-US"/>
              </w:rPr>
              <w:t>espondent</w:t>
            </w:r>
            <w:r>
              <w:rPr>
                <w:sz w:val="20"/>
                <w:szCs w:val="20"/>
                <w:lang w:val="en-US"/>
              </w:rPr>
              <w:t>.</w:t>
            </w:r>
          </w:p>
        </w:tc>
      </w:tr>
    </w:tbl>
    <w:p w:rsidR="00E65DF0" w:rsidRDefault="00E65DF0" w:rsidP="00732DB7">
      <w:pPr>
        <w:widowControl w:val="0"/>
        <w:rPr>
          <w:sz w:val="20"/>
          <w:szCs w:val="20"/>
        </w:rPr>
      </w:pPr>
    </w:p>
    <w:p w:rsidR="00E46473" w:rsidRPr="00BD381A" w:rsidRDefault="00E46473" w:rsidP="00E46473">
      <w:pPr>
        <w:rPr>
          <w:b/>
          <w:bCs/>
          <w:sz w:val="20"/>
          <w:szCs w:val="20"/>
        </w:rPr>
      </w:pPr>
      <w:r w:rsidRPr="00BD381A">
        <w:rPr>
          <w:b/>
          <w:bCs/>
          <w:sz w:val="20"/>
          <w:szCs w:val="20"/>
        </w:rPr>
        <w:t>2015 SCC 13 / 2015 CSC 13</w:t>
      </w:r>
    </w:p>
    <w:p w:rsidR="00E46473" w:rsidRPr="00794936" w:rsidRDefault="00E46473" w:rsidP="00732DB7">
      <w:pPr>
        <w:widowControl w:val="0"/>
        <w:rPr>
          <w:sz w:val="20"/>
          <w:szCs w:val="20"/>
        </w:rPr>
      </w:pPr>
    </w:p>
    <w:p w:rsidR="00DD0DB7" w:rsidRPr="0085476B" w:rsidRDefault="00E46473" w:rsidP="00DD0DB7">
      <w:pPr>
        <w:widowControl w:val="0"/>
        <w:rPr>
          <w:sz w:val="20"/>
          <w:szCs w:val="20"/>
        </w:rPr>
      </w:pPr>
      <w:r>
        <w:rPr>
          <w:b/>
          <w:sz w:val="20"/>
          <w:szCs w:val="20"/>
        </w:rPr>
        <w:t>DISMISS</w:t>
      </w:r>
      <w:r w:rsidR="00DD0DB7" w:rsidRPr="0085476B">
        <w:rPr>
          <w:b/>
          <w:sz w:val="20"/>
          <w:szCs w:val="20"/>
        </w:rPr>
        <w:t xml:space="preserve">ED / </w:t>
      </w:r>
      <w:r>
        <w:rPr>
          <w:b/>
          <w:sz w:val="20"/>
          <w:szCs w:val="20"/>
        </w:rPr>
        <w:t>R</w:t>
      </w:r>
      <w:r w:rsidR="00DD0DB7" w:rsidRPr="0085476B">
        <w:rPr>
          <w:b/>
          <w:sz w:val="20"/>
          <w:szCs w:val="20"/>
          <w:lang w:val="fr-CA"/>
        </w:rPr>
        <w:t>E</w:t>
      </w:r>
      <w:r>
        <w:rPr>
          <w:b/>
          <w:sz w:val="20"/>
          <w:szCs w:val="20"/>
          <w:lang w:val="fr-CA"/>
        </w:rPr>
        <w:t>JET</w:t>
      </w:r>
      <w:r w:rsidR="00DD0DB7">
        <w:rPr>
          <w:b/>
          <w:sz w:val="20"/>
          <w:szCs w:val="20"/>
          <w:lang w:val="fr-CA"/>
        </w:rPr>
        <w:t>É</w:t>
      </w:r>
      <w:r>
        <w:rPr>
          <w:b/>
          <w:sz w:val="20"/>
          <w:szCs w:val="20"/>
          <w:lang w:val="fr-CA"/>
        </w:rPr>
        <w:t>E</w:t>
      </w:r>
    </w:p>
    <w:p w:rsidR="00DD0DB7" w:rsidRDefault="00DD0DB7" w:rsidP="00DD0DB7"/>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D0DB7" w:rsidRPr="00C3091A" w:rsidTr="00DD0DB7">
        <w:tc>
          <w:tcPr>
            <w:tcW w:w="4380" w:type="dxa"/>
            <w:tcMar>
              <w:left w:w="0" w:type="dxa"/>
              <w:right w:w="0" w:type="dxa"/>
            </w:tcMar>
          </w:tcPr>
          <w:p w:rsidR="00DD0DB7" w:rsidRPr="00CC4D84" w:rsidRDefault="00DD0DB7" w:rsidP="00DD0DB7">
            <w:pPr>
              <w:widowControl w:val="0"/>
              <w:jc w:val="both"/>
              <w:rPr>
                <w:b/>
                <w:sz w:val="20"/>
                <w:szCs w:val="20"/>
                <w:u w:val="single"/>
              </w:rPr>
            </w:pPr>
            <w:r w:rsidRPr="00CC4D84">
              <w:rPr>
                <w:b/>
                <w:sz w:val="20"/>
                <w:szCs w:val="20"/>
                <w:u w:val="single"/>
              </w:rPr>
              <w:t>Nature of the case:</w:t>
            </w:r>
          </w:p>
          <w:p w:rsidR="00DD0DB7" w:rsidRPr="001A663B" w:rsidRDefault="00DD0DB7" w:rsidP="00DD0DB7">
            <w:pPr>
              <w:widowControl w:val="0"/>
              <w:jc w:val="both"/>
              <w:rPr>
                <w:b/>
                <w:sz w:val="20"/>
                <w:szCs w:val="20"/>
              </w:rPr>
            </w:pPr>
          </w:p>
          <w:p w:rsidR="00DD0DB7" w:rsidRPr="00C1697B" w:rsidRDefault="00FA392F" w:rsidP="00DD0DB7">
            <w:pPr>
              <w:widowControl w:val="0"/>
              <w:jc w:val="both"/>
              <w:rPr>
                <w:b/>
                <w:sz w:val="20"/>
                <w:szCs w:val="20"/>
              </w:rPr>
            </w:pPr>
            <w:r w:rsidRPr="00052A5C">
              <w:rPr>
                <w:i/>
                <w:sz w:val="20"/>
                <w:szCs w:val="20"/>
              </w:rPr>
              <w:t>Charter of rights</w:t>
            </w:r>
            <w:r w:rsidRPr="00052A5C">
              <w:rPr>
                <w:sz w:val="20"/>
                <w:szCs w:val="20"/>
              </w:rPr>
              <w:t xml:space="preserve"> - Right to be tried within a reasonable time - Whether the trial judge erred in concluding that the Crown was not responsible for the delay caused by the direct indictment - Whether the majority of the Court of Appeal erred in concluding that the trial judge failed to attribute sufficient delay </w:t>
            </w:r>
            <w:r w:rsidRPr="00052A5C">
              <w:rPr>
                <w:sz w:val="20"/>
                <w:szCs w:val="20"/>
              </w:rPr>
              <w:lastRenderedPageBreak/>
              <w:t xml:space="preserve">to the appellant - Whether a stay of proceedings should be granted pursuant to s. 24(1) of the </w:t>
            </w:r>
            <w:r w:rsidRPr="00052A5C">
              <w:rPr>
                <w:i/>
                <w:sz w:val="20"/>
                <w:szCs w:val="20"/>
              </w:rPr>
              <w:t>Charter</w:t>
            </w:r>
            <w:r w:rsidRPr="00052A5C">
              <w:rPr>
                <w:sz w:val="20"/>
                <w:szCs w:val="20"/>
              </w:rPr>
              <w:t>.</w:t>
            </w:r>
          </w:p>
        </w:tc>
        <w:tc>
          <w:tcPr>
            <w:tcW w:w="720" w:type="dxa"/>
            <w:tcMar>
              <w:left w:w="0" w:type="dxa"/>
              <w:right w:w="0" w:type="dxa"/>
            </w:tcMar>
          </w:tcPr>
          <w:p w:rsidR="00DD0DB7" w:rsidRPr="00C1697B" w:rsidRDefault="00DD0DB7" w:rsidP="00DD0DB7">
            <w:pPr>
              <w:widowControl w:val="0"/>
              <w:jc w:val="center"/>
              <w:rPr>
                <w:sz w:val="20"/>
                <w:szCs w:val="20"/>
              </w:rPr>
            </w:pPr>
          </w:p>
        </w:tc>
        <w:tc>
          <w:tcPr>
            <w:tcW w:w="4380" w:type="dxa"/>
            <w:tcMar>
              <w:left w:w="0" w:type="dxa"/>
              <w:right w:w="0" w:type="dxa"/>
            </w:tcMar>
          </w:tcPr>
          <w:p w:rsidR="00DD0DB7" w:rsidRPr="00CC4D84" w:rsidRDefault="00DD0DB7" w:rsidP="00DD0DB7">
            <w:pPr>
              <w:widowControl w:val="0"/>
              <w:jc w:val="both"/>
              <w:rPr>
                <w:b/>
                <w:sz w:val="20"/>
                <w:szCs w:val="20"/>
                <w:u w:val="single"/>
                <w:lang w:val="fr-CA"/>
              </w:rPr>
            </w:pPr>
            <w:r w:rsidRPr="00CC4D84">
              <w:rPr>
                <w:b/>
                <w:sz w:val="20"/>
                <w:szCs w:val="20"/>
                <w:u w:val="single"/>
                <w:lang w:val="fr-CA"/>
              </w:rPr>
              <w:t>Nature de la cause :</w:t>
            </w:r>
          </w:p>
          <w:p w:rsidR="00DD0DB7" w:rsidRPr="00C1697B" w:rsidRDefault="00DD0DB7" w:rsidP="00DD0DB7">
            <w:pPr>
              <w:widowControl w:val="0"/>
              <w:jc w:val="both"/>
              <w:rPr>
                <w:sz w:val="20"/>
                <w:szCs w:val="20"/>
                <w:lang w:val="fr-CA"/>
              </w:rPr>
            </w:pPr>
          </w:p>
          <w:p w:rsidR="00DD0DB7" w:rsidRPr="00C1697B" w:rsidRDefault="00FA392F" w:rsidP="00DD0DB7">
            <w:pPr>
              <w:widowControl w:val="0"/>
              <w:jc w:val="both"/>
              <w:rPr>
                <w:sz w:val="20"/>
                <w:szCs w:val="20"/>
                <w:lang w:val="fr-CA"/>
              </w:rPr>
            </w:pPr>
            <w:r w:rsidRPr="00864C4C">
              <w:rPr>
                <w:i/>
                <w:sz w:val="20"/>
                <w:szCs w:val="20"/>
                <w:lang w:val="fr-CA"/>
              </w:rPr>
              <w:t xml:space="preserve">Charte des droits - </w:t>
            </w:r>
            <w:r w:rsidRPr="00864C4C">
              <w:rPr>
                <w:sz w:val="20"/>
                <w:szCs w:val="20"/>
                <w:lang w:val="fr-CA"/>
              </w:rPr>
              <w:t xml:space="preserve">Droit d’être jugé dans un délai raisonnable - La juge du procès a-t-elle eu tort de conclure que le ministère public n’était pas responsable du délai causé par la mise en accusation directe? - Les juges majoritaires de la Cour d’appel ont-ils eu tort de conclure que la juge du procès avait </w:t>
            </w:r>
            <w:r w:rsidRPr="00864C4C">
              <w:rPr>
                <w:sz w:val="20"/>
                <w:szCs w:val="20"/>
                <w:lang w:val="fr-CA"/>
              </w:rPr>
              <w:lastRenderedPageBreak/>
              <w:t xml:space="preserve">omis d’attribuer un délai suffisant à l’appelant? - L’arrêt des procédures devrait-il être accordé en application du par. 24(1) de la </w:t>
            </w:r>
            <w:r w:rsidRPr="00864C4C">
              <w:rPr>
                <w:i/>
                <w:sz w:val="20"/>
                <w:szCs w:val="20"/>
                <w:lang w:val="fr-CA"/>
              </w:rPr>
              <w:t>Charte</w:t>
            </w:r>
            <w:r w:rsidRPr="00864C4C">
              <w:rPr>
                <w:sz w:val="20"/>
                <w:szCs w:val="20"/>
                <w:lang w:val="fr-CA"/>
              </w:rPr>
              <w:t>?</w:t>
            </w:r>
          </w:p>
        </w:tc>
      </w:tr>
    </w:tbl>
    <w:p w:rsidR="00DD0DB7" w:rsidRDefault="00DD0DB7" w:rsidP="00DD0DB7">
      <w:pPr>
        <w:widowControl w:val="0"/>
        <w:rPr>
          <w:sz w:val="20"/>
          <w:szCs w:val="20"/>
          <w:lang w:val="fr-CA"/>
        </w:rPr>
      </w:pPr>
    </w:p>
    <w:p w:rsidR="00732DB7" w:rsidRPr="00C1697B" w:rsidRDefault="00BF341F" w:rsidP="00732DB7">
      <w:pPr>
        <w:widowControl w:val="0"/>
        <w:rPr>
          <w:sz w:val="20"/>
          <w:szCs w:val="20"/>
          <w:lang w:val="fr-CA"/>
        </w:rPr>
      </w:pPr>
      <w:r>
        <w:rPr>
          <w:sz w:val="20"/>
          <w:szCs w:val="20"/>
          <w:lang w:val="fr-CA"/>
        </w:rPr>
        <w:pict>
          <v:rect id="_x0000_i1060" style="width:2in;height:1pt" o:hrpct="0" o:hralign="center" o:hrstd="t" o:hrnoshade="t" o:hr="t" fillcolor="black [3213]" stroked="f"/>
        </w:pict>
      </w:r>
    </w:p>
    <w:p w:rsidR="00732DB7" w:rsidRPr="00C1697B" w:rsidRDefault="00732DB7" w:rsidP="00732DB7">
      <w:pPr>
        <w:widowControl w:val="0"/>
        <w:rPr>
          <w:sz w:val="20"/>
          <w:szCs w:val="20"/>
          <w:lang w:val="fr-CA"/>
        </w:rPr>
        <w:sectPr w:rsidR="00732DB7" w:rsidRPr="00C1697B" w:rsidSect="00732DB7">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C3091A"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D52851" w:rsidRDefault="00B7387E" w:rsidP="0052229C">
      <w:pPr>
        <w:rPr>
          <w:b/>
          <w:sz w:val="20"/>
          <w:szCs w:val="20"/>
        </w:rPr>
      </w:pPr>
      <w:r w:rsidRPr="00D52851">
        <w:rPr>
          <w:b/>
          <w:sz w:val="20"/>
          <w:szCs w:val="20"/>
        </w:rPr>
        <w:t>MARCH</w:t>
      </w:r>
      <w:r w:rsidR="0052229C" w:rsidRPr="00D52851">
        <w:rPr>
          <w:b/>
          <w:sz w:val="20"/>
          <w:szCs w:val="20"/>
        </w:rPr>
        <w:t xml:space="preserve"> 1</w:t>
      </w:r>
      <w:r w:rsidRPr="00D52851">
        <w:rPr>
          <w:b/>
          <w:sz w:val="20"/>
          <w:szCs w:val="20"/>
        </w:rPr>
        <w:t>9</w:t>
      </w:r>
      <w:r w:rsidR="0052229C" w:rsidRPr="00D52851">
        <w:rPr>
          <w:b/>
          <w:sz w:val="20"/>
          <w:szCs w:val="20"/>
        </w:rPr>
        <w:t>, 201</w:t>
      </w:r>
      <w:r w:rsidRPr="00D52851">
        <w:rPr>
          <w:b/>
          <w:sz w:val="20"/>
          <w:szCs w:val="20"/>
        </w:rPr>
        <w:t>5</w:t>
      </w:r>
      <w:r w:rsidR="0052229C" w:rsidRPr="00D52851">
        <w:rPr>
          <w:b/>
          <w:sz w:val="20"/>
          <w:szCs w:val="20"/>
        </w:rPr>
        <w:t xml:space="preserve"> / LE 1</w:t>
      </w:r>
      <w:r w:rsidRPr="00D52851">
        <w:rPr>
          <w:b/>
          <w:sz w:val="20"/>
          <w:szCs w:val="20"/>
        </w:rPr>
        <w:t>9</w:t>
      </w:r>
      <w:r w:rsidR="0052229C" w:rsidRPr="00D52851">
        <w:rPr>
          <w:b/>
          <w:sz w:val="20"/>
          <w:szCs w:val="20"/>
        </w:rPr>
        <w:t xml:space="preserve"> </w:t>
      </w:r>
      <w:r w:rsidRPr="00D52851">
        <w:rPr>
          <w:b/>
          <w:sz w:val="20"/>
          <w:szCs w:val="20"/>
        </w:rPr>
        <w:t>M</w:t>
      </w:r>
      <w:r w:rsidR="0052229C" w:rsidRPr="00D52851">
        <w:rPr>
          <w:b/>
          <w:sz w:val="20"/>
          <w:szCs w:val="20"/>
        </w:rPr>
        <w:t>AR</w:t>
      </w:r>
      <w:r w:rsidRPr="00D52851">
        <w:rPr>
          <w:b/>
          <w:sz w:val="20"/>
          <w:szCs w:val="20"/>
        </w:rPr>
        <w:t>S</w:t>
      </w:r>
      <w:r w:rsidR="0052229C" w:rsidRPr="00D52851">
        <w:rPr>
          <w:b/>
          <w:sz w:val="20"/>
          <w:szCs w:val="20"/>
        </w:rPr>
        <w:t xml:space="preserve"> 201</w:t>
      </w:r>
      <w:r w:rsidRPr="00D52851">
        <w:rPr>
          <w:b/>
          <w:sz w:val="20"/>
          <w:szCs w:val="20"/>
        </w:rPr>
        <w:t>5</w:t>
      </w:r>
    </w:p>
    <w:p w:rsidR="0052229C" w:rsidRPr="00D52851" w:rsidRDefault="0052229C" w:rsidP="0052229C">
      <w:pPr>
        <w:rPr>
          <w:sz w:val="20"/>
          <w:szCs w:val="20"/>
        </w:rPr>
      </w:pPr>
    </w:p>
    <w:p w:rsidR="001A5310" w:rsidRPr="003413DF" w:rsidRDefault="00A62C48" w:rsidP="001A5310">
      <w:pPr>
        <w:ind w:left="1440" w:hanging="1440"/>
        <w:jc w:val="both"/>
        <w:rPr>
          <w:sz w:val="20"/>
        </w:rPr>
      </w:pPr>
      <w:r w:rsidRPr="006C6301">
        <w:rPr>
          <w:b/>
          <w:sz w:val="20"/>
        </w:rPr>
        <w:fldChar w:fldCharType="begin"/>
      </w:r>
      <w:r w:rsidR="001A5310" w:rsidRPr="009574CC">
        <w:rPr>
          <w:b/>
          <w:sz w:val="20"/>
        </w:rPr>
        <w:instrText xml:space="preserve"> SEQ CHAPTER \h \r 1</w:instrText>
      </w:r>
      <w:r w:rsidRPr="006C6301">
        <w:rPr>
          <w:b/>
          <w:sz w:val="20"/>
        </w:rPr>
        <w:fldChar w:fldCharType="end"/>
      </w:r>
      <w:r w:rsidR="001A5310" w:rsidRPr="009574CC">
        <w:rPr>
          <w:b/>
          <w:sz w:val="20"/>
        </w:rPr>
        <w:t>3</w:t>
      </w:r>
      <w:r w:rsidR="001A5310">
        <w:rPr>
          <w:b/>
          <w:sz w:val="20"/>
        </w:rPr>
        <w:t>5201</w:t>
      </w:r>
      <w:r w:rsidR="001A5310" w:rsidRPr="009574CC">
        <w:rPr>
          <w:sz w:val="20"/>
        </w:rPr>
        <w:tab/>
      </w:r>
      <w:r w:rsidR="001A5310" w:rsidRPr="00A25D73">
        <w:rPr>
          <w:b/>
          <w:sz w:val="20"/>
          <w:u w:val="single"/>
        </w:rPr>
        <w:t>Loyola High School and John Zucchi</w:t>
      </w:r>
      <w:r w:rsidR="001A5310" w:rsidRPr="00C653FB">
        <w:rPr>
          <w:b/>
          <w:sz w:val="20"/>
          <w:u w:val="single"/>
        </w:rPr>
        <w:t xml:space="preserve"> </w:t>
      </w:r>
      <w:r w:rsidR="001A5310">
        <w:rPr>
          <w:b/>
          <w:sz w:val="20"/>
          <w:u w:val="single"/>
        </w:rPr>
        <w:t xml:space="preserve">v. </w:t>
      </w:r>
      <w:r w:rsidR="001A5310" w:rsidRPr="00A25D73">
        <w:rPr>
          <w:b/>
          <w:sz w:val="20"/>
          <w:u w:val="single"/>
        </w:rPr>
        <w:t>Attorney General of Quebec</w:t>
      </w:r>
      <w:r w:rsidR="001A5310">
        <w:rPr>
          <w:b/>
          <w:sz w:val="20"/>
          <w:u w:val="single"/>
        </w:rPr>
        <w:t xml:space="preserve"> – and – </w:t>
      </w:r>
      <w:r w:rsidR="001A5310" w:rsidRPr="00A25D73">
        <w:rPr>
          <w:b/>
          <w:sz w:val="20"/>
          <w:u w:val="single"/>
        </w:rPr>
        <w:t>Canadian Council of Christian Charities, Evangelical Fellowship of Canada, Christian Legal Fellowship, World Sikh Organization of Canada, Association of Christian Educators and Schools Canada, Canadian Civil Liberties Association, Catholic Civil Rights League, Association des parents catholiques du Québec, Faith and Freedom Alliance, Association de la communauté copte orthodoxe du grand Montréal, Faith, Fealty and Creed Society, Home School Legal Defence Association of Canada, Seventh-day Adventist Church in Canada, Seventh-day Adventist Church - Quebec Conference, Corporation archiépiscopale catholique romaine de Montréal and Archevêque catholique romain de Montréal</w:t>
      </w:r>
      <w:r w:rsidR="001A5310">
        <w:rPr>
          <w:b/>
          <w:sz w:val="20"/>
        </w:rPr>
        <w:t xml:space="preserve"> </w:t>
      </w:r>
      <w:r w:rsidR="001A5310" w:rsidRPr="00C653FB">
        <w:rPr>
          <w:sz w:val="20"/>
        </w:rPr>
        <w:t>(</w:t>
      </w:r>
      <w:r w:rsidR="001A5310">
        <w:rPr>
          <w:sz w:val="20"/>
        </w:rPr>
        <w:t>Que.</w:t>
      </w:r>
      <w:r w:rsidR="001A5310" w:rsidRPr="00C653FB">
        <w:rPr>
          <w:sz w:val="20"/>
        </w:rPr>
        <w:t>)</w:t>
      </w:r>
    </w:p>
    <w:p w:rsidR="001A5310" w:rsidRDefault="001A5310" w:rsidP="001A5310">
      <w:pPr>
        <w:tabs>
          <w:tab w:val="left" w:pos="1440"/>
          <w:tab w:val="left" w:pos="2160"/>
          <w:tab w:val="left" w:pos="2880"/>
          <w:tab w:val="left" w:pos="3600"/>
          <w:tab w:val="left" w:pos="4320"/>
          <w:tab w:val="left" w:pos="5040"/>
          <w:tab w:val="left" w:pos="5760"/>
          <w:tab w:val="left" w:pos="6480"/>
          <w:tab w:val="left" w:pos="7200"/>
        </w:tabs>
        <w:ind w:left="1440"/>
        <w:jc w:val="both"/>
        <w:rPr>
          <w:b/>
          <w:sz w:val="20"/>
        </w:rPr>
      </w:pPr>
      <w:r w:rsidRPr="009574CC">
        <w:rPr>
          <w:b/>
          <w:sz w:val="20"/>
        </w:rPr>
        <w:t>201</w:t>
      </w:r>
      <w:r>
        <w:rPr>
          <w:b/>
          <w:sz w:val="20"/>
        </w:rPr>
        <w:t>5</w:t>
      </w:r>
      <w:r w:rsidRPr="009574CC">
        <w:rPr>
          <w:b/>
          <w:sz w:val="20"/>
        </w:rPr>
        <w:t xml:space="preserve"> SCC </w:t>
      </w:r>
      <w:r>
        <w:rPr>
          <w:b/>
          <w:sz w:val="20"/>
        </w:rPr>
        <w:t>12</w:t>
      </w:r>
      <w:r w:rsidRPr="009574CC">
        <w:rPr>
          <w:b/>
          <w:sz w:val="20"/>
        </w:rPr>
        <w:t xml:space="preserve"> / 201</w:t>
      </w:r>
      <w:r>
        <w:rPr>
          <w:b/>
          <w:sz w:val="20"/>
        </w:rPr>
        <w:t>5</w:t>
      </w:r>
      <w:r w:rsidRPr="009574CC">
        <w:rPr>
          <w:b/>
          <w:sz w:val="20"/>
        </w:rPr>
        <w:t xml:space="preserve"> CSC </w:t>
      </w:r>
      <w:r>
        <w:rPr>
          <w:b/>
          <w:sz w:val="20"/>
        </w:rPr>
        <w:t>12</w:t>
      </w:r>
    </w:p>
    <w:p w:rsidR="001A5310" w:rsidRPr="009574CC" w:rsidRDefault="001A5310" w:rsidP="001A531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1A5310" w:rsidRDefault="001A5310" w:rsidP="001A5310">
      <w:pPr>
        <w:ind w:left="1440" w:hanging="1440"/>
        <w:rPr>
          <w:sz w:val="20"/>
          <w:u w:val="single"/>
        </w:rPr>
      </w:pPr>
      <w:r w:rsidRPr="009574CC">
        <w:rPr>
          <w:sz w:val="20"/>
        </w:rPr>
        <w:t>Coram:</w:t>
      </w:r>
      <w:r w:rsidRPr="009574CC">
        <w:rPr>
          <w:sz w:val="20"/>
        </w:rPr>
        <w:tab/>
      </w:r>
      <w:r w:rsidRPr="00A25D73">
        <w:rPr>
          <w:sz w:val="20"/>
          <w:u w:val="single"/>
        </w:rPr>
        <w:t>McLachlin C.J. and LeBel, Abella, Rothstein, Cromwell, Moldaver and Karakatsanis JJ.</w:t>
      </w:r>
    </w:p>
    <w:p w:rsidR="001A5310" w:rsidRPr="00A25D73" w:rsidRDefault="001A5310" w:rsidP="001A5310">
      <w:pPr>
        <w:ind w:left="1440" w:hanging="1440"/>
        <w:jc w:val="both"/>
        <w:rPr>
          <w:sz w:val="20"/>
        </w:rPr>
      </w:pPr>
    </w:p>
    <w:p w:rsidR="001A5310" w:rsidRDefault="001A5310" w:rsidP="001A5310">
      <w:pPr>
        <w:jc w:val="both"/>
        <w:rPr>
          <w:rFonts w:eastAsia="Calibri"/>
          <w:sz w:val="20"/>
        </w:rPr>
      </w:pPr>
      <w:r w:rsidRPr="00A25D73">
        <w:rPr>
          <w:rFonts w:eastAsia="Calibri"/>
          <w:sz w:val="20"/>
        </w:rPr>
        <w:t xml:space="preserve">The appeal from the judgment </w:t>
      </w:r>
      <w:bookmarkStart w:id="3" w:name="BM_1_"/>
      <w:bookmarkEnd w:id="3"/>
      <w:r w:rsidRPr="00A25D73">
        <w:rPr>
          <w:rFonts w:eastAsia="Calibri"/>
          <w:sz w:val="20"/>
        </w:rPr>
        <w:t>of the Court of Appeal of Quebec (Montréal), Number 500-09-020854-105, 2012 QCCA 2139, dated December 4, 2012, heard on March 24, 2014, is allowed, the Minister’s decision is set aside and the matter is remitted to the Minister for reconsideration, with no order as to costs.</w:t>
      </w:r>
    </w:p>
    <w:p w:rsidR="001A5310" w:rsidRPr="00A25D73" w:rsidRDefault="001A5310" w:rsidP="001A5310">
      <w:pPr>
        <w:jc w:val="both"/>
        <w:rPr>
          <w:rFonts w:eastAsia="Calibri"/>
          <w:sz w:val="20"/>
        </w:rPr>
      </w:pPr>
    </w:p>
    <w:p w:rsidR="001A5310" w:rsidRPr="00A25D73" w:rsidRDefault="001A5310" w:rsidP="001A5310">
      <w:pPr>
        <w:jc w:val="both"/>
        <w:rPr>
          <w:rFonts w:eastAsia="Calibri"/>
          <w:sz w:val="20"/>
          <w:lang w:val="fr-CA"/>
        </w:rPr>
      </w:pPr>
      <w:r w:rsidRPr="00A25D73">
        <w:rPr>
          <w:rFonts w:eastAsia="Calibri"/>
          <w:sz w:val="20"/>
          <w:lang w:val="fr-CA"/>
        </w:rPr>
        <w:t>L’appel interjeté contre l’arrêt de la Cour d’appel du Québec (Montréal), numéro 500-09-020854-105, 2012 QCCA 2139, en date du 4 décembre 2012, entendu le 24 mars 2014, est accueilli, la décision de la ministre est annulée et l’affaire est renvoyée au ministre pour réexamen, sans ordonnance quant aux dépens.</w:t>
      </w:r>
    </w:p>
    <w:p w:rsidR="0052229C" w:rsidRPr="001A5310" w:rsidRDefault="0052229C" w:rsidP="0052229C">
      <w:pPr>
        <w:rPr>
          <w:sz w:val="20"/>
          <w:szCs w:val="20"/>
          <w:lang w:val="fr-CA"/>
        </w:rPr>
      </w:pPr>
    </w:p>
    <w:p w:rsidR="0052229C" w:rsidRPr="003B3977" w:rsidRDefault="00BF341F" w:rsidP="0052229C">
      <w:pPr>
        <w:spacing w:line="0" w:lineRule="atLeast"/>
        <w:rPr>
          <w:sz w:val="20"/>
          <w:szCs w:val="20"/>
        </w:rPr>
      </w:pPr>
      <w:r>
        <w:rPr>
          <w:b/>
          <w:sz w:val="20"/>
          <w:szCs w:val="20"/>
        </w:rPr>
        <w:pict>
          <v:rect id="_x0000_i1063"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72"/>
          <w:headerReference w:type="default" r:id="rId73"/>
          <w:footerReference w:type="even" r:id="rId74"/>
          <w:footerReference w:type="default" r:id="rId75"/>
          <w:headerReference w:type="first" r:id="rId76"/>
          <w:footerReference w:type="first" r:id="rId7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8E76CF" w:rsidRPr="000E4A1F" w:rsidRDefault="008E76CF" w:rsidP="008E76CF">
      <w:pPr>
        <w:tabs>
          <w:tab w:val="left" w:pos="993"/>
        </w:tabs>
        <w:ind w:left="993" w:hanging="993"/>
        <w:rPr>
          <w:sz w:val="20"/>
          <w:szCs w:val="20"/>
        </w:rPr>
      </w:pPr>
      <w:r w:rsidRPr="000E4A1F">
        <w:rPr>
          <w:i/>
          <w:sz w:val="20"/>
          <w:szCs w:val="20"/>
        </w:rPr>
        <w:t xml:space="preserve">Loyola High School et al. v. Attorney General of Quebec </w:t>
      </w:r>
      <w:r w:rsidRPr="000E4A1F">
        <w:rPr>
          <w:sz w:val="20"/>
          <w:szCs w:val="20"/>
        </w:rPr>
        <w:t>(Que.) (</w:t>
      </w:r>
      <w:hyperlink r:id="rId78" w:history="1">
        <w:r w:rsidRPr="000E4A1F">
          <w:rPr>
            <w:rStyle w:val="Hyperlink"/>
            <w:sz w:val="20"/>
            <w:szCs w:val="20"/>
          </w:rPr>
          <w:t>35201</w:t>
        </w:r>
      </w:hyperlink>
      <w:r w:rsidRPr="000E4A1F">
        <w:rPr>
          <w:sz w:val="20"/>
          <w:szCs w:val="20"/>
        </w:rPr>
        <w:t>)</w:t>
      </w:r>
    </w:p>
    <w:p w:rsidR="00DD3B9C" w:rsidRPr="00FA5954" w:rsidRDefault="00DD3B9C" w:rsidP="00DD3B9C">
      <w:pPr>
        <w:jc w:val="both"/>
        <w:rPr>
          <w:b/>
          <w:sz w:val="20"/>
          <w:szCs w:val="20"/>
        </w:rPr>
      </w:pPr>
      <w:r w:rsidRPr="00FA5954">
        <w:rPr>
          <w:b/>
          <w:sz w:val="20"/>
          <w:szCs w:val="20"/>
        </w:rPr>
        <w:t xml:space="preserve">Indexed as: Loyola High School </w:t>
      </w:r>
      <w:r w:rsidRPr="00FA5954">
        <w:rPr>
          <w:b/>
          <w:i/>
          <w:sz w:val="20"/>
          <w:szCs w:val="20"/>
        </w:rPr>
        <w:t>v.</w:t>
      </w:r>
      <w:r w:rsidRPr="00FA5954">
        <w:rPr>
          <w:b/>
          <w:sz w:val="20"/>
          <w:szCs w:val="20"/>
        </w:rPr>
        <w:t xml:space="preserve"> Quebec (Attorney General)</w:t>
      </w:r>
      <w:r>
        <w:rPr>
          <w:b/>
          <w:sz w:val="20"/>
          <w:szCs w:val="20"/>
        </w:rPr>
        <w:t xml:space="preserve"> / </w:t>
      </w:r>
      <w:r w:rsidRPr="00DD3B9C">
        <w:rPr>
          <w:b/>
          <w:sz w:val="20"/>
          <w:szCs w:val="20"/>
        </w:rPr>
        <w:t xml:space="preserve">Répertorié : École secondaire Loyola </w:t>
      </w:r>
      <w:r w:rsidRPr="00DD3B9C">
        <w:rPr>
          <w:b/>
          <w:i/>
          <w:sz w:val="20"/>
          <w:szCs w:val="20"/>
        </w:rPr>
        <w:t>c.</w:t>
      </w:r>
      <w:r w:rsidRPr="00DD3B9C">
        <w:rPr>
          <w:b/>
          <w:sz w:val="20"/>
          <w:szCs w:val="20"/>
        </w:rPr>
        <w:t xml:space="preserve"> Québec (Procureur général)</w:t>
      </w:r>
    </w:p>
    <w:p w:rsidR="0052229C" w:rsidRPr="00FA3373" w:rsidRDefault="0052229C" w:rsidP="0052229C">
      <w:pPr>
        <w:pStyle w:val="SCCSystemYear"/>
        <w:jc w:val="both"/>
        <w:rPr>
          <w:sz w:val="20"/>
          <w:lang w:val="en-CA"/>
        </w:rPr>
      </w:pPr>
      <w:r w:rsidRPr="00FA3373">
        <w:rPr>
          <w:sz w:val="20"/>
          <w:lang w:val="en-CA"/>
        </w:rPr>
        <w:t>Neutral citation:  201</w:t>
      </w:r>
      <w:r w:rsidR="00020DC3" w:rsidRPr="00FA3373">
        <w:rPr>
          <w:sz w:val="20"/>
          <w:lang w:val="en-CA"/>
        </w:rPr>
        <w:t>5</w:t>
      </w:r>
      <w:r w:rsidRPr="00FA3373">
        <w:rPr>
          <w:sz w:val="20"/>
          <w:lang w:val="en-CA"/>
        </w:rPr>
        <w:t xml:space="preserve"> SCC 1</w:t>
      </w:r>
      <w:r w:rsidR="00DD3B9C">
        <w:rPr>
          <w:sz w:val="20"/>
          <w:lang w:val="en-CA"/>
        </w:rPr>
        <w:t>2</w:t>
      </w:r>
      <w:r w:rsidRPr="00FA3373">
        <w:rPr>
          <w:sz w:val="20"/>
          <w:lang w:val="en-CA"/>
        </w:rPr>
        <w:t xml:space="preserve"> / Référence neutre : 201</w:t>
      </w:r>
      <w:r w:rsidR="00020DC3" w:rsidRPr="00FA3373">
        <w:rPr>
          <w:sz w:val="20"/>
          <w:lang w:val="en-CA"/>
        </w:rPr>
        <w:t>5</w:t>
      </w:r>
      <w:r w:rsidRPr="00FA3373">
        <w:rPr>
          <w:sz w:val="20"/>
          <w:lang w:val="en-CA"/>
        </w:rPr>
        <w:t xml:space="preserve"> CSC 1</w:t>
      </w:r>
      <w:r w:rsidR="00DD3B9C">
        <w:rPr>
          <w:sz w:val="20"/>
          <w:lang w:val="en-CA"/>
        </w:rPr>
        <w:t>2</w:t>
      </w:r>
    </w:p>
    <w:p w:rsidR="0052229C" w:rsidRPr="000A2923" w:rsidRDefault="0052229C" w:rsidP="0052229C">
      <w:pPr>
        <w:rPr>
          <w:rFonts w:cs="Times New Roman"/>
          <w:sz w:val="20"/>
          <w:szCs w:val="20"/>
          <w:lang w:val="fr-CA"/>
        </w:rPr>
      </w:pPr>
      <w:r w:rsidRPr="000A2923">
        <w:rPr>
          <w:rFonts w:cs="Times New Roman"/>
          <w:sz w:val="20"/>
          <w:szCs w:val="20"/>
          <w:lang w:val="fr-CA"/>
        </w:rPr>
        <w:t xml:space="preserve">Hearing:  </w:t>
      </w:r>
      <w:r w:rsidR="00B64B9A" w:rsidRPr="000A2923">
        <w:rPr>
          <w:rFonts w:cs="Times New Roman"/>
          <w:sz w:val="20"/>
          <w:szCs w:val="20"/>
          <w:lang w:val="fr-CA"/>
        </w:rPr>
        <w:t>Ma</w:t>
      </w:r>
      <w:r w:rsidRPr="000A2923">
        <w:rPr>
          <w:rFonts w:cs="Times New Roman"/>
          <w:sz w:val="20"/>
          <w:szCs w:val="20"/>
          <w:lang w:val="fr-CA"/>
        </w:rPr>
        <w:t>r</w:t>
      </w:r>
      <w:r w:rsidR="00B64B9A" w:rsidRPr="000A2923">
        <w:rPr>
          <w:rFonts w:cs="Times New Roman"/>
          <w:sz w:val="20"/>
          <w:szCs w:val="20"/>
          <w:lang w:val="fr-CA"/>
        </w:rPr>
        <w:t>ch</w:t>
      </w:r>
      <w:r w:rsidRPr="000A2923">
        <w:rPr>
          <w:rFonts w:cs="Times New Roman"/>
          <w:sz w:val="20"/>
          <w:szCs w:val="20"/>
          <w:lang w:val="fr-CA"/>
        </w:rPr>
        <w:t xml:space="preserve"> 24, 201</w:t>
      </w:r>
      <w:r w:rsidR="00020DC3" w:rsidRPr="000A2923">
        <w:rPr>
          <w:rFonts w:cs="Times New Roman"/>
          <w:sz w:val="20"/>
          <w:szCs w:val="20"/>
          <w:lang w:val="fr-CA"/>
        </w:rPr>
        <w:t>4</w:t>
      </w:r>
      <w:r w:rsidRPr="000A2923">
        <w:rPr>
          <w:rFonts w:cs="Times New Roman"/>
          <w:sz w:val="20"/>
          <w:szCs w:val="20"/>
          <w:lang w:val="fr-CA"/>
        </w:rPr>
        <w:t xml:space="preserve"> / Judgment:  </w:t>
      </w:r>
      <w:r w:rsidR="00B64B9A" w:rsidRPr="000A2923">
        <w:rPr>
          <w:rFonts w:cs="Times New Roman"/>
          <w:sz w:val="20"/>
          <w:szCs w:val="20"/>
          <w:lang w:val="fr-CA"/>
        </w:rPr>
        <w:t>March</w:t>
      </w:r>
      <w:r w:rsidRPr="000A2923">
        <w:rPr>
          <w:rFonts w:cs="Times New Roman"/>
          <w:sz w:val="20"/>
          <w:szCs w:val="20"/>
          <w:lang w:val="fr-CA"/>
        </w:rPr>
        <w:t xml:space="preserve"> 1</w:t>
      </w:r>
      <w:r w:rsidR="00B64B9A" w:rsidRPr="000A2923">
        <w:rPr>
          <w:rFonts w:cs="Times New Roman"/>
          <w:sz w:val="20"/>
          <w:szCs w:val="20"/>
          <w:lang w:val="fr-CA"/>
        </w:rPr>
        <w:t>9</w:t>
      </w:r>
      <w:r w:rsidRPr="000A2923">
        <w:rPr>
          <w:rFonts w:cs="Times New Roman"/>
          <w:sz w:val="20"/>
          <w:szCs w:val="20"/>
          <w:lang w:val="fr-CA"/>
        </w:rPr>
        <w:t>, 201</w:t>
      </w:r>
      <w:r w:rsidR="00020DC3" w:rsidRPr="000A2923">
        <w:rPr>
          <w:rFonts w:cs="Times New Roman"/>
          <w:sz w:val="20"/>
          <w:szCs w:val="20"/>
          <w:lang w:val="fr-CA"/>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24</w:t>
      </w:r>
      <w:r w:rsidRPr="003B3977">
        <w:rPr>
          <w:rFonts w:cs="Times New Roman"/>
          <w:sz w:val="20"/>
          <w:szCs w:val="20"/>
          <w:lang w:val="fr-CA"/>
        </w:rPr>
        <w:t xml:space="preserve"> </w:t>
      </w:r>
      <w:r w:rsidR="00B64B9A">
        <w:rPr>
          <w:rFonts w:cs="Times New Roman"/>
          <w:sz w:val="20"/>
          <w:szCs w:val="20"/>
          <w:lang w:val="fr-CA"/>
        </w:rPr>
        <w:t>m</w:t>
      </w:r>
      <w:r>
        <w:rPr>
          <w:rFonts w:cs="Times New Roman"/>
          <w:sz w:val="20"/>
          <w:szCs w:val="20"/>
          <w:lang w:val="fr-CA"/>
        </w:rPr>
        <w:t>a</w:t>
      </w:r>
      <w:r w:rsidR="00B64B9A">
        <w:rPr>
          <w:rFonts w:cs="Times New Roman"/>
          <w:sz w:val="20"/>
          <w:szCs w:val="20"/>
          <w:lang w:val="fr-CA"/>
        </w:rPr>
        <w:t>rs</w:t>
      </w:r>
      <w:r w:rsidRPr="003B3977">
        <w:rPr>
          <w:rFonts w:cs="Times New Roman"/>
          <w:sz w:val="20"/>
          <w:szCs w:val="20"/>
          <w:lang w:val="fr-CA"/>
        </w:rPr>
        <w:t xml:space="preserve"> 201</w:t>
      </w:r>
      <w:r w:rsidR="00020DC3">
        <w:rPr>
          <w:rFonts w:cs="Times New Roman"/>
          <w:sz w:val="20"/>
          <w:szCs w:val="20"/>
          <w:lang w:val="fr-CA"/>
        </w:rPr>
        <w:t>4</w:t>
      </w:r>
      <w:r w:rsidRPr="003B3977">
        <w:rPr>
          <w:rFonts w:cs="Times New Roman"/>
          <w:sz w:val="20"/>
          <w:szCs w:val="20"/>
          <w:lang w:val="fr-CA"/>
        </w:rPr>
        <w:t xml:space="preserve"> / Jugement : Le </w:t>
      </w:r>
      <w:r>
        <w:rPr>
          <w:rFonts w:cs="Times New Roman"/>
          <w:sz w:val="20"/>
          <w:szCs w:val="20"/>
          <w:lang w:val="fr-CA"/>
        </w:rPr>
        <w:t>1</w:t>
      </w:r>
      <w:r w:rsidR="00B64B9A">
        <w:rPr>
          <w:rFonts w:cs="Times New Roman"/>
          <w:sz w:val="20"/>
          <w:szCs w:val="20"/>
          <w:lang w:val="fr-CA"/>
        </w:rPr>
        <w:t>9</w:t>
      </w:r>
      <w:r>
        <w:rPr>
          <w:rFonts w:cs="Times New Roman"/>
          <w:sz w:val="20"/>
          <w:szCs w:val="20"/>
          <w:lang w:val="fr-CA"/>
        </w:rPr>
        <w:t xml:space="preserve"> </w:t>
      </w:r>
      <w:r w:rsidR="00B64B9A">
        <w:rPr>
          <w:rFonts w:cs="Times New Roman"/>
          <w:sz w:val="20"/>
          <w:szCs w:val="20"/>
          <w:lang w:val="fr-CA"/>
        </w:rPr>
        <w:t>m</w:t>
      </w:r>
      <w:r>
        <w:rPr>
          <w:rFonts w:cs="Times New Roman"/>
          <w:sz w:val="20"/>
          <w:szCs w:val="20"/>
          <w:lang w:val="fr-CA"/>
        </w:rPr>
        <w:t>ar</w:t>
      </w:r>
      <w:r w:rsidR="00B64B9A">
        <w:rPr>
          <w:rFonts w:cs="Times New Roman"/>
          <w:sz w:val="20"/>
          <w:szCs w:val="20"/>
          <w:lang w:val="fr-CA"/>
        </w:rPr>
        <w:t>s</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BF341F" w:rsidP="005C6840">
      <w:pPr>
        <w:rPr>
          <w:rFonts w:cs="Times New Roman"/>
          <w:sz w:val="20"/>
          <w:szCs w:val="20"/>
          <w:lang w:val="fr-CA"/>
        </w:rPr>
      </w:pPr>
      <w:r>
        <w:rPr>
          <w:rFonts w:cs="Times New Roman"/>
          <w:i/>
          <w:sz w:val="20"/>
          <w:szCs w:val="20"/>
        </w:rPr>
        <w:pict>
          <v:rect id="_x0000_i1066"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DD3B9C" w:rsidRPr="00FA5954" w:rsidRDefault="00DD3B9C" w:rsidP="00DD3B9C">
      <w:pPr>
        <w:jc w:val="both"/>
        <w:rPr>
          <w:sz w:val="20"/>
          <w:szCs w:val="20"/>
        </w:rPr>
      </w:pPr>
      <w:r w:rsidRPr="00FA5954">
        <w:rPr>
          <w:sz w:val="20"/>
          <w:szCs w:val="20"/>
        </w:rPr>
        <w:t>Present: McLachlin C.J. and LeBel, Abella, Rothstein, Cromwell, Moldaver and Karakatsanis JJ.</w:t>
      </w:r>
    </w:p>
    <w:p w:rsidR="00DD3B9C" w:rsidRDefault="00DD3B9C" w:rsidP="00DD3B9C">
      <w:pPr>
        <w:pStyle w:val="SCCNormalDoubleSpacing"/>
        <w:spacing w:line="240" w:lineRule="auto"/>
        <w:rPr>
          <w:i/>
          <w:iCs/>
          <w:sz w:val="20"/>
        </w:rPr>
      </w:pPr>
    </w:p>
    <w:p w:rsidR="00DD3B9C" w:rsidRPr="00FA5954" w:rsidRDefault="00DD3B9C" w:rsidP="00DD3B9C">
      <w:pPr>
        <w:pStyle w:val="SCCNormalDoubleSpacing"/>
        <w:spacing w:line="240" w:lineRule="auto"/>
        <w:rPr>
          <w:sz w:val="20"/>
        </w:rPr>
      </w:pPr>
      <w:r w:rsidRPr="00FA5954">
        <w:rPr>
          <w:i/>
          <w:iCs/>
          <w:sz w:val="20"/>
        </w:rPr>
        <w:tab/>
        <w:t>Administrative law — Judicial review — Standard of Review — Ministerial discretion — Mandatory ethics and religious culture program — Private denominational school proposing alternative program — Request for exemption denied by Minister — Proper approach to judicial review of discretionary administrative decisions engaging Charter protections</w:t>
      </w:r>
      <w:r w:rsidRPr="00FA5954">
        <w:rPr>
          <w:i/>
          <w:sz w:val="20"/>
        </w:rPr>
        <w:t xml:space="preserve"> </w:t>
      </w:r>
      <w:r w:rsidRPr="00FA5954">
        <w:rPr>
          <w:i/>
          <w:iCs/>
          <w:sz w:val="20"/>
        </w:rPr>
        <w:t xml:space="preserve">— </w:t>
      </w:r>
      <w:r w:rsidRPr="00FA5954">
        <w:rPr>
          <w:i/>
          <w:sz w:val="20"/>
        </w:rPr>
        <w:t xml:space="preserve">Whether Minister’s decision proportionately balanced religious freedom with statutory objectives of mandatory program </w:t>
      </w:r>
      <w:r w:rsidRPr="00FA5954">
        <w:rPr>
          <w:i/>
          <w:iCs/>
          <w:sz w:val="20"/>
        </w:rPr>
        <w:t xml:space="preserve">— </w:t>
      </w:r>
      <w:r w:rsidRPr="00FA5954">
        <w:rPr>
          <w:i/>
          <w:sz w:val="20"/>
        </w:rPr>
        <w:t>Regulation respecting the application of the Act respecting private education, CQLR, c. E-9.1, r. 1, s. 22</w:t>
      </w:r>
      <w:r w:rsidRPr="00FA5954">
        <w:rPr>
          <w:i/>
          <w:iCs/>
          <w:sz w:val="20"/>
        </w:rPr>
        <w:t>.</w:t>
      </w:r>
    </w:p>
    <w:p w:rsidR="00DD3B9C" w:rsidRDefault="00DD3B9C" w:rsidP="00DD3B9C">
      <w:pPr>
        <w:pStyle w:val="SCCNormalDoubleSpacing"/>
        <w:spacing w:line="240" w:lineRule="auto"/>
        <w:rPr>
          <w:i/>
          <w:iCs/>
          <w:sz w:val="20"/>
        </w:rPr>
      </w:pPr>
    </w:p>
    <w:p w:rsidR="00DD3B9C" w:rsidRPr="00FA5954" w:rsidRDefault="00DD3B9C" w:rsidP="00DD3B9C">
      <w:pPr>
        <w:pStyle w:val="SCCNormalDoubleSpacing"/>
        <w:spacing w:line="240" w:lineRule="auto"/>
        <w:rPr>
          <w:i/>
          <w:iCs/>
          <w:sz w:val="20"/>
        </w:rPr>
      </w:pPr>
      <w:r w:rsidRPr="00FA5954">
        <w:rPr>
          <w:i/>
          <w:iCs/>
          <w:sz w:val="20"/>
        </w:rPr>
        <w:tab/>
        <w:t xml:space="preserve">Constitutional law — Charter of Rights — Freedom of religion — Schools — Mandatory ethics and religious culture program — Private denominational school proposing alternative program — Request for exemption denied by Minister — Whether Minister’s insistence that proposed alternative program be entirely secular in its approach is reasonable given the </w:t>
      </w:r>
      <w:r w:rsidRPr="00FA5954">
        <w:rPr>
          <w:i/>
          <w:sz w:val="20"/>
        </w:rPr>
        <w:t xml:space="preserve">statutory objectives of mandatory program </w:t>
      </w:r>
      <w:r w:rsidRPr="00FA5954">
        <w:rPr>
          <w:i/>
          <w:iCs/>
          <w:sz w:val="20"/>
        </w:rPr>
        <w:t>and s. 2(a) of the Canadian Charter of Rights and Freedoms.</w:t>
      </w:r>
    </w:p>
    <w:p w:rsidR="00DD3B9C" w:rsidRDefault="00DD3B9C" w:rsidP="00DD3B9C">
      <w:pPr>
        <w:pStyle w:val="SCCNormalDoubleSpacing"/>
        <w:spacing w:line="240" w:lineRule="auto"/>
        <w:rPr>
          <w:i/>
          <w:iCs/>
          <w:sz w:val="20"/>
        </w:rPr>
      </w:pPr>
    </w:p>
    <w:p w:rsidR="00DD3B9C" w:rsidRPr="00FA5954" w:rsidRDefault="00DD3B9C" w:rsidP="00DD3B9C">
      <w:pPr>
        <w:pStyle w:val="SCCNormalDoubleSpacing"/>
        <w:spacing w:line="240" w:lineRule="auto"/>
        <w:rPr>
          <w:i/>
          <w:iCs/>
          <w:sz w:val="20"/>
        </w:rPr>
      </w:pPr>
      <w:r w:rsidRPr="00FA5954">
        <w:rPr>
          <w:i/>
          <w:iCs/>
          <w:sz w:val="20"/>
        </w:rPr>
        <w:tab/>
        <w:t xml:space="preserve">Human rights — Freedom of religion — Schools — Mandatory ethics and religious culture program — Private denominational school proposing alternative program — Request for exemption denied by Minister — Whether Minister’s insistence that proposed alternative program be entirely secular in its approach is reasonable given the </w:t>
      </w:r>
      <w:r w:rsidRPr="00FA5954">
        <w:rPr>
          <w:i/>
          <w:sz w:val="20"/>
        </w:rPr>
        <w:t>statutory objectives of mandatory program</w:t>
      </w:r>
      <w:r w:rsidRPr="00FA5954">
        <w:rPr>
          <w:i/>
          <w:iCs/>
          <w:sz w:val="20"/>
        </w:rPr>
        <w:t xml:space="preserve"> — Whether Minister’s decision limits freedom of religion under s. 3 of the Charter of human rights and freedoms, CQLR, c. C-12.</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tab/>
        <w:t xml:space="preserve">Loyola High School is a private, English-speaking Catholic high school for boys. It has been administered by the Jesuit Order since the school’s founding in the 1840s. Most of the students at Loyola come from Catholic families. </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lang w:val="en-US"/>
        </w:rPr>
      </w:pPr>
      <w:r w:rsidRPr="00FA5954">
        <w:rPr>
          <w:sz w:val="20"/>
        </w:rPr>
        <w:tab/>
        <w:t>Since September 2008, as part of the mandatory core curriculum in schools across Quebec, the Minister of Education, Recreation and Sports has required a Program on Ethics and Religious Culture (ERC), which teaches about the beliefs and ethics of different world religions from a neutral and objective perspective.</w:t>
      </w:r>
      <w:r w:rsidRPr="00FA5954">
        <w:rPr>
          <w:sz w:val="20"/>
          <w:lang w:val="en-US"/>
        </w:rPr>
        <w:t xml:space="preserve"> </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tab/>
        <w:t>The stated objectives of the ERC Program are the “recognition of others” and the “pursuit of the common good”. They seek to inculcate in students openness to human rights, diversity and respect for others. To fulfil these objectives, the ERC Program has three components: world religions and religious culture, ethics, and dialogue. The three components are intended to support and reinforce one another. The orientation of the Program is strictly secular and cultural and requires teachers to be objective and impartial. They are not to advance the truth of a particular belief system or attempt to influence their students’ beliefs, but to foster awareness of diverse values, beliefs and cultures. The Program provides a framework that teachers are required to use to help students develop these competencies, but leaves teachers with considerable flexibility in developing their own lessons.</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tab/>
        <w:t>The purpose of the religious culture component is to help students understand the main elements of religion by exploring the socio-cultural contexts in which different religions take root and develop. The purpose of the ethics component is to encourage students to think critically about their own ethical conduct and that of others, as well as about the values and norms that different religious groups adopt to guide their behaviour. The purpose of the dialogue component is to help students develop the skills to interact respectfully with people of different beliefs.</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lastRenderedPageBreak/>
        <w:tab/>
        <w:t xml:space="preserve">Pursuant to s. 22 of the </w:t>
      </w:r>
      <w:r w:rsidRPr="00FA5954">
        <w:rPr>
          <w:i/>
          <w:sz w:val="20"/>
        </w:rPr>
        <w:t>Regulation respecting the application of the Act respecting private education</w:t>
      </w:r>
      <w:r w:rsidRPr="00FA5954">
        <w:rPr>
          <w:sz w:val="20"/>
        </w:rPr>
        <w:t>,</w:t>
      </w:r>
      <w:r w:rsidRPr="00FA5954">
        <w:rPr>
          <w:i/>
          <w:sz w:val="20"/>
        </w:rPr>
        <w:t xml:space="preserve"> </w:t>
      </w:r>
      <w:r w:rsidRPr="00FA5954">
        <w:rPr>
          <w:sz w:val="20"/>
        </w:rPr>
        <w:t>the Minister can grant an exemption from the ERC Program if the proposed alternative program is deemed to be “equivalent”. Loyola wrote to the Minister to request an exemption from the Program, proposing an alternative course to be taught from the perspective of Catholic beliefs and ethics. The Minister denied the request based on the fact that Loyola’s whole proposed alternative program was to be taught from a Catholic perspective. It was not, as a result, deemed to be “equivalent” to the ERC Program.</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tab/>
        <w:t xml:space="preserve">Loyola brought an application for judicial review of the Minister’s decision. The Superior Court found that the Minister’s refusal of an exemption infringed Loyola’s right to religious freedom and accordingly granted the application, quashed the Minister’s decision, and ordered an exemption. On appeal, the Quebec Court of Appeal concluded that the Minister’s decision was reasonable and did not result in any breach of religious freedom. Before this Court, Loyola modified its request to teach the whole program from a Catholic perspective, and was now prepared to teach about the doctrines and practices of other world religions neutrally. But, significantly, it still wanted to teach about the </w:t>
      </w:r>
      <w:r w:rsidRPr="00FA5954">
        <w:rPr>
          <w:i/>
          <w:sz w:val="20"/>
        </w:rPr>
        <w:t>ethics</w:t>
      </w:r>
      <w:r w:rsidRPr="00FA5954">
        <w:rPr>
          <w:sz w:val="20"/>
        </w:rPr>
        <w:t xml:space="preserve"> of other religions from a Catholic perspective. The Minister’s position remained the same — no part of the program could be taught from a Catholic perspective, including Catholic doctrine and ethics.</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tab/>
      </w:r>
      <w:r w:rsidRPr="00FA5954">
        <w:rPr>
          <w:i/>
          <w:sz w:val="20"/>
        </w:rPr>
        <w:t>Held:</w:t>
      </w:r>
      <w:r w:rsidRPr="00FA5954">
        <w:rPr>
          <w:sz w:val="20"/>
        </w:rPr>
        <w:t xml:space="preserve"> The Minister’s decision requiring that </w:t>
      </w:r>
      <w:r w:rsidRPr="00FA5954">
        <w:rPr>
          <w:i/>
          <w:sz w:val="20"/>
        </w:rPr>
        <w:t>all</w:t>
      </w:r>
      <w:r w:rsidRPr="00FA5954">
        <w:rPr>
          <w:sz w:val="20"/>
        </w:rPr>
        <w:t xml:space="preserve"> aspects of Loyola’s proposed program be taught from a neutral perspective, including the teaching of Catholicism, limited freedom of religion more than was necessary given the statutory objectives. As a result, it did not reflect a proportionate balancing and should be set aside. The appeal is allowed and the matter remitted to the Minister for reconsideration.</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tab/>
      </w:r>
      <w:r w:rsidRPr="00FA5954">
        <w:rPr>
          <w:i/>
          <w:iCs/>
          <w:sz w:val="20"/>
        </w:rPr>
        <w:t>Per</w:t>
      </w:r>
      <w:r w:rsidRPr="00FA5954">
        <w:rPr>
          <w:sz w:val="20"/>
        </w:rPr>
        <w:t xml:space="preserve"> LeBel, </w:t>
      </w:r>
      <w:r w:rsidRPr="00FA5954">
        <w:rPr>
          <w:b/>
          <w:sz w:val="20"/>
        </w:rPr>
        <w:t>Abella</w:t>
      </w:r>
      <w:r w:rsidRPr="00FA5954">
        <w:rPr>
          <w:sz w:val="20"/>
        </w:rPr>
        <w:t xml:space="preserve">, Cromwell and Karakatsanis JJ.: This Court’s decision in </w:t>
      </w:r>
      <w:r w:rsidRPr="00FA5954">
        <w:rPr>
          <w:i/>
          <w:sz w:val="20"/>
        </w:rPr>
        <w:t>Doré v. Barreau du Québec</w:t>
      </w:r>
      <w:r w:rsidRPr="00FA5954">
        <w:rPr>
          <w:sz w:val="20"/>
        </w:rPr>
        <w:t>,</w:t>
      </w:r>
      <w:r w:rsidRPr="00FA5954">
        <w:rPr>
          <w:i/>
          <w:sz w:val="20"/>
        </w:rPr>
        <w:t xml:space="preserve"> </w:t>
      </w:r>
      <w:r w:rsidRPr="00FA5954">
        <w:rPr>
          <w:sz w:val="20"/>
        </w:rPr>
        <w:t xml:space="preserve">[2012] 1 S.C.R. 395, sets out the applicable framework for reviewing discretionary administrative decisions that engage the protections of the </w:t>
      </w:r>
      <w:r w:rsidRPr="00FA5954">
        <w:rPr>
          <w:i/>
          <w:sz w:val="20"/>
        </w:rPr>
        <w:t>Charter</w:t>
      </w:r>
      <w:r w:rsidRPr="00FA5954">
        <w:rPr>
          <w:sz w:val="20"/>
        </w:rPr>
        <w:t xml:space="preserve"> — both its guarantees and the foundational values they reflect. The discretionary decision-maker is required to proportionately balance the relevant </w:t>
      </w:r>
      <w:r w:rsidRPr="00FA5954">
        <w:rPr>
          <w:i/>
          <w:sz w:val="20"/>
        </w:rPr>
        <w:t>Charter</w:t>
      </w:r>
      <w:r w:rsidRPr="00FA5954">
        <w:rPr>
          <w:sz w:val="20"/>
        </w:rPr>
        <w:t xml:space="preserve"> protections to ensure that they are limited no more than necessary given the applicable statutory objectives. The reasonableness of the Minister’s decision in this case therefore depends on whether it reflected a proportionate balance between the objectives of promoting tolerance and respect for difference, and the religious freedom of the members of the Loyola community.</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tab/>
        <w:t xml:space="preserve">Freedom of religion means that no one can be forced to adhere to or refrain from a particular set of religious beliefs. This includes both the individual </w:t>
      </w:r>
      <w:r w:rsidRPr="00FA5954">
        <w:rPr>
          <w:i/>
          <w:sz w:val="20"/>
        </w:rPr>
        <w:t>and</w:t>
      </w:r>
      <w:r w:rsidRPr="00FA5954">
        <w:rPr>
          <w:sz w:val="20"/>
        </w:rPr>
        <w:t xml:space="preserve"> collective aspects of religious belief. Religious freedom under the </w:t>
      </w:r>
      <w:r w:rsidRPr="00FA5954">
        <w:rPr>
          <w:i/>
          <w:sz w:val="20"/>
        </w:rPr>
        <w:t xml:space="preserve">Charter </w:t>
      </w:r>
      <w:r w:rsidRPr="00FA5954">
        <w:rPr>
          <w:sz w:val="20"/>
        </w:rPr>
        <w:t xml:space="preserve">must therefore account for the socially embedded nature of religious belief, and the deep linkages between this belief and its manifestation through communal institutions and traditions. </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tab/>
        <w:t>The context in this case is state regulation of religious schools. This raises the question of how to balance robust protection for the values underlying religious freedom with the values of a secular state. The state has a legitimate interest in ensuring that students in all schools are capable, as adults, of conducting themselves with openness and respect as they confront cultural and religious differences. A vibrant, multicultural democracy depends on the capacity of its citizens to engage in thoughtful and inclusive forms of deliberation. But a secular state does not — and cannot — interfere with the beliefs or practices of a religious group unless they conflict with or harm overriding public interests. Nor can a secular state support or prefer the practices of one group over another. The pursuit of secular values means respecting the right to hold and manifest different religious beliefs. A secular state respects religious differences, it does not seek to extinguish them.</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tab/>
        <w:t>Loyola is a private Catholic institution. The collective aspects of religious freedom — in this case, the collective manifestation and transmission of Catholic beliefs — are a crucial part of its claim. The Minister’s decision requires Loyola to teach Catholicism, the very faith that animates its character, from a neutral perspective. Although the state’s purpose is secular, this amounts to requiring a Catholic institution to speak about its own religion in terms defined by the state rather than by its own understanding. This demonstrably interferes with the manner in which the members of an institution formed for the purpose of transmitting Catholicism can teach and learn about the Catholic faith. It also undermines the liberty of the members of the community who have chosen to give effect to the collective dimension of their religious beliefs by participating in a denominational school.</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tab/>
        <w:t>In the Quebec context, where private denominational schools are legal,</w:t>
      </w:r>
      <w:r w:rsidRPr="00FA5954">
        <w:rPr>
          <w:sz w:val="20"/>
          <w:lang w:val="en-US"/>
        </w:rPr>
        <w:t xml:space="preserve"> preventing</w:t>
      </w:r>
      <w:r w:rsidRPr="00FA5954">
        <w:rPr>
          <w:sz w:val="20"/>
        </w:rPr>
        <w:t xml:space="preserve"> a school like Loyola from teaching and discussing Catholicism from its own perspective does little to further the ERC Program’s objectives while </w:t>
      </w:r>
      <w:r w:rsidRPr="00FA5954">
        <w:rPr>
          <w:sz w:val="20"/>
        </w:rPr>
        <w:lastRenderedPageBreak/>
        <w:t>at the same time seriously interfering with religious freedom.</w:t>
      </w:r>
      <w:r w:rsidRPr="00FA5954">
        <w:rPr>
          <w:sz w:val="20"/>
          <w:lang w:val="en-US"/>
        </w:rPr>
        <w:t xml:space="preserve"> The Minister’s decision </w:t>
      </w:r>
      <w:r w:rsidRPr="00FA5954">
        <w:rPr>
          <w:sz w:val="20"/>
        </w:rPr>
        <w:t>suggests that engagement with an individual’s own religion on his or her own terms can be presumed to impair respect for others.</w:t>
      </w:r>
      <w:r w:rsidRPr="00FA5954">
        <w:rPr>
          <w:sz w:val="20"/>
          <w:lang w:val="en-US"/>
        </w:rPr>
        <w:t xml:space="preserve"> </w:t>
      </w:r>
      <w:r w:rsidRPr="00FA5954">
        <w:rPr>
          <w:sz w:val="20"/>
        </w:rPr>
        <w:t xml:space="preserve">This assumption led the Minister to a decision that does not, overall, strike a proportionate balance between the </w:t>
      </w:r>
      <w:r w:rsidRPr="00FA5954">
        <w:rPr>
          <w:i/>
          <w:sz w:val="20"/>
        </w:rPr>
        <w:t xml:space="preserve">Charter </w:t>
      </w:r>
      <w:r w:rsidRPr="00FA5954">
        <w:rPr>
          <w:sz w:val="20"/>
        </w:rPr>
        <w:t>protections and statutory objectives at stake in this case.</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tab/>
        <w:t xml:space="preserve">That said, the Minister is not required to permit Loyola to teach about the ethics of other religions from a Catholic perspective. </w:t>
      </w:r>
      <w:r w:rsidRPr="00FA5954">
        <w:rPr>
          <w:sz w:val="20"/>
          <w:lang w:val="en-US"/>
        </w:rPr>
        <w:t>The risk of such an approach would be that other religions would necessarily be seen not as differently legitimate belief systems, but as worthy of respect only to the extent that they aligned with the tenets of Catholicism.</w:t>
      </w:r>
      <w:r w:rsidRPr="00FA5954">
        <w:rPr>
          <w:sz w:val="20"/>
        </w:rPr>
        <w:t xml:space="preserve"> This contradicts the ERC Program’s goals of ensuring respect for different religious beliefs. </w:t>
      </w:r>
      <w:r w:rsidRPr="00FA5954">
        <w:rPr>
          <w:sz w:val="20"/>
          <w:lang w:val="en-US"/>
        </w:rPr>
        <w:t>In a multicultural society, it is not a breach of anyone’s freedom of religion to be required to learn (or teach) about the doctrines and ethics of other world religions in a neutral and respectful way.</w:t>
      </w:r>
      <w:r w:rsidRPr="00FA5954">
        <w:rPr>
          <w:sz w:val="20"/>
        </w:rPr>
        <w:t xml:space="preserve"> In a religious high school, where students are learning about the precepts of one particular faith throughout their education, it is arguably even more important that they learn, in as objective a way as possible, about other belief systems and the reasons underlying those beliefs.</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tab/>
        <w:t>Teaching the ethical frameworks of other religions in a neutral way may be a delicate exercise, but the fact that there are difficulties in implementation does not mean the state should be asked to throw up its hands and abandon its objectives by accepting a program that frames the discussion of ethics primarily through the moral lens of a school’s own religion.</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tab/>
      </w:r>
      <w:r w:rsidRPr="00FA5954">
        <w:rPr>
          <w:sz w:val="20"/>
          <w:lang w:val="en-US"/>
        </w:rPr>
        <w:t xml:space="preserve">It is the Minister’s decision </w:t>
      </w:r>
      <w:r w:rsidRPr="00FA5954">
        <w:rPr>
          <w:i/>
          <w:sz w:val="20"/>
          <w:lang w:val="en-US"/>
        </w:rPr>
        <w:t>as a whole</w:t>
      </w:r>
      <w:r w:rsidRPr="00FA5954">
        <w:rPr>
          <w:sz w:val="20"/>
          <w:lang w:val="en-US"/>
        </w:rPr>
        <w:t xml:space="preserve"> that must reflect a proportionate and therefore reasonable balancing of the </w:t>
      </w:r>
      <w:r w:rsidRPr="00FA5954">
        <w:rPr>
          <w:i/>
          <w:sz w:val="20"/>
          <w:lang w:val="en-US"/>
        </w:rPr>
        <w:t>Charter</w:t>
      </w:r>
      <w:r w:rsidRPr="00FA5954">
        <w:rPr>
          <w:sz w:val="20"/>
          <w:lang w:val="en-US"/>
        </w:rPr>
        <w:t xml:space="preserve"> protections and statutory objectives in issue.</w:t>
      </w:r>
      <w:r w:rsidRPr="00FA5954">
        <w:rPr>
          <w:sz w:val="20"/>
        </w:rPr>
        <w:t xml:space="preserve"> Preventing a school like Loyola from teaching and discussing Catholicism, the core of its identity, in any part of the program from its own perspective, does little to further the ERC Program’s objectives while at the same time seriously interfering with the values underlying religious freedom.</w:t>
      </w:r>
      <w:r w:rsidRPr="00FA5954">
        <w:rPr>
          <w:sz w:val="20"/>
          <w:lang w:val="en-US"/>
        </w:rPr>
        <w:t xml:space="preserve"> </w:t>
      </w:r>
      <w:r w:rsidRPr="00FA5954">
        <w:rPr>
          <w:sz w:val="20"/>
        </w:rPr>
        <w:t>The Minister’s decision is, as a result, unreasonable.</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tab/>
      </w:r>
      <w:r w:rsidRPr="00FA5954">
        <w:rPr>
          <w:i/>
          <w:iCs/>
          <w:sz w:val="20"/>
        </w:rPr>
        <w:t>Per</w:t>
      </w:r>
      <w:r w:rsidRPr="00FA5954">
        <w:rPr>
          <w:sz w:val="20"/>
        </w:rPr>
        <w:t xml:space="preserve"> </w:t>
      </w:r>
      <w:r w:rsidRPr="00FA5954">
        <w:rPr>
          <w:b/>
          <w:sz w:val="20"/>
        </w:rPr>
        <w:t>McLachlin</w:t>
      </w:r>
      <w:r w:rsidRPr="00FA5954">
        <w:rPr>
          <w:sz w:val="20"/>
        </w:rPr>
        <w:t xml:space="preserve"> C.J. and Rothstein and </w:t>
      </w:r>
      <w:r w:rsidRPr="00FA5954">
        <w:rPr>
          <w:b/>
          <w:sz w:val="20"/>
        </w:rPr>
        <w:t>Moldaver</w:t>
      </w:r>
      <w:r w:rsidRPr="00FA5954">
        <w:rPr>
          <w:sz w:val="20"/>
        </w:rPr>
        <w:t> JJ.: Loyola, as a religious organization, is entitled to the constitutional protection of freedom of religion. The communal character of religion means that protecting the religious freedom of individuals requires protecting the religious freedom of religious organizations, including religious educational bodies such as Loyola.</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tab/>
        <w:t>The first issue is whether Loyola’s freedom of religion was infringed by the Minister’s decision. The second issue is whether the Minister’s decision — that only a purely secular course of study may serve as an equivalent to the ERC Program — limits Loyola’s freedom of religion more than reasonably necessary to achieve the goals of the program. However one describes the precise analytic approach taken, the essential question raised by this appeal is whether the Minister’s decision limited Loyola’s right to religious freedom proportionately — that is, no more than was reasonably necessary.</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tab/>
        <w:t>Loyola proposed an alternative to the ERC Program that takes the following form: (1) Loyola will teach Catholicism from the Catholic perspective, but will teach other religions objectively and respectfully; (2) Loyola will emphasize the Catholic point of view on ethical questions, but will ensure all ethical points are presented on any given issue; and (3) Loyola will encourage students to think critically and engage with their teachers and with each other in exploring the topics covered in the program. Loyola’s proposal departs from the generic ERC Program in two key respects. When teaching both Catholicism and ethics, Loyola’s teachers would depart from the strict neutrality that the ERC Program requires.</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tab/>
        <w:t>The freedom of religion protected by s. 2(</w:t>
      </w:r>
      <w:r w:rsidRPr="00FA5954">
        <w:rPr>
          <w:i/>
          <w:sz w:val="20"/>
        </w:rPr>
        <w:t>a</w:t>
      </w:r>
      <w:r w:rsidRPr="00FA5954">
        <w:rPr>
          <w:sz w:val="20"/>
        </w:rPr>
        <w:t xml:space="preserve">) of the </w:t>
      </w:r>
      <w:r w:rsidRPr="00FA5954">
        <w:rPr>
          <w:i/>
          <w:sz w:val="20"/>
        </w:rPr>
        <w:t>Charter</w:t>
      </w:r>
      <w:r w:rsidRPr="00FA5954">
        <w:rPr>
          <w:sz w:val="20"/>
        </w:rPr>
        <w:t xml:space="preserve"> is not limited to religious belief, worship and the practice of religious customs. Rather, it extends to conduct more readily characterized as the propagation of, rather than the practice of, religion. Where the claimant is an organization rather than an individual, it</w:t>
      </w:r>
      <w:r w:rsidRPr="00FA5954">
        <w:rPr>
          <w:sz w:val="20"/>
          <w:lang w:bidi="en-US"/>
        </w:rPr>
        <w:t xml:space="preserve"> must show that the claimed belief or practice is consistent with both </w:t>
      </w:r>
      <w:r w:rsidRPr="00FA5954">
        <w:rPr>
          <w:sz w:val="20"/>
        </w:rPr>
        <w:t>its</w:t>
      </w:r>
      <w:r w:rsidRPr="00FA5954">
        <w:rPr>
          <w:sz w:val="20"/>
          <w:lang w:bidi="en-US"/>
        </w:rPr>
        <w:t xml:space="preserve"> purpose and operation. </w:t>
      </w:r>
      <w:r w:rsidRPr="00FA5954">
        <w:rPr>
          <w:sz w:val="20"/>
        </w:rPr>
        <w:t>While an organization itself cannot testify, the credibility of officials and representatives who give testimony on the organization’s behalf will aid in evaluating this consistency. It is proper to assess the claimed belief or practice in light of objective facts such as the organization’s other practices, policies and governing documents. The beliefs and practices of an organization may also reasonably be expected to be less fluid than those of an individual, therefore inquiry into past practices and consistency of position would be more relevant than in the context of a claimant who is a natural person.</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lastRenderedPageBreak/>
        <w:tab/>
        <w:t>This is not a case where the assessment of consistency is difficult, or where there is a reasonable concern that the expressed belief is made in bad faith or for an ulterior purpose. Having found that Loyola’s belief in its religious obligation to teach Catholicism and ethics from a Catholic perspective is consistent with its organizational purpose and operation, it is evident that the Minister’s denial of an exemption from the ERC Program — which has the effect of requiring Loyola to teach its entire ethics and religion program from a neutral, secular perspective — infringes Loyola’s freedom of religion in violation of s. 2(</w:t>
      </w:r>
      <w:r w:rsidRPr="00FA5954">
        <w:rPr>
          <w:i/>
          <w:sz w:val="20"/>
        </w:rPr>
        <w:t>a</w:t>
      </w:r>
      <w:r w:rsidRPr="00FA5954">
        <w:rPr>
          <w:sz w:val="20"/>
        </w:rPr>
        <w:t xml:space="preserve">) of the </w:t>
      </w:r>
      <w:r w:rsidRPr="00FA5954">
        <w:rPr>
          <w:i/>
          <w:sz w:val="20"/>
        </w:rPr>
        <w:t>Charter</w:t>
      </w:r>
      <w:r w:rsidRPr="00FA5954">
        <w:rPr>
          <w:sz w:val="20"/>
        </w:rPr>
        <w:t>.</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tab/>
        <w:t>The government bears the burden of showing that the Minister’s insistence on a purely secular program of study to qualify for an exemption limited Loyola’s religious freedom no more than reasonably necessary to achieve the ERC Program’s goals. There is nothing inherent in the ERC Program’s objectives (recognition of others and pursuit of the common good) or competencies (world religions, ethics, and dialogue) that requires a cultural and non-denominational approach. As the legislative and regulatory scheme demonstrates, the intention of the government was to allow religious schools to teach the ERC Program without sacrificing their own religious perspectives. This goal is entirely realistic. A program of purely denominational instruction designed primarily to indoctrinate students to the correctness of certain religious precepts would not achieve the objectives of the ERC Program; however, a balanced curriculum, taught from a religious perspective but with all viewpoints presented and respected, could serve as an equivalent to the ERC Program. To the extent Loyola’s proposal meets these criteria, it should not have been rejected out of hand.</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tab/>
        <w:t>There is unquestionably a role for the Minister to examine proposed programs on a case-by-case basis to ensure that they adequately further the objectives and competencies of the ERC Program. In certain cases, the result may be that the religious freedoms of private schools are subject to justifiable limitations. Here, however, the Minister adopted a definition of equivalency that essentially read this meaningful individualized approach out of the legislative and regulatory scheme. By using as her starting point the premise that only a secular approach to teaching the ERC Program can suffice as equivalent, the protection contemplated by the exemption provision at issue was rendered illusory.</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tab/>
        <w:t xml:space="preserve">The legislative and regulatory scheme is designed to be flexible and to permit private schools to deviate from the generic ERC Program, so long as its objectives are met. The Minister’s definition of equivalency casts this intended flexibility in the narrowest of terms, and limits deviation to a degree beyond that which is necessary to ensure the objectives of the ERC Program are met. This led to a substantial infringement on Loyola’s religious freedom. In short, the Minister’s decision was not minimally impairing. Therefore, it cannot be justified under s. 1 of the </w:t>
      </w:r>
      <w:r w:rsidRPr="00FA5954">
        <w:rPr>
          <w:i/>
          <w:sz w:val="20"/>
        </w:rPr>
        <w:t>Charter</w:t>
      </w:r>
      <w:r w:rsidRPr="00FA5954">
        <w:rPr>
          <w:sz w:val="20"/>
        </w:rPr>
        <w:t xml:space="preserve"> as a reasonable limit on Loyola’s s. 2(</w:t>
      </w:r>
      <w:r w:rsidRPr="00FA5954">
        <w:rPr>
          <w:i/>
          <w:sz w:val="20"/>
        </w:rPr>
        <w:t>a</w:t>
      </w:r>
      <w:r w:rsidRPr="00FA5954">
        <w:rPr>
          <w:sz w:val="20"/>
        </w:rPr>
        <w:t>) right to religious freedom.</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tab/>
        <w:t>Determining whether a proposed program is sufficiently equivalent to the generic ERC Program is a fact-based exercise. In the context of the present case, Loyola’s teachers must be permitted to describe and explain Catholic doctrine and ethical beliefs from the Catholic perspective. Loyola’s teachers must describe and explain the ethical beliefs and doctrines of other religions in an objective and respectful way. Loyola’s teachers must maintain a respectful tone of debate, but where the context of the classroom discussion requires it, they may identify what Catholic beliefs are, why Catholics follow those beliefs, and the ways in which other ethical or doctrinal propositions do not accord with those beliefs.</w:t>
      </w:r>
    </w:p>
    <w:p w:rsidR="00DD3B9C" w:rsidRDefault="00DD3B9C" w:rsidP="00DD3B9C">
      <w:pPr>
        <w:pStyle w:val="SCCNormalDoubleSpacing"/>
        <w:spacing w:line="240" w:lineRule="auto"/>
        <w:rPr>
          <w:sz w:val="20"/>
        </w:rPr>
      </w:pPr>
    </w:p>
    <w:p w:rsidR="00DD3B9C" w:rsidRDefault="00DD3B9C" w:rsidP="00DD3B9C">
      <w:pPr>
        <w:pStyle w:val="SCCNormalDoubleSpacing"/>
        <w:spacing w:line="240" w:lineRule="auto"/>
        <w:rPr>
          <w:sz w:val="20"/>
        </w:rPr>
      </w:pPr>
      <w:r w:rsidRPr="00FA5954">
        <w:rPr>
          <w:sz w:val="20"/>
        </w:rPr>
        <w:tab/>
        <w:t xml:space="preserve">This Court is empowered by s. 24(1) of the </w:t>
      </w:r>
      <w:r w:rsidRPr="00FA5954">
        <w:rPr>
          <w:i/>
          <w:sz w:val="20"/>
        </w:rPr>
        <w:t xml:space="preserve">Charter </w:t>
      </w:r>
      <w:r w:rsidRPr="00FA5954">
        <w:rPr>
          <w:sz w:val="20"/>
        </w:rPr>
        <w:t>to craft an appropriate remedy in light of all of the circumstances. It is neither necessary nor just to send this matter back to the Minister for reconsideration, further delaying the relief Loyola has sought for nearly seven years. Based on the application judge’s findings of fact, and considering the record and the submissions of the parties, the only constitutional response to Loyola’s application for an exemption would be to grant it.</w:t>
      </w:r>
    </w:p>
    <w:p w:rsidR="00DD3B9C" w:rsidRDefault="00DD3B9C" w:rsidP="00DD3B9C">
      <w:pPr>
        <w:pStyle w:val="SCCNormalDoubleSpacing"/>
        <w:spacing w:line="240" w:lineRule="auto"/>
        <w:rPr>
          <w:sz w:val="20"/>
        </w:rPr>
      </w:pPr>
    </w:p>
    <w:p w:rsidR="00DD3B9C" w:rsidRPr="00FA5954" w:rsidRDefault="00DD3B9C" w:rsidP="00DD3B9C">
      <w:pPr>
        <w:pStyle w:val="SCCNormalDoubleSpacing"/>
        <w:spacing w:line="240" w:lineRule="auto"/>
        <w:rPr>
          <w:sz w:val="20"/>
        </w:rPr>
      </w:pPr>
      <w:r w:rsidRPr="00FA5954">
        <w:rPr>
          <w:sz w:val="20"/>
        </w:rPr>
        <w:tab/>
        <w:t>APPEAL from a judgment of the Quebec Court of Appeal (Hilton, Wagner and Fournier JJ.A.), 2012 QCCA 2139, [2012] R.J.Q. 2112, 46 Admin L.R. (5th) 79, [2012] AZ</w:t>
      </w:r>
      <w:r w:rsidRPr="00FA5954">
        <w:rPr>
          <w:sz w:val="20"/>
        </w:rPr>
        <w:noBreakHyphen/>
        <w:t>50918665, [2012] Q.J. No. 15094 (QL), 2012 CarswellQue 12912 (WL Can.), setting aside a decision of Dugré J., 2010 QCCS 2631, [2010] R.J.Q. 1417, [2010] AZ</w:t>
      </w:r>
      <w:r w:rsidRPr="00FA5954">
        <w:rPr>
          <w:sz w:val="20"/>
        </w:rPr>
        <w:noBreakHyphen/>
        <w:t>50647607, [2010] Q.J. No. 5789 (QL), 2010 CarswellQue 15823 (WL Can.). Appeal allowed.</w:t>
      </w:r>
    </w:p>
    <w:p w:rsidR="00DD3B9C" w:rsidRDefault="00DD3B9C" w:rsidP="00DD3B9C">
      <w:pPr>
        <w:pStyle w:val="SCCNormalDoubleSpacing"/>
        <w:spacing w:line="240" w:lineRule="auto"/>
        <w:rPr>
          <w:i/>
          <w:sz w:val="20"/>
        </w:rPr>
      </w:pPr>
    </w:p>
    <w:p w:rsidR="00DD3B9C" w:rsidRPr="00FA5954" w:rsidRDefault="00DD3B9C" w:rsidP="00DD3B9C">
      <w:pPr>
        <w:pStyle w:val="SCCNormalDoubleSpacing"/>
        <w:spacing w:line="240" w:lineRule="auto"/>
        <w:rPr>
          <w:sz w:val="20"/>
        </w:rPr>
      </w:pPr>
      <w:r w:rsidRPr="00FA5954">
        <w:rPr>
          <w:i/>
          <w:sz w:val="20"/>
        </w:rPr>
        <w:tab/>
        <w:t>Mark Phillips</w:t>
      </w:r>
      <w:r w:rsidRPr="00FA5954">
        <w:rPr>
          <w:sz w:val="20"/>
        </w:rPr>
        <w:t xml:space="preserve"> and </w:t>
      </w:r>
      <w:r w:rsidRPr="00FA5954">
        <w:rPr>
          <w:i/>
          <w:sz w:val="20"/>
        </w:rPr>
        <w:t>Jacques S. Darche</w:t>
      </w:r>
      <w:r w:rsidRPr="00FA5954">
        <w:rPr>
          <w:sz w:val="20"/>
        </w:rPr>
        <w:t>, for the appellants.</w:t>
      </w:r>
    </w:p>
    <w:p w:rsidR="00DD3B9C" w:rsidRDefault="00DD3B9C" w:rsidP="00DD3B9C">
      <w:pPr>
        <w:pStyle w:val="SCCNormalDoubleSpacing"/>
        <w:spacing w:line="240" w:lineRule="auto"/>
        <w:rPr>
          <w:i/>
          <w:sz w:val="20"/>
        </w:rPr>
      </w:pPr>
    </w:p>
    <w:p w:rsidR="00DD3B9C" w:rsidRPr="00FA5954" w:rsidRDefault="00DD3B9C" w:rsidP="00DD3B9C">
      <w:pPr>
        <w:pStyle w:val="SCCNormalDoubleSpacing"/>
        <w:spacing w:line="240" w:lineRule="auto"/>
        <w:rPr>
          <w:sz w:val="20"/>
        </w:rPr>
      </w:pPr>
      <w:r w:rsidRPr="00FA5954">
        <w:rPr>
          <w:i/>
          <w:sz w:val="20"/>
        </w:rPr>
        <w:lastRenderedPageBreak/>
        <w:tab/>
        <w:t>Benoit Boucher</w:t>
      </w:r>
      <w:r w:rsidRPr="00FA5954">
        <w:rPr>
          <w:sz w:val="20"/>
        </w:rPr>
        <w:t xml:space="preserve">, </w:t>
      </w:r>
      <w:r w:rsidRPr="00FA5954">
        <w:rPr>
          <w:i/>
          <w:sz w:val="20"/>
        </w:rPr>
        <w:t>Dominique Legault, Amélie Pelletier</w:t>
      </w:r>
      <w:r w:rsidRPr="00FA5954">
        <w:rPr>
          <w:i/>
          <w:sz w:val="20"/>
        </w:rPr>
        <w:noBreakHyphen/>
        <w:t>Desrosiers</w:t>
      </w:r>
      <w:r w:rsidRPr="00FA5954">
        <w:rPr>
          <w:sz w:val="20"/>
        </w:rPr>
        <w:t xml:space="preserve"> and </w:t>
      </w:r>
      <w:r w:rsidRPr="00FA5954">
        <w:rPr>
          <w:i/>
          <w:sz w:val="20"/>
        </w:rPr>
        <w:t>Caroline Renaud</w:t>
      </w:r>
      <w:r w:rsidRPr="00FA5954">
        <w:rPr>
          <w:sz w:val="20"/>
        </w:rPr>
        <w:t>, for the respondent.</w:t>
      </w:r>
    </w:p>
    <w:p w:rsidR="00DD3B9C" w:rsidRDefault="00DD3B9C" w:rsidP="00DD3B9C">
      <w:pPr>
        <w:pStyle w:val="SCCNormalDoubleSpacing"/>
        <w:spacing w:line="240" w:lineRule="auto"/>
        <w:rPr>
          <w:i/>
          <w:sz w:val="20"/>
        </w:rPr>
      </w:pPr>
    </w:p>
    <w:p w:rsidR="00DD3B9C" w:rsidRPr="00FA5954" w:rsidRDefault="00DD3B9C" w:rsidP="00DD3B9C">
      <w:pPr>
        <w:pStyle w:val="SCCNormalDoubleSpacing"/>
        <w:spacing w:line="240" w:lineRule="auto"/>
        <w:rPr>
          <w:sz w:val="20"/>
        </w:rPr>
      </w:pPr>
      <w:r w:rsidRPr="00FA5954">
        <w:rPr>
          <w:i/>
          <w:sz w:val="20"/>
        </w:rPr>
        <w:tab/>
      </w:r>
      <w:r w:rsidRPr="00FA5954">
        <w:rPr>
          <w:sz w:val="20"/>
        </w:rPr>
        <w:t xml:space="preserve">Written submissions only by </w:t>
      </w:r>
      <w:r w:rsidRPr="00FA5954">
        <w:rPr>
          <w:i/>
          <w:sz w:val="20"/>
        </w:rPr>
        <w:t>Barry W. Bussey</w:t>
      </w:r>
      <w:r w:rsidRPr="00FA5954">
        <w:rPr>
          <w:sz w:val="20"/>
        </w:rPr>
        <w:t xml:space="preserve"> and </w:t>
      </w:r>
      <w:r w:rsidRPr="00FA5954">
        <w:rPr>
          <w:i/>
          <w:sz w:val="20"/>
        </w:rPr>
        <w:t>Derek Ross</w:t>
      </w:r>
      <w:r w:rsidRPr="00FA5954">
        <w:rPr>
          <w:sz w:val="20"/>
        </w:rPr>
        <w:t>, for the intervener the Canadian Council of Christian Charities.</w:t>
      </w:r>
    </w:p>
    <w:p w:rsidR="00DD3B9C" w:rsidRDefault="00DD3B9C" w:rsidP="00DD3B9C">
      <w:pPr>
        <w:pStyle w:val="SCCNormalDoubleSpacing"/>
        <w:spacing w:line="240" w:lineRule="auto"/>
        <w:rPr>
          <w:i/>
          <w:sz w:val="20"/>
        </w:rPr>
      </w:pPr>
    </w:p>
    <w:p w:rsidR="00DD3B9C" w:rsidRPr="00FA5954" w:rsidRDefault="00DD3B9C" w:rsidP="00DD3B9C">
      <w:pPr>
        <w:pStyle w:val="SCCNormalDoubleSpacing"/>
        <w:spacing w:line="240" w:lineRule="auto"/>
        <w:rPr>
          <w:sz w:val="20"/>
        </w:rPr>
      </w:pPr>
      <w:r w:rsidRPr="00FA5954">
        <w:rPr>
          <w:i/>
          <w:sz w:val="20"/>
        </w:rPr>
        <w:tab/>
        <w:t>Albertos Polizogopoulos</w:t>
      </w:r>
      <w:r w:rsidRPr="00FA5954">
        <w:rPr>
          <w:sz w:val="20"/>
        </w:rPr>
        <w:t xml:space="preserve"> and </w:t>
      </w:r>
      <w:r w:rsidRPr="00FA5954">
        <w:rPr>
          <w:i/>
          <w:sz w:val="20"/>
        </w:rPr>
        <w:t>Don Hutchinson</w:t>
      </w:r>
      <w:r w:rsidRPr="00FA5954">
        <w:rPr>
          <w:sz w:val="20"/>
        </w:rPr>
        <w:t>, for the intervener the Evangelical Fellowship of Canada.</w:t>
      </w:r>
    </w:p>
    <w:p w:rsidR="00DD3B9C" w:rsidRDefault="00DD3B9C" w:rsidP="00DD3B9C">
      <w:pPr>
        <w:pStyle w:val="SCCNormalDoubleSpacing"/>
        <w:spacing w:line="240" w:lineRule="auto"/>
        <w:rPr>
          <w:i/>
          <w:sz w:val="20"/>
        </w:rPr>
      </w:pPr>
    </w:p>
    <w:p w:rsidR="00DD3B9C" w:rsidRPr="00FA5954" w:rsidRDefault="00DD3B9C" w:rsidP="00DD3B9C">
      <w:pPr>
        <w:pStyle w:val="SCCNormalDoubleSpacing"/>
        <w:spacing w:line="240" w:lineRule="auto"/>
        <w:rPr>
          <w:sz w:val="20"/>
        </w:rPr>
      </w:pPr>
      <w:r w:rsidRPr="00FA5954">
        <w:rPr>
          <w:i/>
          <w:sz w:val="20"/>
        </w:rPr>
        <w:tab/>
        <w:t>Robert E. Reynolds</w:t>
      </w:r>
      <w:r w:rsidRPr="00FA5954">
        <w:rPr>
          <w:sz w:val="20"/>
        </w:rPr>
        <w:t xml:space="preserve"> and </w:t>
      </w:r>
      <w:r w:rsidRPr="00FA5954">
        <w:rPr>
          <w:i/>
          <w:sz w:val="20"/>
        </w:rPr>
        <w:t>Ruth Ross</w:t>
      </w:r>
      <w:r w:rsidRPr="00FA5954">
        <w:rPr>
          <w:sz w:val="20"/>
        </w:rPr>
        <w:t>, for the intervener the Christian Legal Fellowship.</w:t>
      </w:r>
    </w:p>
    <w:p w:rsidR="00DD3B9C" w:rsidRDefault="00DD3B9C" w:rsidP="00DD3B9C">
      <w:pPr>
        <w:pStyle w:val="SCCNormalDoubleSpacing"/>
        <w:spacing w:line="240" w:lineRule="auto"/>
        <w:rPr>
          <w:i/>
          <w:sz w:val="20"/>
        </w:rPr>
      </w:pPr>
    </w:p>
    <w:p w:rsidR="00DD3B9C" w:rsidRPr="00FA5954" w:rsidRDefault="00DD3B9C" w:rsidP="00DD3B9C">
      <w:pPr>
        <w:pStyle w:val="SCCNormalDoubleSpacing"/>
        <w:spacing w:line="240" w:lineRule="auto"/>
        <w:rPr>
          <w:sz w:val="20"/>
        </w:rPr>
      </w:pPr>
      <w:r w:rsidRPr="00FA5954">
        <w:rPr>
          <w:i/>
          <w:sz w:val="20"/>
        </w:rPr>
        <w:tab/>
        <w:t>Palbinder K. Shergill, Q.C.</w:t>
      </w:r>
      <w:r w:rsidRPr="00FA5954">
        <w:rPr>
          <w:sz w:val="20"/>
        </w:rPr>
        <w:t xml:space="preserve">, and </w:t>
      </w:r>
      <w:r w:rsidRPr="00FA5954">
        <w:rPr>
          <w:i/>
          <w:sz w:val="20"/>
        </w:rPr>
        <w:t>Balpreet Singh Boparai</w:t>
      </w:r>
      <w:r w:rsidRPr="00FA5954">
        <w:rPr>
          <w:sz w:val="20"/>
        </w:rPr>
        <w:t>, for the intervener the World Sikh Organization of Canada.</w:t>
      </w:r>
    </w:p>
    <w:p w:rsidR="00DD3B9C" w:rsidRDefault="00DD3B9C" w:rsidP="00DD3B9C">
      <w:pPr>
        <w:pStyle w:val="SCCNormalDoubleSpacing"/>
        <w:spacing w:line="240" w:lineRule="auto"/>
        <w:rPr>
          <w:i/>
          <w:sz w:val="20"/>
        </w:rPr>
      </w:pPr>
    </w:p>
    <w:p w:rsidR="00DD3B9C" w:rsidRPr="00FA5954" w:rsidRDefault="00DD3B9C" w:rsidP="00DD3B9C">
      <w:pPr>
        <w:pStyle w:val="SCCNormalDoubleSpacing"/>
        <w:spacing w:line="240" w:lineRule="auto"/>
        <w:rPr>
          <w:sz w:val="20"/>
        </w:rPr>
      </w:pPr>
      <w:r w:rsidRPr="00FA5954">
        <w:rPr>
          <w:i/>
          <w:sz w:val="20"/>
        </w:rPr>
        <w:tab/>
      </w:r>
      <w:r w:rsidRPr="00FA5954">
        <w:rPr>
          <w:sz w:val="20"/>
        </w:rPr>
        <w:t xml:space="preserve">Written submissions only by </w:t>
      </w:r>
      <w:r w:rsidRPr="00FA5954">
        <w:rPr>
          <w:i/>
          <w:sz w:val="20"/>
        </w:rPr>
        <w:t>Ian C. Moes</w:t>
      </w:r>
      <w:r w:rsidRPr="00FA5954">
        <w:rPr>
          <w:sz w:val="20"/>
        </w:rPr>
        <w:t xml:space="preserve"> and </w:t>
      </w:r>
      <w:r w:rsidRPr="00FA5954">
        <w:rPr>
          <w:i/>
          <w:sz w:val="20"/>
        </w:rPr>
        <w:t>André Schutten</w:t>
      </w:r>
      <w:r w:rsidRPr="00FA5954">
        <w:rPr>
          <w:sz w:val="20"/>
        </w:rPr>
        <w:t>, for the intervener the Association of Christian Educators and Schools Canada.</w:t>
      </w:r>
    </w:p>
    <w:p w:rsidR="00DD3B9C" w:rsidRDefault="00DD3B9C" w:rsidP="00DD3B9C">
      <w:pPr>
        <w:pStyle w:val="SCCNormalDoubleSpacing"/>
        <w:spacing w:line="240" w:lineRule="auto"/>
        <w:rPr>
          <w:i/>
          <w:sz w:val="20"/>
        </w:rPr>
      </w:pPr>
    </w:p>
    <w:p w:rsidR="00DD3B9C" w:rsidRPr="00FA5954" w:rsidRDefault="00DD3B9C" w:rsidP="00DD3B9C">
      <w:pPr>
        <w:pStyle w:val="SCCNormalDoubleSpacing"/>
        <w:spacing w:line="240" w:lineRule="auto"/>
        <w:rPr>
          <w:sz w:val="20"/>
        </w:rPr>
      </w:pPr>
      <w:r w:rsidRPr="00FA5954">
        <w:rPr>
          <w:i/>
          <w:sz w:val="20"/>
        </w:rPr>
        <w:tab/>
        <w:t>Jean</w:t>
      </w:r>
      <w:r w:rsidRPr="00FA5954">
        <w:rPr>
          <w:i/>
          <w:sz w:val="20"/>
        </w:rPr>
        <w:noBreakHyphen/>
        <w:t>Philippe Groleau</w:t>
      </w:r>
      <w:r w:rsidRPr="00FA5954">
        <w:rPr>
          <w:sz w:val="20"/>
        </w:rPr>
        <w:t xml:space="preserve">, </w:t>
      </w:r>
      <w:r w:rsidRPr="00FA5954">
        <w:rPr>
          <w:i/>
          <w:sz w:val="20"/>
        </w:rPr>
        <w:t>Guy Du Pont</w:t>
      </w:r>
      <w:r w:rsidRPr="00FA5954">
        <w:rPr>
          <w:sz w:val="20"/>
        </w:rPr>
        <w:t xml:space="preserve"> and </w:t>
      </w:r>
      <w:r w:rsidRPr="00FA5954">
        <w:rPr>
          <w:i/>
          <w:sz w:val="20"/>
        </w:rPr>
        <w:t>Léon H. Moubayed</w:t>
      </w:r>
      <w:r w:rsidRPr="00FA5954">
        <w:rPr>
          <w:sz w:val="20"/>
        </w:rPr>
        <w:t>, for the intervener the Canadian Civil Liberties Association.</w:t>
      </w:r>
    </w:p>
    <w:p w:rsidR="00DD3B9C" w:rsidRDefault="00DD3B9C" w:rsidP="00DD3B9C">
      <w:pPr>
        <w:pStyle w:val="SCCNormalDoubleSpacing"/>
        <w:spacing w:line="240" w:lineRule="auto"/>
        <w:rPr>
          <w:i/>
          <w:sz w:val="20"/>
        </w:rPr>
      </w:pPr>
    </w:p>
    <w:p w:rsidR="00DD3B9C" w:rsidRPr="00FA5954" w:rsidRDefault="00DD3B9C" w:rsidP="00DD3B9C">
      <w:pPr>
        <w:pStyle w:val="SCCNormalDoubleSpacing"/>
        <w:spacing w:line="240" w:lineRule="auto"/>
        <w:rPr>
          <w:sz w:val="20"/>
        </w:rPr>
      </w:pPr>
      <w:r w:rsidRPr="00FA5954">
        <w:rPr>
          <w:i/>
          <w:sz w:val="20"/>
        </w:rPr>
        <w:tab/>
        <w:t>Ranjan K. Agarwal</w:t>
      </w:r>
      <w:r w:rsidRPr="00FA5954">
        <w:rPr>
          <w:sz w:val="20"/>
        </w:rPr>
        <w:t xml:space="preserve"> and </w:t>
      </w:r>
      <w:r w:rsidRPr="00FA5954">
        <w:rPr>
          <w:i/>
          <w:sz w:val="20"/>
        </w:rPr>
        <w:t>Jack R. Maslen</w:t>
      </w:r>
      <w:r w:rsidRPr="00FA5954">
        <w:rPr>
          <w:sz w:val="20"/>
        </w:rPr>
        <w:t>, for the interveners the Catholic Civil Rights League, Association des parents catholiques du Québec, the Faith and Freedom Alliance and Association de la communauté copte orthodoxe du grand Montréal.</w:t>
      </w:r>
    </w:p>
    <w:p w:rsidR="00DD3B9C" w:rsidRDefault="00DD3B9C" w:rsidP="00DD3B9C">
      <w:pPr>
        <w:pStyle w:val="SCCNormalDoubleSpacing"/>
        <w:spacing w:line="240" w:lineRule="auto"/>
        <w:rPr>
          <w:i/>
          <w:sz w:val="20"/>
        </w:rPr>
      </w:pPr>
    </w:p>
    <w:p w:rsidR="00DD3B9C" w:rsidRPr="00FA5954" w:rsidRDefault="00DD3B9C" w:rsidP="00DD3B9C">
      <w:pPr>
        <w:pStyle w:val="SCCNormalDoubleSpacing"/>
        <w:spacing w:line="240" w:lineRule="auto"/>
        <w:rPr>
          <w:sz w:val="20"/>
        </w:rPr>
      </w:pPr>
      <w:r w:rsidRPr="00FA5954">
        <w:rPr>
          <w:i/>
          <w:sz w:val="20"/>
        </w:rPr>
        <w:tab/>
      </w:r>
      <w:r w:rsidRPr="00FA5954">
        <w:rPr>
          <w:sz w:val="20"/>
        </w:rPr>
        <w:t xml:space="preserve">Written submissions only by </w:t>
      </w:r>
      <w:r w:rsidRPr="00FA5954">
        <w:rPr>
          <w:i/>
          <w:sz w:val="20"/>
        </w:rPr>
        <w:t>Blake Bromley</w:t>
      </w:r>
      <w:r w:rsidRPr="00FA5954">
        <w:rPr>
          <w:sz w:val="20"/>
        </w:rPr>
        <w:t>, for the intervener the Faith, Fealty and Creed Society.</w:t>
      </w:r>
    </w:p>
    <w:p w:rsidR="00DD3B9C" w:rsidRDefault="00DD3B9C" w:rsidP="00DD3B9C">
      <w:pPr>
        <w:pStyle w:val="SCCNormalDoubleSpacing"/>
        <w:spacing w:line="240" w:lineRule="auto"/>
        <w:rPr>
          <w:i/>
          <w:sz w:val="20"/>
        </w:rPr>
      </w:pPr>
    </w:p>
    <w:p w:rsidR="00DD3B9C" w:rsidRPr="00FA5954" w:rsidRDefault="00DD3B9C" w:rsidP="00DD3B9C">
      <w:pPr>
        <w:pStyle w:val="SCCNormalDoubleSpacing"/>
        <w:spacing w:line="240" w:lineRule="auto"/>
        <w:rPr>
          <w:sz w:val="20"/>
        </w:rPr>
      </w:pPr>
      <w:r w:rsidRPr="00FA5954">
        <w:rPr>
          <w:i/>
          <w:sz w:val="20"/>
        </w:rPr>
        <w:tab/>
      </w:r>
      <w:r w:rsidRPr="00FA5954">
        <w:rPr>
          <w:sz w:val="20"/>
        </w:rPr>
        <w:t xml:space="preserve">Written submissions only by </w:t>
      </w:r>
      <w:r w:rsidRPr="00FA5954">
        <w:rPr>
          <w:i/>
          <w:sz w:val="20"/>
        </w:rPr>
        <w:t>Jean</w:t>
      </w:r>
      <w:r w:rsidRPr="00FA5954">
        <w:rPr>
          <w:i/>
          <w:sz w:val="20"/>
        </w:rPr>
        <w:noBreakHyphen/>
        <w:t>Yves Côté</w:t>
      </w:r>
      <w:r w:rsidRPr="00FA5954">
        <w:rPr>
          <w:sz w:val="20"/>
        </w:rPr>
        <w:t xml:space="preserve"> and </w:t>
      </w:r>
      <w:r w:rsidRPr="00FA5954">
        <w:rPr>
          <w:i/>
          <w:sz w:val="20"/>
        </w:rPr>
        <w:t>Paul D. Faris</w:t>
      </w:r>
      <w:r w:rsidRPr="00FA5954">
        <w:rPr>
          <w:sz w:val="20"/>
        </w:rPr>
        <w:t>, for the intervener the Home School Legal Defence Association of Canada.</w:t>
      </w:r>
    </w:p>
    <w:p w:rsidR="00DD3B9C" w:rsidRDefault="00DD3B9C" w:rsidP="00DD3B9C">
      <w:pPr>
        <w:pStyle w:val="SCCNormalDoubleSpacing"/>
        <w:spacing w:line="240" w:lineRule="auto"/>
        <w:rPr>
          <w:i/>
          <w:sz w:val="20"/>
        </w:rPr>
      </w:pPr>
    </w:p>
    <w:p w:rsidR="00DD3B9C" w:rsidRPr="00FA5954" w:rsidRDefault="00DD3B9C" w:rsidP="00DD3B9C">
      <w:pPr>
        <w:pStyle w:val="SCCNormalDoubleSpacing"/>
        <w:spacing w:line="240" w:lineRule="auto"/>
        <w:rPr>
          <w:sz w:val="20"/>
        </w:rPr>
      </w:pPr>
      <w:r w:rsidRPr="00FA5954">
        <w:rPr>
          <w:i/>
          <w:sz w:val="20"/>
        </w:rPr>
        <w:tab/>
        <w:t>Gerald D. Chipeur, Q.C.</w:t>
      </w:r>
      <w:r w:rsidRPr="00FA5954">
        <w:rPr>
          <w:sz w:val="20"/>
        </w:rPr>
        <w:t xml:space="preserve">, and </w:t>
      </w:r>
      <w:r w:rsidRPr="00FA5954">
        <w:rPr>
          <w:i/>
          <w:sz w:val="20"/>
        </w:rPr>
        <w:t>Grace Mackintosh</w:t>
      </w:r>
      <w:r w:rsidRPr="00FA5954">
        <w:rPr>
          <w:sz w:val="20"/>
        </w:rPr>
        <w:t>, for the interveners the Seventh</w:t>
      </w:r>
      <w:r w:rsidRPr="00FA5954">
        <w:rPr>
          <w:sz w:val="20"/>
        </w:rPr>
        <w:noBreakHyphen/>
        <w:t>day Adventist Church in Canada and the Seventh</w:t>
      </w:r>
      <w:r w:rsidRPr="00FA5954">
        <w:rPr>
          <w:sz w:val="20"/>
        </w:rPr>
        <w:noBreakHyphen/>
        <w:t>day Adventist Church — Quebec Conference.</w:t>
      </w:r>
    </w:p>
    <w:p w:rsidR="00DD3B9C" w:rsidRDefault="00DD3B9C" w:rsidP="00DD3B9C">
      <w:pPr>
        <w:pStyle w:val="SCCNormalDoubleSpacing"/>
        <w:spacing w:line="240" w:lineRule="auto"/>
        <w:rPr>
          <w:i/>
          <w:sz w:val="20"/>
        </w:rPr>
      </w:pPr>
    </w:p>
    <w:p w:rsidR="00DD3B9C" w:rsidRPr="00FA5954" w:rsidRDefault="00DD3B9C" w:rsidP="00DD3B9C">
      <w:pPr>
        <w:pStyle w:val="SCCNormalDoubleSpacing"/>
        <w:spacing w:line="240" w:lineRule="auto"/>
        <w:rPr>
          <w:sz w:val="20"/>
        </w:rPr>
      </w:pPr>
      <w:r w:rsidRPr="00FA5954">
        <w:rPr>
          <w:i/>
          <w:sz w:val="20"/>
        </w:rPr>
        <w:tab/>
        <w:t>Milton James Fernandes</w:t>
      </w:r>
      <w:r w:rsidRPr="00FA5954">
        <w:rPr>
          <w:sz w:val="20"/>
        </w:rPr>
        <w:t xml:space="preserve"> and </w:t>
      </w:r>
      <w:r w:rsidRPr="00FA5954">
        <w:rPr>
          <w:i/>
          <w:sz w:val="20"/>
        </w:rPr>
        <w:t>Sergio G. Famularo</w:t>
      </w:r>
      <w:r w:rsidRPr="00FA5954">
        <w:rPr>
          <w:sz w:val="20"/>
        </w:rPr>
        <w:t>, for the interveners Corporation archiépiscopale catholique romaine de Montréal and Archevêque catholique romain de Montréal.</w:t>
      </w:r>
    </w:p>
    <w:p w:rsidR="00DD3B9C" w:rsidRDefault="00DD3B9C" w:rsidP="00DD3B9C">
      <w:pPr>
        <w:pStyle w:val="SCCLawFirm"/>
        <w:spacing w:line="240" w:lineRule="auto"/>
        <w:rPr>
          <w:sz w:val="20"/>
        </w:rPr>
      </w:pPr>
    </w:p>
    <w:p w:rsidR="00DD3B9C" w:rsidRPr="00FA5954" w:rsidRDefault="00DD3B9C" w:rsidP="00DD3B9C">
      <w:pPr>
        <w:pStyle w:val="SCCLawFirm"/>
        <w:spacing w:line="240" w:lineRule="auto"/>
        <w:rPr>
          <w:sz w:val="20"/>
        </w:rPr>
      </w:pPr>
      <w:r w:rsidRPr="00FA5954">
        <w:rPr>
          <w:sz w:val="20"/>
        </w:rPr>
        <w:tab/>
        <w:t>Solicitors for the appellants: Borden Ladner Gervais, Montréal.</w:t>
      </w:r>
    </w:p>
    <w:p w:rsidR="00DD3B9C" w:rsidRDefault="00DD3B9C" w:rsidP="00DD3B9C">
      <w:pPr>
        <w:pStyle w:val="SCCLawFirm"/>
        <w:spacing w:line="240" w:lineRule="auto"/>
        <w:rPr>
          <w:sz w:val="20"/>
        </w:rPr>
      </w:pPr>
    </w:p>
    <w:p w:rsidR="00DD3B9C" w:rsidRPr="00FA5954" w:rsidRDefault="00DD3B9C" w:rsidP="00DD3B9C">
      <w:pPr>
        <w:pStyle w:val="SCCLawFirm"/>
        <w:spacing w:line="240" w:lineRule="auto"/>
        <w:rPr>
          <w:sz w:val="20"/>
        </w:rPr>
      </w:pPr>
      <w:r w:rsidRPr="00FA5954">
        <w:rPr>
          <w:sz w:val="20"/>
        </w:rPr>
        <w:tab/>
        <w:t>Solicitors for the respondent: Bernard, Roy &amp; Associés, Montréal.</w:t>
      </w:r>
    </w:p>
    <w:p w:rsidR="00DD3B9C" w:rsidRDefault="00DD3B9C" w:rsidP="00DD3B9C">
      <w:pPr>
        <w:pStyle w:val="SCCLawFirm"/>
        <w:spacing w:line="240" w:lineRule="auto"/>
        <w:rPr>
          <w:sz w:val="20"/>
        </w:rPr>
      </w:pPr>
    </w:p>
    <w:p w:rsidR="00DD3B9C" w:rsidRPr="00FA5954" w:rsidRDefault="00DD3B9C" w:rsidP="00DD3B9C">
      <w:pPr>
        <w:pStyle w:val="SCCLawFirm"/>
        <w:spacing w:line="240" w:lineRule="auto"/>
        <w:rPr>
          <w:sz w:val="20"/>
        </w:rPr>
      </w:pPr>
      <w:r w:rsidRPr="00FA5954">
        <w:rPr>
          <w:sz w:val="20"/>
        </w:rPr>
        <w:tab/>
        <w:t>Solicitors for the intervener the Canadian Council of Christian Charities: Barry W. Bussey, Elmira, Ontario; Canadian Council of Christian Charities, Elmira, Ontario.</w:t>
      </w:r>
    </w:p>
    <w:p w:rsidR="00DD3B9C" w:rsidRDefault="00DD3B9C" w:rsidP="00DD3B9C">
      <w:pPr>
        <w:pStyle w:val="SCCLawFirm"/>
        <w:spacing w:line="240" w:lineRule="auto"/>
        <w:rPr>
          <w:sz w:val="20"/>
        </w:rPr>
      </w:pPr>
    </w:p>
    <w:p w:rsidR="00DD3B9C" w:rsidRPr="00FA5954" w:rsidRDefault="00DD3B9C" w:rsidP="00DD3B9C">
      <w:pPr>
        <w:pStyle w:val="SCCLawFirm"/>
        <w:spacing w:line="240" w:lineRule="auto"/>
        <w:rPr>
          <w:sz w:val="20"/>
        </w:rPr>
      </w:pPr>
      <w:r w:rsidRPr="00FA5954">
        <w:rPr>
          <w:sz w:val="20"/>
        </w:rPr>
        <w:tab/>
        <w:t>Solicitors for the intervener the Evangelical Fellowship of Canada: Vincent Dagenais Gibson, Ottawa; Evangelical Fellowship of Canada, Richmond Hill, Ontario.</w:t>
      </w:r>
    </w:p>
    <w:p w:rsidR="00DD3B9C" w:rsidRDefault="00DD3B9C" w:rsidP="00DD3B9C">
      <w:pPr>
        <w:pStyle w:val="SCCLawFirm"/>
        <w:spacing w:line="240" w:lineRule="auto"/>
        <w:rPr>
          <w:sz w:val="20"/>
        </w:rPr>
      </w:pPr>
    </w:p>
    <w:p w:rsidR="00DD3B9C" w:rsidRPr="00FA5954" w:rsidRDefault="00DD3B9C" w:rsidP="00DD3B9C">
      <w:pPr>
        <w:pStyle w:val="SCCLawFirm"/>
        <w:spacing w:line="240" w:lineRule="auto"/>
        <w:rPr>
          <w:sz w:val="20"/>
        </w:rPr>
      </w:pPr>
      <w:r w:rsidRPr="00FA5954">
        <w:rPr>
          <w:sz w:val="20"/>
        </w:rPr>
        <w:tab/>
        <w:t>Solicitors for the intervener the Christian Legal Fellowship: Robert E. Reynolds, Montréal; Christian Legal Fellowship, Burlington, Ontario.</w:t>
      </w:r>
    </w:p>
    <w:p w:rsidR="00DD3B9C" w:rsidRDefault="00DD3B9C" w:rsidP="00DD3B9C">
      <w:pPr>
        <w:pStyle w:val="SCCLawFirm"/>
        <w:spacing w:line="240" w:lineRule="auto"/>
        <w:rPr>
          <w:sz w:val="20"/>
        </w:rPr>
      </w:pPr>
    </w:p>
    <w:p w:rsidR="00DD3B9C" w:rsidRPr="00FA5954" w:rsidRDefault="00DD3B9C" w:rsidP="00DD3B9C">
      <w:pPr>
        <w:pStyle w:val="SCCLawFirm"/>
        <w:spacing w:line="240" w:lineRule="auto"/>
        <w:rPr>
          <w:sz w:val="20"/>
        </w:rPr>
      </w:pPr>
      <w:r w:rsidRPr="00FA5954">
        <w:rPr>
          <w:sz w:val="20"/>
        </w:rPr>
        <w:tab/>
        <w:t>Solicitors for the intervener the World Sikh Organization of Canada: Shergill &amp; Company, Surrey.</w:t>
      </w:r>
    </w:p>
    <w:p w:rsidR="00DD3B9C" w:rsidRDefault="00DD3B9C" w:rsidP="00DD3B9C">
      <w:pPr>
        <w:pStyle w:val="SCCLawFirm"/>
        <w:spacing w:line="240" w:lineRule="auto"/>
        <w:rPr>
          <w:sz w:val="20"/>
        </w:rPr>
      </w:pPr>
    </w:p>
    <w:p w:rsidR="00DD3B9C" w:rsidRPr="00FA5954" w:rsidRDefault="00DD3B9C" w:rsidP="00DD3B9C">
      <w:pPr>
        <w:pStyle w:val="SCCLawFirm"/>
        <w:spacing w:line="240" w:lineRule="auto"/>
        <w:rPr>
          <w:sz w:val="20"/>
        </w:rPr>
      </w:pPr>
      <w:r w:rsidRPr="00FA5954">
        <w:rPr>
          <w:sz w:val="20"/>
        </w:rPr>
        <w:tab/>
        <w:t>Solicitors for the intervener the Association of Christian Educators and Schools Canada: Kuhn, Abbotsford.</w:t>
      </w:r>
    </w:p>
    <w:p w:rsidR="00DD3B9C" w:rsidRDefault="00DD3B9C" w:rsidP="00DD3B9C">
      <w:pPr>
        <w:pStyle w:val="SCCLawFirm"/>
        <w:spacing w:line="240" w:lineRule="auto"/>
        <w:rPr>
          <w:sz w:val="20"/>
        </w:rPr>
      </w:pPr>
    </w:p>
    <w:p w:rsidR="00DD3B9C" w:rsidRPr="00FA5954" w:rsidRDefault="00DD3B9C" w:rsidP="00DD3B9C">
      <w:pPr>
        <w:pStyle w:val="SCCLawFirm"/>
        <w:spacing w:line="240" w:lineRule="auto"/>
        <w:rPr>
          <w:sz w:val="20"/>
        </w:rPr>
      </w:pPr>
      <w:r w:rsidRPr="00FA5954">
        <w:rPr>
          <w:sz w:val="20"/>
        </w:rPr>
        <w:tab/>
        <w:t>Solicitors for the intervener the Canadian Civil Liberties Association: Davies Ward Phillips &amp; Vineberg, Montréal.</w:t>
      </w:r>
    </w:p>
    <w:p w:rsidR="00DD3B9C" w:rsidRDefault="00DD3B9C" w:rsidP="00DD3B9C">
      <w:pPr>
        <w:pStyle w:val="SCCLawFirm"/>
        <w:spacing w:line="240" w:lineRule="auto"/>
        <w:rPr>
          <w:sz w:val="20"/>
        </w:rPr>
      </w:pPr>
    </w:p>
    <w:p w:rsidR="00DD3B9C" w:rsidRPr="00FA5954" w:rsidRDefault="00DD3B9C" w:rsidP="00DD3B9C">
      <w:pPr>
        <w:pStyle w:val="SCCLawFirm"/>
        <w:spacing w:line="240" w:lineRule="auto"/>
        <w:rPr>
          <w:sz w:val="20"/>
        </w:rPr>
      </w:pPr>
      <w:r w:rsidRPr="00FA5954">
        <w:rPr>
          <w:sz w:val="20"/>
        </w:rPr>
        <w:lastRenderedPageBreak/>
        <w:tab/>
        <w:t>Solicitors for the interveners the Catholic Civil Rights League, Association des parents catholiques du Québec, the Faith and Freedom Alliance and Association de la communauté copte orthodoxe du grand Montréal: Bennett Jones, Toronto.</w:t>
      </w:r>
    </w:p>
    <w:p w:rsidR="00DD3B9C" w:rsidRDefault="00DD3B9C" w:rsidP="00DD3B9C">
      <w:pPr>
        <w:pStyle w:val="SCCLawFirm"/>
        <w:spacing w:line="240" w:lineRule="auto"/>
        <w:rPr>
          <w:sz w:val="20"/>
        </w:rPr>
      </w:pPr>
    </w:p>
    <w:p w:rsidR="00DD3B9C" w:rsidRPr="00FA5954" w:rsidRDefault="00DD3B9C" w:rsidP="00DD3B9C">
      <w:pPr>
        <w:pStyle w:val="SCCLawFirm"/>
        <w:spacing w:line="240" w:lineRule="auto"/>
        <w:rPr>
          <w:sz w:val="20"/>
        </w:rPr>
      </w:pPr>
      <w:r w:rsidRPr="00FA5954">
        <w:rPr>
          <w:sz w:val="20"/>
        </w:rPr>
        <w:tab/>
        <w:t>Solicitors for the intervener the Faith, Fealty and Creed Society: Benefic, Vancouver.</w:t>
      </w:r>
    </w:p>
    <w:p w:rsidR="00DD3B9C" w:rsidRDefault="00DD3B9C" w:rsidP="00DD3B9C">
      <w:pPr>
        <w:pStyle w:val="SCCLawFirm"/>
        <w:spacing w:line="240" w:lineRule="auto"/>
        <w:rPr>
          <w:sz w:val="20"/>
        </w:rPr>
      </w:pPr>
    </w:p>
    <w:p w:rsidR="00DD3B9C" w:rsidRPr="00FA5954" w:rsidRDefault="00DD3B9C" w:rsidP="00DD3B9C">
      <w:pPr>
        <w:pStyle w:val="SCCLawFirm"/>
        <w:spacing w:line="240" w:lineRule="auto"/>
        <w:rPr>
          <w:sz w:val="20"/>
        </w:rPr>
      </w:pPr>
      <w:r w:rsidRPr="00FA5954">
        <w:rPr>
          <w:sz w:val="20"/>
        </w:rPr>
        <w:tab/>
        <w:t>Solicitors for the intervener the Home School Legal Defence Association of Canada: Côté Avocats Inc., Sainte</w:t>
      </w:r>
      <w:r w:rsidRPr="00FA5954">
        <w:rPr>
          <w:sz w:val="20"/>
        </w:rPr>
        <w:noBreakHyphen/>
        <w:t>Julie, Quebec; Home School Legal Defence Association of Canada, London, Ontario.</w:t>
      </w:r>
    </w:p>
    <w:p w:rsidR="00DD3B9C" w:rsidRDefault="00DD3B9C" w:rsidP="00DD3B9C">
      <w:pPr>
        <w:pStyle w:val="SCCLawFirm"/>
        <w:spacing w:line="240" w:lineRule="auto"/>
        <w:rPr>
          <w:sz w:val="20"/>
        </w:rPr>
      </w:pPr>
    </w:p>
    <w:p w:rsidR="00DD3B9C" w:rsidRPr="00FA5954" w:rsidRDefault="00DD3B9C" w:rsidP="00DD3B9C">
      <w:pPr>
        <w:pStyle w:val="SCCLawFirm"/>
        <w:spacing w:line="240" w:lineRule="auto"/>
        <w:rPr>
          <w:sz w:val="20"/>
        </w:rPr>
      </w:pPr>
      <w:r w:rsidRPr="00FA5954">
        <w:rPr>
          <w:sz w:val="20"/>
        </w:rPr>
        <w:tab/>
        <w:t>Solicitors for the interveners the Seventh</w:t>
      </w:r>
      <w:r w:rsidRPr="00FA5954">
        <w:rPr>
          <w:sz w:val="20"/>
        </w:rPr>
        <w:noBreakHyphen/>
        <w:t>day Adventist Church in Canada and the Seventh</w:t>
      </w:r>
      <w:r w:rsidRPr="00FA5954">
        <w:rPr>
          <w:sz w:val="20"/>
        </w:rPr>
        <w:noBreakHyphen/>
        <w:t>day Adventist Church — Quebec Conference: Miller Thomson, Calgary.</w:t>
      </w:r>
    </w:p>
    <w:p w:rsidR="00DD3B9C" w:rsidRDefault="00DD3B9C" w:rsidP="00DD3B9C">
      <w:pPr>
        <w:pStyle w:val="SCCLawFirm"/>
        <w:spacing w:line="240" w:lineRule="auto"/>
        <w:rPr>
          <w:sz w:val="20"/>
        </w:rPr>
      </w:pPr>
    </w:p>
    <w:p w:rsidR="00DD3B9C" w:rsidRDefault="00DD3B9C" w:rsidP="00DD3B9C">
      <w:pPr>
        <w:pStyle w:val="SCCLawFirm"/>
        <w:spacing w:line="240" w:lineRule="auto"/>
        <w:rPr>
          <w:sz w:val="20"/>
          <w:lang w:val="fr-CA"/>
        </w:rPr>
      </w:pPr>
      <w:r w:rsidRPr="00FA5954">
        <w:rPr>
          <w:sz w:val="20"/>
        </w:rPr>
        <w:tab/>
      </w:r>
      <w:r w:rsidRPr="00FA5954">
        <w:rPr>
          <w:sz w:val="20"/>
          <w:lang w:val="fr-CA"/>
        </w:rPr>
        <w:t>Solicitors for the interveners Corporation archiépiscopale catholique romaine de Montréal and Archevêque catholique romain de Montréal: Famularo Fernandes Levinson Inc., Montréal.</w:t>
      </w:r>
    </w:p>
    <w:p w:rsidR="0052229C" w:rsidRPr="00DD3B9C" w:rsidRDefault="0052229C" w:rsidP="0052229C">
      <w:pPr>
        <w:rPr>
          <w:rFonts w:cs="Times New Roman"/>
          <w:sz w:val="20"/>
          <w:szCs w:val="20"/>
          <w:lang w:val="fr-CA"/>
        </w:rPr>
      </w:pPr>
      <w:r w:rsidRPr="00DD3B9C">
        <w:rPr>
          <w:rFonts w:cs="Times New Roman"/>
          <w:sz w:val="20"/>
          <w:szCs w:val="20"/>
          <w:lang w:val="fr-CA"/>
        </w:rPr>
        <w:t>________________________</w:t>
      </w:r>
    </w:p>
    <w:p w:rsidR="0052229C" w:rsidRPr="00DD3B9C" w:rsidRDefault="0052229C" w:rsidP="0052229C">
      <w:pPr>
        <w:rPr>
          <w:rFonts w:cs="Times New Roman"/>
          <w:sz w:val="20"/>
          <w:szCs w:val="20"/>
          <w:lang w:val="fr-CA"/>
        </w:rPr>
      </w:pPr>
    </w:p>
    <w:p w:rsidR="00DD3B9C" w:rsidRPr="001A2BE8" w:rsidRDefault="00DD3B9C" w:rsidP="00DD3B9C">
      <w:pPr>
        <w:jc w:val="both"/>
        <w:rPr>
          <w:sz w:val="20"/>
          <w:szCs w:val="20"/>
          <w:lang w:val="fr-CA"/>
        </w:rPr>
      </w:pPr>
      <w:r w:rsidRPr="001A2BE8">
        <w:rPr>
          <w:sz w:val="20"/>
          <w:szCs w:val="20"/>
          <w:lang w:val="fr-CA"/>
        </w:rPr>
        <w:t>Présents : La juge en chef McLachlin et les juges LeBel, Abella, Rothstein, Cromwell, Moldaver et Karakatsanis.</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r>
      <w:r w:rsidRPr="001A2BE8">
        <w:rPr>
          <w:i/>
          <w:sz w:val="20"/>
          <w:lang w:val="fr-CA"/>
        </w:rPr>
        <w:t>Droit</w:t>
      </w:r>
      <w:r w:rsidRPr="001A2BE8">
        <w:rPr>
          <w:i/>
          <w:iCs/>
          <w:sz w:val="20"/>
          <w:lang w:val="fr-CA"/>
        </w:rPr>
        <w:t xml:space="preserve"> administratif — Contrôle judiciaire — Norme de contrôle — Pouvoir discrétionnaire du ministre — Programme obligatoire d’éthique et de culture religieuse — Programme de remplacement proposé par une école privée confessionnelle — Demande d’exemption refusée par la ministre — Approche correcte du contrôle judiciaire des décisions administratives de nature discrétionnaire mettant en cause les protections conférées par la Charte</w:t>
      </w:r>
      <w:r w:rsidRPr="001A2BE8">
        <w:rPr>
          <w:i/>
          <w:sz w:val="20"/>
          <w:lang w:val="fr-CA"/>
        </w:rPr>
        <w:t xml:space="preserve"> </w:t>
      </w:r>
      <w:r w:rsidRPr="001A2BE8">
        <w:rPr>
          <w:i/>
          <w:iCs/>
          <w:sz w:val="20"/>
          <w:lang w:val="fr-CA"/>
        </w:rPr>
        <w:t>— La décision de la ministre a</w:t>
      </w:r>
      <w:r w:rsidRPr="001A2BE8">
        <w:rPr>
          <w:i/>
          <w:iCs/>
          <w:sz w:val="20"/>
          <w:lang w:val="fr-CA"/>
        </w:rPr>
        <w:noBreakHyphen/>
        <w:t>t</w:t>
      </w:r>
      <w:r w:rsidRPr="001A2BE8">
        <w:rPr>
          <w:i/>
          <w:iCs/>
          <w:sz w:val="20"/>
          <w:lang w:val="fr-CA"/>
        </w:rPr>
        <w:noBreakHyphen/>
        <w:t>elle mis en balance de manière proportionnée la liberté de religion et les objectifs du programme obligatoire visés par la loi? — Règlement d’application de la Loi sur l’enseignement privé,</w:t>
      </w:r>
      <w:r w:rsidRPr="001A2BE8">
        <w:rPr>
          <w:sz w:val="20"/>
          <w:lang w:val="fr-CA"/>
        </w:rPr>
        <w:t xml:space="preserve"> </w:t>
      </w:r>
      <w:r w:rsidRPr="001A2BE8">
        <w:rPr>
          <w:i/>
          <w:sz w:val="20"/>
          <w:lang w:val="fr-CA"/>
        </w:rPr>
        <w:t>RLRQ, c. E.9.1, r. 1, art. 22</w:t>
      </w:r>
      <w:r w:rsidRPr="001A2BE8">
        <w:rPr>
          <w:i/>
          <w:iCs/>
          <w:sz w:val="20"/>
          <w:lang w:val="fr-CA"/>
        </w:rPr>
        <w:t>.</w:t>
      </w:r>
    </w:p>
    <w:p w:rsidR="00DD3B9C" w:rsidRDefault="00DD3B9C" w:rsidP="00DD3B9C">
      <w:pPr>
        <w:pStyle w:val="SCCNormalDoubleSpacing"/>
        <w:spacing w:line="240" w:lineRule="auto"/>
        <w:rPr>
          <w:i/>
          <w:iCs/>
          <w:sz w:val="20"/>
          <w:lang w:val="fr-CA"/>
        </w:rPr>
      </w:pPr>
    </w:p>
    <w:p w:rsidR="00DD3B9C" w:rsidRPr="001A2BE8" w:rsidRDefault="00DD3B9C" w:rsidP="00DD3B9C">
      <w:pPr>
        <w:pStyle w:val="SCCNormalDoubleSpacing"/>
        <w:spacing w:line="240" w:lineRule="auto"/>
        <w:rPr>
          <w:i/>
          <w:iCs/>
          <w:sz w:val="20"/>
          <w:lang w:val="fr-CA"/>
        </w:rPr>
      </w:pPr>
      <w:r w:rsidRPr="001A2BE8">
        <w:rPr>
          <w:i/>
          <w:iCs/>
          <w:sz w:val="20"/>
          <w:lang w:val="fr-CA"/>
        </w:rPr>
        <w:tab/>
        <w:t>Droit constitutionnel — Charte des droits — Liberté de religion — Écoles — Programme obligatoire d’éthique et de culture religieuse — Programme de remplacement proposé par une école privée confessionnelle — Demande d’exemption refusée par la ministre — L’insistance de la ministre sur la nécessité que le programme de remplacement proposé ait une approche purement laïque est</w:t>
      </w:r>
      <w:r w:rsidRPr="001A2BE8">
        <w:rPr>
          <w:i/>
          <w:iCs/>
          <w:sz w:val="20"/>
          <w:lang w:val="fr-CA"/>
        </w:rPr>
        <w:noBreakHyphen/>
        <w:t>elle raisonnable compte tenu des objectifs du programme obligatoire visés par la loi et de l’al. 2a) de la Charte canadienne des droits et libertés?</w:t>
      </w:r>
    </w:p>
    <w:p w:rsidR="00DD3B9C" w:rsidRDefault="00DD3B9C" w:rsidP="00DD3B9C">
      <w:pPr>
        <w:pStyle w:val="SCCNormalDoubleSpacing"/>
        <w:spacing w:line="240" w:lineRule="auto"/>
        <w:rPr>
          <w:i/>
          <w:iCs/>
          <w:sz w:val="20"/>
          <w:lang w:val="fr-CA"/>
        </w:rPr>
      </w:pPr>
    </w:p>
    <w:p w:rsidR="00DD3B9C" w:rsidRPr="001A2BE8" w:rsidRDefault="00DD3B9C" w:rsidP="00DD3B9C">
      <w:pPr>
        <w:pStyle w:val="SCCNormalDoubleSpacing"/>
        <w:spacing w:line="240" w:lineRule="auto"/>
        <w:rPr>
          <w:sz w:val="20"/>
          <w:lang w:val="fr-CA"/>
        </w:rPr>
      </w:pPr>
      <w:r w:rsidRPr="001A2BE8">
        <w:rPr>
          <w:i/>
          <w:iCs/>
          <w:sz w:val="20"/>
          <w:lang w:val="fr-CA"/>
        </w:rPr>
        <w:tab/>
        <w:t>Droits de la personne — Liberté de religion — Écoles — Programme obligatoire d’éthique et de culture religieuse — Programme de remplacement proposé par une école privée confessionnelle — Demande d’exemption refusée par la ministre — L’insistance de la ministre sur la nécessité que le programme de remplacement proposé ait une approche purement laïque est</w:t>
      </w:r>
      <w:r w:rsidRPr="001A2BE8">
        <w:rPr>
          <w:i/>
          <w:iCs/>
          <w:sz w:val="20"/>
          <w:lang w:val="fr-CA"/>
        </w:rPr>
        <w:noBreakHyphen/>
        <w:t xml:space="preserve">elle raisonnable compte tenu des objectifs du programme obligatoire visés par la loi? — La décision de la ministre restreint-elle la liberté de religion garantie par l’art. 3 de la Charte </w:t>
      </w:r>
      <w:r w:rsidRPr="001A2BE8">
        <w:rPr>
          <w:i/>
          <w:sz w:val="20"/>
          <w:lang w:val="fr-CA"/>
        </w:rPr>
        <w:t>des droits et libertés de la personne</w:t>
      </w:r>
      <w:r w:rsidRPr="001A2BE8">
        <w:rPr>
          <w:i/>
          <w:iCs/>
          <w:sz w:val="20"/>
          <w:lang w:val="fr-CA"/>
        </w:rPr>
        <w:t>, RLRQ, c. C</w:t>
      </w:r>
      <w:r w:rsidRPr="001A2BE8">
        <w:rPr>
          <w:i/>
          <w:iCs/>
          <w:sz w:val="20"/>
          <w:lang w:val="fr-CA"/>
        </w:rPr>
        <w:noBreakHyphen/>
        <w:t>12?</w:t>
      </w:r>
      <w:r w:rsidRPr="001A2BE8">
        <w:rPr>
          <w:sz w:val="20"/>
          <w:lang w:val="fr-CA"/>
        </w:rPr>
        <w:t xml:space="preserve"> </w:t>
      </w:r>
    </w:p>
    <w:p w:rsidR="00DD3B9C" w:rsidRDefault="00DD3B9C" w:rsidP="00DD3B9C">
      <w:pPr>
        <w:pStyle w:val="SCCNormalDoubleSpacing"/>
        <w:spacing w:line="240" w:lineRule="auto"/>
        <w:rPr>
          <w:iCs/>
          <w:sz w:val="20"/>
          <w:lang w:val="fr-CA"/>
        </w:rPr>
      </w:pPr>
    </w:p>
    <w:p w:rsidR="00DD3B9C" w:rsidRPr="001A2BE8" w:rsidRDefault="00DD3B9C" w:rsidP="00DD3B9C">
      <w:pPr>
        <w:pStyle w:val="SCCNormalDoubleSpacing"/>
        <w:spacing w:line="240" w:lineRule="auto"/>
        <w:rPr>
          <w:sz w:val="20"/>
          <w:lang w:val="fr-CA"/>
        </w:rPr>
      </w:pPr>
      <w:r w:rsidRPr="001A2BE8">
        <w:rPr>
          <w:iCs/>
          <w:sz w:val="20"/>
          <w:lang w:val="fr-CA"/>
        </w:rPr>
        <w:tab/>
        <w:t xml:space="preserve">L’école secondaire </w:t>
      </w:r>
      <w:r w:rsidRPr="001A2BE8">
        <w:rPr>
          <w:sz w:val="20"/>
          <w:lang w:val="fr-CA"/>
        </w:rPr>
        <w:t>Loyola est une école secondaire catholique privée de langue anglaise pour garçons. Elle est administrée par l’ordre des Jésuites depuis sa fondation dans les années 1840. La plupart des élèves qui fréquentent cette école sont issus de familles catholiques.</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t xml:space="preserve">Depuis septembre 2008, le ministre de l’Éducation, du Loisir et du Sport exige que le programme Éthique et culture religieuse (ÉCR) soit intégré aux matières obligatoires pour l’ensemble des écoles du Québec. Dans le cadre de ce programme, on présente, d’un point de vue neutre et objectif, les croyances et l’éthique de diverses religions du monde.  </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t xml:space="preserve">Le programme ÉCR a pour objectifs explicites la « reconnaissance de l’autre » et la « poursuite du bien commun ». Ces objectifs visent à inculquer aux élèves un esprit d’ouverture aux droits de la personne et à la diversité ainsi que le respect de l’autre. Pour réaliser ces objectifs, le programme ÉCR comprend trois volets : les religions du monde et le phénomène religieux, l’éthique et le dialogue. Ces trois volets sont censés se compléter et se renforcer l’un l’autre. Le programme a une optique strictement laïque et culturelle et il exige des enseignants qu’ils fassent preuve d’objectivité et d’impartialité. Ils doivent non pas affirmer la vérité d’un système particulier de croyances ou tenter d’influencer les convictions de leurs élèves, mais favoriser la connaissance d’une variété de valeurs, de convictions et </w:t>
      </w:r>
      <w:r w:rsidRPr="001A2BE8">
        <w:rPr>
          <w:sz w:val="20"/>
          <w:lang w:val="fr-CA"/>
        </w:rPr>
        <w:lastRenderedPageBreak/>
        <w:t>de cultures. Bien que le programme constitue un cadre pédagogique que sont tenus de suivre les enseignants pour aider les élèves à acquérir ces compétences, il leur laisse tout de même une latitude considérable pour l’élaboration de leurs leçons.</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t>Le volet du programme relatif au phénomène religieux a pour objet d’aider les élèves à comprendre les principaux éléments de la religion par l’exploration des contextes socioculturels dans lesquels les diverses religions se sont enracinées et se développent. Le volet éthique du programme vise à encourager les élèves à porter un regard critique sur leur propre conduite éthique et sur celle d’autrui, ainsi que sur les valeurs et les normes adoptées par différents groupes religieux pour guider leur conduite. Le volet relatif au dialogue vise à aider les élèves à acquérir des habiletés leur permettant d’interagir de façon respectueuse avec des gens qui ont des convictions différentes.</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t xml:space="preserve">Suivant l’art. 22 du </w:t>
      </w:r>
      <w:r w:rsidRPr="001A2BE8">
        <w:rPr>
          <w:i/>
          <w:sz w:val="20"/>
          <w:lang w:val="fr-CA"/>
        </w:rPr>
        <w:t>Règlement d’application de la Loi sur l’enseignement</w:t>
      </w:r>
      <w:r w:rsidRPr="001A2BE8">
        <w:rPr>
          <w:sz w:val="20"/>
          <w:lang w:val="fr-CA"/>
        </w:rPr>
        <w:t xml:space="preserve"> </w:t>
      </w:r>
      <w:r w:rsidRPr="001A2BE8">
        <w:rPr>
          <w:i/>
          <w:sz w:val="20"/>
          <w:lang w:val="fr-CA"/>
        </w:rPr>
        <w:t>privé</w:t>
      </w:r>
      <w:r w:rsidRPr="001A2BE8">
        <w:rPr>
          <w:sz w:val="20"/>
          <w:lang w:val="fr-CA"/>
        </w:rPr>
        <w:t>, le ministre peut exempter une école du programme ÉCR si le programme de remplacement proposé est jugé « équivalent ». Loyola a écrit à la ministre pour demander à être exemptée du programme et proposer d’enseigner un autre cours du point de vue des convictions et de l’éthique de la religion catholique. La ministre a refusé la demande en raison du fait que l’ensemble du programme de remplacement proposé par Loyola allait être enseigné selon une perspective catholique. Le programme n’a donc pas été jugé « équivalent » au programme ÉRC.</w:t>
      </w:r>
    </w:p>
    <w:p w:rsidR="00DD3B9C" w:rsidRDefault="00DD3B9C" w:rsidP="00DD3B9C">
      <w:pPr>
        <w:pStyle w:val="SCCNormalDoubleSpacing"/>
        <w:spacing w:line="240" w:lineRule="auto"/>
        <w:rPr>
          <w:i/>
          <w:iCs/>
          <w:sz w:val="20"/>
          <w:lang w:val="fr-CA"/>
        </w:rPr>
      </w:pPr>
    </w:p>
    <w:p w:rsidR="00DD3B9C" w:rsidRPr="001A2BE8" w:rsidRDefault="00DD3B9C" w:rsidP="00DD3B9C">
      <w:pPr>
        <w:pStyle w:val="SCCNormalDoubleSpacing"/>
        <w:spacing w:line="240" w:lineRule="auto"/>
        <w:rPr>
          <w:sz w:val="20"/>
          <w:lang w:val="fr-CA"/>
        </w:rPr>
      </w:pPr>
      <w:r w:rsidRPr="001A2BE8">
        <w:rPr>
          <w:i/>
          <w:iCs/>
          <w:sz w:val="20"/>
          <w:lang w:val="fr-CA"/>
        </w:rPr>
        <w:tab/>
      </w:r>
      <w:r w:rsidRPr="001A2BE8">
        <w:rPr>
          <w:sz w:val="20"/>
          <w:lang w:val="fr-CA"/>
        </w:rPr>
        <w:t>Loyola a demandé le contrôle judiciaire de la décision de la ministre. La Cour supérieure a conclu que le refus par la ministre d’accorder une exemption portait atteinte au droit à la liberté de religion de cette institution et elle a donc accueilli la demande, annulé la décision de la ministre et ordonné qu’une exemption soit accordée. En appel, la Cour d’appel du Québec a conclu que la décision de la ministre était raisonnable et n’avait pas entraîné d’atteinte à la liberté de religion. Devant la Cour, Loyola a modifié sa demande visant à enseigner l’ensemble du programme selon une perspective catholique. Elle était maintenant disposée à enseigner de façon neutre la doctrine et les rites d’autres religions du monde. Il importe de le souligner, Loyola souhaitait néanmoins toujours enseigner l’</w:t>
      </w:r>
      <w:r w:rsidRPr="001A2BE8">
        <w:rPr>
          <w:i/>
          <w:sz w:val="20"/>
          <w:lang w:val="fr-CA"/>
        </w:rPr>
        <w:t>éthique</w:t>
      </w:r>
      <w:r w:rsidRPr="001A2BE8">
        <w:rPr>
          <w:sz w:val="20"/>
          <w:lang w:val="fr-CA"/>
        </w:rPr>
        <w:t xml:space="preserve"> d’autres religions selon une perspective catholique. La position de la ministre est demeurée la même — soit qu’aucun aspect du programme ne peut être enseigné suivant une perspective catholique, notamment la doctrine et l’éthique de cette religion.  </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r>
      <w:r w:rsidRPr="001A2BE8">
        <w:rPr>
          <w:i/>
          <w:sz w:val="20"/>
          <w:lang w:val="fr-CA"/>
        </w:rPr>
        <w:t>Arrêt</w:t>
      </w:r>
      <w:r w:rsidRPr="001A2BE8">
        <w:rPr>
          <w:sz w:val="20"/>
          <w:lang w:val="fr-CA"/>
        </w:rPr>
        <w:t xml:space="preserve"> : La décision de la ministre selon laquelle </w:t>
      </w:r>
      <w:r w:rsidRPr="001A2BE8">
        <w:rPr>
          <w:i/>
          <w:sz w:val="20"/>
          <w:lang w:val="fr-CA"/>
        </w:rPr>
        <w:t>tous</w:t>
      </w:r>
      <w:r w:rsidRPr="001A2BE8">
        <w:rPr>
          <w:sz w:val="20"/>
          <w:lang w:val="fr-CA"/>
        </w:rPr>
        <w:t xml:space="preserve"> les aspects du programme proposé par Loyola doivent être enseignés d’un point de vue neutre, y compris l’enseignement du catholicisme, a restreint la liberté de religion plus qu’il n’était nécessaire compte tenu des objectifs visés par la loi. Par conséquent, cette décision n’était pas le fruit d’une mise en balance proportionnée et doit être annulée. Le pourvoi est accueilli et l’affaire est renvoyée au ministre pour réexamen.</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r>
      <w:r w:rsidRPr="001A2BE8">
        <w:rPr>
          <w:i/>
          <w:sz w:val="20"/>
          <w:lang w:val="fr-CA"/>
        </w:rPr>
        <w:t>Les</w:t>
      </w:r>
      <w:r w:rsidRPr="001A2BE8">
        <w:rPr>
          <w:sz w:val="20"/>
          <w:lang w:val="fr-CA"/>
        </w:rPr>
        <w:t xml:space="preserve"> juges LeBel, </w:t>
      </w:r>
      <w:r w:rsidRPr="001A2BE8">
        <w:rPr>
          <w:b/>
          <w:sz w:val="20"/>
          <w:lang w:val="fr-CA"/>
        </w:rPr>
        <w:t>Abella</w:t>
      </w:r>
      <w:r w:rsidRPr="001A2BE8">
        <w:rPr>
          <w:sz w:val="20"/>
          <w:lang w:val="fr-CA"/>
        </w:rPr>
        <w:t xml:space="preserve">, Cromwell et Karakatsanis : Dans </w:t>
      </w:r>
      <w:r w:rsidRPr="001A2BE8">
        <w:rPr>
          <w:i/>
          <w:sz w:val="20"/>
          <w:lang w:val="fr-CA"/>
        </w:rPr>
        <w:t>Doré c. Barreau du Québec</w:t>
      </w:r>
      <w:r w:rsidRPr="001A2BE8">
        <w:rPr>
          <w:sz w:val="20"/>
          <w:lang w:val="fr-CA"/>
        </w:rPr>
        <w:t>,</w:t>
      </w:r>
      <w:r w:rsidRPr="001A2BE8">
        <w:rPr>
          <w:i/>
          <w:sz w:val="20"/>
          <w:lang w:val="fr-CA"/>
        </w:rPr>
        <w:t xml:space="preserve"> </w:t>
      </w:r>
      <w:r w:rsidRPr="001A2BE8">
        <w:rPr>
          <w:sz w:val="20"/>
          <w:lang w:val="fr-CA"/>
        </w:rPr>
        <w:t xml:space="preserve">[2012] 1 R.C.S. 395, la Cour a établi le cadre d’analyse applicable pour contrôler les décisions administratives de nature discrétionnaire qui font intervenir les protections conférées par la </w:t>
      </w:r>
      <w:r w:rsidRPr="001A2BE8">
        <w:rPr>
          <w:i/>
          <w:sz w:val="20"/>
          <w:lang w:val="fr-CA"/>
        </w:rPr>
        <w:t xml:space="preserve">Charte </w:t>
      </w:r>
      <w:r w:rsidRPr="001A2BE8">
        <w:rPr>
          <w:sz w:val="20"/>
          <w:lang w:val="fr-CA"/>
        </w:rPr>
        <w:t xml:space="preserve">— soit tant les droits qui y sont énoncés que les valeurs dont ils sont le reflet. Le décideur qui exerce son pouvoir discrétionnaire est tenu de mettre en balance de façon proportionnée les protections pertinentes garanties par la </w:t>
      </w:r>
      <w:r w:rsidRPr="001A2BE8">
        <w:rPr>
          <w:i/>
          <w:sz w:val="20"/>
          <w:lang w:val="fr-CA"/>
        </w:rPr>
        <w:t xml:space="preserve">Charte </w:t>
      </w:r>
      <w:r w:rsidRPr="001A2BE8">
        <w:rPr>
          <w:sz w:val="20"/>
          <w:lang w:val="fr-CA"/>
        </w:rPr>
        <w:t xml:space="preserve">pour veiller à ce qu’elles ne soient pas restreintes plus qu’il n’est nécessaire compte tenu des objectifs applicables visés par la loi. Pour juger du caractère raisonnable de la décision de la ministre en l’espèce, il faut donc déterminer si cette décision est le fruit d’une mise en balance proportionnée des objectifs de promotion de la tolérance et du respect des différences, d’une part, et de la liberté de religion des membres de la communauté de Loyola, d’autre part. </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t xml:space="preserve">La liberté de religion signifie que nul ne doit être contraint d’adhérer ou de s’abstenir d’adhérer à un certain ensemble de croyances religieuses. Cela vise </w:t>
      </w:r>
      <w:r w:rsidRPr="001A2BE8">
        <w:rPr>
          <w:i/>
          <w:sz w:val="20"/>
          <w:lang w:val="fr-CA"/>
        </w:rPr>
        <w:t>tant</w:t>
      </w:r>
      <w:r w:rsidRPr="001A2BE8">
        <w:rPr>
          <w:sz w:val="20"/>
          <w:lang w:val="fr-CA"/>
        </w:rPr>
        <w:t xml:space="preserve"> les aspects individuels </w:t>
      </w:r>
      <w:r w:rsidRPr="001A2BE8">
        <w:rPr>
          <w:i/>
          <w:sz w:val="20"/>
          <w:lang w:val="fr-CA"/>
        </w:rPr>
        <w:t xml:space="preserve">que </w:t>
      </w:r>
      <w:r w:rsidRPr="001A2BE8">
        <w:rPr>
          <w:sz w:val="20"/>
          <w:lang w:val="fr-CA"/>
        </w:rPr>
        <w:t xml:space="preserve">les aspects collectifs des convictions religieuses. La liberté de religion au sens où il faut l’entendre pour l’application de la </w:t>
      </w:r>
      <w:r w:rsidRPr="001A2BE8">
        <w:rPr>
          <w:i/>
          <w:sz w:val="20"/>
          <w:lang w:val="fr-CA"/>
        </w:rPr>
        <w:t xml:space="preserve">Charte </w:t>
      </w:r>
      <w:r w:rsidRPr="001A2BE8">
        <w:rPr>
          <w:sz w:val="20"/>
          <w:lang w:val="fr-CA"/>
        </w:rPr>
        <w:t xml:space="preserve">doit donc tenir compte du fait que les convictions religieuses sont bien ancrées dans la société et qu’il existe des liens solides entre ces croyances et leur manifestation par le truchement d’institutions et de traditions collectives.  </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t xml:space="preserve">Le contexte particulier de la présente affaire porte sur la réglementation par l’État des écoles confessionnelles. Cela soulève la question de savoir comment mettre en balance une protection solide des valeurs qui sous-tendent la liberté de religion et les valeurs d’un État laïque. L’État a un intérêt légitime à s’assurer que les élèves de </w:t>
      </w:r>
      <w:r w:rsidRPr="001A2BE8">
        <w:rPr>
          <w:iCs/>
          <w:sz w:val="20"/>
          <w:lang w:val="fr-CA"/>
        </w:rPr>
        <w:t>toutes</w:t>
      </w:r>
      <w:r w:rsidRPr="001A2BE8">
        <w:rPr>
          <w:i/>
          <w:iCs/>
          <w:sz w:val="20"/>
          <w:lang w:val="fr-CA"/>
        </w:rPr>
        <w:t xml:space="preserve"> </w:t>
      </w:r>
      <w:r w:rsidRPr="001A2BE8">
        <w:rPr>
          <w:sz w:val="20"/>
          <w:lang w:val="fr-CA"/>
        </w:rPr>
        <w:t xml:space="preserve">les écoles seront en mesure, une fois devenus adultes, de se comporter avec ouverture et respect lorsqu’ils devront faire </w:t>
      </w:r>
      <w:r w:rsidRPr="001A2BE8">
        <w:rPr>
          <w:sz w:val="20"/>
          <w:lang w:val="fr-CA"/>
        </w:rPr>
        <w:lastRenderedPageBreak/>
        <w:t>face aux différences culturelles et religieuses. Une démocratie multiculturelle dynamique doit pouvoir compter sur la capacité de ses citoyens de discuter de manière réfléchie et ouverte. Un État laïque ne s’immisce cependant pas dans les convictions et les pratiques d’un groupe religieux — et ne peut le faire — à moins qu’elles ne soient contraires ou ne portent atteinte à des intérêts publics prépondérants. Il ne peut pas non plus donner son appui ou accorder sa préférence aux pratiques d’un groupe par rapport à celles d’un autre. La poursuite de valeurs laïques implique le respect du droit d’avoir et de professer des convictions religieuses différentes. Un État laïque respecte les différences religieuses; il ne cherche pas à les faire disparaître.</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t xml:space="preserve">Loyola est une institution catholique privée. Les aspects collectifs de la liberté de religion — dans le cas qui nous occupe, la manifestation et la transmission de la foi catholique — constituent un élément essentiel de l’argumentation de Loyola. La décision de la ministre oblige cette dernière à enseigner le catholicisme, la religion qui constitue son essence même, d’un point de vue neutre. Bien que l’objectif de l’État soit laïque, cette obligation revient à exiger d’un établissement catholique qu’il traite de sa propre religion selon des modalités définies par l’État plutôt que d’après sa propre conception. Cela empiète manifestement sur la manière dont les membres d’une institution dont l’objet même est de transmettre le catholicisme peuvent enseigner et étudier cette religion. Cela porte également atteinte à la liberté des membres de sa communauté qui ont choisi de donner effet à la dimension collective de leurs convictions religieuses en se joignant à une école confessionnelle.  </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t xml:space="preserve">Dans le contexte québécois, où l’existence d’écoles confessionnelles privées est légale, empêcher une école comme Loyola d’enseigner le catholicisme et d’en parler selon sa propre perspective contribue peu à la réalisation des objectifs du programme ÉCR tout en portant gravement atteinte à la liberté de religion. La décision de la ministre laisse entendre que, dès lors qu’une personne explique sa religion selon son propre point de vue, on peut tout simplement présumer qu’il y a atteinte au principe du respect d’autrui. Cette prémisse a mené la ministre à prendre une décision qui, prise dans son ensemble, n’atteint pas un équilibre proportionné entre les protections conférées par la </w:t>
      </w:r>
      <w:r w:rsidRPr="001A2BE8">
        <w:rPr>
          <w:i/>
          <w:sz w:val="20"/>
          <w:lang w:val="fr-CA"/>
        </w:rPr>
        <w:t>Charte</w:t>
      </w:r>
      <w:r w:rsidRPr="001A2BE8">
        <w:rPr>
          <w:sz w:val="20"/>
          <w:lang w:val="fr-CA"/>
        </w:rPr>
        <w:t xml:space="preserve"> et les objectifs de la loi en cause en l’espèce. </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t xml:space="preserve">Cela dit, la ministre n’est pas tenue de permettre à Loyola d’enseigner l’éthique d’autres religions selon une perspective catholique. Cette façon de faire poserait le risque que l’on considère les autres religions non pas comme des systèmes de croyances légitimes différents, mais plutôt comme n’étant dignes de respect que dans la mesure où elles correspondent aux préceptes du catholicisme.  Cela contredit l’objectif du programme ÉCR qui consiste à assurer le respect de croyances religieuses différentes. Dans une société multiculturelle, le fait d’être obligé d’étudier (ou d’enseigner) la doctrine et l’éthique d’autres religions du monde d’une façon neutre et respectueuse ne saurait constituer une violation de la liberté de religion de qui que ce soit. Dans le cas d’une école secondaire confessionnelle, où les élèves acquièrent des connaissances au sujet des préceptes d’une religion particulière pendant toute la durée de leurs études, on peut prétendre qu’il est encore plus important qu’ils explorent, de façon aussi objective que possible, d’autres systèmes de croyances ainsi que leurs fondements.  </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t>Le fait d’enseigner des systèmes éthiques d’autres religions de façon neutre peut constituer un exercice délicat, mais ces difficultés de mise en œuvre ne devraient pas amener l’État à être tenu de s’en laver les mains et de renoncer à ses objectifs en acceptant un programme qui aborde l’étude de l’éthique d’abord et avant tout à travers le prisme moral de la perspective religieuse de l’établissement d’enseignement.</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t xml:space="preserve">C’est la décision de la ministre </w:t>
      </w:r>
      <w:r w:rsidRPr="001A2BE8">
        <w:rPr>
          <w:i/>
          <w:sz w:val="20"/>
          <w:lang w:val="fr-CA"/>
        </w:rPr>
        <w:t>dans son ensemble</w:t>
      </w:r>
      <w:r w:rsidRPr="001A2BE8">
        <w:rPr>
          <w:sz w:val="20"/>
          <w:lang w:val="fr-CA"/>
        </w:rPr>
        <w:t xml:space="preserve"> qui doit être le reflet d’une mise en balance proportionnée et donc raisonnable des protections conférées par la </w:t>
      </w:r>
      <w:r w:rsidRPr="001A2BE8">
        <w:rPr>
          <w:i/>
          <w:sz w:val="20"/>
          <w:lang w:val="fr-CA"/>
        </w:rPr>
        <w:t>Charte</w:t>
      </w:r>
      <w:r w:rsidRPr="001A2BE8">
        <w:rPr>
          <w:sz w:val="20"/>
          <w:lang w:val="fr-CA"/>
        </w:rPr>
        <w:t xml:space="preserve"> et des objectifs de la loi en cause. Le fait d’empêcher une école comme Loyola d’enseigner et d’étudier le catholicisme, le cœur de son identité, selon sa propre perspective dans le cadre de l’ensemble du programme contribue peu à l’atteinte des objectifs du programme ÉCR tout en portant gravement atteinte aux valeurs qui sous-tendent la liberté de religion. La décision de la ministre est donc déraisonnable.</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r>
      <w:r w:rsidRPr="001A2BE8">
        <w:rPr>
          <w:i/>
          <w:iCs/>
          <w:sz w:val="20"/>
          <w:lang w:val="fr-CA"/>
        </w:rPr>
        <w:t xml:space="preserve">La </w:t>
      </w:r>
      <w:r w:rsidRPr="001A2BE8">
        <w:rPr>
          <w:iCs/>
          <w:sz w:val="20"/>
          <w:lang w:val="fr-CA"/>
        </w:rPr>
        <w:t xml:space="preserve">juge </w:t>
      </w:r>
      <w:r w:rsidRPr="001A2BE8">
        <w:rPr>
          <w:sz w:val="20"/>
          <w:lang w:val="fr-CA"/>
        </w:rPr>
        <w:t>en chef</w:t>
      </w:r>
      <w:r w:rsidRPr="001A2BE8">
        <w:rPr>
          <w:b/>
          <w:sz w:val="20"/>
          <w:lang w:val="fr-CA"/>
        </w:rPr>
        <w:t xml:space="preserve"> McLachlin</w:t>
      </w:r>
      <w:r w:rsidRPr="001A2BE8">
        <w:rPr>
          <w:sz w:val="20"/>
          <w:lang w:val="fr-CA"/>
        </w:rPr>
        <w:t xml:space="preserve"> et les juges Rothstein et </w:t>
      </w:r>
      <w:r w:rsidRPr="001A2BE8">
        <w:rPr>
          <w:b/>
          <w:sz w:val="20"/>
          <w:lang w:val="fr-CA"/>
        </w:rPr>
        <w:t>Moldaver</w:t>
      </w:r>
      <w:r w:rsidRPr="001A2BE8">
        <w:rPr>
          <w:sz w:val="20"/>
          <w:lang w:val="fr-CA"/>
        </w:rPr>
        <w:t> : Loyola, en tant qu’organisation religieuse, bénéficie de la protection constitutionnelle relative à la liberté de religion. Étant donné le caractère collectif de la religion, la protection relative à la liberté de religion des individus commande la protection de la liberté de religion des organisations religieuses, y compris les établissements d’enseignement à caractère religieux comme Loyola.</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t xml:space="preserve">Tout d’abord, il faut déterminer si la décision de la ministre a porté atteinte à cette liberté de religion de Loyola. Ensuite, il faut se demander si cette décision — selon laquelle seul un programme d’études purement laïque </w:t>
      </w:r>
      <w:r w:rsidRPr="001A2BE8">
        <w:rPr>
          <w:sz w:val="20"/>
          <w:lang w:val="fr-CA"/>
        </w:rPr>
        <w:lastRenderedPageBreak/>
        <w:t>peut équivaloir au programme ÉCR — porte atteinte à cette liberté plus qu’il n’est raisonnablement nécessaire de le faire pour atteindre les objectifs du programme. Quelle que soit la façon dont est décrite l’approche analytique précise adoptée, la question essentielle soulevée dans le présent pourvoi est celle de savoir si la décision de la ministre a restreint le droit à la liberté de religion de Loyola de manière proportionnée — c’est</w:t>
      </w:r>
      <w:r w:rsidRPr="001A2BE8">
        <w:rPr>
          <w:sz w:val="20"/>
          <w:lang w:val="fr-CA"/>
        </w:rPr>
        <w:noBreakHyphen/>
        <w:t>à</w:t>
      </w:r>
      <w:r w:rsidRPr="001A2BE8">
        <w:rPr>
          <w:sz w:val="20"/>
          <w:lang w:val="fr-CA"/>
        </w:rPr>
        <w:noBreakHyphen/>
        <w:t>dire, pas plus qu’il n’était raisonnablement nécessaire de le faire.</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t>Le programme de remplacement proposé par Loyola se présente sous la forme suivante : (1) Loyola enseignerait le catholicisme du point de vue catholique, mais les autres religions de façon objective et avec respect; (2) Loyola insisterait sur le point de vue catholique pour ce qui est des questions d’éthique, mais veillerait à ce que tous les points de vue éthiques soient présentés sur un sujet donné; et (3) Loyola encouragerait les élèves à penser de manière critique et à échanger avec leurs enseignants et entre eux lorsqu’ils exploreraient les thèmes abordés par le programme. La proposition de Loyola s’écarterait du programme ÉCR de référence sous deux aspects essentiels. Les enseignants de Loyola s’écarteraient de la stricte neutralité exigée par le programme ÉCR dans l’enseignement tant du catholicisme que de l’éthique.</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t>La liberté de religion protégée par l’al. 2</w:t>
      </w:r>
      <w:r w:rsidRPr="001A2BE8">
        <w:rPr>
          <w:i/>
          <w:iCs/>
          <w:sz w:val="20"/>
          <w:lang w:val="fr-CA"/>
        </w:rPr>
        <w:t>a</w:t>
      </w:r>
      <w:r w:rsidRPr="001A2BE8">
        <w:rPr>
          <w:sz w:val="20"/>
          <w:lang w:val="fr-CA"/>
        </w:rPr>
        <w:t xml:space="preserve">) de la </w:t>
      </w:r>
      <w:r w:rsidRPr="001A2BE8">
        <w:rPr>
          <w:i/>
          <w:iCs/>
          <w:sz w:val="20"/>
          <w:lang w:val="fr-CA"/>
        </w:rPr>
        <w:t>Charte</w:t>
      </w:r>
      <w:r w:rsidRPr="001A2BE8">
        <w:rPr>
          <w:sz w:val="20"/>
          <w:lang w:val="fr-CA"/>
        </w:rPr>
        <w:t xml:space="preserve"> ne se limite pas aux convictions religieuses, au culte et à la pratique de coutumes religieuses. En effet, elle englobe des actes qui participent davantage de la propagation de la foi que de la pratique religieuse. Lorsque le demandeur est une organisation plutôt qu’une personne physique, il doit démontrer que la croyance ou la pratique qu’il revendique s’accorde tant avec sa mission qu’avec ses activités.</w:t>
      </w:r>
      <w:r w:rsidRPr="001A2BE8">
        <w:rPr>
          <w:i/>
          <w:iCs/>
          <w:sz w:val="20"/>
          <w:lang w:val="fr-CA"/>
        </w:rPr>
        <w:t xml:space="preserve"> </w:t>
      </w:r>
      <w:r w:rsidRPr="001A2BE8">
        <w:rPr>
          <w:sz w:val="20"/>
          <w:lang w:val="fr-CA"/>
        </w:rPr>
        <w:t>Bien qu’une organisation ne puisse elle</w:t>
      </w:r>
      <w:r w:rsidRPr="001A2BE8">
        <w:rPr>
          <w:sz w:val="20"/>
          <w:lang w:val="fr-CA"/>
        </w:rPr>
        <w:noBreakHyphen/>
        <w:t>même témoigner, la crédibilité des dirigeants et des représentants qui témoigneront en son nom</w:t>
      </w:r>
      <w:r w:rsidRPr="001A2BE8">
        <w:rPr>
          <w:sz w:val="20"/>
          <w:lang w:val="fr-CA" w:bidi="en-US"/>
        </w:rPr>
        <w:t xml:space="preserve"> aidera à apprécier la conformité de cette croyance ou pratique avec sa mission et ses activités</w:t>
      </w:r>
      <w:r w:rsidRPr="001A2BE8">
        <w:rPr>
          <w:sz w:val="20"/>
          <w:lang w:val="fr-CA"/>
        </w:rPr>
        <w:t>. Il convient d’évaluer la croyance ou la pratique revendiquées à la lumière de faits objectifs tels que les autres pratiques de l’organisation, ses politiques et ses documents constitutifs. On peut également raisonnablement s’attendre à ce que les croyances et les pratiques d’une organisation soient moins fluides que celles d’une personne physique. L’examen des pratiques antérieures et de la constance des positions jouerait donc un rôle plus important dans le cas d’une organisation que dans celui d’une personne physique.</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t>Il ne s’agit pas d’une cause dans laquelle l’appréciation de la conformité pose problème ou dans laquelle il y a raisonnablement lieu de s’inquiéter de ce que la croyance est exprimée de mauvaise foi ou dans un but inavoué. Comme nous avons conclu que la croyance de Loyola suivant laquelle elle est tenue, sur le plan religieux, d’enseigner le catholicisme et l’éthique selon une perspective catholique est conforme à sa mission et à ses activités, force est de constater que le refus de la ministre d’exempter cet établissement du programme ÉCR — qui a pour effet de l’obliger à enseigner l’ensemble de son programme d’éthique et de religion d’un point de vue neutre et non confessionnel — porte atteinte à sa liberté de religion en contravention de l’al. 2</w:t>
      </w:r>
      <w:r w:rsidRPr="001A2BE8">
        <w:rPr>
          <w:i/>
          <w:iCs/>
          <w:sz w:val="20"/>
          <w:lang w:val="fr-CA"/>
        </w:rPr>
        <w:t>a</w:t>
      </w:r>
      <w:r w:rsidRPr="001A2BE8">
        <w:rPr>
          <w:sz w:val="20"/>
          <w:lang w:val="fr-CA"/>
        </w:rPr>
        <w:t xml:space="preserve">) de la </w:t>
      </w:r>
      <w:r w:rsidRPr="001A2BE8">
        <w:rPr>
          <w:i/>
          <w:iCs/>
          <w:sz w:val="20"/>
          <w:lang w:val="fr-CA"/>
        </w:rPr>
        <w:t>Charte</w:t>
      </w:r>
      <w:r w:rsidRPr="001A2BE8">
        <w:rPr>
          <w:sz w:val="20"/>
          <w:lang w:val="fr-CA"/>
        </w:rPr>
        <w:t>.</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t>C’est au gouvernement de faire la preuve que l’insistance de la ministre sur la nécessité que le programme d’études soit purement laïque pour qu’une exemption puisse être accordée ne restreint le droit à la liberté de religion de Loyola pas plus qu’il est raisonnable de le faire pour atteindre les objectifs du programme ÉCR. Il n’y a rien d’inhérent aux objectifs du programme ÉCR (reconnaissance des autres et poursuite du bien commun) ou aux compétences qu’il vise à inculquer aux élèves (religions dans le monde, éthique et dialogue) qui exige que l’on adopte une démarche culturelle et non confessionnelle. Comme le démontre le régime législatif et réglementaire, l’intention du gouvernement était de permettre aux écoles confessionnelles d’enseigner le programme ÉCR sans sacrifier pour autant leurs propres conceptions religieuses. Cet objectif est tout à fait réaliste. Un programme d’enseignement purement confessionnel conçu d’abord et avant tout pour inculquer aux élèves le bien</w:t>
      </w:r>
      <w:r w:rsidRPr="001A2BE8">
        <w:rPr>
          <w:sz w:val="20"/>
          <w:lang w:val="fr-CA"/>
        </w:rPr>
        <w:noBreakHyphen/>
        <w:t>fondé de certains préceptes religieux n’atteindrait pas les objectifs du programme ÉCR; toutefois, un ensemble de matières équilibré enseigné d’un point de vue religieux, mais qui présenterait et respecterait tous les points de vue pourrait constituer un cours équivalent au programme ÉCR. Dans la mesure où la proposition de Loyola satisfait à ces critères, elle n’aurait pas dû être rejetée d’emblée.</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t xml:space="preserve">On ne peut nier que le ministre est notamment chargé d’examiner au cas par cas les programmes proposés pour s’assurer qu’ils favorisent de façon adéquate la réalisation des objectifs du programme ÉCR et l’apprentissage des compétences qu’il vise à atteindre. Dans certains cas, il se pourrait que la liberté de religion des écoles privées fasse l’objet de restrictions justifiées. En l’espèce, toutefois, la ministre a adopté une définition de l’équivalence qui a essentiellement eu pour effet de faire déborder du cadre du régime législatif et réglementaire une méthode individualisée par ailleurs valable. En utilisant comme point de départ la prémisse que seule une démarche non </w:t>
      </w:r>
      <w:r w:rsidRPr="001A2BE8">
        <w:rPr>
          <w:sz w:val="20"/>
          <w:lang w:val="fr-CA"/>
        </w:rPr>
        <w:lastRenderedPageBreak/>
        <w:t>confessionnelle d’enseignement du programme ÉCR pouvait être considérée équivalente, la ministre a rendu illusoire la protection envisagée par la disposition d’exemption en cause.</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t xml:space="preserve">Le régime législatif et réglementaire est conçu pour être flexible et pour permettre aux établissements d’enseignement privés de déroger au programme ÉCR de référence à condition d’en respecter les objectifs. La définition de l’équivalence retenue par la ministre exprime la souplesse prévue par le régime réglementaire de la façon la plus restrictive possible et limite les dérogations plus qu’il n’est nécessaire de le faire pour assurer l’atteinte des objectifs du programme ÉCR. Cette façon de procéder s’est traduite par une atteinte grave à la liberté de religion de Loyola. Bref, la décision de la ministre ne constituait pas une atteinte minimale. Elle ne peut donc se justifier en application de l’article premier de la </w:t>
      </w:r>
      <w:r w:rsidRPr="001A2BE8">
        <w:rPr>
          <w:i/>
          <w:iCs/>
          <w:sz w:val="20"/>
          <w:lang w:val="fr-CA"/>
        </w:rPr>
        <w:t xml:space="preserve">Charte </w:t>
      </w:r>
      <w:r w:rsidRPr="001A2BE8">
        <w:rPr>
          <w:sz w:val="20"/>
          <w:lang w:val="fr-CA"/>
        </w:rPr>
        <w:t>en tant que limite raisonnable au droit à la liberté de religion garanti à Loyola par l’al. 2</w:t>
      </w:r>
      <w:r w:rsidRPr="001A2BE8">
        <w:rPr>
          <w:i/>
          <w:iCs/>
          <w:sz w:val="20"/>
          <w:lang w:val="fr-CA"/>
        </w:rPr>
        <w:t>a</w:t>
      </w:r>
      <w:r w:rsidRPr="001A2BE8">
        <w:rPr>
          <w:sz w:val="20"/>
          <w:lang w:val="fr-CA"/>
        </w:rPr>
        <w:t>).</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1A2BE8">
        <w:rPr>
          <w:sz w:val="20"/>
          <w:lang w:val="fr-CA"/>
        </w:rPr>
        <w:tab/>
        <w:t>Déterminer si un programme proposé est suffisamment équivalent au programme ÉCR de référence suppose de procéder à une analyse axée sur les faits. Dans le contexte de la présente affaire, les enseignants de Loyola seront autorisés à exposer et à expliquer la doctrine et les croyances éthiques catholiques du point de vue catholique. Les enseignants de Loyola devront exposer et expliquer les croyances et les doctrines éthiques des autres religions de manière objective et respectueuse. Les enseignants de Loyola devront s’assurer que le débat a lieu dans un climat de respect, mais, lorsque le contexte de la discussion en classe l’exigera, ils pourront préciser en quoi consistent les convictions catholiques, les raisons pour lesquelles les catholiques y adhèrent et les raisons pour lesquelles d’autres propositions éthiques ou doctrinales sont incompatibles avec ces convictions.</w:t>
      </w:r>
    </w:p>
    <w:p w:rsidR="00DD3B9C" w:rsidRDefault="00DD3B9C" w:rsidP="00DD3B9C">
      <w:pPr>
        <w:pStyle w:val="SCCNormalDoubleSpacing"/>
        <w:spacing w:line="240" w:lineRule="auto"/>
        <w:rPr>
          <w:sz w:val="20"/>
          <w:lang w:val="fr-CA"/>
        </w:rPr>
      </w:pPr>
    </w:p>
    <w:p w:rsidR="00DD3B9C" w:rsidRDefault="00DD3B9C" w:rsidP="00DD3B9C">
      <w:pPr>
        <w:pStyle w:val="SCCNormalDoubleSpacing"/>
        <w:spacing w:line="240" w:lineRule="auto"/>
        <w:rPr>
          <w:sz w:val="20"/>
          <w:lang w:val="fr-CA"/>
        </w:rPr>
      </w:pPr>
      <w:r w:rsidRPr="001A2BE8">
        <w:rPr>
          <w:sz w:val="20"/>
          <w:lang w:val="fr-CA"/>
        </w:rPr>
        <w:tab/>
        <w:t xml:space="preserve">Le paragraphe 24(1) de la </w:t>
      </w:r>
      <w:r w:rsidRPr="001A2BE8">
        <w:rPr>
          <w:i/>
          <w:sz w:val="20"/>
          <w:lang w:val="fr-CA"/>
        </w:rPr>
        <w:t>Charte</w:t>
      </w:r>
      <w:r w:rsidRPr="001A2BE8">
        <w:rPr>
          <w:sz w:val="20"/>
          <w:lang w:val="fr-CA"/>
        </w:rPr>
        <w:t xml:space="preserve"> habilite la Cour à déterminer la réparation appropriée compte tenu de l’ensemble des circonstances. Il n’est pas nécessaire de renvoyer l’affaire à la ministre pour qu’elle la réexamine et il ne serait pas juste de le faire puisque cela aurait pour effet de retarder encore plus la réparation que Loyola réclame depuis presque sept ans. Eu égard aux conclusions de fait tirées par le juge saisi de la demande et compte tenu du dossier et des observations des parties, la seule réponse à la demande d’exemption de Loyola qui soit conforme à la Constitution consiste à lui donner une suite favorable.</w:t>
      </w:r>
    </w:p>
    <w:p w:rsidR="00DD3B9C" w:rsidRDefault="00DD3B9C" w:rsidP="00DD3B9C">
      <w:pPr>
        <w:pStyle w:val="SCCNormalDoubleSpacing"/>
        <w:spacing w:line="240" w:lineRule="auto"/>
        <w:rPr>
          <w:sz w:val="20"/>
          <w:lang w:val="fr-CA"/>
        </w:rPr>
      </w:pPr>
    </w:p>
    <w:p w:rsidR="00DD3B9C" w:rsidRPr="001A2BE8" w:rsidRDefault="00DD3B9C" w:rsidP="00DD3B9C">
      <w:pPr>
        <w:pStyle w:val="SCCNormalDoubleSpacing"/>
        <w:spacing w:line="240" w:lineRule="auto"/>
        <w:rPr>
          <w:sz w:val="20"/>
          <w:lang w:val="fr-CA"/>
        </w:rPr>
      </w:pPr>
      <w:r w:rsidRPr="00DD3B9C">
        <w:rPr>
          <w:sz w:val="20"/>
          <w:lang w:val="fr-CA"/>
        </w:rPr>
        <w:tab/>
      </w:r>
      <w:r w:rsidRPr="001A2BE8">
        <w:rPr>
          <w:sz w:val="20"/>
          <w:lang w:val="fr-CA"/>
        </w:rPr>
        <w:t>POURVOI contre un arrêt de la Cour d’appel du Québec (les juges Hilton, Wagner et Fournier), 2012 QCCA 2139, [2012] R.J.Q. 2112, 46 Admin L.R. (5th) 79, [2012] AZ</w:t>
      </w:r>
      <w:r w:rsidRPr="001A2BE8">
        <w:rPr>
          <w:sz w:val="20"/>
          <w:lang w:val="fr-CA"/>
        </w:rPr>
        <w:noBreakHyphen/>
        <w:t>50918665, [2012] J.Q. n</w:t>
      </w:r>
      <w:r w:rsidRPr="001A2BE8">
        <w:rPr>
          <w:sz w:val="20"/>
          <w:vertAlign w:val="superscript"/>
          <w:lang w:val="fr-CA"/>
        </w:rPr>
        <w:t>o</w:t>
      </w:r>
      <w:r w:rsidRPr="001A2BE8">
        <w:rPr>
          <w:sz w:val="20"/>
          <w:lang w:val="fr-CA"/>
        </w:rPr>
        <w:t> 15094 (QL), 2012 CarswellQue 12912 (WL Can.), qui a infirmé une décision du juge Dugré, 2010 QCCS 2631, [2010] R.J.Q. 1417, [2010] AZ</w:t>
      </w:r>
      <w:r w:rsidRPr="001A2BE8">
        <w:rPr>
          <w:sz w:val="20"/>
          <w:lang w:val="fr-CA"/>
        </w:rPr>
        <w:noBreakHyphen/>
        <w:t>50647607, [2010] J.Q. n</w:t>
      </w:r>
      <w:r w:rsidRPr="001A2BE8">
        <w:rPr>
          <w:sz w:val="20"/>
          <w:vertAlign w:val="superscript"/>
          <w:lang w:val="fr-CA"/>
        </w:rPr>
        <w:t>o</w:t>
      </w:r>
      <w:r w:rsidRPr="001A2BE8">
        <w:rPr>
          <w:sz w:val="20"/>
          <w:lang w:val="fr-CA"/>
        </w:rPr>
        <w:t> 5789 (QL), 2010 CarswellQue 6161 (WL Can.). Pourvoi accueilli.</w:t>
      </w:r>
    </w:p>
    <w:p w:rsidR="00DD3B9C" w:rsidRDefault="00DD3B9C" w:rsidP="00DD3B9C">
      <w:pPr>
        <w:pStyle w:val="SCCNormalDoubleSpacing"/>
        <w:spacing w:line="240" w:lineRule="auto"/>
        <w:rPr>
          <w:i/>
          <w:sz w:val="20"/>
          <w:lang w:val="fr-CA"/>
        </w:rPr>
      </w:pPr>
    </w:p>
    <w:p w:rsidR="00DD3B9C" w:rsidRPr="001A2BE8" w:rsidRDefault="00DD3B9C" w:rsidP="00DD3B9C">
      <w:pPr>
        <w:pStyle w:val="SCCNormalDoubleSpacing"/>
        <w:spacing w:line="240" w:lineRule="auto"/>
        <w:rPr>
          <w:sz w:val="20"/>
          <w:lang w:val="fr-CA"/>
        </w:rPr>
      </w:pPr>
      <w:r w:rsidRPr="001A2BE8">
        <w:rPr>
          <w:i/>
          <w:sz w:val="20"/>
          <w:lang w:val="fr-CA"/>
        </w:rPr>
        <w:tab/>
        <w:t>Mark Phillips</w:t>
      </w:r>
      <w:r w:rsidRPr="001A2BE8">
        <w:rPr>
          <w:sz w:val="20"/>
          <w:lang w:val="fr-CA"/>
        </w:rPr>
        <w:t xml:space="preserve"> et </w:t>
      </w:r>
      <w:r w:rsidRPr="001A2BE8">
        <w:rPr>
          <w:i/>
          <w:sz w:val="20"/>
          <w:lang w:val="fr-CA"/>
        </w:rPr>
        <w:t>Jacques S. Darche</w:t>
      </w:r>
      <w:r w:rsidRPr="001A2BE8">
        <w:rPr>
          <w:sz w:val="20"/>
          <w:lang w:val="fr-CA"/>
        </w:rPr>
        <w:t>, pour les appelants.</w:t>
      </w:r>
    </w:p>
    <w:p w:rsidR="00DD3B9C" w:rsidRDefault="00DD3B9C" w:rsidP="00DD3B9C">
      <w:pPr>
        <w:pStyle w:val="SCCNormalDoubleSpacing"/>
        <w:spacing w:line="240" w:lineRule="auto"/>
        <w:rPr>
          <w:i/>
          <w:sz w:val="20"/>
          <w:lang w:val="fr-CA"/>
        </w:rPr>
      </w:pPr>
    </w:p>
    <w:p w:rsidR="00DD3B9C" w:rsidRPr="001A2BE8" w:rsidRDefault="00DD3B9C" w:rsidP="00DD3B9C">
      <w:pPr>
        <w:pStyle w:val="SCCNormalDoubleSpacing"/>
        <w:spacing w:line="240" w:lineRule="auto"/>
        <w:rPr>
          <w:sz w:val="20"/>
          <w:lang w:val="fr-CA"/>
        </w:rPr>
      </w:pPr>
      <w:r w:rsidRPr="001A2BE8">
        <w:rPr>
          <w:i/>
          <w:sz w:val="20"/>
          <w:lang w:val="fr-CA"/>
        </w:rPr>
        <w:tab/>
        <w:t>Benoit Boucher</w:t>
      </w:r>
      <w:r w:rsidRPr="001A2BE8">
        <w:rPr>
          <w:sz w:val="20"/>
          <w:lang w:val="fr-CA"/>
        </w:rPr>
        <w:t xml:space="preserve">, </w:t>
      </w:r>
      <w:r w:rsidRPr="001A2BE8">
        <w:rPr>
          <w:i/>
          <w:sz w:val="20"/>
          <w:lang w:val="fr-CA"/>
        </w:rPr>
        <w:t>Dominique Legault, Amélie Pelletier</w:t>
      </w:r>
      <w:r w:rsidRPr="001A2BE8">
        <w:rPr>
          <w:i/>
          <w:sz w:val="20"/>
          <w:lang w:val="fr-CA"/>
        </w:rPr>
        <w:noBreakHyphen/>
        <w:t>Desrosiers</w:t>
      </w:r>
      <w:r w:rsidRPr="001A2BE8">
        <w:rPr>
          <w:sz w:val="20"/>
          <w:lang w:val="fr-CA"/>
        </w:rPr>
        <w:t xml:space="preserve"> et </w:t>
      </w:r>
      <w:r w:rsidRPr="001A2BE8">
        <w:rPr>
          <w:i/>
          <w:sz w:val="20"/>
          <w:lang w:val="fr-CA"/>
        </w:rPr>
        <w:t>Caroline Renaud</w:t>
      </w:r>
      <w:r w:rsidRPr="001A2BE8">
        <w:rPr>
          <w:sz w:val="20"/>
          <w:lang w:val="fr-CA"/>
        </w:rPr>
        <w:t>, pour l’intimé.</w:t>
      </w:r>
    </w:p>
    <w:p w:rsidR="00DD3B9C" w:rsidRDefault="00DD3B9C" w:rsidP="00DD3B9C">
      <w:pPr>
        <w:pStyle w:val="SCCNormalDoubleSpacing"/>
        <w:spacing w:line="240" w:lineRule="auto"/>
        <w:rPr>
          <w:i/>
          <w:sz w:val="20"/>
          <w:lang w:val="fr-CA"/>
        </w:rPr>
      </w:pPr>
    </w:p>
    <w:p w:rsidR="00DD3B9C" w:rsidRPr="001A2BE8" w:rsidRDefault="00DD3B9C" w:rsidP="00DD3B9C">
      <w:pPr>
        <w:pStyle w:val="SCCNormalDoubleSpacing"/>
        <w:spacing w:line="240" w:lineRule="auto"/>
        <w:rPr>
          <w:sz w:val="20"/>
          <w:lang w:val="fr-CA"/>
        </w:rPr>
      </w:pPr>
      <w:r w:rsidRPr="001A2BE8">
        <w:rPr>
          <w:i/>
          <w:sz w:val="20"/>
          <w:lang w:val="fr-CA"/>
        </w:rPr>
        <w:tab/>
      </w:r>
      <w:r w:rsidRPr="001A2BE8">
        <w:rPr>
          <w:sz w:val="20"/>
          <w:lang w:val="fr-CA"/>
        </w:rPr>
        <w:t xml:space="preserve">Argumentation écrite seulement par </w:t>
      </w:r>
      <w:r w:rsidRPr="001A2BE8">
        <w:rPr>
          <w:i/>
          <w:sz w:val="20"/>
          <w:lang w:val="fr-CA"/>
        </w:rPr>
        <w:t>Barry W. Bussey</w:t>
      </w:r>
      <w:r w:rsidRPr="001A2BE8">
        <w:rPr>
          <w:sz w:val="20"/>
          <w:lang w:val="fr-CA"/>
        </w:rPr>
        <w:t xml:space="preserve"> et </w:t>
      </w:r>
      <w:r w:rsidRPr="001A2BE8">
        <w:rPr>
          <w:i/>
          <w:sz w:val="20"/>
          <w:lang w:val="fr-CA"/>
        </w:rPr>
        <w:t>Derek Ross</w:t>
      </w:r>
      <w:r w:rsidRPr="001A2BE8">
        <w:rPr>
          <w:sz w:val="20"/>
          <w:lang w:val="fr-CA"/>
        </w:rPr>
        <w:t>, pour l’intervenant le Conseil canadien des œuvres de charité chrétiennes.</w:t>
      </w:r>
    </w:p>
    <w:p w:rsidR="00DD3B9C" w:rsidRDefault="00DD3B9C" w:rsidP="00DD3B9C">
      <w:pPr>
        <w:pStyle w:val="SCCNormalDoubleSpacing"/>
        <w:spacing w:line="240" w:lineRule="auto"/>
        <w:rPr>
          <w:i/>
          <w:sz w:val="20"/>
          <w:lang w:val="fr-CA"/>
        </w:rPr>
      </w:pPr>
    </w:p>
    <w:p w:rsidR="00DD3B9C" w:rsidRPr="001A2BE8" w:rsidRDefault="00DD3B9C" w:rsidP="00DD3B9C">
      <w:pPr>
        <w:pStyle w:val="SCCNormalDoubleSpacing"/>
        <w:spacing w:line="240" w:lineRule="auto"/>
        <w:rPr>
          <w:sz w:val="20"/>
          <w:lang w:val="fr-CA"/>
        </w:rPr>
      </w:pPr>
      <w:r w:rsidRPr="001A2BE8">
        <w:rPr>
          <w:i/>
          <w:sz w:val="20"/>
          <w:lang w:val="fr-CA"/>
        </w:rPr>
        <w:tab/>
        <w:t>Albertos Polizogopoulos</w:t>
      </w:r>
      <w:r w:rsidRPr="001A2BE8">
        <w:rPr>
          <w:sz w:val="20"/>
          <w:lang w:val="fr-CA"/>
        </w:rPr>
        <w:t xml:space="preserve"> et </w:t>
      </w:r>
      <w:r w:rsidRPr="001A2BE8">
        <w:rPr>
          <w:i/>
          <w:sz w:val="20"/>
          <w:lang w:val="fr-CA"/>
        </w:rPr>
        <w:t>Don Hutchinson</w:t>
      </w:r>
      <w:r w:rsidRPr="001A2BE8">
        <w:rPr>
          <w:sz w:val="20"/>
          <w:lang w:val="fr-CA"/>
        </w:rPr>
        <w:t>, pour l’intervenante l’Alliance évangélique du Canada.</w:t>
      </w:r>
    </w:p>
    <w:p w:rsidR="00DD3B9C" w:rsidRDefault="00DD3B9C" w:rsidP="00DD3B9C">
      <w:pPr>
        <w:pStyle w:val="SCCNormalDoubleSpacing"/>
        <w:spacing w:line="240" w:lineRule="auto"/>
        <w:rPr>
          <w:i/>
          <w:sz w:val="20"/>
          <w:lang w:val="fr-CA"/>
        </w:rPr>
      </w:pPr>
    </w:p>
    <w:p w:rsidR="00DD3B9C" w:rsidRPr="001A2BE8" w:rsidRDefault="00DD3B9C" w:rsidP="00DD3B9C">
      <w:pPr>
        <w:pStyle w:val="SCCNormalDoubleSpacing"/>
        <w:spacing w:line="240" w:lineRule="auto"/>
        <w:rPr>
          <w:sz w:val="20"/>
          <w:lang w:val="fr-CA"/>
        </w:rPr>
      </w:pPr>
      <w:r w:rsidRPr="001A2BE8">
        <w:rPr>
          <w:i/>
          <w:sz w:val="20"/>
          <w:lang w:val="fr-CA"/>
        </w:rPr>
        <w:tab/>
        <w:t>Robert E. Reynolds</w:t>
      </w:r>
      <w:r w:rsidRPr="001A2BE8">
        <w:rPr>
          <w:sz w:val="20"/>
          <w:lang w:val="fr-CA"/>
        </w:rPr>
        <w:t xml:space="preserve"> et </w:t>
      </w:r>
      <w:r w:rsidRPr="001A2BE8">
        <w:rPr>
          <w:i/>
          <w:sz w:val="20"/>
          <w:lang w:val="fr-CA"/>
        </w:rPr>
        <w:t>Ruth Ross</w:t>
      </w:r>
      <w:r w:rsidRPr="001A2BE8">
        <w:rPr>
          <w:sz w:val="20"/>
          <w:lang w:val="fr-CA"/>
        </w:rPr>
        <w:t>, pour l’intervenante l’Alliance des chrétiens en droit.</w:t>
      </w:r>
    </w:p>
    <w:p w:rsidR="00DD3B9C" w:rsidRDefault="00DD3B9C" w:rsidP="00DD3B9C">
      <w:pPr>
        <w:pStyle w:val="SCCNormalDoubleSpacing"/>
        <w:spacing w:line="240" w:lineRule="auto"/>
        <w:rPr>
          <w:i/>
          <w:sz w:val="20"/>
          <w:lang w:val="fr-CA"/>
        </w:rPr>
      </w:pPr>
    </w:p>
    <w:p w:rsidR="00DD3B9C" w:rsidRPr="001A2BE8" w:rsidRDefault="00DD3B9C" w:rsidP="00DD3B9C">
      <w:pPr>
        <w:pStyle w:val="SCCNormalDoubleSpacing"/>
        <w:spacing w:line="240" w:lineRule="auto"/>
        <w:rPr>
          <w:sz w:val="20"/>
        </w:rPr>
      </w:pPr>
      <w:r w:rsidRPr="001A2BE8">
        <w:rPr>
          <w:i/>
          <w:sz w:val="20"/>
          <w:lang w:val="fr-CA"/>
        </w:rPr>
        <w:tab/>
      </w:r>
      <w:r w:rsidRPr="001A2BE8">
        <w:rPr>
          <w:i/>
          <w:sz w:val="20"/>
        </w:rPr>
        <w:t>Palbinder K. Shergill, c.r.</w:t>
      </w:r>
      <w:r w:rsidRPr="001A2BE8">
        <w:rPr>
          <w:sz w:val="20"/>
        </w:rPr>
        <w:t xml:space="preserve">, et </w:t>
      </w:r>
      <w:r w:rsidRPr="001A2BE8">
        <w:rPr>
          <w:i/>
          <w:sz w:val="20"/>
        </w:rPr>
        <w:t>Balpreet Singh Boparai</w:t>
      </w:r>
      <w:r w:rsidRPr="001A2BE8">
        <w:rPr>
          <w:sz w:val="20"/>
        </w:rPr>
        <w:t>, pour l’intervenante World Sikh Organization of Canada.</w:t>
      </w:r>
    </w:p>
    <w:p w:rsidR="00DD3B9C" w:rsidRDefault="00DD3B9C" w:rsidP="00DD3B9C">
      <w:pPr>
        <w:pStyle w:val="SCCNormalDoubleSpacing"/>
        <w:spacing w:line="240" w:lineRule="auto"/>
        <w:rPr>
          <w:i/>
          <w:sz w:val="20"/>
        </w:rPr>
      </w:pPr>
    </w:p>
    <w:p w:rsidR="00DD3B9C" w:rsidRPr="001A2BE8" w:rsidRDefault="00DD3B9C" w:rsidP="00DD3B9C">
      <w:pPr>
        <w:pStyle w:val="SCCNormalDoubleSpacing"/>
        <w:spacing w:line="240" w:lineRule="auto"/>
        <w:rPr>
          <w:sz w:val="20"/>
          <w:lang w:val="fr-CA"/>
        </w:rPr>
      </w:pPr>
      <w:r w:rsidRPr="001A2BE8">
        <w:rPr>
          <w:i/>
          <w:sz w:val="20"/>
        </w:rPr>
        <w:tab/>
      </w:r>
      <w:r w:rsidRPr="001A2BE8">
        <w:rPr>
          <w:sz w:val="20"/>
          <w:lang w:val="fr-CA"/>
        </w:rPr>
        <w:t xml:space="preserve">Argumentation écrite seulement par </w:t>
      </w:r>
      <w:r w:rsidRPr="001A2BE8">
        <w:rPr>
          <w:i/>
          <w:sz w:val="20"/>
          <w:lang w:val="fr-CA"/>
        </w:rPr>
        <w:t>Ian C. Moes</w:t>
      </w:r>
      <w:r w:rsidRPr="001A2BE8">
        <w:rPr>
          <w:sz w:val="20"/>
          <w:lang w:val="fr-CA"/>
        </w:rPr>
        <w:t xml:space="preserve"> et </w:t>
      </w:r>
      <w:r w:rsidRPr="001A2BE8">
        <w:rPr>
          <w:i/>
          <w:sz w:val="20"/>
          <w:lang w:val="fr-CA"/>
        </w:rPr>
        <w:t>André Schutten</w:t>
      </w:r>
      <w:r w:rsidRPr="001A2BE8">
        <w:rPr>
          <w:sz w:val="20"/>
          <w:lang w:val="fr-CA"/>
        </w:rPr>
        <w:t>, pour l’intervenante Association of Christian Educators and Schools Canada.</w:t>
      </w:r>
    </w:p>
    <w:p w:rsidR="00DD3B9C" w:rsidRDefault="00DD3B9C" w:rsidP="00DD3B9C">
      <w:pPr>
        <w:pStyle w:val="SCCNormalDoubleSpacing"/>
        <w:spacing w:line="240" w:lineRule="auto"/>
        <w:rPr>
          <w:i/>
          <w:sz w:val="20"/>
          <w:lang w:val="fr-CA"/>
        </w:rPr>
      </w:pPr>
    </w:p>
    <w:p w:rsidR="00DD3B9C" w:rsidRPr="001A2BE8" w:rsidRDefault="00DD3B9C" w:rsidP="00DD3B9C">
      <w:pPr>
        <w:pStyle w:val="SCCNormalDoubleSpacing"/>
        <w:spacing w:line="240" w:lineRule="auto"/>
        <w:rPr>
          <w:sz w:val="20"/>
          <w:lang w:val="fr-CA"/>
        </w:rPr>
      </w:pPr>
      <w:r w:rsidRPr="001A2BE8">
        <w:rPr>
          <w:i/>
          <w:sz w:val="20"/>
          <w:lang w:val="fr-CA"/>
        </w:rPr>
        <w:tab/>
        <w:t>Jean</w:t>
      </w:r>
      <w:r w:rsidRPr="001A2BE8">
        <w:rPr>
          <w:i/>
          <w:sz w:val="20"/>
          <w:lang w:val="fr-CA"/>
        </w:rPr>
        <w:noBreakHyphen/>
        <w:t>Philippe Groleau</w:t>
      </w:r>
      <w:r w:rsidRPr="001A2BE8">
        <w:rPr>
          <w:sz w:val="20"/>
          <w:lang w:val="fr-CA"/>
        </w:rPr>
        <w:t xml:space="preserve">, </w:t>
      </w:r>
      <w:r w:rsidRPr="001A2BE8">
        <w:rPr>
          <w:i/>
          <w:sz w:val="20"/>
          <w:lang w:val="fr-CA"/>
        </w:rPr>
        <w:t>Guy Du Pont</w:t>
      </w:r>
      <w:r w:rsidRPr="001A2BE8">
        <w:rPr>
          <w:sz w:val="20"/>
          <w:lang w:val="fr-CA"/>
        </w:rPr>
        <w:t xml:space="preserve"> et </w:t>
      </w:r>
      <w:r w:rsidRPr="001A2BE8">
        <w:rPr>
          <w:i/>
          <w:sz w:val="20"/>
          <w:lang w:val="fr-CA"/>
        </w:rPr>
        <w:t>Léon H. Moubayed</w:t>
      </w:r>
      <w:r w:rsidRPr="001A2BE8">
        <w:rPr>
          <w:sz w:val="20"/>
          <w:lang w:val="fr-CA"/>
        </w:rPr>
        <w:t>, pour l’intervenante l’Association canadienne des libertés civiles.</w:t>
      </w:r>
    </w:p>
    <w:p w:rsidR="00DD3B9C" w:rsidRDefault="00DD3B9C" w:rsidP="00DD3B9C">
      <w:pPr>
        <w:pStyle w:val="SCCNormalDoubleSpacing"/>
        <w:spacing w:line="240" w:lineRule="auto"/>
        <w:rPr>
          <w:i/>
          <w:sz w:val="20"/>
          <w:lang w:val="fr-CA"/>
        </w:rPr>
      </w:pPr>
    </w:p>
    <w:p w:rsidR="00DD3B9C" w:rsidRPr="001A2BE8" w:rsidRDefault="00DD3B9C" w:rsidP="00DD3B9C">
      <w:pPr>
        <w:pStyle w:val="SCCNormalDoubleSpacing"/>
        <w:spacing w:line="240" w:lineRule="auto"/>
        <w:rPr>
          <w:sz w:val="20"/>
          <w:lang w:val="fr-CA"/>
        </w:rPr>
      </w:pPr>
      <w:r w:rsidRPr="001A2BE8">
        <w:rPr>
          <w:i/>
          <w:sz w:val="20"/>
          <w:lang w:val="fr-CA"/>
        </w:rPr>
        <w:tab/>
        <w:t>Ranjan K. Agarwal</w:t>
      </w:r>
      <w:r w:rsidRPr="001A2BE8">
        <w:rPr>
          <w:sz w:val="20"/>
          <w:lang w:val="fr-CA"/>
        </w:rPr>
        <w:t xml:space="preserve"> et </w:t>
      </w:r>
      <w:r w:rsidRPr="001A2BE8">
        <w:rPr>
          <w:i/>
          <w:sz w:val="20"/>
          <w:lang w:val="fr-CA"/>
        </w:rPr>
        <w:t>Jack R. Maslen</w:t>
      </w:r>
      <w:r w:rsidRPr="001A2BE8">
        <w:rPr>
          <w:sz w:val="20"/>
          <w:lang w:val="fr-CA"/>
        </w:rPr>
        <w:t>, pour les intervenantes la Ligue catholique des droits de l’homme, l’Association des parents catholiques du Québec, Faith and Freedom Alliance et l’Association de la communauté copte orthodoxe du grand Montréal.</w:t>
      </w:r>
    </w:p>
    <w:p w:rsidR="00DD3B9C" w:rsidRDefault="00DD3B9C" w:rsidP="00DD3B9C">
      <w:pPr>
        <w:pStyle w:val="SCCNormalDoubleSpacing"/>
        <w:spacing w:line="240" w:lineRule="auto"/>
        <w:rPr>
          <w:i/>
          <w:sz w:val="20"/>
          <w:lang w:val="fr-CA"/>
        </w:rPr>
      </w:pPr>
    </w:p>
    <w:p w:rsidR="00DD3B9C" w:rsidRPr="001A2BE8" w:rsidRDefault="00DD3B9C" w:rsidP="00DD3B9C">
      <w:pPr>
        <w:pStyle w:val="SCCNormalDoubleSpacing"/>
        <w:spacing w:line="240" w:lineRule="auto"/>
        <w:rPr>
          <w:sz w:val="20"/>
          <w:lang w:val="fr-CA"/>
        </w:rPr>
      </w:pPr>
      <w:r w:rsidRPr="001A2BE8">
        <w:rPr>
          <w:i/>
          <w:sz w:val="20"/>
          <w:lang w:val="fr-CA"/>
        </w:rPr>
        <w:tab/>
      </w:r>
      <w:r w:rsidRPr="001A2BE8">
        <w:rPr>
          <w:sz w:val="20"/>
          <w:lang w:val="fr-CA"/>
        </w:rPr>
        <w:t xml:space="preserve">Argumentation écrite seulement par </w:t>
      </w:r>
      <w:r w:rsidRPr="001A2BE8">
        <w:rPr>
          <w:i/>
          <w:sz w:val="20"/>
          <w:lang w:val="fr-CA"/>
        </w:rPr>
        <w:t>Blake Bromley</w:t>
      </w:r>
      <w:r w:rsidRPr="001A2BE8">
        <w:rPr>
          <w:sz w:val="20"/>
          <w:lang w:val="fr-CA"/>
        </w:rPr>
        <w:t>, pour l’intervenante Faith, Fealty and Creed Society.</w:t>
      </w:r>
    </w:p>
    <w:p w:rsidR="00DD3B9C" w:rsidRDefault="00DD3B9C" w:rsidP="00DD3B9C">
      <w:pPr>
        <w:pStyle w:val="SCCNormalDoubleSpacing"/>
        <w:spacing w:line="240" w:lineRule="auto"/>
        <w:rPr>
          <w:i/>
          <w:sz w:val="20"/>
          <w:lang w:val="fr-CA"/>
        </w:rPr>
      </w:pPr>
    </w:p>
    <w:p w:rsidR="00DD3B9C" w:rsidRPr="001A2BE8" w:rsidRDefault="00DD3B9C" w:rsidP="00DD3B9C">
      <w:pPr>
        <w:pStyle w:val="SCCNormalDoubleSpacing"/>
        <w:spacing w:line="240" w:lineRule="auto"/>
        <w:rPr>
          <w:sz w:val="20"/>
          <w:lang w:val="fr-CA"/>
        </w:rPr>
      </w:pPr>
      <w:r w:rsidRPr="001A2BE8">
        <w:rPr>
          <w:i/>
          <w:sz w:val="20"/>
          <w:lang w:val="fr-CA"/>
        </w:rPr>
        <w:tab/>
      </w:r>
      <w:r w:rsidRPr="001A2BE8">
        <w:rPr>
          <w:sz w:val="20"/>
          <w:lang w:val="fr-CA"/>
        </w:rPr>
        <w:t xml:space="preserve">Argumentation écrite seulement par </w:t>
      </w:r>
      <w:r w:rsidRPr="001A2BE8">
        <w:rPr>
          <w:i/>
          <w:sz w:val="20"/>
          <w:lang w:val="fr-CA"/>
        </w:rPr>
        <w:t>Jean</w:t>
      </w:r>
      <w:r w:rsidRPr="001A2BE8">
        <w:rPr>
          <w:i/>
          <w:sz w:val="20"/>
          <w:lang w:val="fr-CA"/>
        </w:rPr>
        <w:noBreakHyphen/>
        <w:t>Yves Côté</w:t>
      </w:r>
      <w:r w:rsidRPr="001A2BE8">
        <w:rPr>
          <w:sz w:val="20"/>
          <w:lang w:val="fr-CA"/>
        </w:rPr>
        <w:t xml:space="preserve"> et </w:t>
      </w:r>
      <w:r w:rsidRPr="001A2BE8">
        <w:rPr>
          <w:i/>
          <w:sz w:val="20"/>
          <w:lang w:val="fr-CA"/>
        </w:rPr>
        <w:t>Paul D. Faris</w:t>
      </w:r>
      <w:r w:rsidRPr="001A2BE8">
        <w:rPr>
          <w:sz w:val="20"/>
          <w:lang w:val="fr-CA"/>
        </w:rPr>
        <w:t>, pour l’intervenante Home School Legal Defence Association of Canada.</w:t>
      </w:r>
    </w:p>
    <w:p w:rsidR="00DD3B9C" w:rsidRDefault="00DD3B9C" w:rsidP="00DD3B9C">
      <w:pPr>
        <w:pStyle w:val="SCCNormalDoubleSpacing"/>
        <w:spacing w:line="240" w:lineRule="auto"/>
        <w:rPr>
          <w:i/>
          <w:sz w:val="20"/>
          <w:lang w:val="fr-CA"/>
        </w:rPr>
      </w:pPr>
    </w:p>
    <w:p w:rsidR="00DD3B9C" w:rsidRPr="001A2BE8" w:rsidRDefault="00DD3B9C" w:rsidP="00DD3B9C">
      <w:pPr>
        <w:pStyle w:val="SCCNormalDoubleSpacing"/>
        <w:spacing w:line="240" w:lineRule="auto"/>
        <w:rPr>
          <w:sz w:val="20"/>
          <w:lang w:val="fr-CA"/>
        </w:rPr>
      </w:pPr>
      <w:r w:rsidRPr="001A2BE8">
        <w:rPr>
          <w:i/>
          <w:sz w:val="20"/>
          <w:lang w:val="fr-CA"/>
        </w:rPr>
        <w:tab/>
        <w:t>Gerald D. Chipeur, c.r.</w:t>
      </w:r>
      <w:r w:rsidRPr="001A2BE8">
        <w:rPr>
          <w:sz w:val="20"/>
          <w:lang w:val="fr-CA"/>
        </w:rPr>
        <w:t xml:space="preserve">, et </w:t>
      </w:r>
      <w:r w:rsidRPr="001A2BE8">
        <w:rPr>
          <w:i/>
          <w:sz w:val="20"/>
          <w:lang w:val="fr-CA"/>
        </w:rPr>
        <w:t>Grace Mackintosh</w:t>
      </w:r>
      <w:r w:rsidRPr="001A2BE8">
        <w:rPr>
          <w:sz w:val="20"/>
          <w:lang w:val="fr-CA"/>
        </w:rPr>
        <w:t>, pour les intervenantes l’Église adventiste du septième jour au Canada et l’Église adventiste du septième jour — Fédération du Québec.</w:t>
      </w:r>
    </w:p>
    <w:p w:rsidR="00DD3B9C" w:rsidRDefault="00DD3B9C" w:rsidP="00DD3B9C">
      <w:pPr>
        <w:pStyle w:val="SCCNormalDoubleSpacing"/>
        <w:spacing w:line="240" w:lineRule="auto"/>
        <w:rPr>
          <w:i/>
          <w:sz w:val="20"/>
          <w:lang w:val="fr-CA"/>
        </w:rPr>
      </w:pPr>
    </w:p>
    <w:p w:rsidR="00DD3B9C" w:rsidRPr="001A2BE8" w:rsidRDefault="00DD3B9C" w:rsidP="00DD3B9C">
      <w:pPr>
        <w:pStyle w:val="SCCNormalDoubleSpacing"/>
        <w:spacing w:line="240" w:lineRule="auto"/>
        <w:rPr>
          <w:sz w:val="20"/>
          <w:lang w:val="fr-CA"/>
        </w:rPr>
      </w:pPr>
      <w:r w:rsidRPr="001A2BE8">
        <w:rPr>
          <w:i/>
          <w:sz w:val="20"/>
          <w:lang w:val="fr-CA"/>
        </w:rPr>
        <w:tab/>
        <w:t>Milton James Fernandes</w:t>
      </w:r>
      <w:r w:rsidRPr="001A2BE8">
        <w:rPr>
          <w:sz w:val="20"/>
          <w:lang w:val="fr-CA"/>
        </w:rPr>
        <w:t xml:space="preserve"> et </w:t>
      </w:r>
      <w:r w:rsidRPr="001A2BE8">
        <w:rPr>
          <w:i/>
          <w:sz w:val="20"/>
          <w:lang w:val="fr-CA"/>
        </w:rPr>
        <w:t>Sergio G. Famularo</w:t>
      </w:r>
      <w:r w:rsidRPr="001A2BE8">
        <w:rPr>
          <w:sz w:val="20"/>
          <w:lang w:val="fr-CA"/>
        </w:rPr>
        <w:t>, pour les intervenants la Corporation archiépiscopale catholique romaine de Montréal et l’Archevêque catholique romain de Montréal.</w:t>
      </w:r>
    </w:p>
    <w:p w:rsidR="00DD3B9C" w:rsidRPr="001A2BE8" w:rsidRDefault="00DD3B9C" w:rsidP="00DD3B9C">
      <w:pPr>
        <w:pStyle w:val="SCCLawFirm"/>
        <w:spacing w:line="240" w:lineRule="auto"/>
        <w:rPr>
          <w:sz w:val="20"/>
          <w:lang w:val="fr-CA"/>
        </w:rPr>
      </w:pPr>
      <w:r w:rsidRPr="001A2BE8">
        <w:rPr>
          <w:sz w:val="20"/>
          <w:lang w:val="fr-CA"/>
        </w:rPr>
        <w:tab/>
        <w:t>Procureurs des appelants : Borden Ladner Gervais, Montréal.</w:t>
      </w:r>
    </w:p>
    <w:p w:rsidR="00DD3B9C" w:rsidRDefault="00DD3B9C" w:rsidP="00DD3B9C">
      <w:pPr>
        <w:pStyle w:val="SCCLawFirm"/>
        <w:spacing w:line="240" w:lineRule="auto"/>
        <w:rPr>
          <w:sz w:val="20"/>
          <w:lang w:val="fr-CA"/>
        </w:rPr>
      </w:pPr>
    </w:p>
    <w:p w:rsidR="00DD3B9C" w:rsidRPr="001A2BE8" w:rsidRDefault="00DD3B9C" w:rsidP="00DD3B9C">
      <w:pPr>
        <w:pStyle w:val="SCCLawFirm"/>
        <w:spacing w:line="240" w:lineRule="auto"/>
        <w:rPr>
          <w:sz w:val="20"/>
          <w:lang w:val="fr-CA"/>
        </w:rPr>
      </w:pPr>
      <w:r w:rsidRPr="001A2BE8">
        <w:rPr>
          <w:sz w:val="20"/>
          <w:lang w:val="fr-CA"/>
        </w:rPr>
        <w:tab/>
        <w:t>Procureurs de l’intimé : Bernard, Roy &amp; Associés, Montréal.</w:t>
      </w:r>
    </w:p>
    <w:p w:rsidR="00DD3B9C" w:rsidRDefault="00DD3B9C" w:rsidP="00DD3B9C">
      <w:pPr>
        <w:pStyle w:val="SCCLawFirm"/>
        <w:spacing w:line="240" w:lineRule="auto"/>
        <w:rPr>
          <w:sz w:val="20"/>
          <w:lang w:val="fr-CA"/>
        </w:rPr>
      </w:pPr>
    </w:p>
    <w:p w:rsidR="00DD3B9C" w:rsidRPr="001A2BE8" w:rsidRDefault="00DD3B9C" w:rsidP="00DD3B9C">
      <w:pPr>
        <w:pStyle w:val="SCCLawFirm"/>
        <w:spacing w:line="240" w:lineRule="auto"/>
        <w:rPr>
          <w:sz w:val="20"/>
          <w:lang w:val="fr-CA"/>
        </w:rPr>
      </w:pPr>
      <w:r w:rsidRPr="001A2BE8">
        <w:rPr>
          <w:sz w:val="20"/>
          <w:lang w:val="fr-CA"/>
        </w:rPr>
        <w:tab/>
        <w:t>Procureurs de l’intervenant le Conseil canadien des œuvres de charité chrétiennes : Barry W. Bussey, Elmira, Ontario; Conseil canadien des œuvres de charité chrétiennes, Elmira, Ontario.</w:t>
      </w:r>
    </w:p>
    <w:p w:rsidR="00DD3B9C" w:rsidRDefault="00DD3B9C" w:rsidP="00DD3B9C">
      <w:pPr>
        <w:pStyle w:val="SCCLawFirm"/>
        <w:spacing w:line="240" w:lineRule="auto"/>
        <w:rPr>
          <w:sz w:val="20"/>
          <w:lang w:val="fr-CA"/>
        </w:rPr>
      </w:pPr>
    </w:p>
    <w:p w:rsidR="00DD3B9C" w:rsidRPr="001A2BE8" w:rsidRDefault="00DD3B9C" w:rsidP="00DD3B9C">
      <w:pPr>
        <w:pStyle w:val="SCCLawFirm"/>
        <w:spacing w:line="240" w:lineRule="auto"/>
        <w:rPr>
          <w:sz w:val="20"/>
          <w:lang w:val="fr-CA"/>
        </w:rPr>
      </w:pPr>
      <w:r w:rsidRPr="001A2BE8">
        <w:rPr>
          <w:sz w:val="20"/>
          <w:lang w:val="fr-CA"/>
        </w:rPr>
        <w:tab/>
        <w:t>Procureurs de l’intervenante l’Alliance évangélique du Canada : Vincent Dagenais Gibson, Ottawa; Alliance évangélique du Canada, Richmond Hill, Ontario.</w:t>
      </w:r>
    </w:p>
    <w:p w:rsidR="00DD3B9C" w:rsidRDefault="00DD3B9C" w:rsidP="00DD3B9C">
      <w:pPr>
        <w:pStyle w:val="SCCLawFirm"/>
        <w:spacing w:line="240" w:lineRule="auto"/>
        <w:rPr>
          <w:sz w:val="20"/>
          <w:lang w:val="fr-CA"/>
        </w:rPr>
      </w:pPr>
    </w:p>
    <w:p w:rsidR="00DD3B9C" w:rsidRPr="001A2BE8" w:rsidRDefault="00DD3B9C" w:rsidP="00DD3B9C">
      <w:pPr>
        <w:pStyle w:val="SCCLawFirm"/>
        <w:spacing w:line="240" w:lineRule="auto"/>
        <w:rPr>
          <w:sz w:val="20"/>
          <w:lang w:val="fr-CA"/>
        </w:rPr>
      </w:pPr>
      <w:r w:rsidRPr="001A2BE8">
        <w:rPr>
          <w:sz w:val="20"/>
          <w:lang w:val="fr-CA"/>
        </w:rPr>
        <w:tab/>
        <w:t>Procureurs de l’intervenante l’Alliance des chrétiens en droit : Robert E. Reynolds, Montréal; Alliance des chrétiens en droit, Burlington, Ontario.</w:t>
      </w:r>
    </w:p>
    <w:p w:rsidR="00DD3B9C" w:rsidRDefault="00DD3B9C" w:rsidP="00DD3B9C">
      <w:pPr>
        <w:pStyle w:val="SCCLawFirm"/>
        <w:spacing w:line="240" w:lineRule="auto"/>
        <w:rPr>
          <w:sz w:val="20"/>
          <w:lang w:val="fr-CA"/>
        </w:rPr>
      </w:pPr>
    </w:p>
    <w:p w:rsidR="00DD3B9C" w:rsidRPr="001A2BE8" w:rsidRDefault="00DD3B9C" w:rsidP="00DD3B9C">
      <w:pPr>
        <w:pStyle w:val="SCCLawFirm"/>
        <w:spacing w:line="240" w:lineRule="auto"/>
        <w:rPr>
          <w:sz w:val="20"/>
        </w:rPr>
      </w:pPr>
      <w:r w:rsidRPr="001A2BE8">
        <w:rPr>
          <w:sz w:val="20"/>
          <w:lang w:val="fr-CA"/>
        </w:rPr>
        <w:tab/>
      </w:r>
      <w:r w:rsidRPr="001A2BE8">
        <w:rPr>
          <w:sz w:val="20"/>
        </w:rPr>
        <w:t>Procureurs de l’intervenante World Sikh Organization of Canada : Shergill &amp; Company, Surrey.</w:t>
      </w:r>
    </w:p>
    <w:p w:rsidR="00DD3B9C" w:rsidRDefault="00DD3B9C" w:rsidP="00DD3B9C">
      <w:pPr>
        <w:pStyle w:val="SCCLawFirm"/>
        <w:spacing w:line="240" w:lineRule="auto"/>
        <w:rPr>
          <w:sz w:val="20"/>
        </w:rPr>
      </w:pPr>
    </w:p>
    <w:p w:rsidR="00DD3B9C" w:rsidRPr="001A2BE8" w:rsidRDefault="00DD3B9C" w:rsidP="00DD3B9C">
      <w:pPr>
        <w:pStyle w:val="SCCLawFirm"/>
        <w:spacing w:line="240" w:lineRule="auto"/>
        <w:rPr>
          <w:sz w:val="20"/>
        </w:rPr>
      </w:pPr>
      <w:r w:rsidRPr="001A2BE8">
        <w:rPr>
          <w:sz w:val="20"/>
        </w:rPr>
        <w:tab/>
        <w:t>Procureurs de l’intervenante Association of Christian Educators and Schools Canada : Kuhn, Abbotsford.</w:t>
      </w:r>
    </w:p>
    <w:p w:rsidR="00DD3B9C" w:rsidRDefault="00DD3B9C" w:rsidP="00DD3B9C">
      <w:pPr>
        <w:pStyle w:val="SCCLawFirm"/>
        <w:spacing w:line="240" w:lineRule="auto"/>
        <w:rPr>
          <w:sz w:val="20"/>
        </w:rPr>
      </w:pPr>
    </w:p>
    <w:p w:rsidR="00DD3B9C" w:rsidRPr="001A2BE8" w:rsidRDefault="00DD3B9C" w:rsidP="00DD3B9C">
      <w:pPr>
        <w:pStyle w:val="SCCLawFirm"/>
        <w:spacing w:line="240" w:lineRule="auto"/>
        <w:rPr>
          <w:sz w:val="20"/>
          <w:lang w:val="fr-CA"/>
        </w:rPr>
      </w:pPr>
      <w:r w:rsidRPr="001A2BE8">
        <w:rPr>
          <w:sz w:val="20"/>
        </w:rPr>
        <w:tab/>
      </w:r>
      <w:r w:rsidRPr="001A2BE8">
        <w:rPr>
          <w:sz w:val="20"/>
          <w:lang w:val="fr-CA"/>
        </w:rPr>
        <w:t>Procureurs de l’intervenante l’Association canadienne des libertés civiles : Davies Ward Phillips &amp; Vineberg, Montréal.</w:t>
      </w:r>
    </w:p>
    <w:p w:rsidR="00DD3B9C" w:rsidRDefault="00DD3B9C" w:rsidP="00DD3B9C">
      <w:pPr>
        <w:pStyle w:val="SCCLawFirm"/>
        <w:spacing w:line="240" w:lineRule="auto"/>
        <w:rPr>
          <w:sz w:val="20"/>
          <w:lang w:val="fr-CA"/>
        </w:rPr>
      </w:pPr>
    </w:p>
    <w:p w:rsidR="00DD3B9C" w:rsidRPr="001A2BE8" w:rsidRDefault="00DD3B9C" w:rsidP="00DD3B9C">
      <w:pPr>
        <w:pStyle w:val="SCCLawFirm"/>
        <w:spacing w:line="240" w:lineRule="auto"/>
        <w:rPr>
          <w:sz w:val="20"/>
          <w:lang w:val="fr-CA"/>
        </w:rPr>
      </w:pPr>
      <w:r w:rsidRPr="001A2BE8">
        <w:rPr>
          <w:sz w:val="20"/>
          <w:lang w:val="fr-CA"/>
        </w:rPr>
        <w:tab/>
        <w:t>Procureurs des intervenantes la Ligue catholique des droits de l’homme, l’Association des parents catholiques du Québec, Faith and Freedom Alliance et l’Association de la communauté copte orthodoxe du grand Montréal : Bennett Jones, Toronto.</w:t>
      </w:r>
    </w:p>
    <w:p w:rsidR="00DD3B9C" w:rsidRDefault="00DD3B9C" w:rsidP="00DD3B9C">
      <w:pPr>
        <w:pStyle w:val="SCCLawFirm"/>
        <w:spacing w:line="240" w:lineRule="auto"/>
        <w:rPr>
          <w:sz w:val="20"/>
          <w:lang w:val="fr-CA"/>
        </w:rPr>
      </w:pPr>
    </w:p>
    <w:p w:rsidR="00DD3B9C" w:rsidRPr="001A2BE8" w:rsidRDefault="00DD3B9C" w:rsidP="00DD3B9C">
      <w:pPr>
        <w:pStyle w:val="SCCLawFirm"/>
        <w:spacing w:line="240" w:lineRule="auto"/>
        <w:rPr>
          <w:sz w:val="20"/>
        </w:rPr>
      </w:pPr>
      <w:r w:rsidRPr="001A2BE8">
        <w:rPr>
          <w:sz w:val="20"/>
          <w:lang w:val="fr-CA"/>
        </w:rPr>
        <w:tab/>
      </w:r>
      <w:r w:rsidRPr="001A2BE8">
        <w:rPr>
          <w:sz w:val="20"/>
        </w:rPr>
        <w:t>Procureurs de l’intervenante Faith, Fealty and Creed Society : Benefic, Vancouver.</w:t>
      </w:r>
    </w:p>
    <w:p w:rsidR="00DD3B9C" w:rsidRDefault="00DD3B9C" w:rsidP="00DD3B9C">
      <w:pPr>
        <w:pStyle w:val="SCCLawFirm"/>
        <w:spacing w:line="240" w:lineRule="auto"/>
        <w:rPr>
          <w:sz w:val="20"/>
        </w:rPr>
      </w:pPr>
    </w:p>
    <w:p w:rsidR="00DD3B9C" w:rsidRPr="001A2BE8" w:rsidRDefault="00DD3B9C" w:rsidP="00DD3B9C">
      <w:pPr>
        <w:pStyle w:val="SCCLawFirm"/>
        <w:spacing w:line="240" w:lineRule="auto"/>
        <w:rPr>
          <w:sz w:val="20"/>
        </w:rPr>
      </w:pPr>
      <w:r w:rsidRPr="001A2BE8">
        <w:rPr>
          <w:sz w:val="20"/>
        </w:rPr>
        <w:tab/>
        <w:t>Procureurs de l’intervenante Home School Legal Defence Association of Canada : Côté Avocats Inc., Sainte</w:t>
      </w:r>
      <w:r w:rsidRPr="001A2BE8">
        <w:rPr>
          <w:sz w:val="20"/>
        </w:rPr>
        <w:noBreakHyphen/>
        <w:t>Julie, Québec; Home School Legal Defence Association of Canada, London, Ontario.</w:t>
      </w:r>
    </w:p>
    <w:p w:rsidR="00DD3B9C" w:rsidRDefault="00DD3B9C" w:rsidP="00DD3B9C">
      <w:pPr>
        <w:pStyle w:val="SCCLawFirm"/>
        <w:spacing w:line="240" w:lineRule="auto"/>
        <w:rPr>
          <w:sz w:val="20"/>
        </w:rPr>
      </w:pPr>
    </w:p>
    <w:p w:rsidR="00DD3B9C" w:rsidRPr="001A2BE8" w:rsidRDefault="00DD3B9C" w:rsidP="00DD3B9C">
      <w:pPr>
        <w:pStyle w:val="SCCLawFirm"/>
        <w:spacing w:line="240" w:lineRule="auto"/>
        <w:rPr>
          <w:sz w:val="20"/>
          <w:lang w:val="fr-CA"/>
        </w:rPr>
      </w:pPr>
      <w:r w:rsidRPr="001A2BE8">
        <w:rPr>
          <w:sz w:val="20"/>
        </w:rPr>
        <w:tab/>
      </w:r>
      <w:r w:rsidRPr="001A2BE8">
        <w:rPr>
          <w:sz w:val="20"/>
          <w:lang w:val="fr-CA"/>
        </w:rPr>
        <w:t>Procureurs des intervenantes l’Église adventiste du septième jour au Canada et l’Église adventiste du septième jour — Fédération du Québec : Miller Thomson, Calgary.</w:t>
      </w:r>
    </w:p>
    <w:p w:rsidR="00DD3B9C" w:rsidRDefault="00DD3B9C" w:rsidP="00DD3B9C">
      <w:pPr>
        <w:pStyle w:val="SCCLawFirm"/>
        <w:spacing w:line="240" w:lineRule="auto"/>
        <w:rPr>
          <w:sz w:val="20"/>
          <w:lang w:val="fr-CA"/>
        </w:rPr>
      </w:pPr>
    </w:p>
    <w:p w:rsidR="00DD3B9C" w:rsidRDefault="00DD3B9C" w:rsidP="00DD3B9C">
      <w:pPr>
        <w:pStyle w:val="SCCLawFirm"/>
        <w:spacing w:line="240" w:lineRule="auto"/>
        <w:rPr>
          <w:sz w:val="20"/>
          <w:lang w:val="fr-CA"/>
        </w:rPr>
      </w:pPr>
      <w:r w:rsidRPr="001A2BE8">
        <w:rPr>
          <w:sz w:val="20"/>
          <w:lang w:val="fr-CA"/>
        </w:rPr>
        <w:tab/>
        <w:t>Procureurs des intervenants la Corporation archiépiscopale catholique romaine de Montréal et l’Archevêque catholique romain de Montréal : Famularo Fernandes Levinson Inc., Montréal.</w:t>
      </w:r>
    </w:p>
    <w:p w:rsidR="003B3977" w:rsidRPr="00DD3B9C" w:rsidRDefault="003B3977" w:rsidP="005C6840">
      <w:pPr>
        <w:rPr>
          <w:rFonts w:cs="Times New Roman"/>
          <w:sz w:val="20"/>
          <w:szCs w:val="20"/>
          <w:lang w:val="fr-CA"/>
        </w:rPr>
      </w:pPr>
    </w:p>
    <w:p w:rsidR="0052229C" w:rsidRDefault="00BF341F" w:rsidP="00B64B9A">
      <w:pPr>
        <w:rPr>
          <w:sz w:val="20"/>
          <w:lang w:val="fr-CA"/>
        </w:rPr>
      </w:pPr>
      <w:r>
        <w:rPr>
          <w:rFonts w:cs="Times New Roman"/>
          <w:sz w:val="20"/>
          <w:szCs w:val="20"/>
          <w:lang w:val="fr-CA"/>
        </w:rPr>
        <w:pict>
          <v:rect id="_x0000_i1067" style="width:144.3pt;height:1pt" o:hrpct="300" o:hralign="center" o:hrstd="t" o:hrnoshade="t" o:hr="t" fillcolor="black [3213]" stroked="f"/>
        </w:pict>
      </w:r>
    </w:p>
    <w:p w:rsidR="00902E51" w:rsidRPr="00352A49" w:rsidRDefault="00902E51" w:rsidP="00902E51">
      <w:pPr>
        <w:rPr>
          <w:sz w:val="20"/>
          <w:szCs w:val="20"/>
          <w:lang w:val="fr-CA"/>
        </w:rPr>
      </w:pPr>
    </w:p>
    <w:p w:rsidR="00902E51" w:rsidRDefault="00902E51"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576" w:footer="960" w:gutter="0"/>
          <w:cols w:space="720"/>
          <w:titlePg/>
          <w:docGrid w:linePitch="272"/>
        </w:sectPr>
      </w:pPr>
    </w:p>
    <w:p w:rsidR="008112A9" w:rsidRPr="00D52851" w:rsidRDefault="00A62C48" w:rsidP="008112A9">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lastRenderedPageBreak/>
        <w:fldChar w:fldCharType="begin"/>
      </w:r>
      <w:r w:rsidR="008112A9" w:rsidRPr="00D52851">
        <w:rPr>
          <w:rFonts w:asciiTheme="minorHAnsi" w:hAnsiTheme="minorHAnsi" w:cstheme="minorHAnsi"/>
          <w:b/>
          <w:szCs w:val="24"/>
          <w:lang w:val="fr-CA"/>
        </w:rPr>
        <w:instrText xml:space="preserve"> SEQ CHAPTER \h \r 1</w:instrText>
      </w:r>
      <w:r w:rsidRPr="002E0C7E">
        <w:rPr>
          <w:rFonts w:asciiTheme="minorHAnsi" w:hAnsiTheme="minorHAnsi" w:cstheme="minorHAnsi"/>
          <w:b/>
          <w:szCs w:val="24"/>
        </w:rPr>
        <w:fldChar w:fldCharType="end"/>
      </w:r>
      <w:r w:rsidR="008112A9" w:rsidRPr="00D52851">
        <w:rPr>
          <w:rFonts w:asciiTheme="minorHAnsi" w:hAnsiTheme="minorHAnsi" w:cstheme="minorHAnsi"/>
          <w:b/>
          <w:szCs w:val="24"/>
          <w:lang w:val="fr-CA"/>
        </w:rPr>
        <w:t>SUPREME COURT OF CANADA SCHEDULE / CALENDRIER DE LA COUR SUPREME</w:t>
      </w:r>
    </w:p>
    <w:p w:rsidR="008112A9" w:rsidRPr="00D52851" w:rsidRDefault="008112A9" w:rsidP="008112A9">
      <w:pPr>
        <w:widowControl w:val="0"/>
        <w:spacing w:line="180" w:lineRule="auto"/>
        <w:rPr>
          <w:rFonts w:asciiTheme="minorHAnsi" w:hAnsiTheme="minorHAnsi" w:cstheme="minorHAnsi"/>
          <w:szCs w:val="24"/>
          <w:lang w:val="fr-CA"/>
        </w:rPr>
      </w:pPr>
    </w:p>
    <w:p w:rsidR="008112A9" w:rsidRPr="00D52851" w:rsidRDefault="008112A9" w:rsidP="008112A9">
      <w:pPr>
        <w:widowControl w:val="0"/>
        <w:tabs>
          <w:tab w:val="center" w:pos="5400"/>
          <w:tab w:val="right" w:pos="10440"/>
        </w:tabs>
        <w:rPr>
          <w:rFonts w:ascii="Arial" w:hAnsi="Arial"/>
          <w:sz w:val="18"/>
          <w:lang w:val="fr-CA"/>
        </w:rPr>
      </w:pPr>
      <w:r w:rsidRPr="00D52851">
        <w:rPr>
          <w:rFonts w:ascii="Arial" w:hAnsi="Arial"/>
          <w:sz w:val="18"/>
          <w:lang w:val="fr-CA"/>
        </w:rPr>
        <w:tab/>
      </w:r>
      <w:r w:rsidRPr="00D52851">
        <w:rPr>
          <w:rFonts w:ascii="Arial" w:hAnsi="Arial"/>
          <w:i/>
          <w:sz w:val="36"/>
          <w:lang w:val="fr-CA"/>
        </w:rPr>
        <w:t xml:space="preserve">- </w:t>
      </w:r>
      <w:r w:rsidRPr="00D52851">
        <w:rPr>
          <w:rFonts w:ascii="Arial" w:hAnsi="Arial"/>
          <w:b/>
          <w:i/>
          <w:sz w:val="36"/>
          <w:lang w:val="fr-CA"/>
        </w:rPr>
        <w:t>2014</w:t>
      </w:r>
      <w:r w:rsidRPr="00D52851">
        <w:rPr>
          <w:rFonts w:ascii="Arial" w:hAnsi="Arial"/>
          <w:i/>
          <w:sz w:val="36"/>
          <w:lang w:val="fr-CA"/>
        </w:rPr>
        <w:t xml:space="preserve"> -</w:t>
      </w:r>
      <w:r w:rsidRPr="00D52851">
        <w:rPr>
          <w:rFonts w:ascii="Arial" w:hAnsi="Arial"/>
          <w:sz w:val="18"/>
          <w:lang w:val="fr-CA"/>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8E76CF">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E76CF">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E76CF">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E76CF">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E76CF">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E76CF">
            <w:pPr>
              <w:widowControl w:val="0"/>
              <w:jc w:val="center"/>
              <w:rPr>
                <w:rFonts w:ascii="Arial" w:hAnsi="Arial"/>
                <w:sz w:val="14"/>
              </w:rPr>
            </w:pPr>
            <w:r w:rsidRPr="002E0C7E">
              <w:rPr>
                <w:rFonts w:ascii="Arial" w:hAnsi="Arial"/>
                <w:b/>
                <w:sz w:val="14"/>
              </w:rPr>
              <w:t>DECEMBER - DÉCEMBRE</w:t>
            </w:r>
          </w:p>
        </w:tc>
      </w:tr>
      <w:tr w:rsidR="008112A9" w:rsidRPr="002E0C7E" w:rsidTr="008E76C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S</w:t>
            </w:r>
          </w:p>
          <w:p w:rsidR="008112A9" w:rsidRPr="002E0C7E" w:rsidRDefault="008112A9" w:rsidP="008E76CF">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M</w:t>
            </w:r>
          </w:p>
          <w:p w:rsidR="008112A9" w:rsidRPr="002E0C7E" w:rsidRDefault="008112A9" w:rsidP="008E76CF">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T</w:t>
            </w:r>
          </w:p>
          <w:p w:rsidR="008112A9" w:rsidRPr="002E0C7E" w:rsidRDefault="008112A9" w:rsidP="008E76CF">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W</w:t>
            </w:r>
          </w:p>
          <w:p w:rsidR="008112A9" w:rsidRPr="002E0C7E" w:rsidRDefault="008112A9" w:rsidP="008E76CF">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T</w:t>
            </w:r>
          </w:p>
          <w:p w:rsidR="008112A9" w:rsidRPr="002E0C7E" w:rsidRDefault="008112A9" w:rsidP="008E76CF">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F</w:t>
            </w:r>
          </w:p>
          <w:p w:rsidR="008112A9" w:rsidRPr="002E0C7E" w:rsidRDefault="008112A9" w:rsidP="008E76CF">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S</w:t>
            </w:r>
          </w:p>
          <w:p w:rsidR="008112A9" w:rsidRPr="002E0C7E" w:rsidRDefault="008112A9" w:rsidP="008E76C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S</w:t>
            </w:r>
          </w:p>
          <w:p w:rsidR="008112A9" w:rsidRPr="002E0C7E" w:rsidRDefault="008112A9" w:rsidP="008E76CF">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M</w:t>
            </w:r>
          </w:p>
          <w:p w:rsidR="008112A9" w:rsidRPr="002E0C7E" w:rsidRDefault="008112A9" w:rsidP="008E76CF">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T</w:t>
            </w:r>
          </w:p>
          <w:p w:rsidR="008112A9" w:rsidRPr="002E0C7E" w:rsidRDefault="008112A9" w:rsidP="008E76CF">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W</w:t>
            </w:r>
          </w:p>
          <w:p w:rsidR="008112A9" w:rsidRPr="002E0C7E" w:rsidRDefault="008112A9" w:rsidP="008E76CF">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T</w:t>
            </w:r>
          </w:p>
          <w:p w:rsidR="008112A9" w:rsidRPr="002E0C7E" w:rsidRDefault="008112A9" w:rsidP="008E76CF">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F</w:t>
            </w:r>
          </w:p>
          <w:p w:rsidR="008112A9" w:rsidRPr="002E0C7E" w:rsidRDefault="008112A9" w:rsidP="008E76CF">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S</w:t>
            </w:r>
          </w:p>
          <w:p w:rsidR="008112A9" w:rsidRPr="002E0C7E" w:rsidRDefault="008112A9" w:rsidP="008E76C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S</w:t>
            </w:r>
          </w:p>
          <w:p w:rsidR="008112A9" w:rsidRPr="002E0C7E" w:rsidRDefault="008112A9" w:rsidP="008E76CF">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M</w:t>
            </w:r>
          </w:p>
          <w:p w:rsidR="008112A9" w:rsidRPr="002E0C7E" w:rsidRDefault="008112A9" w:rsidP="008E76CF">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T</w:t>
            </w:r>
          </w:p>
          <w:p w:rsidR="008112A9" w:rsidRPr="002E0C7E" w:rsidRDefault="008112A9" w:rsidP="008E76C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W</w:t>
            </w:r>
          </w:p>
          <w:p w:rsidR="008112A9" w:rsidRPr="002E0C7E" w:rsidRDefault="008112A9" w:rsidP="008E76CF">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T</w:t>
            </w:r>
          </w:p>
          <w:p w:rsidR="008112A9" w:rsidRPr="002E0C7E" w:rsidRDefault="008112A9" w:rsidP="008E76CF">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F</w:t>
            </w:r>
          </w:p>
          <w:p w:rsidR="008112A9" w:rsidRPr="002E0C7E" w:rsidRDefault="008112A9" w:rsidP="008E76CF">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S</w:t>
            </w:r>
          </w:p>
          <w:p w:rsidR="008112A9" w:rsidRPr="002E0C7E" w:rsidRDefault="008112A9" w:rsidP="008E76CF">
            <w:pPr>
              <w:widowControl w:val="0"/>
              <w:jc w:val="center"/>
              <w:rPr>
                <w:rFonts w:ascii="Arial" w:hAnsi="Arial"/>
                <w:sz w:val="14"/>
              </w:rPr>
            </w:pPr>
            <w:r w:rsidRPr="002E0C7E">
              <w:rPr>
                <w:rFonts w:ascii="Arial" w:hAnsi="Arial"/>
                <w:sz w:val="14"/>
              </w:rPr>
              <w:t>S</w:t>
            </w:r>
          </w:p>
        </w:tc>
      </w:tr>
      <w:tr w:rsidR="008112A9" w:rsidRPr="002E0C7E" w:rsidTr="008E76C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8E76CF">
            <w:pPr>
              <w:widowControl w:val="0"/>
              <w:jc w:val="center"/>
              <w:rPr>
                <w:rFonts w:ascii="Arial" w:hAnsi="Arial"/>
                <w:b/>
                <w:sz w:val="14"/>
              </w:rPr>
            </w:pPr>
            <w:r>
              <w:rPr>
                <w:rFonts w:ascii="Arial" w:hAnsi="Arial"/>
                <w:b/>
                <w:sz w:val="14"/>
              </w:rPr>
              <w:t>M</w:t>
            </w:r>
          </w:p>
          <w:p w:rsidR="008112A9" w:rsidRPr="002E0C7E" w:rsidRDefault="008112A9" w:rsidP="008E76CF">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6</w:t>
            </w:r>
          </w:p>
        </w:tc>
      </w:tr>
      <w:tr w:rsidR="008112A9" w:rsidRPr="002E0C7E" w:rsidTr="008E76CF">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8E76CF">
            <w:pPr>
              <w:widowControl w:val="0"/>
              <w:jc w:val="center"/>
              <w:rPr>
                <w:rFonts w:ascii="Arial" w:hAnsi="Arial"/>
                <w:b/>
                <w:sz w:val="14"/>
              </w:rPr>
            </w:pPr>
            <w:r>
              <w:rPr>
                <w:rFonts w:ascii="Arial" w:hAnsi="Arial"/>
                <w:b/>
                <w:sz w:val="14"/>
              </w:rPr>
              <w:t>M</w:t>
            </w:r>
          </w:p>
          <w:p w:rsidR="008112A9" w:rsidRPr="002E0C7E" w:rsidRDefault="008112A9" w:rsidP="008E76CF">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8E76CF">
            <w:pPr>
              <w:widowControl w:val="0"/>
              <w:jc w:val="center"/>
              <w:rPr>
                <w:rFonts w:ascii="Arial" w:hAnsi="Arial"/>
                <w:b/>
                <w:sz w:val="14"/>
              </w:rPr>
            </w:pPr>
          </w:p>
          <w:p w:rsidR="008112A9" w:rsidRPr="002E0C7E" w:rsidRDefault="008112A9" w:rsidP="008E76C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b/>
                <w:sz w:val="14"/>
              </w:rPr>
              <w:t>M</w:t>
            </w:r>
          </w:p>
          <w:p w:rsidR="008112A9" w:rsidRPr="002E0C7E" w:rsidRDefault="008112A9" w:rsidP="008E76CF">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13</w:t>
            </w:r>
          </w:p>
        </w:tc>
      </w:tr>
      <w:tr w:rsidR="008112A9" w:rsidRPr="002E0C7E" w:rsidTr="008E76CF">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8E76CF">
            <w:pPr>
              <w:widowControl w:val="0"/>
              <w:jc w:val="center"/>
              <w:rPr>
                <w:rFonts w:ascii="Arial" w:hAnsi="Arial"/>
                <w:b/>
                <w:sz w:val="14"/>
              </w:rPr>
            </w:pPr>
            <w:r>
              <w:rPr>
                <w:rFonts w:ascii="Arial" w:hAnsi="Arial"/>
                <w:b/>
                <w:sz w:val="14"/>
              </w:rPr>
              <w:t>H</w:t>
            </w: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8E76CF">
            <w:pPr>
              <w:widowControl w:val="0"/>
              <w:jc w:val="center"/>
              <w:rPr>
                <w:rFonts w:ascii="Arial" w:hAnsi="Arial"/>
                <w:b/>
                <w:sz w:val="14"/>
              </w:rPr>
            </w:pPr>
            <w:r w:rsidRPr="004F066E">
              <w:rPr>
                <w:rFonts w:ascii="Arial" w:hAnsi="Arial"/>
                <w:b/>
                <w:sz w:val="14"/>
              </w:rPr>
              <w:t>H</w:t>
            </w:r>
          </w:p>
          <w:p w:rsidR="008112A9" w:rsidRPr="002E0C7E" w:rsidRDefault="008112A9" w:rsidP="008E76CF">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20</w:t>
            </w:r>
          </w:p>
        </w:tc>
      </w:tr>
      <w:tr w:rsidR="008112A9" w:rsidRPr="002E0C7E" w:rsidTr="008E76C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8E76CF">
            <w:pPr>
              <w:widowControl w:val="0"/>
              <w:jc w:val="center"/>
              <w:rPr>
                <w:rFonts w:ascii="Arial" w:hAnsi="Arial"/>
                <w:b/>
                <w:sz w:val="14"/>
              </w:rPr>
            </w:pPr>
          </w:p>
          <w:p w:rsidR="008112A9" w:rsidRPr="002E0C7E" w:rsidRDefault="008112A9" w:rsidP="008E76CF">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8E76CF">
            <w:pPr>
              <w:widowControl w:val="0"/>
              <w:jc w:val="center"/>
              <w:rPr>
                <w:rFonts w:ascii="Arial" w:hAnsi="Arial"/>
                <w:b/>
                <w:sz w:val="14"/>
              </w:rPr>
            </w:pPr>
            <w:r>
              <w:rPr>
                <w:rFonts w:ascii="Arial" w:hAnsi="Arial"/>
                <w:b/>
                <w:sz w:val="14"/>
              </w:rPr>
              <w:t>H</w:t>
            </w:r>
          </w:p>
          <w:p w:rsidR="008112A9" w:rsidRPr="002E0C7E" w:rsidRDefault="008112A9" w:rsidP="008E76CF">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8E76CF">
            <w:pPr>
              <w:widowControl w:val="0"/>
              <w:jc w:val="center"/>
              <w:rPr>
                <w:rFonts w:ascii="Arial" w:hAnsi="Arial"/>
                <w:b/>
                <w:sz w:val="14"/>
              </w:rPr>
            </w:pPr>
            <w:r>
              <w:rPr>
                <w:rFonts w:ascii="Arial" w:hAnsi="Arial"/>
                <w:b/>
                <w:sz w:val="14"/>
              </w:rPr>
              <w:t>H</w:t>
            </w:r>
          </w:p>
          <w:p w:rsidR="008112A9" w:rsidRPr="002E0C7E" w:rsidRDefault="008112A9" w:rsidP="008E76CF">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8E76CF">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8E76CF">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8E76CF">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8E76CF">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E76CF">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E76CF">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E76CF">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E76CF">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E76CF">
            <w:pPr>
              <w:widowControl w:val="0"/>
              <w:jc w:val="center"/>
              <w:rPr>
                <w:rFonts w:ascii="Arial" w:hAnsi="Arial"/>
                <w:sz w:val="14"/>
              </w:rPr>
            </w:pPr>
            <w:r w:rsidRPr="002E0C7E">
              <w:rPr>
                <w:rFonts w:ascii="Arial" w:hAnsi="Arial"/>
                <w:b/>
                <w:sz w:val="14"/>
              </w:rPr>
              <w:t>MARCH - MARS</w:t>
            </w:r>
          </w:p>
        </w:tc>
      </w:tr>
      <w:tr w:rsidR="008112A9" w:rsidRPr="002E0C7E" w:rsidTr="008E76CF">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S</w:t>
            </w:r>
          </w:p>
          <w:p w:rsidR="008112A9" w:rsidRPr="002E0C7E" w:rsidRDefault="008112A9" w:rsidP="008E76C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M</w:t>
            </w:r>
          </w:p>
          <w:p w:rsidR="008112A9" w:rsidRPr="002E0C7E" w:rsidRDefault="008112A9" w:rsidP="008E76C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T</w:t>
            </w:r>
          </w:p>
          <w:p w:rsidR="008112A9" w:rsidRPr="002E0C7E" w:rsidRDefault="008112A9" w:rsidP="008E76C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W</w:t>
            </w:r>
          </w:p>
          <w:p w:rsidR="008112A9" w:rsidRPr="002E0C7E" w:rsidRDefault="008112A9" w:rsidP="008E76C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T</w:t>
            </w:r>
          </w:p>
          <w:p w:rsidR="008112A9" w:rsidRPr="002E0C7E" w:rsidRDefault="008112A9" w:rsidP="008E76C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F</w:t>
            </w:r>
          </w:p>
          <w:p w:rsidR="008112A9" w:rsidRPr="002E0C7E" w:rsidRDefault="008112A9" w:rsidP="008E76C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S</w:t>
            </w:r>
          </w:p>
          <w:p w:rsidR="008112A9" w:rsidRPr="002E0C7E" w:rsidRDefault="008112A9" w:rsidP="008E76C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S</w:t>
            </w:r>
          </w:p>
          <w:p w:rsidR="008112A9" w:rsidRPr="002E0C7E" w:rsidRDefault="008112A9" w:rsidP="008E76C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M</w:t>
            </w:r>
          </w:p>
          <w:p w:rsidR="008112A9" w:rsidRPr="002E0C7E" w:rsidRDefault="008112A9" w:rsidP="008E76C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T</w:t>
            </w:r>
          </w:p>
          <w:p w:rsidR="008112A9" w:rsidRPr="002E0C7E" w:rsidRDefault="008112A9" w:rsidP="008E76CF">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W</w:t>
            </w:r>
          </w:p>
          <w:p w:rsidR="008112A9" w:rsidRPr="002E0C7E" w:rsidRDefault="008112A9" w:rsidP="008E76C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T</w:t>
            </w:r>
          </w:p>
          <w:p w:rsidR="008112A9" w:rsidRPr="002E0C7E" w:rsidRDefault="008112A9" w:rsidP="008E76C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F</w:t>
            </w:r>
          </w:p>
          <w:p w:rsidR="008112A9" w:rsidRPr="002E0C7E" w:rsidRDefault="008112A9" w:rsidP="008E76C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S</w:t>
            </w:r>
          </w:p>
          <w:p w:rsidR="008112A9" w:rsidRPr="002E0C7E" w:rsidRDefault="008112A9" w:rsidP="008E76C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S</w:t>
            </w:r>
          </w:p>
          <w:p w:rsidR="008112A9" w:rsidRPr="002E0C7E" w:rsidRDefault="008112A9" w:rsidP="008E76C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M</w:t>
            </w:r>
          </w:p>
          <w:p w:rsidR="008112A9" w:rsidRPr="002E0C7E" w:rsidRDefault="008112A9" w:rsidP="008E76C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T</w:t>
            </w:r>
          </w:p>
          <w:p w:rsidR="008112A9" w:rsidRPr="002E0C7E" w:rsidRDefault="008112A9" w:rsidP="008E76C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W</w:t>
            </w:r>
          </w:p>
          <w:p w:rsidR="008112A9" w:rsidRPr="002E0C7E" w:rsidRDefault="008112A9" w:rsidP="008E76C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T</w:t>
            </w:r>
          </w:p>
          <w:p w:rsidR="008112A9" w:rsidRPr="002E0C7E" w:rsidRDefault="008112A9" w:rsidP="008E76C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F</w:t>
            </w:r>
          </w:p>
          <w:p w:rsidR="008112A9" w:rsidRPr="002E0C7E" w:rsidRDefault="008112A9" w:rsidP="008E76CF">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S</w:t>
            </w:r>
          </w:p>
          <w:p w:rsidR="008112A9" w:rsidRPr="002E0C7E" w:rsidRDefault="008112A9" w:rsidP="008E76CF">
            <w:pPr>
              <w:widowControl w:val="0"/>
              <w:jc w:val="center"/>
              <w:rPr>
                <w:rFonts w:ascii="Arial" w:hAnsi="Arial"/>
                <w:sz w:val="14"/>
              </w:rPr>
            </w:pPr>
            <w:r w:rsidRPr="002E0C7E">
              <w:rPr>
                <w:rFonts w:ascii="Arial" w:hAnsi="Arial"/>
                <w:sz w:val="14"/>
              </w:rPr>
              <w:t>S</w:t>
            </w:r>
          </w:p>
        </w:tc>
      </w:tr>
      <w:tr w:rsidR="008112A9" w:rsidRPr="002E0C7E" w:rsidTr="008E76C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8E76CF">
            <w:pPr>
              <w:widowControl w:val="0"/>
              <w:jc w:val="center"/>
              <w:rPr>
                <w:rFonts w:ascii="Arial" w:hAnsi="Arial"/>
                <w:b/>
                <w:sz w:val="14"/>
              </w:rPr>
            </w:pPr>
          </w:p>
          <w:p w:rsidR="008112A9" w:rsidRPr="002E0C7E" w:rsidRDefault="008112A9" w:rsidP="008E76CF">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8E76CF">
            <w:pPr>
              <w:widowControl w:val="0"/>
              <w:jc w:val="center"/>
              <w:rPr>
                <w:rFonts w:ascii="Arial" w:hAnsi="Arial"/>
                <w:b/>
                <w:sz w:val="14"/>
              </w:rPr>
            </w:pPr>
          </w:p>
          <w:p w:rsidR="008112A9" w:rsidRPr="002E0C7E" w:rsidRDefault="008112A9" w:rsidP="008E76CF">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8E76CF">
            <w:pPr>
              <w:widowControl w:val="0"/>
              <w:jc w:val="center"/>
              <w:rPr>
                <w:rFonts w:ascii="Arial" w:hAnsi="Arial"/>
                <w:b/>
                <w:sz w:val="14"/>
              </w:rPr>
            </w:pPr>
            <w:r w:rsidRPr="004F066E">
              <w:rPr>
                <w:rFonts w:ascii="Arial" w:hAnsi="Arial"/>
                <w:b/>
                <w:sz w:val="14"/>
              </w:rPr>
              <w:t>H</w:t>
            </w:r>
          </w:p>
          <w:p w:rsidR="008112A9" w:rsidRPr="002E0C7E" w:rsidRDefault="008112A9" w:rsidP="008E76CF">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7</w:t>
            </w:r>
          </w:p>
        </w:tc>
      </w:tr>
      <w:tr w:rsidR="008112A9" w:rsidRPr="002E0C7E" w:rsidTr="008E76C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8E76CF">
            <w:pPr>
              <w:widowControl w:val="0"/>
              <w:jc w:val="center"/>
              <w:rPr>
                <w:rFonts w:ascii="Arial" w:hAnsi="Arial"/>
                <w:b/>
                <w:sz w:val="14"/>
              </w:rPr>
            </w:pPr>
            <w:r>
              <w:rPr>
                <w:rFonts w:ascii="Arial" w:hAnsi="Arial"/>
                <w:b/>
                <w:sz w:val="14"/>
              </w:rPr>
              <w:t>M</w:t>
            </w:r>
          </w:p>
          <w:p w:rsidR="008112A9" w:rsidRPr="002E0C7E" w:rsidRDefault="008112A9" w:rsidP="008E76CF">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14</w:t>
            </w:r>
          </w:p>
        </w:tc>
      </w:tr>
      <w:tr w:rsidR="008112A9" w:rsidRPr="002E0C7E" w:rsidTr="008E76CF">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8E76CF">
            <w:pPr>
              <w:widowControl w:val="0"/>
              <w:jc w:val="center"/>
              <w:rPr>
                <w:rFonts w:ascii="Arial" w:hAnsi="Arial"/>
                <w:b/>
                <w:sz w:val="14"/>
              </w:rPr>
            </w:pPr>
            <w:r>
              <w:rPr>
                <w:rFonts w:ascii="Arial" w:hAnsi="Arial"/>
                <w:b/>
                <w:sz w:val="14"/>
              </w:rPr>
              <w:t>M</w:t>
            </w: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8E76CF">
            <w:pPr>
              <w:widowControl w:val="0"/>
              <w:jc w:val="center"/>
              <w:rPr>
                <w:rFonts w:ascii="Arial" w:hAnsi="Arial"/>
                <w:b/>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8E76CF">
            <w:pPr>
              <w:widowControl w:val="0"/>
              <w:jc w:val="center"/>
              <w:rPr>
                <w:rFonts w:ascii="Arial" w:hAnsi="Arial"/>
                <w:b/>
                <w:sz w:val="14"/>
              </w:rPr>
            </w:pPr>
            <w:r w:rsidRPr="009900C5">
              <w:rPr>
                <w:rFonts w:ascii="Arial" w:hAnsi="Arial"/>
                <w:b/>
                <w:sz w:val="14"/>
              </w:rPr>
              <w:t>M</w:t>
            </w: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8E76C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8E76CF">
            <w:pPr>
              <w:widowControl w:val="0"/>
              <w:jc w:val="center"/>
              <w:rPr>
                <w:rFonts w:ascii="Arial" w:hAnsi="Arial"/>
                <w:b/>
                <w:sz w:val="14"/>
              </w:rPr>
            </w:pPr>
          </w:p>
          <w:p w:rsidR="008112A9" w:rsidRPr="002E0C7E" w:rsidRDefault="008112A9" w:rsidP="008E76CF">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8E76CF">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8E76CF">
            <w:pPr>
              <w:widowControl w:val="0"/>
              <w:jc w:val="center"/>
              <w:rPr>
                <w:rFonts w:ascii="Arial" w:hAnsi="Arial"/>
                <w:b/>
                <w:sz w:val="14"/>
              </w:rPr>
            </w:pPr>
          </w:p>
          <w:p w:rsidR="008112A9" w:rsidRPr="002E0C7E" w:rsidRDefault="008112A9" w:rsidP="008E76C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8E76CF">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E76CF">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E76CF">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E76CF">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8E76CF">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8E76CF">
            <w:pPr>
              <w:widowControl w:val="0"/>
              <w:jc w:val="center"/>
              <w:rPr>
                <w:rFonts w:ascii="Arial" w:hAnsi="Arial"/>
                <w:sz w:val="14"/>
              </w:rPr>
            </w:pPr>
            <w:r w:rsidRPr="002E0C7E">
              <w:rPr>
                <w:rFonts w:ascii="Arial" w:hAnsi="Arial"/>
                <w:b/>
                <w:sz w:val="14"/>
              </w:rPr>
              <w:t>JUNE - JUIN</w:t>
            </w:r>
          </w:p>
        </w:tc>
      </w:tr>
      <w:tr w:rsidR="008112A9" w:rsidRPr="002E0C7E" w:rsidTr="008E76CF">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S</w:t>
            </w:r>
          </w:p>
          <w:p w:rsidR="008112A9" w:rsidRPr="002E0C7E" w:rsidRDefault="008112A9" w:rsidP="008E76C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M</w:t>
            </w:r>
          </w:p>
          <w:p w:rsidR="008112A9" w:rsidRPr="002E0C7E" w:rsidRDefault="008112A9" w:rsidP="008E76C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T</w:t>
            </w:r>
          </w:p>
          <w:p w:rsidR="008112A9" w:rsidRPr="002E0C7E" w:rsidRDefault="008112A9" w:rsidP="008E76C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W</w:t>
            </w:r>
          </w:p>
          <w:p w:rsidR="008112A9" w:rsidRPr="002E0C7E" w:rsidRDefault="008112A9" w:rsidP="008E76C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T</w:t>
            </w:r>
          </w:p>
          <w:p w:rsidR="008112A9" w:rsidRPr="002E0C7E" w:rsidRDefault="008112A9" w:rsidP="008E76C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F</w:t>
            </w:r>
          </w:p>
          <w:p w:rsidR="008112A9" w:rsidRPr="002E0C7E" w:rsidRDefault="008112A9" w:rsidP="008E76C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S</w:t>
            </w:r>
          </w:p>
          <w:p w:rsidR="008112A9" w:rsidRPr="002E0C7E" w:rsidRDefault="008112A9" w:rsidP="008E76CF">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S</w:t>
            </w:r>
          </w:p>
          <w:p w:rsidR="008112A9" w:rsidRPr="002E0C7E" w:rsidRDefault="008112A9" w:rsidP="008E76C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M</w:t>
            </w:r>
          </w:p>
          <w:p w:rsidR="008112A9" w:rsidRPr="002E0C7E" w:rsidRDefault="008112A9" w:rsidP="008E76C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T</w:t>
            </w:r>
          </w:p>
          <w:p w:rsidR="008112A9" w:rsidRPr="002E0C7E" w:rsidRDefault="008112A9" w:rsidP="008E76C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W</w:t>
            </w:r>
          </w:p>
          <w:p w:rsidR="008112A9" w:rsidRPr="002E0C7E" w:rsidRDefault="008112A9" w:rsidP="008E76C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T</w:t>
            </w:r>
          </w:p>
          <w:p w:rsidR="008112A9" w:rsidRPr="002E0C7E" w:rsidRDefault="008112A9" w:rsidP="008E76C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F</w:t>
            </w:r>
          </w:p>
          <w:p w:rsidR="008112A9" w:rsidRPr="002E0C7E" w:rsidRDefault="008112A9" w:rsidP="008E76C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S</w:t>
            </w:r>
          </w:p>
          <w:p w:rsidR="008112A9" w:rsidRPr="002E0C7E" w:rsidRDefault="008112A9" w:rsidP="008E76CF">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S</w:t>
            </w:r>
          </w:p>
          <w:p w:rsidR="008112A9" w:rsidRPr="002E0C7E" w:rsidRDefault="008112A9" w:rsidP="008E76C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M</w:t>
            </w:r>
          </w:p>
          <w:p w:rsidR="008112A9" w:rsidRPr="002E0C7E" w:rsidRDefault="008112A9" w:rsidP="008E76C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T</w:t>
            </w:r>
          </w:p>
          <w:p w:rsidR="008112A9" w:rsidRPr="002E0C7E" w:rsidRDefault="008112A9" w:rsidP="008E76C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W</w:t>
            </w:r>
          </w:p>
          <w:p w:rsidR="008112A9" w:rsidRPr="002E0C7E" w:rsidRDefault="008112A9" w:rsidP="008E76C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T</w:t>
            </w:r>
          </w:p>
          <w:p w:rsidR="008112A9" w:rsidRPr="002E0C7E" w:rsidRDefault="008112A9" w:rsidP="008E76C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sidRPr="002E0C7E">
              <w:rPr>
                <w:rFonts w:ascii="Arial" w:hAnsi="Arial"/>
                <w:sz w:val="14"/>
              </w:rPr>
              <w:t>F</w:t>
            </w:r>
          </w:p>
          <w:p w:rsidR="008112A9" w:rsidRPr="002E0C7E" w:rsidRDefault="008112A9" w:rsidP="008E76CF">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r>
              <w:rPr>
                <w:rFonts w:ascii="Arial" w:hAnsi="Arial"/>
                <w:sz w:val="14"/>
              </w:rPr>
              <w:t>S</w:t>
            </w:r>
          </w:p>
          <w:p w:rsidR="008112A9" w:rsidRPr="002E0C7E" w:rsidRDefault="008112A9" w:rsidP="008E76CF">
            <w:pPr>
              <w:widowControl w:val="0"/>
              <w:jc w:val="center"/>
              <w:rPr>
                <w:rFonts w:ascii="Arial" w:hAnsi="Arial"/>
                <w:sz w:val="14"/>
              </w:rPr>
            </w:pPr>
            <w:r>
              <w:rPr>
                <w:rFonts w:ascii="Arial" w:hAnsi="Arial"/>
                <w:sz w:val="14"/>
              </w:rPr>
              <w:t>S</w:t>
            </w:r>
          </w:p>
        </w:tc>
      </w:tr>
      <w:tr w:rsidR="008112A9" w:rsidRPr="002E0C7E" w:rsidTr="008E76C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8E76CF">
            <w:pPr>
              <w:widowControl w:val="0"/>
              <w:jc w:val="center"/>
              <w:rPr>
                <w:rFonts w:ascii="Arial" w:hAnsi="Arial"/>
                <w:b/>
                <w:sz w:val="14"/>
              </w:rPr>
            </w:pPr>
            <w:r>
              <w:rPr>
                <w:rFonts w:ascii="Arial" w:hAnsi="Arial"/>
                <w:b/>
                <w:sz w:val="14"/>
              </w:rPr>
              <w:t>H</w:t>
            </w:r>
          </w:p>
          <w:p w:rsidR="008112A9" w:rsidRPr="002E0C7E" w:rsidRDefault="008112A9" w:rsidP="008E76CF">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b/>
                <w:sz w:val="14"/>
              </w:rPr>
            </w:pPr>
          </w:p>
          <w:p w:rsidR="008112A9" w:rsidRPr="002E0C7E" w:rsidRDefault="008112A9" w:rsidP="008E76C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6</w:t>
            </w:r>
          </w:p>
        </w:tc>
      </w:tr>
      <w:tr w:rsidR="008112A9" w:rsidRPr="002E0C7E" w:rsidTr="008E76CF">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8E76CF">
            <w:pPr>
              <w:widowControl w:val="0"/>
              <w:jc w:val="center"/>
              <w:rPr>
                <w:rFonts w:ascii="Arial" w:hAnsi="Arial"/>
                <w:b/>
                <w:sz w:val="14"/>
              </w:rPr>
            </w:pPr>
            <w:r>
              <w:rPr>
                <w:rFonts w:ascii="Arial" w:hAnsi="Arial"/>
                <w:b/>
                <w:sz w:val="14"/>
              </w:rPr>
              <w:t>H</w:t>
            </w:r>
          </w:p>
          <w:p w:rsidR="008112A9" w:rsidRPr="002E0C7E" w:rsidRDefault="008112A9" w:rsidP="008E76CF">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8E76CF">
            <w:pPr>
              <w:widowControl w:val="0"/>
              <w:jc w:val="center"/>
              <w:rPr>
                <w:rFonts w:ascii="Arial" w:hAnsi="Arial"/>
                <w:b/>
                <w:sz w:val="14"/>
              </w:rPr>
            </w:pPr>
            <w:r>
              <w:rPr>
                <w:rFonts w:ascii="Arial" w:hAnsi="Arial"/>
                <w:b/>
                <w:sz w:val="14"/>
              </w:rPr>
              <w:t>M</w:t>
            </w:r>
          </w:p>
          <w:p w:rsidR="008112A9" w:rsidRPr="002E0C7E" w:rsidRDefault="008112A9" w:rsidP="008E76CF">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13</w:t>
            </w:r>
          </w:p>
        </w:tc>
      </w:tr>
      <w:tr w:rsidR="008112A9" w:rsidRPr="002E0C7E" w:rsidTr="008E76CF">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8E76CF">
            <w:pPr>
              <w:widowControl w:val="0"/>
              <w:jc w:val="center"/>
              <w:rPr>
                <w:rFonts w:ascii="Arial" w:hAnsi="Arial"/>
                <w:b/>
                <w:sz w:val="14"/>
              </w:rPr>
            </w:pPr>
            <w:r>
              <w:rPr>
                <w:rFonts w:ascii="Arial" w:hAnsi="Arial"/>
                <w:b/>
                <w:sz w:val="14"/>
              </w:rPr>
              <w:t>M</w:t>
            </w: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8E76CF">
            <w:pPr>
              <w:widowControl w:val="0"/>
              <w:jc w:val="center"/>
              <w:rPr>
                <w:rFonts w:ascii="Arial" w:hAnsi="Arial"/>
                <w:b/>
                <w:sz w:val="14"/>
              </w:rPr>
            </w:pPr>
          </w:p>
          <w:p w:rsidR="008112A9" w:rsidRPr="002E0C7E" w:rsidRDefault="008112A9" w:rsidP="008E76CF">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8E76CF">
            <w:pPr>
              <w:widowControl w:val="0"/>
              <w:jc w:val="center"/>
              <w:rPr>
                <w:rFonts w:ascii="Arial" w:hAnsi="Arial"/>
                <w:b/>
                <w:sz w:val="14"/>
              </w:rPr>
            </w:pPr>
            <w:r w:rsidRPr="002453E3">
              <w:rPr>
                <w:rFonts w:ascii="Arial" w:hAnsi="Arial"/>
                <w:b/>
                <w:sz w:val="14"/>
              </w:rPr>
              <w:t>M</w:t>
            </w: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20</w:t>
            </w:r>
          </w:p>
        </w:tc>
      </w:tr>
      <w:tr w:rsidR="008112A9" w:rsidRPr="002E0C7E" w:rsidTr="008E76C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8E76CF">
            <w:pPr>
              <w:widowControl w:val="0"/>
              <w:jc w:val="center"/>
              <w:rPr>
                <w:rFonts w:ascii="Arial" w:hAnsi="Arial"/>
                <w:b/>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8E76CF">
            <w:pPr>
              <w:widowControl w:val="0"/>
              <w:jc w:val="center"/>
              <w:rPr>
                <w:rFonts w:ascii="Arial" w:hAnsi="Arial"/>
                <w:b/>
                <w:sz w:val="14"/>
              </w:rPr>
            </w:pPr>
            <w:r>
              <w:rPr>
                <w:rFonts w:ascii="Arial" w:hAnsi="Arial"/>
                <w:b/>
                <w:sz w:val="14"/>
              </w:rPr>
              <w:t>H</w:t>
            </w:r>
          </w:p>
          <w:p w:rsidR="008112A9" w:rsidRPr="002E0C7E" w:rsidRDefault="008112A9" w:rsidP="008E76CF">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8E76CF">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8E76CF">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8E76CF">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8E76CF">
            <w:pPr>
              <w:widowControl w:val="0"/>
              <w:jc w:val="center"/>
              <w:rPr>
                <w:rFonts w:ascii="Arial" w:hAnsi="Arial"/>
                <w:sz w:val="14"/>
              </w:rPr>
            </w:pPr>
          </w:p>
          <w:p w:rsidR="008112A9" w:rsidRPr="002E0C7E" w:rsidRDefault="008112A9" w:rsidP="008E76CF">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8E76CF">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8E76CF">
            <w:pPr>
              <w:widowControl w:val="0"/>
              <w:rPr>
                <w:rFonts w:ascii="Arial" w:hAnsi="Arial"/>
                <w:sz w:val="16"/>
              </w:rPr>
            </w:pPr>
            <w:r w:rsidRPr="002E0C7E">
              <w:rPr>
                <w:rFonts w:ascii="Arial" w:hAnsi="Arial"/>
                <w:sz w:val="16"/>
              </w:rPr>
              <w:t>Sittings of the court:</w:t>
            </w:r>
          </w:p>
          <w:p w:rsidR="008112A9" w:rsidRPr="002E0C7E" w:rsidRDefault="008112A9" w:rsidP="008E76CF">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8E76CF">
            <w:pPr>
              <w:widowControl w:val="0"/>
              <w:rPr>
                <w:rFonts w:ascii="Arial" w:hAnsi="Arial"/>
                <w:sz w:val="16"/>
              </w:rPr>
            </w:pPr>
          </w:p>
          <w:p w:rsidR="008112A9" w:rsidRPr="002E0C7E" w:rsidRDefault="008112A9" w:rsidP="008E76CF">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8E76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8E76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8E76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8E76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8E76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8E76CF">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8E76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8E76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8E76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8E76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8E76CF">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8E76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8E76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8E76CF">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8E76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85"/>
      <w:footerReference w:type="default" r:id="rId86"/>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E63" w:rsidRDefault="00B75E63" w:rsidP="00A87207">
      <w:r>
        <w:separator/>
      </w:r>
    </w:p>
  </w:endnote>
  <w:endnote w:type="continuationSeparator" w:id="0">
    <w:p w:rsidR="00B75E63" w:rsidRDefault="00B75E6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75E6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F341F">
    <w:pPr>
      <w:pStyle w:val="Footer"/>
      <w:rPr>
        <w:lang w:val="fr-CA"/>
      </w:rPr>
    </w:pPr>
    <w:r>
      <w:rPr>
        <w:lang w:val="fr-CA"/>
      </w:rPr>
      <w:pict>
        <v:rect id="_x0000_i1049" style="width:480.95pt;height:1pt" o:hralign="center" o:hrstd="t" o:hrnoshade="t" o:hr="t" fillcolor="black [3213]" stroked="f"/>
      </w:pict>
    </w:r>
  </w:p>
  <w:p w:rsidR="00B75E63" w:rsidRDefault="00B75E63" w:rsidP="00245129">
    <w:pPr>
      <w:tabs>
        <w:tab w:val="center" w:pos="4680"/>
      </w:tabs>
    </w:pPr>
    <w:r>
      <w:tab/>
    </w:r>
    <w:r w:rsidRPr="0009648D">
      <w:t xml:space="preserve">- </w:t>
    </w:r>
    <w:r w:rsidR="00BF341F">
      <w:fldChar w:fldCharType="begin"/>
    </w:r>
    <w:r w:rsidR="00BF341F">
      <w:instrText xml:space="preserve"> PAGE   \* MERGEFORMAT </w:instrText>
    </w:r>
    <w:r w:rsidR="00BF341F">
      <w:fldChar w:fldCharType="separate"/>
    </w:r>
    <w:r w:rsidR="00BF341F">
      <w:rPr>
        <w:noProof/>
      </w:rPr>
      <w:t>486</w:t>
    </w:r>
    <w:r w:rsidR="00BF341F">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75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75E63" w:rsidRDefault="00B75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75E63" w:rsidRDefault="00B75E63">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F341F" w:rsidP="00755F22">
    <w:pPr>
      <w:tabs>
        <w:tab w:val="left" w:pos="-1440"/>
        <w:tab w:val="left" w:pos="-720"/>
      </w:tabs>
    </w:pPr>
    <w:r>
      <w:pict>
        <v:rect id="_x0000_i1055" style="width:480.95pt;height:1pt" o:hralign="center" o:hrstd="t" o:hrnoshade="t" o:hr="t" fillcolor="black [3213]" stroked="f"/>
      </w:pict>
    </w:r>
  </w:p>
  <w:p w:rsidR="00B75E63" w:rsidRDefault="00B75E63" w:rsidP="00EB2B90">
    <w:pPr>
      <w:tabs>
        <w:tab w:val="center" w:pos="4680"/>
      </w:tabs>
    </w:pPr>
    <w:r>
      <w:tab/>
      <w:t xml:space="preserve">- </w:t>
    </w:r>
    <w:r w:rsidR="00BF341F">
      <w:fldChar w:fldCharType="begin"/>
    </w:r>
    <w:r w:rsidR="00BF341F">
      <w:instrText xml:space="preserve"> PAGE   \* MERGEFORMAT </w:instrText>
    </w:r>
    <w:r w:rsidR="00BF341F">
      <w:fldChar w:fldCharType="separate"/>
    </w:r>
    <w:r w:rsidR="00BF341F">
      <w:rPr>
        <w:noProof/>
      </w:rPr>
      <w:t>502</w:t>
    </w:r>
    <w:r w:rsidR="00BF341F">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F341F" w:rsidP="00EB2B90">
    <w:pPr>
      <w:tabs>
        <w:tab w:val="center" w:pos="4680"/>
      </w:tabs>
    </w:pPr>
    <w:r>
      <w:pict>
        <v:rect id="_x0000_i1056" style="width:480.95pt;height:1pt" o:hralign="center" o:hrstd="t" o:hrnoshade="t" o:hr="t" fillcolor="black [3213]" stroked="f"/>
      </w:pict>
    </w:r>
  </w:p>
  <w:p w:rsidR="00B75E63" w:rsidRPr="0031432F" w:rsidRDefault="00B75E63" w:rsidP="00EB2B90">
    <w:pPr>
      <w:tabs>
        <w:tab w:val="center" w:pos="4680"/>
      </w:tabs>
    </w:pPr>
    <w:r>
      <w:tab/>
      <w:t xml:space="preserve">- </w:t>
    </w:r>
    <w:r w:rsidR="00BF341F">
      <w:fldChar w:fldCharType="begin"/>
    </w:r>
    <w:r w:rsidR="00BF341F">
      <w:instrText xml:space="preserve"> PAGE   \* MERGEFORMAT </w:instrText>
    </w:r>
    <w:r w:rsidR="00BF341F">
      <w:fldChar w:fldCharType="separate"/>
    </w:r>
    <w:r w:rsidR="00BF341F">
      <w:rPr>
        <w:noProof/>
      </w:rPr>
      <w:t>501</w:t>
    </w:r>
    <w:r w:rsidR="00BF341F">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75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75E63" w:rsidRDefault="00B75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75E63" w:rsidRDefault="00B75E63">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F341F" w:rsidP="00732DB7">
    <w:r>
      <w:pict>
        <v:rect id="_x0000_i1061" style="width:480.95pt;height:1pt" o:hralign="center" o:hrstd="t" o:hrnoshade="t" o:hr="t" fillcolor="black" stroked="f"/>
      </w:pict>
    </w:r>
  </w:p>
  <w:p w:rsidR="00B75E63" w:rsidRDefault="00B75E63">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F341F">
    <w:pPr>
      <w:pStyle w:val="Footer"/>
    </w:pPr>
    <w:r>
      <w:pict>
        <v:rect id="_x0000_i1062" style="width:480.95pt;height:1pt" o:hralign="center" o:hrstd="t" o:hrnoshade="t" o:hr="t" fillcolor="black" stroked="f"/>
      </w:pict>
    </w:r>
  </w:p>
  <w:p w:rsidR="00B75E63" w:rsidRPr="00283C52" w:rsidRDefault="00B75E63">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75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75E63" w:rsidRDefault="00B75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75E63" w:rsidRDefault="00B75E6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F341F" w:rsidP="00732DB7">
    <w:r>
      <w:pict>
        <v:rect id="_x0000_i1064" style="width:480.95pt;height:1pt" o:hralign="center" o:hrstd="t" o:hrnoshade="t" o:hr="t" fillcolor="black" stroked="f"/>
      </w:pict>
    </w:r>
  </w:p>
  <w:p w:rsidR="00B75E63" w:rsidRDefault="00B75E63">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F341F">
    <w:pPr>
      <w:pStyle w:val="Footer"/>
    </w:pPr>
    <w:r>
      <w:pict>
        <v:rect id="_x0000_i1065" style="width:480.95pt;height:1pt" o:hralign="center" o:hrstd="t" o:hrnoshade="t" o:hr="t" fillcolor="black [3213]" stroked="f"/>
      </w:pict>
    </w:r>
  </w:p>
  <w:p w:rsidR="00B75E63" w:rsidRPr="003C2C0F" w:rsidRDefault="00B75E63" w:rsidP="00697C62">
    <w:pPr>
      <w:tabs>
        <w:tab w:val="center" w:pos="4680"/>
      </w:tabs>
    </w:pPr>
    <w:r>
      <w:tab/>
      <w:t xml:space="preserve">- </w:t>
    </w:r>
    <w:r w:rsidR="00BF341F">
      <w:fldChar w:fldCharType="begin"/>
    </w:r>
    <w:r w:rsidR="00BF341F">
      <w:instrText xml:space="preserve"> PAGE   \* MERGEFORMAT </w:instrText>
    </w:r>
    <w:r w:rsidR="00BF341F">
      <w:fldChar w:fldCharType="separate"/>
    </w:r>
    <w:r w:rsidR="00BF341F">
      <w:rPr>
        <w:noProof/>
      </w:rPr>
      <w:t>512</w:t>
    </w:r>
    <w:r w:rsidR="00BF341F">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75E63">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75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75E63" w:rsidRDefault="00B75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75E63" w:rsidRDefault="00B75E63">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75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75E63" w:rsidRDefault="00BF34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8" style="width:480.95pt;height:1pt" o:hralign="center" o:hrstd="t" o:hrnoshade="t" o:hr="t" fillcolor="black [3213]" stroked="f"/>
      </w:pict>
    </w:r>
  </w:p>
  <w:p w:rsidR="00B75E63" w:rsidRDefault="00B75E63" w:rsidP="00782AE4">
    <w:pPr>
      <w:tabs>
        <w:tab w:val="center" w:pos="4680"/>
      </w:tabs>
    </w:pPr>
    <w:r>
      <w:tab/>
      <w:t xml:space="preserve">- </w:t>
    </w:r>
    <w:r w:rsidR="00A62C48" w:rsidRPr="001775C1">
      <w:rPr>
        <w:szCs w:val="24"/>
      </w:rPr>
      <w:fldChar w:fldCharType="begin"/>
    </w:r>
    <w:r w:rsidRPr="001775C1">
      <w:rPr>
        <w:szCs w:val="24"/>
      </w:rPr>
      <w:instrText xml:space="preserve"> PAGE   \* MERGEFORMAT </w:instrText>
    </w:r>
    <w:r w:rsidR="00A62C48" w:rsidRPr="001775C1">
      <w:rPr>
        <w:szCs w:val="24"/>
      </w:rPr>
      <w:fldChar w:fldCharType="separate"/>
    </w:r>
    <w:r w:rsidR="00BF341F">
      <w:rPr>
        <w:noProof/>
        <w:szCs w:val="24"/>
      </w:rPr>
      <w:t>523</w:t>
    </w:r>
    <w:r w:rsidR="00A62C48"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F341F" w:rsidP="00782AE4">
    <w:pPr>
      <w:tabs>
        <w:tab w:val="center" w:pos="4680"/>
      </w:tabs>
    </w:pPr>
    <w:r>
      <w:pict>
        <v:rect id="_x0000_i1069" style="width:480.95pt;height:1pt" o:hralign="center" o:hrstd="t" o:hrnoshade="t" o:hr="t" fillcolor="black [3213]" stroked="f"/>
      </w:pict>
    </w:r>
  </w:p>
  <w:p w:rsidR="00B75E63" w:rsidRDefault="00B75E63" w:rsidP="00782AE4">
    <w:pPr>
      <w:tabs>
        <w:tab w:val="center" w:pos="4680"/>
      </w:tabs>
    </w:pPr>
    <w:r>
      <w:tab/>
      <w:t xml:space="preserve">- </w:t>
    </w:r>
    <w:r w:rsidR="00A62C48" w:rsidRPr="001775C1">
      <w:rPr>
        <w:szCs w:val="24"/>
      </w:rPr>
      <w:fldChar w:fldCharType="begin"/>
    </w:r>
    <w:r w:rsidRPr="001775C1">
      <w:rPr>
        <w:szCs w:val="24"/>
      </w:rPr>
      <w:instrText xml:space="preserve"> PAGE   \* MERGEFORMAT </w:instrText>
    </w:r>
    <w:r w:rsidR="00A62C48" w:rsidRPr="001775C1">
      <w:rPr>
        <w:szCs w:val="24"/>
      </w:rPr>
      <w:fldChar w:fldCharType="separate"/>
    </w:r>
    <w:r w:rsidR="00BF341F">
      <w:rPr>
        <w:noProof/>
        <w:szCs w:val="24"/>
      </w:rPr>
      <w:t>513</w:t>
    </w:r>
    <w:r w:rsidR="00A62C48"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Pr="00924065" w:rsidRDefault="00B75E63"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75E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F341F" w:rsidP="00A87207">
    <w:pPr>
      <w:pStyle w:val="Footer"/>
    </w:pPr>
    <w:r>
      <w:pict>
        <v:rect id="_x0000_i1029" style="width:480.95pt;height:1pt" o:hralign="center" o:hrstd="t" o:hrnoshade="t" o:hr="t" fillcolor="black [3213]" stroked="f"/>
      </w:pict>
    </w:r>
  </w:p>
  <w:p w:rsidR="00B75E63" w:rsidRPr="00B7374B" w:rsidRDefault="00B75E63" w:rsidP="00B7374B">
    <w:pPr>
      <w:tabs>
        <w:tab w:val="center" w:pos="4680"/>
      </w:tabs>
      <w:rPr>
        <w:szCs w:val="24"/>
      </w:rPr>
    </w:pPr>
    <w:r w:rsidRPr="00954D22">
      <w:rPr>
        <w:szCs w:val="24"/>
      </w:rPr>
      <w:tab/>
      <w:t xml:space="preserve">- </w:t>
    </w:r>
    <w:r w:rsidR="00A62C48" w:rsidRPr="00954D22">
      <w:rPr>
        <w:szCs w:val="24"/>
      </w:rPr>
      <w:fldChar w:fldCharType="begin"/>
    </w:r>
    <w:r w:rsidRPr="00954D22">
      <w:rPr>
        <w:szCs w:val="24"/>
      </w:rPr>
      <w:instrText xml:space="preserve"> PAGE   \* MERGEFORMAT </w:instrText>
    </w:r>
    <w:r w:rsidR="00A62C48" w:rsidRPr="00954D22">
      <w:rPr>
        <w:szCs w:val="24"/>
      </w:rPr>
      <w:fldChar w:fldCharType="separate"/>
    </w:r>
    <w:r>
      <w:rPr>
        <w:noProof/>
        <w:szCs w:val="24"/>
      </w:rPr>
      <w:t>501</w:t>
    </w:r>
    <w:r w:rsidR="00A62C48"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F341F" w:rsidP="00755F22">
    <w:pPr>
      <w:tabs>
        <w:tab w:val="left" w:pos="-1440"/>
        <w:tab w:val="left" w:pos="-720"/>
      </w:tabs>
    </w:pPr>
    <w:r>
      <w:pict>
        <v:rect id="_x0000_i1030" style="width:480.95pt;height:1pt" o:hralign="center" o:hrstd="t" o:hrnoshade="t" o:hr="t" fillcolor="black [3213]" stroked="f"/>
      </w:pict>
    </w:r>
  </w:p>
  <w:p w:rsidR="00B75E63" w:rsidRPr="00954D22" w:rsidRDefault="00B75E63" w:rsidP="00B7374B">
    <w:pPr>
      <w:tabs>
        <w:tab w:val="center" w:pos="4680"/>
      </w:tabs>
      <w:rPr>
        <w:szCs w:val="24"/>
      </w:rPr>
    </w:pPr>
    <w:r w:rsidRPr="00954D22">
      <w:rPr>
        <w:szCs w:val="24"/>
      </w:rPr>
      <w:tab/>
      <w:t xml:space="preserve">- </w:t>
    </w:r>
    <w:r w:rsidR="00A62C48">
      <w:rPr>
        <w:szCs w:val="24"/>
      </w:rPr>
      <w:fldChar w:fldCharType="begin"/>
    </w:r>
    <w:r>
      <w:rPr>
        <w:szCs w:val="24"/>
      </w:rPr>
      <w:instrText xml:space="preserve"> PAGE   \* MERGEFORMAT </w:instrText>
    </w:r>
    <w:r w:rsidR="00A62C48">
      <w:rPr>
        <w:szCs w:val="24"/>
      </w:rPr>
      <w:fldChar w:fldCharType="separate"/>
    </w:r>
    <w:r w:rsidR="00BF341F">
      <w:rPr>
        <w:noProof/>
        <w:szCs w:val="24"/>
      </w:rPr>
      <w:t>484</w:t>
    </w:r>
    <w:r w:rsidR="00A62C48">
      <w:rPr>
        <w:szCs w:val="24"/>
      </w:rPr>
      <w:fldChar w:fldCharType="end"/>
    </w:r>
    <w:r w:rsidRPr="00954D22">
      <w:rPr>
        <w:szCs w:val="24"/>
      </w:rPr>
      <w:t xml:space="preserve"> -</w:t>
    </w:r>
  </w:p>
  <w:p w:rsidR="00B75E63" w:rsidRDefault="00B75E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F341F" w:rsidP="00A87207">
    <w:pPr>
      <w:pStyle w:val="Footer"/>
    </w:pPr>
    <w:r>
      <w:pict>
        <v:rect id="_x0000_i1032" style="width:480.95pt;height:1pt" o:hralign="center" o:hrstd="t" o:hrnoshade="t" o:hr="t" fillcolor="black [3213]" stroked="f"/>
      </w:pict>
    </w:r>
  </w:p>
  <w:p w:rsidR="00B75E63" w:rsidRPr="00B7374B" w:rsidRDefault="00B75E63" w:rsidP="00B7374B">
    <w:pPr>
      <w:tabs>
        <w:tab w:val="center" w:pos="4680"/>
      </w:tabs>
      <w:rPr>
        <w:szCs w:val="24"/>
      </w:rPr>
    </w:pPr>
    <w:r w:rsidRPr="00954D22">
      <w:rPr>
        <w:szCs w:val="24"/>
      </w:rPr>
      <w:tab/>
      <w:t xml:space="preserve">- </w:t>
    </w:r>
    <w:r w:rsidR="00A62C48" w:rsidRPr="00954D22">
      <w:rPr>
        <w:szCs w:val="24"/>
      </w:rPr>
      <w:fldChar w:fldCharType="begin"/>
    </w:r>
    <w:r w:rsidRPr="00954D22">
      <w:rPr>
        <w:szCs w:val="24"/>
      </w:rPr>
      <w:instrText xml:space="preserve"> PAGE   \* MERGEFORMAT </w:instrText>
    </w:r>
    <w:r w:rsidR="00A62C48" w:rsidRPr="00954D22">
      <w:rPr>
        <w:szCs w:val="24"/>
      </w:rPr>
      <w:fldChar w:fldCharType="separate"/>
    </w:r>
    <w:r>
      <w:rPr>
        <w:noProof/>
        <w:szCs w:val="24"/>
      </w:rPr>
      <w:t>502</w:t>
    </w:r>
    <w:r w:rsidR="00A62C48"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F341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3" style="width:480.95pt;height:1pt" o:hralign="center" o:hrstd="t" o:hrnoshade="t" o:hr="t" fillcolor="black [3213]" stroked="f"/>
      </w:pict>
    </w:r>
  </w:p>
  <w:p w:rsidR="00B75E63" w:rsidRPr="00954D22" w:rsidRDefault="00B75E63" w:rsidP="00B7374B">
    <w:pPr>
      <w:tabs>
        <w:tab w:val="center" w:pos="4680"/>
      </w:tabs>
      <w:rPr>
        <w:szCs w:val="24"/>
      </w:rPr>
    </w:pPr>
    <w:r w:rsidRPr="00954D22">
      <w:rPr>
        <w:szCs w:val="24"/>
      </w:rPr>
      <w:tab/>
      <w:t xml:space="preserve">- </w:t>
    </w:r>
    <w:r w:rsidR="00A62C48" w:rsidRPr="00954D22">
      <w:rPr>
        <w:szCs w:val="24"/>
      </w:rPr>
      <w:fldChar w:fldCharType="begin"/>
    </w:r>
    <w:r w:rsidRPr="00954D22">
      <w:rPr>
        <w:szCs w:val="24"/>
      </w:rPr>
      <w:instrText xml:space="preserve"> PAGE   \* MERGEFORMAT </w:instrText>
    </w:r>
    <w:r w:rsidR="00A62C48" w:rsidRPr="00954D22">
      <w:rPr>
        <w:szCs w:val="24"/>
      </w:rPr>
      <w:fldChar w:fldCharType="separate"/>
    </w:r>
    <w:r w:rsidR="00BF341F">
      <w:rPr>
        <w:noProof/>
        <w:szCs w:val="24"/>
      </w:rPr>
      <w:t>485</w:t>
    </w:r>
    <w:r w:rsidR="00A62C48"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75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75E63" w:rsidRDefault="00B75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75E63" w:rsidRDefault="00B75E63">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F34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8" style="width:480.95pt;height:1pt" o:hralign="center" o:hrstd="t" o:hrnoshade="t" o:hr="t" fillcolor="black [3213]" stroked="f"/>
      </w:pict>
    </w:r>
  </w:p>
  <w:p w:rsidR="00B75E63" w:rsidRPr="0009648D" w:rsidRDefault="00B75E63" w:rsidP="00ED7E83">
    <w:pPr>
      <w:tabs>
        <w:tab w:val="center" w:pos="4680"/>
      </w:tabs>
    </w:pPr>
    <w:r>
      <w:tab/>
    </w:r>
    <w:r w:rsidRPr="0009648D">
      <w:t xml:space="preserve">- </w:t>
    </w:r>
    <w:r w:rsidR="00BF341F">
      <w:fldChar w:fldCharType="begin"/>
    </w:r>
    <w:r w:rsidR="00BF341F">
      <w:instrText xml:space="preserve"> PAGE   \* MERGEFORMAT </w:instrText>
    </w:r>
    <w:r w:rsidR="00BF341F">
      <w:fldChar w:fldCharType="separate"/>
    </w:r>
    <w:r w:rsidR="00BF341F">
      <w:rPr>
        <w:noProof/>
      </w:rPr>
      <w:t>500</w:t>
    </w:r>
    <w:r w:rsidR="00BF341F">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E63" w:rsidRDefault="00B75E63" w:rsidP="00A87207">
      <w:r>
        <w:separator/>
      </w:r>
    </w:p>
  </w:footnote>
  <w:footnote w:type="continuationSeparator" w:id="0">
    <w:p w:rsidR="00B75E63" w:rsidRDefault="00B75E6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75E6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75E6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75E63">
      <w:tc>
        <w:tcPr>
          <w:tcW w:w="4230" w:type="dxa"/>
          <w:tcMar>
            <w:left w:w="0" w:type="dxa"/>
            <w:right w:w="0" w:type="dxa"/>
          </w:tcMar>
        </w:tcPr>
        <w:p w:rsidR="00B75E63" w:rsidRDefault="00B75E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75E63" w:rsidRDefault="00B75E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75E63" w:rsidRDefault="00B75E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75E63">
      <w:trPr>
        <w:gridAfter w:val="2"/>
        <w:wAfter w:w="5250" w:type="dxa"/>
      </w:trPr>
      <w:tc>
        <w:tcPr>
          <w:tcW w:w="4230" w:type="dxa"/>
          <w:tcMar>
            <w:left w:w="0" w:type="dxa"/>
            <w:right w:w="0" w:type="dxa"/>
          </w:tcMar>
        </w:tcPr>
        <w:p w:rsidR="00B75E63" w:rsidRDefault="00B75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75E63" w:rsidRDefault="00B75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75E63" w:rsidRPr="00755F22" w:rsidTr="00245129">
      <w:tc>
        <w:tcPr>
          <w:tcW w:w="4230" w:type="dxa"/>
          <w:tcMar>
            <w:left w:w="0" w:type="dxa"/>
            <w:right w:w="0" w:type="dxa"/>
          </w:tcMar>
        </w:tcPr>
        <w:p w:rsidR="00B75E63" w:rsidRPr="00755F22" w:rsidRDefault="00B75E63" w:rsidP="00831CA9">
          <w:pPr>
            <w:keepNext/>
            <w:keepLines/>
            <w:rPr>
              <w:sz w:val="20"/>
              <w:szCs w:val="20"/>
            </w:rPr>
          </w:pPr>
          <w:r w:rsidRPr="00755F22">
            <w:rPr>
              <w:sz w:val="20"/>
              <w:szCs w:val="20"/>
            </w:rPr>
            <w:t>MOTIONS</w:t>
          </w:r>
        </w:p>
      </w:tc>
      <w:tc>
        <w:tcPr>
          <w:tcW w:w="1170" w:type="dxa"/>
          <w:tcMar>
            <w:left w:w="0" w:type="dxa"/>
            <w:right w:w="0" w:type="dxa"/>
          </w:tcMar>
        </w:tcPr>
        <w:p w:rsidR="00B75E63" w:rsidRPr="00755F22" w:rsidRDefault="00B75E63" w:rsidP="00831CA9">
          <w:pPr>
            <w:keepLines/>
            <w:jc w:val="center"/>
            <w:rPr>
              <w:sz w:val="20"/>
              <w:szCs w:val="20"/>
            </w:rPr>
          </w:pPr>
        </w:p>
        <w:p w:rsidR="00B75E63" w:rsidRPr="00755F22" w:rsidRDefault="00B75E63" w:rsidP="00831CA9">
          <w:pPr>
            <w:keepLines/>
            <w:tabs>
              <w:tab w:val="left" w:pos="-1440"/>
              <w:tab w:val="left" w:pos="-720"/>
            </w:tabs>
            <w:jc w:val="center"/>
            <w:rPr>
              <w:sz w:val="20"/>
              <w:szCs w:val="20"/>
            </w:rPr>
          </w:pPr>
        </w:p>
      </w:tc>
      <w:tc>
        <w:tcPr>
          <w:tcW w:w="4080" w:type="dxa"/>
          <w:tcMar>
            <w:left w:w="0" w:type="dxa"/>
            <w:right w:w="0" w:type="dxa"/>
          </w:tcMar>
        </w:tcPr>
        <w:p w:rsidR="00B75E63" w:rsidRPr="00BA6468" w:rsidRDefault="00B75E63" w:rsidP="00BA6468">
          <w:pPr>
            <w:keepLines/>
            <w:rPr>
              <w:sz w:val="20"/>
              <w:szCs w:val="20"/>
              <w:lang w:val="fr-CA"/>
            </w:rPr>
          </w:pPr>
          <w:r w:rsidRPr="00BA6468">
            <w:rPr>
              <w:sz w:val="20"/>
              <w:szCs w:val="20"/>
              <w:lang w:val="fr-CA"/>
            </w:rPr>
            <w:t>REQUÊTES</w:t>
          </w:r>
        </w:p>
      </w:tc>
    </w:tr>
  </w:tbl>
  <w:p w:rsidR="00B75E63" w:rsidRDefault="00B75E63"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75E6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75E63" w:rsidRPr="00C3091A">
      <w:tc>
        <w:tcPr>
          <w:tcW w:w="4200" w:type="dxa"/>
          <w:tcMar>
            <w:left w:w="0" w:type="dxa"/>
            <w:right w:w="0" w:type="dxa"/>
          </w:tcMar>
        </w:tcPr>
        <w:p w:rsidR="00B75E63" w:rsidRDefault="00B75E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B75E63" w:rsidRDefault="00B75E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75E63" w:rsidRPr="00283C52" w:rsidRDefault="00B75E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B75E63" w:rsidRPr="00283C52" w:rsidRDefault="00B75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75E63" w:rsidRPr="00283C52" w:rsidRDefault="00B75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75E63" w:rsidRPr="00C3091A" w:rsidTr="00245129">
      <w:tc>
        <w:tcPr>
          <w:tcW w:w="4200" w:type="dxa"/>
          <w:tcMar>
            <w:left w:w="0" w:type="dxa"/>
            <w:right w:w="0" w:type="dxa"/>
          </w:tcMar>
        </w:tcPr>
        <w:p w:rsidR="00B75E63" w:rsidRPr="00732DB7" w:rsidRDefault="00B75E63"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B75E63" w:rsidRPr="00732DB7" w:rsidRDefault="00B75E63" w:rsidP="00732DB7">
          <w:pPr>
            <w:keepNext/>
            <w:keepLines/>
            <w:tabs>
              <w:tab w:val="left" w:pos="-1440"/>
              <w:tab w:val="left" w:pos="-720"/>
            </w:tabs>
            <w:jc w:val="center"/>
            <w:rPr>
              <w:sz w:val="20"/>
              <w:szCs w:val="20"/>
            </w:rPr>
          </w:pPr>
        </w:p>
        <w:p w:rsidR="00B75E63" w:rsidRPr="00732DB7" w:rsidRDefault="00B75E63" w:rsidP="00732DB7">
          <w:pPr>
            <w:keepNext/>
            <w:keepLines/>
            <w:tabs>
              <w:tab w:val="left" w:pos="-1440"/>
              <w:tab w:val="left" w:pos="-720"/>
            </w:tabs>
            <w:jc w:val="center"/>
            <w:rPr>
              <w:sz w:val="20"/>
              <w:szCs w:val="20"/>
            </w:rPr>
          </w:pPr>
        </w:p>
        <w:p w:rsidR="00B75E63" w:rsidRPr="00732DB7" w:rsidRDefault="00B75E63" w:rsidP="00732DB7">
          <w:pPr>
            <w:keepNext/>
            <w:keepLines/>
            <w:tabs>
              <w:tab w:val="left" w:pos="-1440"/>
              <w:tab w:val="left" w:pos="-720"/>
            </w:tabs>
            <w:jc w:val="center"/>
            <w:rPr>
              <w:sz w:val="20"/>
              <w:szCs w:val="20"/>
            </w:rPr>
          </w:pPr>
        </w:p>
      </w:tc>
      <w:tc>
        <w:tcPr>
          <w:tcW w:w="4080" w:type="dxa"/>
          <w:tcMar>
            <w:left w:w="0" w:type="dxa"/>
            <w:right w:w="0" w:type="dxa"/>
          </w:tcMar>
        </w:tcPr>
        <w:p w:rsidR="00B75E63" w:rsidRPr="00732DB7" w:rsidRDefault="00B75E63"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B75E63" w:rsidRPr="00283C52" w:rsidRDefault="00B75E63"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75E6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75E63" w:rsidRPr="00C3091A">
      <w:tc>
        <w:tcPr>
          <w:tcW w:w="4200" w:type="dxa"/>
          <w:tcMar>
            <w:left w:w="0" w:type="dxa"/>
            <w:right w:w="0" w:type="dxa"/>
          </w:tcMar>
        </w:tcPr>
        <w:p w:rsidR="00B75E63" w:rsidRDefault="00B75E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B75E63" w:rsidRDefault="00B75E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B75E63" w:rsidRDefault="00B75E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B75E63" w:rsidRPr="003C2C0F" w:rsidRDefault="00B75E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B75E63" w:rsidRPr="003C2C0F" w:rsidRDefault="00B75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B75E63" w:rsidRPr="003C2C0F" w:rsidRDefault="00B75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75E63" w:rsidRPr="00C3091A" w:rsidTr="00245129">
      <w:tc>
        <w:tcPr>
          <w:tcW w:w="4200" w:type="dxa"/>
          <w:tcMar>
            <w:left w:w="0" w:type="dxa"/>
            <w:right w:w="0" w:type="dxa"/>
          </w:tcMar>
        </w:tcPr>
        <w:p w:rsidR="00B75E63" w:rsidRPr="00FF6EEC" w:rsidRDefault="00B75E63" w:rsidP="00FF6EEC">
          <w:pPr>
            <w:rPr>
              <w:sz w:val="20"/>
              <w:szCs w:val="20"/>
            </w:rPr>
          </w:pPr>
          <w:r w:rsidRPr="00FF6EEC">
            <w:rPr>
              <w:sz w:val="20"/>
              <w:szCs w:val="20"/>
            </w:rPr>
            <w:t>PRONOUNCEMENTS OF APPEALS RESERVED</w:t>
          </w:r>
        </w:p>
      </w:tc>
      <w:tc>
        <w:tcPr>
          <w:tcW w:w="1200" w:type="dxa"/>
          <w:tcMar>
            <w:left w:w="0" w:type="dxa"/>
            <w:right w:w="0" w:type="dxa"/>
          </w:tcMar>
        </w:tcPr>
        <w:p w:rsidR="00B75E63" w:rsidRPr="00FF6EEC" w:rsidRDefault="00B75E63" w:rsidP="00FF6EEC">
          <w:pPr>
            <w:jc w:val="center"/>
            <w:rPr>
              <w:sz w:val="20"/>
              <w:szCs w:val="20"/>
            </w:rPr>
          </w:pPr>
        </w:p>
        <w:p w:rsidR="00B75E63" w:rsidRPr="00FF6EEC" w:rsidRDefault="00B75E63" w:rsidP="00FF6EEC">
          <w:pPr>
            <w:jc w:val="center"/>
            <w:rPr>
              <w:sz w:val="20"/>
              <w:szCs w:val="20"/>
            </w:rPr>
          </w:pPr>
        </w:p>
        <w:p w:rsidR="00B75E63" w:rsidRPr="00FF6EEC" w:rsidRDefault="00B75E63" w:rsidP="00FF6EEC">
          <w:pPr>
            <w:jc w:val="center"/>
            <w:rPr>
              <w:sz w:val="20"/>
              <w:szCs w:val="20"/>
            </w:rPr>
          </w:pPr>
        </w:p>
      </w:tc>
      <w:tc>
        <w:tcPr>
          <w:tcW w:w="4080" w:type="dxa"/>
          <w:tcMar>
            <w:left w:w="0" w:type="dxa"/>
            <w:right w:w="0" w:type="dxa"/>
          </w:tcMar>
        </w:tcPr>
        <w:p w:rsidR="00B75E63" w:rsidRPr="00FF6EEC" w:rsidRDefault="00B75E63" w:rsidP="00FF6EEC">
          <w:pPr>
            <w:rPr>
              <w:sz w:val="20"/>
              <w:szCs w:val="20"/>
              <w:lang w:val="fr-CA"/>
            </w:rPr>
          </w:pPr>
          <w:r w:rsidRPr="00FF6EEC">
            <w:rPr>
              <w:sz w:val="20"/>
              <w:szCs w:val="20"/>
              <w:lang w:val="fr-CA"/>
            </w:rPr>
            <w:t>JUGEMENTS RENDUS SUR LES APPELS EN DÉLIBÉRÉ</w:t>
          </w:r>
        </w:p>
      </w:tc>
    </w:tr>
  </w:tbl>
  <w:p w:rsidR="00B75E63" w:rsidRPr="003C2C0F" w:rsidRDefault="00B75E63"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75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75E6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75E63">
      <w:tc>
        <w:tcPr>
          <w:tcW w:w="4230" w:type="dxa"/>
          <w:tcMar>
            <w:left w:w="0" w:type="dxa"/>
            <w:right w:w="0" w:type="dxa"/>
          </w:tcMar>
        </w:tcPr>
        <w:p w:rsidR="00B75E63" w:rsidRDefault="00B75E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75E63" w:rsidRDefault="00B75E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75E63" w:rsidRDefault="00B75E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75E63" w:rsidRDefault="00B75E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75E63" w:rsidRDefault="00B75E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75E63" w:rsidRDefault="00B75E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75E63" w:rsidRDefault="00B75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75E63" w:rsidRDefault="00B75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75E63" w:rsidRPr="00782AE4" w:rsidTr="00245129">
      <w:tc>
        <w:tcPr>
          <w:tcW w:w="4230" w:type="dxa"/>
          <w:tcMar>
            <w:left w:w="0" w:type="dxa"/>
            <w:right w:w="0" w:type="dxa"/>
          </w:tcMar>
        </w:tcPr>
        <w:p w:rsidR="00B75E63" w:rsidRPr="00782AE4" w:rsidRDefault="00B75E63" w:rsidP="00102926">
          <w:pPr>
            <w:keepNext/>
            <w:keepLines/>
            <w:tabs>
              <w:tab w:val="left" w:pos="-1440"/>
              <w:tab w:val="left" w:pos="-720"/>
            </w:tabs>
            <w:rPr>
              <w:sz w:val="20"/>
              <w:szCs w:val="20"/>
            </w:rPr>
          </w:pPr>
          <w:r w:rsidRPr="00782AE4">
            <w:rPr>
              <w:sz w:val="20"/>
              <w:szCs w:val="20"/>
            </w:rPr>
            <w:t xml:space="preserve">HEADNOTES OF RECENT </w:t>
          </w:r>
        </w:p>
        <w:p w:rsidR="00B75E63" w:rsidRPr="00782AE4" w:rsidRDefault="00B75E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B75E63" w:rsidRDefault="00B75E63" w:rsidP="00102926">
          <w:pPr>
            <w:keepNext/>
            <w:keepLines/>
            <w:tabs>
              <w:tab w:val="left" w:pos="-1440"/>
              <w:tab w:val="left" w:pos="-720"/>
            </w:tabs>
            <w:jc w:val="center"/>
            <w:rPr>
              <w:sz w:val="20"/>
              <w:szCs w:val="20"/>
            </w:rPr>
          </w:pPr>
        </w:p>
        <w:p w:rsidR="00B75E63" w:rsidRDefault="00B75E63" w:rsidP="00102926">
          <w:pPr>
            <w:keepNext/>
            <w:keepLines/>
            <w:tabs>
              <w:tab w:val="left" w:pos="-1440"/>
              <w:tab w:val="left" w:pos="-720"/>
            </w:tabs>
            <w:jc w:val="center"/>
            <w:rPr>
              <w:sz w:val="20"/>
              <w:szCs w:val="20"/>
            </w:rPr>
          </w:pPr>
        </w:p>
        <w:p w:rsidR="00B75E63" w:rsidRPr="00782AE4" w:rsidRDefault="00B75E63" w:rsidP="00102926">
          <w:pPr>
            <w:keepNext/>
            <w:keepLines/>
            <w:tabs>
              <w:tab w:val="left" w:pos="-1440"/>
              <w:tab w:val="left" w:pos="-720"/>
            </w:tabs>
            <w:jc w:val="center"/>
            <w:rPr>
              <w:sz w:val="20"/>
              <w:szCs w:val="20"/>
            </w:rPr>
          </w:pPr>
        </w:p>
      </w:tc>
      <w:tc>
        <w:tcPr>
          <w:tcW w:w="4080" w:type="dxa"/>
          <w:tcMar>
            <w:left w:w="0" w:type="dxa"/>
            <w:right w:w="0" w:type="dxa"/>
          </w:tcMar>
        </w:tcPr>
        <w:p w:rsidR="00B75E63" w:rsidRPr="00102926" w:rsidRDefault="00B75E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B75E63" w:rsidRPr="00782AE4" w:rsidRDefault="00B75E63" w:rsidP="00102926">
          <w:pPr>
            <w:keepLines/>
            <w:tabs>
              <w:tab w:val="left" w:pos="-1440"/>
              <w:tab w:val="left" w:pos="-720"/>
            </w:tabs>
            <w:rPr>
              <w:sz w:val="20"/>
              <w:szCs w:val="20"/>
            </w:rPr>
          </w:pPr>
          <w:r w:rsidRPr="00102926">
            <w:rPr>
              <w:sz w:val="20"/>
              <w:szCs w:val="20"/>
              <w:lang w:val="fr-CA"/>
            </w:rPr>
            <w:t>RÉCENTS</w:t>
          </w:r>
        </w:p>
      </w:tc>
    </w:tr>
  </w:tbl>
  <w:p w:rsidR="00B75E63" w:rsidRDefault="00B75E6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75E6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75E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75E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75E63" w:rsidRPr="0044776A" w:rsidTr="00245129">
      <w:tc>
        <w:tcPr>
          <w:tcW w:w="4290" w:type="dxa"/>
          <w:tcMar>
            <w:left w:w="0" w:type="dxa"/>
            <w:right w:w="0" w:type="dxa"/>
          </w:tcMar>
        </w:tcPr>
        <w:p w:rsidR="00B75E63" w:rsidRPr="0044776A" w:rsidRDefault="00B75E6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B75E63" w:rsidRPr="0044776A" w:rsidRDefault="00B75E63" w:rsidP="002E2327">
          <w:pPr>
            <w:keepNext/>
            <w:keepLines/>
            <w:tabs>
              <w:tab w:val="left" w:pos="-1440"/>
              <w:tab w:val="left" w:pos="-720"/>
            </w:tabs>
            <w:jc w:val="center"/>
            <w:rPr>
              <w:sz w:val="20"/>
              <w:szCs w:val="20"/>
            </w:rPr>
          </w:pPr>
        </w:p>
        <w:p w:rsidR="00B75E63" w:rsidRPr="0044776A" w:rsidRDefault="00B75E63" w:rsidP="002E2327">
          <w:pPr>
            <w:keepNext/>
            <w:keepLines/>
            <w:tabs>
              <w:tab w:val="left" w:pos="-1440"/>
              <w:tab w:val="left" w:pos="-720"/>
            </w:tabs>
            <w:jc w:val="center"/>
            <w:rPr>
              <w:sz w:val="20"/>
              <w:szCs w:val="20"/>
            </w:rPr>
          </w:pPr>
        </w:p>
        <w:p w:rsidR="00B75E63" w:rsidRPr="0044776A" w:rsidRDefault="00B75E63" w:rsidP="002E2327">
          <w:pPr>
            <w:keepNext/>
            <w:keepLines/>
            <w:tabs>
              <w:tab w:val="left" w:pos="-1440"/>
              <w:tab w:val="left" w:pos="-720"/>
            </w:tabs>
            <w:jc w:val="center"/>
            <w:rPr>
              <w:sz w:val="20"/>
              <w:szCs w:val="20"/>
            </w:rPr>
          </w:pPr>
        </w:p>
      </w:tc>
      <w:tc>
        <w:tcPr>
          <w:tcW w:w="4320" w:type="dxa"/>
          <w:tcMar>
            <w:left w:w="0" w:type="dxa"/>
            <w:right w:w="0" w:type="dxa"/>
          </w:tcMar>
        </w:tcPr>
        <w:p w:rsidR="00B75E63" w:rsidRPr="0044776A" w:rsidRDefault="00B75E63" w:rsidP="002E2327">
          <w:pPr>
            <w:keepLines/>
            <w:rPr>
              <w:sz w:val="20"/>
              <w:szCs w:val="20"/>
              <w:lang w:val="fr-CA"/>
            </w:rPr>
          </w:pPr>
          <w:r w:rsidRPr="0044776A">
            <w:rPr>
              <w:sz w:val="20"/>
              <w:szCs w:val="20"/>
              <w:lang w:val="fr-CA"/>
            </w:rPr>
            <w:t>DEMANDES D'AUTORISATION D'APPEL DÉPOSÉES</w:t>
          </w:r>
        </w:p>
      </w:tc>
    </w:tr>
  </w:tbl>
  <w:p w:rsidR="00B75E63" w:rsidRDefault="00B75E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75E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75E63" w:rsidRPr="00C3091A" w:rsidTr="00245129">
      <w:tc>
        <w:tcPr>
          <w:tcW w:w="4200" w:type="dxa"/>
          <w:tcMar>
            <w:left w:w="0" w:type="dxa"/>
            <w:right w:w="0" w:type="dxa"/>
          </w:tcMar>
        </w:tcPr>
        <w:p w:rsidR="00B75E63" w:rsidRPr="0044776A" w:rsidRDefault="00B75E63" w:rsidP="0044776A">
          <w:pPr>
            <w:keepNext/>
            <w:keepLines/>
            <w:widowControl w:val="0"/>
            <w:rPr>
              <w:sz w:val="20"/>
              <w:szCs w:val="20"/>
            </w:rPr>
          </w:pPr>
          <w:r>
            <w:rPr>
              <w:sz w:val="20"/>
              <w:szCs w:val="20"/>
            </w:rPr>
            <w:t>APPLICATIONS FOR LEAVE</w:t>
          </w:r>
        </w:p>
        <w:p w:rsidR="00B75E63" w:rsidRPr="0044776A" w:rsidRDefault="00B75E6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B75E63" w:rsidRPr="0044776A" w:rsidRDefault="00B75E63" w:rsidP="0044776A">
          <w:pPr>
            <w:keepNext/>
            <w:keepLines/>
            <w:widowControl w:val="0"/>
            <w:jc w:val="center"/>
            <w:rPr>
              <w:sz w:val="20"/>
              <w:szCs w:val="20"/>
            </w:rPr>
          </w:pPr>
        </w:p>
        <w:p w:rsidR="00B75E63" w:rsidRPr="0044776A" w:rsidRDefault="00B75E63" w:rsidP="0044776A">
          <w:pPr>
            <w:keepNext/>
            <w:keepLines/>
            <w:widowControl w:val="0"/>
            <w:jc w:val="center"/>
            <w:rPr>
              <w:sz w:val="20"/>
              <w:szCs w:val="20"/>
            </w:rPr>
          </w:pPr>
        </w:p>
        <w:p w:rsidR="00B75E63" w:rsidRPr="0044776A" w:rsidRDefault="00B75E63" w:rsidP="0044776A">
          <w:pPr>
            <w:keepNext/>
            <w:keepLines/>
            <w:widowControl w:val="0"/>
            <w:jc w:val="center"/>
            <w:rPr>
              <w:sz w:val="20"/>
              <w:szCs w:val="20"/>
            </w:rPr>
          </w:pPr>
        </w:p>
      </w:tc>
      <w:tc>
        <w:tcPr>
          <w:tcW w:w="4080" w:type="dxa"/>
          <w:tcMar>
            <w:left w:w="0" w:type="dxa"/>
            <w:right w:w="0" w:type="dxa"/>
          </w:tcMar>
        </w:tcPr>
        <w:p w:rsidR="00B75E63" w:rsidRPr="0044776A" w:rsidRDefault="00B75E63" w:rsidP="0044776A">
          <w:pPr>
            <w:keepLines/>
            <w:widowControl w:val="0"/>
            <w:rPr>
              <w:sz w:val="20"/>
              <w:szCs w:val="20"/>
              <w:lang w:val="fr-CA"/>
            </w:rPr>
          </w:pPr>
          <w:r w:rsidRPr="0044776A">
            <w:rPr>
              <w:sz w:val="20"/>
              <w:szCs w:val="20"/>
              <w:lang w:val="fr-CA"/>
            </w:rPr>
            <w:t>DEMANDES SOUMISES À LA COUR DEPUIS LA DERNIÈRE PARUTION</w:t>
          </w:r>
        </w:p>
        <w:p w:rsidR="00B75E63" w:rsidRPr="0044776A" w:rsidRDefault="00B75E63" w:rsidP="0044776A">
          <w:pPr>
            <w:widowControl w:val="0"/>
            <w:rPr>
              <w:sz w:val="20"/>
              <w:szCs w:val="20"/>
              <w:lang w:val="fr-CA"/>
            </w:rPr>
          </w:pPr>
        </w:p>
      </w:tc>
    </w:tr>
  </w:tbl>
  <w:p w:rsidR="00B75E63" w:rsidRPr="002E2327" w:rsidRDefault="00B75E63">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63" w:rsidRDefault="00B75E6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75E63" w:rsidRPr="00C3091A">
      <w:tc>
        <w:tcPr>
          <w:tcW w:w="4200" w:type="dxa"/>
          <w:tcMar>
            <w:left w:w="0" w:type="dxa"/>
            <w:right w:w="0" w:type="dxa"/>
          </w:tcMar>
        </w:tcPr>
        <w:p w:rsidR="00B75E63" w:rsidRDefault="00B75E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75E63" w:rsidRDefault="00B75E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75E63" w:rsidRDefault="00B75E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75E63" w:rsidRPr="00FF6BA5" w:rsidRDefault="00B75E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75E63" w:rsidRPr="00FF6BA5" w:rsidRDefault="00B75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75E63" w:rsidRPr="00FF6BA5" w:rsidRDefault="00B75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75E63" w:rsidRPr="00FF6BA5" w:rsidRDefault="00B75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75E63" w:rsidRPr="00C3091A" w:rsidTr="00245129">
      <w:tc>
        <w:tcPr>
          <w:tcW w:w="4200" w:type="dxa"/>
          <w:tcMar>
            <w:left w:w="0" w:type="dxa"/>
            <w:right w:w="0" w:type="dxa"/>
          </w:tcMar>
        </w:tcPr>
        <w:p w:rsidR="00B75E63" w:rsidRPr="00755F22" w:rsidRDefault="00B75E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B75E63" w:rsidRPr="00755F22" w:rsidRDefault="00B75E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B75E63" w:rsidRPr="00755F22" w:rsidRDefault="00B75E6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75E63" w:rsidRPr="00755F22" w:rsidRDefault="00B75E6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75E63" w:rsidRPr="00755F22" w:rsidRDefault="00B75E6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75E63" w:rsidRPr="00755F22" w:rsidRDefault="00B75E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B75E63" w:rsidRPr="00FF6BA5" w:rsidRDefault="00B75E63"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C5F59"/>
    <w:multiLevelType w:val="hybridMultilevel"/>
    <w:tmpl w:val="F8C664F4"/>
    <w:lvl w:ilvl="0" w:tplc="6958BADC">
      <w:start w:val="1"/>
      <w:numFmt w:val="decimal"/>
      <w:lvlText w:val="%1."/>
      <w:lvlJc w:val="left"/>
      <w:pPr>
        <w:ind w:left="720" w:hanging="360"/>
      </w:pPr>
      <w:rPr>
        <w:rFonts w:ascii="Times New Roman" w:hAnsi="Times New Roman" w:cs="Times New Roman" w:hint="default"/>
        <w:b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6C0B7A"/>
    <w:multiLevelType w:val="hybridMultilevel"/>
    <w:tmpl w:val="6F8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8E7A52"/>
    <w:multiLevelType w:val="hybridMultilevel"/>
    <w:tmpl w:val="6F8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2E53C9"/>
    <w:multiLevelType w:val="hybridMultilevel"/>
    <w:tmpl w:val="F8C664F4"/>
    <w:lvl w:ilvl="0" w:tplc="6958BADC">
      <w:start w:val="1"/>
      <w:numFmt w:val="decimal"/>
      <w:lvlText w:val="%1."/>
      <w:lvlJc w:val="left"/>
      <w:pPr>
        <w:ind w:left="720" w:hanging="360"/>
      </w:pPr>
      <w:rPr>
        <w:rFonts w:ascii="Times New Roman" w:hAnsi="Times New Roman" w:cs="Times New Roman" w:hint="default"/>
        <w:b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80911"/>
  </w:hdrShapeDefaults>
  <w:footnotePr>
    <w:footnote w:id="-1"/>
    <w:footnote w:id="0"/>
  </w:footnotePr>
  <w:endnotePr>
    <w:endnote w:id="-1"/>
    <w:endnote w:id="0"/>
  </w:endnotePr>
  <w:compat>
    <w:compatSetting w:name="compatibilityMode" w:uri="http://schemas.microsoft.com/office/word" w:val="12"/>
  </w:compat>
  <w:rsids>
    <w:rsidRoot w:val="00343E15"/>
    <w:rsid w:val="000021C0"/>
    <w:rsid w:val="000147B8"/>
    <w:rsid w:val="00020DC3"/>
    <w:rsid w:val="0003223B"/>
    <w:rsid w:val="000327B2"/>
    <w:rsid w:val="0004528B"/>
    <w:rsid w:val="00064FBA"/>
    <w:rsid w:val="00091FA6"/>
    <w:rsid w:val="00096BD9"/>
    <w:rsid w:val="000A2923"/>
    <w:rsid w:val="000B3C9A"/>
    <w:rsid w:val="000B40A2"/>
    <w:rsid w:val="000B4624"/>
    <w:rsid w:val="000C0ACD"/>
    <w:rsid w:val="000C0D2A"/>
    <w:rsid w:val="000C5CE8"/>
    <w:rsid w:val="000C7C07"/>
    <w:rsid w:val="000D0761"/>
    <w:rsid w:val="000D71BD"/>
    <w:rsid w:val="000E2959"/>
    <w:rsid w:val="000F0B60"/>
    <w:rsid w:val="00102926"/>
    <w:rsid w:val="0010587F"/>
    <w:rsid w:val="00106318"/>
    <w:rsid w:val="00111C6B"/>
    <w:rsid w:val="0012102B"/>
    <w:rsid w:val="00131D5C"/>
    <w:rsid w:val="0013369E"/>
    <w:rsid w:val="00156842"/>
    <w:rsid w:val="00164E6D"/>
    <w:rsid w:val="00183454"/>
    <w:rsid w:val="0019544D"/>
    <w:rsid w:val="001A46D3"/>
    <w:rsid w:val="001A5310"/>
    <w:rsid w:val="001B157C"/>
    <w:rsid w:val="001B4006"/>
    <w:rsid w:val="001B5C23"/>
    <w:rsid w:val="001C2832"/>
    <w:rsid w:val="001D0D5F"/>
    <w:rsid w:val="001D6B8C"/>
    <w:rsid w:val="001F1F83"/>
    <w:rsid w:val="001F40DF"/>
    <w:rsid w:val="001F6B2D"/>
    <w:rsid w:val="002021A9"/>
    <w:rsid w:val="002105FD"/>
    <w:rsid w:val="002139A7"/>
    <w:rsid w:val="00215F7C"/>
    <w:rsid w:val="0022323B"/>
    <w:rsid w:val="002248E0"/>
    <w:rsid w:val="00233503"/>
    <w:rsid w:val="002410B8"/>
    <w:rsid w:val="00242AEE"/>
    <w:rsid w:val="00245129"/>
    <w:rsid w:val="00245879"/>
    <w:rsid w:val="00267FD5"/>
    <w:rsid w:val="00274D34"/>
    <w:rsid w:val="00283ED8"/>
    <w:rsid w:val="002868D0"/>
    <w:rsid w:val="002A008C"/>
    <w:rsid w:val="002A27D1"/>
    <w:rsid w:val="002A4AFA"/>
    <w:rsid w:val="002B516C"/>
    <w:rsid w:val="002D0B79"/>
    <w:rsid w:val="002D72EB"/>
    <w:rsid w:val="002E2327"/>
    <w:rsid w:val="002E3583"/>
    <w:rsid w:val="002E5576"/>
    <w:rsid w:val="003120AF"/>
    <w:rsid w:val="00331B52"/>
    <w:rsid w:val="003359D3"/>
    <w:rsid w:val="00343378"/>
    <w:rsid w:val="00343E15"/>
    <w:rsid w:val="003469C8"/>
    <w:rsid w:val="003521F0"/>
    <w:rsid w:val="00355967"/>
    <w:rsid w:val="00380F7C"/>
    <w:rsid w:val="00382C47"/>
    <w:rsid w:val="00384384"/>
    <w:rsid w:val="003866AE"/>
    <w:rsid w:val="003B3977"/>
    <w:rsid w:val="003C5E50"/>
    <w:rsid w:val="003E1D4C"/>
    <w:rsid w:val="003E236A"/>
    <w:rsid w:val="004137A0"/>
    <w:rsid w:val="00422D9A"/>
    <w:rsid w:val="00432989"/>
    <w:rsid w:val="00440E24"/>
    <w:rsid w:val="0044776A"/>
    <w:rsid w:val="00460AFC"/>
    <w:rsid w:val="0047471F"/>
    <w:rsid w:val="004B195E"/>
    <w:rsid w:val="004B66B4"/>
    <w:rsid w:val="004B7F60"/>
    <w:rsid w:val="004C0D58"/>
    <w:rsid w:val="004C1AAC"/>
    <w:rsid w:val="004C7555"/>
    <w:rsid w:val="004E1E0A"/>
    <w:rsid w:val="004E7703"/>
    <w:rsid w:val="004F090E"/>
    <w:rsid w:val="004F6C47"/>
    <w:rsid w:val="00501F3C"/>
    <w:rsid w:val="0052229C"/>
    <w:rsid w:val="00527CC7"/>
    <w:rsid w:val="00571CA4"/>
    <w:rsid w:val="00582136"/>
    <w:rsid w:val="005A7DF8"/>
    <w:rsid w:val="005C355B"/>
    <w:rsid w:val="005C6840"/>
    <w:rsid w:val="005F1ED8"/>
    <w:rsid w:val="005F263E"/>
    <w:rsid w:val="00600252"/>
    <w:rsid w:val="00612A40"/>
    <w:rsid w:val="00620EAE"/>
    <w:rsid w:val="0062714A"/>
    <w:rsid w:val="00675479"/>
    <w:rsid w:val="00680709"/>
    <w:rsid w:val="00681F61"/>
    <w:rsid w:val="00696BF9"/>
    <w:rsid w:val="00697C62"/>
    <w:rsid w:val="006A329B"/>
    <w:rsid w:val="006A7EB8"/>
    <w:rsid w:val="006B0118"/>
    <w:rsid w:val="006B6926"/>
    <w:rsid w:val="006C3F47"/>
    <w:rsid w:val="006C5F7A"/>
    <w:rsid w:val="006D146B"/>
    <w:rsid w:val="006E06AF"/>
    <w:rsid w:val="006F350F"/>
    <w:rsid w:val="00701413"/>
    <w:rsid w:val="00732DB7"/>
    <w:rsid w:val="0074238B"/>
    <w:rsid w:val="00745EF7"/>
    <w:rsid w:val="00755F22"/>
    <w:rsid w:val="00766E4A"/>
    <w:rsid w:val="007678C7"/>
    <w:rsid w:val="007820CE"/>
    <w:rsid w:val="00782A64"/>
    <w:rsid w:val="00782AE4"/>
    <w:rsid w:val="00794936"/>
    <w:rsid w:val="0079724F"/>
    <w:rsid w:val="007A3EAE"/>
    <w:rsid w:val="007C04FC"/>
    <w:rsid w:val="007C3DB0"/>
    <w:rsid w:val="007C47C2"/>
    <w:rsid w:val="007D3E0F"/>
    <w:rsid w:val="007E4282"/>
    <w:rsid w:val="007E629B"/>
    <w:rsid w:val="007E7D46"/>
    <w:rsid w:val="007F387B"/>
    <w:rsid w:val="0080189D"/>
    <w:rsid w:val="00802863"/>
    <w:rsid w:val="0080739D"/>
    <w:rsid w:val="008112A9"/>
    <w:rsid w:val="00815B3C"/>
    <w:rsid w:val="0081610A"/>
    <w:rsid w:val="0082783A"/>
    <w:rsid w:val="00831CA9"/>
    <w:rsid w:val="00850E1F"/>
    <w:rsid w:val="0085476B"/>
    <w:rsid w:val="0086340B"/>
    <w:rsid w:val="00890FEB"/>
    <w:rsid w:val="00895E7E"/>
    <w:rsid w:val="008A5C1A"/>
    <w:rsid w:val="008D292F"/>
    <w:rsid w:val="008E03DC"/>
    <w:rsid w:val="008E76CF"/>
    <w:rsid w:val="008E7C88"/>
    <w:rsid w:val="009015D0"/>
    <w:rsid w:val="00902E51"/>
    <w:rsid w:val="00924065"/>
    <w:rsid w:val="00930D68"/>
    <w:rsid w:val="00932DB4"/>
    <w:rsid w:val="00941A4B"/>
    <w:rsid w:val="00946242"/>
    <w:rsid w:val="0095096B"/>
    <w:rsid w:val="00970CD3"/>
    <w:rsid w:val="009723FA"/>
    <w:rsid w:val="00984546"/>
    <w:rsid w:val="00996510"/>
    <w:rsid w:val="009D1F15"/>
    <w:rsid w:val="009D555E"/>
    <w:rsid w:val="009F3024"/>
    <w:rsid w:val="009F39BA"/>
    <w:rsid w:val="009F51D5"/>
    <w:rsid w:val="00A0355E"/>
    <w:rsid w:val="00A375D1"/>
    <w:rsid w:val="00A51D10"/>
    <w:rsid w:val="00A52A83"/>
    <w:rsid w:val="00A62C48"/>
    <w:rsid w:val="00A6552C"/>
    <w:rsid w:val="00A740EA"/>
    <w:rsid w:val="00A86C2A"/>
    <w:rsid w:val="00A87207"/>
    <w:rsid w:val="00A935AA"/>
    <w:rsid w:val="00A956D3"/>
    <w:rsid w:val="00AB2201"/>
    <w:rsid w:val="00AD1D34"/>
    <w:rsid w:val="00AD3259"/>
    <w:rsid w:val="00AF1715"/>
    <w:rsid w:val="00AF3904"/>
    <w:rsid w:val="00B010C0"/>
    <w:rsid w:val="00B07DAF"/>
    <w:rsid w:val="00B4740D"/>
    <w:rsid w:val="00B61629"/>
    <w:rsid w:val="00B64B9A"/>
    <w:rsid w:val="00B7374B"/>
    <w:rsid w:val="00B7387E"/>
    <w:rsid w:val="00B75E63"/>
    <w:rsid w:val="00B90A64"/>
    <w:rsid w:val="00B90DC0"/>
    <w:rsid w:val="00B955B9"/>
    <w:rsid w:val="00BA116A"/>
    <w:rsid w:val="00BA5582"/>
    <w:rsid w:val="00BA6468"/>
    <w:rsid w:val="00BB1D44"/>
    <w:rsid w:val="00BD06DA"/>
    <w:rsid w:val="00BD4217"/>
    <w:rsid w:val="00BD5DE8"/>
    <w:rsid w:val="00BF25F3"/>
    <w:rsid w:val="00BF2812"/>
    <w:rsid w:val="00BF341F"/>
    <w:rsid w:val="00BF4C0E"/>
    <w:rsid w:val="00BF5229"/>
    <w:rsid w:val="00C1697B"/>
    <w:rsid w:val="00C21644"/>
    <w:rsid w:val="00C21CB5"/>
    <w:rsid w:val="00C3091A"/>
    <w:rsid w:val="00C37109"/>
    <w:rsid w:val="00C46376"/>
    <w:rsid w:val="00C50A5C"/>
    <w:rsid w:val="00C50FDF"/>
    <w:rsid w:val="00C63381"/>
    <w:rsid w:val="00C73D06"/>
    <w:rsid w:val="00C73E1B"/>
    <w:rsid w:val="00C759B4"/>
    <w:rsid w:val="00C77713"/>
    <w:rsid w:val="00C85BB7"/>
    <w:rsid w:val="00CA2DEA"/>
    <w:rsid w:val="00CA4548"/>
    <w:rsid w:val="00CB035E"/>
    <w:rsid w:val="00CB3520"/>
    <w:rsid w:val="00CB43D5"/>
    <w:rsid w:val="00CC4D84"/>
    <w:rsid w:val="00CE198A"/>
    <w:rsid w:val="00CF08C8"/>
    <w:rsid w:val="00D004FC"/>
    <w:rsid w:val="00D52851"/>
    <w:rsid w:val="00D64901"/>
    <w:rsid w:val="00D76BDF"/>
    <w:rsid w:val="00D803B6"/>
    <w:rsid w:val="00D818B6"/>
    <w:rsid w:val="00D862C1"/>
    <w:rsid w:val="00D93B50"/>
    <w:rsid w:val="00D94028"/>
    <w:rsid w:val="00D94670"/>
    <w:rsid w:val="00DA46F6"/>
    <w:rsid w:val="00DB4C0B"/>
    <w:rsid w:val="00DD0B49"/>
    <w:rsid w:val="00DD0DB7"/>
    <w:rsid w:val="00DD3B9C"/>
    <w:rsid w:val="00DD7D34"/>
    <w:rsid w:val="00DE0502"/>
    <w:rsid w:val="00DE349D"/>
    <w:rsid w:val="00E06DFA"/>
    <w:rsid w:val="00E20A0A"/>
    <w:rsid w:val="00E240C2"/>
    <w:rsid w:val="00E356C7"/>
    <w:rsid w:val="00E41A5A"/>
    <w:rsid w:val="00E45FE4"/>
    <w:rsid w:val="00E46473"/>
    <w:rsid w:val="00E64FA7"/>
    <w:rsid w:val="00E65DF0"/>
    <w:rsid w:val="00E770CB"/>
    <w:rsid w:val="00E903A1"/>
    <w:rsid w:val="00E940EB"/>
    <w:rsid w:val="00E9703F"/>
    <w:rsid w:val="00EB2B90"/>
    <w:rsid w:val="00ED7E83"/>
    <w:rsid w:val="00EE091F"/>
    <w:rsid w:val="00EF4B63"/>
    <w:rsid w:val="00F0068D"/>
    <w:rsid w:val="00F0576D"/>
    <w:rsid w:val="00F14E6D"/>
    <w:rsid w:val="00F15EA8"/>
    <w:rsid w:val="00F16C8D"/>
    <w:rsid w:val="00F26C61"/>
    <w:rsid w:val="00F33CCE"/>
    <w:rsid w:val="00F40249"/>
    <w:rsid w:val="00F51DB0"/>
    <w:rsid w:val="00F526C8"/>
    <w:rsid w:val="00F52D05"/>
    <w:rsid w:val="00F761A3"/>
    <w:rsid w:val="00F9272D"/>
    <w:rsid w:val="00F9518C"/>
    <w:rsid w:val="00FA316E"/>
    <w:rsid w:val="00FA3373"/>
    <w:rsid w:val="00FA392F"/>
    <w:rsid w:val="00FA59EF"/>
    <w:rsid w:val="00FB19A2"/>
    <w:rsid w:val="00FF3E6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09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BanSummary">
    <w:name w:val="SCC.BanSummary"/>
    <w:basedOn w:val="Normal"/>
    <w:next w:val="Normal"/>
    <w:link w:val="SCCBanSummaryChar"/>
    <w:rsid w:val="00343378"/>
    <w:pPr>
      <w:jc w:val="both"/>
    </w:pPr>
    <w:rPr>
      <w:smallCaps/>
    </w:rPr>
  </w:style>
  <w:style w:type="character" w:customStyle="1" w:styleId="SCCBanSummaryChar">
    <w:name w:val="SCC.BanSummary Char"/>
    <w:basedOn w:val="DefaultParagraphFont"/>
    <w:link w:val="SCCBanSummary"/>
    <w:rsid w:val="00343378"/>
    <w:rPr>
      <w:smallCaps/>
      <w:lang w:val="en-CA"/>
    </w:rPr>
  </w:style>
  <w:style w:type="table" w:customStyle="1" w:styleId="TableGrid2">
    <w:name w:val="Table Grid2"/>
    <w:basedOn w:val="TableNormal"/>
    <w:next w:val="TableGrid"/>
    <w:uiPriority w:val="59"/>
    <w:rsid w:val="000A2923"/>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620EAE"/>
    <w:pPr>
      <w:spacing w:after="240"/>
    </w:pPr>
    <w:rPr>
      <w:rFonts w:eastAsia="Times New Roman" w:cs="Times New Roman"/>
      <w:szCs w:val="24"/>
    </w:rPr>
  </w:style>
  <w:style w:type="character" w:customStyle="1" w:styleId="BodyTextChar">
    <w:name w:val="Body Text Char"/>
    <w:basedOn w:val="DefaultParagraphFont"/>
    <w:link w:val="BodyText"/>
    <w:rsid w:val="00620EAE"/>
    <w:rPr>
      <w:rFonts w:eastAsia="Times New Roman" w:cs="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org/fr/qc/qcca/doc/2014/2014qcca1562/2014qcca1562.html" TargetMode="External"/><Relationship Id="rId39" Type="http://schemas.openxmlformats.org/officeDocument/2006/relationships/hyperlink" Target="http://www.canlii.org/fr/ca/legis/lois/lrc-1985-c-i-15/derniere/lrc-1985-c-i-15.html" TargetMode="External"/><Relationship Id="rId21" Type="http://schemas.openxmlformats.org/officeDocument/2006/relationships/header" Target="header6.xml"/><Relationship Id="rId34" Type="http://schemas.openxmlformats.org/officeDocument/2006/relationships/hyperlink" Target="http://www.canlii.org/fr/qc/qccs/doc/2012/2012qccs6251/2012qccs6251.html" TargetMode="External"/><Relationship Id="rId42" Type="http://schemas.openxmlformats.org/officeDocument/2006/relationships/hyperlink" Target="http://www.canlii.org/fr/qc/qcca/doc/2014/2014qcca1577/2014qcca1577.html" TargetMode="External"/><Relationship Id="rId47" Type="http://schemas.openxmlformats.org/officeDocument/2006/relationships/hyperlink" Target="http://www.canlii.org/en/bc/bcsc/doc/2013/2013bcsc2007/2013bcsc2007.html" TargetMode="External"/><Relationship Id="rId50" Type="http://schemas.openxmlformats.org/officeDocument/2006/relationships/header" Target="header8.xml"/><Relationship Id="rId55" Type="http://schemas.openxmlformats.org/officeDocument/2006/relationships/footer" Target="footer10.xml"/><Relationship Id="rId63" Type="http://schemas.openxmlformats.org/officeDocument/2006/relationships/hyperlink" Target="http://www.scc-csc.ca/case-dossier/info/sum-som-eng.aspx?cas=35838" TargetMode="External"/><Relationship Id="rId68" Type="http://schemas.openxmlformats.org/officeDocument/2006/relationships/footer" Target="footer14.xml"/><Relationship Id="rId76" Type="http://schemas.openxmlformats.org/officeDocument/2006/relationships/header" Target="header19.xml"/><Relationship Id="rId84" Type="http://schemas.openxmlformats.org/officeDocument/2006/relationships/footer" Target="footer22.xml"/><Relationship Id="rId7" Type="http://schemas.openxmlformats.org/officeDocument/2006/relationships/endnotes" Target="endnotes.xml"/><Relationship Id="rId71"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fr/qc/legis/lois/rlrq-c-p-40.1/derniere/rlrq-c-p-40.1.html"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fr/ca/legis/lois/lrc-1985-c-i-15/derniere/lrc-1985-c-i-15.html" TargetMode="External"/><Relationship Id="rId37" Type="http://schemas.openxmlformats.org/officeDocument/2006/relationships/hyperlink" Target="http://www.canlii.org/fr/qc/legis/lois/rlrq-c-p-40.1/derniere/rlrq-c-p-40.1.html" TargetMode="External"/><Relationship Id="rId40" Type="http://schemas.openxmlformats.org/officeDocument/2006/relationships/hyperlink" Target="http://www.canlii.org/fr/qc/qccs/doc/2011/2011qccs5343/2011qccs5343.html" TargetMode="External"/><Relationship Id="rId45" Type="http://schemas.openxmlformats.org/officeDocument/2006/relationships/hyperlink" Target="http://www.canlii.org/en/bc/laws/stat/rsbc-1996-c-492/latest/rsbc-1996-c-492.html" TargetMode="External"/><Relationship Id="rId53" Type="http://schemas.openxmlformats.org/officeDocument/2006/relationships/footer" Target="footer9.xml"/><Relationship Id="rId58" Type="http://schemas.openxmlformats.org/officeDocument/2006/relationships/footer" Target="footer11.xml"/><Relationship Id="rId66" Type="http://schemas.openxmlformats.org/officeDocument/2006/relationships/header" Target="header14.xml"/><Relationship Id="rId74" Type="http://schemas.openxmlformats.org/officeDocument/2006/relationships/footer" Target="footer17.xml"/><Relationship Id="rId79" Type="http://schemas.openxmlformats.org/officeDocument/2006/relationships/header" Target="header20.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13.xml"/><Relationship Id="rId82" Type="http://schemas.openxmlformats.org/officeDocument/2006/relationships/footer" Target="footer2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qc/qccs/doc/2012/2012qccs1797/2012qccs1797.html" TargetMode="External"/><Relationship Id="rId30" Type="http://schemas.openxmlformats.org/officeDocument/2006/relationships/hyperlink" Target="http://www.canlii.org/fr/qc/legis/lois/rlrq-c-p-40.1/derniere/rlrq-c-p-40.1.html" TargetMode="External"/><Relationship Id="rId35" Type="http://schemas.openxmlformats.org/officeDocument/2006/relationships/hyperlink" Target="http://www.canlii.org/fr/qc/qcca/doc/2014/2014qcca1577/2014qcca1577.html" TargetMode="External"/><Relationship Id="rId43" Type="http://schemas.openxmlformats.org/officeDocument/2006/relationships/hyperlink" Target="http://www.canlii.org/en/bc/bcsc/doc/2013/2013bcsc2007/2013bcsc2007.html" TargetMode="External"/><Relationship Id="rId48" Type="http://schemas.openxmlformats.org/officeDocument/2006/relationships/hyperlink" Target="http://www.canlii.org/en/bc/laws/stat/rsbc-1996-c-492/latest/rsbc-1996-c-492.html" TargetMode="External"/><Relationship Id="rId56" Type="http://schemas.openxmlformats.org/officeDocument/2006/relationships/header" Target="header11.xml"/><Relationship Id="rId64" Type="http://schemas.openxmlformats.org/officeDocument/2006/relationships/hyperlink" Target="http://www.scc-csc.ca/case-dossier/info/sum-som-fra.aspx?cas=35461" TargetMode="External"/><Relationship Id="rId69" Type="http://schemas.openxmlformats.org/officeDocument/2006/relationships/footer" Target="footer15.xml"/><Relationship Id="rId77" Type="http://schemas.openxmlformats.org/officeDocument/2006/relationships/footer" Target="footer19.xml"/><Relationship Id="rId8" Type="http://schemas.openxmlformats.org/officeDocument/2006/relationships/image" Target="media/image1.wmf"/><Relationship Id="rId51" Type="http://schemas.openxmlformats.org/officeDocument/2006/relationships/header" Target="header9.xml"/><Relationship Id="rId72" Type="http://schemas.openxmlformats.org/officeDocument/2006/relationships/header" Target="header17.xml"/><Relationship Id="rId80" Type="http://schemas.openxmlformats.org/officeDocument/2006/relationships/header" Target="header21.xml"/><Relationship Id="rId85" Type="http://schemas.openxmlformats.org/officeDocument/2006/relationships/header" Target="header2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qc/qccs/doc/2012/2012qccs1797/2012qccs1797.html" TargetMode="External"/><Relationship Id="rId33" Type="http://schemas.openxmlformats.org/officeDocument/2006/relationships/hyperlink" Target="http://www.canlii.org/fr/qc/qccs/doc/2011/2011qccs5343/2011qccs5343.html" TargetMode="External"/><Relationship Id="rId38" Type="http://schemas.openxmlformats.org/officeDocument/2006/relationships/hyperlink" Target="http://www.canlii.org/fr/qc/legis/lois/rlrq-c-c-1991/derniere/rlrq-c-c-1991.html" TargetMode="External"/><Relationship Id="rId46" Type="http://schemas.openxmlformats.org/officeDocument/2006/relationships/hyperlink" Target="http://www.canlii.org/en/bc/bcca/doc/2014/2014bcca353/2014bcca353.html?searchUrlHash=AAAAAQBId29ya2VycyBjb21wZW5zYXRpb24gYm9hcmQgb2YgYnJpdGlzaCBjb2x1bWJpYSB2LiBCcml0aXNoIGNvbHVtYmlhIGh5ZHJvAAAAAAE&amp;resultIndex=1" TargetMode="External"/><Relationship Id="rId59" Type="http://schemas.openxmlformats.org/officeDocument/2006/relationships/footer" Target="footer12.xml"/><Relationship Id="rId67" Type="http://schemas.openxmlformats.org/officeDocument/2006/relationships/header" Target="header15.xml"/><Relationship Id="rId20" Type="http://schemas.openxmlformats.org/officeDocument/2006/relationships/footer" Target="footer5.xml"/><Relationship Id="rId41" Type="http://schemas.openxmlformats.org/officeDocument/2006/relationships/hyperlink" Target="http://www.canlii.org/fr/qc/qccs/doc/2012/2012qccs6251/2012qccs6251.html" TargetMode="External"/><Relationship Id="rId54" Type="http://schemas.openxmlformats.org/officeDocument/2006/relationships/header" Target="header10.xml"/><Relationship Id="rId62" Type="http://schemas.openxmlformats.org/officeDocument/2006/relationships/hyperlink" Target="http://www.scc-csc.ca/case-dossier/info/sum-som-eng.aspx?cas=35918" TargetMode="External"/><Relationship Id="rId70" Type="http://schemas.openxmlformats.org/officeDocument/2006/relationships/header" Target="header16.xml"/><Relationship Id="rId75" Type="http://schemas.openxmlformats.org/officeDocument/2006/relationships/footer" Target="footer18.xml"/><Relationship Id="rId83" Type="http://schemas.openxmlformats.org/officeDocument/2006/relationships/header" Target="header22.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fr/qc/qcca/doc/2014/2014qcca1562/2014qcca1562.html" TargetMode="External"/><Relationship Id="rId36" Type="http://schemas.openxmlformats.org/officeDocument/2006/relationships/hyperlink" Target="http://www.canlii.org/fr/qc/legis/lois/rlrq-c-p-40.1/derniere/rlrq-c-p-40.1.html" TargetMode="External"/><Relationship Id="rId49" Type="http://schemas.openxmlformats.org/officeDocument/2006/relationships/hyperlink" Target="http://www.canlii.org/en/bc/bcca/doc/2014/2014bcca353/2014bcca353.html?searchUrlHash=AAAAAQBId29ya2VycyBjb21wZW5zYXRpb24gYm9hcmQgb2YgYnJpdGlzaCBjb2x1bWJpYSB2LiBCcml0aXNoIGNvbHVtYmlhIGh5ZHJvAAAAAAE&amp;resultIndex=1" TargetMode="External"/><Relationship Id="rId57" Type="http://schemas.openxmlformats.org/officeDocument/2006/relationships/header" Target="header12.xml"/><Relationship Id="rId10" Type="http://schemas.openxmlformats.org/officeDocument/2006/relationships/hyperlink" Target="http://www.scc-csc.ca" TargetMode="External"/><Relationship Id="rId31" Type="http://schemas.openxmlformats.org/officeDocument/2006/relationships/hyperlink" Target="http://www.canlii.org/fr/qc/legis/lois/rlrq-c-c-1991/derniere/rlrq-c-c-1991.html" TargetMode="External"/><Relationship Id="rId44" Type="http://schemas.openxmlformats.org/officeDocument/2006/relationships/hyperlink" Target="http://www.canlii.org/en/bc/laws/stat/rsbc-1996-c-492/latest/rsbc-1996-c-492.html" TargetMode="External"/><Relationship Id="rId52" Type="http://schemas.openxmlformats.org/officeDocument/2006/relationships/footer" Target="footer8.xml"/><Relationship Id="rId60" Type="http://schemas.openxmlformats.org/officeDocument/2006/relationships/header" Target="header13.xml"/><Relationship Id="rId65" Type="http://schemas.openxmlformats.org/officeDocument/2006/relationships/hyperlink" Target="http://www.scc-csc.ca/case-dossier/info/sum-som-eng.aspx?cas=36107" TargetMode="External"/><Relationship Id="rId73" Type="http://schemas.openxmlformats.org/officeDocument/2006/relationships/header" Target="header18.xml"/><Relationship Id="rId78" Type="http://schemas.openxmlformats.org/officeDocument/2006/relationships/hyperlink" Target="http://www.scc-csc.ca/case-dossier/info/sum-som-eng.aspx?cas=35201" TargetMode="External"/><Relationship Id="rId81" Type="http://schemas.openxmlformats.org/officeDocument/2006/relationships/footer" Target="footer20.xml"/><Relationship Id="rId86"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84A57-F68F-40C3-86D6-280EF22B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18198</Words>
  <Characters>103733</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2015-03-16T18:18:00Z</dcterms:created>
  <dcterms:modified xsi:type="dcterms:W3CDTF">2015-11-26T21:24:00Z</dcterms:modified>
</cp:coreProperties>
</file>