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C5A4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C5A4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5A4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C5A4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C5A48" w:rsidTr="002E5576">
        <w:tc>
          <w:tcPr>
            <w:tcW w:w="4518" w:type="dxa"/>
          </w:tcPr>
          <w:p w:rsidR="00BF25F3" w:rsidRPr="002E2327" w:rsidRDefault="009E55C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9E55C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C5A4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C5A4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9C5A4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9C5A4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05C6A" w:rsidP="00F0068D">
      <w:pPr>
        <w:pBdr>
          <w:bottom w:val="single" w:sz="6" w:space="1" w:color="auto"/>
        </w:pBdr>
        <w:tabs>
          <w:tab w:val="center" w:pos="4680"/>
          <w:tab w:val="right" w:pos="9360"/>
        </w:tabs>
        <w:rPr>
          <w:lang w:val="fr-CA"/>
        </w:rPr>
      </w:pPr>
      <w:r>
        <w:rPr>
          <w:lang w:val="fr-CA"/>
        </w:rPr>
        <w:t>Ap</w:t>
      </w:r>
      <w:r w:rsidR="00C73D06">
        <w:rPr>
          <w:lang w:val="fr-CA"/>
        </w:rPr>
        <w:t>r</w:t>
      </w:r>
      <w:r>
        <w:rPr>
          <w:lang w:val="fr-CA"/>
        </w:rPr>
        <w:t>il</w:t>
      </w:r>
      <w:r w:rsidR="00440E24" w:rsidRPr="00675479">
        <w:rPr>
          <w:lang w:val="fr-CA"/>
        </w:rPr>
        <w:t xml:space="preserve"> </w:t>
      </w:r>
      <w:r>
        <w:rPr>
          <w:lang w:val="fr-CA"/>
        </w:rPr>
        <w:t>2</w:t>
      </w:r>
      <w:r w:rsidR="00440E24" w:rsidRPr="00675479">
        <w:rPr>
          <w:lang w:val="fr-CA"/>
        </w:rPr>
        <w:t>, 201</w:t>
      </w:r>
      <w:r w:rsidR="00020DC3">
        <w:rPr>
          <w:lang w:val="fr-CA"/>
        </w:rPr>
        <w:t>5</w:t>
      </w:r>
      <w:r w:rsidR="00F0068D" w:rsidRPr="00675479">
        <w:rPr>
          <w:lang w:val="fr-CA"/>
        </w:rPr>
        <w:tab/>
      </w:r>
      <w:r w:rsidR="00EF56B1">
        <w:rPr>
          <w:lang w:val="fr-CA"/>
        </w:rPr>
        <w:t>57</w:t>
      </w:r>
      <w:r w:rsidR="00F0068D" w:rsidRPr="00675479">
        <w:rPr>
          <w:lang w:val="fr-CA"/>
        </w:rPr>
        <w:t xml:space="preserve">1 - </w:t>
      </w:r>
      <w:r w:rsidR="00E16DBA">
        <w:rPr>
          <w:lang w:val="fr-CA"/>
        </w:rPr>
        <w:t>598</w:t>
      </w:r>
      <w:r w:rsidR="00440E24" w:rsidRPr="00675479">
        <w:rPr>
          <w:lang w:val="fr-CA"/>
        </w:rPr>
        <w:tab/>
      </w:r>
      <w:r w:rsidR="00440E24" w:rsidRPr="002E2327">
        <w:rPr>
          <w:lang w:val="fr-CA"/>
        </w:rPr>
        <w:t>Le</w:t>
      </w:r>
      <w:r w:rsidR="00C73D06">
        <w:rPr>
          <w:lang w:val="fr-CA"/>
        </w:rPr>
        <w:t xml:space="preserve"> </w:t>
      </w:r>
      <w:r>
        <w:rPr>
          <w:lang w:val="fr-CA"/>
        </w:rPr>
        <w:t>2</w:t>
      </w:r>
      <w:r w:rsidR="00C73D06">
        <w:rPr>
          <w:lang w:val="fr-CA"/>
        </w:rPr>
        <w:t xml:space="preserve"> </w:t>
      </w:r>
      <w:r w:rsidR="00440E24" w:rsidRPr="002E2327">
        <w:rPr>
          <w:lang w:val="fr-CA"/>
        </w:rPr>
        <w:t>av</w:t>
      </w:r>
      <w:r w:rsidR="00C73D06">
        <w:rPr>
          <w:lang w:val="fr-CA"/>
        </w:rPr>
        <w:t>r</w:t>
      </w:r>
      <w:r>
        <w:rPr>
          <w:lang w:val="fr-CA"/>
        </w:rPr>
        <w:t>il</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F23A34" w:rsidRDefault="00440E24" w:rsidP="00440E24">
      <w:pPr>
        <w:pBdr>
          <w:bottom w:val="single" w:sz="6" w:space="1" w:color="auto"/>
        </w:pBdr>
        <w:tabs>
          <w:tab w:val="right" w:pos="9360"/>
        </w:tabs>
        <w:rPr>
          <w:sz w:val="18"/>
          <w:szCs w:val="18"/>
        </w:rPr>
      </w:pPr>
      <w:r w:rsidRPr="00F23A34">
        <w:rPr>
          <w:sz w:val="18"/>
          <w:szCs w:val="18"/>
        </w:rPr>
        <w:t>© Supreme Court of Canada (201</w:t>
      </w:r>
      <w:r w:rsidR="00020DC3" w:rsidRPr="00F23A34">
        <w:rPr>
          <w:sz w:val="18"/>
          <w:szCs w:val="18"/>
        </w:rPr>
        <w:t>5</w:t>
      </w:r>
      <w:r w:rsidRPr="00F23A34">
        <w:rPr>
          <w:sz w:val="18"/>
          <w:szCs w:val="18"/>
        </w:rPr>
        <w:t>)</w:t>
      </w:r>
      <w:r w:rsidRPr="00F23A34">
        <w:rPr>
          <w:sz w:val="18"/>
          <w:szCs w:val="18"/>
        </w:rPr>
        <w:tab/>
        <w:t>© Cour suprême du Canada (201</w:t>
      </w:r>
      <w:r w:rsidR="00020DC3" w:rsidRPr="00F23A34">
        <w:rPr>
          <w:sz w:val="18"/>
          <w:szCs w:val="18"/>
        </w:rPr>
        <w:t>5</w:t>
      </w:r>
      <w:r w:rsidRPr="00F23A34">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C5A4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2D7093">
            <w:pPr>
              <w:tabs>
                <w:tab w:val="right" w:pos="9360"/>
              </w:tabs>
              <w:rPr>
                <w:rFonts w:cs="Times New Roman"/>
                <w:sz w:val="20"/>
                <w:szCs w:val="20"/>
              </w:rPr>
            </w:pPr>
          </w:p>
        </w:tc>
        <w:tc>
          <w:tcPr>
            <w:tcW w:w="1980" w:type="dxa"/>
          </w:tcPr>
          <w:p w:rsidR="0095096B" w:rsidRPr="00FA611A" w:rsidRDefault="00EF56B1" w:rsidP="0095096B">
            <w:pPr>
              <w:jc w:val="center"/>
              <w:rPr>
                <w:rFonts w:cs="Times New Roman"/>
                <w:sz w:val="20"/>
                <w:szCs w:val="20"/>
                <w:lang w:val="fr-CA"/>
              </w:rPr>
            </w:pPr>
            <w:r>
              <w:rPr>
                <w:rFonts w:cs="Times New Roman"/>
                <w:sz w:val="20"/>
                <w:szCs w:val="20"/>
              </w:rPr>
              <w:t>571</w:t>
            </w:r>
            <w:r w:rsidR="009E55C9" w:rsidRPr="002E2327">
              <w:rPr>
                <w:rFonts w:cs="Times New Roman"/>
                <w:sz w:val="20"/>
                <w:szCs w:val="20"/>
              </w:rPr>
              <w:fldChar w:fldCharType="begin"/>
            </w:r>
            <w:r w:rsidR="0095096B" w:rsidRPr="00FA611A">
              <w:rPr>
                <w:rFonts w:cs="Times New Roman"/>
                <w:sz w:val="20"/>
                <w:szCs w:val="20"/>
                <w:lang w:val="fr-CA"/>
              </w:rPr>
              <w:instrText xml:space="preserve"> SEQ CHAPTER \h \r 1</w:instrText>
            </w:r>
            <w:r w:rsidR="009E55C9" w:rsidRPr="002E2327">
              <w:rPr>
                <w:rFonts w:cs="Times New Roman"/>
                <w:sz w:val="20"/>
                <w:szCs w:val="20"/>
              </w:rPr>
              <w:fldChar w:fldCharType="end"/>
            </w:r>
          </w:p>
          <w:p w:rsidR="0095096B" w:rsidRPr="00FA611A" w:rsidRDefault="0095096B" w:rsidP="0095096B">
            <w:pPr>
              <w:jc w:val="center"/>
              <w:rPr>
                <w:rFonts w:cs="Times New Roman"/>
                <w:sz w:val="20"/>
                <w:szCs w:val="20"/>
                <w:lang w:val="fr-CA"/>
              </w:rPr>
            </w:pPr>
          </w:p>
          <w:p w:rsidR="0095096B" w:rsidRPr="00FA611A" w:rsidRDefault="0095096B" w:rsidP="0095096B">
            <w:pPr>
              <w:jc w:val="center"/>
              <w:rPr>
                <w:rFonts w:cs="Times New Roman"/>
                <w:sz w:val="20"/>
                <w:szCs w:val="20"/>
                <w:lang w:val="fr-CA"/>
              </w:rPr>
            </w:pPr>
          </w:p>
          <w:p w:rsidR="0095096B" w:rsidRPr="00FA611A" w:rsidRDefault="00822961" w:rsidP="0095096B">
            <w:pPr>
              <w:jc w:val="center"/>
              <w:rPr>
                <w:rFonts w:cs="Times New Roman"/>
                <w:sz w:val="20"/>
                <w:szCs w:val="20"/>
                <w:lang w:val="fr-CA"/>
              </w:rPr>
            </w:pPr>
            <w:r>
              <w:rPr>
                <w:rFonts w:cs="Times New Roman"/>
                <w:sz w:val="20"/>
                <w:szCs w:val="20"/>
                <w:lang w:val="fr-CA"/>
              </w:rPr>
              <w:t>572</w:t>
            </w:r>
          </w:p>
          <w:p w:rsidR="0095096B" w:rsidRPr="00FA611A" w:rsidRDefault="0095096B" w:rsidP="0095096B">
            <w:pPr>
              <w:jc w:val="center"/>
              <w:rPr>
                <w:rFonts w:cs="Times New Roman"/>
                <w:sz w:val="20"/>
                <w:szCs w:val="20"/>
                <w:lang w:val="fr-CA"/>
              </w:rPr>
            </w:pPr>
          </w:p>
          <w:p w:rsidR="0095096B" w:rsidRPr="00FA611A" w:rsidRDefault="0095096B" w:rsidP="0095096B">
            <w:pPr>
              <w:jc w:val="center"/>
              <w:rPr>
                <w:rFonts w:cs="Times New Roman"/>
                <w:sz w:val="20"/>
                <w:szCs w:val="20"/>
                <w:lang w:val="fr-CA"/>
              </w:rPr>
            </w:pPr>
          </w:p>
          <w:p w:rsidR="0095096B" w:rsidRPr="00FA611A" w:rsidRDefault="002D7093" w:rsidP="0095096B">
            <w:pPr>
              <w:jc w:val="center"/>
              <w:rPr>
                <w:rFonts w:cs="Times New Roman"/>
                <w:sz w:val="20"/>
                <w:szCs w:val="20"/>
                <w:lang w:val="fr-CA"/>
              </w:rPr>
            </w:pPr>
            <w:r>
              <w:rPr>
                <w:rFonts w:cs="Times New Roman"/>
                <w:sz w:val="20"/>
                <w:szCs w:val="20"/>
                <w:lang w:val="fr-CA"/>
              </w:rPr>
              <w:t xml:space="preserve">573 </w:t>
            </w:r>
            <w:r w:rsidR="0095096B" w:rsidRPr="00FA611A">
              <w:rPr>
                <w:rFonts w:cs="Times New Roman"/>
                <w:sz w:val="20"/>
                <w:szCs w:val="20"/>
                <w:lang w:val="fr-CA"/>
              </w:rPr>
              <w:t>-</w:t>
            </w:r>
            <w:r>
              <w:rPr>
                <w:rFonts w:cs="Times New Roman"/>
                <w:sz w:val="20"/>
                <w:szCs w:val="20"/>
                <w:lang w:val="fr-CA"/>
              </w:rPr>
              <w:t xml:space="preserve"> </w:t>
            </w:r>
            <w:r w:rsidR="003F68A7">
              <w:rPr>
                <w:rFonts w:cs="Times New Roman"/>
                <w:sz w:val="20"/>
                <w:szCs w:val="20"/>
                <w:lang w:val="fr-CA"/>
              </w:rPr>
              <w:t>584</w:t>
            </w:r>
          </w:p>
          <w:p w:rsidR="0095096B" w:rsidRPr="00FA611A" w:rsidRDefault="0095096B" w:rsidP="0095096B">
            <w:pPr>
              <w:jc w:val="center"/>
              <w:rPr>
                <w:rFonts w:cs="Times New Roman"/>
                <w:sz w:val="20"/>
                <w:szCs w:val="20"/>
                <w:lang w:val="fr-CA"/>
              </w:rPr>
            </w:pPr>
          </w:p>
          <w:p w:rsidR="0095096B" w:rsidRPr="00FA611A" w:rsidRDefault="0095096B" w:rsidP="0095096B">
            <w:pPr>
              <w:jc w:val="center"/>
              <w:rPr>
                <w:rFonts w:cs="Times New Roman"/>
                <w:sz w:val="20"/>
                <w:szCs w:val="20"/>
                <w:lang w:val="fr-CA"/>
              </w:rPr>
            </w:pPr>
          </w:p>
          <w:p w:rsidR="0095096B" w:rsidRPr="00FA611A" w:rsidRDefault="003F68A7" w:rsidP="0095096B">
            <w:pPr>
              <w:jc w:val="center"/>
              <w:rPr>
                <w:rFonts w:cs="Times New Roman"/>
                <w:sz w:val="20"/>
                <w:szCs w:val="20"/>
                <w:lang w:val="fr-CA"/>
              </w:rPr>
            </w:pPr>
            <w:r>
              <w:rPr>
                <w:rFonts w:cs="Times New Roman"/>
                <w:sz w:val="20"/>
                <w:szCs w:val="20"/>
                <w:lang w:val="fr-CA"/>
              </w:rPr>
              <w:t>585</w:t>
            </w:r>
          </w:p>
          <w:p w:rsidR="0095096B" w:rsidRPr="00FA611A" w:rsidRDefault="0095096B" w:rsidP="0095096B">
            <w:pPr>
              <w:jc w:val="center"/>
              <w:rPr>
                <w:rFonts w:cs="Times New Roman"/>
                <w:sz w:val="20"/>
                <w:szCs w:val="20"/>
                <w:lang w:val="fr-CA"/>
              </w:rPr>
            </w:pPr>
          </w:p>
          <w:p w:rsidR="0095096B" w:rsidRPr="00FA611A" w:rsidRDefault="00FA611A" w:rsidP="0095096B">
            <w:pPr>
              <w:jc w:val="center"/>
              <w:rPr>
                <w:rFonts w:cs="Times New Roman"/>
                <w:sz w:val="20"/>
                <w:szCs w:val="20"/>
                <w:lang w:val="fr-CA"/>
              </w:rPr>
            </w:pPr>
            <w:r>
              <w:rPr>
                <w:rFonts w:cs="Times New Roman"/>
                <w:sz w:val="20"/>
                <w:szCs w:val="20"/>
                <w:lang w:val="fr-CA"/>
              </w:rPr>
              <w:t>5</w:t>
            </w:r>
            <w:r w:rsidR="003F68A7">
              <w:rPr>
                <w:rFonts w:cs="Times New Roman"/>
                <w:sz w:val="20"/>
                <w:szCs w:val="20"/>
                <w:lang w:val="fr-CA"/>
              </w:rPr>
              <w:t>86</w:t>
            </w:r>
          </w:p>
          <w:p w:rsidR="0095096B" w:rsidRPr="00FA611A" w:rsidRDefault="0095096B" w:rsidP="0095096B">
            <w:pPr>
              <w:jc w:val="center"/>
              <w:rPr>
                <w:rFonts w:cs="Times New Roman"/>
                <w:sz w:val="20"/>
                <w:szCs w:val="20"/>
                <w:lang w:val="fr-CA"/>
              </w:rPr>
            </w:pPr>
          </w:p>
          <w:p w:rsidR="0095096B" w:rsidRPr="00FA611A" w:rsidRDefault="00FA611A" w:rsidP="0095096B">
            <w:pPr>
              <w:jc w:val="center"/>
              <w:rPr>
                <w:rFonts w:cs="Times New Roman"/>
                <w:sz w:val="20"/>
                <w:szCs w:val="20"/>
                <w:lang w:val="fr-CA"/>
              </w:rPr>
            </w:pPr>
            <w:r w:rsidRPr="00FA611A">
              <w:rPr>
                <w:rFonts w:cs="Times New Roman"/>
                <w:sz w:val="20"/>
                <w:szCs w:val="20"/>
                <w:lang w:val="fr-CA"/>
              </w:rPr>
              <w:t>5</w:t>
            </w:r>
            <w:r w:rsidR="003F68A7">
              <w:rPr>
                <w:rFonts w:cs="Times New Roman"/>
                <w:sz w:val="20"/>
                <w:szCs w:val="20"/>
                <w:lang w:val="fr-CA"/>
              </w:rPr>
              <w:t>87</w:t>
            </w:r>
            <w:r w:rsidRPr="00FA611A">
              <w:rPr>
                <w:rFonts w:cs="Times New Roman"/>
                <w:sz w:val="20"/>
                <w:szCs w:val="20"/>
                <w:lang w:val="fr-CA"/>
              </w:rPr>
              <w:t xml:space="preserve"> </w:t>
            </w:r>
            <w:r w:rsidR="00F23A34">
              <w:rPr>
                <w:rFonts w:cs="Times New Roman"/>
                <w:sz w:val="20"/>
                <w:szCs w:val="20"/>
                <w:lang w:val="fr-CA"/>
              </w:rPr>
              <w:t>-</w:t>
            </w:r>
            <w:r>
              <w:rPr>
                <w:rFonts w:cs="Times New Roman"/>
                <w:sz w:val="20"/>
                <w:szCs w:val="20"/>
                <w:lang w:val="fr-CA"/>
              </w:rPr>
              <w:t xml:space="preserve"> 5</w:t>
            </w:r>
            <w:r w:rsidR="003F68A7">
              <w:rPr>
                <w:rFonts w:cs="Times New Roman"/>
                <w:sz w:val="20"/>
                <w:szCs w:val="20"/>
                <w:lang w:val="fr-CA"/>
              </w:rPr>
              <w:t>98</w:t>
            </w:r>
          </w:p>
          <w:p w:rsidR="00A87207" w:rsidRPr="00FA611A" w:rsidRDefault="00A87207" w:rsidP="002D7093">
            <w:pPr>
              <w:jc w:val="center"/>
              <w:rPr>
                <w:rFonts w:cs="Times New Roman"/>
                <w:sz w:val="20"/>
                <w:szCs w:val="20"/>
                <w:lang w:val="fr-CA"/>
              </w:rPr>
            </w:pPr>
          </w:p>
        </w:tc>
        <w:tc>
          <w:tcPr>
            <w:tcW w:w="3888" w:type="dxa"/>
          </w:tcPr>
          <w:p w:rsidR="0095096B" w:rsidRPr="002E2327" w:rsidRDefault="009E55C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2D7093">
            <w:pPr>
              <w:tabs>
                <w:tab w:val="right" w:pos="9360"/>
              </w:tabs>
              <w:rPr>
                <w:rFonts w:cs="Times New Roman"/>
                <w:sz w:val="20"/>
                <w:szCs w:val="20"/>
                <w:lang w:val="fr-CA"/>
              </w:rPr>
            </w:pPr>
          </w:p>
        </w:tc>
      </w:tr>
    </w:tbl>
    <w:p w:rsidR="0095096B" w:rsidRPr="0029560C" w:rsidRDefault="0095096B" w:rsidP="0095096B">
      <w:pPr>
        <w:tabs>
          <w:tab w:val="right" w:pos="9360"/>
        </w:tabs>
        <w:rPr>
          <w:sz w:val="20"/>
          <w:szCs w:val="20"/>
          <w:lang w:val="fr-CA"/>
        </w:rPr>
      </w:pPr>
    </w:p>
    <w:p w:rsidR="002D7093" w:rsidRPr="0029560C" w:rsidRDefault="002D7093" w:rsidP="0095096B">
      <w:pPr>
        <w:tabs>
          <w:tab w:val="right" w:pos="9360"/>
        </w:tabs>
        <w:rPr>
          <w:sz w:val="20"/>
          <w:szCs w:val="20"/>
          <w:lang w:val="fr-CA"/>
        </w:rPr>
      </w:pPr>
    </w:p>
    <w:p w:rsidR="002D7093" w:rsidRPr="0029560C" w:rsidRDefault="002D7093" w:rsidP="0095096B">
      <w:pPr>
        <w:tabs>
          <w:tab w:val="right" w:pos="9360"/>
        </w:tabs>
        <w:rPr>
          <w:sz w:val="20"/>
          <w:szCs w:val="20"/>
          <w:lang w:val="fr-CA"/>
        </w:rPr>
      </w:pPr>
    </w:p>
    <w:p w:rsidR="002D7093" w:rsidRPr="0029560C" w:rsidRDefault="002D7093" w:rsidP="0095096B">
      <w:pPr>
        <w:tabs>
          <w:tab w:val="right" w:pos="9360"/>
        </w:tabs>
        <w:rPr>
          <w:sz w:val="20"/>
          <w:szCs w:val="20"/>
          <w:lang w:val="fr-CA"/>
        </w:rPr>
      </w:pPr>
    </w:p>
    <w:p w:rsidR="002D7093" w:rsidRPr="0029560C" w:rsidRDefault="002D7093"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9C5A4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EF56B1" w:rsidP="005F1ED8">
            <w:pPr>
              <w:rPr>
                <w:b/>
                <w:sz w:val="20"/>
                <w:szCs w:val="20"/>
              </w:rPr>
            </w:pPr>
            <w:r>
              <w:rPr>
                <w:b/>
                <w:sz w:val="20"/>
                <w:szCs w:val="20"/>
              </w:rPr>
              <w:t>Chung J</w:t>
            </w:r>
            <w:r w:rsidR="00C21644">
              <w:rPr>
                <w:b/>
                <w:sz w:val="20"/>
                <w:szCs w:val="20"/>
              </w:rPr>
              <w:t>i</w:t>
            </w:r>
            <w:r>
              <w:rPr>
                <w:b/>
                <w:sz w:val="20"/>
                <w:szCs w:val="20"/>
              </w:rPr>
              <w:t>n P</w:t>
            </w:r>
            <w:r w:rsidR="00C21644">
              <w:rPr>
                <w:b/>
                <w:sz w:val="20"/>
                <w:szCs w:val="20"/>
              </w:rPr>
              <w:t>a</w:t>
            </w:r>
            <w:r>
              <w:rPr>
                <w:b/>
                <w:sz w:val="20"/>
                <w:szCs w:val="20"/>
              </w:rPr>
              <w:t>rk</w:t>
            </w:r>
          </w:p>
          <w:p w:rsidR="00C21644" w:rsidRPr="00A935AA" w:rsidRDefault="00C21644" w:rsidP="005F1ED8">
            <w:pPr>
              <w:tabs>
                <w:tab w:val="left" w:pos="-1440"/>
                <w:tab w:val="left" w:pos="-720"/>
              </w:tabs>
              <w:rPr>
                <w:sz w:val="20"/>
                <w:szCs w:val="20"/>
              </w:rPr>
            </w:pPr>
            <w:r w:rsidRPr="00A935AA">
              <w:rPr>
                <w:sz w:val="20"/>
                <w:szCs w:val="20"/>
              </w:rPr>
              <w:tab/>
            </w:r>
            <w:r w:rsidR="00EF56B1">
              <w:rPr>
                <w:sz w:val="20"/>
                <w:szCs w:val="20"/>
              </w:rPr>
              <w:t>Chung Jin Pa</w:t>
            </w:r>
            <w:r>
              <w:rPr>
                <w:sz w:val="20"/>
                <w:szCs w:val="20"/>
              </w:rPr>
              <w:t>r</w:t>
            </w:r>
            <w:r w:rsidR="00EF56B1">
              <w:rPr>
                <w:sz w:val="20"/>
                <w:szCs w:val="20"/>
              </w:rPr>
              <w:t>k</w:t>
            </w:r>
            <w:r>
              <w:rPr>
                <w:sz w:val="20"/>
                <w:szCs w:val="20"/>
              </w:rPr>
              <w:t xml:space="preserve"> </w:t>
            </w:r>
          </w:p>
          <w:p w:rsidR="00C21644" w:rsidRPr="00B63B59" w:rsidRDefault="00C21644" w:rsidP="005F1ED8">
            <w:pPr>
              <w:tabs>
                <w:tab w:val="left" w:pos="-1440"/>
                <w:tab w:val="left" w:pos="-720"/>
              </w:tabs>
              <w:rPr>
                <w:sz w:val="20"/>
                <w:szCs w:val="20"/>
              </w:rPr>
            </w:pPr>
          </w:p>
          <w:p w:rsidR="00C21644" w:rsidRPr="00B63B59" w:rsidRDefault="00C21644" w:rsidP="005F1ED8">
            <w:pPr>
              <w:tabs>
                <w:tab w:val="left" w:pos="-1440"/>
                <w:tab w:val="left" w:pos="-720"/>
              </w:tabs>
              <w:rPr>
                <w:sz w:val="20"/>
                <w:szCs w:val="20"/>
              </w:rPr>
            </w:pPr>
            <w:r w:rsidRPr="00B63B59">
              <w:rPr>
                <w:sz w:val="20"/>
                <w:szCs w:val="20"/>
              </w:rPr>
              <w:tab/>
              <w:t>v. (36</w:t>
            </w:r>
            <w:r w:rsidR="00EF56B1" w:rsidRPr="00B63B59">
              <w:rPr>
                <w:sz w:val="20"/>
                <w:szCs w:val="20"/>
              </w:rPr>
              <w:t>330</w:t>
            </w:r>
            <w:r w:rsidRPr="00B63B59">
              <w:rPr>
                <w:sz w:val="20"/>
                <w:szCs w:val="20"/>
              </w:rPr>
              <w:t>)</w:t>
            </w:r>
          </w:p>
          <w:p w:rsidR="00C21644" w:rsidRPr="00B63B59" w:rsidRDefault="00C21644" w:rsidP="005F1ED8">
            <w:pPr>
              <w:tabs>
                <w:tab w:val="left" w:pos="-1440"/>
                <w:tab w:val="left" w:pos="-720"/>
              </w:tabs>
              <w:rPr>
                <w:sz w:val="20"/>
                <w:szCs w:val="20"/>
              </w:rPr>
            </w:pPr>
          </w:p>
          <w:p w:rsidR="00C21644" w:rsidRPr="00A935AA" w:rsidRDefault="00EF56B1" w:rsidP="005F1ED8">
            <w:pPr>
              <w:tabs>
                <w:tab w:val="left" w:pos="-1440"/>
                <w:tab w:val="left" w:pos="-720"/>
              </w:tabs>
              <w:rPr>
                <w:b/>
                <w:sz w:val="20"/>
                <w:szCs w:val="20"/>
              </w:rPr>
            </w:pPr>
            <w:r w:rsidRPr="00EF56B1">
              <w:rPr>
                <w:b/>
                <w:sz w:val="20"/>
                <w:szCs w:val="20"/>
              </w:rPr>
              <w:t>Her Majesty the Queen</w:t>
            </w:r>
            <w:r w:rsidR="00C21644" w:rsidRPr="00EF56B1">
              <w:rPr>
                <w:sz w:val="20"/>
                <w:szCs w:val="20"/>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F56B1">
              <w:rPr>
                <w:sz w:val="20"/>
                <w:szCs w:val="20"/>
              </w:rPr>
              <w:t>Roger A. Pinno</w:t>
            </w:r>
            <w:r>
              <w:rPr>
                <w:sz w:val="20"/>
                <w:szCs w:val="20"/>
              </w:rPr>
              <w:t>ck</w:t>
            </w:r>
          </w:p>
          <w:p w:rsidR="00C21644" w:rsidRPr="00A935AA" w:rsidRDefault="00C21644" w:rsidP="005F1ED8">
            <w:pPr>
              <w:tabs>
                <w:tab w:val="left" w:pos="-1440"/>
                <w:tab w:val="left" w:pos="-720"/>
              </w:tabs>
              <w:rPr>
                <w:sz w:val="20"/>
                <w:szCs w:val="20"/>
              </w:rPr>
            </w:pPr>
            <w:r w:rsidRPr="00A935AA">
              <w:rPr>
                <w:sz w:val="20"/>
                <w:szCs w:val="20"/>
              </w:rPr>
              <w:tab/>
            </w:r>
            <w:r w:rsidR="00EF56B1">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Pr>
                <w:sz w:val="20"/>
                <w:szCs w:val="20"/>
              </w:rPr>
              <w:t>0</w:t>
            </w:r>
            <w:r w:rsidR="00EF56B1">
              <w:rPr>
                <w:sz w:val="20"/>
                <w:szCs w:val="20"/>
              </w:rPr>
              <w:t>3</w:t>
            </w:r>
            <w:r w:rsidRPr="00A935AA">
              <w:rPr>
                <w:sz w:val="20"/>
                <w:szCs w:val="20"/>
              </w:rPr>
              <w:t>.</w:t>
            </w:r>
            <w:r w:rsidR="00EF56B1">
              <w:rPr>
                <w:sz w:val="20"/>
                <w:szCs w:val="20"/>
              </w:rPr>
              <w:t>02</w:t>
            </w:r>
            <w:r w:rsidRPr="00A935AA">
              <w:rPr>
                <w:sz w:val="20"/>
                <w:szCs w:val="20"/>
              </w:rPr>
              <w:t>.201</w:t>
            </w:r>
            <w:r w:rsidR="00EF56B1">
              <w:rPr>
                <w:sz w:val="20"/>
                <w:szCs w:val="20"/>
              </w:rPr>
              <w:t>5</w:t>
            </w:r>
          </w:p>
          <w:p w:rsidR="00C21644" w:rsidRPr="00A935AA" w:rsidRDefault="009C5A48"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EF56B1" w:rsidRDefault="00EF56B1" w:rsidP="005F1ED8">
            <w:pPr>
              <w:keepNext/>
              <w:keepLines/>
              <w:tabs>
                <w:tab w:val="left" w:pos="-1440"/>
                <w:tab w:val="left" w:pos="-720"/>
              </w:tabs>
              <w:rPr>
                <w:b/>
                <w:sz w:val="20"/>
                <w:szCs w:val="20"/>
              </w:rPr>
            </w:pPr>
            <w:r w:rsidRPr="00EF56B1">
              <w:rPr>
                <w:b/>
                <w:sz w:val="20"/>
                <w:szCs w:val="20"/>
              </w:rPr>
              <w:t>Raynald G</w:t>
            </w:r>
            <w:r w:rsidR="00C21644" w:rsidRPr="00EF56B1">
              <w:rPr>
                <w:b/>
                <w:sz w:val="20"/>
                <w:szCs w:val="20"/>
              </w:rPr>
              <w:t>re</w:t>
            </w:r>
            <w:r w:rsidRPr="00EF56B1">
              <w:rPr>
                <w:b/>
                <w:sz w:val="20"/>
                <w:szCs w:val="20"/>
              </w:rPr>
              <w:t>nier</w:t>
            </w:r>
          </w:p>
          <w:p w:rsidR="00C21644" w:rsidRPr="00EF56B1" w:rsidRDefault="00C21644" w:rsidP="005F1ED8">
            <w:pPr>
              <w:keepNext/>
              <w:keepLines/>
              <w:tabs>
                <w:tab w:val="left" w:pos="-1440"/>
                <w:tab w:val="left" w:pos="-720"/>
              </w:tabs>
              <w:rPr>
                <w:sz w:val="20"/>
                <w:szCs w:val="20"/>
              </w:rPr>
            </w:pPr>
            <w:r w:rsidRPr="00EF56B1">
              <w:rPr>
                <w:sz w:val="20"/>
                <w:szCs w:val="20"/>
              </w:rPr>
              <w:tab/>
            </w:r>
            <w:r w:rsidR="00EF56B1" w:rsidRPr="00EF56B1">
              <w:rPr>
                <w:sz w:val="20"/>
                <w:szCs w:val="20"/>
              </w:rPr>
              <w:t>R</w:t>
            </w:r>
            <w:r w:rsidRPr="00EF56B1">
              <w:rPr>
                <w:sz w:val="20"/>
                <w:szCs w:val="20"/>
              </w:rPr>
              <w:t>a</w:t>
            </w:r>
            <w:r w:rsidR="00EF56B1" w:rsidRPr="00EF56B1">
              <w:rPr>
                <w:sz w:val="20"/>
                <w:szCs w:val="20"/>
              </w:rPr>
              <w:t>yn</w:t>
            </w:r>
            <w:r w:rsidRPr="00EF56B1">
              <w:rPr>
                <w:sz w:val="20"/>
                <w:szCs w:val="20"/>
              </w:rPr>
              <w:t>a</w:t>
            </w:r>
            <w:r w:rsidR="00EF56B1" w:rsidRPr="00EF56B1">
              <w:rPr>
                <w:sz w:val="20"/>
                <w:szCs w:val="20"/>
              </w:rPr>
              <w:t>ld G</w:t>
            </w:r>
            <w:r w:rsidRPr="00EF56B1">
              <w:rPr>
                <w:sz w:val="20"/>
                <w:szCs w:val="20"/>
              </w:rPr>
              <w:t>re</w:t>
            </w:r>
            <w:r w:rsidR="00EF56B1" w:rsidRPr="00EF56B1">
              <w:rPr>
                <w:sz w:val="20"/>
                <w:szCs w:val="20"/>
              </w:rPr>
              <w:t>n</w:t>
            </w:r>
            <w:r w:rsidRPr="00EF56B1">
              <w:rPr>
                <w:sz w:val="20"/>
                <w:szCs w:val="20"/>
              </w:rPr>
              <w:t>i</w:t>
            </w:r>
            <w:r w:rsidR="00EF56B1" w:rsidRPr="00EF56B1">
              <w:rPr>
                <w:sz w:val="20"/>
                <w:szCs w:val="20"/>
              </w:rPr>
              <w:t>er</w:t>
            </w:r>
          </w:p>
          <w:p w:rsidR="00C21644" w:rsidRPr="00EF56B1" w:rsidRDefault="00C21644" w:rsidP="005F1ED8">
            <w:pPr>
              <w:keepNext/>
              <w:keepLines/>
              <w:tabs>
                <w:tab w:val="left" w:pos="-1440"/>
                <w:tab w:val="left" w:pos="-720"/>
              </w:tabs>
              <w:rPr>
                <w:sz w:val="20"/>
                <w:szCs w:val="20"/>
              </w:rPr>
            </w:pPr>
          </w:p>
          <w:p w:rsidR="00C21644" w:rsidRPr="00EF56B1" w:rsidRDefault="00C21644" w:rsidP="005F1ED8">
            <w:pPr>
              <w:keepNext/>
              <w:keepLines/>
              <w:tabs>
                <w:tab w:val="left" w:pos="-1440"/>
                <w:tab w:val="left" w:pos="-720"/>
              </w:tabs>
              <w:rPr>
                <w:sz w:val="20"/>
                <w:szCs w:val="20"/>
              </w:rPr>
            </w:pPr>
            <w:r w:rsidRPr="00EF56B1">
              <w:rPr>
                <w:sz w:val="20"/>
                <w:szCs w:val="20"/>
              </w:rPr>
              <w:tab/>
              <w:t>c. (36</w:t>
            </w:r>
            <w:r w:rsidR="00EF56B1" w:rsidRPr="00EF56B1">
              <w:rPr>
                <w:sz w:val="20"/>
                <w:szCs w:val="20"/>
              </w:rPr>
              <w:t>35</w:t>
            </w:r>
            <w:r w:rsidRPr="00EF56B1">
              <w:rPr>
                <w:sz w:val="20"/>
                <w:szCs w:val="20"/>
              </w:rPr>
              <w:t>5)</w:t>
            </w:r>
          </w:p>
          <w:p w:rsidR="00C21644" w:rsidRPr="00EF56B1" w:rsidRDefault="00C21644" w:rsidP="005F1ED8">
            <w:pPr>
              <w:keepNext/>
              <w:keepLines/>
              <w:tabs>
                <w:tab w:val="left" w:pos="-1440"/>
                <w:tab w:val="left" w:pos="-720"/>
              </w:tabs>
              <w:rPr>
                <w:sz w:val="20"/>
                <w:szCs w:val="20"/>
              </w:rPr>
            </w:pPr>
          </w:p>
          <w:p w:rsidR="00C21644" w:rsidRPr="00806A5B" w:rsidRDefault="00EF56B1" w:rsidP="005F1ED8">
            <w:pPr>
              <w:keepNext/>
              <w:keepLines/>
              <w:tabs>
                <w:tab w:val="left" w:pos="-1440"/>
                <w:tab w:val="left" w:pos="-720"/>
              </w:tabs>
              <w:rPr>
                <w:b/>
                <w:sz w:val="20"/>
                <w:szCs w:val="20"/>
                <w:lang w:val="fr-CA"/>
              </w:rPr>
            </w:pPr>
            <w:r>
              <w:rPr>
                <w:b/>
                <w:sz w:val="20"/>
                <w:szCs w:val="20"/>
                <w:lang w:val="fr-CA"/>
              </w:rPr>
              <w:t>D</w:t>
            </w:r>
            <w:r w:rsidR="00C21644" w:rsidRPr="00806A5B">
              <w:rPr>
                <w:b/>
                <w:sz w:val="20"/>
                <w:szCs w:val="20"/>
                <w:lang w:val="fr-CA"/>
              </w:rPr>
              <w:t>a</w:t>
            </w:r>
            <w:r>
              <w:rPr>
                <w:b/>
                <w:sz w:val="20"/>
                <w:szCs w:val="20"/>
                <w:lang w:val="fr-CA"/>
              </w:rPr>
              <w:t>ni</w:t>
            </w:r>
            <w:r w:rsidR="00C21644" w:rsidRPr="00806A5B">
              <w:rPr>
                <w:b/>
                <w:sz w:val="20"/>
                <w:szCs w:val="20"/>
                <w:lang w:val="fr-CA"/>
              </w:rPr>
              <w:t>e</w:t>
            </w:r>
            <w:r>
              <w:rPr>
                <w:b/>
                <w:sz w:val="20"/>
                <w:szCs w:val="20"/>
                <w:lang w:val="fr-CA"/>
              </w:rPr>
              <w:t>l S</w:t>
            </w:r>
            <w:r w:rsidR="00C21644" w:rsidRPr="00806A5B">
              <w:rPr>
                <w:b/>
                <w:sz w:val="20"/>
                <w:szCs w:val="20"/>
                <w:lang w:val="fr-CA"/>
              </w:rPr>
              <w:t>t</w:t>
            </w:r>
            <w:r>
              <w:rPr>
                <w:b/>
                <w:sz w:val="20"/>
                <w:szCs w:val="20"/>
                <w:lang w:val="fr-CA"/>
              </w:rPr>
              <w:t>-Hi</w:t>
            </w:r>
            <w:r w:rsidR="00C21644" w:rsidRPr="00806A5B">
              <w:rPr>
                <w:b/>
                <w:sz w:val="20"/>
                <w:szCs w:val="20"/>
                <w:lang w:val="fr-CA"/>
              </w:rPr>
              <w:t>lai</w:t>
            </w:r>
            <w:r>
              <w:rPr>
                <w:b/>
                <w:sz w:val="20"/>
                <w:szCs w:val="20"/>
                <w:lang w:val="fr-CA"/>
              </w:rPr>
              <w:t>r</w:t>
            </w:r>
            <w:r w:rsidR="00C21644" w:rsidRPr="00806A5B">
              <w:rPr>
                <w:b/>
                <w:sz w:val="20"/>
                <w:szCs w:val="20"/>
                <w:lang w:val="fr-CA"/>
              </w:rPr>
              <w:t>e</w:t>
            </w:r>
            <w:r>
              <w:rPr>
                <w:b/>
                <w:sz w:val="20"/>
                <w:szCs w:val="20"/>
                <w:lang w:val="fr-CA"/>
              </w:rPr>
              <w:t xml:space="preserve"> et autre</w:t>
            </w:r>
            <w:r w:rsidR="00C21644" w:rsidRPr="00806A5B">
              <w:rPr>
                <w:b/>
                <w:sz w:val="20"/>
                <w:szCs w:val="20"/>
                <w:lang w:val="fr-CA"/>
              </w:rPr>
              <w:t xml:space="preserve"> (Qc)</w:t>
            </w:r>
          </w:p>
          <w:p w:rsidR="00C21644" w:rsidRDefault="00C21644" w:rsidP="005F1ED8">
            <w:pPr>
              <w:keepNext/>
              <w:keepLines/>
              <w:tabs>
                <w:tab w:val="left" w:pos="-1440"/>
                <w:tab w:val="left" w:pos="-720"/>
              </w:tabs>
              <w:rPr>
                <w:sz w:val="20"/>
                <w:szCs w:val="20"/>
                <w:lang w:val="fr-CA"/>
              </w:rPr>
            </w:pPr>
            <w:r w:rsidRPr="00806A5B">
              <w:rPr>
                <w:sz w:val="20"/>
                <w:szCs w:val="20"/>
                <w:lang w:val="fr-CA"/>
              </w:rPr>
              <w:tab/>
            </w:r>
            <w:r w:rsidR="00EF56B1">
              <w:rPr>
                <w:sz w:val="20"/>
                <w:szCs w:val="20"/>
                <w:lang w:val="fr-CA"/>
              </w:rPr>
              <w:t>Dan</w:t>
            </w:r>
            <w:r>
              <w:rPr>
                <w:sz w:val="20"/>
                <w:szCs w:val="20"/>
                <w:lang w:val="fr-CA"/>
              </w:rPr>
              <w:t xml:space="preserve">iel </w:t>
            </w:r>
            <w:r w:rsidR="00EF56B1">
              <w:rPr>
                <w:sz w:val="20"/>
                <w:szCs w:val="20"/>
                <w:lang w:val="fr-CA"/>
              </w:rPr>
              <w:t>S</w:t>
            </w:r>
            <w:r>
              <w:rPr>
                <w:sz w:val="20"/>
                <w:szCs w:val="20"/>
                <w:lang w:val="fr-CA"/>
              </w:rPr>
              <w:t>t</w:t>
            </w:r>
            <w:r w:rsidR="00EF56B1">
              <w:rPr>
                <w:sz w:val="20"/>
                <w:szCs w:val="20"/>
                <w:lang w:val="fr-CA"/>
              </w:rPr>
              <w:t>-H</w:t>
            </w:r>
            <w:r>
              <w:rPr>
                <w:sz w:val="20"/>
                <w:szCs w:val="20"/>
                <w:lang w:val="fr-CA"/>
              </w:rPr>
              <w:t>ila</w:t>
            </w:r>
            <w:r w:rsidR="00EF56B1">
              <w:rPr>
                <w:sz w:val="20"/>
                <w:szCs w:val="20"/>
                <w:lang w:val="fr-CA"/>
              </w:rPr>
              <w:t>ir</w:t>
            </w:r>
            <w:r>
              <w:rPr>
                <w:sz w:val="20"/>
                <w:szCs w:val="20"/>
                <w:lang w:val="fr-CA"/>
              </w:rPr>
              <w:t>e</w:t>
            </w:r>
          </w:p>
          <w:p w:rsidR="00EF56B1" w:rsidRPr="00806A5B" w:rsidRDefault="00EF56B1" w:rsidP="005F1ED8">
            <w:pPr>
              <w:keepNext/>
              <w:keepLines/>
              <w:tabs>
                <w:tab w:val="left" w:pos="-1440"/>
                <w:tab w:val="left" w:pos="-720"/>
              </w:tabs>
              <w:rPr>
                <w:sz w:val="20"/>
                <w:szCs w:val="20"/>
                <w:lang w:val="fr-CA"/>
              </w:rPr>
            </w:pPr>
          </w:p>
          <w:p w:rsidR="00C21644" w:rsidRPr="00806A5B" w:rsidRDefault="00C21644" w:rsidP="00EF56B1">
            <w:pPr>
              <w:rPr>
                <w:sz w:val="20"/>
                <w:szCs w:val="20"/>
                <w:lang w:val="fr-CA"/>
              </w:rPr>
            </w:pPr>
            <w:r w:rsidRPr="00806A5B">
              <w:rPr>
                <w:sz w:val="20"/>
                <w:szCs w:val="20"/>
                <w:lang w:val="fr-CA"/>
              </w:rPr>
              <w:t xml:space="preserve">DATE DE PRODUCTION: </w:t>
            </w:r>
            <w:r w:rsidR="00EF56B1">
              <w:rPr>
                <w:sz w:val="20"/>
                <w:szCs w:val="20"/>
                <w:lang w:val="fr-CA"/>
              </w:rPr>
              <w:t>24</w:t>
            </w:r>
            <w:r w:rsidRPr="00806A5B">
              <w:rPr>
                <w:sz w:val="20"/>
                <w:szCs w:val="20"/>
                <w:lang w:val="fr-CA"/>
              </w:rPr>
              <w:t>.0</w:t>
            </w:r>
            <w:r w:rsidR="00EF56B1">
              <w:rPr>
                <w:sz w:val="20"/>
                <w:szCs w:val="20"/>
                <w:lang w:val="fr-CA"/>
              </w:rPr>
              <w:t>2</w:t>
            </w:r>
            <w:r w:rsidRPr="00806A5B">
              <w:rPr>
                <w:sz w:val="20"/>
                <w:szCs w:val="20"/>
                <w:lang w:val="fr-CA"/>
              </w:rPr>
              <w:t>.201</w:t>
            </w:r>
            <w:r w:rsidR="00EF56B1">
              <w:rPr>
                <w:sz w:val="20"/>
                <w:szCs w:val="20"/>
                <w:lang w:val="fr-CA"/>
              </w:rPr>
              <w:t>5</w:t>
            </w:r>
            <w:r w:rsidR="009C5A48">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B63B59" w:rsidRDefault="00C21644" w:rsidP="003B3977">
            <w:pPr>
              <w:rPr>
                <w:b/>
                <w:sz w:val="20"/>
                <w:szCs w:val="20"/>
              </w:rPr>
            </w:pPr>
          </w:p>
          <w:p w:rsidR="00EF56B1" w:rsidRPr="00EF56B1" w:rsidRDefault="00EF56B1" w:rsidP="003B3977">
            <w:pPr>
              <w:rPr>
                <w:b/>
                <w:sz w:val="20"/>
                <w:szCs w:val="20"/>
              </w:rPr>
            </w:pPr>
            <w:r w:rsidRPr="00EF56B1">
              <w:rPr>
                <w:b/>
                <w:sz w:val="20"/>
                <w:szCs w:val="20"/>
              </w:rPr>
              <w:t>Her Majesty the Queen</w:t>
            </w:r>
          </w:p>
          <w:p w:rsidR="00C21644" w:rsidRPr="00EF56B1" w:rsidRDefault="00C21644" w:rsidP="003B3977">
            <w:pPr>
              <w:tabs>
                <w:tab w:val="left" w:pos="-1440"/>
                <w:tab w:val="left" w:pos="-720"/>
              </w:tabs>
              <w:rPr>
                <w:sz w:val="20"/>
                <w:szCs w:val="20"/>
              </w:rPr>
            </w:pPr>
            <w:r w:rsidRPr="00EF56B1">
              <w:rPr>
                <w:sz w:val="20"/>
                <w:szCs w:val="20"/>
              </w:rPr>
              <w:tab/>
            </w:r>
            <w:r w:rsidR="00EF56B1" w:rsidRPr="00EF56B1">
              <w:rPr>
                <w:sz w:val="20"/>
                <w:szCs w:val="20"/>
              </w:rPr>
              <w:t>Iain R.W. Hollett</w:t>
            </w:r>
          </w:p>
          <w:p w:rsidR="00C21644" w:rsidRPr="00EF56B1" w:rsidRDefault="00C21644" w:rsidP="003B3977">
            <w:pPr>
              <w:tabs>
                <w:tab w:val="left" w:pos="-1440"/>
                <w:tab w:val="left" w:pos="-720"/>
              </w:tabs>
              <w:rPr>
                <w:sz w:val="20"/>
                <w:szCs w:val="20"/>
              </w:rPr>
            </w:pPr>
            <w:r w:rsidRPr="00EF56B1">
              <w:rPr>
                <w:sz w:val="20"/>
                <w:szCs w:val="20"/>
              </w:rPr>
              <w:tab/>
            </w:r>
            <w:r w:rsidR="00EF56B1">
              <w:rPr>
                <w:sz w:val="20"/>
                <w:szCs w:val="20"/>
              </w:rPr>
              <w:t>A.G. of New</w:t>
            </w:r>
            <w:r w:rsidR="009F32BD">
              <w:rPr>
                <w:sz w:val="20"/>
                <w:szCs w:val="20"/>
              </w:rPr>
              <w:t>f</w:t>
            </w:r>
            <w:r w:rsidR="00EF56B1">
              <w:rPr>
                <w:sz w:val="20"/>
                <w:szCs w:val="20"/>
              </w:rPr>
              <w:t>oundland and Labrador</w:t>
            </w:r>
          </w:p>
          <w:p w:rsidR="00C21644" w:rsidRPr="00EF56B1"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EF56B1">
              <w:rPr>
                <w:sz w:val="20"/>
                <w:szCs w:val="20"/>
              </w:rPr>
              <w:tab/>
            </w:r>
            <w:r w:rsidRPr="00A935AA">
              <w:rPr>
                <w:sz w:val="20"/>
                <w:szCs w:val="20"/>
              </w:rPr>
              <w:t>v. (3</w:t>
            </w:r>
            <w:r w:rsidR="00EF56B1">
              <w:rPr>
                <w:sz w:val="20"/>
                <w:szCs w:val="20"/>
              </w:rPr>
              <w:t>6333</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EF56B1" w:rsidP="003B3977">
            <w:pPr>
              <w:tabs>
                <w:tab w:val="left" w:pos="-1440"/>
                <w:tab w:val="left" w:pos="-720"/>
              </w:tabs>
              <w:rPr>
                <w:b/>
                <w:sz w:val="20"/>
                <w:szCs w:val="20"/>
              </w:rPr>
            </w:pPr>
            <w:r>
              <w:rPr>
                <w:b/>
                <w:sz w:val="20"/>
                <w:szCs w:val="20"/>
              </w:rPr>
              <w:t xml:space="preserve">Chad Walsh </w:t>
            </w:r>
            <w:r w:rsidR="00C21644" w:rsidRPr="00A935AA">
              <w:rPr>
                <w:b/>
                <w:sz w:val="20"/>
                <w:szCs w:val="20"/>
              </w:rPr>
              <w:t>(</w:t>
            </w:r>
            <w:r>
              <w:rPr>
                <w:b/>
                <w:sz w:val="20"/>
                <w:szCs w:val="20"/>
              </w:rPr>
              <w:t>N.L.</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EF56B1">
              <w:rPr>
                <w:sz w:val="20"/>
                <w:szCs w:val="20"/>
              </w:rPr>
              <w:t>Rosellen Sullivan</w:t>
            </w:r>
          </w:p>
          <w:p w:rsidR="00C21644" w:rsidRPr="00A935AA" w:rsidRDefault="00C21644" w:rsidP="003B3977">
            <w:pPr>
              <w:tabs>
                <w:tab w:val="left" w:pos="-1440"/>
                <w:tab w:val="left" w:pos="-720"/>
              </w:tabs>
              <w:rPr>
                <w:sz w:val="20"/>
                <w:szCs w:val="20"/>
              </w:rPr>
            </w:pPr>
            <w:r w:rsidRPr="00A935AA">
              <w:rPr>
                <w:sz w:val="20"/>
                <w:szCs w:val="20"/>
              </w:rPr>
              <w:tab/>
            </w:r>
            <w:r w:rsidR="00EF56B1">
              <w:rPr>
                <w:sz w:val="20"/>
                <w:szCs w:val="20"/>
              </w:rPr>
              <w:t>Simmonds &amp; Partners Defence</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EF56B1">
              <w:rPr>
                <w:sz w:val="20"/>
                <w:szCs w:val="20"/>
              </w:rPr>
              <w:t>06</w:t>
            </w:r>
            <w:r w:rsidRPr="00A935AA">
              <w:rPr>
                <w:sz w:val="20"/>
                <w:szCs w:val="20"/>
              </w:rPr>
              <w:t>.0</w:t>
            </w:r>
            <w:r w:rsidR="00EF56B1">
              <w:rPr>
                <w:sz w:val="20"/>
                <w:szCs w:val="20"/>
              </w:rPr>
              <w:t>3</w:t>
            </w:r>
            <w:r w:rsidRPr="00A935AA">
              <w:rPr>
                <w:sz w:val="20"/>
                <w:szCs w:val="20"/>
              </w:rPr>
              <w:t>.201</w:t>
            </w:r>
            <w:r w:rsidR="00EF56B1">
              <w:rPr>
                <w:sz w:val="20"/>
                <w:szCs w:val="20"/>
              </w:rPr>
              <w:t>5</w:t>
            </w:r>
          </w:p>
          <w:p w:rsidR="00C21644" w:rsidRPr="00A935AA" w:rsidRDefault="009C5A48"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F038E0" w:rsidRPr="00A935AA" w:rsidRDefault="00F038E0"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EF56B1" w:rsidRDefault="00EF56B1" w:rsidP="003B3977">
            <w:pPr>
              <w:keepNext/>
              <w:keepLines/>
              <w:tabs>
                <w:tab w:val="left" w:pos="-1440"/>
                <w:tab w:val="left" w:pos="-720"/>
              </w:tabs>
              <w:rPr>
                <w:b/>
                <w:sz w:val="20"/>
                <w:szCs w:val="20"/>
              </w:rPr>
            </w:pPr>
            <w:r w:rsidRPr="00EF56B1">
              <w:rPr>
                <w:b/>
                <w:sz w:val="20"/>
                <w:szCs w:val="20"/>
              </w:rPr>
              <w:t>Dennis McGeady, the Alberta Union of Provincial Employees</w:t>
            </w:r>
          </w:p>
          <w:p w:rsidR="00C21644" w:rsidRPr="00EF56B1" w:rsidRDefault="00C21644" w:rsidP="003B3977">
            <w:pPr>
              <w:keepNext/>
              <w:keepLines/>
              <w:tabs>
                <w:tab w:val="left" w:pos="-1440"/>
                <w:tab w:val="left" w:pos="-720"/>
              </w:tabs>
              <w:rPr>
                <w:sz w:val="20"/>
                <w:szCs w:val="20"/>
              </w:rPr>
            </w:pPr>
            <w:r w:rsidRPr="00EF56B1">
              <w:rPr>
                <w:sz w:val="20"/>
                <w:szCs w:val="20"/>
              </w:rPr>
              <w:tab/>
            </w:r>
            <w:r w:rsidR="00EF56B1">
              <w:rPr>
                <w:sz w:val="20"/>
                <w:szCs w:val="20"/>
              </w:rPr>
              <w:t>Micah J. Field</w:t>
            </w:r>
          </w:p>
          <w:p w:rsidR="00C21644" w:rsidRPr="00A935AA" w:rsidRDefault="00C21644" w:rsidP="003B3977">
            <w:pPr>
              <w:keepNext/>
              <w:keepLines/>
              <w:tabs>
                <w:tab w:val="left" w:pos="-1440"/>
                <w:tab w:val="left" w:pos="-720"/>
              </w:tabs>
              <w:rPr>
                <w:sz w:val="20"/>
                <w:szCs w:val="20"/>
              </w:rPr>
            </w:pPr>
            <w:r w:rsidRPr="00EF56B1">
              <w:rPr>
                <w:sz w:val="20"/>
                <w:szCs w:val="20"/>
              </w:rPr>
              <w:tab/>
            </w:r>
            <w:r w:rsidR="00EF56B1">
              <w:rPr>
                <w:sz w:val="20"/>
                <w:szCs w:val="20"/>
              </w:rPr>
              <w:t>Blakely &amp; Dushenski</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EF56B1">
              <w:rPr>
                <w:sz w:val="20"/>
                <w:szCs w:val="20"/>
              </w:rPr>
              <w:t>6334</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EF56B1" w:rsidP="003B3977">
            <w:pPr>
              <w:keepNext/>
              <w:keepLines/>
              <w:tabs>
                <w:tab w:val="left" w:pos="-1440"/>
                <w:tab w:val="left" w:pos="-720"/>
              </w:tabs>
              <w:rPr>
                <w:b/>
                <w:sz w:val="20"/>
                <w:szCs w:val="20"/>
              </w:rPr>
            </w:pPr>
            <w:r>
              <w:rPr>
                <w:b/>
                <w:sz w:val="20"/>
                <w:szCs w:val="20"/>
              </w:rPr>
              <w:t xml:space="preserve">Her Majesty the Queen in Right of Alberta </w:t>
            </w:r>
            <w:r w:rsidR="00C21644" w:rsidRPr="00A935AA">
              <w:rPr>
                <w:b/>
                <w:sz w:val="20"/>
                <w:szCs w:val="20"/>
              </w:rPr>
              <w:t>(</w:t>
            </w:r>
            <w:r w:rsidR="009F32BD">
              <w:rPr>
                <w:b/>
                <w:sz w:val="20"/>
                <w:szCs w:val="20"/>
              </w:rPr>
              <w:t>Alta</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EF56B1">
              <w:rPr>
                <w:sz w:val="20"/>
                <w:szCs w:val="20"/>
              </w:rPr>
              <w:t>Nicola A. Pfeifer</w:t>
            </w:r>
          </w:p>
          <w:p w:rsidR="00C21644" w:rsidRPr="00A935AA" w:rsidRDefault="00C21644" w:rsidP="003B3977">
            <w:pPr>
              <w:keepNext/>
              <w:keepLines/>
              <w:tabs>
                <w:tab w:val="left" w:pos="-1440"/>
                <w:tab w:val="left" w:pos="-720"/>
              </w:tabs>
              <w:rPr>
                <w:sz w:val="20"/>
                <w:szCs w:val="20"/>
              </w:rPr>
            </w:pPr>
            <w:r w:rsidRPr="00A935AA">
              <w:rPr>
                <w:sz w:val="20"/>
                <w:szCs w:val="20"/>
              </w:rPr>
              <w:tab/>
            </w:r>
            <w:r w:rsidR="00F038E0">
              <w:rPr>
                <w:sz w:val="20"/>
                <w:szCs w:val="20"/>
              </w:rPr>
              <w:t>Department of Justice</w:t>
            </w:r>
          </w:p>
          <w:p w:rsidR="00C21644" w:rsidRPr="00A935AA" w:rsidRDefault="00C21644" w:rsidP="003B3977">
            <w:pPr>
              <w:keepNext/>
              <w:keepLines/>
              <w:tabs>
                <w:tab w:val="left" w:pos="-1440"/>
                <w:tab w:val="left" w:pos="-720"/>
              </w:tabs>
              <w:rPr>
                <w:sz w:val="20"/>
                <w:szCs w:val="20"/>
              </w:rPr>
            </w:pPr>
          </w:p>
          <w:p w:rsidR="00C21644" w:rsidRPr="00A935AA" w:rsidRDefault="00C21644" w:rsidP="00F038E0">
            <w:pPr>
              <w:rPr>
                <w:sz w:val="20"/>
                <w:szCs w:val="20"/>
              </w:rPr>
            </w:pPr>
            <w:r w:rsidRPr="00A935AA">
              <w:rPr>
                <w:sz w:val="20"/>
                <w:szCs w:val="20"/>
              </w:rPr>
              <w:t xml:space="preserve">FILING DATE: </w:t>
            </w:r>
            <w:r w:rsidR="00F038E0">
              <w:rPr>
                <w:sz w:val="20"/>
                <w:szCs w:val="20"/>
              </w:rPr>
              <w:t>06</w:t>
            </w:r>
            <w:r w:rsidRPr="00A935AA">
              <w:rPr>
                <w:sz w:val="20"/>
                <w:szCs w:val="20"/>
              </w:rPr>
              <w:t>.0</w:t>
            </w:r>
            <w:r w:rsidR="00F038E0">
              <w:rPr>
                <w:sz w:val="20"/>
                <w:szCs w:val="20"/>
              </w:rPr>
              <w:t>3</w:t>
            </w:r>
            <w:r w:rsidRPr="00A935AA">
              <w:rPr>
                <w:sz w:val="20"/>
                <w:szCs w:val="20"/>
              </w:rPr>
              <w:t>.201</w:t>
            </w:r>
            <w:r w:rsidR="00F038E0">
              <w:rPr>
                <w:sz w:val="20"/>
                <w:szCs w:val="20"/>
              </w:rPr>
              <w:t>5</w:t>
            </w:r>
            <w:r w:rsidR="009C5A48">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F038E0" w:rsidP="005F1ED8">
            <w:pPr>
              <w:rPr>
                <w:b/>
                <w:sz w:val="20"/>
                <w:szCs w:val="20"/>
              </w:rPr>
            </w:pPr>
            <w:r>
              <w:rPr>
                <w:b/>
                <w:sz w:val="20"/>
                <w:szCs w:val="20"/>
              </w:rPr>
              <w:t>Bell Mobility Inc.</w:t>
            </w:r>
          </w:p>
          <w:p w:rsidR="00C21644" w:rsidRPr="00A935AA" w:rsidRDefault="00C21644" w:rsidP="005F1ED8">
            <w:pPr>
              <w:tabs>
                <w:tab w:val="left" w:pos="-1440"/>
                <w:tab w:val="left" w:pos="-720"/>
              </w:tabs>
              <w:rPr>
                <w:sz w:val="20"/>
                <w:szCs w:val="20"/>
              </w:rPr>
            </w:pPr>
            <w:r w:rsidRPr="00A935AA">
              <w:rPr>
                <w:sz w:val="20"/>
                <w:szCs w:val="20"/>
              </w:rPr>
              <w:tab/>
            </w:r>
            <w:r w:rsidR="00F038E0">
              <w:rPr>
                <w:sz w:val="20"/>
                <w:szCs w:val="20"/>
              </w:rPr>
              <w:t xml:space="preserve">Bradley W. Dixon </w:t>
            </w:r>
          </w:p>
          <w:p w:rsidR="00C21644" w:rsidRPr="00A935AA" w:rsidRDefault="00C21644" w:rsidP="005F1ED8">
            <w:pPr>
              <w:tabs>
                <w:tab w:val="left" w:pos="-1440"/>
                <w:tab w:val="left" w:pos="-720"/>
              </w:tabs>
              <w:rPr>
                <w:sz w:val="20"/>
                <w:szCs w:val="20"/>
              </w:rPr>
            </w:pPr>
            <w:r w:rsidRPr="00A935AA">
              <w:rPr>
                <w:sz w:val="20"/>
                <w:szCs w:val="20"/>
              </w:rPr>
              <w:tab/>
            </w:r>
            <w:r w:rsidR="00F038E0">
              <w:rPr>
                <w:sz w:val="20"/>
                <w:szCs w:val="20"/>
              </w:rPr>
              <w:t>Borden Ladner Gervais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F038E0">
              <w:rPr>
                <w:sz w:val="20"/>
                <w:szCs w:val="20"/>
              </w:rPr>
              <w:t>6336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F038E0" w:rsidP="005F1ED8">
            <w:pPr>
              <w:tabs>
                <w:tab w:val="left" w:pos="-1440"/>
                <w:tab w:val="left" w:pos="-720"/>
              </w:tabs>
              <w:rPr>
                <w:b/>
                <w:sz w:val="20"/>
                <w:szCs w:val="20"/>
              </w:rPr>
            </w:pPr>
            <w:r>
              <w:rPr>
                <w:b/>
                <w:sz w:val="20"/>
                <w:szCs w:val="20"/>
              </w:rPr>
              <w:t xml:space="preserve">James Douglas Anderson and Samuel Anderson, on behalf of themselves, and all other members of a class having a claim against Bell Mobility Inc. </w:t>
            </w:r>
            <w:r w:rsidR="00C21644" w:rsidRPr="00A935AA">
              <w:rPr>
                <w:b/>
                <w:sz w:val="20"/>
                <w:szCs w:val="20"/>
              </w:rPr>
              <w:t>(</w:t>
            </w:r>
            <w:r>
              <w:rPr>
                <w:b/>
                <w:sz w:val="20"/>
                <w:szCs w:val="20"/>
              </w:rPr>
              <w:t>N</w:t>
            </w:r>
            <w:r w:rsidR="00C21644" w:rsidRPr="00A935AA">
              <w:rPr>
                <w:b/>
                <w:sz w:val="20"/>
                <w:szCs w:val="20"/>
              </w:rPr>
              <w:t>.</w:t>
            </w:r>
            <w:r>
              <w:rPr>
                <w:b/>
                <w:sz w:val="20"/>
                <w:szCs w:val="20"/>
              </w:rPr>
              <w:t>W.T.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F038E0">
              <w:rPr>
                <w:sz w:val="20"/>
                <w:szCs w:val="20"/>
              </w:rPr>
              <w:t>Keith M. Landy</w:t>
            </w:r>
          </w:p>
          <w:p w:rsidR="00C21644" w:rsidRPr="00A935AA" w:rsidRDefault="00C21644" w:rsidP="005F1ED8">
            <w:pPr>
              <w:tabs>
                <w:tab w:val="left" w:pos="-1440"/>
                <w:tab w:val="left" w:pos="-720"/>
              </w:tabs>
              <w:rPr>
                <w:sz w:val="20"/>
                <w:szCs w:val="20"/>
              </w:rPr>
            </w:pPr>
            <w:r w:rsidRPr="00A935AA">
              <w:rPr>
                <w:sz w:val="20"/>
                <w:szCs w:val="20"/>
              </w:rPr>
              <w:tab/>
            </w:r>
            <w:r w:rsidR="00F038E0">
              <w:rPr>
                <w:sz w:val="20"/>
                <w:szCs w:val="20"/>
              </w:rPr>
              <w:t>Landy Marr Kats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F038E0">
              <w:rPr>
                <w:sz w:val="20"/>
                <w:szCs w:val="20"/>
              </w:rPr>
              <w:t>09</w:t>
            </w:r>
            <w:r w:rsidRPr="00A935AA">
              <w:rPr>
                <w:sz w:val="20"/>
                <w:szCs w:val="20"/>
              </w:rPr>
              <w:t>.0</w:t>
            </w:r>
            <w:r w:rsidR="00F038E0">
              <w:rPr>
                <w:sz w:val="20"/>
                <w:szCs w:val="20"/>
              </w:rPr>
              <w:t>3</w:t>
            </w:r>
            <w:r w:rsidRPr="00A935AA">
              <w:rPr>
                <w:sz w:val="20"/>
                <w:szCs w:val="20"/>
              </w:rPr>
              <w:t>.201</w:t>
            </w:r>
            <w:r w:rsidR="00F038E0">
              <w:rPr>
                <w:sz w:val="20"/>
                <w:szCs w:val="20"/>
              </w:rPr>
              <w:t>5</w:t>
            </w:r>
          </w:p>
          <w:p w:rsidR="00C21644" w:rsidRPr="00A935AA" w:rsidRDefault="009C5A48"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F038E0" w:rsidRDefault="00F038E0" w:rsidP="00242AEE">
            <w:pPr>
              <w:jc w:val="center"/>
              <w:rPr>
                <w:sz w:val="20"/>
                <w:szCs w:val="20"/>
              </w:rPr>
            </w:pPr>
          </w:p>
          <w:p w:rsidR="00F038E0" w:rsidRPr="00A935AA" w:rsidRDefault="00F038E0"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AD04F4">
          <w:headerReference w:type="default" r:id="rId16"/>
          <w:footerReference w:type="default" r:id="rId17"/>
          <w:headerReference w:type="first" r:id="rId18"/>
          <w:footerReference w:type="first" r:id="rId19"/>
          <w:pgSz w:w="12240" w:h="15840"/>
          <w:pgMar w:top="720" w:right="965" w:bottom="1080" w:left="1656" w:header="706" w:footer="706" w:gutter="0"/>
          <w:pgNumType w:start="571"/>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C5A4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D1C43" w:rsidP="00CB3520">
      <w:pPr>
        <w:widowControl w:val="0"/>
        <w:rPr>
          <w:b/>
          <w:sz w:val="20"/>
          <w:szCs w:val="20"/>
        </w:rPr>
      </w:pPr>
      <w:r>
        <w:rPr>
          <w:b/>
          <w:sz w:val="20"/>
          <w:szCs w:val="20"/>
        </w:rPr>
        <w:t>M</w:t>
      </w:r>
      <w:r w:rsidR="00CB3520">
        <w:rPr>
          <w:b/>
          <w:sz w:val="20"/>
          <w:szCs w:val="20"/>
        </w:rPr>
        <w:t>AR</w:t>
      </w:r>
      <w:r>
        <w:rPr>
          <w:b/>
          <w:sz w:val="20"/>
          <w:szCs w:val="20"/>
        </w:rPr>
        <w:t>CH</w:t>
      </w:r>
      <w:r w:rsidR="00CB3520">
        <w:rPr>
          <w:b/>
          <w:sz w:val="20"/>
          <w:szCs w:val="20"/>
        </w:rPr>
        <w:t xml:space="preserve"> </w:t>
      </w:r>
      <w:r>
        <w:rPr>
          <w:b/>
          <w:sz w:val="20"/>
          <w:szCs w:val="20"/>
        </w:rPr>
        <w:t>30</w:t>
      </w:r>
      <w:r w:rsidR="00CB3520" w:rsidRPr="00C50A5C">
        <w:rPr>
          <w:b/>
          <w:sz w:val="20"/>
          <w:szCs w:val="20"/>
        </w:rPr>
        <w:t>, 201</w:t>
      </w:r>
      <w:r w:rsidR="00020DC3">
        <w:rPr>
          <w:b/>
          <w:sz w:val="20"/>
          <w:szCs w:val="20"/>
        </w:rPr>
        <w:t>5</w:t>
      </w:r>
      <w:r w:rsidR="00CB3520" w:rsidRPr="00C50A5C">
        <w:rPr>
          <w:b/>
          <w:sz w:val="20"/>
          <w:szCs w:val="20"/>
        </w:rPr>
        <w:t xml:space="preserve"> / LE </w:t>
      </w:r>
      <w:r>
        <w:rPr>
          <w:b/>
          <w:sz w:val="20"/>
          <w:szCs w:val="20"/>
        </w:rPr>
        <w:t>30</w:t>
      </w:r>
      <w:r w:rsidR="00CB3520">
        <w:rPr>
          <w:b/>
          <w:sz w:val="20"/>
          <w:szCs w:val="20"/>
        </w:rPr>
        <w:t xml:space="preserve"> </w:t>
      </w:r>
      <w:r>
        <w:rPr>
          <w:b/>
          <w:sz w:val="20"/>
          <w:szCs w:val="20"/>
        </w:rPr>
        <w:t>M</w:t>
      </w:r>
      <w:r w:rsidR="00CB3520">
        <w:rPr>
          <w:b/>
          <w:sz w:val="20"/>
          <w:szCs w:val="20"/>
        </w:rPr>
        <w:t>AR</w:t>
      </w:r>
      <w:r>
        <w:rPr>
          <w:b/>
          <w:sz w:val="20"/>
          <w:szCs w:val="20"/>
        </w:rPr>
        <w:t>S</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E14B88" w:rsidP="00CB3520">
      <w:pPr>
        <w:pStyle w:val="ListParagraph"/>
        <w:widowControl w:val="0"/>
        <w:numPr>
          <w:ilvl w:val="0"/>
          <w:numId w:val="1"/>
        </w:numPr>
        <w:ind w:hanging="720"/>
        <w:jc w:val="both"/>
        <w:rPr>
          <w:sz w:val="20"/>
          <w:szCs w:val="20"/>
        </w:rPr>
      </w:pPr>
      <w:r w:rsidRPr="00E14B88">
        <w:rPr>
          <w:i/>
          <w:sz w:val="20"/>
          <w:szCs w:val="20"/>
        </w:rPr>
        <w:t>Denis Jerome Labossiere v. Her Majesty the Queen</w:t>
      </w:r>
      <w:r w:rsidRPr="00E14B88">
        <w:rPr>
          <w:sz w:val="20"/>
          <w:szCs w:val="20"/>
        </w:rPr>
        <w:t xml:space="preserve"> (Man.) (Crim.) (By Leave)</w:t>
      </w:r>
      <w:r w:rsidRPr="00C50A5C">
        <w:rPr>
          <w:sz w:val="20"/>
          <w:szCs w:val="20"/>
        </w:rPr>
        <w:t xml:space="preserve"> </w:t>
      </w:r>
      <w:r w:rsidR="00CB3520" w:rsidRPr="00C50A5C">
        <w:rPr>
          <w:sz w:val="20"/>
          <w:szCs w:val="20"/>
        </w:rPr>
        <w:t>(3</w:t>
      </w:r>
      <w:r w:rsidR="00CB3520">
        <w:rPr>
          <w:sz w:val="20"/>
          <w:szCs w:val="20"/>
        </w:rPr>
        <w:t>626</w:t>
      </w:r>
      <w:r w:rsidR="00360286">
        <w:rPr>
          <w:sz w:val="20"/>
          <w:szCs w:val="20"/>
        </w:rPr>
        <w:t>7</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1E60CC" w:rsidP="00CB3520">
      <w:pPr>
        <w:pStyle w:val="ListParagraph"/>
        <w:widowControl w:val="0"/>
        <w:numPr>
          <w:ilvl w:val="0"/>
          <w:numId w:val="1"/>
        </w:numPr>
        <w:ind w:hanging="720"/>
        <w:jc w:val="both"/>
        <w:rPr>
          <w:sz w:val="20"/>
          <w:szCs w:val="20"/>
        </w:rPr>
      </w:pPr>
      <w:r w:rsidRPr="001E60CC">
        <w:rPr>
          <w:i/>
          <w:sz w:val="20"/>
          <w:szCs w:val="20"/>
        </w:rPr>
        <w:t>Phylum Corporation v. Dominion of Canada General Insurance Company</w:t>
      </w:r>
      <w:r w:rsidRPr="00E14B88">
        <w:rPr>
          <w:sz w:val="20"/>
          <w:szCs w:val="20"/>
        </w:rPr>
        <w:t xml:space="preserve"> (Ont.) (Civil) (By Leave)</w:t>
      </w:r>
      <w:r w:rsidRPr="00C612D0">
        <w:rPr>
          <w:sz w:val="20"/>
          <w:szCs w:val="20"/>
        </w:rPr>
        <w:t xml:space="preserve"> </w:t>
      </w:r>
      <w:r w:rsidR="00CB3520" w:rsidRPr="00C612D0">
        <w:rPr>
          <w:sz w:val="20"/>
          <w:szCs w:val="20"/>
        </w:rPr>
        <w:t>(3</w:t>
      </w:r>
      <w:r w:rsidR="00CB3520">
        <w:rPr>
          <w:sz w:val="20"/>
          <w:szCs w:val="20"/>
        </w:rPr>
        <w:t>6</w:t>
      </w:r>
      <w:r w:rsidR="00360286">
        <w:rPr>
          <w:sz w:val="20"/>
          <w:szCs w:val="20"/>
        </w:rPr>
        <w:t>235</w:t>
      </w:r>
      <w:r w:rsidR="00CB3520" w:rsidRPr="00C612D0">
        <w:rPr>
          <w:sz w:val="20"/>
          <w:szCs w:val="20"/>
        </w:rPr>
        <w:t>)</w:t>
      </w:r>
    </w:p>
    <w:p w:rsidR="00CB3520" w:rsidRPr="00C612D0" w:rsidRDefault="00CB3520" w:rsidP="00CB3520">
      <w:pPr>
        <w:widowControl w:val="0"/>
        <w:jc w:val="both"/>
        <w:rPr>
          <w:sz w:val="20"/>
          <w:szCs w:val="20"/>
        </w:rPr>
      </w:pPr>
    </w:p>
    <w:p w:rsidR="00CB3520" w:rsidRPr="001E60CC" w:rsidRDefault="001E60CC" w:rsidP="00CB3520">
      <w:pPr>
        <w:pStyle w:val="ListParagraph"/>
        <w:widowControl w:val="0"/>
        <w:numPr>
          <w:ilvl w:val="0"/>
          <w:numId w:val="1"/>
        </w:numPr>
        <w:ind w:hanging="720"/>
        <w:jc w:val="both"/>
        <w:rPr>
          <w:sz w:val="20"/>
          <w:szCs w:val="20"/>
          <w:lang w:val="fr-CA"/>
        </w:rPr>
      </w:pPr>
      <w:r w:rsidRPr="001E60CC">
        <w:rPr>
          <w:i/>
          <w:sz w:val="20"/>
          <w:szCs w:val="20"/>
          <w:lang w:val="fr-CA"/>
        </w:rPr>
        <w:t>Robert Simoneau c. ERNST &amp; YOUNG INC., syndic de l’actif de Vincent Lacroix</w:t>
      </w:r>
      <w:r w:rsidRPr="00E14B88">
        <w:rPr>
          <w:sz w:val="20"/>
          <w:szCs w:val="20"/>
          <w:lang w:val="fr-CA"/>
        </w:rPr>
        <w:t xml:space="preserve"> (Qc) (Civile) (Autorisation)</w:t>
      </w:r>
      <w:r w:rsidRPr="001E60CC">
        <w:rPr>
          <w:sz w:val="20"/>
          <w:szCs w:val="20"/>
          <w:lang w:val="fr-CA"/>
        </w:rPr>
        <w:t xml:space="preserve"> </w:t>
      </w:r>
      <w:r w:rsidR="00CB3520" w:rsidRPr="001E60CC">
        <w:rPr>
          <w:sz w:val="20"/>
          <w:szCs w:val="20"/>
          <w:lang w:val="fr-CA"/>
        </w:rPr>
        <w:t>(3</w:t>
      </w:r>
      <w:r w:rsidR="00360286" w:rsidRPr="001E60CC">
        <w:rPr>
          <w:sz w:val="20"/>
          <w:szCs w:val="20"/>
          <w:lang w:val="fr-CA"/>
        </w:rPr>
        <w:t>622</w:t>
      </w:r>
      <w:r w:rsidR="00CB3520" w:rsidRPr="001E60CC">
        <w:rPr>
          <w:sz w:val="20"/>
          <w:szCs w:val="20"/>
          <w:lang w:val="fr-CA"/>
        </w:rPr>
        <w:t>5)</w:t>
      </w:r>
    </w:p>
    <w:p w:rsidR="00CB3520" w:rsidRPr="001E60CC" w:rsidRDefault="00CB3520" w:rsidP="00CB3520">
      <w:pPr>
        <w:widowControl w:val="0"/>
        <w:rPr>
          <w:sz w:val="20"/>
          <w:szCs w:val="20"/>
          <w:lang w:val="fr-CA"/>
        </w:rPr>
      </w:pPr>
    </w:p>
    <w:p w:rsidR="00CB3520" w:rsidRPr="001E60CC" w:rsidRDefault="001E60CC" w:rsidP="00CB3520">
      <w:pPr>
        <w:pStyle w:val="ListParagraph"/>
        <w:widowControl w:val="0"/>
        <w:numPr>
          <w:ilvl w:val="0"/>
          <w:numId w:val="1"/>
        </w:numPr>
        <w:ind w:hanging="720"/>
        <w:jc w:val="both"/>
        <w:rPr>
          <w:sz w:val="20"/>
          <w:szCs w:val="20"/>
          <w:lang w:val="fr-CA"/>
        </w:rPr>
      </w:pPr>
      <w:r w:rsidRPr="001E60CC">
        <w:rPr>
          <w:i/>
          <w:sz w:val="20"/>
          <w:szCs w:val="20"/>
          <w:lang w:val="fr-CA"/>
        </w:rPr>
        <w:t>Ferme Vi-Ber Inc. et al. c. Financière Agricole du Québec</w:t>
      </w:r>
      <w:r w:rsidRPr="00E14B88">
        <w:rPr>
          <w:sz w:val="20"/>
          <w:szCs w:val="20"/>
          <w:lang w:val="fr-CA"/>
        </w:rPr>
        <w:t xml:space="preserve"> (Qc) (Civile) (Autorisation)</w:t>
      </w:r>
      <w:r w:rsidRPr="001E60CC">
        <w:rPr>
          <w:sz w:val="20"/>
          <w:szCs w:val="20"/>
          <w:lang w:val="fr-CA"/>
        </w:rPr>
        <w:t xml:space="preserve"> </w:t>
      </w:r>
      <w:r w:rsidR="00CB3520" w:rsidRPr="001E60CC">
        <w:rPr>
          <w:sz w:val="20"/>
          <w:szCs w:val="20"/>
          <w:lang w:val="fr-CA"/>
        </w:rPr>
        <w:t>(36</w:t>
      </w:r>
      <w:r w:rsidR="00360286" w:rsidRPr="001E60CC">
        <w:rPr>
          <w:sz w:val="20"/>
          <w:szCs w:val="20"/>
          <w:lang w:val="fr-CA"/>
        </w:rPr>
        <w:t>2</w:t>
      </w:r>
      <w:r w:rsidR="00CB3520" w:rsidRPr="001E60CC">
        <w:rPr>
          <w:sz w:val="20"/>
          <w:szCs w:val="20"/>
          <w:lang w:val="fr-CA"/>
        </w:rPr>
        <w:t>0</w:t>
      </w:r>
      <w:r w:rsidR="00360286" w:rsidRPr="001E60CC">
        <w:rPr>
          <w:sz w:val="20"/>
          <w:szCs w:val="20"/>
          <w:lang w:val="fr-CA"/>
        </w:rPr>
        <w:t>5</w:t>
      </w:r>
      <w:r w:rsidR="00CB3520" w:rsidRPr="001E60CC">
        <w:rPr>
          <w:sz w:val="20"/>
          <w:szCs w:val="20"/>
          <w:lang w:val="fr-CA"/>
        </w:rPr>
        <w:t>)</w:t>
      </w:r>
    </w:p>
    <w:p w:rsidR="00CB3520" w:rsidRPr="001E60CC" w:rsidRDefault="00CB3520" w:rsidP="00CB3520">
      <w:pPr>
        <w:widowControl w:val="0"/>
        <w:jc w:val="both"/>
        <w:rPr>
          <w:sz w:val="20"/>
          <w:szCs w:val="20"/>
          <w:lang w:val="fr-CA"/>
        </w:rPr>
      </w:pPr>
    </w:p>
    <w:p w:rsidR="00CB3520" w:rsidRPr="001E60CC" w:rsidRDefault="001E60CC" w:rsidP="00CB3520">
      <w:pPr>
        <w:pStyle w:val="ListParagraph"/>
        <w:widowControl w:val="0"/>
        <w:numPr>
          <w:ilvl w:val="0"/>
          <w:numId w:val="1"/>
        </w:numPr>
        <w:ind w:hanging="720"/>
        <w:jc w:val="both"/>
        <w:rPr>
          <w:sz w:val="20"/>
          <w:szCs w:val="20"/>
          <w:lang w:val="fr-CA"/>
        </w:rPr>
      </w:pPr>
      <w:r w:rsidRPr="001E60CC">
        <w:rPr>
          <w:i/>
          <w:sz w:val="20"/>
          <w:szCs w:val="20"/>
          <w:lang w:val="fr-CA"/>
        </w:rPr>
        <w:t>Michel Lafortune et a</w:t>
      </w:r>
      <w:r>
        <w:rPr>
          <w:i/>
          <w:sz w:val="20"/>
          <w:szCs w:val="20"/>
          <w:lang w:val="fr-CA"/>
        </w:rPr>
        <w:t>utres</w:t>
      </w:r>
      <w:r w:rsidRPr="001E60CC">
        <w:rPr>
          <w:i/>
          <w:sz w:val="20"/>
          <w:szCs w:val="20"/>
          <w:lang w:val="fr-CA"/>
        </w:rPr>
        <w:t xml:space="preserve"> c. Financière agricole du Québec</w:t>
      </w:r>
      <w:r w:rsidRPr="00E14B88">
        <w:rPr>
          <w:sz w:val="20"/>
          <w:szCs w:val="20"/>
          <w:lang w:val="fr-CA"/>
        </w:rPr>
        <w:t xml:space="preserve"> (Qc) (Civile) (Autorisation)</w:t>
      </w:r>
      <w:r w:rsidRPr="001E60CC">
        <w:rPr>
          <w:sz w:val="20"/>
          <w:szCs w:val="20"/>
          <w:lang w:val="fr-CA"/>
        </w:rPr>
        <w:t xml:space="preserve"> </w:t>
      </w:r>
      <w:r w:rsidR="00CB3520" w:rsidRPr="001E60CC">
        <w:rPr>
          <w:sz w:val="20"/>
          <w:szCs w:val="20"/>
          <w:lang w:val="fr-CA"/>
        </w:rPr>
        <w:t>(36</w:t>
      </w:r>
      <w:r w:rsidR="00360286" w:rsidRPr="001E60CC">
        <w:rPr>
          <w:sz w:val="20"/>
          <w:szCs w:val="20"/>
          <w:lang w:val="fr-CA"/>
        </w:rPr>
        <w:t>2</w:t>
      </w:r>
      <w:r w:rsidR="00CB3520" w:rsidRPr="001E60CC">
        <w:rPr>
          <w:sz w:val="20"/>
          <w:szCs w:val="20"/>
          <w:lang w:val="fr-CA"/>
        </w:rPr>
        <w:t>1</w:t>
      </w:r>
      <w:r w:rsidR="00360286" w:rsidRPr="001E60CC">
        <w:rPr>
          <w:sz w:val="20"/>
          <w:szCs w:val="20"/>
          <w:lang w:val="fr-CA"/>
        </w:rPr>
        <w:t>0</w:t>
      </w:r>
      <w:r w:rsidR="00CB3520" w:rsidRPr="001E60CC">
        <w:rPr>
          <w:sz w:val="20"/>
          <w:szCs w:val="20"/>
          <w:lang w:val="fr-CA"/>
        </w:rPr>
        <w:t>)</w:t>
      </w:r>
    </w:p>
    <w:p w:rsidR="00CB3520" w:rsidRPr="001E60CC" w:rsidRDefault="00CB3520" w:rsidP="00CB3520">
      <w:pPr>
        <w:widowControl w:val="0"/>
        <w:rPr>
          <w:sz w:val="20"/>
          <w:szCs w:val="20"/>
          <w:lang w:val="fr-CA"/>
        </w:rPr>
      </w:pPr>
    </w:p>
    <w:p w:rsidR="00CB3520" w:rsidRPr="00115C9E" w:rsidRDefault="001E60CC" w:rsidP="00CB3520">
      <w:pPr>
        <w:pStyle w:val="ListParagraph"/>
        <w:widowControl w:val="0"/>
        <w:numPr>
          <w:ilvl w:val="0"/>
          <w:numId w:val="1"/>
        </w:numPr>
        <w:ind w:hanging="720"/>
        <w:jc w:val="both"/>
        <w:rPr>
          <w:sz w:val="20"/>
          <w:szCs w:val="20"/>
          <w:lang w:val="fr-CA"/>
        </w:rPr>
      </w:pPr>
      <w:r w:rsidRPr="001E60CC">
        <w:rPr>
          <w:i/>
          <w:sz w:val="20"/>
          <w:szCs w:val="20"/>
          <w:lang w:val="fr-CA"/>
        </w:rPr>
        <w:t>Érik Charest c. Dessau inc. et a</w:t>
      </w:r>
      <w:r>
        <w:rPr>
          <w:i/>
          <w:sz w:val="20"/>
          <w:szCs w:val="20"/>
          <w:lang w:val="fr-CA"/>
        </w:rPr>
        <w:t>utres</w:t>
      </w:r>
      <w:r w:rsidRPr="00E14B88">
        <w:rPr>
          <w:sz w:val="20"/>
          <w:szCs w:val="20"/>
          <w:lang w:val="fr-CA"/>
        </w:rPr>
        <w:t xml:space="preserve"> (Qc) (Civile) (Autorisation)</w:t>
      </w:r>
      <w:r w:rsidRPr="00115C9E">
        <w:rPr>
          <w:sz w:val="20"/>
          <w:szCs w:val="20"/>
          <w:lang w:val="fr-CA"/>
        </w:rPr>
        <w:t xml:space="preserve"> </w:t>
      </w:r>
      <w:r w:rsidR="00CB3520" w:rsidRPr="00115C9E">
        <w:rPr>
          <w:sz w:val="20"/>
          <w:szCs w:val="20"/>
          <w:lang w:val="fr-CA"/>
        </w:rPr>
        <w:t>(3</w:t>
      </w:r>
      <w:r w:rsidR="00CB3520">
        <w:rPr>
          <w:sz w:val="20"/>
          <w:szCs w:val="20"/>
          <w:lang w:val="fr-CA"/>
        </w:rPr>
        <w:t>6</w:t>
      </w:r>
      <w:r w:rsidR="00360286">
        <w:rPr>
          <w:sz w:val="20"/>
          <w:szCs w:val="20"/>
          <w:lang w:val="fr-CA"/>
        </w:rPr>
        <w:t>2</w:t>
      </w:r>
      <w:r w:rsidR="00CB3520">
        <w:rPr>
          <w:sz w:val="20"/>
          <w:szCs w:val="20"/>
          <w:lang w:val="fr-CA"/>
        </w:rPr>
        <w:t>3</w:t>
      </w:r>
      <w:r w:rsidR="00360286">
        <w:rPr>
          <w:sz w:val="20"/>
          <w:szCs w:val="20"/>
          <w:lang w:val="fr-CA"/>
        </w:rPr>
        <w:t>7</w:t>
      </w:r>
      <w:r w:rsidR="00CB3520" w:rsidRPr="00115C9E">
        <w:rPr>
          <w:sz w:val="20"/>
          <w:szCs w:val="20"/>
          <w:lang w:val="fr-CA"/>
        </w:rPr>
        <w:t>)</w:t>
      </w:r>
    </w:p>
    <w:p w:rsidR="00CB3520" w:rsidRDefault="00CB3520" w:rsidP="00CB3520">
      <w:pPr>
        <w:widowControl w:val="0"/>
        <w:jc w:val="both"/>
        <w:rPr>
          <w:sz w:val="20"/>
          <w:szCs w:val="20"/>
          <w:lang w:val="fr-CA"/>
        </w:rPr>
      </w:pPr>
    </w:p>
    <w:p w:rsidR="00360286" w:rsidRDefault="00360286" w:rsidP="00CB3520">
      <w:pPr>
        <w:widowControl w:val="0"/>
        <w:jc w:val="both"/>
        <w:rPr>
          <w:sz w:val="20"/>
          <w:szCs w:val="20"/>
          <w:lang w:val="fr-CA"/>
        </w:rPr>
      </w:pPr>
    </w:p>
    <w:p w:rsidR="00360286" w:rsidRPr="00360286" w:rsidRDefault="00360286" w:rsidP="00360286">
      <w:pPr>
        <w:widowControl w:val="0"/>
        <w:jc w:val="center"/>
        <w:rPr>
          <w:b/>
          <w:sz w:val="20"/>
          <w:szCs w:val="20"/>
          <w:lang w:val="fr-CA"/>
        </w:rPr>
      </w:pPr>
      <w:r w:rsidRPr="00360286">
        <w:rPr>
          <w:b/>
          <w:sz w:val="20"/>
          <w:szCs w:val="20"/>
          <w:lang w:val="fr-CA"/>
        </w:rPr>
        <w:t>CORAM: Abella, Karakatsanis and Côté JJ.</w:t>
      </w:r>
    </w:p>
    <w:p w:rsidR="00360286" w:rsidRPr="00C50A5C" w:rsidRDefault="00360286" w:rsidP="00360286">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360286" w:rsidRPr="00115C9E" w:rsidRDefault="00360286" w:rsidP="00CB3520">
      <w:pPr>
        <w:widowControl w:val="0"/>
        <w:jc w:val="both"/>
        <w:rPr>
          <w:sz w:val="20"/>
          <w:szCs w:val="20"/>
          <w:lang w:val="fr-CA"/>
        </w:rPr>
      </w:pPr>
    </w:p>
    <w:p w:rsidR="00CB3520" w:rsidRPr="001E60CC" w:rsidRDefault="001E60CC" w:rsidP="00CB3520">
      <w:pPr>
        <w:pStyle w:val="ListParagraph"/>
        <w:widowControl w:val="0"/>
        <w:numPr>
          <w:ilvl w:val="0"/>
          <w:numId w:val="1"/>
        </w:numPr>
        <w:ind w:hanging="720"/>
        <w:jc w:val="both"/>
        <w:rPr>
          <w:sz w:val="20"/>
          <w:szCs w:val="20"/>
          <w:lang w:val="fr-CA"/>
        </w:rPr>
      </w:pPr>
      <w:r w:rsidRPr="001E60CC">
        <w:rPr>
          <w:i/>
          <w:sz w:val="20"/>
          <w:szCs w:val="20"/>
          <w:lang w:val="fr-CA"/>
        </w:rPr>
        <w:t>Martin Cousineau et a</w:t>
      </w:r>
      <w:r>
        <w:rPr>
          <w:i/>
          <w:sz w:val="20"/>
          <w:szCs w:val="20"/>
          <w:lang w:val="fr-CA"/>
        </w:rPr>
        <w:t>utre</w:t>
      </w:r>
      <w:r w:rsidRPr="001E60CC">
        <w:rPr>
          <w:i/>
          <w:sz w:val="20"/>
          <w:szCs w:val="20"/>
          <w:lang w:val="fr-CA"/>
        </w:rPr>
        <w:t xml:space="preserve"> c. Procureur général du Québec</w:t>
      </w:r>
      <w:r w:rsidRPr="00E14B88">
        <w:rPr>
          <w:sz w:val="20"/>
          <w:szCs w:val="20"/>
          <w:lang w:val="fr-CA"/>
        </w:rPr>
        <w:t xml:space="preserve"> (Qc) (Civile) (Autorisation)</w:t>
      </w:r>
      <w:r w:rsidRPr="001E60CC">
        <w:rPr>
          <w:sz w:val="20"/>
          <w:szCs w:val="20"/>
          <w:lang w:val="fr-CA"/>
        </w:rPr>
        <w:t xml:space="preserve"> </w:t>
      </w:r>
      <w:r w:rsidR="00CB3520" w:rsidRPr="001E60CC">
        <w:rPr>
          <w:sz w:val="20"/>
          <w:szCs w:val="20"/>
          <w:lang w:val="fr-CA"/>
        </w:rPr>
        <w:t>(36</w:t>
      </w:r>
      <w:r w:rsidR="00360286" w:rsidRPr="001E60CC">
        <w:rPr>
          <w:sz w:val="20"/>
          <w:szCs w:val="20"/>
          <w:lang w:val="fr-CA"/>
        </w:rPr>
        <w:t>148</w:t>
      </w:r>
      <w:r w:rsidR="00CB3520" w:rsidRPr="001E60CC">
        <w:rPr>
          <w:sz w:val="20"/>
          <w:szCs w:val="20"/>
          <w:lang w:val="fr-CA"/>
        </w:rPr>
        <w:t>)</w:t>
      </w:r>
    </w:p>
    <w:p w:rsidR="00CB3520" w:rsidRPr="001E60CC" w:rsidRDefault="00CB3520" w:rsidP="00CB3520">
      <w:pPr>
        <w:widowControl w:val="0"/>
        <w:jc w:val="both"/>
        <w:rPr>
          <w:sz w:val="20"/>
          <w:szCs w:val="20"/>
          <w:lang w:val="fr-CA"/>
        </w:rPr>
      </w:pPr>
    </w:p>
    <w:p w:rsidR="00CB3520" w:rsidRPr="001E60CC" w:rsidRDefault="001E60CC" w:rsidP="00CB3520">
      <w:pPr>
        <w:pStyle w:val="ListParagraph"/>
        <w:widowControl w:val="0"/>
        <w:numPr>
          <w:ilvl w:val="0"/>
          <w:numId w:val="1"/>
        </w:numPr>
        <w:ind w:hanging="720"/>
        <w:jc w:val="both"/>
        <w:rPr>
          <w:sz w:val="20"/>
          <w:szCs w:val="20"/>
        </w:rPr>
      </w:pPr>
      <w:r w:rsidRPr="001E60CC">
        <w:rPr>
          <w:i/>
          <w:sz w:val="20"/>
          <w:szCs w:val="20"/>
        </w:rPr>
        <w:t>JH Drilling v. Alberta Natural Resources Conservation Board et al.</w:t>
      </w:r>
      <w:r w:rsidRPr="00E14B88">
        <w:rPr>
          <w:sz w:val="20"/>
          <w:szCs w:val="20"/>
        </w:rPr>
        <w:t xml:space="preserve"> (Alta.) (Civil) (By Leave)</w:t>
      </w:r>
      <w:r w:rsidRPr="001E60CC">
        <w:rPr>
          <w:sz w:val="20"/>
          <w:szCs w:val="20"/>
        </w:rPr>
        <w:t xml:space="preserve"> </w:t>
      </w:r>
      <w:r w:rsidR="00CB3520" w:rsidRPr="001E60CC">
        <w:rPr>
          <w:sz w:val="20"/>
          <w:szCs w:val="20"/>
        </w:rPr>
        <w:t>(362</w:t>
      </w:r>
      <w:r w:rsidR="00360286" w:rsidRPr="001E60CC">
        <w:rPr>
          <w:sz w:val="20"/>
          <w:szCs w:val="20"/>
        </w:rPr>
        <w:t>54</w:t>
      </w:r>
      <w:r w:rsidR="00CB3520" w:rsidRPr="001E60CC">
        <w:rPr>
          <w:sz w:val="20"/>
          <w:szCs w:val="20"/>
        </w:rPr>
        <w:t>)</w:t>
      </w:r>
    </w:p>
    <w:p w:rsidR="00CB3520" w:rsidRPr="001E60CC" w:rsidRDefault="00CB3520" w:rsidP="00CB3520">
      <w:pPr>
        <w:widowControl w:val="0"/>
        <w:rPr>
          <w:sz w:val="20"/>
          <w:szCs w:val="20"/>
        </w:rPr>
      </w:pPr>
    </w:p>
    <w:p w:rsidR="00CB3520" w:rsidRPr="001E60CC" w:rsidRDefault="001E60CC" w:rsidP="00CB3520">
      <w:pPr>
        <w:pStyle w:val="ListParagraph"/>
        <w:widowControl w:val="0"/>
        <w:numPr>
          <w:ilvl w:val="0"/>
          <w:numId w:val="1"/>
        </w:numPr>
        <w:ind w:hanging="720"/>
        <w:jc w:val="both"/>
        <w:rPr>
          <w:sz w:val="20"/>
          <w:szCs w:val="20"/>
        </w:rPr>
      </w:pPr>
      <w:r w:rsidRPr="001E60CC">
        <w:rPr>
          <w:i/>
          <w:sz w:val="20"/>
          <w:szCs w:val="20"/>
        </w:rPr>
        <w:t>Humanics Universal Inc. et al. v. City of Ottawa</w:t>
      </w:r>
      <w:r w:rsidRPr="00E14B88">
        <w:rPr>
          <w:sz w:val="20"/>
          <w:szCs w:val="20"/>
        </w:rPr>
        <w:t xml:space="preserve"> (Ont.) (Civil) (By Leave)</w:t>
      </w:r>
      <w:r w:rsidRPr="001E60CC">
        <w:rPr>
          <w:sz w:val="20"/>
          <w:szCs w:val="20"/>
        </w:rPr>
        <w:t xml:space="preserve"> </w:t>
      </w:r>
      <w:r w:rsidR="00CB3520" w:rsidRPr="001E60CC">
        <w:rPr>
          <w:sz w:val="20"/>
          <w:szCs w:val="20"/>
        </w:rPr>
        <w:t>(36</w:t>
      </w:r>
      <w:r w:rsidR="00360286" w:rsidRPr="001E60CC">
        <w:rPr>
          <w:sz w:val="20"/>
          <w:szCs w:val="20"/>
        </w:rPr>
        <w:t>199</w:t>
      </w:r>
      <w:r w:rsidR="00CB3520" w:rsidRPr="001E60CC">
        <w:rPr>
          <w:sz w:val="20"/>
          <w:szCs w:val="20"/>
        </w:rPr>
        <w:t>)</w:t>
      </w:r>
    </w:p>
    <w:p w:rsidR="00CB3520" w:rsidRPr="001E60CC" w:rsidRDefault="00CB3520" w:rsidP="00CB3520">
      <w:pPr>
        <w:widowControl w:val="0"/>
        <w:jc w:val="both"/>
        <w:rPr>
          <w:sz w:val="20"/>
          <w:szCs w:val="20"/>
        </w:rPr>
      </w:pPr>
    </w:p>
    <w:p w:rsidR="00CB3520" w:rsidRPr="001E60CC" w:rsidRDefault="001E60CC" w:rsidP="00CB3520">
      <w:pPr>
        <w:pStyle w:val="ListParagraph"/>
        <w:widowControl w:val="0"/>
        <w:numPr>
          <w:ilvl w:val="0"/>
          <w:numId w:val="1"/>
        </w:numPr>
        <w:ind w:hanging="720"/>
        <w:jc w:val="both"/>
        <w:rPr>
          <w:sz w:val="20"/>
          <w:szCs w:val="20"/>
          <w:lang w:val="fr-CA"/>
        </w:rPr>
      </w:pPr>
      <w:r w:rsidRPr="001E60CC">
        <w:rPr>
          <w:i/>
          <w:sz w:val="20"/>
          <w:szCs w:val="20"/>
          <w:lang w:val="fr-CA"/>
        </w:rPr>
        <w:t>Ville de Lévis c. Fraternité des policiers de Lévis inc.</w:t>
      </w:r>
      <w:r w:rsidRPr="00E14B88">
        <w:rPr>
          <w:sz w:val="20"/>
          <w:szCs w:val="20"/>
          <w:lang w:val="fr-CA"/>
        </w:rPr>
        <w:t xml:space="preserve"> (Qc) (Civile) (Autorisation)</w:t>
      </w:r>
      <w:r w:rsidRPr="001E60CC">
        <w:rPr>
          <w:sz w:val="20"/>
          <w:szCs w:val="20"/>
          <w:lang w:val="fr-CA"/>
        </w:rPr>
        <w:t xml:space="preserve"> </w:t>
      </w:r>
      <w:r w:rsidR="00CB3520" w:rsidRPr="001E60CC">
        <w:rPr>
          <w:sz w:val="20"/>
          <w:szCs w:val="20"/>
          <w:lang w:val="fr-CA"/>
        </w:rPr>
        <w:t>(3</w:t>
      </w:r>
      <w:r w:rsidR="00360286" w:rsidRPr="001E60CC">
        <w:rPr>
          <w:sz w:val="20"/>
          <w:szCs w:val="20"/>
          <w:lang w:val="fr-CA"/>
        </w:rPr>
        <w:t>6</w:t>
      </w:r>
      <w:r w:rsidR="00CB3520" w:rsidRPr="001E60CC">
        <w:rPr>
          <w:sz w:val="20"/>
          <w:szCs w:val="20"/>
          <w:lang w:val="fr-CA"/>
        </w:rPr>
        <w:t>1</w:t>
      </w:r>
      <w:r w:rsidR="00360286" w:rsidRPr="001E60CC">
        <w:rPr>
          <w:sz w:val="20"/>
          <w:szCs w:val="20"/>
          <w:lang w:val="fr-CA"/>
        </w:rPr>
        <w:t>06</w:t>
      </w:r>
      <w:r w:rsidR="00CB3520" w:rsidRPr="001E60CC">
        <w:rPr>
          <w:sz w:val="20"/>
          <w:szCs w:val="20"/>
          <w:lang w:val="fr-CA"/>
        </w:rPr>
        <w:t>)</w:t>
      </w:r>
    </w:p>
    <w:p w:rsidR="00CB3520" w:rsidRPr="00A8251C" w:rsidRDefault="00CB3520" w:rsidP="00CB3520">
      <w:pPr>
        <w:widowControl w:val="0"/>
        <w:jc w:val="both"/>
        <w:rPr>
          <w:sz w:val="20"/>
          <w:szCs w:val="20"/>
          <w:lang w:val="fr-CA"/>
        </w:rPr>
      </w:pPr>
    </w:p>
    <w:p w:rsidR="00CB3520" w:rsidRPr="00115C9E" w:rsidRDefault="001E60CC" w:rsidP="00CB3520">
      <w:pPr>
        <w:pStyle w:val="ListParagraph"/>
        <w:widowControl w:val="0"/>
        <w:numPr>
          <w:ilvl w:val="0"/>
          <w:numId w:val="1"/>
        </w:numPr>
        <w:ind w:hanging="720"/>
        <w:jc w:val="both"/>
        <w:rPr>
          <w:sz w:val="20"/>
          <w:szCs w:val="20"/>
        </w:rPr>
      </w:pPr>
      <w:r w:rsidRPr="001E60CC">
        <w:rPr>
          <w:i/>
          <w:sz w:val="20"/>
          <w:szCs w:val="20"/>
        </w:rPr>
        <w:t>Catherine Leuthold v. Canadian Broadcasting Corporation</w:t>
      </w:r>
      <w:r w:rsidRPr="00E14B88">
        <w:rPr>
          <w:sz w:val="20"/>
          <w:szCs w:val="20"/>
        </w:rPr>
        <w:t xml:space="preserve"> (F.C.) (Civil) (By Leave)</w:t>
      </w:r>
      <w:r w:rsidRPr="00115C9E">
        <w:rPr>
          <w:sz w:val="20"/>
          <w:szCs w:val="20"/>
        </w:rPr>
        <w:t xml:space="preserve"> </w:t>
      </w:r>
      <w:r w:rsidR="00CB3520" w:rsidRPr="00115C9E">
        <w:rPr>
          <w:sz w:val="20"/>
          <w:szCs w:val="20"/>
        </w:rPr>
        <w:t>(3</w:t>
      </w:r>
      <w:r w:rsidR="00CB3520">
        <w:rPr>
          <w:sz w:val="20"/>
          <w:szCs w:val="20"/>
        </w:rPr>
        <w:t>60</w:t>
      </w:r>
      <w:r w:rsidR="00360286">
        <w:rPr>
          <w:sz w:val="20"/>
          <w:szCs w:val="20"/>
        </w:rPr>
        <w:t>30</w:t>
      </w:r>
      <w:r w:rsidR="00CB3520" w:rsidRPr="00115C9E">
        <w:rPr>
          <w:sz w:val="20"/>
          <w:szCs w:val="20"/>
        </w:rPr>
        <w:t>)</w:t>
      </w:r>
    </w:p>
    <w:p w:rsidR="00CB3520" w:rsidRDefault="00CB3520" w:rsidP="00CB3520">
      <w:pPr>
        <w:widowControl w:val="0"/>
        <w:jc w:val="both"/>
        <w:rPr>
          <w:sz w:val="20"/>
          <w:szCs w:val="20"/>
        </w:rPr>
      </w:pPr>
    </w:p>
    <w:p w:rsidR="00360286" w:rsidRDefault="00360286" w:rsidP="00CB3520">
      <w:pPr>
        <w:widowControl w:val="0"/>
        <w:jc w:val="both"/>
        <w:rPr>
          <w:sz w:val="20"/>
          <w:szCs w:val="20"/>
        </w:rPr>
      </w:pPr>
    </w:p>
    <w:p w:rsidR="00360286" w:rsidRPr="00C50A5C" w:rsidRDefault="00360286" w:rsidP="00360286">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360286" w:rsidRPr="00C50A5C" w:rsidRDefault="00360286" w:rsidP="00360286">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360286" w:rsidRPr="00360286" w:rsidRDefault="00360286" w:rsidP="00CB3520">
      <w:pPr>
        <w:widowControl w:val="0"/>
        <w:jc w:val="both"/>
        <w:rPr>
          <w:sz w:val="20"/>
          <w:szCs w:val="20"/>
          <w:lang w:val="fr-CA"/>
        </w:rPr>
      </w:pPr>
    </w:p>
    <w:p w:rsidR="00CB3520" w:rsidRDefault="001E60CC" w:rsidP="00CB3520">
      <w:pPr>
        <w:pStyle w:val="ListParagraph"/>
        <w:widowControl w:val="0"/>
        <w:numPr>
          <w:ilvl w:val="0"/>
          <w:numId w:val="1"/>
        </w:numPr>
        <w:ind w:hanging="720"/>
        <w:jc w:val="both"/>
        <w:rPr>
          <w:sz w:val="20"/>
          <w:szCs w:val="20"/>
        </w:rPr>
      </w:pPr>
      <w:r w:rsidRPr="001E60CC">
        <w:rPr>
          <w:i/>
          <w:sz w:val="20"/>
          <w:szCs w:val="20"/>
        </w:rPr>
        <w:t>Mona Lisa Nowak v. Michael Charles John Nowak</w:t>
      </w:r>
      <w:r w:rsidRPr="001E60CC">
        <w:rPr>
          <w:sz w:val="20"/>
          <w:szCs w:val="20"/>
        </w:rPr>
        <w:t xml:space="preserve"> (B.C.) </w:t>
      </w:r>
      <w:r w:rsidRPr="00E14B88">
        <w:rPr>
          <w:sz w:val="20"/>
          <w:szCs w:val="20"/>
        </w:rPr>
        <w:t>(Civil) (By Leave)</w:t>
      </w:r>
      <w:r w:rsidRPr="00C50A5C">
        <w:rPr>
          <w:sz w:val="20"/>
          <w:szCs w:val="20"/>
        </w:rPr>
        <w:t xml:space="preserve"> </w:t>
      </w:r>
      <w:r w:rsidR="00CB3520" w:rsidRPr="00C50A5C">
        <w:rPr>
          <w:sz w:val="20"/>
          <w:szCs w:val="20"/>
        </w:rPr>
        <w:t>(3</w:t>
      </w:r>
      <w:r w:rsidR="00CB3520">
        <w:rPr>
          <w:sz w:val="20"/>
          <w:szCs w:val="20"/>
        </w:rPr>
        <w:t>6</w:t>
      </w:r>
      <w:r w:rsidR="00360286">
        <w:rPr>
          <w:sz w:val="20"/>
          <w:szCs w:val="20"/>
        </w:rPr>
        <w:t>22</w:t>
      </w:r>
      <w:r w:rsidR="00CB3520">
        <w:rPr>
          <w:sz w:val="20"/>
          <w:szCs w:val="20"/>
        </w:rPr>
        <w:t>9</w:t>
      </w:r>
      <w:r w:rsidR="00CB3520" w:rsidRPr="00C50A5C">
        <w:rPr>
          <w:sz w:val="20"/>
          <w:szCs w:val="20"/>
        </w:rPr>
        <w:t>)</w:t>
      </w:r>
    </w:p>
    <w:p w:rsidR="00CB3520" w:rsidRPr="009C5D38" w:rsidRDefault="00CB3520" w:rsidP="00CB3520">
      <w:pPr>
        <w:widowControl w:val="0"/>
        <w:rPr>
          <w:i/>
          <w:sz w:val="20"/>
          <w:szCs w:val="20"/>
        </w:rPr>
      </w:pPr>
    </w:p>
    <w:p w:rsidR="00CB3520" w:rsidRPr="009C5D38" w:rsidRDefault="001E60CC" w:rsidP="00CB3520">
      <w:pPr>
        <w:pStyle w:val="ListParagraph"/>
        <w:widowControl w:val="0"/>
        <w:numPr>
          <w:ilvl w:val="0"/>
          <w:numId w:val="1"/>
        </w:numPr>
        <w:ind w:hanging="720"/>
        <w:jc w:val="both"/>
        <w:rPr>
          <w:sz w:val="20"/>
          <w:szCs w:val="20"/>
        </w:rPr>
      </w:pPr>
      <w:r w:rsidRPr="001E60CC">
        <w:rPr>
          <w:i/>
          <w:sz w:val="20"/>
          <w:szCs w:val="20"/>
        </w:rPr>
        <w:t>Rachel Exeter v. Attorney General of Canada</w:t>
      </w:r>
      <w:r w:rsidRPr="00E14B88">
        <w:rPr>
          <w:sz w:val="20"/>
          <w:szCs w:val="20"/>
        </w:rPr>
        <w:t xml:space="preserve"> (F.C.) (Civil) (By Leave)</w:t>
      </w:r>
      <w:r w:rsidRPr="009C5D38">
        <w:rPr>
          <w:sz w:val="20"/>
          <w:szCs w:val="20"/>
        </w:rPr>
        <w:t xml:space="preserve"> </w:t>
      </w:r>
      <w:r w:rsidR="00CB3520" w:rsidRPr="009C5D38">
        <w:rPr>
          <w:sz w:val="20"/>
          <w:szCs w:val="20"/>
        </w:rPr>
        <w:t>(36</w:t>
      </w:r>
      <w:r w:rsidR="00360286">
        <w:rPr>
          <w:sz w:val="20"/>
          <w:szCs w:val="20"/>
        </w:rPr>
        <w:t>264</w:t>
      </w:r>
      <w:r w:rsidR="00CB3520" w:rsidRPr="009C5D38">
        <w:rPr>
          <w:sz w:val="20"/>
          <w:szCs w:val="20"/>
        </w:rPr>
        <w:t>)</w:t>
      </w:r>
    </w:p>
    <w:p w:rsidR="00CB3520" w:rsidRPr="009C5D38" w:rsidRDefault="00CB3520" w:rsidP="00CB3520">
      <w:pPr>
        <w:widowControl w:val="0"/>
        <w:jc w:val="both"/>
        <w:rPr>
          <w:sz w:val="20"/>
          <w:szCs w:val="20"/>
        </w:rPr>
      </w:pPr>
    </w:p>
    <w:p w:rsidR="00CB3520" w:rsidRPr="001E60CC" w:rsidRDefault="001E60CC" w:rsidP="00CB3520">
      <w:pPr>
        <w:pStyle w:val="ListParagraph"/>
        <w:widowControl w:val="0"/>
        <w:numPr>
          <w:ilvl w:val="0"/>
          <w:numId w:val="1"/>
        </w:numPr>
        <w:ind w:hanging="720"/>
        <w:jc w:val="both"/>
        <w:rPr>
          <w:sz w:val="20"/>
          <w:szCs w:val="20"/>
        </w:rPr>
      </w:pPr>
      <w:r w:rsidRPr="001E60CC">
        <w:rPr>
          <w:i/>
          <w:sz w:val="20"/>
          <w:szCs w:val="20"/>
          <w:lang w:val="fr-CA"/>
        </w:rPr>
        <w:t>Apotex Inc. v. Pfizer Canada Inc. et al.</w:t>
      </w:r>
      <w:r w:rsidRPr="001E60CC">
        <w:rPr>
          <w:sz w:val="20"/>
          <w:szCs w:val="20"/>
          <w:lang w:val="fr-CA"/>
        </w:rPr>
        <w:t xml:space="preserve"> </w:t>
      </w:r>
      <w:r w:rsidRPr="00E14B88">
        <w:rPr>
          <w:sz w:val="20"/>
          <w:szCs w:val="20"/>
        </w:rPr>
        <w:t>(F.C.) (Civil) (By Leave)</w:t>
      </w:r>
      <w:r w:rsidRPr="001E60CC">
        <w:rPr>
          <w:sz w:val="20"/>
          <w:szCs w:val="20"/>
        </w:rPr>
        <w:t xml:space="preserve"> </w:t>
      </w:r>
      <w:r w:rsidR="00CB3520" w:rsidRPr="001E60CC">
        <w:rPr>
          <w:sz w:val="20"/>
          <w:szCs w:val="20"/>
        </w:rPr>
        <w:t>(3</w:t>
      </w:r>
      <w:r w:rsidR="00360286" w:rsidRPr="001E60CC">
        <w:rPr>
          <w:sz w:val="20"/>
          <w:szCs w:val="20"/>
        </w:rPr>
        <w:t>6227</w:t>
      </w:r>
      <w:r w:rsidR="00CB3520" w:rsidRPr="001E60CC">
        <w:rPr>
          <w:sz w:val="20"/>
          <w:szCs w:val="20"/>
        </w:rPr>
        <w:t>)</w:t>
      </w:r>
    </w:p>
    <w:p w:rsidR="00CB3520" w:rsidRPr="001E60CC" w:rsidRDefault="00CB3520" w:rsidP="00CB3520">
      <w:pPr>
        <w:widowControl w:val="0"/>
        <w:jc w:val="both"/>
        <w:rPr>
          <w:sz w:val="20"/>
          <w:szCs w:val="20"/>
        </w:rPr>
      </w:pPr>
    </w:p>
    <w:p w:rsidR="00CB3520" w:rsidRDefault="001E60CC" w:rsidP="00CB3520">
      <w:pPr>
        <w:pStyle w:val="ListParagraph"/>
        <w:widowControl w:val="0"/>
        <w:numPr>
          <w:ilvl w:val="0"/>
          <w:numId w:val="1"/>
        </w:numPr>
        <w:ind w:hanging="720"/>
        <w:jc w:val="both"/>
        <w:rPr>
          <w:sz w:val="20"/>
          <w:szCs w:val="20"/>
        </w:rPr>
      </w:pPr>
      <w:r w:rsidRPr="001E60CC">
        <w:rPr>
          <w:i/>
          <w:sz w:val="20"/>
          <w:szCs w:val="20"/>
          <w:lang w:val="fr-CA"/>
        </w:rPr>
        <w:t xml:space="preserve">Mylan Pharmaceuticals ULC v. Pfizer Canada Inc. et al. </w:t>
      </w:r>
      <w:r w:rsidRPr="00E14B88">
        <w:rPr>
          <w:sz w:val="20"/>
          <w:szCs w:val="20"/>
        </w:rPr>
        <w:t>(F.C.) (Civil) (By Leave)</w:t>
      </w:r>
      <w:r w:rsidRPr="009C5D38">
        <w:rPr>
          <w:sz w:val="20"/>
          <w:szCs w:val="20"/>
        </w:rPr>
        <w:t xml:space="preserve"> </w:t>
      </w:r>
      <w:r w:rsidR="00CB3520" w:rsidRPr="009C5D38">
        <w:rPr>
          <w:sz w:val="20"/>
          <w:szCs w:val="20"/>
        </w:rPr>
        <w:t>(3</w:t>
      </w:r>
      <w:r w:rsidR="00360286">
        <w:rPr>
          <w:sz w:val="20"/>
          <w:szCs w:val="20"/>
        </w:rPr>
        <w:t>6228</w:t>
      </w:r>
      <w:r w:rsidR="00CB3520" w:rsidRPr="009C5D38">
        <w:rPr>
          <w:sz w:val="20"/>
          <w:szCs w:val="20"/>
        </w:rPr>
        <w:t>)</w:t>
      </w:r>
    </w:p>
    <w:p w:rsidR="00360286" w:rsidRDefault="00360286" w:rsidP="00360286">
      <w:pPr>
        <w:pStyle w:val="ListParagraph"/>
        <w:widowControl w:val="0"/>
        <w:ind w:left="0"/>
        <w:jc w:val="both"/>
        <w:rPr>
          <w:sz w:val="20"/>
          <w:szCs w:val="20"/>
        </w:rPr>
      </w:pPr>
    </w:p>
    <w:p w:rsidR="00360286" w:rsidRDefault="001E60CC" w:rsidP="00CB3520">
      <w:pPr>
        <w:pStyle w:val="ListParagraph"/>
        <w:widowControl w:val="0"/>
        <w:numPr>
          <w:ilvl w:val="0"/>
          <w:numId w:val="1"/>
        </w:numPr>
        <w:ind w:hanging="720"/>
        <w:jc w:val="both"/>
        <w:rPr>
          <w:sz w:val="20"/>
          <w:szCs w:val="20"/>
        </w:rPr>
      </w:pPr>
      <w:r w:rsidRPr="001E60CC">
        <w:rPr>
          <w:i/>
          <w:sz w:val="20"/>
          <w:szCs w:val="20"/>
        </w:rPr>
        <w:t>Humanics Institute v. Minister of National Revenue</w:t>
      </w:r>
      <w:r w:rsidRPr="00E14B88">
        <w:rPr>
          <w:sz w:val="20"/>
          <w:szCs w:val="20"/>
        </w:rPr>
        <w:t xml:space="preserve"> (F.C.) (Civil) (By Leave)</w:t>
      </w:r>
      <w:r>
        <w:rPr>
          <w:sz w:val="20"/>
          <w:szCs w:val="20"/>
        </w:rPr>
        <w:t xml:space="preserve"> </w:t>
      </w:r>
      <w:r w:rsidR="00360286">
        <w:rPr>
          <w:sz w:val="20"/>
          <w:szCs w:val="20"/>
        </w:rPr>
        <w:t>(36253)</w:t>
      </w:r>
    </w:p>
    <w:p w:rsidR="00360286" w:rsidRPr="00360286" w:rsidRDefault="00360286" w:rsidP="00360286">
      <w:pPr>
        <w:widowControl w:val="0"/>
        <w:jc w:val="both"/>
        <w:rPr>
          <w:sz w:val="20"/>
          <w:szCs w:val="20"/>
        </w:rPr>
      </w:pPr>
    </w:p>
    <w:p w:rsidR="002E2327" w:rsidRDefault="009C5A48" w:rsidP="002E2327">
      <w:pPr>
        <w:widowControl w:val="0"/>
        <w:rPr>
          <w:sz w:val="20"/>
          <w:szCs w:val="20"/>
        </w:rPr>
      </w:pPr>
      <w:r>
        <w:rPr>
          <w:sz w:val="20"/>
          <w:szCs w:val="20"/>
        </w:rPr>
        <w:pict>
          <v:rect id="_x0000_i1032" style="width:2in;height:1pt" o:hrpct="0" o:hralign="center" o:hrstd="t" o:hrnoshade="t" o:hr="t" fillcolor="black [3213]" stroked="f"/>
        </w:pict>
      </w:r>
    </w:p>
    <w:p w:rsidR="00E14B88" w:rsidRPr="00E14B88" w:rsidRDefault="00E14B88" w:rsidP="00E14B88">
      <w:pPr>
        <w:widowControl w:val="0"/>
        <w:rPr>
          <w:sz w:val="20"/>
          <w:szCs w:val="20"/>
        </w:rPr>
      </w:pPr>
    </w:p>
    <w:p w:rsidR="00E14B88" w:rsidRPr="00E14B88" w:rsidRDefault="00E14B88" w:rsidP="00E14B88">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C5A4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E2959" w:rsidP="000E2959">
      <w:pPr>
        <w:rPr>
          <w:b/>
          <w:sz w:val="20"/>
          <w:szCs w:val="20"/>
        </w:rPr>
      </w:pPr>
      <w:r w:rsidRPr="00C50A5C">
        <w:rPr>
          <w:b/>
          <w:sz w:val="20"/>
          <w:szCs w:val="20"/>
        </w:rPr>
        <w:t>A</w:t>
      </w:r>
      <w:r w:rsidR="00A53490">
        <w:rPr>
          <w:b/>
          <w:sz w:val="20"/>
          <w:szCs w:val="20"/>
        </w:rPr>
        <w:t>PRIL</w:t>
      </w:r>
      <w:r w:rsidRPr="00C50A5C">
        <w:rPr>
          <w:b/>
          <w:sz w:val="20"/>
          <w:szCs w:val="20"/>
        </w:rPr>
        <w:t xml:space="preserve"> 2, 201</w:t>
      </w:r>
      <w:r w:rsidR="00681F61">
        <w:rPr>
          <w:b/>
          <w:sz w:val="20"/>
          <w:szCs w:val="20"/>
        </w:rPr>
        <w:t>5</w:t>
      </w:r>
      <w:r w:rsidRPr="00C50A5C">
        <w:rPr>
          <w:b/>
          <w:sz w:val="20"/>
          <w:szCs w:val="20"/>
        </w:rPr>
        <w:t xml:space="preserve"> / LE 2 A</w:t>
      </w:r>
      <w:r w:rsidR="00681F61">
        <w:rPr>
          <w:b/>
          <w:sz w:val="20"/>
          <w:szCs w:val="20"/>
        </w:rPr>
        <w:t>VR</w:t>
      </w:r>
      <w:r w:rsidR="00A53490">
        <w:rPr>
          <w:b/>
          <w:sz w:val="20"/>
          <w:szCs w:val="20"/>
        </w:rPr>
        <w:t>IL</w:t>
      </w:r>
      <w:r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9560C" w:rsidRPr="0029560C" w:rsidTr="00E16DBA">
        <w:trPr>
          <w:cantSplit/>
        </w:trPr>
        <w:tc>
          <w:tcPr>
            <w:tcW w:w="1458" w:type="dxa"/>
          </w:tcPr>
          <w:p w:rsidR="0029560C" w:rsidRPr="0029560C" w:rsidRDefault="0029560C" w:rsidP="0029560C">
            <w:pPr>
              <w:rPr>
                <w:sz w:val="20"/>
              </w:rPr>
            </w:pPr>
            <w:r w:rsidRPr="0029560C">
              <w:rPr>
                <w:b/>
                <w:sz w:val="20"/>
                <w:lang w:val="fr-CA"/>
              </w:rPr>
              <w:t>36132</w:t>
            </w:r>
          </w:p>
          <w:p w:rsidR="0029560C" w:rsidRPr="0029560C" w:rsidRDefault="0029560C" w:rsidP="0029560C">
            <w:pPr>
              <w:rPr>
                <w:b/>
                <w:sz w:val="20"/>
                <w:lang w:val="fr-CA"/>
              </w:rPr>
            </w:pPr>
          </w:p>
        </w:tc>
        <w:tc>
          <w:tcPr>
            <w:tcW w:w="8118" w:type="dxa"/>
          </w:tcPr>
          <w:p w:rsidR="0029560C" w:rsidRPr="0029560C" w:rsidRDefault="0029560C" w:rsidP="0029560C">
            <w:pPr>
              <w:rPr>
                <w:sz w:val="20"/>
              </w:rPr>
            </w:pPr>
            <w:r w:rsidRPr="0029560C">
              <w:rPr>
                <w:b/>
                <w:sz w:val="20"/>
                <w:u w:val="single"/>
              </w:rPr>
              <w:t>Strand Theatre Ltd. v. City of Prince Albert</w:t>
            </w:r>
            <w:r w:rsidRPr="0029560C">
              <w:rPr>
                <w:sz w:val="20"/>
              </w:rPr>
              <w:t xml:space="preserve"> (Sask.) (Civil) (By Leave)</w:t>
            </w:r>
          </w:p>
          <w:p w:rsidR="0029560C" w:rsidRPr="0029560C" w:rsidRDefault="0029560C" w:rsidP="0029560C">
            <w:pPr>
              <w:rPr>
                <w:sz w:val="20"/>
              </w:rPr>
            </w:pPr>
          </w:p>
        </w:tc>
      </w:tr>
      <w:tr w:rsidR="0029560C" w:rsidRPr="009C5A48" w:rsidTr="00E16DBA">
        <w:trPr>
          <w:cantSplit/>
        </w:trPr>
        <w:tc>
          <w:tcPr>
            <w:tcW w:w="1458" w:type="dxa"/>
          </w:tcPr>
          <w:p w:rsidR="0029560C" w:rsidRPr="0029560C" w:rsidRDefault="0029560C" w:rsidP="0029560C">
            <w:pPr>
              <w:rPr>
                <w:sz w:val="20"/>
              </w:rPr>
            </w:pPr>
            <w:r w:rsidRPr="0029560C">
              <w:rPr>
                <w:sz w:val="20"/>
              </w:rPr>
              <w:t>Coram :</w:t>
            </w:r>
          </w:p>
        </w:tc>
        <w:tc>
          <w:tcPr>
            <w:tcW w:w="8118" w:type="dxa"/>
          </w:tcPr>
          <w:p w:rsidR="0029560C" w:rsidRPr="0029560C" w:rsidRDefault="0029560C" w:rsidP="0029560C">
            <w:pPr>
              <w:rPr>
                <w:sz w:val="20"/>
                <w:lang w:val="fr-CA"/>
              </w:rPr>
            </w:pPr>
            <w:r w:rsidRPr="0029560C">
              <w:rPr>
                <w:sz w:val="20"/>
                <w:u w:val="single"/>
                <w:lang w:val="fr-CA"/>
              </w:rPr>
              <w:t>Abella, Karakatsanis and Côté JJ.</w:t>
            </w:r>
          </w:p>
          <w:p w:rsidR="0029560C" w:rsidRPr="0029560C" w:rsidRDefault="0029560C" w:rsidP="0029560C">
            <w:pPr>
              <w:rPr>
                <w:sz w:val="20"/>
                <w:u w:val="single"/>
                <w:lang w:val="fr-CA"/>
              </w:rPr>
            </w:pPr>
          </w:p>
        </w:tc>
      </w:tr>
      <w:tr w:rsidR="0029560C" w:rsidRPr="009C5A48" w:rsidTr="00E16DBA">
        <w:trPr>
          <w:cantSplit/>
        </w:trPr>
        <w:tc>
          <w:tcPr>
            <w:tcW w:w="9576" w:type="dxa"/>
            <w:gridSpan w:val="2"/>
          </w:tcPr>
          <w:p w:rsidR="0029560C" w:rsidRPr="0029560C" w:rsidRDefault="0029560C" w:rsidP="0029560C">
            <w:pPr>
              <w:ind w:firstLine="720"/>
              <w:jc w:val="both"/>
              <w:rPr>
                <w:sz w:val="20"/>
              </w:rPr>
            </w:pPr>
            <w:r w:rsidRPr="0029560C">
              <w:rPr>
                <w:sz w:val="20"/>
              </w:rPr>
              <w:t>The application for leave to appeal from the judgment of the Court of Appeal for Saskatchewan, Number CACV2132, 2014 SKCA 85, dated August 19, 2014, is dismissed with costs.</w:t>
            </w:r>
          </w:p>
          <w:p w:rsidR="0029560C" w:rsidRPr="0029560C" w:rsidRDefault="0029560C" w:rsidP="0029560C">
            <w:pPr>
              <w:jc w:val="both"/>
              <w:rPr>
                <w:sz w:val="20"/>
              </w:rPr>
            </w:pPr>
          </w:p>
          <w:p w:rsidR="0029560C" w:rsidRPr="0029560C" w:rsidRDefault="0029560C" w:rsidP="0029560C">
            <w:pPr>
              <w:ind w:firstLine="720"/>
              <w:jc w:val="both"/>
              <w:rPr>
                <w:sz w:val="20"/>
                <w:lang w:val="fr-CA"/>
              </w:rPr>
            </w:pPr>
            <w:r w:rsidRPr="0029560C">
              <w:rPr>
                <w:sz w:val="20"/>
                <w:lang w:val="fr-CA"/>
              </w:rPr>
              <w:t>La demande d’autorisation d’appel de l’arrêt de la Cour d’appel de la Saskatchewan, numéro CACV2132, 2014 SKCA 85, daté du 19 août 2014, est rejetée avec dépens.</w:t>
            </w:r>
          </w:p>
        </w:tc>
      </w:tr>
    </w:tbl>
    <w:p w:rsidR="00A53490" w:rsidRPr="0029560C" w:rsidRDefault="00A53490" w:rsidP="000E2959">
      <w:pPr>
        <w:rPr>
          <w:sz w:val="20"/>
          <w:szCs w:val="20"/>
          <w:lang w:val="fr-CA"/>
        </w:rPr>
      </w:pPr>
    </w:p>
    <w:p w:rsidR="00A53490" w:rsidRPr="001B157C" w:rsidRDefault="00A53490" w:rsidP="00A53490">
      <w:pPr>
        <w:rPr>
          <w:sz w:val="20"/>
          <w:szCs w:val="20"/>
          <w:u w:val="single"/>
        </w:rPr>
      </w:pPr>
      <w:r w:rsidRPr="001B157C">
        <w:rPr>
          <w:sz w:val="20"/>
          <w:szCs w:val="20"/>
          <w:u w:val="single"/>
        </w:rPr>
        <w:t>CASE SUMMARY</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Environmental law — Torts — Nuisance — Owner claiming chemicals from City landfill sites contaminated groundwater under property — Property owner’s nuisance claim against City dismissed as well as appeal — Whether trial judge misapprehended evidence — Whether judge erred in law in finding no nuisance — Whether judge imposed upon property owner scientific rather than legal standard of proof.</w:t>
            </w:r>
          </w:p>
        </w:tc>
      </w:tr>
      <w:tr w:rsidR="000B0AAC" w:rsidRPr="00FA13DA" w:rsidTr="00D33F7D">
        <w:tc>
          <w:tcPr>
            <w:tcW w:w="5000" w:type="pct"/>
            <w:gridSpan w:val="3"/>
          </w:tcPr>
          <w:p w:rsidR="000B0AAC" w:rsidRPr="00FA13DA" w:rsidRDefault="000B0AAC" w:rsidP="00D33F7D">
            <w:pPr>
              <w:jc w:val="both"/>
              <w:rPr>
                <w:rFonts w:eastAsia="Calibri"/>
                <w:sz w:val="20"/>
                <w:szCs w:val="20"/>
              </w:rPr>
            </w:pPr>
          </w:p>
        </w:tc>
      </w:tr>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 xml:space="preserve">The applicant, Strand Theatre, operated a drive-in movie theatre in a Prince Albert industrial park near which the City operated several landfill sites.  A sale of the theatre property fell through in 2000 when the buyer pulled out after it was reported that the landfill sites might be contaminating the groundwater, and Strand Theatre commenced an action.  Experts and other assessors provided evidence challenging the methodologies used to test the groundwater for contamination, and ultimately the trial judge concluded that contamination did not occur as a result of chemicals released from the City’s landfills. He also found no interference with Strand Theatre’s use or enjoyment of its property and no damages, in the event a nuisance existed.  The Court of Appeal dismissed the appeal. </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May 27, 2011</w:t>
            </w:r>
          </w:p>
          <w:p w:rsidR="000B0AAC" w:rsidRPr="00FA13DA" w:rsidRDefault="000B0AAC" w:rsidP="00D33F7D">
            <w:pPr>
              <w:jc w:val="both"/>
              <w:rPr>
                <w:rFonts w:eastAsia="Calibri"/>
                <w:sz w:val="20"/>
                <w:szCs w:val="20"/>
              </w:rPr>
            </w:pPr>
            <w:r w:rsidRPr="00FA13DA">
              <w:rPr>
                <w:rFonts w:eastAsia="Calibri"/>
                <w:sz w:val="20"/>
                <w:szCs w:val="20"/>
              </w:rPr>
              <w:t>Court of Queen’s Bench of Saskatchewan</w:t>
            </w:r>
          </w:p>
          <w:p w:rsidR="000B0AAC" w:rsidRPr="00FA13DA" w:rsidRDefault="000B0AAC" w:rsidP="00D33F7D">
            <w:pPr>
              <w:jc w:val="both"/>
              <w:rPr>
                <w:rFonts w:eastAsia="Calibri"/>
                <w:sz w:val="20"/>
                <w:szCs w:val="20"/>
              </w:rPr>
            </w:pPr>
            <w:r w:rsidRPr="00FA13DA">
              <w:rPr>
                <w:rFonts w:eastAsia="Calibri"/>
                <w:sz w:val="20"/>
                <w:szCs w:val="20"/>
              </w:rPr>
              <w:t>(Acton J.)</w:t>
            </w:r>
          </w:p>
          <w:p w:rsidR="000B0AAC" w:rsidRPr="00FA13DA" w:rsidRDefault="009C5A48" w:rsidP="00D33F7D">
            <w:pPr>
              <w:jc w:val="both"/>
              <w:rPr>
                <w:rFonts w:eastAsia="Calibri"/>
                <w:sz w:val="20"/>
                <w:szCs w:val="20"/>
              </w:rPr>
            </w:pPr>
            <w:hyperlink r:id="rId24" w:history="1">
              <w:r w:rsidR="000B0AAC" w:rsidRPr="00FA13DA">
                <w:rPr>
                  <w:rFonts w:eastAsia="Calibri"/>
                  <w:color w:val="0000FF"/>
                  <w:sz w:val="20"/>
                  <w:szCs w:val="20"/>
                  <w:u w:val="single"/>
                </w:rPr>
                <w:t>2011 SKQB 209</w:t>
              </w:r>
            </w:hyperlink>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Applicant’s nuisance claim dismissed.</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August 19, 2014</w:t>
            </w:r>
          </w:p>
          <w:p w:rsidR="000B0AAC" w:rsidRPr="00FA13DA" w:rsidRDefault="000B0AAC" w:rsidP="00D33F7D">
            <w:pPr>
              <w:jc w:val="both"/>
              <w:rPr>
                <w:rFonts w:eastAsia="Calibri"/>
                <w:sz w:val="20"/>
                <w:szCs w:val="20"/>
              </w:rPr>
            </w:pPr>
            <w:r w:rsidRPr="00FA13DA">
              <w:rPr>
                <w:rFonts w:eastAsia="Calibri"/>
                <w:sz w:val="20"/>
                <w:szCs w:val="20"/>
              </w:rPr>
              <w:t>Court of Appeal for Saskatchewan</w:t>
            </w:r>
          </w:p>
          <w:p w:rsidR="000B0AAC" w:rsidRPr="00FA13DA" w:rsidRDefault="000B0AAC" w:rsidP="00D33F7D">
            <w:pPr>
              <w:jc w:val="both"/>
              <w:rPr>
                <w:rFonts w:eastAsia="Calibri"/>
                <w:sz w:val="20"/>
                <w:szCs w:val="20"/>
              </w:rPr>
            </w:pPr>
            <w:r w:rsidRPr="00FA13DA">
              <w:rPr>
                <w:rFonts w:eastAsia="Calibri"/>
                <w:sz w:val="20"/>
                <w:szCs w:val="20"/>
              </w:rPr>
              <w:t>(Richards C.J.S. and Whitmore and Ryan-Froslie JJ.A.)</w:t>
            </w:r>
          </w:p>
          <w:p w:rsidR="000B0AAC" w:rsidRPr="00FA13DA" w:rsidRDefault="009C5A48" w:rsidP="00D33F7D">
            <w:pPr>
              <w:jc w:val="both"/>
              <w:rPr>
                <w:rFonts w:eastAsia="Calibri"/>
                <w:sz w:val="20"/>
                <w:szCs w:val="20"/>
              </w:rPr>
            </w:pPr>
            <w:hyperlink r:id="rId25" w:history="1">
              <w:r w:rsidR="000B0AAC" w:rsidRPr="00FA13DA">
                <w:rPr>
                  <w:rFonts w:eastAsia="Calibri"/>
                  <w:color w:val="0000FF"/>
                  <w:sz w:val="20"/>
                  <w:szCs w:val="20"/>
                  <w:u w:val="single"/>
                </w:rPr>
                <w:t>2014 SKCA 85</w:t>
              </w:r>
            </w:hyperlink>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Appeal dismissed.</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October 20, 2014</w:t>
            </w:r>
          </w:p>
          <w:p w:rsidR="000B0AAC" w:rsidRPr="00FA13DA" w:rsidRDefault="000B0AAC" w:rsidP="00D33F7D">
            <w:pPr>
              <w:jc w:val="both"/>
              <w:rPr>
                <w:rFonts w:eastAsia="Calibri"/>
                <w:sz w:val="20"/>
                <w:szCs w:val="20"/>
              </w:rPr>
            </w:pPr>
            <w:r w:rsidRPr="00FA13DA">
              <w:rPr>
                <w:rFonts w:eastAsia="Calibri"/>
                <w:sz w:val="20"/>
                <w:szCs w:val="20"/>
              </w:rPr>
              <w:t>Supreme Court of Canada</w:t>
            </w: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Application for leave to appeal filed.</w:t>
            </w:r>
          </w:p>
          <w:p w:rsidR="000B0AAC" w:rsidRPr="00FA13DA" w:rsidRDefault="000B0AAC" w:rsidP="00D33F7D">
            <w:pPr>
              <w:jc w:val="both"/>
              <w:rPr>
                <w:rFonts w:eastAsia="Calibri"/>
                <w:sz w:val="20"/>
                <w:szCs w:val="20"/>
              </w:rPr>
            </w:pPr>
          </w:p>
        </w:tc>
      </w:tr>
    </w:tbl>
    <w:p w:rsidR="00A53490" w:rsidRDefault="00A53490" w:rsidP="00A53490">
      <w:pPr>
        <w:rPr>
          <w:sz w:val="20"/>
          <w:szCs w:val="20"/>
        </w:rPr>
      </w:pPr>
    </w:p>
    <w:p w:rsidR="00A53490" w:rsidRPr="00C50A5C" w:rsidRDefault="009C5A48" w:rsidP="00A53490">
      <w:pPr>
        <w:rPr>
          <w:sz w:val="20"/>
          <w:szCs w:val="20"/>
        </w:rPr>
      </w:pPr>
      <w:r>
        <w:rPr>
          <w:sz w:val="20"/>
          <w:szCs w:val="20"/>
          <w:lang w:val="fr-CA"/>
        </w:rPr>
        <w:pict>
          <v:rect id="_x0000_i1035" style="width:2in;height:1pt" o:hrpct="0" o:hralign="center" o:hrstd="t" o:hrnoshade="t" o:hr="t" fillcolor="black [3213]" stroked="f"/>
        </w:pict>
      </w:r>
    </w:p>
    <w:p w:rsidR="00A53490" w:rsidRDefault="00A53490" w:rsidP="00A53490">
      <w:pPr>
        <w:rPr>
          <w:sz w:val="20"/>
          <w:szCs w:val="20"/>
        </w:rPr>
      </w:pPr>
    </w:p>
    <w:p w:rsidR="00A53490" w:rsidRPr="001B157C" w:rsidRDefault="00A53490" w:rsidP="00A53490">
      <w:pPr>
        <w:rPr>
          <w:sz w:val="20"/>
          <w:szCs w:val="20"/>
          <w:u w:val="single"/>
          <w:lang w:val="fr-CA"/>
        </w:rPr>
      </w:pPr>
      <w:r w:rsidRPr="001B157C">
        <w:rPr>
          <w:sz w:val="20"/>
          <w:szCs w:val="20"/>
          <w:u w:val="single"/>
          <w:lang w:val="fr-CA"/>
        </w:rPr>
        <w:t>RÉSUMÉ DE L’AFFAIRE</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9C5A48"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Droit de l’environnement — Responsabilité délictuelle — Nuisances — Le propriétaire allègue que des produits chimiques provenant de sites d’enfouissement de la Ville ont contaminé l’eau souterraine sous le bien-fonds — La réclamation fondée sur la nuisance que le propriétaire foncier a intentée contre la Ville a été rejetée, tout comme l’appel — Le juge de première instance a-t-il mal interprété la preuve? — Le juge a-t-il commis une erreur de droit en </w:t>
            </w:r>
            <w:r w:rsidRPr="00FA13DA">
              <w:rPr>
                <w:rFonts w:eastAsia="Calibri"/>
                <w:sz w:val="20"/>
                <w:szCs w:val="20"/>
                <w:lang w:val="fr-CA"/>
              </w:rPr>
              <w:lastRenderedPageBreak/>
              <w:t>concluant qu’il n’y avait pas eu de nuisance? — Le juge a-t-il imposé au propriétaire foncier une norme de preuve scientifique plutôt que juridique?</w:t>
            </w:r>
          </w:p>
        </w:tc>
      </w:tr>
      <w:tr w:rsidR="000B0AAC" w:rsidRPr="009C5A48" w:rsidTr="00D33F7D">
        <w:tc>
          <w:tcPr>
            <w:tcW w:w="5000" w:type="pct"/>
            <w:gridSpan w:val="3"/>
          </w:tcPr>
          <w:p w:rsidR="000B0AAC" w:rsidRPr="00FA13DA" w:rsidRDefault="000B0AAC" w:rsidP="00D33F7D">
            <w:pPr>
              <w:jc w:val="both"/>
              <w:rPr>
                <w:rFonts w:eastAsia="Calibri"/>
                <w:sz w:val="20"/>
                <w:szCs w:val="20"/>
                <w:lang w:val="fr-CA"/>
              </w:rPr>
            </w:pPr>
          </w:p>
        </w:tc>
      </w:tr>
      <w:tr w:rsidR="000B0AAC" w:rsidRPr="00FA13DA"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La demanderesse, Strand Theatre, exploitait un ciné-parc dans un parc industriel de Prince Albert près duquel la Ville exploitait plusieurs sites d’enfouissement.  En 2000, une vente du bien-fonds sur lequel le ciné-parc avait été aménagé a échoué lorsque l’acheteur s’est retiré après qu’on eut rapporté que les sites d’enfouissement contaminaient peut-être l’eau souterraine et Strand Theater a intenté une action.  Des experts et d’autres évaluateurs ont fourni des preuves contestant les méthodologies utilisées pour soumettre l’eau souterraine à des essais pour la contamination et le juge de première instance a fini par conclure qu’il n’y avait pas eu de contamination causée par des produits chimiques rejetés des sites d’enfouissement de la Ville.  Il a également conclu que Strand Theatre n’avait pas été privée de l’usage ou de la jouissance de son bien-fonds et qu’aucun préjudice n’avait été subi, si tant est qu’une nuisance eût existé.  La Cour d’appel a rejeté l’appel. </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27 mai 2011</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du Banc de la Reine de la Saskatchewan</w:t>
            </w:r>
          </w:p>
          <w:p w:rsidR="000B0AAC" w:rsidRPr="00FA13DA" w:rsidRDefault="000B0AAC" w:rsidP="00D33F7D">
            <w:pPr>
              <w:jc w:val="both"/>
              <w:rPr>
                <w:rFonts w:eastAsia="Calibri"/>
                <w:sz w:val="20"/>
                <w:szCs w:val="20"/>
                <w:lang w:val="fr-CA"/>
              </w:rPr>
            </w:pPr>
            <w:r w:rsidRPr="00FA13DA">
              <w:rPr>
                <w:rFonts w:eastAsia="Calibri"/>
                <w:sz w:val="20"/>
                <w:szCs w:val="20"/>
                <w:lang w:val="fr-CA"/>
              </w:rPr>
              <w:t>(Juge Acton)</w:t>
            </w:r>
          </w:p>
          <w:p w:rsidR="000B0AAC" w:rsidRPr="00FA13DA" w:rsidRDefault="009C5A48" w:rsidP="00D33F7D">
            <w:pPr>
              <w:jc w:val="both"/>
              <w:rPr>
                <w:rFonts w:eastAsia="Calibri"/>
                <w:sz w:val="20"/>
                <w:szCs w:val="20"/>
                <w:lang w:val="fr-CA"/>
              </w:rPr>
            </w:pPr>
            <w:hyperlink r:id="rId26" w:history="1">
              <w:r w:rsidR="000B0AAC" w:rsidRPr="00FA13DA">
                <w:rPr>
                  <w:rFonts w:eastAsia="Calibri"/>
                  <w:color w:val="0000FF"/>
                  <w:sz w:val="20"/>
                  <w:szCs w:val="20"/>
                  <w:u w:val="single"/>
                  <w:lang w:val="fr-CA"/>
                </w:rPr>
                <w:t>2011 SKQB 209</w:t>
              </w:r>
            </w:hyperlink>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Rejet de la réclamation fondée sur la nuisance intentée par la demanderesse.</w:t>
            </w:r>
          </w:p>
          <w:p w:rsidR="000B0AAC" w:rsidRPr="00FA13DA" w:rsidRDefault="000B0AAC" w:rsidP="00D33F7D">
            <w:pPr>
              <w:jc w:val="both"/>
              <w:rPr>
                <w:rFonts w:eastAsia="Calibri"/>
                <w:sz w:val="20"/>
                <w:szCs w:val="20"/>
                <w:lang w:val="fr-CA"/>
              </w:rPr>
            </w:pPr>
          </w:p>
        </w:tc>
      </w:tr>
      <w:tr w:rsidR="000B0AAC" w:rsidRPr="00FA13DA"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19 août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d’appel de la Saskatchewan</w:t>
            </w:r>
          </w:p>
          <w:p w:rsidR="000B0AAC" w:rsidRPr="00FA13DA" w:rsidRDefault="000B0AAC" w:rsidP="00D33F7D">
            <w:pPr>
              <w:jc w:val="both"/>
              <w:rPr>
                <w:rFonts w:eastAsia="Calibri"/>
                <w:sz w:val="20"/>
                <w:szCs w:val="20"/>
                <w:lang w:val="fr-CA"/>
              </w:rPr>
            </w:pPr>
            <w:r w:rsidRPr="00FA13DA">
              <w:rPr>
                <w:rFonts w:eastAsia="Calibri"/>
                <w:sz w:val="20"/>
                <w:szCs w:val="20"/>
                <w:lang w:val="fr-CA"/>
              </w:rPr>
              <w:t>(Juge en chef Richards, juges Whitmore et Ryan-Froslie)</w:t>
            </w:r>
          </w:p>
          <w:p w:rsidR="000B0AAC" w:rsidRPr="00FA13DA" w:rsidRDefault="009C5A48" w:rsidP="00D33F7D">
            <w:pPr>
              <w:jc w:val="both"/>
              <w:rPr>
                <w:rFonts w:eastAsia="Calibri"/>
                <w:sz w:val="20"/>
                <w:szCs w:val="20"/>
                <w:lang w:val="fr-CA"/>
              </w:rPr>
            </w:pPr>
            <w:hyperlink r:id="rId27" w:history="1">
              <w:r w:rsidR="000B0AAC" w:rsidRPr="00FA13DA">
                <w:rPr>
                  <w:rFonts w:eastAsia="Calibri"/>
                  <w:color w:val="0000FF"/>
                  <w:sz w:val="20"/>
                  <w:szCs w:val="20"/>
                  <w:u w:val="single"/>
                  <w:lang w:val="fr-CA"/>
                </w:rPr>
                <w:t>2014 SKCA 85</w:t>
              </w:r>
            </w:hyperlink>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Rejet de l’appel.</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20 octobre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suprême du Canada</w:t>
            </w: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Dépôt de la demande d’autorisation d’appel.</w:t>
            </w:r>
          </w:p>
          <w:p w:rsidR="000B0AAC" w:rsidRPr="00FA13DA" w:rsidRDefault="000B0AAC" w:rsidP="00D33F7D">
            <w:pPr>
              <w:jc w:val="both"/>
              <w:rPr>
                <w:rFonts w:eastAsia="Calibri"/>
                <w:sz w:val="20"/>
                <w:szCs w:val="20"/>
                <w:lang w:val="fr-CA"/>
              </w:rPr>
            </w:pPr>
          </w:p>
        </w:tc>
      </w:tr>
    </w:tbl>
    <w:p w:rsidR="00A53490" w:rsidRPr="000B0AAC" w:rsidRDefault="00A53490" w:rsidP="000E2959">
      <w:pPr>
        <w:rPr>
          <w:sz w:val="20"/>
          <w:szCs w:val="20"/>
          <w:lang w:val="fr-CA"/>
        </w:rPr>
      </w:pPr>
    </w:p>
    <w:p w:rsidR="00A53490" w:rsidRDefault="009C5A48" w:rsidP="000E2959">
      <w:pPr>
        <w:rPr>
          <w:sz w:val="20"/>
          <w:szCs w:val="20"/>
        </w:rPr>
      </w:pPr>
      <w:r>
        <w:rPr>
          <w:sz w:val="20"/>
          <w:szCs w:val="20"/>
          <w:lang w:val="fr-CA"/>
        </w:rPr>
        <w:pict>
          <v:rect id="_x0000_i1036" style="width:2in;height:1pt" o:hrpct="0" o:hralign="center" o:hrstd="t" o:hrnoshade="t" o:hr="t" fillcolor="black [3213]" stroked="f"/>
        </w:pict>
      </w:r>
    </w:p>
    <w:p w:rsidR="00A53490" w:rsidRDefault="00A53490"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875A8" w:rsidRPr="00D144F6" w:rsidTr="00E16DBA">
        <w:trPr>
          <w:cantSplit/>
        </w:trPr>
        <w:tc>
          <w:tcPr>
            <w:tcW w:w="1458" w:type="dxa"/>
          </w:tcPr>
          <w:p w:rsidR="004875A8" w:rsidRPr="006E4E50" w:rsidRDefault="004875A8" w:rsidP="00E16DBA">
            <w:pPr>
              <w:rPr>
                <w:sz w:val="20"/>
                <w:szCs w:val="20"/>
              </w:rPr>
            </w:pPr>
            <w:r w:rsidRPr="006E4E50">
              <w:rPr>
                <w:rStyle w:val="SCCFileNumberChar"/>
                <w:sz w:val="20"/>
                <w:szCs w:val="20"/>
              </w:rPr>
              <w:t>36173</w:t>
            </w:r>
          </w:p>
          <w:p w:rsidR="004875A8" w:rsidRPr="006E4E50" w:rsidRDefault="004875A8" w:rsidP="00E16DBA">
            <w:pPr>
              <w:rPr>
                <w:b/>
                <w:sz w:val="20"/>
                <w:szCs w:val="20"/>
                <w:lang w:val="fr-CA"/>
              </w:rPr>
            </w:pPr>
          </w:p>
        </w:tc>
        <w:tc>
          <w:tcPr>
            <w:tcW w:w="8118" w:type="dxa"/>
          </w:tcPr>
          <w:p w:rsidR="004875A8" w:rsidRPr="006E4E50" w:rsidRDefault="004875A8" w:rsidP="00E16DBA">
            <w:pPr>
              <w:jc w:val="both"/>
              <w:rPr>
                <w:sz w:val="20"/>
                <w:szCs w:val="20"/>
                <w:lang w:val="fr-CA"/>
              </w:rPr>
            </w:pPr>
            <w:r w:rsidRPr="006E4E50">
              <w:rPr>
                <w:rStyle w:val="SCCLsocChar"/>
                <w:sz w:val="20"/>
                <w:szCs w:val="20"/>
              </w:rPr>
              <w:t xml:space="preserve">Sharon Baron c. Directeur des poursuites </w:t>
            </w:r>
            <w:r>
              <w:rPr>
                <w:rStyle w:val="SCCLsocChar"/>
                <w:sz w:val="20"/>
                <w:szCs w:val="20"/>
              </w:rPr>
              <w:t xml:space="preserve">criminelles et </w:t>
            </w:r>
            <w:r w:rsidRPr="006E4E50">
              <w:rPr>
                <w:rStyle w:val="SCCLsocChar"/>
                <w:sz w:val="20"/>
                <w:szCs w:val="20"/>
              </w:rPr>
              <w:t xml:space="preserve">pénales, </w:t>
            </w:r>
            <w:r>
              <w:rPr>
                <w:rStyle w:val="SCCLsocChar"/>
                <w:sz w:val="20"/>
                <w:szCs w:val="20"/>
              </w:rPr>
              <w:t xml:space="preserve">Directeur des poursuites pénales et </w:t>
            </w:r>
            <w:r w:rsidRPr="006E4E50">
              <w:rPr>
                <w:rStyle w:val="SCCLsocChar"/>
                <w:sz w:val="20"/>
                <w:szCs w:val="20"/>
              </w:rPr>
              <w:t>Procureure générale du Québec</w:t>
            </w:r>
            <w:r w:rsidRPr="006E4E50">
              <w:rPr>
                <w:sz w:val="20"/>
                <w:szCs w:val="20"/>
                <w:lang w:val="fr-CA"/>
              </w:rPr>
              <w:t xml:space="preserve"> (Qc) (Criminelle) (Autorisation)</w:t>
            </w:r>
          </w:p>
          <w:p w:rsidR="004875A8" w:rsidRPr="006E4E50" w:rsidRDefault="004875A8" w:rsidP="00E16DBA">
            <w:pPr>
              <w:jc w:val="both"/>
              <w:rPr>
                <w:sz w:val="20"/>
                <w:szCs w:val="20"/>
                <w:lang w:val="fr-CA"/>
              </w:rPr>
            </w:pPr>
          </w:p>
        </w:tc>
      </w:tr>
      <w:tr w:rsidR="004875A8" w:rsidRPr="00D144F6" w:rsidTr="00E16DBA">
        <w:trPr>
          <w:cantSplit/>
        </w:trPr>
        <w:tc>
          <w:tcPr>
            <w:tcW w:w="1458" w:type="dxa"/>
          </w:tcPr>
          <w:p w:rsidR="004875A8" w:rsidRPr="006E4E50" w:rsidRDefault="004875A8" w:rsidP="00E16DBA">
            <w:pPr>
              <w:rPr>
                <w:sz w:val="20"/>
                <w:szCs w:val="20"/>
              </w:rPr>
            </w:pPr>
            <w:r w:rsidRPr="006E4E50">
              <w:rPr>
                <w:sz w:val="20"/>
                <w:szCs w:val="20"/>
              </w:rPr>
              <w:t>Coram :</w:t>
            </w:r>
          </w:p>
        </w:tc>
        <w:tc>
          <w:tcPr>
            <w:tcW w:w="8118" w:type="dxa"/>
          </w:tcPr>
          <w:p w:rsidR="004875A8" w:rsidRPr="006E4E50" w:rsidRDefault="004875A8" w:rsidP="00E16DBA">
            <w:pPr>
              <w:rPr>
                <w:sz w:val="20"/>
                <w:szCs w:val="20"/>
                <w:lang w:val="fr-CA"/>
              </w:rPr>
            </w:pPr>
            <w:r w:rsidRPr="006E4E50">
              <w:rPr>
                <w:rStyle w:val="SCCCoramChar"/>
                <w:sz w:val="20"/>
                <w:szCs w:val="20"/>
              </w:rPr>
              <w:t>Les juges Abella, Karakatsanis et Côté</w:t>
            </w:r>
          </w:p>
          <w:p w:rsidR="004875A8" w:rsidRPr="006E4E50" w:rsidRDefault="004875A8" w:rsidP="00E16DBA">
            <w:pPr>
              <w:rPr>
                <w:sz w:val="20"/>
                <w:szCs w:val="20"/>
                <w:u w:val="single"/>
                <w:lang w:val="fr-CA"/>
              </w:rPr>
            </w:pPr>
          </w:p>
        </w:tc>
      </w:tr>
      <w:tr w:rsidR="004875A8" w:rsidRPr="006E4E50" w:rsidTr="00E16DBA">
        <w:trPr>
          <w:cantSplit/>
        </w:trPr>
        <w:tc>
          <w:tcPr>
            <w:tcW w:w="9576" w:type="dxa"/>
            <w:gridSpan w:val="2"/>
          </w:tcPr>
          <w:p w:rsidR="004875A8" w:rsidRPr="006E4E50" w:rsidRDefault="004875A8" w:rsidP="00E16DBA">
            <w:pPr>
              <w:pStyle w:val="SCCShortJudgment"/>
              <w:rPr>
                <w:szCs w:val="20"/>
                <w:lang w:val="fr-CA"/>
              </w:rPr>
            </w:pPr>
            <w:r w:rsidRPr="006E4E50">
              <w:rPr>
                <w:szCs w:val="20"/>
                <w:lang w:val="fr-CA"/>
              </w:rPr>
              <w:t>La demande d’autorisation d’appel de l’arrêt de la Cour d’appel du Québec (Montréal), numéro 500-10-00587-140, 2014 QCCA 1680, daté du 17 septembre 2014, est rejetée.</w:t>
            </w:r>
          </w:p>
          <w:p w:rsidR="004875A8" w:rsidRPr="006E4E50" w:rsidRDefault="004875A8" w:rsidP="00E16DBA">
            <w:pPr>
              <w:pStyle w:val="SCCShortJudgment"/>
              <w:ind w:firstLine="0"/>
              <w:rPr>
                <w:szCs w:val="20"/>
                <w:lang w:val="fr-CA"/>
              </w:rPr>
            </w:pPr>
          </w:p>
          <w:p w:rsidR="004875A8" w:rsidRPr="006E4E50" w:rsidRDefault="004875A8" w:rsidP="00E16DBA">
            <w:pPr>
              <w:pStyle w:val="SCCShortJudgment"/>
              <w:rPr>
                <w:szCs w:val="20"/>
              </w:rPr>
            </w:pPr>
            <w:r w:rsidRPr="006E4E50">
              <w:rPr>
                <w:szCs w:val="20"/>
              </w:rPr>
              <w:t>The application for leave to appeal from the judgment of the Court of Appeal of Quebec (Montréal), Number 500-10-00587-140, 2014 QCCA 1680, dated September 17, 2014, is dismissed.</w:t>
            </w:r>
          </w:p>
        </w:tc>
      </w:tr>
    </w:tbl>
    <w:p w:rsidR="004875A8" w:rsidRDefault="004875A8" w:rsidP="000E2959">
      <w:pPr>
        <w:rPr>
          <w:sz w:val="20"/>
          <w:szCs w:val="20"/>
        </w:rPr>
      </w:pPr>
    </w:p>
    <w:p w:rsidR="00A53490" w:rsidRPr="001B157C" w:rsidRDefault="00A53490" w:rsidP="00A53490">
      <w:pPr>
        <w:rPr>
          <w:sz w:val="20"/>
          <w:szCs w:val="20"/>
          <w:u w:val="single"/>
        </w:rPr>
      </w:pPr>
      <w:r w:rsidRPr="001B157C">
        <w:rPr>
          <w:sz w:val="20"/>
          <w:szCs w:val="20"/>
          <w:u w:val="single"/>
        </w:rPr>
        <w:t>CASE SUMMARY</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 xml:space="preserve">Criminal law – Criminal proceedings – Appeals – Sentencing – Particular penalties – Victim surcharges – May a court of appeal hear a new constitutional issue raised before it for the first time? – What is more, a constitutional issue that challenges the validity of a provision, namely the victim surcharge provided under section 737 of the </w:t>
            </w:r>
            <w:r w:rsidRPr="00FA13DA">
              <w:rPr>
                <w:rFonts w:eastAsia="Calibri"/>
                <w:i/>
                <w:sz w:val="20"/>
                <w:szCs w:val="20"/>
              </w:rPr>
              <w:t>Criminal Code</w:t>
            </w:r>
            <w:r w:rsidRPr="00FA13DA">
              <w:rPr>
                <w:rFonts w:eastAsia="Calibri"/>
                <w:sz w:val="20"/>
                <w:szCs w:val="20"/>
              </w:rPr>
              <w:t>?</w:t>
            </w:r>
          </w:p>
        </w:tc>
      </w:tr>
      <w:tr w:rsidR="000B0AAC" w:rsidRPr="00FA13DA" w:rsidTr="00D33F7D">
        <w:tc>
          <w:tcPr>
            <w:tcW w:w="5000" w:type="pct"/>
            <w:gridSpan w:val="3"/>
          </w:tcPr>
          <w:p w:rsidR="000B0AAC" w:rsidRPr="00FA13DA" w:rsidRDefault="000B0AAC" w:rsidP="00D33F7D">
            <w:pPr>
              <w:jc w:val="both"/>
              <w:rPr>
                <w:rFonts w:eastAsia="Calibri"/>
                <w:sz w:val="20"/>
                <w:szCs w:val="20"/>
              </w:rPr>
            </w:pPr>
          </w:p>
        </w:tc>
      </w:tr>
      <w:tr w:rsidR="000B0AAC" w:rsidRPr="00FA13DA" w:rsidTr="00D33F7D">
        <w:tc>
          <w:tcPr>
            <w:tcW w:w="5000" w:type="pct"/>
            <w:gridSpan w:val="3"/>
          </w:tcPr>
          <w:p w:rsidR="000B0AAC" w:rsidRPr="00FA13DA" w:rsidRDefault="000B0AAC" w:rsidP="00D33F7D">
            <w:pPr>
              <w:jc w:val="both"/>
              <w:rPr>
                <w:rFonts w:eastAsia="Calibri"/>
                <w:i/>
                <w:color w:val="000000"/>
                <w:sz w:val="20"/>
                <w:szCs w:val="20"/>
              </w:rPr>
            </w:pPr>
            <w:r w:rsidRPr="00FA13DA">
              <w:rPr>
                <w:rFonts w:eastAsia="Calibri"/>
                <w:color w:val="000000"/>
                <w:sz w:val="20"/>
                <w:szCs w:val="20"/>
              </w:rPr>
              <w:t xml:space="preserve">The applicant is part of a group of applicants who filed a motion for permission to raise a new constitutional issue before the Court of Appeal.  The group wished to be granted permission to debate, on appeal, the constitutionality of the rules applicable to victim surcharges, a question that was not raised at the trial level.  The applicants had all pled guilty to various counts that require the mandatory payment of a victim surcharge (s. 737 of the </w:t>
            </w:r>
            <w:r w:rsidRPr="00FA13DA">
              <w:rPr>
                <w:rFonts w:eastAsia="Calibri"/>
                <w:i/>
                <w:color w:val="000000"/>
                <w:sz w:val="20"/>
                <w:szCs w:val="20"/>
              </w:rPr>
              <w:t>Criminal Code</w:t>
            </w:r>
            <w:r w:rsidRPr="00FA13DA">
              <w:rPr>
                <w:rFonts w:eastAsia="Calibri"/>
                <w:color w:val="000000"/>
                <w:sz w:val="20"/>
                <w:szCs w:val="20"/>
              </w:rPr>
              <w:t xml:space="preserve">, R.S.C. </w:t>
            </w:r>
            <w:r w:rsidRPr="00FA13DA">
              <w:rPr>
                <w:rFonts w:eastAsia="Calibri"/>
                <w:color w:val="000000"/>
                <w:sz w:val="20"/>
                <w:szCs w:val="20"/>
              </w:rPr>
              <w:lastRenderedPageBreak/>
              <w:t>1985, c. C-46).  This surcharge was payable for each count of which they were convicted.  Since October 24, 2013, the victim surcharge represents 30 percent of any fine that is imposed; or if no fine is imposed, $100 for a summary conviction offence or $200 for an indictable offence (</w:t>
            </w:r>
            <w:r w:rsidRPr="00FA13DA">
              <w:rPr>
                <w:rFonts w:eastAsia="Calibri"/>
                <w:i/>
                <w:color w:val="000000"/>
                <w:sz w:val="20"/>
                <w:szCs w:val="20"/>
              </w:rPr>
              <w:t>Increasing Offenders’ Accountability for Victims Act</w:t>
            </w:r>
            <w:r w:rsidRPr="00FA13DA">
              <w:rPr>
                <w:rFonts w:eastAsia="Calibri"/>
                <w:color w:val="000000"/>
                <w:sz w:val="20"/>
                <w:szCs w:val="20"/>
              </w:rPr>
              <w:t xml:space="preserve">, S.C. 2013, c. 11).  Since then, too, the court sentencing an offender no longer has the discretion to exempt the offender from paying the surcharge.  If the offender is unable to pay the surcharge, the offender can perform community service where such a program exists, as it does in Quebec.  The prosecution appealed the applicants’ sentences on the basis that the trial judges erred in applying the mandatory surcharge provisions.  It argued that, to some extent, the judges had refused to give effect to the </w:t>
            </w:r>
            <w:r w:rsidRPr="00FA13DA">
              <w:rPr>
                <w:rFonts w:eastAsia="Calibri"/>
                <w:i/>
                <w:color w:val="000000"/>
                <w:sz w:val="20"/>
                <w:szCs w:val="20"/>
              </w:rPr>
              <w:t>Increasing Offenders’ Accountability for Victims Act.</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lastRenderedPageBreak/>
              <w:t>February 7, 2014</w:t>
            </w:r>
          </w:p>
          <w:p w:rsidR="000B0AAC" w:rsidRPr="00FA13DA" w:rsidRDefault="000B0AAC" w:rsidP="00D33F7D">
            <w:pPr>
              <w:jc w:val="both"/>
              <w:rPr>
                <w:rFonts w:eastAsia="Calibri"/>
                <w:sz w:val="20"/>
                <w:szCs w:val="20"/>
              </w:rPr>
            </w:pPr>
            <w:r w:rsidRPr="00FA13DA">
              <w:rPr>
                <w:rFonts w:eastAsia="Calibri"/>
                <w:sz w:val="20"/>
                <w:szCs w:val="20"/>
              </w:rPr>
              <w:t>Court of Quebec</w:t>
            </w:r>
          </w:p>
          <w:p w:rsidR="000B0AAC" w:rsidRPr="00FA13DA" w:rsidRDefault="000B0AAC" w:rsidP="00D33F7D">
            <w:pPr>
              <w:jc w:val="both"/>
              <w:rPr>
                <w:rFonts w:eastAsia="Calibri"/>
                <w:sz w:val="20"/>
                <w:szCs w:val="20"/>
              </w:rPr>
            </w:pPr>
            <w:r w:rsidRPr="00FA13DA">
              <w:rPr>
                <w:rFonts w:eastAsia="Calibri"/>
                <w:sz w:val="20"/>
                <w:szCs w:val="20"/>
              </w:rPr>
              <w:t>(Ouimet J.)</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Guilty plea:  6 months’ imprisonment for each of the three counts and a $5 fine for each count plus a 30% surcharge for each count</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September 17, 2014</w:t>
            </w:r>
          </w:p>
          <w:p w:rsidR="000B0AAC" w:rsidRPr="00FA13DA" w:rsidRDefault="000B0AAC" w:rsidP="00D33F7D">
            <w:pPr>
              <w:jc w:val="both"/>
              <w:rPr>
                <w:rFonts w:eastAsia="Calibri"/>
                <w:sz w:val="20"/>
                <w:szCs w:val="20"/>
              </w:rPr>
            </w:pPr>
            <w:r w:rsidRPr="00FA13DA">
              <w:rPr>
                <w:rFonts w:eastAsia="Calibri"/>
                <w:sz w:val="20"/>
                <w:szCs w:val="20"/>
              </w:rPr>
              <w:t>Quebec Court of Appeal (Montréal)</w:t>
            </w:r>
          </w:p>
          <w:p w:rsidR="000B0AAC" w:rsidRPr="00FA13DA" w:rsidRDefault="000B0AAC" w:rsidP="00D33F7D">
            <w:pPr>
              <w:jc w:val="both"/>
              <w:rPr>
                <w:rFonts w:eastAsia="Calibri"/>
                <w:sz w:val="20"/>
                <w:szCs w:val="20"/>
              </w:rPr>
            </w:pPr>
            <w:r w:rsidRPr="00FA13DA">
              <w:rPr>
                <w:rFonts w:eastAsia="Calibri"/>
                <w:sz w:val="20"/>
                <w:szCs w:val="20"/>
              </w:rPr>
              <w:t>(Duval Hesler C.J. [</w:t>
            </w:r>
            <w:r w:rsidRPr="00FA13DA">
              <w:rPr>
                <w:rFonts w:eastAsia="Calibri"/>
                <w:i/>
                <w:sz w:val="20"/>
                <w:szCs w:val="20"/>
              </w:rPr>
              <w:t>dissenting</w:t>
            </w:r>
            <w:r w:rsidRPr="00FA13DA">
              <w:rPr>
                <w:rFonts w:eastAsia="Calibri"/>
                <w:sz w:val="20"/>
                <w:szCs w:val="20"/>
              </w:rPr>
              <w:t>] and Hilton and Doyon JJ.A.)</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Motion for permission to raise a new constitutional issue: motion dismissed</w:t>
            </w: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November 17, 2014</w:t>
            </w:r>
          </w:p>
          <w:p w:rsidR="000B0AAC" w:rsidRPr="00FA13DA" w:rsidRDefault="000B0AAC" w:rsidP="00D33F7D">
            <w:pPr>
              <w:jc w:val="both"/>
              <w:rPr>
                <w:rFonts w:eastAsia="Calibri"/>
                <w:sz w:val="20"/>
                <w:szCs w:val="20"/>
              </w:rPr>
            </w:pPr>
            <w:r w:rsidRPr="00FA13DA">
              <w:rPr>
                <w:rFonts w:eastAsia="Calibri"/>
                <w:sz w:val="20"/>
                <w:szCs w:val="20"/>
              </w:rPr>
              <w:t>Supreme Court of Canada</w:t>
            </w: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Application for leave to appeal filed</w:t>
            </w:r>
          </w:p>
          <w:p w:rsidR="000B0AAC" w:rsidRPr="00FA13DA" w:rsidRDefault="000B0AAC" w:rsidP="00D33F7D">
            <w:pPr>
              <w:jc w:val="both"/>
              <w:rPr>
                <w:rFonts w:eastAsia="Calibri"/>
                <w:sz w:val="20"/>
                <w:szCs w:val="20"/>
              </w:rPr>
            </w:pPr>
          </w:p>
        </w:tc>
      </w:tr>
    </w:tbl>
    <w:p w:rsidR="00A53490" w:rsidRDefault="00A53490" w:rsidP="00A53490">
      <w:pPr>
        <w:rPr>
          <w:sz w:val="20"/>
          <w:szCs w:val="20"/>
        </w:rPr>
      </w:pPr>
    </w:p>
    <w:p w:rsidR="00A53490" w:rsidRPr="00C50A5C" w:rsidRDefault="009C5A48" w:rsidP="00A53490">
      <w:pPr>
        <w:rPr>
          <w:sz w:val="20"/>
          <w:szCs w:val="20"/>
        </w:rPr>
      </w:pPr>
      <w:r>
        <w:rPr>
          <w:sz w:val="20"/>
          <w:szCs w:val="20"/>
          <w:lang w:val="fr-CA"/>
        </w:rPr>
        <w:pict>
          <v:rect id="_x0000_i1037" style="width:2in;height:1pt" o:hrpct="0" o:hralign="center" o:hrstd="t" o:hrnoshade="t" o:hr="t" fillcolor="black [3213]" stroked="f"/>
        </w:pict>
      </w:r>
    </w:p>
    <w:p w:rsidR="00A53490" w:rsidRDefault="00A53490" w:rsidP="00A53490">
      <w:pPr>
        <w:rPr>
          <w:sz w:val="20"/>
          <w:szCs w:val="20"/>
        </w:rPr>
      </w:pPr>
    </w:p>
    <w:p w:rsidR="00A53490" w:rsidRPr="001B157C" w:rsidRDefault="00A53490" w:rsidP="00A53490">
      <w:pPr>
        <w:rPr>
          <w:sz w:val="20"/>
          <w:szCs w:val="20"/>
          <w:u w:val="single"/>
          <w:lang w:val="fr-CA"/>
        </w:rPr>
      </w:pPr>
      <w:r w:rsidRPr="001B157C">
        <w:rPr>
          <w:sz w:val="20"/>
          <w:szCs w:val="20"/>
          <w:u w:val="single"/>
          <w:lang w:val="fr-CA"/>
        </w:rPr>
        <w:t>RÉSUMÉ DE L’AFFAIRE</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D144F6"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Droit criminel – Procédure criminelle – Appel – Détermination de la peine – Sanctions particulières – Suramende compensatoire – Une Cour d’appel peut-elle entendre, pour la première fois devant elle, une nouvelle question constitutionnelle? – De surcroît, une question constitutionnelle qui met en cause la validité d’une loi, soit celle de la suramende compensatoire prévue à l’article 737 du </w:t>
            </w:r>
            <w:r w:rsidRPr="00FA13DA">
              <w:rPr>
                <w:rFonts w:eastAsia="Calibri"/>
                <w:i/>
                <w:sz w:val="20"/>
                <w:szCs w:val="20"/>
                <w:lang w:val="fr-CA"/>
              </w:rPr>
              <w:t>Code criminel</w:t>
            </w:r>
            <w:r w:rsidRPr="00FA13DA">
              <w:rPr>
                <w:rFonts w:eastAsia="Calibri"/>
                <w:sz w:val="20"/>
                <w:szCs w:val="20"/>
                <w:lang w:val="fr-CA"/>
              </w:rPr>
              <w:t>?</w:t>
            </w:r>
          </w:p>
        </w:tc>
      </w:tr>
      <w:tr w:rsidR="000B0AAC" w:rsidRPr="00D144F6" w:rsidTr="00D33F7D">
        <w:tc>
          <w:tcPr>
            <w:tcW w:w="5000" w:type="pct"/>
            <w:gridSpan w:val="3"/>
          </w:tcPr>
          <w:p w:rsidR="000B0AAC" w:rsidRPr="00FA13DA" w:rsidRDefault="000B0AAC" w:rsidP="00D33F7D">
            <w:pPr>
              <w:jc w:val="both"/>
              <w:rPr>
                <w:rFonts w:eastAsia="Calibri"/>
                <w:sz w:val="20"/>
                <w:szCs w:val="20"/>
                <w:lang w:val="fr-CA"/>
              </w:rPr>
            </w:pPr>
          </w:p>
        </w:tc>
      </w:tr>
      <w:tr w:rsidR="000B0AAC" w:rsidRPr="00D144F6" w:rsidTr="00D33F7D">
        <w:tc>
          <w:tcPr>
            <w:tcW w:w="5000" w:type="pct"/>
            <w:gridSpan w:val="3"/>
          </w:tcPr>
          <w:p w:rsidR="000B0AAC" w:rsidRPr="00FA13DA" w:rsidRDefault="000B0AAC" w:rsidP="00D33F7D">
            <w:pPr>
              <w:jc w:val="both"/>
              <w:rPr>
                <w:rFonts w:eastAsia="Calibri"/>
                <w:i/>
                <w:color w:val="000000"/>
                <w:sz w:val="20"/>
                <w:szCs w:val="20"/>
                <w:lang w:val="fr-CA"/>
              </w:rPr>
            </w:pPr>
            <w:r w:rsidRPr="00FA13DA">
              <w:rPr>
                <w:rFonts w:eastAsia="Calibri"/>
                <w:color w:val="000000"/>
                <w:sz w:val="20"/>
                <w:szCs w:val="20"/>
                <w:lang w:val="fr-CA"/>
              </w:rPr>
              <w:t xml:space="preserve">La demanderesse fait partie d’un groupe de requérants qui présente une requête pour permission de soulever une question nouvelle, de nature constitutionnelle devant la Cour d’appel.  Ce groupe veut être autorisé à débattre en appel de la constitutionnalité des règles applicables à la suramende compensatoire, question qui n’a pas été soulevée en première instance.  Les requérants ont tous plaidé coupables à diverses accusations qui entraînent obligatoirement le paiement de la suramende compensatoire (art. 737 du </w:t>
            </w:r>
            <w:r w:rsidRPr="00FA13DA">
              <w:rPr>
                <w:rFonts w:eastAsia="Calibri"/>
                <w:i/>
                <w:color w:val="000000"/>
                <w:sz w:val="20"/>
                <w:szCs w:val="20"/>
                <w:lang w:val="fr-CA"/>
              </w:rPr>
              <w:t>Code criminel</w:t>
            </w:r>
            <w:r w:rsidRPr="00FA13DA">
              <w:rPr>
                <w:rFonts w:eastAsia="Calibri"/>
                <w:color w:val="000000"/>
                <w:sz w:val="20"/>
                <w:szCs w:val="20"/>
                <w:lang w:val="fr-CA"/>
              </w:rPr>
              <w:t>, L.R.C. 1985, ch. C-46). Cette suramende est payable à l’égard de chaque chef d’accusation pour lequel ils se sont reconnus coupables.  Depuis le 24 octobre 2013, la suramende compensatoire représente 30 pour cent de l’amende infligée ou, s’il n’y a pas d’amende, de 100 $ pour une infraction sommaire ou encore de 200 $ pour un acte criminel (</w:t>
            </w:r>
            <w:r w:rsidRPr="00FA13DA">
              <w:rPr>
                <w:rFonts w:eastAsia="Calibri"/>
                <w:i/>
                <w:color w:val="000000"/>
                <w:sz w:val="20"/>
                <w:szCs w:val="20"/>
                <w:lang w:val="fr-CA"/>
              </w:rPr>
              <w:t>Loi sur la responsabilisation des contrevenants à l’égard des victimes</w:t>
            </w:r>
            <w:r w:rsidRPr="00FA13DA">
              <w:rPr>
                <w:rFonts w:eastAsia="Calibri"/>
                <w:color w:val="000000"/>
                <w:sz w:val="20"/>
                <w:szCs w:val="20"/>
                <w:lang w:val="fr-CA"/>
              </w:rPr>
              <w:t>, L.C. 2013, ch. 11).  Depuis cette même date, la cour qui condamne le délinquant n’a plus le pouvoir discrétionnaire de l’en dispenser.  Par ailleurs, le délinquant peut, en cas d’incapacité de payer, effectuer des travaux compensatoires, lorsqu’un tel programme existe, ce qui est le cas au Québec.</w:t>
            </w:r>
            <w:r w:rsidRPr="00FA13DA">
              <w:rPr>
                <w:rFonts w:eastAsia="Calibri"/>
                <w:sz w:val="20"/>
                <w:szCs w:val="20"/>
                <w:lang w:val="fr-CA"/>
              </w:rPr>
              <w:t xml:space="preserve">  </w:t>
            </w:r>
            <w:r w:rsidRPr="00FA13DA">
              <w:rPr>
                <w:rFonts w:eastAsia="Calibri"/>
                <w:color w:val="000000"/>
                <w:sz w:val="20"/>
                <w:szCs w:val="20"/>
                <w:lang w:val="fr-CA"/>
              </w:rPr>
              <w:t xml:space="preserve">La Poursuite se pourvoit à l’encontre des peines infligées aux requérants en invoquant l’erreur commise par les juges de première instance au moment d’appliquer les dispositions portant sur la suramende compensatoire.  Elle plaide que, d’une certaine façon, les juges auraient refusé de donner plein effet à la </w:t>
            </w:r>
            <w:r w:rsidRPr="00FA13DA">
              <w:rPr>
                <w:rFonts w:eastAsia="Calibri"/>
                <w:i/>
                <w:color w:val="000000"/>
                <w:sz w:val="20"/>
                <w:szCs w:val="20"/>
                <w:lang w:val="fr-CA"/>
              </w:rPr>
              <w:t>Loi sur la responsabilisation des contrevenants à l’égard des victimes.</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Le 7 février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du Québec</w:t>
            </w:r>
          </w:p>
          <w:p w:rsidR="000B0AAC" w:rsidRPr="00FA13DA" w:rsidRDefault="000B0AAC" w:rsidP="00D33F7D">
            <w:pPr>
              <w:jc w:val="both"/>
              <w:rPr>
                <w:rFonts w:eastAsia="Calibri"/>
                <w:sz w:val="20"/>
                <w:szCs w:val="20"/>
                <w:lang w:val="fr-CA"/>
              </w:rPr>
            </w:pPr>
            <w:r w:rsidRPr="00FA13DA">
              <w:rPr>
                <w:rFonts w:eastAsia="Calibri"/>
                <w:sz w:val="20"/>
                <w:szCs w:val="20"/>
                <w:lang w:val="fr-CA"/>
              </w:rPr>
              <w:t>(La juge Ouimet)</w:t>
            </w:r>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Plaidoyer de culpabilité : 6 mois d’emprisonnement pour chaque 3 chefs d’accusation et une amende de $5 pour chaque chefs et une suramende de 30% pour chaque chefs</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lastRenderedPageBreak/>
              <w:t>Le 17 septembre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d’appel du Québec (Montréal)</w:t>
            </w:r>
          </w:p>
          <w:p w:rsidR="000B0AAC" w:rsidRPr="00FA13DA" w:rsidRDefault="000B0AAC" w:rsidP="00D33F7D">
            <w:pPr>
              <w:jc w:val="both"/>
              <w:rPr>
                <w:rFonts w:eastAsia="Calibri"/>
                <w:sz w:val="20"/>
                <w:szCs w:val="20"/>
                <w:lang w:val="fr-CA"/>
              </w:rPr>
            </w:pPr>
            <w:r w:rsidRPr="00FA13DA">
              <w:rPr>
                <w:rFonts w:eastAsia="Calibri"/>
                <w:sz w:val="20"/>
                <w:szCs w:val="20"/>
                <w:lang w:val="fr-CA"/>
              </w:rPr>
              <w:t>(La juge en Chef Duval Hesler [</w:t>
            </w:r>
            <w:r w:rsidRPr="00FA13DA">
              <w:rPr>
                <w:rFonts w:eastAsia="Calibri"/>
                <w:i/>
                <w:sz w:val="20"/>
                <w:szCs w:val="20"/>
                <w:lang w:val="fr-CA"/>
              </w:rPr>
              <w:t>dissidente</w:t>
            </w:r>
            <w:r w:rsidRPr="00FA13DA">
              <w:rPr>
                <w:rFonts w:eastAsia="Calibri"/>
                <w:sz w:val="20"/>
                <w:szCs w:val="20"/>
                <w:lang w:val="fr-CA"/>
              </w:rPr>
              <w:t>] et les juges Hilton et Doyon</w:t>
            </w:r>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Requête pour permission de soulever une nouvelle question constitutionnelle : requête rejetée</w:t>
            </w:r>
          </w:p>
        </w:tc>
      </w:tr>
      <w:tr w:rsidR="000B0AAC" w:rsidRPr="00FA13DA"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Le 17 novembre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suprême du Canada</w:t>
            </w: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Demande d’autorisation d’appel déposée</w:t>
            </w:r>
          </w:p>
          <w:p w:rsidR="000B0AAC" w:rsidRPr="00FA13DA" w:rsidRDefault="000B0AAC" w:rsidP="00D33F7D">
            <w:pPr>
              <w:jc w:val="both"/>
              <w:rPr>
                <w:rFonts w:eastAsia="Calibri"/>
                <w:sz w:val="20"/>
                <w:szCs w:val="20"/>
                <w:lang w:val="fr-CA"/>
              </w:rPr>
            </w:pPr>
          </w:p>
        </w:tc>
      </w:tr>
    </w:tbl>
    <w:p w:rsidR="00A53490" w:rsidRDefault="00A53490" w:rsidP="00A53490">
      <w:pPr>
        <w:rPr>
          <w:sz w:val="20"/>
          <w:szCs w:val="20"/>
        </w:rPr>
      </w:pPr>
    </w:p>
    <w:p w:rsidR="00A53490" w:rsidRDefault="009C5A48" w:rsidP="00A53490">
      <w:pPr>
        <w:rPr>
          <w:sz w:val="20"/>
          <w:szCs w:val="20"/>
        </w:rPr>
      </w:pPr>
      <w:r>
        <w:rPr>
          <w:sz w:val="20"/>
          <w:szCs w:val="20"/>
          <w:lang w:val="fr-CA"/>
        </w:rPr>
        <w:pict>
          <v:rect id="_x0000_i1038" style="width:2in;height:1pt" o:hrpct="0" o:hralign="center" o:hrstd="t" o:hrnoshade="t" o:hr="t" fillcolor="black [3213]" stroked="f"/>
        </w:pict>
      </w:r>
    </w:p>
    <w:p w:rsidR="00A53490" w:rsidRDefault="00A53490" w:rsidP="00A5349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875A8" w:rsidRPr="006E4E50" w:rsidTr="00E16DBA">
        <w:trPr>
          <w:cantSplit/>
        </w:trPr>
        <w:tc>
          <w:tcPr>
            <w:tcW w:w="1458" w:type="dxa"/>
          </w:tcPr>
          <w:p w:rsidR="004875A8" w:rsidRPr="006E4E50" w:rsidRDefault="004875A8" w:rsidP="00E16DBA">
            <w:pPr>
              <w:rPr>
                <w:sz w:val="20"/>
                <w:szCs w:val="20"/>
              </w:rPr>
            </w:pPr>
            <w:r w:rsidRPr="006E4E50">
              <w:rPr>
                <w:rStyle w:val="SCCFileNumberChar"/>
                <w:sz w:val="20"/>
                <w:szCs w:val="20"/>
              </w:rPr>
              <w:t>36183</w:t>
            </w:r>
          </w:p>
          <w:p w:rsidR="004875A8" w:rsidRPr="006E4E50" w:rsidRDefault="004875A8" w:rsidP="00E16DBA">
            <w:pPr>
              <w:rPr>
                <w:b/>
                <w:sz w:val="20"/>
                <w:szCs w:val="20"/>
                <w:lang w:val="fr-CA"/>
              </w:rPr>
            </w:pPr>
          </w:p>
        </w:tc>
        <w:tc>
          <w:tcPr>
            <w:tcW w:w="8118" w:type="dxa"/>
          </w:tcPr>
          <w:p w:rsidR="004875A8" w:rsidRPr="006E4E50" w:rsidRDefault="004875A8" w:rsidP="00E16DBA">
            <w:pPr>
              <w:jc w:val="both"/>
              <w:rPr>
                <w:sz w:val="20"/>
                <w:szCs w:val="20"/>
              </w:rPr>
            </w:pPr>
            <w:r w:rsidRPr="006E4E50">
              <w:rPr>
                <w:rStyle w:val="SCCLsocChar"/>
                <w:sz w:val="20"/>
                <w:szCs w:val="20"/>
                <w:lang w:val="en-CA"/>
              </w:rPr>
              <w:t>Jesse Sabey v. Warren Scott Beardsley as executor of the will of Kim Louise von Hopffgarten, deceased</w:t>
            </w:r>
            <w:r>
              <w:rPr>
                <w:rStyle w:val="SCCLsocChar"/>
                <w:sz w:val="20"/>
                <w:szCs w:val="20"/>
                <w:lang w:val="en-CA"/>
              </w:rPr>
              <w:t xml:space="preserve"> and</w:t>
            </w:r>
            <w:r w:rsidRPr="006E4E50">
              <w:rPr>
                <w:rStyle w:val="SCCLsocChar"/>
                <w:sz w:val="20"/>
                <w:szCs w:val="20"/>
                <w:lang w:val="en-CA"/>
              </w:rPr>
              <w:t xml:space="preserve"> Burgi Rommel</w:t>
            </w:r>
            <w:r w:rsidRPr="006E4E50">
              <w:rPr>
                <w:sz w:val="20"/>
                <w:szCs w:val="20"/>
              </w:rPr>
              <w:t xml:space="preserve"> (B.C.) (Civil) (By Leave)</w:t>
            </w:r>
          </w:p>
          <w:p w:rsidR="004875A8" w:rsidRPr="006E4E50" w:rsidRDefault="004875A8" w:rsidP="00E16DBA">
            <w:pPr>
              <w:jc w:val="both"/>
              <w:rPr>
                <w:sz w:val="20"/>
                <w:szCs w:val="20"/>
              </w:rPr>
            </w:pPr>
          </w:p>
        </w:tc>
      </w:tr>
      <w:tr w:rsidR="004875A8" w:rsidRPr="00D144F6" w:rsidTr="00E16DBA">
        <w:trPr>
          <w:cantSplit/>
        </w:trPr>
        <w:tc>
          <w:tcPr>
            <w:tcW w:w="1458" w:type="dxa"/>
          </w:tcPr>
          <w:p w:rsidR="004875A8" w:rsidRPr="006E4E50" w:rsidRDefault="004875A8" w:rsidP="00E16DBA">
            <w:pPr>
              <w:rPr>
                <w:sz w:val="20"/>
                <w:szCs w:val="20"/>
              </w:rPr>
            </w:pPr>
            <w:r w:rsidRPr="006E4E50">
              <w:rPr>
                <w:sz w:val="20"/>
                <w:szCs w:val="20"/>
              </w:rPr>
              <w:t>Coram :</w:t>
            </w:r>
          </w:p>
        </w:tc>
        <w:tc>
          <w:tcPr>
            <w:tcW w:w="8118" w:type="dxa"/>
          </w:tcPr>
          <w:p w:rsidR="004875A8" w:rsidRPr="006E4E50" w:rsidRDefault="004875A8" w:rsidP="00E16DBA">
            <w:pPr>
              <w:rPr>
                <w:sz w:val="20"/>
                <w:szCs w:val="20"/>
                <w:lang w:val="fr-CA"/>
              </w:rPr>
            </w:pPr>
            <w:r w:rsidRPr="006E4E50">
              <w:rPr>
                <w:rStyle w:val="SCCCoramChar"/>
                <w:sz w:val="20"/>
                <w:szCs w:val="20"/>
              </w:rPr>
              <w:t>Abella, Karakatsanis and Côté JJ.</w:t>
            </w:r>
          </w:p>
          <w:p w:rsidR="004875A8" w:rsidRPr="006E4E50" w:rsidRDefault="004875A8" w:rsidP="00E16DBA">
            <w:pPr>
              <w:rPr>
                <w:sz w:val="20"/>
                <w:szCs w:val="20"/>
                <w:u w:val="single"/>
                <w:lang w:val="fr-CA"/>
              </w:rPr>
            </w:pPr>
          </w:p>
        </w:tc>
      </w:tr>
      <w:tr w:rsidR="004875A8" w:rsidRPr="00D144F6" w:rsidTr="00E16DBA">
        <w:trPr>
          <w:cantSplit/>
        </w:trPr>
        <w:tc>
          <w:tcPr>
            <w:tcW w:w="9576" w:type="dxa"/>
            <w:gridSpan w:val="2"/>
          </w:tcPr>
          <w:p w:rsidR="004875A8" w:rsidRPr="006E4E50" w:rsidRDefault="004875A8" w:rsidP="00E16DBA">
            <w:pPr>
              <w:pStyle w:val="SCCShortJudgment"/>
              <w:rPr>
                <w:szCs w:val="20"/>
              </w:rPr>
            </w:pPr>
            <w:r w:rsidRPr="006E4E50">
              <w:rPr>
                <w:szCs w:val="20"/>
              </w:rPr>
              <w:t>The application for leave to appeal from the judgment of the Court of Appeal for British Columbia (Vancouver), Number CA40882, 2014 BCCA 360, dated September 22, 2014, is dismissed with costs on a party and party basis.</w:t>
            </w:r>
          </w:p>
          <w:p w:rsidR="004875A8" w:rsidRPr="006E4E50" w:rsidRDefault="004875A8" w:rsidP="00E16DBA">
            <w:pPr>
              <w:pStyle w:val="SCCShortJudgment"/>
              <w:ind w:firstLine="0"/>
              <w:rPr>
                <w:szCs w:val="20"/>
              </w:rPr>
            </w:pPr>
          </w:p>
          <w:p w:rsidR="004875A8" w:rsidRPr="006E4E50" w:rsidRDefault="004875A8" w:rsidP="00E16DBA">
            <w:pPr>
              <w:pStyle w:val="SCCShortJudgment"/>
              <w:rPr>
                <w:szCs w:val="20"/>
                <w:lang w:val="fr-CA"/>
              </w:rPr>
            </w:pPr>
            <w:r w:rsidRPr="006E4E50">
              <w:rPr>
                <w:szCs w:val="20"/>
                <w:lang w:val="fr-CA"/>
              </w:rPr>
              <w:t>La demande d’autorisation d’appel de l’arrêt de la Cour d’appel de la Colombie-Britannique (Vancouver), numéro CA40882, 2014 BCCA 360, daté du 22 septembre 2014, est rejetée avec dépens entre parties.</w:t>
            </w:r>
          </w:p>
        </w:tc>
      </w:tr>
    </w:tbl>
    <w:p w:rsidR="00A53490" w:rsidRPr="004875A8" w:rsidRDefault="00A53490" w:rsidP="00A53490">
      <w:pPr>
        <w:rPr>
          <w:sz w:val="20"/>
          <w:szCs w:val="20"/>
          <w:lang w:val="fr-CA"/>
        </w:rPr>
      </w:pPr>
    </w:p>
    <w:p w:rsidR="00A53490" w:rsidRPr="001B157C" w:rsidRDefault="00A53490" w:rsidP="00A53490">
      <w:pPr>
        <w:rPr>
          <w:sz w:val="20"/>
          <w:szCs w:val="20"/>
          <w:u w:val="single"/>
        </w:rPr>
      </w:pPr>
      <w:r w:rsidRPr="001B157C">
        <w:rPr>
          <w:sz w:val="20"/>
          <w:szCs w:val="20"/>
          <w:u w:val="single"/>
        </w:rPr>
        <w:t>CASE SUMMARY</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Property – Proprietary estoppel – Gifts – Wills and estates – Restitution – Unjust enrichment – On what basis can a gift in a valid will be set aside on the basis of proprietary estoppel – Whether the appellate court erred in finding that an award for proprietary estoppel must be proportional to the detriment suffered by the claimant.</w:t>
            </w:r>
          </w:p>
        </w:tc>
      </w:tr>
      <w:tr w:rsidR="000B0AAC" w:rsidRPr="00FA13DA" w:rsidTr="00D33F7D">
        <w:tc>
          <w:tcPr>
            <w:tcW w:w="5000" w:type="pct"/>
            <w:gridSpan w:val="3"/>
          </w:tcPr>
          <w:p w:rsidR="000B0AAC" w:rsidRPr="00FA13DA" w:rsidRDefault="000B0AAC" w:rsidP="00D33F7D">
            <w:pPr>
              <w:jc w:val="both"/>
              <w:rPr>
                <w:rFonts w:eastAsia="Calibri"/>
                <w:sz w:val="20"/>
                <w:szCs w:val="20"/>
              </w:rPr>
            </w:pPr>
          </w:p>
        </w:tc>
      </w:tr>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 xml:space="preserve">The case involves a dispute over a horse farm in Langley, B.C. (the “farm”).  The owners were dressage trainers who took the applicant under their wing when he was 14 years old.  He trained with them in the U.S. and later worked at the farm in exchange for room, some board, dressage lessons and the use of a horse.  He studied at college in Bellingham and then worked at an accounting firm in Seattle so that he could continue to work and ride at the farm on weekends and some evenings.  He was paid less than other working students, but the husband assured the applicant through various statements over time that the farm would stay in the family and that “some day when you have this farm you’ll appreciate this”. The applicant developed an evolving understanding that he would inherit the farm.  The owners prepared handwritten codicils to their wills leaving the farm to the applicant, however they were invalid for non-compliance with the </w:t>
            </w:r>
            <w:r w:rsidRPr="00FA13DA">
              <w:rPr>
                <w:rFonts w:eastAsia="Calibri"/>
                <w:i/>
                <w:sz w:val="20"/>
                <w:szCs w:val="20"/>
              </w:rPr>
              <w:t>Wills Act</w:t>
            </w:r>
            <w:r w:rsidRPr="00FA13DA">
              <w:rPr>
                <w:rFonts w:eastAsia="Calibri"/>
                <w:sz w:val="20"/>
                <w:szCs w:val="20"/>
              </w:rPr>
              <w:t xml:space="preserve">, R.S.B.C. 1996, c. 489.  The husband died, and when the wife died her will left the farm to the respondent (a neighbour) on the condition that she take care of the animals on the farm for the remainder of their lives.  The wife also had an American will which created a trust for the respondent to care for the animals and provided a $100,000 bequest each to the applicant and another student. </w:t>
            </w:r>
          </w:p>
          <w:p w:rsidR="000B0AAC" w:rsidRPr="00FA13DA" w:rsidRDefault="000B0AAC" w:rsidP="00D33F7D">
            <w:pPr>
              <w:jc w:val="both"/>
              <w:rPr>
                <w:rFonts w:eastAsia="Calibri"/>
                <w:sz w:val="20"/>
                <w:szCs w:val="20"/>
              </w:rPr>
            </w:pPr>
          </w:p>
          <w:p w:rsidR="000B0AAC" w:rsidRPr="00FA13DA" w:rsidRDefault="000B0AAC" w:rsidP="00D33F7D">
            <w:pPr>
              <w:jc w:val="both"/>
              <w:rPr>
                <w:rFonts w:eastAsia="Calibri"/>
                <w:sz w:val="20"/>
                <w:szCs w:val="20"/>
              </w:rPr>
            </w:pPr>
            <w:r w:rsidRPr="00FA13DA">
              <w:rPr>
                <w:rFonts w:eastAsia="Calibri"/>
                <w:sz w:val="20"/>
                <w:szCs w:val="20"/>
              </w:rPr>
              <w:t>The applicant commenced an action against the executor of the estate for an equitable interest in the farm based on proprietary estoppel or, alternatively, unjust enrichment or an express or implied trust.  The Supreme Court of British Columbia allowed the action and held the applicant entitled to legal and beneficial title in the farm under the doctrine of proprietary estoppel.  The Court of Appeal for British Columbia (MacKenzie, J.A. dissenting) allowed the appeal and set aside the award on the basis that the lower court failed to address the extent of the equity and the requirement to satisfy it in a manner proportionate to the detriment.  The case was remitted to the trial judge to assess the issue of proportionality and the outstanding claims.</w:t>
            </w:r>
          </w:p>
          <w:p w:rsidR="000B0AAC" w:rsidRPr="00FA13DA" w:rsidRDefault="000B0AAC" w:rsidP="00D33F7D">
            <w:pPr>
              <w:jc w:val="both"/>
              <w:rPr>
                <w:rFonts w:eastAsia="Calibri"/>
                <w:sz w:val="20"/>
                <w:szCs w:val="20"/>
              </w:rPr>
            </w:pPr>
          </w:p>
        </w:tc>
      </w:tr>
      <w:tr w:rsidR="000B0AAC" w:rsidRPr="00FA13DA" w:rsidTr="004875A8">
        <w:trPr>
          <w:cantSplit/>
        </w:trPr>
        <w:tc>
          <w:tcPr>
            <w:tcW w:w="2427" w:type="pct"/>
          </w:tcPr>
          <w:p w:rsidR="000B0AAC" w:rsidRPr="00FA13DA" w:rsidRDefault="000B0AAC" w:rsidP="00D33F7D">
            <w:pPr>
              <w:jc w:val="both"/>
              <w:rPr>
                <w:rFonts w:eastAsia="Calibri"/>
                <w:sz w:val="20"/>
                <w:szCs w:val="20"/>
              </w:rPr>
            </w:pPr>
            <w:r w:rsidRPr="00FA13DA">
              <w:rPr>
                <w:rFonts w:eastAsia="Calibri"/>
                <w:sz w:val="20"/>
                <w:szCs w:val="20"/>
              </w:rPr>
              <w:lastRenderedPageBreak/>
              <w:t>November 21, 2013</w:t>
            </w:r>
          </w:p>
          <w:p w:rsidR="000B0AAC" w:rsidRPr="00FA13DA" w:rsidRDefault="000B0AAC" w:rsidP="00D33F7D">
            <w:pPr>
              <w:jc w:val="both"/>
              <w:rPr>
                <w:rFonts w:eastAsia="Calibri"/>
                <w:sz w:val="20"/>
                <w:szCs w:val="20"/>
              </w:rPr>
            </w:pPr>
            <w:r w:rsidRPr="00FA13DA">
              <w:rPr>
                <w:rFonts w:eastAsia="Calibri"/>
                <w:sz w:val="20"/>
                <w:szCs w:val="20"/>
              </w:rPr>
              <w:t>Supreme Court of British Columbia</w:t>
            </w:r>
          </w:p>
          <w:p w:rsidR="000B0AAC" w:rsidRPr="00FA13DA" w:rsidRDefault="000B0AAC" w:rsidP="00D33F7D">
            <w:pPr>
              <w:jc w:val="both"/>
              <w:rPr>
                <w:rFonts w:eastAsia="Calibri"/>
                <w:sz w:val="20"/>
                <w:szCs w:val="20"/>
              </w:rPr>
            </w:pPr>
            <w:r w:rsidRPr="00FA13DA">
              <w:rPr>
                <w:rFonts w:eastAsia="Calibri"/>
                <w:sz w:val="20"/>
                <w:szCs w:val="20"/>
              </w:rPr>
              <w:t>(Myers J.)</w:t>
            </w:r>
          </w:p>
          <w:p w:rsidR="000B0AAC" w:rsidRPr="00FA13DA" w:rsidRDefault="009C5A48" w:rsidP="00D33F7D">
            <w:pPr>
              <w:jc w:val="both"/>
              <w:rPr>
                <w:rFonts w:eastAsia="Calibri"/>
                <w:sz w:val="20"/>
                <w:szCs w:val="20"/>
              </w:rPr>
            </w:pPr>
            <w:hyperlink r:id="rId28" w:history="1">
              <w:r w:rsidR="000B0AAC" w:rsidRPr="00FA13DA">
                <w:rPr>
                  <w:rFonts w:eastAsia="Calibri"/>
                  <w:color w:val="0000FF"/>
                  <w:sz w:val="20"/>
                  <w:szCs w:val="20"/>
                  <w:u w:val="single"/>
                </w:rPr>
                <w:t>2013 BCSC 642</w:t>
              </w:r>
            </w:hyperlink>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Applicant’s action allowed; applicant held entitled to legal and beneficial title in farm under the doctrine of proprietary estoppel</w:t>
            </w:r>
          </w:p>
          <w:p w:rsidR="000B0AAC" w:rsidRPr="00FA13DA" w:rsidRDefault="000B0AAC" w:rsidP="00D33F7D">
            <w:pPr>
              <w:jc w:val="both"/>
              <w:rPr>
                <w:rFonts w:eastAsia="Calibri"/>
                <w:sz w:val="20"/>
                <w:szCs w:val="20"/>
              </w:rPr>
            </w:pPr>
          </w:p>
        </w:tc>
      </w:tr>
      <w:tr w:rsidR="000B0AAC" w:rsidRPr="00FA13DA" w:rsidTr="004875A8">
        <w:trPr>
          <w:cantSplit/>
        </w:trPr>
        <w:tc>
          <w:tcPr>
            <w:tcW w:w="2427" w:type="pct"/>
          </w:tcPr>
          <w:p w:rsidR="000B0AAC" w:rsidRPr="00FA13DA" w:rsidRDefault="000B0AAC" w:rsidP="00D33F7D">
            <w:pPr>
              <w:jc w:val="both"/>
              <w:rPr>
                <w:rFonts w:eastAsia="Calibri"/>
                <w:sz w:val="20"/>
                <w:szCs w:val="20"/>
              </w:rPr>
            </w:pPr>
            <w:r w:rsidRPr="00FA13DA">
              <w:rPr>
                <w:rFonts w:eastAsia="Calibri"/>
                <w:sz w:val="20"/>
                <w:szCs w:val="20"/>
              </w:rPr>
              <w:t>September 22, 2014</w:t>
            </w:r>
          </w:p>
          <w:p w:rsidR="000B0AAC" w:rsidRPr="00FA13DA" w:rsidRDefault="000B0AAC" w:rsidP="00D33F7D">
            <w:pPr>
              <w:jc w:val="both"/>
              <w:rPr>
                <w:rFonts w:eastAsia="Calibri"/>
                <w:sz w:val="20"/>
                <w:szCs w:val="20"/>
              </w:rPr>
            </w:pPr>
            <w:r w:rsidRPr="00FA13DA">
              <w:rPr>
                <w:rFonts w:eastAsia="Calibri"/>
                <w:sz w:val="20"/>
                <w:szCs w:val="20"/>
              </w:rPr>
              <w:t xml:space="preserve">Court of Appeal for British Columbia </w:t>
            </w:r>
          </w:p>
          <w:p w:rsidR="000B0AAC" w:rsidRPr="00FA13DA" w:rsidRDefault="000B0AAC" w:rsidP="00D33F7D">
            <w:pPr>
              <w:jc w:val="both"/>
              <w:rPr>
                <w:rFonts w:eastAsia="Calibri"/>
                <w:sz w:val="20"/>
                <w:szCs w:val="20"/>
              </w:rPr>
            </w:pPr>
            <w:r w:rsidRPr="00FA13DA">
              <w:rPr>
                <w:rFonts w:eastAsia="Calibri"/>
                <w:sz w:val="20"/>
                <w:szCs w:val="20"/>
              </w:rPr>
              <w:t>(Vancouver)</w:t>
            </w:r>
          </w:p>
          <w:p w:rsidR="000B0AAC" w:rsidRPr="00FA13DA" w:rsidRDefault="000B0AAC" w:rsidP="00D33F7D">
            <w:pPr>
              <w:jc w:val="both"/>
              <w:rPr>
                <w:rFonts w:eastAsia="Calibri"/>
                <w:sz w:val="20"/>
                <w:szCs w:val="20"/>
              </w:rPr>
            </w:pPr>
            <w:r w:rsidRPr="00FA13DA">
              <w:rPr>
                <w:rFonts w:eastAsia="Calibri"/>
                <w:sz w:val="20"/>
                <w:szCs w:val="20"/>
              </w:rPr>
              <w:t xml:space="preserve">(Neilson, Bennett and MacKenzie (dissenting) </w:t>
            </w:r>
          </w:p>
          <w:p w:rsidR="000B0AAC" w:rsidRPr="00FA13DA" w:rsidRDefault="000B0AAC" w:rsidP="00D33F7D">
            <w:pPr>
              <w:jc w:val="both"/>
              <w:rPr>
                <w:rFonts w:eastAsia="Calibri"/>
                <w:sz w:val="20"/>
                <w:szCs w:val="20"/>
              </w:rPr>
            </w:pPr>
            <w:r w:rsidRPr="00FA13DA">
              <w:rPr>
                <w:rFonts w:eastAsia="Calibri"/>
                <w:sz w:val="20"/>
                <w:szCs w:val="20"/>
              </w:rPr>
              <w:t>JJ.A.)</w:t>
            </w:r>
          </w:p>
          <w:p w:rsidR="000B0AAC" w:rsidRPr="00FA13DA" w:rsidRDefault="009C5A48" w:rsidP="00D33F7D">
            <w:pPr>
              <w:jc w:val="both"/>
              <w:rPr>
                <w:rFonts w:eastAsia="Calibri"/>
                <w:sz w:val="20"/>
                <w:szCs w:val="20"/>
              </w:rPr>
            </w:pPr>
            <w:hyperlink r:id="rId29" w:history="1">
              <w:r w:rsidR="000B0AAC" w:rsidRPr="00FA13DA">
                <w:rPr>
                  <w:rFonts w:eastAsia="Calibri"/>
                  <w:color w:val="0000FF"/>
                  <w:sz w:val="20"/>
                  <w:szCs w:val="20"/>
                  <w:u w:val="single"/>
                </w:rPr>
                <w:t>2014 BCCA 360</w:t>
              </w:r>
            </w:hyperlink>
            <w:r w:rsidR="000B0AAC" w:rsidRPr="00FA13DA">
              <w:rPr>
                <w:rFonts w:eastAsia="Calibri"/>
                <w:sz w:val="20"/>
                <w:szCs w:val="20"/>
              </w:rPr>
              <w:t>: CA40882</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Appeal allowed; award granted to applicant set aside, case remitted to trial judge to assess outstanding claims of unjust enrichment and express or implied trust and issue of proportionality relating to claim of proprietary estoppel</w:t>
            </w:r>
          </w:p>
        </w:tc>
      </w:tr>
      <w:tr w:rsidR="000B0AAC" w:rsidRPr="00FA13DA" w:rsidTr="004875A8">
        <w:trPr>
          <w:cantSplit/>
        </w:trPr>
        <w:tc>
          <w:tcPr>
            <w:tcW w:w="2427" w:type="pct"/>
          </w:tcPr>
          <w:p w:rsidR="000B0AAC" w:rsidRPr="00FA13DA" w:rsidRDefault="000B0AAC" w:rsidP="00D33F7D">
            <w:pPr>
              <w:jc w:val="both"/>
              <w:rPr>
                <w:rFonts w:eastAsia="Calibri"/>
                <w:sz w:val="20"/>
                <w:szCs w:val="20"/>
              </w:rPr>
            </w:pPr>
            <w:r w:rsidRPr="00FA13DA">
              <w:rPr>
                <w:rFonts w:eastAsia="Calibri"/>
                <w:sz w:val="20"/>
                <w:szCs w:val="20"/>
              </w:rPr>
              <w:t>November 19, 2014</w:t>
            </w:r>
          </w:p>
          <w:p w:rsidR="000B0AAC" w:rsidRPr="00FA13DA" w:rsidRDefault="000B0AAC" w:rsidP="00D33F7D">
            <w:pPr>
              <w:jc w:val="both"/>
              <w:rPr>
                <w:rFonts w:eastAsia="Calibri"/>
                <w:sz w:val="20"/>
                <w:szCs w:val="20"/>
              </w:rPr>
            </w:pPr>
            <w:r w:rsidRPr="00FA13DA">
              <w:rPr>
                <w:rFonts w:eastAsia="Calibri"/>
                <w:sz w:val="20"/>
                <w:szCs w:val="20"/>
              </w:rPr>
              <w:t>Supreme Court of Canada</w:t>
            </w: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Application for leave to appeal filed</w:t>
            </w:r>
          </w:p>
          <w:p w:rsidR="000B0AAC" w:rsidRPr="00FA13DA" w:rsidRDefault="000B0AAC" w:rsidP="00D33F7D">
            <w:pPr>
              <w:jc w:val="both"/>
              <w:rPr>
                <w:rFonts w:eastAsia="Calibri"/>
                <w:sz w:val="20"/>
                <w:szCs w:val="20"/>
              </w:rPr>
            </w:pPr>
          </w:p>
        </w:tc>
      </w:tr>
    </w:tbl>
    <w:p w:rsidR="00A53490" w:rsidRDefault="00A53490" w:rsidP="00A53490">
      <w:pPr>
        <w:rPr>
          <w:sz w:val="20"/>
          <w:szCs w:val="20"/>
        </w:rPr>
      </w:pPr>
    </w:p>
    <w:p w:rsidR="00A53490" w:rsidRPr="00C50A5C" w:rsidRDefault="009C5A48" w:rsidP="00A53490">
      <w:pPr>
        <w:rPr>
          <w:sz w:val="20"/>
          <w:szCs w:val="20"/>
        </w:rPr>
      </w:pPr>
      <w:r>
        <w:rPr>
          <w:sz w:val="20"/>
          <w:szCs w:val="20"/>
          <w:lang w:val="fr-CA"/>
        </w:rPr>
        <w:pict>
          <v:rect id="_x0000_i1039" style="width:2in;height:1pt" o:hrpct="0" o:hralign="center" o:hrstd="t" o:hrnoshade="t" o:hr="t" fillcolor="black [3213]" stroked="f"/>
        </w:pict>
      </w:r>
    </w:p>
    <w:p w:rsidR="00A53490" w:rsidRDefault="00A53490" w:rsidP="00A53490">
      <w:pPr>
        <w:rPr>
          <w:sz w:val="20"/>
          <w:szCs w:val="20"/>
        </w:rPr>
      </w:pPr>
    </w:p>
    <w:p w:rsidR="00A53490" w:rsidRPr="001B157C" w:rsidRDefault="00A53490" w:rsidP="00A53490">
      <w:pPr>
        <w:rPr>
          <w:sz w:val="20"/>
          <w:szCs w:val="20"/>
          <w:u w:val="single"/>
          <w:lang w:val="fr-CA"/>
        </w:rPr>
      </w:pPr>
      <w:r w:rsidRPr="001B157C">
        <w:rPr>
          <w:sz w:val="20"/>
          <w:szCs w:val="20"/>
          <w:u w:val="single"/>
          <w:lang w:val="fr-CA"/>
        </w:rPr>
        <w:t>RÉSUMÉ DE L’AFFAIRE</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D144F6"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Biens – Préclusion propriétale – Donations – Successions – Restitution – Enrichissement sans cause – Comment une donation faite dans un testament valide peut-elle être annulée sur le fondement de la préclusion propriétale? – La cour d’appel a-t-elle eu tort de conclure que le montant accordé par jugement dans une affaire de préclusion propriétale devait être proportionnel au préjudice subi par le demandeur?</w:t>
            </w:r>
          </w:p>
        </w:tc>
      </w:tr>
      <w:tr w:rsidR="000B0AAC" w:rsidRPr="00D144F6" w:rsidTr="00D33F7D">
        <w:tc>
          <w:tcPr>
            <w:tcW w:w="5000" w:type="pct"/>
            <w:gridSpan w:val="3"/>
          </w:tcPr>
          <w:p w:rsidR="000B0AAC" w:rsidRPr="00FA13DA" w:rsidRDefault="000B0AAC" w:rsidP="00D33F7D">
            <w:pPr>
              <w:jc w:val="both"/>
              <w:rPr>
                <w:rFonts w:eastAsia="Calibri"/>
                <w:sz w:val="20"/>
                <w:szCs w:val="20"/>
                <w:lang w:val="fr-CA"/>
              </w:rPr>
            </w:pPr>
          </w:p>
        </w:tc>
      </w:tr>
      <w:tr w:rsidR="000B0AAC" w:rsidRPr="00D144F6"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La présente affaire concerne un différend à propos d’une ferme équestre située à Langley (C.-B.) (la « ferme »).  Les propriétaires étaient dresseurs de chevaux qui ont pris le demandeur sous leur aile alors qu’il avait quatorze ans.  Le demandeur a suivi une formation avec eux aux États-Unis et plus tard, il a travaillé à la ferme en échange d’une chambre, de repas à l’occasion, de cours de dressage et de l’usage d’un cheval.  Il a étudié dans un établissement post-secondaire à Bellingham, puis a travaillé dans un cabinet comptable à Seattle pour qu’il puisse continuer à travailler et aller à cheval à la ferme les fins de semaine et quelques soirées.  Il était moins bien payé que d’autres étudiants salariés, mais l’époux avait assuré le demandeur par diverses affirmations au fil du temps que la ferme demeurerait dans la famille et qu’ [</w:t>
            </w:r>
            <w:r w:rsidRPr="00FA13DA">
              <w:rPr>
                <w:rFonts w:eastAsia="Calibri"/>
                <w:smallCaps/>
                <w:sz w:val="20"/>
                <w:szCs w:val="20"/>
                <w:lang w:val="fr-CA"/>
              </w:rPr>
              <w:t>traduction</w:t>
            </w:r>
            <w:r w:rsidRPr="00FA13DA">
              <w:rPr>
                <w:rFonts w:eastAsia="Calibri"/>
                <w:sz w:val="20"/>
                <w:szCs w:val="20"/>
                <w:lang w:val="fr-CA"/>
              </w:rPr>
              <w:t xml:space="preserve">] « un jour, quand tu auras cette ferme, tu vas l’apprécier ».  Le demandeur s’est progressivement fait à l’idée qu’il allait hériter de la ferme.  Les propriétaires ont rédigé à la main des codicilles à leurs testaments, léguant la ferme au demandeur; toutefois, ces codicilles étaient invalides, parce que non conformes à la </w:t>
            </w:r>
            <w:r w:rsidRPr="00FA13DA">
              <w:rPr>
                <w:rFonts w:eastAsia="Calibri"/>
                <w:i/>
                <w:sz w:val="20"/>
                <w:szCs w:val="20"/>
                <w:lang w:val="fr-CA"/>
              </w:rPr>
              <w:t>Wills Act</w:t>
            </w:r>
            <w:r w:rsidRPr="00FA13DA">
              <w:rPr>
                <w:rFonts w:eastAsia="Calibri"/>
                <w:sz w:val="20"/>
                <w:szCs w:val="20"/>
                <w:lang w:val="fr-CA"/>
              </w:rPr>
              <w:t xml:space="preserve">, R.S.B.C. 1996, ch. 489.  L’époux est décédé, et lorsque l’épouse est décédée, son testament léguait la ferme à l’intimée (une voisine), à la condition qu’elle s’occupe des animaux de la ferme leur vie durant.  L’épouse avait également un testament américain qui créait une fiducie pour que l’intimée s’occupe des animaux et a fait un legs de 100 000 $ chacun au demandeur et à un autre étudiant. </w:t>
            </w:r>
          </w:p>
          <w:p w:rsidR="000B0AAC" w:rsidRPr="00FA13DA" w:rsidRDefault="000B0AAC" w:rsidP="00D33F7D">
            <w:pPr>
              <w:jc w:val="both"/>
              <w:rPr>
                <w:rFonts w:eastAsia="Calibri"/>
                <w:sz w:val="20"/>
                <w:szCs w:val="20"/>
                <w:lang w:val="fr-CA"/>
              </w:rPr>
            </w:pPr>
          </w:p>
          <w:p w:rsidR="000B0AAC" w:rsidRPr="00FA13DA" w:rsidRDefault="000B0AAC" w:rsidP="00D33F7D">
            <w:pPr>
              <w:jc w:val="both"/>
              <w:rPr>
                <w:rFonts w:eastAsia="Calibri"/>
                <w:sz w:val="20"/>
                <w:szCs w:val="20"/>
                <w:lang w:val="fr-CA"/>
              </w:rPr>
            </w:pPr>
            <w:r w:rsidRPr="00FA13DA">
              <w:rPr>
                <w:rFonts w:eastAsia="Calibri"/>
                <w:sz w:val="20"/>
                <w:szCs w:val="20"/>
                <w:lang w:val="fr-CA"/>
              </w:rPr>
              <w:t>Le demandeur a intenté une action contre l’exécuteur de la succession pour un intérêt en equity à l’égard de la ferme sur le fondement de la préclusion propriétale ou, subsidiairement, de l’enrichissement sans cause ou d’une fiducie expresse ou implicite.  La Cour suprême de la Colombie-Britannique a accueilli l’action et statué que le demandeur avait droit au titre juridique et bénéficiaire à l’égard de la ferme en application de la théorie de la préclusion propriétale.  La Cour d’appel de la Colombie-Britannique (la juge MacKenzie, dissidente) a accueilli l’appel et annulé le jugement au motif que la juridiction inférieure n’avait pas abordé l’étendue de l’equity et l’obligation d’y satisfaire d’une manière proportionnelle au préjudice.  L’affaire a été renvoyée au juge de première instance pour qu’il apprécie la question de la proportionnalité et les allégations existantes.</w:t>
            </w:r>
          </w:p>
          <w:p w:rsidR="000B0AAC" w:rsidRPr="00FA13DA" w:rsidRDefault="000B0AAC" w:rsidP="00D33F7D">
            <w:pPr>
              <w:jc w:val="both"/>
              <w:rPr>
                <w:rFonts w:eastAsia="Calibri"/>
                <w:sz w:val="20"/>
                <w:szCs w:val="20"/>
                <w:lang w:val="fr-CA"/>
              </w:rPr>
            </w:pPr>
          </w:p>
        </w:tc>
      </w:tr>
      <w:tr w:rsidR="000B0AAC" w:rsidRPr="00D144F6" w:rsidTr="004875A8">
        <w:trPr>
          <w:cantSplit/>
        </w:trPr>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lastRenderedPageBreak/>
              <w:t>21 novembre 2013</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suprême de la Colombie-Britannique</w:t>
            </w:r>
          </w:p>
          <w:p w:rsidR="000B0AAC" w:rsidRPr="00FA13DA" w:rsidRDefault="000B0AAC" w:rsidP="00D33F7D">
            <w:pPr>
              <w:jc w:val="both"/>
              <w:rPr>
                <w:rFonts w:eastAsia="Calibri"/>
                <w:sz w:val="20"/>
                <w:szCs w:val="20"/>
                <w:lang w:val="fr-CA"/>
              </w:rPr>
            </w:pPr>
            <w:r w:rsidRPr="00FA13DA">
              <w:rPr>
                <w:rFonts w:eastAsia="Calibri"/>
                <w:sz w:val="20"/>
                <w:szCs w:val="20"/>
                <w:lang w:val="fr-CA"/>
              </w:rPr>
              <w:t>(Juge Myers)</w:t>
            </w:r>
          </w:p>
          <w:p w:rsidR="000B0AAC" w:rsidRPr="00FA13DA" w:rsidRDefault="009C5A48" w:rsidP="00D33F7D">
            <w:pPr>
              <w:jc w:val="both"/>
              <w:rPr>
                <w:rFonts w:eastAsia="Calibri"/>
                <w:sz w:val="20"/>
                <w:szCs w:val="20"/>
                <w:lang w:val="fr-CA"/>
              </w:rPr>
            </w:pPr>
            <w:hyperlink r:id="rId30" w:history="1">
              <w:r w:rsidR="000B0AAC" w:rsidRPr="00FA13DA">
                <w:rPr>
                  <w:rFonts w:eastAsia="Calibri"/>
                  <w:color w:val="0000FF"/>
                  <w:sz w:val="20"/>
                  <w:szCs w:val="20"/>
                  <w:u w:val="single"/>
                  <w:lang w:val="fr-CA"/>
                </w:rPr>
                <w:t>2013 BCSC 642</w:t>
              </w:r>
            </w:hyperlink>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Décision accueillant l’action du demandeur; décision statuant que le demandeur a droit au titre juridique et bénéficiaire à l’égard de la ferme en application de la théorie de la préclusion propriétale </w:t>
            </w:r>
          </w:p>
          <w:p w:rsidR="000B0AAC" w:rsidRPr="00FA13DA" w:rsidRDefault="000B0AAC" w:rsidP="00D33F7D">
            <w:pPr>
              <w:jc w:val="both"/>
              <w:rPr>
                <w:rFonts w:eastAsia="Calibri"/>
                <w:sz w:val="20"/>
                <w:szCs w:val="20"/>
                <w:lang w:val="fr-CA"/>
              </w:rPr>
            </w:pPr>
          </w:p>
        </w:tc>
      </w:tr>
      <w:tr w:rsidR="000B0AAC" w:rsidRPr="00D144F6" w:rsidTr="004875A8">
        <w:trPr>
          <w:cantSplit/>
        </w:trPr>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22 septembre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d’appel de la Colombie-Britannique</w:t>
            </w:r>
          </w:p>
          <w:p w:rsidR="000B0AAC" w:rsidRPr="00FA13DA" w:rsidRDefault="000B0AAC" w:rsidP="00D33F7D">
            <w:pPr>
              <w:jc w:val="both"/>
              <w:rPr>
                <w:rFonts w:eastAsia="Calibri"/>
                <w:sz w:val="20"/>
                <w:szCs w:val="20"/>
                <w:lang w:val="fr-CA"/>
              </w:rPr>
            </w:pPr>
            <w:r w:rsidRPr="00FA13DA">
              <w:rPr>
                <w:rFonts w:eastAsia="Calibri"/>
                <w:sz w:val="20"/>
                <w:szCs w:val="20"/>
                <w:lang w:val="fr-CA"/>
              </w:rPr>
              <w:t>(Vancouver)</w:t>
            </w:r>
          </w:p>
          <w:p w:rsidR="000B0AAC" w:rsidRPr="00FA13DA" w:rsidRDefault="000B0AAC" w:rsidP="00D33F7D">
            <w:pPr>
              <w:jc w:val="both"/>
              <w:rPr>
                <w:rFonts w:eastAsia="Calibri"/>
                <w:sz w:val="20"/>
                <w:szCs w:val="20"/>
                <w:lang w:val="fr-CA"/>
              </w:rPr>
            </w:pPr>
            <w:r w:rsidRPr="00FA13DA">
              <w:rPr>
                <w:rFonts w:eastAsia="Calibri"/>
                <w:sz w:val="20"/>
                <w:szCs w:val="20"/>
                <w:lang w:val="fr-CA"/>
              </w:rPr>
              <w:t>(Juges Neilson, Bennett et MacKenzie (dissidente)</w:t>
            </w:r>
          </w:p>
          <w:p w:rsidR="000B0AAC" w:rsidRPr="00FA13DA" w:rsidRDefault="009C5A48" w:rsidP="00D33F7D">
            <w:pPr>
              <w:jc w:val="both"/>
              <w:rPr>
                <w:rFonts w:eastAsia="Calibri"/>
                <w:sz w:val="20"/>
                <w:szCs w:val="20"/>
                <w:lang w:val="fr-CA"/>
              </w:rPr>
            </w:pPr>
            <w:hyperlink r:id="rId31" w:history="1">
              <w:r w:rsidR="000B0AAC" w:rsidRPr="00FA13DA">
                <w:rPr>
                  <w:rFonts w:eastAsia="Calibri"/>
                  <w:color w:val="0000FF"/>
                  <w:sz w:val="20"/>
                  <w:szCs w:val="20"/>
                  <w:u w:val="single"/>
                  <w:lang w:val="fr-CA"/>
                </w:rPr>
                <w:t>2014 BCCA 360</w:t>
              </w:r>
            </w:hyperlink>
            <w:r w:rsidR="000B0AAC" w:rsidRPr="00FA13DA">
              <w:rPr>
                <w:rFonts w:eastAsia="Calibri"/>
                <w:sz w:val="20"/>
                <w:szCs w:val="20"/>
                <w:lang w:val="fr-CA"/>
              </w:rPr>
              <w:t>: CA40882</w:t>
            </w:r>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Arrêt accueillant l’appel; annulation du jugement en faveur du demandeur et renvoi de l’affaire au juge de première instance pour qu’il apprécie les allégations existantes d’enrichissement sans cause ou de fiducie expresse ou implicite et la question de la proportionnalité relativement à l’allégation de préclusion propriétale</w:t>
            </w:r>
          </w:p>
          <w:p w:rsidR="000B0AAC" w:rsidRPr="00FA13DA" w:rsidRDefault="000B0AAC" w:rsidP="00D33F7D">
            <w:pPr>
              <w:jc w:val="both"/>
              <w:rPr>
                <w:rFonts w:eastAsia="Calibri"/>
                <w:sz w:val="20"/>
                <w:szCs w:val="20"/>
                <w:lang w:val="fr-CA"/>
              </w:rPr>
            </w:pPr>
          </w:p>
        </w:tc>
      </w:tr>
      <w:tr w:rsidR="000B0AAC" w:rsidRPr="00D144F6" w:rsidTr="004875A8">
        <w:trPr>
          <w:cantSplit/>
        </w:trPr>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19 novembre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suprême du Canada</w:t>
            </w: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Dépôt de la demande d’autorisation d’appel</w:t>
            </w:r>
          </w:p>
          <w:p w:rsidR="000B0AAC" w:rsidRPr="00FA13DA" w:rsidRDefault="000B0AAC" w:rsidP="00D33F7D">
            <w:pPr>
              <w:jc w:val="both"/>
              <w:rPr>
                <w:rFonts w:eastAsia="Calibri"/>
                <w:sz w:val="20"/>
                <w:szCs w:val="20"/>
                <w:lang w:val="fr-CA"/>
              </w:rPr>
            </w:pPr>
          </w:p>
        </w:tc>
      </w:tr>
    </w:tbl>
    <w:p w:rsidR="00A53490" w:rsidRPr="000B0AAC" w:rsidRDefault="00A53490" w:rsidP="00A53490">
      <w:pPr>
        <w:rPr>
          <w:sz w:val="20"/>
          <w:szCs w:val="20"/>
          <w:lang w:val="fr-CA"/>
        </w:rPr>
      </w:pPr>
    </w:p>
    <w:p w:rsidR="00A53490" w:rsidRDefault="009C5A48" w:rsidP="00A53490">
      <w:pPr>
        <w:rPr>
          <w:sz w:val="20"/>
          <w:szCs w:val="20"/>
        </w:rPr>
      </w:pPr>
      <w:r>
        <w:rPr>
          <w:sz w:val="20"/>
          <w:szCs w:val="20"/>
          <w:lang w:val="fr-CA"/>
        </w:rPr>
        <w:pict>
          <v:rect id="_x0000_i1040" style="width:2in;height:1pt" o:hrpct="0" o:hralign="center" o:hrstd="t" o:hrnoshade="t" o:hr="t" fillcolor="black [3213]" stroked="f"/>
        </w:pict>
      </w:r>
    </w:p>
    <w:p w:rsidR="00A53490" w:rsidRDefault="00A53490" w:rsidP="00A5349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32F45" w:rsidRPr="006E4E50" w:rsidTr="00E16DBA">
        <w:trPr>
          <w:cantSplit/>
        </w:trPr>
        <w:tc>
          <w:tcPr>
            <w:tcW w:w="1458" w:type="dxa"/>
          </w:tcPr>
          <w:p w:rsidR="00332F45" w:rsidRPr="006E4E50" w:rsidRDefault="00332F45" w:rsidP="00E16DBA">
            <w:pPr>
              <w:rPr>
                <w:sz w:val="20"/>
                <w:szCs w:val="20"/>
              </w:rPr>
            </w:pPr>
            <w:r w:rsidRPr="006E4E50">
              <w:rPr>
                <w:rStyle w:val="SCCFileNumberChar"/>
                <w:sz w:val="20"/>
                <w:szCs w:val="20"/>
              </w:rPr>
              <w:t>36192</w:t>
            </w:r>
          </w:p>
          <w:p w:rsidR="00332F45" w:rsidRPr="006E4E50" w:rsidRDefault="00332F45" w:rsidP="00E16DBA">
            <w:pPr>
              <w:rPr>
                <w:b/>
                <w:sz w:val="20"/>
                <w:szCs w:val="20"/>
                <w:lang w:val="fr-CA"/>
              </w:rPr>
            </w:pPr>
          </w:p>
        </w:tc>
        <w:tc>
          <w:tcPr>
            <w:tcW w:w="8118" w:type="dxa"/>
          </w:tcPr>
          <w:p w:rsidR="00332F45" w:rsidRPr="006E4E50" w:rsidRDefault="00332F45" w:rsidP="00E16DBA">
            <w:pPr>
              <w:rPr>
                <w:sz w:val="20"/>
                <w:szCs w:val="20"/>
              </w:rPr>
            </w:pPr>
            <w:r w:rsidRPr="006E4E50">
              <w:rPr>
                <w:rStyle w:val="SCCLsocChar"/>
                <w:sz w:val="20"/>
                <w:szCs w:val="20"/>
                <w:lang w:val="en-CA"/>
              </w:rPr>
              <w:t>Shawn Curtis Keepness v. Her Majesty the Queen</w:t>
            </w:r>
            <w:r w:rsidRPr="006E4E50">
              <w:rPr>
                <w:sz w:val="20"/>
                <w:szCs w:val="20"/>
              </w:rPr>
              <w:t xml:space="preserve"> (Sask.) (Criminal) (By Leave)</w:t>
            </w:r>
          </w:p>
          <w:p w:rsidR="00332F45" w:rsidRPr="006E4E50" w:rsidRDefault="00332F45" w:rsidP="00E16DBA">
            <w:pPr>
              <w:rPr>
                <w:sz w:val="20"/>
                <w:szCs w:val="20"/>
              </w:rPr>
            </w:pPr>
          </w:p>
        </w:tc>
      </w:tr>
      <w:tr w:rsidR="00332F45" w:rsidRPr="00D144F6" w:rsidTr="00E16DBA">
        <w:trPr>
          <w:cantSplit/>
        </w:trPr>
        <w:tc>
          <w:tcPr>
            <w:tcW w:w="1458" w:type="dxa"/>
          </w:tcPr>
          <w:p w:rsidR="00332F45" w:rsidRPr="006E4E50" w:rsidRDefault="00332F45" w:rsidP="00E16DBA">
            <w:pPr>
              <w:rPr>
                <w:sz w:val="20"/>
                <w:szCs w:val="20"/>
              </w:rPr>
            </w:pPr>
            <w:r w:rsidRPr="006E4E50">
              <w:rPr>
                <w:sz w:val="20"/>
                <w:szCs w:val="20"/>
              </w:rPr>
              <w:t>Coram :</w:t>
            </w:r>
          </w:p>
        </w:tc>
        <w:tc>
          <w:tcPr>
            <w:tcW w:w="8118" w:type="dxa"/>
          </w:tcPr>
          <w:p w:rsidR="00332F45" w:rsidRPr="006E4E50" w:rsidRDefault="00332F45" w:rsidP="00E16DBA">
            <w:pPr>
              <w:rPr>
                <w:sz w:val="20"/>
                <w:szCs w:val="20"/>
                <w:lang w:val="fr-CA"/>
              </w:rPr>
            </w:pPr>
            <w:r w:rsidRPr="006E4E50">
              <w:rPr>
                <w:rStyle w:val="SCCCoramChar"/>
                <w:sz w:val="20"/>
                <w:szCs w:val="20"/>
              </w:rPr>
              <w:t>Abella, Karakatsanis and Côté JJ.</w:t>
            </w:r>
          </w:p>
          <w:p w:rsidR="00332F45" w:rsidRPr="006E4E50" w:rsidRDefault="00332F45" w:rsidP="00E16DBA">
            <w:pPr>
              <w:rPr>
                <w:sz w:val="20"/>
                <w:szCs w:val="20"/>
                <w:u w:val="single"/>
                <w:lang w:val="fr-CA"/>
              </w:rPr>
            </w:pPr>
          </w:p>
        </w:tc>
      </w:tr>
      <w:tr w:rsidR="00332F45" w:rsidRPr="00D144F6" w:rsidTr="00E16DBA">
        <w:trPr>
          <w:cantSplit/>
        </w:trPr>
        <w:tc>
          <w:tcPr>
            <w:tcW w:w="9576" w:type="dxa"/>
            <w:gridSpan w:val="2"/>
          </w:tcPr>
          <w:p w:rsidR="00332F45" w:rsidRPr="006E4E50" w:rsidRDefault="00332F45" w:rsidP="00E16DBA">
            <w:pPr>
              <w:pStyle w:val="SCCShortJudgment"/>
              <w:rPr>
                <w:szCs w:val="20"/>
              </w:rPr>
            </w:pPr>
            <w:r w:rsidRPr="006E4E50">
              <w:rPr>
                <w:szCs w:val="20"/>
              </w:rPr>
              <w:t>The motion for an extension of time to serve and file the application for leave to appeal is granted. The application for leave to appeal from the judgment of the Court of Appeal for Saskatchewan, Numbers CACR2051 and CACR2055, 2014 SKCA 110, dated October 29, 2014, is dismissed.</w:t>
            </w:r>
          </w:p>
          <w:p w:rsidR="00332F45" w:rsidRPr="006E4E50" w:rsidRDefault="00332F45" w:rsidP="00E16DBA">
            <w:pPr>
              <w:pStyle w:val="SCCShortJudgment"/>
              <w:ind w:firstLine="0"/>
              <w:rPr>
                <w:szCs w:val="20"/>
              </w:rPr>
            </w:pPr>
          </w:p>
          <w:p w:rsidR="00332F45" w:rsidRPr="006E4E50" w:rsidRDefault="00332F45" w:rsidP="00E16DBA">
            <w:pPr>
              <w:pStyle w:val="SCCShortJudgment"/>
              <w:rPr>
                <w:szCs w:val="20"/>
                <w:lang w:val="fr-CA"/>
              </w:rPr>
            </w:pPr>
            <w:r w:rsidRPr="006E4E50">
              <w:rPr>
                <w:szCs w:val="20"/>
                <w:lang w:val="fr-CA"/>
              </w:rPr>
              <w:t>La requête en prorogation du délai de signification et de dépôt de la demande d’autorisation d’appel est accueillie. La demande d’autorisation d’appel de l’arrêt de la Cour d’appel de la Saskatchewan, numéros CACR2051 et CACR2055, 2014 SKCA 110, daté du 29 octobre 2014, est rejetée.</w:t>
            </w:r>
          </w:p>
        </w:tc>
      </w:tr>
    </w:tbl>
    <w:p w:rsidR="00A53490" w:rsidRPr="00332F45" w:rsidRDefault="00A53490" w:rsidP="00A53490">
      <w:pPr>
        <w:rPr>
          <w:sz w:val="20"/>
          <w:szCs w:val="20"/>
          <w:lang w:val="fr-CA"/>
        </w:rPr>
      </w:pPr>
    </w:p>
    <w:p w:rsidR="00A53490" w:rsidRPr="001B157C" w:rsidRDefault="00A53490" w:rsidP="00A53490">
      <w:pPr>
        <w:rPr>
          <w:sz w:val="20"/>
          <w:szCs w:val="20"/>
          <w:u w:val="single"/>
        </w:rPr>
      </w:pPr>
      <w:r w:rsidRPr="001B157C">
        <w:rPr>
          <w:sz w:val="20"/>
          <w:szCs w:val="20"/>
          <w:u w:val="single"/>
        </w:rPr>
        <w:t>CASE SUMMARY</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Criminal law — Evidence — Sentencing — Considerations — Credit for time spent in pre-sentencing custody — Whether Court of Appeal erred in failing to quash applicant’s convictions given frailties of testimony of witnesses on which trial judge relied? — On sentencing, whether accused entitled to credit for time held on remand for predicate offences while also serving sentences for other offences? — Whether the Court of Appeal erred in varying applicant’s sentence? — Whether Court of Appeal erred in holding that trial judge had considered all relevant factors in arriving at sentence, including factors pertaining to applicant’s Aboriginal heritage?</w:t>
            </w:r>
          </w:p>
        </w:tc>
      </w:tr>
      <w:tr w:rsidR="000B0AAC" w:rsidRPr="00FA13DA" w:rsidTr="00D33F7D">
        <w:tc>
          <w:tcPr>
            <w:tcW w:w="5000" w:type="pct"/>
            <w:gridSpan w:val="3"/>
          </w:tcPr>
          <w:p w:rsidR="000B0AAC" w:rsidRPr="00FA13DA" w:rsidRDefault="000B0AAC" w:rsidP="00D33F7D">
            <w:pPr>
              <w:jc w:val="both"/>
              <w:rPr>
                <w:rFonts w:eastAsia="Calibri"/>
                <w:sz w:val="20"/>
                <w:szCs w:val="20"/>
              </w:rPr>
            </w:pPr>
          </w:p>
        </w:tc>
      </w:tr>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The applicant was convicted of one count of manslaughter and two counts of aggravated assault in relation to a violent home invasion in Regina in June 2007.  His conviction was largely based on the testimony of accomplices and acquaintances.  The applicant did not commit the actual acts, but he was found guilty as a party by virtue of his role in directing the venture that resulted in the acts of violence committed by others.</w:t>
            </w:r>
          </w:p>
          <w:p w:rsidR="000B0AAC" w:rsidRPr="00FA13DA" w:rsidRDefault="000B0AAC" w:rsidP="00D33F7D">
            <w:pPr>
              <w:jc w:val="both"/>
              <w:rPr>
                <w:rFonts w:eastAsia="Calibri"/>
                <w:sz w:val="20"/>
                <w:szCs w:val="20"/>
              </w:rPr>
            </w:pPr>
          </w:p>
          <w:p w:rsidR="000B0AAC" w:rsidRPr="00FA13DA" w:rsidRDefault="000B0AAC" w:rsidP="00D33F7D">
            <w:pPr>
              <w:jc w:val="both"/>
              <w:rPr>
                <w:rFonts w:eastAsia="Calibri"/>
                <w:sz w:val="20"/>
                <w:szCs w:val="20"/>
              </w:rPr>
            </w:pPr>
            <w:r w:rsidRPr="00FA13DA">
              <w:rPr>
                <w:rFonts w:eastAsia="Calibri"/>
                <w:sz w:val="20"/>
                <w:szCs w:val="20"/>
              </w:rPr>
              <w:t>From the time of his arrest to his sentencing, the applicant spent over 4 years in remand custody.  At the time that he was convicted, he was serving sentences totalling 32 months for other offences committed both before and shortly after he was taken into custody for the predicate offences.  Those sentences expired after he was convicted for the predicate offences but before he could be sentenced for them. Accordingly, he served his time for the other offences while in remand on the manslaughter and aggravated assault charges.</w:t>
            </w:r>
          </w:p>
          <w:p w:rsidR="000B0AAC" w:rsidRPr="00FA13DA" w:rsidRDefault="000B0AAC" w:rsidP="00D33F7D">
            <w:pPr>
              <w:jc w:val="both"/>
              <w:rPr>
                <w:rFonts w:eastAsia="Calibri"/>
                <w:sz w:val="20"/>
                <w:szCs w:val="20"/>
              </w:rPr>
            </w:pPr>
          </w:p>
          <w:p w:rsidR="000B0AAC" w:rsidRPr="00FA13DA" w:rsidRDefault="000B0AAC" w:rsidP="00D33F7D">
            <w:pPr>
              <w:jc w:val="both"/>
              <w:rPr>
                <w:rFonts w:eastAsia="Calibri"/>
                <w:sz w:val="20"/>
                <w:szCs w:val="20"/>
              </w:rPr>
            </w:pPr>
            <w:r w:rsidRPr="00FA13DA">
              <w:rPr>
                <w:rFonts w:eastAsia="Calibri"/>
                <w:sz w:val="20"/>
                <w:szCs w:val="20"/>
              </w:rPr>
              <w:lastRenderedPageBreak/>
              <w:t>The applicant was sentenced to a total of 15 years imprisonment, reduced by 4 years and 6 months as a credit for time spent in pre-sentence custody.  The applicant appealed his convictions and sentence.  The Crown appealed his sentence, more specifically, the credit allowed by the sentencing judge.</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lastRenderedPageBreak/>
              <w:t>December 2, 2009</w:t>
            </w:r>
          </w:p>
          <w:p w:rsidR="000B0AAC" w:rsidRPr="00FA13DA" w:rsidRDefault="000B0AAC" w:rsidP="00D33F7D">
            <w:pPr>
              <w:jc w:val="both"/>
              <w:rPr>
                <w:rFonts w:eastAsia="Calibri"/>
                <w:sz w:val="20"/>
                <w:szCs w:val="20"/>
              </w:rPr>
            </w:pPr>
            <w:r w:rsidRPr="00FA13DA">
              <w:rPr>
                <w:rFonts w:eastAsia="Calibri"/>
                <w:sz w:val="20"/>
                <w:szCs w:val="20"/>
              </w:rPr>
              <w:t>Court of Queen’s Bench of Saskatchewan</w:t>
            </w:r>
          </w:p>
          <w:p w:rsidR="000B0AAC" w:rsidRPr="00FA13DA" w:rsidRDefault="000B0AAC" w:rsidP="00D33F7D">
            <w:pPr>
              <w:jc w:val="both"/>
              <w:rPr>
                <w:rFonts w:eastAsia="Calibri"/>
                <w:sz w:val="20"/>
                <w:szCs w:val="20"/>
              </w:rPr>
            </w:pPr>
            <w:r w:rsidRPr="00FA13DA">
              <w:rPr>
                <w:rFonts w:eastAsia="Calibri"/>
                <w:sz w:val="20"/>
                <w:szCs w:val="20"/>
              </w:rPr>
              <w:t>(Dawson J.)</w:t>
            </w:r>
          </w:p>
          <w:p w:rsidR="000B0AAC" w:rsidRPr="00FA13DA" w:rsidRDefault="009C5A48" w:rsidP="00D33F7D">
            <w:pPr>
              <w:jc w:val="both"/>
              <w:rPr>
                <w:rFonts w:eastAsia="Calibri"/>
                <w:sz w:val="20"/>
                <w:szCs w:val="20"/>
              </w:rPr>
            </w:pPr>
            <w:hyperlink r:id="rId32" w:history="1">
              <w:r w:rsidR="000B0AAC" w:rsidRPr="00FA13DA">
                <w:rPr>
                  <w:rFonts w:eastAsia="Calibri"/>
                  <w:color w:val="0000FF"/>
                  <w:sz w:val="20"/>
                  <w:szCs w:val="20"/>
                  <w:u w:val="single"/>
                </w:rPr>
                <w:t>2009 SKQB 466</w:t>
              </w:r>
            </w:hyperlink>
          </w:p>
          <w:p w:rsidR="000B0AAC" w:rsidRPr="00FA13DA" w:rsidRDefault="000B0AAC" w:rsidP="00D33F7D">
            <w:pPr>
              <w:jc w:val="both"/>
              <w:rPr>
                <w:rFonts w:eastAsia="Calibri"/>
                <w:sz w:val="20"/>
                <w:szCs w:val="20"/>
              </w:rPr>
            </w:pPr>
            <w:r w:rsidRPr="00FA13DA">
              <w:rPr>
                <w:rFonts w:eastAsia="Calibri"/>
                <w:sz w:val="20"/>
                <w:szCs w:val="20"/>
              </w:rPr>
              <w:t>Docket Q.B.C. 39(A) of 2007</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Applicant convicted of one count of manslaughter and two counts of aggravated assault.</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July 27, 2011</w:t>
            </w:r>
          </w:p>
          <w:p w:rsidR="000B0AAC" w:rsidRPr="00FA13DA" w:rsidRDefault="000B0AAC" w:rsidP="00D33F7D">
            <w:pPr>
              <w:jc w:val="both"/>
              <w:rPr>
                <w:rFonts w:eastAsia="Calibri"/>
                <w:sz w:val="20"/>
                <w:szCs w:val="20"/>
              </w:rPr>
            </w:pPr>
            <w:r w:rsidRPr="00FA13DA">
              <w:rPr>
                <w:rFonts w:eastAsia="Calibri"/>
                <w:sz w:val="20"/>
                <w:szCs w:val="20"/>
              </w:rPr>
              <w:t>Court of Queen’s Bench of Saskatchewan</w:t>
            </w:r>
          </w:p>
          <w:p w:rsidR="000B0AAC" w:rsidRPr="00FA13DA" w:rsidRDefault="000B0AAC" w:rsidP="00D33F7D">
            <w:pPr>
              <w:jc w:val="both"/>
              <w:rPr>
                <w:rFonts w:eastAsia="Calibri"/>
                <w:sz w:val="20"/>
                <w:szCs w:val="20"/>
              </w:rPr>
            </w:pPr>
            <w:r w:rsidRPr="00FA13DA">
              <w:rPr>
                <w:rFonts w:eastAsia="Calibri"/>
                <w:sz w:val="20"/>
                <w:szCs w:val="20"/>
              </w:rPr>
              <w:t>(Dawson J.)</w:t>
            </w:r>
          </w:p>
          <w:p w:rsidR="000B0AAC" w:rsidRPr="00FA13DA" w:rsidRDefault="009C5A48" w:rsidP="00D33F7D">
            <w:pPr>
              <w:jc w:val="both"/>
              <w:rPr>
                <w:rFonts w:eastAsia="Calibri"/>
                <w:sz w:val="20"/>
                <w:szCs w:val="20"/>
              </w:rPr>
            </w:pPr>
            <w:hyperlink r:id="rId33" w:history="1">
              <w:r w:rsidR="000B0AAC" w:rsidRPr="00FA13DA">
                <w:rPr>
                  <w:rFonts w:eastAsia="Calibri"/>
                  <w:color w:val="0000FF"/>
                  <w:sz w:val="20"/>
                  <w:szCs w:val="20"/>
                  <w:u w:val="single"/>
                </w:rPr>
                <w:t>2011 SKQB 293</w:t>
              </w:r>
            </w:hyperlink>
          </w:p>
          <w:p w:rsidR="000B0AAC" w:rsidRPr="00FA13DA" w:rsidRDefault="000B0AAC" w:rsidP="00D33F7D">
            <w:pPr>
              <w:jc w:val="both"/>
              <w:rPr>
                <w:rFonts w:eastAsia="Calibri"/>
                <w:sz w:val="20"/>
                <w:szCs w:val="20"/>
              </w:rPr>
            </w:pPr>
            <w:r w:rsidRPr="00FA13DA">
              <w:rPr>
                <w:rFonts w:eastAsia="Calibri"/>
                <w:sz w:val="20"/>
                <w:szCs w:val="20"/>
              </w:rPr>
              <w:t>Docket Q.B.C. 39(A) of 2007</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Applicant sentenced to 15 years on the manslaughter conviction and 7 years imprisonment for each of the convictions for aggravated assault, to be served concurrently; Sentence reduced by 4 years and 6 months as credit for time spent in pre-sentence custody; Applicant declared a long-term offender.</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October 29, 2014</w:t>
            </w:r>
          </w:p>
          <w:p w:rsidR="000B0AAC" w:rsidRPr="00FA13DA" w:rsidRDefault="000B0AAC" w:rsidP="00D33F7D">
            <w:pPr>
              <w:jc w:val="both"/>
              <w:rPr>
                <w:rFonts w:eastAsia="Calibri"/>
                <w:sz w:val="20"/>
                <w:szCs w:val="20"/>
              </w:rPr>
            </w:pPr>
            <w:r w:rsidRPr="00FA13DA">
              <w:rPr>
                <w:rFonts w:eastAsia="Calibri"/>
                <w:sz w:val="20"/>
                <w:szCs w:val="20"/>
              </w:rPr>
              <w:t>Court of Appeal for Saskatchewan</w:t>
            </w:r>
          </w:p>
          <w:p w:rsidR="000B0AAC" w:rsidRPr="00FA13DA" w:rsidRDefault="000B0AAC" w:rsidP="00D33F7D">
            <w:pPr>
              <w:jc w:val="both"/>
              <w:rPr>
                <w:rFonts w:eastAsia="Calibri"/>
                <w:sz w:val="20"/>
                <w:szCs w:val="20"/>
              </w:rPr>
            </w:pPr>
            <w:r w:rsidRPr="00FA13DA">
              <w:rPr>
                <w:rFonts w:eastAsia="Calibri"/>
                <w:sz w:val="20"/>
                <w:szCs w:val="20"/>
              </w:rPr>
              <w:t xml:space="preserve">(Lane, Jackson (dissenting, on Crown appeal) and </w:t>
            </w:r>
          </w:p>
          <w:p w:rsidR="000B0AAC" w:rsidRPr="00FA13DA" w:rsidRDefault="000B0AAC" w:rsidP="00D33F7D">
            <w:pPr>
              <w:jc w:val="both"/>
              <w:rPr>
                <w:rFonts w:eastAsia="Calibri"/>
                <w:sz w:val="20"/>
                <w:szCs w:val="20"/>
              </w:rPr>
            </w:pPr>
            <w:r w:rsidRPr="00FA13DA">
              <w:rPr>
                <w:rFonts w:eastAsia="Calibri"/>
                <w:sz w:val="20"/>
                <w:szCs w:val="20"/>
              </w:rPr>
              <w:t>Ottenbreit JJ.A.)</w:t>
            </w:r>
          </w:p>
          <w:p w:rsidR="000B0AAC" w:rsidRPr="00FA13DA" w:rsidRDefault="009C5A48" w:rsidP="00D33F7D">
            <w:pPr>
              <w:jc w:val="both"/>
              <w:rPr>
                <w:rFonts w:eastAsia="Calibri"/>
                <w:sz w:val="20"/>
                <w:szCs w:val="20"/>
              </w:rPr>
            </w:pPr>
            <w:hyperlink r:id="rId34" w:history="1">
              <w:r w:rsidR="000B0AAC" w:rsidRPr="00FA13DA">
                <w:rPr>
                  <w:rFonts w:eastAsia="Calibri"/>
                  <w:color w:val="0000FF"/>
                  <w:sz w:val="20"/>
                  <w:szCs w:val="20"/>
                  <w:u w:val="single"/>
                </w:rPr>
                <w:t>2014 SKCA 110</w:t>
              </w:r>
            </w:hyperlink>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 xml:space="preserve">Applicant’s appeal from conviction and sentence, dismissed; Crown’s appeal from sentence, allowed; Applicant’s sentence of 15 years imprisonment reduced by 11 months, for a total of 14 years and 1 month imprisonment. </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December 30, 2014</w:t>
            </w:r>
          </w:p>
          <w:p w:rsidR="000B0AAC" w:rsidRPr="00FA13DA" w:rsidRDefault="000B0AAC" w:rsidP="00D33F7D">
            <w:pPr>
              <w:jc w:val="both"/>
              <w:rPr>
                <w:rFonts w:eastAsia="Calibri"/>
                <w:sz w:val="20"/>
                <w:szCs w:val="20"/>
              </w:rPr>
            </w:pPr>
            <w:r w:rsidRPr="00FA13DA">
              <w:rPr>
                <w:rFonts w:eastAsia="Calibri"/>
                <w:sz w:val="20"/>
                <w:szCs w:val="20"/>
              </w:rPr>
              <w:t>Supreme Court of Canada</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Application for leave to appeal, filed.</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February 5, 2015</w:t>
            </w:r>
          </w:p>
          <w:p w:rsidR="000B0AAC" w:rsidRPr="00FA13DA" w:rsidRDefault="000B0AAC" w:rsidP="00D33F7D">
            <w:pPr>
              <w:jc w:val="both"/>
              <w:rPr>
                <w:rFonts w:eastAsia="Calibri"/>
                <w:sz w:val="20"/>
                <w:szCs w:val="20"/>
              </w:rPr>
            </w:pPr>
            <w:r w:rsidRPr="00FA13DA">
              <w:rPr>
                <w:rFonts w:eastAsia="Calibri"/>
                <w:sz w:val="20"/>
                <w:szCs w:val="20"/>
              </w:rPr>
              <w:t>Supreme Court of Canada</w:t>
            </w: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 xml:space="preserve">Motion for an extension of time to serve and file an application for leave to appeal, filed. </w:t>
            </w:r>
          </w:p>
        </w:tc>
      </w:tr>
    </w:tbl>
    <w:p w:rsidR="00A53490" w:rsidRDefault="00A53490" w:rsidP="00A53490">
      <w:pPr>
        <w:rPr>
          <w:sz w:val="20"/>
          <w:szCs w:val="20"/>
        </w:rPr>
      </w:pPr>
    </w:p>
    <w:p w:rsidR="00A53490" w:rsidRPr="00C50A5C" w:rsidRDefault="009C5A48" w:rsidP="00A53490">
      <w:pPr>
        <w:rPr>
          <w:sz w:val="20"/>
          <w:szCs w:val="20"/>
        </w:rPr>
      </w:pPr>
      <w:r>
        <w:rPr>
          <w:sz w:val="20"/>
          <w:szCs w:val="20"/>
          <w:lang w:val="fr-CA"/>
        </w:rPr>
        <w:pict>
          <v:rect id="_x0000_i1041" style="width:2in;height:1pt" o:hrpct="0" o:hralign="center" o:hrstd="t" o:hrnoshade="t" o:hr="t" fillcolor="black [3213]" stroked="f"/>
        </w:pict>
      </w:r>
    </w:p>
    <w:p w:rsidR="00A53490" w:rsidRDefault="00A53490" w:rsidP="00A53490">
      <w:pPr>
        <w:rPr>
          <w:sz w:val="20"/>
          <w:szCs w:val="20"/>
        </w:rPr>
      </w:pPr>
    </w:p>
    <w:p w:rsidR="00A53490" w:rsidRPr="001B157C" w:rsidRDefault="00A53490" w:rsidP="00A53490">
      <w:pPr>
        <w:rPr>
          <w:sz w:val="20"/>
          <w:szCs w:val="20"/>
          <w:u w:val="single"/>
          <w:lang w:val="fr-CA"/>
        </w:rPr>
      </w:pPr>
      <w:r w:rsidRPr="001B157C">
        <w:rPr>
          <w:sz w:val="20"/>
          <w:szCs w:val="20"/>
          <w:u w:val="single"/>
          <w:lang w:val="fr-CA"/>
        </w:rPr>
        <w:t>RÉSUMÉ DE L’AFFAIRE</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D144F6"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Droit criminel — Preuve — Détermination de la peine — Considérations — Crédit pour le temps passé sous garde avant la détermination de la peine — La Cour d’appel a-t-elle eu tort de ne pas annuler les déclarations de culpabilité du demandeur vu les faiblesses des témoignages sur lesquels la juge du procès s’est appuyée? — Au moment de la détermination de la peine, l’accusé a-t-il droit à un crédit pour le temps qu’il a passé sous garde avant le prononcé d’une peine pour les peines sous-jacentes alors qu’il purgeait des peines pour d’autres infractions? — La Cour d’appel a-t-elle eu tort de modifier la peine du demandeur? — La Cour d’appel a-t-elle eu tort de conclure que la juge du procès avait tenu compte de tous les facteurs pertinents dans la détermination de la peine, y compris les facteurs ayant trait à l’héritage autochtone du demandeur?</w:t>
            </w:r>
          </w:p>
        </w:tc>
      </w:tr>
      <w:tr w:rsidR="000B0AAC" w:rsidRPr="00D144F6" w:rsidTr="00D33F7D">
        <w:tc>
          <w:tcPr>
            <w:tcW w:w="5000" w:type="pct"/>
            <w:gridSpan w:val="3"/>
          </w:tcPr>
          <w:p w:rsidR="000B0AAC" w:rsidRPr="00FA13DA" w:rsidRDefault="000B0AAC" w:rsidP="00D33F7D">
            <w:pPr>
              <w:jc w:val="both"/>
              <w:rPr>
                <w:rFonts w:eastAsia="Calibri"/>
                <w:sz w:val="20"/>
                <w:szCs w:val="20"/>
                <w:lang w:val="fr-CA"/>
              </w:rPr>
            </w:pPr>
          </w:p>
        </w:tc>
      </w:tr>
      <w:tr w:rsidR="000B0AAC" w:rsidRPr="00D144F6"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Le demandeur a été déclaré coupable sous un chef d’homicide involontaire coupable et deux chefs de voies de fait graves en lien avec un braquage de domicile violent survenu à Regina en juin 2007.  La déclaration de culpabilité était fondée en grande partie sur le témoignage de complices et de connaissances.  Le demandeur n’avait pas commis les actes en tant que tels, mais il a été déclaré coupable comme participant en raison de son rôle de dirigeant de l’initiative qui a donné lieu aux actes de violence commis par d’autres.</w:t>
            </w:r>
          </w:p>
          <w:p w:rsidR="000B0AAC" w:rsidRPr="00FA13DA" w:rsidRDefault="000B0AAC" w:rsidP="00D33F7D">
            <w:pPr>
              <w:jc w:val="both"/>
              <w:rPr>
                <w:rFonts w:eastAsia="Calibri"/>
                <w:sz w:val="20"/>
                <w:szCs w:val="20"/>
                <w:lang w:val="fr-CA"/>
              </w:rPr>
            </w:pPr>
          </w:p>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Entre le moment de son arrestation et le prononcé de sa peine, le demandeur a passé plus de quatre ans sous garde.  Au moment où il a été déclaré coupable, il purgeait des peines totalisant trente-deux mois pour d’autres infractions </w:t>
            </w:r>
            <w:r w:rsidRPr="00FA13DA">
              <w:rPr>
                <w:rFonts w:eastAsia="Calibri"/>
                <w:sz w:val="20"/>
                <w:szCs w:val="20"/>
                <w:lang w:val="fr-CA"/>
              </w:rPr>
              <w:lastRenderedPageBreak/>
              <w:t>commises avant et peu de temps après sa mise en détention pour les infractions sous-jacentes.  Ces peines ont pris fin après qu’il a été déclaré coupable des infractions sous-jacentes, mais avant le prononcé de la peine pour ces infractions.  Il a donc purgé sa peine pour ces autres infractions pendant qu’il était sous garde relativement aux accusations d’homicide involontaire coupable et de voies de fait graves.</w:t>
            </w:r>
          </w:p>
          <w:p w:rsidR="000B0AAC" w:rsidRPr="00FA13DA" w:rsidRDefault="000B0AAC" w:rsidP="00D33F7D">
            <w:pPr>
              <w:jc w:val="both"/>
              <w:rPr>
                <w:rFonts w:eastAsia="Calibri"/>
                <w:sz w:val="20"/>
                <w:szCs w:val="20"/>
                <w:lang w:val="fr-CA"/>
              </w:rPr>
            </w:pPr>
          </w:p>
          <w:p w:rsidR="000B0AAC" w:rsidRPr="00FA13DA" w:rsidRDefault="000B0AAC" w:rsidP="00D33F7D">
            <w:pPr>
              <w:jc w:val="both"/>
              <w:rPr>
                <w:rFonts w:eastAsia="Calibri"/>
                <w:sz w:val="20"/>
                <w:szCs w:val="20"/>
                <w:lang w:val="fr-CA"/>
              </w:rPr>
            </w:pPr>
            <w:r w:rsidRPr="00FA13DA">
              <w:rPr>
                <w:rFonts w:eastAsia="Calibri"/>
                <w:sz w:val="20"/>
                <w:szCs w:val="20"/>
                <w:lang w:val="fr-CA"/>
              </w:rPr>
              <w:t>Le demandeur a été condamné à une peine d’emprisonnement de quinze ans au total, réduite de quatre ans et six mois en raison du temps passé sous garde avant la détermination de la peine.  Le demandeur a interjeté appel des déclarations de culpabilité et de la peine.  Le ministère public a interjeté appel de la peine, plus particulièrement le crédit accordé par la juge qui a imposé la peine.</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lastRenderedPageBreak/>
              <w:t>2 décembre 2009</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du Banc de la Reine de la Saskatchewan</w:t>
            </w:r>
          </w:p>
          <w:p w:rsidR="000B0AAC" w:rsidRPr="00FA13DA" w:rsidRDefault="000B0AAC" w:rsidP="00D33F7D">
            <w:pPr>
              <w:jc w:val="both"/>
              <w:rPr>
                <w:rFonts w:eastAsia="Calibri"/>
                <w:sz w:val="20"/>
                <w:szCs w:val="20"/>
                <w:lang w:val="fr-CA"/>
              </w:rPr>
            </w:pPr>
            <w:r w:rsidRPr="00FA13DA">
              <w:rPr>
                <w:rFonts w:eastAsia="Calibri"/>
                <w:sz w:val="20"/>
                <w:szCs w:val="20"/>
                <w:lang w:val="fr-CA"/>
              </w:rPr>
              <w:t>(Juge Dawson)</w:t>
            </w:r>
          </w:p>
          <w:p w:rsidR="000B0AAC" w:rsidRPr="00FA13DA" w:rsidRDefault="009C5A48" w:rsidP="00D33F7D">
            <w:pPr>
              <w:jc w:val="both"/>
              <w:rPr>
                <w:rFonts w:eastAsia="Calibri"/>
                <w:sz w:val="20"/>
                <w:szCs w:val="20"/>
                <w:lang w:val="fr-CA"/>
              </w:rPr>
            </w:pPr>
            <w:hyperlink r:id="rId35" w:history="1">
              <w:r w:rsidR="000B0AAC" w:rsidRPr="00FA13DA">
                <w:rPr>
                  <w:rFonts w:eastAsia="Calibri"/>
                  <w:color w:val="0000FF"/>
                  <w:sz w:val="20"/>
                  <w:szCs w:val="20"/>
                  <w:u w:val="single"/>
                  <w:lang w:val="fr-CA"/>
                </w:rPr>
                <w:t>2009 SKQB 466</w:t>
              </w:r>
            </w:hyperlink>
          </w:p>
          <w:p w:rsidR="000B0AAC" w:rsidRPr="00D144F6" w:rsidRDefault="000B0AAC" w:rsidP="00D33F7D">
            <w:pPr>
              <w:jc w:val="both"/>
              <w:rPr>
                <w:rFonts w:eastAsia="Calibri"/>
                <w:sz w:val="20"/>
                <w:szCs w:val="20"/>
                <w:lang w:val="en-US"/>
              </w:rPr>
            </w:pPr>
            <w:r w:rsidRPr="00D144F6">
              <w:rPr>
                <w:rFonts w:eastAsia="Calibri"/>
                <w:sz w:val="20"/>
                <w:szCs w:val="20"/>
                <w:lang w:val="en-US"/>
              </w:rPr>
              <w:t>N</w:t>
            </w:r>
            <w:r w:rsidRPr="00D144F6">
              <w:rPr>
                <w:rFonts w:eastAsia="Calibri"/>
                <w:sz w:val="20"/>
                <w:szCs w:val="20"/>
                <w:vertAlign w:val="superscript"/>
                <w:lang w:val="en-US"/>
              </w:rPr>
              <w:t>o</w:t>
            </w:r>
            <w:r w:rsidRPr="00D144F6">
              <w:rPr>
                <w:rFonts w:eastAsia="Calibri"/>
                <w:sz w:val="20"/>
                <w:szCs w:val="20"/>
                <w:lang w:val="en-US"/>
              </w:rPr>
              <w:t xml:space="preserve"> du greffe Q.B.C. 39(A) of 2007</w:t>
            </w:r>
          </w:p>
          <w:p w:rsidR="000B0AAC" w:rsidRPr="00D144F6" w:rsidRDefault="000B0AAC" w:rsidP="00D33F7D">
            <w:pPr>
              <w:jc w:val="both"/>
              <w:rPr>
                <w:rFonts w:eastAsia="Calibri"/>
                <w:sz w:val="20"/>
                <w:szCs w:val="20"/>
                <w:lang w:val="en-US"/>
              </w:rPr>
            </w:pPr>
          </w:p>
        </w:tc>
        <w:tc>
          <w:tcPr>
            <w:tcW w:w="243" w:type="pct"/>
          </w:tcPr>
          <w:p w:rsidR="000B0AAC" w:rsidRPr="00D144F6" w:rsidRDefault="000B0AAC" w:rsidP="00D33F7D">
            <w:pPr>
              <w:jc w:val="both"/>
              <w:rPr>
                <w:rFonts w:eastAsia="Calibri"/>
                <w:sz w:val="20"/>
                <w:szCs w:val="20"/>
                <w:lang w:val="en-US"/>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Déclaration de culpabilité du demandeur sous un chef d’homicide involontaire coupable et deux chefs de voies de fait graves.</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27 juillet 2011</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du Banc de la Reine de la Saskatchewan</w:t>
            </w:r>
          </w:p>
          <w:p w:rsidR="000B0AAC" w:rsidRPr="00FA13DA" w:rsidRDefault="000B0AAC" w:rsidP="00D33F7D">
            <w:pPr>
              <w:jc w:val="both"/>
              <w:rPr>
                <w:rFonts w:eastAsia="Calibri"/>
                <w:sz w:val="20"/>
                <w:szCs w:val="20"/>
                <w:lang w:val="fr-CA"/>
              </w:rPr>
            </w:pPr>
            <w:r w:rsidRPr="00FA13DA">
              <w:rPr>
                <w:rFonts w:eastAsia="Calibri"/>
                <w:sz w:val="20"/>
                <w:szCs w:val="20"/>
                <w:lang w:val="fr-CA"/>
              </w:rPr>
              <w:t>(Juge Dawson)</w:t>
            </w:r>
          </w:p>
          <w:p w:rsidR="000B0AAC" w:rsidRPr="00FA13DA" w:rsidRDefault="009C5A48" w:rsidP="00D33F7D">
            <w:pPr>
              <w:jc w:val="both"/>
              <w:rPr>
                <w:rFonts w:eastAsia="Calibri"/>
                <w:sz w:val="20"/>
                <w:szCs w:val="20"/>
                <w:lang w:val="fr-CA"/>
              </w:rPr>
            </w:pPr>
            <w:hyperlink r:id="rId36" w:history="1">
              <w:r w:rsidR="000B0AAC" w:rsidRPr="00FA13DA">
                <w:rPr>
                  <w:rFonts w:eastAsia="Calibri"/>
                  <w:color w:val="0000FF"/>
                  <w:sz w:val="20"/>
                  <w:szCs w:val="20"/>
                  <w:u w:val="single"/>
                  <w:lang w:val="fr-CA"/>
                </w:rPr>
                <w:t>2011 SKQB 293</w:t>
              </w:r>
            </w:hyperlink>
          </w:p>
          <w:p w:rsidR="000B0AAC" w:rsidRPr="00D144F6" w:rsidRDefault="000B0AAC" w:rsidP="00D33F7D">
            <w:pPr>
              <w:jc w:val="both"/>
              <w:rPr>
                <w:rFonts w:eastAsia="Calibri"/>
                <w:sz w:val="20"/>
                <w:szCs w:val="20"/>
                <w:lang w:val="en-US"/>
              </w:rPr>
            </w:pPr>
            <w:r w:rsidRPr="00D144F6">
              <w:rPr>
                <w:rFonts w:eastAsia="Calibri"/>
                <w:sz w:val="20"/>
                <w:szCs w:val="20"/>
                <w:lang w:val="en-US"/>
              </w:rPr>
              <w:t>N</w:t>
            </w:r>
            <w:r w:rsidRPr="00D144F6">
              <w:rPr>
                <w:rFonts w:eastAsia="Calibri"/>
                <w:sz w:val="20"/>
                <w:szCs w:val="20"/>
                <w:vertAlign w:val="superscript"/>
                <w:lang w:val="en-US"/>
              </w:rPr>
              <w:t>o</w:t>
            </w:r>
            <w:r w:rsidRPr="00D144F6">
              <w:rPr>
                <w:rFonts w:eastAsia="Calibri"/>
                <w:sz w:val="20"/>
                <w:szCs w:val="20"/>
                <w:lang w:val="en-US"/>
              </w:rPr>
              <w:t xml:space="preserve"> du greffe Q.B.C. 39(A) of 2007</w:t>
            </w:r>
          </w:p>
          <w:p w:rsidR="000B0AAC" w:rsidRPr="00D144F6" w:rsidRDefault="000B0AAC" w:rsidP="00D33F7D">
            <w:pPr>
              <w:jc w:val="both"/>
              <w:rPr>
                <w:rFonts w:eastAsia="Calibri"/>
                <w:sz w:val="20"/>
                <w:szCs w:val="20"/>
                <w:lang w:val="en-US"/>
              </w:rPr>
            </w:pPr>
          </w:p>
        </w:tc>
        <w:tc>
          <w:tcPr>
            <w:tcW w:w="243" w:type="pct"/>
          </w:tcPr>
          <w:p w:rsidR="000B0AAC" w:rsidRPr="00D144F6" w:rsidRDefault="000B0AAC" w:rsidP="00D33F7D">
            <w:pPr>
              <w:jc w:val="both"/>
              <w:rPr>
                <w:rFonts w:eastAsia="Calibri"/>
                <w:sz w:val="20"/>
                <w:szCs w:val="20"/>
                <w:lang w:val="en-US"/>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Condamnation du demandeur à une peine d’emprisonnement de quinze ans pour la déclaration de culpabilité d’homicide involontaire coupable et à des peines d’emprisonnement de sept ans pour chacune des déclarations de culpabilité de voies de fait graves, devant être purgées concurremment; réduction de la peine de quatre ans et six mois comme crédit pour le temps passé sous garde avant la détermination de la peine; déclaration portant que le demandeur est un délinquant à contrôler.</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29 octobre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d’appel de la Saskatchewan</w:t>
            </w:r>
          </w:p>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(Juges Lane, Jackson (dissidente dans l’appel du ministère public) et </w:t>
            </w:r>
          </w:p>
          <w:p w:rsidR="000B0AAC" w:rsidRPr="00FA13DA" w:rsidRDefault="000B0AAC" w:rsidP="00D33F7D">
            <w:pPr>
              <w:jc w:val="both"/>
              <w:rPr>
                <w:rFonts w:eastAsia="Calibri"/>
                <w:sz w:val="20"/>
                <w:szCs w:val="20"/>
                <w:lang w:val="fr-CA"/>
              </w:rPr>
            </w:pPr>
            <w:r w:rsidRPr="00FA13DA">
              <w:rPr>
                <w:rFonts w:eastAsia="Calibri"/>
                <w:sz w:val="20"/>
                <w:szCs w:val="20"/>
                <w:lang w:val="fr-CA"/>
              </w:rPr>
              <w:t>Ottenbreit)</w:t>
            </w:r>
          </w:p>
          <w:p w:rsidR="000B0AAC" w:rsidRPr="00FA13DA" w:rsidRDefault="009C5A48" w:rsidP="00D33F7D">
            <w:pPr>
              <w:jc w:val="both"/>
              <w:rPr>
                <w:rFonts w:eastAsia="Calibri"/>
                <w:sz w:val="20"/>
                <w:szCs w:val="20"/>
                <w:lang w:val="fr-CA"/>
              </w:rPr>
            </w:pPr>
            <w:hyperlink r:id="rId37" w:history="1">
              <w:r w:rsidR="000B0AAC" w:rsidRPr="00FA13DA">
                <w:rPr>
                  <w:rFonts w:eastAsia="Calibri"/>
                  <w:color w:val="0000FF"/>
                  <w:sz w:val="20"/>
                  <w:szCs w:val="20"/>
                  <w:u w:val="single"/>
                  <w:lang w:val="fr-CA"/>
                </w:rPr>
                <w:t>2014 SKCA 110</w:t>
              </w:r>
            </w:hyperlink>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Rejet de l’appel de la déclaration de culpabilité et de la peine interjeté par le demandeur; arrêt accueillant l’appel de la peine interjeté par le ministère public; réduction de onze mois de la peine d’emprisonnement de quinze ans imposée au demandeur, pour une peine d’emprisonnement totale de quatorze ans et un mois. </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30 décembre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suprême du Canada</w:t>
            </w:r>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Dépôt de la demande d’autorisation d’appel.</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5 février 2015</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suprême du Canada</w:t>
            </w: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Dépôt de la requête en prorogation du délai de signification et de dépôt de la demande d’autorisation d’appel. </w:t>
            </w:r>
          </w:p>
        </w:tc>
      </w:tr>
    </w:tbl>
    <w:p w:rsidR="00A53490" w:rsidRPr="000B0AAC" w:rsidRDefault="00A53490" w:rsidP="00A53490">
      <w:pPr>
        <w:rPr>
          <w:sz w:val="20"/>
          <w:szCs w:val="20"/>
          <w:lang w:val="fr-CA"/>
        </w:rPr>
      </w:pPr>
    </w:p>
    <w:p w:rsidR="00A53490" w:rsidRDefault="009C5A48" w:rsidP="00A53490">
      <w:pPr>
        <w:rPr>
          <w:sz w:val="20"/>
          <w:szCs w:val="20"/>
        </w:rPr>
      </w:pPr>
      <w:r>
        <w:rPr>
          <w:sz w:val="20"/>
          <w:szCs w:val="20"/>
          <w:lang w:val="fr-CA"/>
        </w:rPr>
        <w:pict>
          <v:rect id="_x0000_i1042" style="width:2in;height:1pt" o:hrpct="0" o:hralign="center" o:hrstd="t" o:hrnoshade="t" o:hr="t" fillcolor="black [3213]" stroked="f"/>
        </w:pict>
      </w:r>
    </w:p>
    <w:p w:rsidR="00A53490" w:rsidRDefault="00A53490" w:rsidP="00A5349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32F45" w:rsidRPr="006E4E50" w:rsidTr="00332F45">
        <w:tc>
          <w:tcPr>
            <w:tcW w:w="1458" w:type="dxa"/>
          </w:tcPr>
          <w:p w:rsidR="00332F45" w:rsidRPr="006E4E50" w:rsidRDefault="00332F45" w:rsidP="00E16DBA">
            <w:pPr>
              <w:rPr>
                <w:sz w:val="20"/>
                <w:szCs w:val="20"/>
              </w:rPr>
            </w:pPr>
            <w:r w:rsidRPr="006E4E50">
              <w:rPr>
                <w:rStyle w:val="SCCFileNumberChar"/>
                <w:sz w:val="20"/>
                <w:szCs w:val="20"/>
              </w:rPr>
              <w:t>36195</w:t>
            </w:r>
          </w:p>
          <w:p w:rsidR="00332F45" w:rsidRPr="006E4E50" w:rsidRDefault="00332F45" w:rsidP="00E16DBA">
            <w:pPr>
              <w:rPr>
                <w:b/>
                <w:sz w:val="20"/>
                <w:szCs w:val="20"/>
                <w:lang w:val="fr-CA"/>
              </w:rPr>
            </w:pPr>
          </w:p>
        </w:tc>
        <w:tc>
          <w:tcPr>
            <w:tcW w:w="8118" w:type="dxa"/>
          </w:tcPr>
          <w:p w:rsidR="00332F45" w:rsidRPr="006E4E50" w:rsidRDefault="00332F45" w:rsidP="00E16DBA">
            <w:pPr>
              <w:rPr>
                <w:sz w:val="20"/>
                <w:szCs w:val="20"/>
              </w:rPr>
            </w:pPr>
            <w:r w:rsidRPr="006E4E50">
              <w:rPr>
                <w:rStyle w:val="SCCLsocChar"/>
                <w:sz w:val="20"/>
                <w:szCs w:val="20"/>
                <w:lang w:val="en-CA"/>
              </w:rPr>
              <w:t>Can-Win Leasing (Toronto) Limited v. Rafael Moncayo</w:t>
            </w:r>
            <w:r w:rsidRPr="006E4E50">
              <w:rPr>
                <w:sz w:val="20"/>
                <w:szCs w:val="20"/>
              </w:rPr>
              <w:t xml:space="preserve"> (Ont.) (Civil) (By Leave)</w:t>
            </w:r>
          </w:p>
          <w:p w:rsidR="00332F45" w:rsidRPr="006E4E50" w:rsidRDefault="00332F45" w:rsidP="00E16DBA">
            <w:pPr>
              <w:rPr>
                <w:sz w:val="20"/>
                <w:szCs w:val="20"/>
              </w:rPr>
            </w:pPr>
          </w:p>
        </w:tc>
      </w:tr>
      <w:tr w:rsidR="00332F45" w:rsidRPr="00D144F6" w:rsidTr="00332F45">
        <w:tc>
          <w:tcPr>
            <w:tcW w:w="1458" w:type="dxa"/>
          </w:tcPr>
          <w:p w:rsidR="00332F45" w:rsidRPr="006E4E50" w:rsidRDefault="00332F45" w:rsidP="00E16DBA">
            <w:pPr>
              <w:rPr>
                <w:sz w:val="20"/>
                <w:szCs w:val="20"/>
              </w:rPr>
            </w:pPr>
            <w:r w:rsidRPr="006E4E50">
              <w:rPr>
                <w:sz w:val="20"/>
                <w:szCs w:val="20"/>
              </w:rPr>
              <w:t>Coram :</w:t>
            </w:r>
          </w:p>
        </w:tc>
        <w:tc>
          <w:tcPr>
            <w:tcW w:w="8118" w:type="dxa"/>
          </w:tcPr>
          <w:p w:rsidR="00332F45" w:rsidRPr="006E4E50" w:rsidRDefault="00332F45" w:rsidP="00E16DBA">
            <w:pPr>
              <w:rPr>
                <w:sz w:val="20"/>
                <w:szCs w:val="20"/>
                <w:lang w:val="fr-CA"/>
              </w:rPr>
            </w:pPr>
            <w:r w:rsidRPr="006E4E50">
              <w:rPr>
                <w:rStyle w:val="SCCCoramChar"/>
                <w:sz w:val="20"/>
                <w:szCs w:val="20"/>
              </w:rPr>
              <w:t>Abella, Karakatsanis and Côté JJ.</w:t>
            </w:r>
          </w:p>
          <w:p w:rsidR="00332F45" w:rsidRPr="006E4E50" w:rsidRDefault="00332F45" w:rsidP="00E16DBA">
            <w:pPr>
              <w:rPr>
                <w:sz w:val="20"/>
                <w:szCs w:val="20"/>
                <w:u w:val="single"/>
                <w:lang w:val="fr-CA"/>
              </w:rPr>
            </w:pPr>
          </w:p>
        </w:tc>
      </w:tr>
      <w:tr w:rsidR="00332F45" w:rsidRPr="00D144F6" w:rsidTr="00332F45">
        <w:tc>
          <w:tcPr>
            <w:tcW w:w="9576" w:type="dxa"/>
            <w:gridSpan w:val="2"/>
          </w:tcPr>
          <w:p w:rsidR="00332F45" w:rsidRPr="006E4E50" w:rsidRDefault="00332F45" w:rsidP="00E16DBA">
            <w:pPr>
              <w:pStyle w:val="SCCShortJudgment"/>
              <w:rPr>
                <w:szCs w:val="20"/>
              </w:rPr>
            </w:pPr>
            <w:r w:rsidRPr="006E4E50">
              <w:rPr>
                <w:szCs w:val="20"/>
              </w:rPr>
              <w:t>The application for leave to appeal from the judgment of the Court of Appeal for Ontario, Number C56702, 2014 ONCA 689, dated October 8, 2014, is dismissed.</w:t>
            </w:r>
          </w:p>
          <w:p w:rsidR="00332F45" w:rsidRPr="006E4E50" w:rsidRDefault="00332F45" w:rsidP="00E16DBA">
            <w:pPr>
              <w:pStyle w:val="SCCShortJudgment"/>
              <w:ind w:firstLine="0"/>
              <w:rPr>
                <w:szCs w:val="20"/>
              </w:rPr>
            </w:pPr>
          </w:p>
          <w:p w:rsidR="00332F45" w:rsidRPr="006E4E50" w:rsidRDefault="00332F45" w:rsidP="00E16DBA">
            <w:pPr>
              <w:pStyle w:val="SCCShortJudgment"/>
              <w:rPr>
                <w:szCs w:val="20"/>
                <w:lang w:val="fr-CA"/>
              </w:rPr>
            </w:pPr>
            <w:r w:rsidRPr="006E4E50">
              <w:rPr>
                <w:szCs w:val="20"/>
                <w:lang w:val="fr-CA"/>
              </w:rPr>
              <w:lastRenderedPageBreak/>
              <w:t>La demande d’autorisation d’appel de l’arrêt de la Cour d’appel de l’Ontario, numéro C56702, 2014 ONCA 689, daté du 8 octobre 2014, est rejetée.</w:t>
            </w:r>
          </w:p>
        </w:tc>
      </w:tr>
    </w:tbl>
    <w:p w:rsidR="00A53490" w:rsidRPr="00332F45" w:rsidRDefault="00A53490" w:rsidP="00A53490">
      <w:pPr>
        <w:rPr>
          <w:sz w:val="20"/>
          <w:szCs w:val="20"/>
          <w:lang w:val="fr-CA"/>
        </w:rPr>
      </w:pPr>
    </w:p>
    <w:p w:rsidR="00A53490" w:rsidRPr="001B157C" w:rsidRDefault="00A53490" w:rsidP="00A53490">
      <w:pPr>
        <w:rPr>
          <w:sz w:val="20"/>
          <w:szCs w:val="20"/>
          <w:u w:val="single"/>
        </w:rPr>
      </w:pPr>
      <w:r w:rsidRPr="001B157C">
        <w:rPr>
          <w:sz w:val="20"/>
          <w:szCs w:val="20"/>
          <w:u w:val="single"/>
        </w:rPr>
        <w:t>CASE SUMMARY</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Appeals — Indemnification — Guarantee — Surety/Co-surety — Surety paying down guaranteed debt without notice to co-surety and without demand for payment — Action commenced by surety for equitable contribution from co-surety for amounts paid — Whether a surety has a right to contribution from a co-surety where creditor has not made a formal written demand as required by guarantee?</w:t>
            </w:r>
          </w:p>
        </w:tc>
      </w:tr>
      <w:tr w:rsidR="000B0AAC" w:rsidRPr="00FA13DA" w:rsidTr="00D33F7D">
        <w:tc>
          <w:tcPr>
            <w:tcW w:w="5000" w:type="pct"/>
            <w:gridSpan w:val="3"/>
          </w:tcPr>
          <w:p w:rsidR="000B0AAC" w:rsidRPr="00FA13DA" w:rsidRDefault="000B0AAC" w:rsidP="00D33F7D">
            <w:pPr>
              <w:jc w:val="both"/>
              <w:rPr>
                <w:rFonts w:eastAsia="Calibri"/>
                <w:sz w:val="20"/>
                <w:szCs w:val="20"/>
              </w:rPr>
            </w:pPr>
          </w:p>
        </w:tc>
      </w:tr>
      <w:tr w:rsidR="000B0AAC" w:rsidRPr="00FA13DA" w:rsidTr="00D33F7D">
        <w:tc>
          <w:tcPr>
            <w:tcW w:w="5000" w:type="pct"/>
            <w:gridSpan w:val="3"/>
          </w:tcPr>
          <w:p w:rsidR="000B0AAC" w:rsidRPr="00FA13DA" w:rsidRDefault="000B0AAC" w:rsidP="00D33F7D">
            <w:pPr>
              <w:shd w:val="clear" w:color="auto" w:fill="FFFFFF"/>
              <w:jc w:val="both"/>
              <w:rPr>
                <w:sz w:val="20"/>
                <w:szCs w:val="20"/>
              </w:rPr>
            </w:pPr>
            <w:r w:rsidRPr="00FA13DA">
              <w:rPr>
                <w:sz w:val="20"/>
                <w:szCs w:val="20"/>
              </w:rPr>
              <w:t xml:space="preserve">Can-Win Truck Sales Inc. was owned and operated by Clifford Irwin and the respondent, Rafael Moncayo.  Together, Mr. Moncayo, Mr. Irwin and the applicant, Can-Win Leasing (Toronto) Limited (“Can-Win Leasing”), </w:t>
            </w:r>
            <w:r w:rsidRPr="00FA13DA">
              <w:rPr>
                <w:sz w:val="20"/>
                <w:szCs w:val="20"/>
              </w:rPr>
              <w:br w:type="page"/>
              <w:t>guaranteed the debt of Can-Win Truck to the Royal Bank of Canada (“RBC”).  Mr. Irwin, who passed away after the trial, was the sole shareholder of Can-Win Leasing.  He caused Can-Win Leasing to pay down Can-Win Truck’s guaranteed debt in 2008 and 2009, without informing Mr. Moncayo and in the absence of any demand by RBC on either Can-Win Truck or any surety.</w:t>
            </w:r>
          </w:p>
          <w:p w:rsidR="000B0AAC" w:rsidRPr="00FA13DA" w:rsidRDefault="000B0AAC" w:rsidP="00D33F7D">
            <w:pPr>
              <w:shd w:val="clear" w:color="auto" w:fill="FFFFFF"/>
              <w:jc w:val="both"/>
              <w:rPr>
                <w:sz w:val="20"/>
                <w:szCs w:val="20"/>
              </w:rPr>
            </w:pPr>
          </w:p>
          <w:p w:rsidR="000B0AAC" w:rsidRPr="00FA13DA" w:rsidRDefault="000B0AAC" w:rsidP="00D33F7D">
            <w:pPr>
              <w:jc w:val="both"/>
              <w:rPr>
                <w:rFonts w:eastAsia="Calibri"/>
                <w:sz w:val="20"/>
                <w:szCs w:val="20"/>
              </w:rPr>
            </w:pPr>
            <w:r w:rsidRPr="00FA13DA">
              <w:rPr>
                <w:rFonts w:eastAsia="Calibri"/>
                <w:sz w:val="20"/>
                <w:szCs w:val="20"/>
              </w:rPr>
              <w:t>Can-Win Leasing, as surety, sought indemnification against its co-surety, Mr. Moncayo.  The trial judge dismissed Can-Win Leasing’s action for equitable contribution from Mr. Moncayo for the amounts paid to RBC.  The majority of the Court of Appeal dismissed the appeal.  Justice Lauwers, dissenting, would have allowed the appeal.</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February 6, 2013</w:t>
            </w:r>
          </w:p>
          <w:p w:rsidR="000B0AAC" w:rsidRPr="00FA13DA" w:rsidRDefault="000B0AAC" w:rsidP="00D33F7D">
            <w:pPr>
              <w:jc w:val="both"/>
              <w:rPr>
                <w:rFonts w:eastAsia="Calibri"/>
                <w:sz w:val="20"/>
                <w:szCs w:val="20"/>
              </w:rPr>
            </w:pPr>
            <w:r w:rsidRPr="00FA13DA">
              <w:rPr>
                <w:rFonts w:eastAsia="Calibri"/>
                <w:sz w:val="20"/>
                <w:szCs w:val="20"/>
              </w:rPr>
              <w:t>Ontario Superior Court of Justice</w:t>
            </w:r>
          </w:p>
          <w:p w:rsidR="000B0AAC" w:rsidRPr="00FA13DA" w:rsidRDefault="000B0AAC" w:rsidP="00D33F7D">
            <w:pPr>
              <w:jc w:val="both"/>
              <w:rPr>
                <w:rFonts w:eastAsia="Calibri"/>
                <w:sz w:val="20"/>
                <w:szCs w:val="20"/>
              </w:rPr>
            </w:pPr>
            <w:r w:rsidRPr="00FA13DA">
              <w:rPr>
                <w:rFonts w:eastAsia="Calibri"/>
                <w:sz w:val="20"/>
                <w:szCs w:val="20"/>
              </w:rPr>
              <w:t>(Goldstein J.)</w:t>
            </w:r>
          </w:p>
          <w:p w:rsidR="000B0AAC" w:rsidRPr="00FA13DA" w:rsidRDefault="009C5A48" w:rsidP="00D33F7D">
            <w:pPr>
              <w:jc w:val="both"/>
              <w:rPr>
                <w:rFonts w:eastAsia="Calibri"/>
                <w:sz w:val="20"/>
                <w:szCs w:val="20"/>
              </w:rPr>
            </w:pPr>
            <w:hyperlink r:id="rId38" w:history="1">
              <w:r w:rsidR="000B0AAC" w:rsidRPr="00FA13DA">
                <w:rPr>
                  <w:rFonts w:eastAsia="Calibri"/>
                  <w:color w:val="0000FF"/>
                  <w:sz w:val="20"/>
                  <w:szCs w:val="20"/>
                  <w:u w:val="single"/>
                </w:rPr>
                <w:t>2013 ONSC 851</w:t>
              </w:r>
            </w:hyperlink>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Action dismissed.</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October 8, 2014</w:t>
            </w:r>
          </w:p>
          <w:p w:rsidR="000B0AAC" w:rsidRPr="00FA13DA" w:rsidRDefault="000B0AAC" w:rsidP="00D33F7D">
            <w:pPr>
              <w:jc w:val="both"/>
              <w:rPr>
                <w:rFonts w:eastAsia="Calibri"/>
                <w:sz w:val="20"/>
                <w:szCs w:val="20"/>
              </w:rPr>
            </w:pPr>
            <w:r w:rsidRPr="00FA13DA">
              <w:rPr>
                <w:rFonts w:eastAsia="Calibri"/>
                <w:sz w:val="20"/>
                <w:szCs w:val="20"/>
              </w:rPr>
              <w:t>Court of Appeal for Ontario</w:t>
            </w:r>
          </w:p>
          <w:p w:rsidR="000B0AAC" w:rsidRPr="00FA13DA" w:rsidRDefault="000B0AAC" w:rsidP="00D33F7D">
            <w:pPr>
              <w:jc w:val="both"/>
              <w:rPr>
                <w:rFonts w:eastAsia="Calibri"/>
                <w:sz w:val="20"/>
                <w:szCs w:val="20"/>
              </w:rPr>
            </w:pPr>
            <w:r w:rsidRPr="00FA13DA">
              <w:rPr>
                <w:rFonts w:eastAsia="Calibri"/>
                <w:sz w:val="20"/>
                <w:szCs w:val="20"/>
              </w:rPr>
              <w:t xml:space="preserve">(Feldman and Strathy JJ.A. and Lauwers J.A. </w:t>
            </w:r>
          </w:p>
          <w:p w:rsidR="000B0AAC" w:rsidRPr="00FA13DA" w:rsidRDefault="000B0AAC" w:rsidP="00D33F7D">
            <w:pPr>
              <w:jc w:val="both"/>
              <w:rPr>
                <w:rFonts w:eastAsia="Calibri"/>
                <w:sz w:val="20"/>
                <w:szCs w:val="20"/>
              </w:rPr>
            </w:pPr>
            <w:r w:rsidRPr="00FA13DA">
              <w:rPr>
                <w:rFonts w:eastAsia="Calibri"/>
                <w:sz w:val="20"/>
                <w:szCs w:val="20"/>
              </w:rPr>
              <w:t>(dissenting))</w:t>
            </w:r>
          </w:p>
          <w:p w:rsidR="000B0AAC" w:rsidRPr="00FA13DA" w:rsidRDefault="009C5A48" w:rsidP="00D33F7D">
            <w:pPr>
              <w:jc w:val="both"/>
              <w:rPr>
                <w:rFonts w:eastAsia="Calibri"/>
                <w:sz w:val="20"/>
                <w:szCs w:val="20"/>
              </w:rPr>
            </w:pPr>
            <w:hyperlink r:id="rId39" w:history="1">
              <w:r w:rsidR="000B0AAC" w:rsidRPr="00FA13DA">
                <w:rPr>
                  <w:rFonts w:eastAsia="Calibri"/>
                  <w:color w:val="0000FF"/>
                  <w:sz w:val="20"/>
                  <w:szCs w:val="20"/>
                  <w:u w:val="single"/>
                </w:rPr>
                <w:t>2014 ONCA 689</w:t>
              </w:r>
            </w:hyperlink>
          </w:p>
          <w:p w:rsidR="000B0AAC" w:rsidRPr="00FA13DA" w:rsidRDefault="000B0AAC" w:rsidP="00D33F7D">
            <w:pPr>
              <w:jc w:val="both"/>
              <w:rPr>
                <w:rFonts w:eastAsia="Calibri"/>
                <w:sz w:val="20"/>
                <w:szCs w:val="20"/>
              </w:rPr>
            </w:pPr>
            <w:r w:rsidRPr="00FA13DA">
              <w:rPr>
                <w:rFonts w:eastAsia="Calibri"/>
                <w:sz w:val="20"/>
                <w:szCs w:val="20"/>
              </w:rPr>
              <w:t>File No.: C56702</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Appeal dismissed.</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December 3, 2014</w:t>
            </w:r>
          </w:p>
          <w:p w:rsidR="000B0AAC" w:rsidRPr="00FA13DA" w:rsidRDefault="000B0AAC" w:rsidP="00D33F7D">
            <w:pPr>
              <w:jc w:val="both"/>
              <w:rPr>
                <w:rFonts w:eastAsia="Calibri"/>
                <w:sz w:val="20"/>
                <w:szCs w:val="20"/>
              </w:rPr>
            </w:pPr>
            <w:r w:rsidRPr="00FA13DA">
              <w:rPr>
                <w:rFonts w:eastAsia="Calibri"/>
                <w:sz w:val="20"/>
                <w:szCs w:val="20"/>
              </w:rPr>
              <w:t>Supreme Court of Canada</w:t>
            </w: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Application for leave to appeal filed.</w:t>
            </w:r>
          </w:p>
          <w:p w:rsidR="000B0AAC" w:rsidRPr="00FA13DA" w:rsidRDefault="000B0AAC" w:rsidP="00D33F7D">
            <w:pPr>
              <w:jc w:val="both"/>
              <w:rPr>
                <w:rFonts w:eastAsia="Calibri"/>
                <w:sz w:val="20"/>
                <w:szCs w:val="20"/>
              </w:rPr>
            </w:pPr>
          </w:p>
        </w:tc>
      </w:tr>
    </w:tbl>
    <w:p w:rsidR="00A53490" w:rsidRDefault="00A53490" w:rsidP="00A53490">
      <w:pPr>
        <w:rPr>
          <w:sz w:val="20"/>
          <w:szCs w:val="20"/>
        </w:rPr>
      </w:pPr>
    </w:p>
    <w:p w:rsidR="00A53490" w:rsidRPr="00C50A5C" w:rsidRDefault="009C5A48" w:rsidP="00A53490">
      <w:pPr>
        <w:rPr>
          <w:sz w:val="20"/>
          <w:szCs w:val="20"/>
        </w:rPr>
      </w:pPr>
      <w:r>
        <w:rPr>
          <w:sz w:val="20"/>
          <w:szCs w:val="20"/>
          <w:lang w:val="fr-CA"/>
        </w:rPr>
        <w:pict>
          <v:rect id="_x0000_i1043" style="width:2in;height:1pt" o:hrpct="0" o:hralign="center" o:hrstd="t" o:hrnoshade="t" o:hr="t" fillcolor="black [3213]" stroked="f"/>
        </w:pict>
      </w:r>
    </w:p>
    <w:p w:rsidR="00A53490" w:rsidRDefault="00A53490" w:rsidP="00A53490">
      <w:pPr>
        <w:rPr>
          <w:sz w:val="20"/>
          <w:szCs w:val="20"/>
        </w:rPr>
      </w:pPr>
    </w:p>
    <w:p w:rsidR="00A53490" w:rsidRPr="001B157C" w:rsidRDefault="00A53490" w:rsidP="00A53490">
      <w:pPr>
        <w:rPr>
          <w:sz w:val="20"/>
          <w:szCs w:val="20"/>
          <w:u w:val="single"/>
          <w:lang w:val="fr-CA"/>
        </w:rPr>
      </w:pPr>
      <w:r w:rsidRPr="001B157C">
        <w:rPr>
          <w:sz w:val="20"/>
          <w:szCs w:val="20"/>
          <w:u w:val="single"/>
          <w:lang w:val="fr-CA"/>
        </w:rPr>
        <w:t>RÉSUMÉ DE L’AFFAIRE</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D144F6"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Appels — Indemnisation — Cautionnement — Caution/Cocaution — La caution a remboursé en partie une dette garantie sans en aviser la cocaution et sans demande de paiement — La caution a intenté une action en contribution équitable de la cocaution pour les montants payés — Une caution a-t-elle droit à une contribution d’une cocaution lorsque le créancier n’a pas fait de demande écrite officielle comme l’exige le cautionnement?</w:t>
            </w:r>
          </w:p>
        </w:tc>
      </w:tr>
      <w:tr w:rsidR="000B0AAC" w:rsidRPr="00D144F6" w:rsidTr="00D33F7D">
        <w:tc>
          <w:tcPr>
            <w:tcW w:w="5000" w:type="pct"/>
            <w:gridSpan w:val="3"/>
          </w:tcPr>
          <w:p w:rsidR="000B0AAC" w:rsidRPr="00FA13DA" w:rsidRDefault="000B0AAC" w:rsidP="00D33F7D">
            <w:pPr>
              <w:jc w:val="both"/>
              <w:rPr>
                <w:rFonts w:eastAsia="Calibri"/>
                <w:sz w:val="20"/>
                <w:szCs w:val="20"/>
                <w:lang w:val="fr-CA"/>
              </w:rPr>
            </w:pPr>
          </w:p>
        </w:tc>
      </w:tr>
      <w:tr w:rsidR="000B0AAC" w:rsidRPr="00FA13DA" w:rsidTr="00D33F7D">
        <w:tc>
          <w:tcPr>
            <w:tcW w:w="5000" w:type="pct"/>
            <w:gridSpan w:val="3"/>
          </w:tcPr>
          <w:p w:rsidR="000B0AAC" w:rsidRPr="00FA13DA" w:rsidRDefault="000B0AAC" w:rsidP="00D33F7D">
            <w:pPr>
              <w:shd w:val="clear" w:color="auto" w:fill="FFFFFF"/>
              <w:jc w:val="both"/>
              <w:rPr>
                <w:sz w:val="20"/>
                <w:szCs w:val="20"/>
                <w:lang w:val="fr-CA"/>
              </w:rPr>
            </w:pPr>
            <w:r w:rsidRPr="00FA13DA">
              <w:rPr>
                <w:sz w:val="20"/>
                <w:szCs w:val="20"/>
                <w:lang w:val="fr-CA"/>
              </w:rPr>
              <w:t xml:space="preserve">Clifford Irwin et l’intimé, Rafael Moncayo, étaient les propriétaires et les exploitants de Can-Win Truck Sales Inc.  Ensemble, M. Moncayo, M. Irwin et la demanderesse, Can-Win Leasing (Toronto) Limited (« Can-Win Leasing »), </w:t>
            </w:r>
            <w:r w:rsidRPr="00FA13DA">
              <w:rPr>
                <w:sz w:val="20"/>
                <w:szCs w:val="20"/>
                <w:lang w:val="fr-CA"/>
              </w:rPr>
              <w:br w:type="page"/>
              <w:t xml:space="preserve">ont cautionné la dette de Can-Win Truck envers la Banque Royale du Canada (« RBC »).  Monsieur Irwin, qui est décédé après le procès, était le seul actionnaire de Can-Win Leasing.  Il a fait en sorte que Can-Win Leasing rembourse en partie la  dette garantie de Can-Win Truck en 2008 and 2009, sans en informer M. Moncayo et sans que </w:t>
            </w:r>
            <w:r w:rsidRPr="00FA13DA">
              <w:rPr>
                <w:sz w:val="20"/>
                <w:szCs w:val="20"/>
                <w:lang w:val="fr-CA"/>
              </w:rPr>
              <w:lastRenderedPageBreak/>
              <w:t>RBC n’en fasse la demande, que ce soit à Can-Win Truck ou à toute autre caution.</w:t>
            </w:r>
          </w:p>
          <w:p w:rsidR="000B0AAC" w:rsidRPr="00FA13DA" w:rsidRDefault="000B0AAC" w:rsidP="00D33F7D">
            <w:pPr>
              <w:shd w:val="clear" w:color="auto" w:fill="FFFFFF"/>
              <w:jc w:val="both"/>
              <w:rPr>
                <w:sz w:val="20"/>
                <w:szCs w:val="20"/>
                <w:lang w:val="fr-CA"/>
              </w:rPr>
            </w:pPr>
          </w:p>
          <w:p w:rsidR="000B0AAC" w:rsidRPr="00FA13DA" w:rsidRDefault="000B0AAC" w:rsidP="00D33F7D">
            <w:pPr>
              <w:jc w:val="both"/>
              <w:rPr>
                <w:rFonts w:eastAsia="Calibri"/>
                <w:sz w:val="20"/>
                <w:szCs w:val="20"/>
                <w:lang w:val="fr-CA"/>
              </w:rPr>
            </w:pPr>
            <w:r w:rsidRPr="00FA13DA">
              <w:rPr>
                <w:rFonts w:eastAsia="Calibri"/>
                <w:sz w:val="20"/>
                <w:szCs w:val="20"/>
                <w:lang w:val="fr-CA"/>
              </w:rPr>
              <w:t>Can-Win Leasing, à titre de caution, a demandé d’être indemnisée par sa cocaution, M. Moncayo.  Le juge de première instance a rejeté l’action intentée par  Can-Win Leasing en contribution équitable de M. Moncayo pour les montants payés à RBC.  Les juges majoritaires de la Cour d’appel ont rejeté l’appel.  Le juge Lauwers, dissident, aurait accueilli l’appel.</w:t>
            </w:r>
          </w:p>
          <w:p w:rsidR="000B0AAC" w:rsidRPr="00FA13DA" w:rsidRDefault="000B0AAC" w:rsidP="00D33F7D">
            <w:pPr>
              <w:jc w:val="both"/>
              <w:rPr>
                <w:rFonts w:eastAsia="Calibri"/>
                <w:sz w:val="20"/>
                <w:szCs w:val="20"/>
                <w:lang w:val="fr-CA"/>
              </w:rPr>
            </w:pPr>
          </w:p>
        </w:tc>
      </w:tr>
      <w:tr w:rsidR="000B0AAC" w:rsidRPr="00FA13DA"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lastRenderedPageBreak/>
              <w:t>6 février 2013</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supérieure de justice de l’Ontario</w:t>
            </w:r>
          </w:p>
          <w:p w:rsidR="000B0AAC" w:rsidRPr="00FA13DA" w:rsidRDefault="000B0AAC" w:rsidP="00D33F7D">
            <w:pPr>
              <w:jc w:val="both"/>
              <w:rPr>
                <w:rFonts w:eastAsia="Calibri"/>
                <w:sz w:val="20"/>
                <w:szCs w:val="20"/>
                <w:lang w:val="fr-CA"/>
              </w:rPr>
            </w:pPr>
            <w:r w:rsidRPr="00FA13DA">
              <w:rPr>
                <w:rFonts w:eastAsia="Calibri"/>
                <w:sz w:val="20"/>
                <w:szCs w:val="20"/>
                <w:lang w:val="fr-CA"/>
              </w:rPr>
              <w:t>(Juge Goldstein)</w:t>
            </w:r>
          </w:p>
          <w:p w:rsidR="000B0AAC" w:rsidRPr="00FA13DA" w:rsidRDefault="009C5A48" w:rsidP="00D33F7D">
            <w:pPr>
              <w:jc w:val="both"/>
              <w:rPr>
                <w:rFonts w:eastAsia="Calibri"/>
                <w:sz w:val="20"/>
                <w:szCs w:val="20"/>
                <w:lang w:val="fr-CA"/>
              </w:rPr>
            </w:pPr>
            <w:hyperlink r:id="rId40" w:history="1">
              <w:r w:rsidR="000B0AAC" w:rsidRPr="00FA13DA">
                <w:rPr>
                  <w:rFonts w:eastAsia="Calibri"/>
                  <w:color w:val="0000FF"/>
                  <w:sz w:val="20"/>
                  <w:szCs w:val="20"/>
                  <w:u w:val="single"/>
                  <w:lang w:val="fr-CA"/>
                </w:rPr>
                <w:t>2013 ONSC 851</w:t>
              </w:r>
            </w:hyperlink>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Rejet de l’action.</w:t>
            </w:r>
          </w:p>
          <w:p w:rsidR="000B0AAC" w:rsidRPr="00FA13DA" w:rsidRDefault="000B0AAC" w:rsidP="00D33F7D">
            <w:pPr>
              <w:jc w:val="both"/>
              <w:rPr>
                <w:rFonts w:eastAsia="Calibri"/>
                <w:sz w:val="20"/>
                <w:szCs w:val="20"/>
                <w:lang w:val="fr-CA"/>
              </w:rPr>
            </w:pPr>
          </w:p>
        </w:tc>
      </w:tr>
      <w:tr w:rsidR="000B0AAC" w:rsidRPr="00FA13DA"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8 octobre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d’appel de l’Ontario</w:t>
            </w:r>
          </w:p>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(Juges Feldman, Strathy et Lauwers </w:t>
            </w:r>
          </w:p>
          <w:p w:rsidR="000B0AAC" w:rsidRPr="00FA13DA" w:rsidRDefault="000B0AAC" w:rsidP="00D33F7D">
            <w:pPr>
              <w:jc w:val="both"/>
              <w:rPr>
                <w:rFonts w:eastAsia="Calibri"/>
                <w:sz w:val="20"/>
                <w:szCs w:val="20"/>
                <w:lang w:val="fr-CA"/>
              </w:rPr>
            </w:pPr>
            <w:r w:rsidRPr="00FA13DA">
              <w:rPr>
                <w:rFonts w:eastAsia="Calibri"/>
                <w:sz w:val="20"/>
                <w:szCs w:val="20"/>
                <w:lang w:val="fr-CA"/>
              </w:rPr>
              <w:t>(dissident))</w:t>
            </w:r>
          </w:p>
          <w:p w:rsidR="000B0AAC" w:rsidRPr="00FA13DA" w:rsidRDefault="009C5A48" w:rsidP="00D33F7D">
            <w:pPr>
              <w:jc w:val="both"/>
              <w:rPr>
                <w:rFonts w:eastAsia="Calibri"/>
                <w:sz w:val="20"/>
                <w:szCs w:val="20"/>
                <w:lang w:val="fr-CA"/>
              </w:rPr>
            </w:pPr>
            <w:hyperlink r:id="rId41" w:history="1">
              <w:r w:rsidR="000B0AAC" w:rsidRPr="00FA13DA">
                <w:rPr>
                  <w:rFonts w:eastAsia="Calibri"/>
                  <w:color w:val="0000FF"/>
                  <w:sz w:val="20"/>
                  <w:szCs w:val="20"/>
                  <w:u w:val="single"/>
                  <w:lang w:val="fr-CA"/>
                </w:rPr>
                <w:t>2014 ONCA 689</w:t>
              </w:r>
            </w:hyperlink>
          </w:p>
          <w:p w:rsidR="000B0AAC" w:rsidRPr="00FA13DA" w:rsidRDefault="000B0AAC" w:rsidP="00D33F7D">
            <w:pPr>
              <w:jc w:val="both"/>
              <w:rPr>
                <w:rFonts w:eastAsia="Calibri"/>
                <w:sz w:val="20"/>
                <w:szCs w:val="20"/>
                <w:lang w:val="fr-CA"/>
              </w:rPr>
            </w:pPr>
            <w:r w:rsidRPr="00FA13DA">
              <w:rPr>
                <w:rFonts w:eastAsia="Calibri"/>
                <w:sz w:val="20"/>
                <w:szCs w:val="20"/>
                <w:lang w:val="fr-CA"/>
              </w:rPr>
              <w:t>N</w:t>
            </w:r>
            <w:r w:rsidRPr="00FA13DA">
              <w:rPr>
                <w:rFonts w:eastAsia="Calibri"/>
                <w:sz w:val="20"/>
                <w:szCs w:val="20"/>
                <w:vertAlign w:val="superscript"/>
                <w:lang w:val="fr-CA"/>
              </w:rPr>
              <w:t>o</w:t>
            </w:r>
            <w:r w:rsidRPr="00FA13DA">
              <w:rPr>
                <w:rFonts w:eastAsia="Calibri"/>
                <w:sz w:val="20"/>
                <w:szCs w:val="20"/>
                <w:lang w:val="fr-CA"/>
              </w:rPr>
              <w:t xml:space="preserve"> du greffe : C56702</w:t>
            </w:r>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Rejet de l’appel.</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3 décembre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suprême du Canada</w:t>
            </w: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Dépôt de la demande d’autorisation d’appel.</w:t>
            </w:r>
          </w:p>
          <w:p w:rsidR="000B0AAC" w:rsidRPr="00FA13DA" w:rsidRDefault="000B0AAC" w:rsidP="00D33F7D">
            <w:pPr>
              <w:jc w:val="both"/>
              <w:rPr>
                <w:rFonts w:eastAsia="Calibri"/>
                <w:sz w:val="20"/>
                <w:szCs w:val="20"/>
                <w:lang w:val="fr-CA"/>
              </w:rPr>
            </w:pPr>
          </w:p>
        </w:tc>
      </w:tr>
    </w:tbl>
    <w:p w:rsidR="00A53490" w:rsidRPr="000B0AAC" w:rsidRDefault="00A53490" w:rsidP="00A53490">
      <w:pPr>
        <w:rPr>
          <w:sz w:val="20"/>
          <w:szCs w:val="20"/>
          <w:lang w:val="fr-CA"/>
        </w:rPr>
      </w:pPr>
    </w:p>
    <w:p w:rsidR="00A53490" w:rsidRDefault="009C5A48" w:rsidP="00A53490">
      <w:pPr>
        <w:rPr>
          <w:sz w:val="20"/>
          <w:szCs w:val="20"/>
        </w:rPr>
      </w:pPr>
      <w:r>
        <w:rPr>
          <w:sz w:val="20"/>
          <w:szCs w:val="20"/>
          <w:lang w:val="fr-CA"/>
        </w:rPr>
        <w:pict>
          <v:rect id="_x0000_i1044" style="width:2in;height:1pt" o:hrpct="0" o:hralign="center" o:hrstd="t" o:hrnoshade="t" o:hr="t" fillcolor="black [3213]" stroked="f"/>
        </w:pict>
      </w:r>
    </w:p>
    <w:p w:rsidR="00A53490" w:rsidRDefault="00A53490" w:rsidP="00A5349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32F45" w:rsidRPr="006E4E50" w:rsidTr="00E16DBA">
        <w:trPr>
          <w:cantSplit/>
        </w:trPr>
        <w:tc>
          <w:tcPr>
            <w:tcW w:w="1458" w:type="dxa"/>
          </w:tcPr>
          <w:p w:rsidR="00332F45" w:rsidRPr="006E4E50" w:rsidRDefault="00332F45" w:rsidP="00E16DBA">
            <w:pPr>
              <w:rPr>
                <w:sz w:val="20"/>
                <w:szCs w:val="20"/>
              </w:rPr>
            </w:pPr>
            <w:r w:rsidRPr="006E4E50">
              <w:rPr>
                <w:rStyle w:val="SCCFileNumberChar"/>
                <w:sz w:val="20"/>
                <w:szCs w:val="20"/>
              </w:rPr>
              <w:t>36202</w:t>
            </w:r>
          </w:p>
          <w:p w:rsidR="00332F45" w:rsidRPr="006E4E50" w:rsidRDefault="00332F45" w:rsidP="00E16DBA">
            <w:pPr>
              <w:rPr>
                <w:b/>
                <w:sz w:val="20"/>
                <w:szCs w:val="20"/>
                <w:lang w:val="fr-CA"/>
              </w:rPr>
            </w:pPr>
          </w:p>
        </w:tc>
        <w:tc>
          <w:tcPr>
            <w:tcW w:w="8118" w:type="dxa"/>
          </w:tcPr>
          <w:p w:rsidR="00332F45" w:rsidRPr="006E4E50" w:rsidRDefault="00332F45" w:rsidP="00E16DBA">
            <w:pPr>
              <w:jc w:val="both"/>
              <w:rPr>
                <w:sz w:val="20"/>
                <w:szCs w:val="20"/>
              </w:rPr>
            </w:pPr>
            <w:r w:rsidRPr="006E4E50">
              <w:rPr>
                <w:rStyle w:val="SCCLsocChar"/>
                <w:sz w:val="20"/>
                <w:szCs w:val="20"/>
                <w:lang w:val="en-CA"/>
              </w:rPr>
              <w:t>Harold Coombs, Joan Coombs</w:t>
            </w:r>
            <w:r>
              <w:rPr>
                <w:rStyle w:val="SCCLsocChar"/>
                <w:sz w:val="20"/>
                <w:szCs w:val="20"/>
                <w:lang w:val="en-CA"/>
              </w:rPr>
              <w:t xml:space="preserve"> and</w:t>
            </w:r>
            <w:r w:rsidRPr="006E4E50">
              <w:rPr>
                <w:rStyle w:val="SCCLsocChar"/>
                <w:sz w:val="20"/>
                <w:szCs w:val="20"/>
                <w:lang w:val="en-CA"/>
              </w:rPr>
              <w:t xml:space="preserve"> Percy G. Mossop v. Attorney General of Canada AND BETWEEN Harold Coombs, Joan Coombs, John F. Coombs, Oleg Volochkov</w:t>
            </w:r>
            <w:r>
              <w:rPr>
                <w:rStyle w:val="SCCLsocChar"/>
                <w:sz w:val="20"/>
                <w:szCs w:val="20"/>
                <w:lang w:val="en-CA"/>
              </w:rPr>
              <w:t xml:space="preserve"> and</w:t>
            </w:r>
            <w:r w:rsidRPr="006E4E50">
              <w:rPr>
                <w:rStyle w:val="SCCLsocChar"/>
                <w:sz w:val="20"/>
                <w:szCs w:val="20"/>
                <w:lang w:val="en-CA"/>
              </w:rPr>
              <w:t xml:space="preserve"> Anne Volochkov v. Attorney General of Canada</w:t>
            </w:r>
            <w:r w:rsidRPr="006E4E50">
              <w:rPr>
                <w:sz w:val="20"/>
                <w:szCs w:val="20"/>
              </w:rPr>
              <w:t xml:space="preserve"> (F</w:t>
            </w:r>
            <w:r>
              <w:rPr>
                <w:sz w:val="20"/>
                <w:szCs w:val="20"/>
              </w:rPr>
              <w:t>.</w:t>
            </w:r>
            <w:r w:rsidRPr="006E4E50">
              <w:rPr>
                <w:sz w:val="20"/>
                <w:szCs w:val="20"/>
              </w:rPr>
              <w:t>C</w:t>
            </w:r>
            <w:r>
              <w:rPr>
                <w:sz w:val="20"/>
                <w:szCs w:val="20"/>
              </w:rPr>
              <w:t>.</w:t>
            </w:r>
            <w:r w:rsidRPr="006E4E50">
              <w:rPr>
                <w:sz w:val="20"/>
                <w:szCs w:val="20"/>
              </w:rPr>
              <w:t>) (Civil) (By Leave)</w:t>
            </w:r>
          </w:p>
          <w:p w:rsidR="00332F45" w:rsidRPr="006E4E50" w:rsidRDefault="00332F45" w:rsidP="00E16DBA">
            <w:pPr>
              <w:jc w:val="both"/>
              <w:rPr>
                <w:sz w:val="20"/>
                <w:szCs w:val="20"/>
              </w:rPr>
            </w:pPr>
          </w:p>
        </w:tc>
      </w:tr>
      <w:tr w:rsidR="00332F45" w:rsidRPr="00D144F6" w:rsidTr="00E16DBA">
        <w:trPr>
          <w:cantSplit/>
        </w:trPr>
        <w:tc>
          <w:tcPr>
            <w:tcW w:w="1458" w:type="dxa"/>
          </w:tcPr>
          <w:p w:rsidR="00332F45" w:rsidRPr="006E4E50" w:rsidRDefault="00332F45" w:rsidP="00E16DBA">
            <w:pPr>
              <w:rPr>
                <w:sz w:val="20"/>
                <w:szCs w:val="20"/>
              </w:rPr>
            </w:pPr>
            <w:r w:rsidRPr="006E4E50">
              <w:rPr>
                <w:sz w:val="20"/>
                <w:szCs w:val="20"/>
              </w:rPr>
              <w:t>Coram :</w:t>
            </w:r>
          </w:p>
        </w:tc>
        <w:tc>
          <w:tcPr>
            <w:tcW w:w="8118" w:type="dxa"/>
          </w:tcPr>
          <w:p w:rsidR="00332F45" w:rsidRPr="00F23A34" w:rsidRDefault="00332F45" w:rsidP="00E16DBA">
            <w:pPr>
              <w:rPr>
                <w:sz w:val="20"/>
                <w:szCs w:val="20"/>
                <w:lang w:val="fr-CA"/>
              </w:rPr>
            </w:pPr>
            <w:r w:rsidRPr="00F23A34">
              <w:rPr>
                <w:rStyle w:val="SCCCoramChar"/>
                <w:sz w:val="20"/>
                <w:szCs w:val="20"/>
              </w:rPr>
              <w:t>Abella, Karakatsanis and Côté JJ.</w:t>
            </w:r>
          </w:p>
          <w:p w:rsidR="00332F45" w:rsidRPr="00F23A34" w:rsidRDefault="00332F45" w:rsidP="00E16DBA">
            <w:pPr>
              <w:rPr>
                <w:sz w:val="20"/>
                <w:szCs w:val="20"/>
                <w:u w:val="single"/>
                <w:lang w:val="fr-CA"/>
              </w:rPr>
            </w:pPr>
          </w:p>
        </w:tc>
      </w:tr>
      <w:tr w:rsidR="00332F45" w:rsidRPr="00D144F6" w:rsidTr="00E16DBA">
        <w:trPr>
          <w:cantSplit/>
        </w:trPr>
        <w:tc>
          <w:tcPr>
            <w:tcW w:w="9576" w:type="dxa"/>
            <w:gridSpan w:val="2"/>
          </w:tcPr>
          <w:p w:rsidR="00332F45" w:rsidRPr="006E4E50" w:rsidRDefault="00332F45" w:rsidP="00E16DBA">
            <w:pPr>
              <w:pStyle w:val="SCCShortJudgment"/>
              <w:rPr>
                <w:szCs w:val="20"/>
              </w:rPr>
            </w:pPr>
            <w:r w:rsidRPr="006E4E50">
              <w:rPr>
                <w:szCs w:val="20"/>
              </w:rPr>
              <w:t>The application for leave to appeal from the judgment of the Federal Court of Appeal, Numbers A-147-14 and A-148-14, 2014 FCA 222, dated October 7, 2014, is dismissed with costs.</w:t>
            </w:r>
          </w:p>
          <w:p w:rsidR="00332F45" w:rsidRPr="006E4E50" w:rsidRDefault="00332F45" w:rsidP="00E16DBA">
            <w:pPr>
              <w:pStyle w:val="SCCShortJudgment"/>
              <w:ind w:firstLine="0"/>
              <w:rPr>
                <w:szCs w:val="20"/>
              </w:rPr>
            </w:pPr>
          </w:p>
          <w:p w:rsidR="00332F45" w:rsidRPr="006E4E50" w:rsidRDefault="00332F45" w:rsidP="00E16DBA">
            <w:pPr>
              <w:pStyle w:val="SCCShortJudgment"/>
              <w:rPr>
                <w:szCs w:val="20"/>
                <w:lang w:val="fr-CA"/>
              </w:rPr>
            </w:pPr>
            <w:r w:rsidRPr="006E4E50">
              <w:rPr>
                <w:szCs w:val="20"/>
                <w:lang w:val="fr-CA"/>
              </w:rPr>
              <w:t>La demande d’autorisation d’appel de l’arrêt de la Cour d’appel fédérale, numéros A-147-14 et A-148-14, 2014 CAF 222, daté du 7 octobre 2014, est rejetée avec dépens.</w:t>
            </w:r>
          </w:p>
        </w:tc>
      </w:tr>
    </w:tbl>
    <w:p w:rsidR="00A53490" w:rsidRPr="00332F45" w:rsidRDefault="00A53490" w:rsidP="00A53490">
      <w:pPr>
        <w:rPr>
          <w:sz w:val="20"/>
          <w:szCs w:val="20"/>
          <w:lang w:val="fr-CA"/>
        </w:rPr>
      </w:pPr>
    </w:p>
    <w:p w:rsidR="00A53490" w:rsidRPr="001B157C" w:rsidRDefault="00A53490" w:rsidP="00A53490">
      <w:pPr>
        <w:rPr>
          <w:sz w:val="20"/>
          <w:szCs w:val="20"/>
          <w:u w:val="single"/>
        </w:rPr>
      </w:pPr>
      <w:r w:rsidRPr="001B157C">
        <w:rPr>
          <w:sz w:val="20"/>
          <w:szCs w:val="20"/>
          <w:u w:val="single"/>
        </w:rPr>
        <w:t>CASE SUMMARY</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i/>
                <w:sz w:val="20"/>
                <w:szCs w:val="20"/>
              </w:rPr>
              <w:t>Charter of rights</w:t>
            </w:r>
            <w:r w:rsidRPr="00FA13DA">
              <w:rPr>
                <w:rFonts w:eastAsia="Calibri"/>
                <w:sz w:val="20"/>
                <w:szCs w:val="20"/>
              </w:rPr>
              <w:t xml:space="preserve"> – Search and seizure – Right to equality – Administrative law – Judicial review – Procedure – Whether lower courts erred in striking certain applications for judicial review as being bereft of success, frivolous, vexatious and an abuse of process – Whether or not there existed a reasonable apprehension of bias – Whether or not the direction given to the Crown influenced a previous order made by the Prothonotary in related judicial review applications – Whether or not there was any procedural unfairness – Did the involvement or directions of the Prothonotary demonstrate a lack of impartiality or  judicial independence – Was it inappropriate that the prothonotary direct the Crown to bring motions to dismiss the applicants judicial review applications – Whether or not Canada Revenue Agency or the Minister of National Revenue violated the applicants’ s. 8 or s. 15 </w:t>
            </w:r>
            <w:r w:rsidRPr="00FA13DA">
              <w:rPr>
                <w:rFonts w:eastAsia="Calibri"/>
                <w:i/>
                <w:sz w:val="20"/>
                <w:szCs w:val="20"/>
              </w:rPr>
              <w:t xml:space="preserve">Charter </w:t>
            </w:r>
            <w:r w:rsidRPr="00FA13DA">
              <w:rPr>
                <w:rFonts w:eastAsia="Calibri"/>
                <w:sz w:val="20"/>
                <w:szCs w:val="20"/>
              </w:rPr>
              <w:t xml:space="preserve">rights – Whether or not the Minister of National Revenue was in breach of s. 231 of the </w:t>
            </w:r>
            <w:r w:rsidRPr="00FA13DA">
              <w:rPr>
                <w:rFonts w:eastAsia="Calibri"/>
                <w:i/>
                <w:sz w:val="20"/>
                <w:szCs w:val="20"/>
              </w:rPr>
              <w:t>Income Tax Act</w:t>
            </w:r>
            <w:r w:rsidRPr="00FA13DA">
              <w:rPr>
                <w:rFonts w:eastAsia="Calibri"/>
                <w:sz w:val="20"/>
                <w:szCs w:val="20"/>
              </w:rPr>
              <w:t>, R.S.C. 1985, c. 1 (5</w:t>
            </w:r>
            <w:r w:rsidRPr="00FA13DA">
              <w:rPr>
                <w:rFonts w:eastAsia="Calibri"/>
                <w:sz w:val="20"/>
                <w:szCs w:val="20"/>
                <w:vertAlign w:val="superscript"/>
              </w:rPr>
              <w:t>th</w:t>
            </w:r>
            <w:r w:rsidRPr="00FA13DA">
              <w:rPr>
                <w:rFonts w:eastAsia="Calibri"/>
                <w:sz w:val="20"/>
                <w:szCs w:val="20"/>
              </w:rPr>
              <w:t xml:space="preserve"> Supp.).</w:t>
            </w:r>
          </w:p>
        </w:tc>
      </w:tr>
      <w:tr w:rsidR="000B0AAC" w:rsidRPr="00FA13DA" w:rsidTr="00D33F7D">
        <w:tc>
          <w:tcPr>
            <w:tcW w:w="5000" w:type="pct"/>
            <w:gridSpan w:val="3"/>
          </w:tcPr>
          <w:p w:rsidR="000B0AAC" w:rsidRPr="00FA13DA" w:rsidRDefault="000B0AAC" w:rsidP="00D33F7D">
            <w:pPr>
              <w:jc w:val="both"/>
              <w:rPr>
                <w:rFonts w:eastAsia="Calibri"/>
                <w:sz w:val="20"/>
                <w:szCs w:val="20"/>
              </w:rPr>
            </w:pPr>
          </w:p>
        </w:tc>
      </w:tr>
      <w:tr w:rsidR="000B0AAC" w:rsidRPr="00FA13DA" w:rsidTr="00D33F7D">
        <w:tc>
          <w:tcPr>
            <w:tcW w:w="5000" w:type="pct"/>
            <w:gridSpan w:val="3"/>
          </w:tcPr>
          <w:p w:rsidR="000B0AAC" w:rsidRPr="00FA13DA" w:rsidRDefault="000B0AAC" w:rsidP="00D33F7D">
            <w:pPr>
              <w:jc w:val="both"/>
              <w:rPr>
                <w:rFonts w:eastAsia="Calibri"/>
                <w:sz w:val="20"/>
                <w:szCs w:val="20"/>
              </w:rPr>
            </w:pPr>
            <w:r w:rsidRPr="00FA13DA">
              <w:rPr>
                <w:rFonts w:eastAsia="Calibri"/>
                <w:sz w:val="20"/>
                <w:szCs w:val="20"/>
              </w:rPr>
              <w:t xml:space="preserve">The applicants brought various applications challenging a search and seizure of documents at 660 Eglington Avenue East in September 2006, as well as certain tax reassessments by the Canada Revenue Agency (“CRA”).  The CRA sent </w:t>
            </w:r>
            <w:r w:rsidRPr="00FA13DA">
              <w:rPr>
                <w:rFonts w:eastAsia="Calibri"/>
                <w:sz w:val="20"/>
                <w:szCs w:val="20"/>
              </w:rPr>
              <w:lastRenderedPageBreak/>
              <w:t xml:space="preserve">a team to conduct the search pursuant to a search warrant issued by the Ontario Court of Justice under the </w:t>
            </w:r>
            <w:r w:rsidRPr="00FA13DA">
              <w:rPr>
                <w:rFonts w:eastAsia="Calibri"/>
                <w:i/>
                <w:sz w:val="20"/>
                <w:szCs w:val="20"/>
              </w:rPr>
              <w:t>Criminal Code</w:t>
            </w:r>
            <w:r w:rsidRPr="00FA13DA">
              <w:rPr>
                <w:rFonts w:eastAsia="Calibri"/>
                <w:sz w:val="20"/>
                <w:szCs w:val="20"/>
              </w:rPr>
              <w:t>.  One of the members of the team that executed the search warrant was not named on the warrant, and assisted in the search and seizure by physically moving boxes.  The applicants allege that he seized documents that have been unaccounted for in the inventory of documents provided by the CRA, thus constituting an illegal seizure.  The challenged tax reassessments were for the taxation years between 2001 and 2007 of Select Travel Inc, a company in which Harold and Joan Coombs are majority shareholders.  Others were for certain taxation years of the individuals Oleg and Anne Volochkov and John and Harold Coombs, and of Sun Air Travel Inc., a company for which Harold Coombs acted as president, sole director and a shareholder.</w:t>
            </w:r>
          </w:p>
          <w:p w:rsidR="000B0AAC" w:rsidRPr="00FA13DA" w:rsidRDefault="000B0AAC" w:rsidP="00D33F7D">
            <w:pPr>
              <w:jc w:val="both"/>
              <w:rPr>
                <w:rFonts w:eastAsia="Calibri"/>
                <w:sz w:val="20"/>
                <w:szCs w:val="20"/>
              </w:rPr>
            </w:pPr>
          </w:p>
          <w:p w:rsidR="000B0AAC" w:rsidRPr="00FA13DA" w:rsidRDefault="000B0AAC" w:rsidP="00D33F7D">
            <w:pPr>
              <w:jc w:val="both"/>
              <w:rPr>
                <w:rFonts w:eastAsia="Calibri"/>
                <w:sz w:val="20"/>
                <w:szCs w:val="20"/>
              </w:rPr>
            </w:pPr>
            <w:r w:rsidRPr="00FA13DA">
              <w:rPr>
                <w:rFonts w:eastAsia="Calibri"/>
                <w:sz w:val="20"/>
                <w:szCs w:val="20"/>
              </w:rPr>
              <w:t xml:space="preserve">The Federal Court dismissed the applicants’ appeal seeking to set aside the Prothonotary’s Order in Docket T-441-13 and to conduct a </w:t>
            </w:r>
            <w:r w:rsidRPr="00FA13DA">
              <w:rPr>
                <w:rFonts w:eastAsia="Calibri"/>
                <w:i/>
                <w:sz w:val="20"/>
                <w:szCs w:val="20"/>
              </w:rPr>
              <w:t>de novo</w:t>
            </w:r>
            <w:r w:rsidRPr="00FA13DA">
              <w:rPr>
                <w:rFonts w:eastAsia="Calibri"/>
                <w:sz w:val="20"/>
                <w:szCs w:val="20"/>
              </w:rPr>
              <w:t xml:space="preserve"> review (2014 FC 232).  In a separate decision, the Federal Court dismissed the application for judicial review in T-1744-13 and granted the respondent’s motion to strike the applications for judicial review in T-1725-13 and T-1834-13 (2014 FC 233</w:t>
            </w:r>
            <w:r w:rsidRPr="00FA13DA">
              <w:rPr>
                <w:rFonts w:eastAsia="Calibri"/>
                <w:b/>
                <w:sz w:val="20"/>
                <w:szCs w:val="20"/>
              </w:rPr>
              <w:t>)</w:t>
            </w:r>
            <w:r w:rsidRPr="00FA13DA">
              <w:rPr>
                <w:rFonts w:eastAsia="Calibri"/>
                <w:sz w:val="20"/>
                <w:szCs w:val="20"/>
              </w:rPr>
              <w:t>.  The Federal Court of Appeal dismissed the appeal of 2014 FC 232 without costs and dismissed the appeal of 2014 FC 233 with costs.</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lastRenderedPageBreak/>
              <w:t>March 10, 2014</w:t>
            </w:r>
          </w:p>
          <w:p w:rsidR="000B0AAC" w:rsidRPr="00FA13DA" w:rsidRDefault="000B0AAC" w:rsidP="00D33F7D">
            <w:pPr>
              <w:jc w:val="both"/>
              <w:rPr>
                <w:rFonts w:eastAsia="Calibri"/>
                <w:sz w:val="20"/>
                <w:szCs w:val="20"/>
              </w:rPr>
            </w:pPr>
            <w:r w:rsidRPr="00FA13DA">
              <w:rPr>
                <w:rFonts w:eastAsia="Calibri"/>
                <w:sz w:val="20"/>
                <w:szCs w:val="20"/>
              </w:rPr>
              <w:t>Federal Court</w:t>
            </w:r>
          </w:p>
          <w:p w:rsidR="000B0AAC" w:rsidRPr="00FA13DA" w:rsidRDefault="000B0AAC" w:rsidP="00D33F7D">
            <w:pPr>
              <w:jc w:val="both"/>
              <w:rPr>
                <w:rFonts w:eastAsia="Calibri"/>
                <w:sz w:val="20"/>
                <w:szCs w:val="20"/>
              </w:rPr>
            </w:pPr>
            <w:r w:rsidRPr="00FA13DA">
              <w:rPr>
                <w:rFonts w:eastAsia="Calibri"/>
                <w:sz w:val="20"/>
                <w:szCs w:val="20"/>
              </w:rPr>
              <w:t>(Kane J.)</w:t>
            </w:r>
          </w:p>
          <w:p w:rsidR="000B0AAC" w:rsidRPr="00FA13DA" w:rsidRDefault="009C5A48" w:rsidP="00D33F7D">
            <w:pPr>
              <w:jc w:val="both"/>
              <w:rPr>
                <w:rFonts w:eastAsia="Calibri"/>
                <w:sz w:val="20"/>
                <w:szCs w:val="20"/>
              </w:rPr>
            </w:pPr>
            <w:hyperlink r:id="rId42" w:history="1">
              <w:r w:rsidR="000B0AAC" w:rsidRPr="00FA13DA">
                <w:rPr>
                  <w:rFonts w:eastAsia="Calibri"/>
                  <w:color w:val="0000FF"/>
                  <w:sz w:val="20"/>
                  <w:szCs w:val="20"/>
                  <w:u w:val="single"/>
                </w:rPr>
                <w:t>2014 FC 232</w:t>
              </w:r>
            </w:hyperlink>
            <w:r w:rsidR="000B0AAC" w:rsidRPr="00FA13DA">
              <w:rPr>
                <w:rFonts w:eastAsia="Calibri"/>
                <w:sz w:val="20"/>
                <w:szCs w:val="20"/>
              </w:rPr>
              <w:t>; T-441-13</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 xml:space="preserve">Applicants’ appeal, seeking to set aside the Prothonotary’s Order and to conduct a </w:t>
            </w:r>
            <w:r w:rsidRPr="00FA13DA">
              <w:rPr>
                <w:rFonts w:eastAsia="Calibri"/>
                <w:i/>
                <w:sz w:val="20"/>
                <w:szCs w:val="20"/>
              </w:rPr>
              <w:t>de novo</w:t>
            </w:r>
            <w:r w:rsidRPr="00FA13DA">
              <w:rPr>
                <w:rFonts w:eastAsia="Calibri"/>
                <w:sz w:val="20"/>
                <w:szCs w:val="20"/>
              </w:rPr>
              <w:t xml:space="preserve"> review, dismissed </w:t>
            </w: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March 10, 2014</w:t>
            </w:r>
          </w:p>
          <w:p w:rsidR="000B0AAC" w:rsidRPr="00FA13DA" w:rsidRDefault="000B0AAC" w:rsidP="00D33F7D">
            <w:pPr>
              <w:jc w:val="both"/>
              <w:rPr>
                <w:rFonts w:eastAsia="Calibri"/>
                <w:sz w:val="20"/>
                <w:szCs w:val="20"/>
              </w:rPr>
            </w:pPr>
            <w:r w:rsidRPr="00FA13DA">
              <w:rPr>
                <w:rFonts w:eastAsia="Calibri"/>
                <w:sz w:val="20"/>
                <w:szCs w:val="20"/>
              </w:rPr>
              <w:t>Federal Court</w:t>
            </w:r>
          </w:p>
          <w:p w:rsidR="000B0AAC" w:rsidRPr="00FA13DA" w:rsidRDefault="000B0AAC" w:rsidP="00D33F7D">
            <w:pPr>
              <w:jc w:val="both"/>
              <w:rPr>
                <w:rFonts w:eastAsia="Calibri"/>
                <w:sz w:val="20"/>
                <w:szCs w:val="20"/>
              </w:rPr>
            </w:pPr>
            <w:r w:rsidRPr="00FA13DA">
              <w:rPr>
                <w:rFonts w:eastAsia="Calibri"/>
                <w:sz w:val="20"/>
                <w:szCs w:val="20"/>
              </w:rPr>
              <w:t>(Kane J.)</w:t>
            </w:r>
          </w:p>
          <w:p w:rsidR="000B0AAC" w:rsidRPr="00FA13DA" w:rsidRDefault="009C5A48" w:rsidP="00D33F7D">
            <w:pPr>
              <w:jc w:val="both"/>
              <w:rPr>
                <w:rFonts w:eastAsia="Calibri"/>
                <w:sz w:val="20"/>
                <w:szCs w:val="20"/>
              </w:rPr>
            </w:pPr>
            <w:hyperlink r:id="rId43" w:history="1">
              <w:r w:rsidR="000B0AAC" w:rsidRPr="00FA13DA">
                <w:rPr>
                  <w:rFonts w:eastAsia="Calibri"/>
                  <w:color w:val="0000FF"/>
                  <w:sz w:val="20"/>
                  <w:szCs w:val="20"/>
                  <w:u w:val="single"/>
                </w:rPr>
                <w:t>2014 FC 233</w:t>
              </w:r>
            </w:hyperlink>
            <w:r w:rsidR="000B0AAC" w:rsidRPr="00FA13DA">
              <w:rPr>
                <w:rFonts w:eastAsia="Calibri"/>
                <w:sz w:val="20"/>
                <w:szCs w:val="20"/>
              </w:rPr>
              <w:t>;T1725-13;T-1744-13;T-1834-13</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Applicants’ application for judicial review in T-1744-13 dismissed; respondents’ motion to strike applications in T-1725-13 and T-1834-13, granted</w:t>
            </w: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October 7, 2014</w:t>
            </w:r>
          </w:p>
          <w:p w:rsidR="000B0AAC" w:rsidRPr="00FA13DA" w:rsidRDefault="000B0AAC" w:rsidP="00D33F7D">
            <w:pPr>
              <w:jc w:val="both"/>
              <w:rPr>
                <w:rFonts w:eastAsia="Calibri"/>
                <w:sz w:val="20"/>
                <w:szCs w:val="20"/>
              </w:rPr>
            </w:pPr>
            <w:r w:rsidRPr="00FA13DA">
              <w:rPr>
                <w:rFonts w:eastAsia="Calibri"/>
                <w:sz w:val="20"/>
                <w:szCs w:val="20"/>
              </w:rPr>
              <w:t>Federal Court of Appeal</w:t>
            </w:r>
          </w:p>
          <w:p w:rsidR="000B0AAC" w:rsidRPr="00FA13DA" w:rsidRDefault="000B0AAC" w:rsidP="00D33F7D">
            <w:pPr>
              <w:jc w:val="both"/>
              <w:rPr>
                <w:rFonts w:eastAsia="Calibri"/>
                <w:sz w:val="20"/>
                <w:szCs w:val="20"/>
              </w:rPr>
            </w:pPr>
            <w:r w:rsidRPr="00FA13DA">
              <w:rPr>
                <w:rFonts w:eastAsia="Calibri"/>
                <w:sz w:val="20"/>
                <w:szCs w:val="20"/>
              </w:rPr>
              <w:t>(Trudel, Webb and Boivin JJ.A.)</w:t>
            </w:r>
          </w:p>
          <w:p w:rsidR="000B0AAC" w:rsidRPr="00FA13DA" w:rsidRDefault="000B0AAC" w:rsidP="00D33F7D">
            <w:pPr>
              <w:jc w:val="both"/>
              <w:rPr>
                <w:rFonts w:eastAsia="Calibri"/>
                <w:sz w:val="20"/>
                <w:szCs w:val="20"/>
              </w:rPr>
            </w:pPr>
            <w:r w:rsidRPr="00FA13DA">
              <w:rPr>
                <w:rFonts w:eastAsia="Calibri"/>
                <w:sz w:val="20"/>
                <w:szCs w:val="20"/>
              </w:rPr>
              <w:t>2014 FCA 222; A-147-14; A-148-14</w:t>
            </w:r>
          </w:p>
          <w:p w:rsidR="000B0AAC" w:rsidRPr="00FA13DA" w:rsidRDefault="000B0AAC" w:rsidP="00D33F7D">
            <w:pPr>
              <w:jc w:val="both"/>
              <w:rPr>
                <w:rFonts w:eastAsia="Calibri"/>
                <w:sz w:val="20"/>
                <w:szCs w:val="20"/>
              </w:rPr>
            </w:pP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Appeals dismissed</w:t>
            </w:r>
          </w:p>
          <w:p w:rsidR="000B0AAC" w:rsidRPr="00FA13DA" w:rsidRDefault="000B0AAC" w:rsidP="00D33F7D">
            <w:pPr>
              <w:jc w:val="both"/>
              <w:rPr>
                <w:rFonts w:eastAsia="Calibri"/>
                <w:sz w:val="20"/>
                <w:szCs w:val="20"/>
              </w:rPr>
            </w:pPr>
          </w:p>
        </w:tc>
      </w:tr>
      <w:tr w:rsidR="000B0AAC" w:rsidRPr="00FA13DA" w:rsidTr="00D33F7D">
        <w:tc>
          <w:tcPr>
            <w:tcW w:w="2427" w:type="pct"/>
          </w:tcPr>
          <w:p w:rsidR="000B0AAC" w:rsidRPr="00FA13DA" w:rsidRDefault="000B0AAC" w:rsidP="00D33F7D">
            <w:pPr>
              <w:jc w:val="both"/>
              <w:rPr>
                <w:rFonts w:eastAsia="Calibri"/>
                <w:sz w:val="20"/>
                <w:szCs w:val="20"/>
              </w:rPr>
            </w:pPr>
            <w:r w:rsidRPr="00FA13DA">
              <w:rPr>
                <w:rFonts w:eastAsia="Calibri"/>
                <w:sz w:val="20"/>
                <w:szCs w:val="20"/>
              </w:rPr>
              <w:t>December 3, 2014</w:t>
            </w:r>
          </w:p>
          <w:p w:rsidR="000B0AAC" w:rsidRPr="00FA13DA" w:rsidRDefault="000B0AAC" w:rsidP="00D33F7D">
            <w:pPr>
              <w:jc w:val="both"/>
              <w:rPr>
                <w:rFonts w:eastAsia="Calibri"/>
                <w:sz w:val="20"/>
                <w:szCs w:val="20"/>
              </w:rPr>
            </w:pPr>
            <w:r w:rsidRPr="00FA13DA">
              <w:rPr>
                <w:rFonts w:eastAsia="Calibri"/>
                <w:sz w:val="20"/>
                <w:szCs w:val="20"/>
              </w:rPr>
              <w:t>Supreme Court of Canada</w:t>
            </w:r>
          </w:p>
        </w:tc>
        <w:tc>
          <w:tcPr>
            <w:tcW w:w="243" w:type="pct"/>
          </w:tcPr>
          <w:p w:rsidR="000B0AAC" w:rsidRPr="00FA13DA" w:rsidRDefault="000B0AAC" w:rsidP="00D33F7D">
            <w:pPr>
              <w:jc w:val="both"/>
              <w:rPr>
                <w:rFonts w:eastAsia="Calibri"/>
                <w:sz w:val="20"/>
                <w:szCs w:val="20"/>
              </w:rPr>
            </w:pPr>
          </w:p>
        </w:tc>
        <w:tc>
          <w:tcPr>
            <w:tcW w:w="2330" w:type="pct"/>
          </w:tcPr>
          <w:p w:rsidR="000B0AAC" w:rsidRPr="00FA13DA" w:rsidRDefault="000B0AAC" w:rsidP="00D33F7D">
            <w:pPr>
              <w:jc w:val="both"/>
              <w:rPr>
                <w:rFonts w:eastAsia="Calibri"/>
                <w:sz w:val="20"/>
                <w:szCs w:val="20"/>
              </w:rPr>
            </w:pPr>
            <w:r w:rsidRPr="00FA13DA">
              <w:rPr>
                <w:rFonts w:eastAsia="Calibri"/>
                <w:sz w:val="20"/>
                <w:szCs w:val="20"/>
              </w:rPr>
              <w:t>Applications for leave to appeal filed</w:t>
            </w:r>
          </w:p>
          <w:p w:rsidR="000B0AAC" w:rsidRPr="00FA13DA" w:rsidRDefault="000B0AAC" w:rsidP="00D33F7D">
            <w:pPr>
              <w:jc w:val="both"/>
              <w:rPr>
                <w:rFonts w:eastAsia="Calibri"/>
                <w:sz w:val="20"/>
                <w:szCs w:val="20"/>
              </w:rPr>
            </w:pPr>
          </w:p>
        </w:tc>
      </w:tr>
    </w:tbl>
    <w:p w:rsidR="00A53490" w:rsidRDefault="00A53490" w:rsidP="00A53490">
      <w:pPr>
        <w:rPr>
          <w:sz w:val="20"/>
          <w:szCs w:val="20"/>
        </w:rPr>
      </w:pPr>
    </w:p>
    <w:p w:rsidR="00A53490" w:rsidRPr="00C50A5C" w:rsidRDefault="009C5A48" w:rsidP="00A53490">
      <w:pPr>
        <w:rPr>
          <w:sz w:val="20"/>
          <w:szCs w:val="20"/>
        </w:rPr>
      </w:pPr>
      <w:r>
        <w:rPr>
          <w:sz w:val="20"/>
          <w:szCs w:val="20"/>
          <w:lang w:val="fr-CA"/>
        </w:rPr>
        <w:pict>
          <v:rect id="_x0000_i1045" style="width:2in;height:1pt" o:hrpct="0" o:hralign="center" o:hrstd="t" o:hrnoshade="t" o:hr="t" fillcolor="black [3213]" stroked="f"/>
        </w:pict>
      </w:r>
    </w:p>
    <w:p w:rsidR="00A53490" w:rsidRDefault="00A53490" w:rsidP="00A53490">
      <w:pPr>
        <w:rPr>
          <w:sz w:val="20"/>
          <w:szCs w:val="20"/>
        </w:rPr>
      </w:pPr>
    </w:p>
    <w:p w:rsidR="00A53490" w:rsidRPr="001B157C" w:rsidRDefault="00A53490" w:rsidP="00A53490">
      <w:pPr>
        <w:rPr>
          <w:sz w:val="20"/>
          <w:szCs w:val="20"/>
          <w:u w:val="single"/>
          <w:lang w:val="fr-CA"/>
        </w:rPr>
      </w:pPr>
      <w:r w:rsidRPr="001B157C">
        <w:rPr>
          <w:sz w:val="20"/>
          <w:szCs w:val="20"/>
          <w:u w:val="single"/>
          <w:lang w:val="fr-CA"/>
        </w:rPr>
        <w:t>RÉSUMÉ DE L’AFFAIRE</w:t>
      </w:r>
    </w:p>
    <w:p w:rsidR="00A53490" w:rsidRDefault="00A53490" w:rsidP="00A5349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B0AAC" w:rsidRPr="00D144F6"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i/>
                <w:sz w:val="20"/>
                <w:szCs w:val="20"/>
                <w:lang w:val="fr-CA"/>
              </w:rPr>
              <w:t>Charte des droits</w:t>
            </w:r>
            <w:r w:rsidRPr="00FA13DA">
              <w:rPr>
                <w:rFonts w:eastAsia="Calibri"/>
                <w:sz w:val="20"/>
                <w:szCs w:val="20"/>
                <w:lang w:val="fr-CA"/>
              </w:rPr>
              <w:t xml:space="preserve"> – Fouilles et perquisitions – Droit à l’égalité – Droit administratif – Contrôle judiciaire – Procédure – Les juridictions inférieures ont-elles eu tort de radier certaines demandes de contrôle judiciaire au motif que les demandes n’avaient aucune chance d’être accueillies, qu’elles constituaient un abus de procédure et qu’elles étaient futiles et vexatoires? – Existait-il ou non une crainte raisonnable de partialité? – La directive donnée à Sa Majesté a-t-elle influencé une ordonnance donnée précédemment par le protonotaire dans des demandes de contrôle judiciaire connexes? – Y a-t-il eu un manque d’équité procédurale? – L’intervention ou les directives du protonotaire ont-elles témoigné d’un manque d’impartialité ou d’indépendance judiciaire? – Était-il inapproprié que le protonotaire demande à Sa Majesté de présenter des requêtes en rejet des demandes de contrôle judiciaire des demandeurs? – L’Agence du revenu du Canada ou le ministre du Revenu national ont-ils violé les droits que les art. 8 ou 15 de la </w:t>
            </w:r>
            <w:r w:rsidRPr="00FA13DA">
              <w:rPr>
                <w:rFonts w:eastAsia="Calibri"/>
                <w:i/>
                <w:sz w:val="20"/>
                <w:szCs w:val="20"/>
                <w:lang w:val="fr-CA"/>
              </w:rPr>
              <w:t xml:space="preserve">Charte </w:t>
            </w:r>
            <w:r w:rsidRPr="00FA13DA">
              <w:rPr>
                <w:rFonts w:eastAsia="Calibri"/>
                <w:sz w:val="20"/>
                <w:szCs w:val="20"/>
                <w:lang w:val="fr-CA"/>
              </w:rPr>
              <w:t xml:space="preserve">garantissent aux demandeurs? – Le ministre du Revenu national a-t-il violé l’art. 231 de la </w:t>
            </w:r>
            <w:r w:rsidRPr="00FA13DA">
              <w:rPr>
                <w:rFonts w:eastAsia="Calibri"/>
                <w:i/>
                <w:sz w:val="20"/>
                <w:szCs w:val="20"/>
                <w:lang w:val="fr-CA"/>
              </w:rPr>
              <w:t>Loi de l’impôt sur le revenu</w:t>
            </w:r>
            <w:r w:rsidRPr="00FA13DA">
              <w:rPr>
                <w:rFonts w:eastAsia="Calibri"/>
                <w:sz w:val="20"/>
                <w:szCs w:val="20"/>
                <w:lang w:val="fr-CA"/>
              </w:rPr>
              <w:t>, L.R.C. 1985, ch. 1 (5</w:t>
            </w:r>
            <w:r w:rsidRPr="00FA13DA">
              <w:rPr>
                <w:rFonts w:eastAsia="Calibri"/>
                <w:sz w:val="20"/>
                <w:szCs w:val="20"/>
                <w:vertAlign w:val="superscript"/>
                <w:lang w:val="fr-CA"/>
              </w:rPr>
              <w:t>e</w:t>
            </w:r>
            <w:r w:rsidRPr="00FA13DA">
              <w:rPr>
                <w:rFonts w:eastAsia="Calibri"/>
                <w:sz w:val="20"/>
                <w:szCs w:val="20"/>
                <w:lang w:val="fr-CA"/>
              </w:rPr>
              <w:t xml:space="preserve"> suppl.)?</w:t>
            </w:r>
          </w:p>
        </w:tc>
      </w:tr>
      <w:tr w:rsidR="000B0AAC" w:rsidRPr="00D144F6" w:rsidTr="00D33F7D">
        <w:tc>
          <w:tcPr>
            <w:tcW w:w="5000" w:type="pct"/>
            <w:gridSpan w:val="3"/>
          </w:tcPr>
          <w:p w:rsidR="000B0AAC" w:rsidRPr="00FA13DA" w:rsidRDefault="000B0AAC" w:rsidP="00D33F7D">
            <w:pPr>
              <w:jc w:val="both"/>
              <w:rPr>
                <w:rFonts w:eastAsia="Calibri"/>
                <w:sz w:val="20"/>
                <w:szCs w:val="20"/>
                <w:lang w:val="fr-CA"/>
              </w:rPr>
            </w:pPr>
          </w:p>
        </w:tc>
      </w:tr>
      <w:tr w:rsidR="000B0AAC" w:rsidRPr="00D144F6" w:rsidTr="00D33F7D">
        <w:tc>
          <w:tcPr>
            <w:tcW w:w="5000" w:type="pct"/>
            <w:gridSpan w:val="3"/>
          </w:tcPr>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Les demandeurs ont présenté diverses demandes contestant la perquisition et la saisie de documents au 660, avenue Eglington Est en septembre 2006, ainsi que certaines nouvelles cotisations fiscales établies par l’Agence du revenu du </w:t>
            </w:r>
            <w:r w:rsidRPr="00FA13DA">
              <w:rPr>
                <w:rFonts w:eastAsia="Calibri"/>
                <w:sz w:val="20"/>
                <w:szCs w:val="20"/>
                <w:lang w:val="fr-CA"/>
              </w:rPr>
              <w:lastRenderedPageBreak/>
              <w:t>Canada (« ARC »).  L’ARC a dépêché une équipe chargée de mener une perquisition conformément à un mandat de perquisition décerné</w:t>
            </w:r>
            <w:r w:rsidRPr="00FA13DA">
              <w:rPr>
                <w:rFonts w:eastAsia="Calibri"/>
                <w:i/>
                <w:iCs/>
                <w:sz w:val="20"/>
                <w:szCs w:val="20"/>
                <w:lang w:val="fr-CA"/>
              </w:rPr>
              <w:t> </w:t>
            </w:r>
            <w:r w:rsidRPr="00FA13DA">
              <w:rPr>
                <w:rFonts w:eastAsia="Calibri"/>
                <w:sz w:val="20"/>
                <w:szCs w:val="20"/>
                <w:lang w:val="fr-CA"/>
              </w:rPr>
              <w:t xml:space="preserve">par la Cour de justice de l’Ontario en vertu du </w:t>
            </w:r>
            <w:r w:rsidRPr="00FA13DA">
              <w:rPr>
                <w:rFonts w:eastAsia="Calibri"/>
                <w:i/>
                <w:sz w:val="20"/>
                <w:szCs w:val="20"/>
                <w:lang w:val="fr-CA"/>
              </w:rPr>
              <w:t>Code criminel</w:t>
            </w:r>
            <w:r w:rsidRPr="00FA13DA">
              <w:rPr>
                <w:rFonts w:eastAsia="Calibri"/>
                <w:sz w:val="20"/>
                <w:szCs w:val="20"/>
                <w:lang w:val="fr-CA"/>
              </w:rPr>
              <w:t>. Le nom d’un des membres de l’équipe qui a exécuté le mandat de perquisition ne figurait pas sur le mandat de perquisition et le membre en question a aidé à l’exécution de la perquisition et de la saisie en transportant des boîtes. Les demandeurs allèguent que ce dernier a saisi des documents qui ne figuraient pas dans l’inventaire des documents fournis par l’ARC, ce qui constitue par conséquent une saisie illégale.  Les nouvelles cotisations fiscales contestées avaient été établies pour les années d’imposition comprises entre 2001 et 2007 relativement à Select Travel Inc, une société dont Harold Coombs et Joan Coombs sont les actionnaires majoritaires.  D’autres avaient été établies pour certaines années d’imposition des particuliers  Oleg et Anne Volochkov et John et Harold Coombs, et de Sun Air Travel Inc., une société pour laquelle Harold Coombs agissait à titre de président, unique administrateur et actionnaire.</w:t>
            </w:r>
          </w:p>
          <w:p w:rsidR="000B0AAC" w:rsidRPr="00FA13DA" w:rsidRDefault="000B0AAC" w:rsidP="00D33F7D">
            <w:pPr>
              <w:jc w:val="both"/>
              <w:rPr>
                <w:rFonts w:eastAsia="Calibri"/>
                <w:sz w:val="20"/>
                <w:szCs w:val="20"/>
                <w:lang w:val="fr-CA"/>
              </w:rPr>
            </w:pPr>
          </w:p>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La Cour fédérale a rejeté l’appel des demandeurs visant à annuler l’ordonnance du protonotaire dans le dossier T-441-13 et à procéder à un examen </w:t>
            </w:r>
            <w:r w:rsidRPr="00FA13DA">
              <w:rPr>
                <w:rFonts w:eastAsia="Calibri"/>
                <w:i/>
                <w:sz w:val="20"/>
                <w:szCs w:val="20"/>
                <w:lang w:val="fr-CA"/>
              </w:rPr>
              <w:t>de novo</w:t>
            </w:r>
            <w:r w:rsidRPr="00FA13DA">
              <w:rPr>
                <w:rFonts w:eastAsia="Calibri"/>
                <w:sz w:val="20"/>
                <w:szCs w:val="20"/>
                <w:lang w:val="fr-CA"/>
              </w:rPr>
              <w:t xml:space="preserve"> (2014 CF 232).  Dans une décision distincte, la Cour fédérale a rejeté la demande de contrôle judiciaire dans le dossier T-1744-13 et a accueilli la requête de l’intimée en radiation des demandes de contrôle judiciaire dans les dossiers T-1725-13 et T-1834-13 (2014 CF 233</w:t>
            </w:r>
            <w:r w:rsidRPr="00FA13DA">
              <w:rPr>
                <w:rFonts w:eastAsia="Calibri"/>
                <w:b/>
                <w:sz w:val="20"/>
                <w:szCs w:val="20"/>
                <w:lang w:val="fr-CA"/>
              </w:rPr>
              <w:t>)</w:t>
            </w:r>
            <w:r w:rsidRPr="00FA13DA">
              <w:rPr>
                <w:rFonts w:eastAsia="Calibri"/>
                <w:sz w:val="20"/>
                <w:szCs w:val="20"/>
                <w:lang w:val="fr-CA"/>
              </w:rPr>
              <w:t>.  La Cour d’appel fédérale a rejeté l’appel de la décision 2014 CF 232 sans frais et a rejeté l’appel de la décision 2014 CF 233 avec dépens.</w:t>
            </w:r>
          </w:p>
          <w:p w:rsidR="000B0AAC" w:rsidRPr="00FA13DA" w:rsidRDefault="000B0AAC" w:rsidP="00D33F7D">
            <w:pPr>
              <w:jc w:val="both"/>
              <w:rPr>
                <w:rFonts w:eastAsia="Calibri"/>
                <w:sz w:val="20"/>
                <w:szCs w:val="20"/>
                <w:lang w:val="fr-CA"/>
              </w:rPr>
            </w:pP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lastRenderedPageBreak/>
              <w:t>10 mars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fédérale</w:t>
            </w:r>
          </w:p>
          <w:p w:rsidR="000B0AAC" w:rsidRPr="00FA13DA" w:rsidRDefault="000B0AAC" w:rsidP="00D33F7D">
            <w:pPr>
              <w:jc w:val="both"/>
              <w:rPr>
                <w:rFonts w:eastAsia="Calibri"/>
                <w:sz w:val="20"/>
                <w:szCs w:val="20"/>
                <w:lang w:val="fr-CA"/>
              </w:rPr>
            </w:pPr>
            <w:r w:rsidRPr="00FA13DA">
              <w:rPr>
                <w:rFonts w:eastAsia="Calibri"/>
                <w:sz w:val="20"/>
                <w:szCs w:val="20"/>
                <w:lang w:val="fr-CA"/>
              </w:rPr>
              <w:t>(Juge Kane)</w:t>
            </w:r>
          </w:p>
          <w:p w:rsidR="000B0AAC" w:rsidRPr="00FA13DA" w:rsidRDefault="009C5A48" w:rsidP="00D33F7D">
            <w:pPr>
              <w:jc w:val="both"/>
              <w:rPr>
                <w:rFonts w:eastAsia="Calibri"/>
                <w:sz w:val="20"/>
                <w:szCs w:val="20"/>
                <w:lang w:val="fr-CA"/>
              </w:rPr>
            </w:pPr>
            <w:hyperlink r:id="rId44" w:history="1">
              <w:r w:rsidR="000B0AAC" w:rsidRPr="00FA13DA">
                <w:rPr>
                  <w:rFonts w:eastAsia="Calibri"/>
                  <w:color w:val="0000FF"/>
                  <w:sz w:val="20"/>
                  <w:szCs w:val="20"/>
                  <w:u w:val="single"/>
                  <w:lang w:val="fr-CA"/>
                </w:rPr>
                <w:t>2014 FC 232</w:t>
              </w:r>
            </w:hyperlink>
            <w:r w:rsidR="000B0AAC" w:rsidRPr="00FA13DA">
              <w:rPr>
                <w:rFonts w:eastAsia="Calibri"/>
                <w:sz w:val="20"/>
                <w:szCs w:val="20"/>
                <w:lang w:val="fr-CA"/>
              </w:rPr>
              <w:t>; T-441-13</w:t>
            </w:r>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 xml:space="preserve">Rejet de l’appel des demandeurs visant à annuler l’ordonnance du protonotaire de procéder à un examen </w:t>
            </w:r>
            <w:r w:rsidRPr="00FA13DA">
              <w:rPr>
                <w:rFonts w:eastAsia="Calibri"/>
                <w:i/>
                <w:sz w:val="20"/>
                <w:szCs w:val="20"/>
                <w:lang w:val="fr-CA"/>
              </w:rPr>
              <w:t>de novo</w:t>
            </w:r>
            <w:r w:rsidRPr="00FA13DA">
              <w:rPr>
                <w:rFonts w:eastAsia="Calibri"/>
                <w:sz w:val="20"/>
                <w:szCs w:val="20"/>
                <w:lang w:val="fr-CA"/>
              </w:rPr>
              <w:t xml:space="preserve"> </w:t>
            </w:r>
          </w:p>
        </w:tc>
      </w:tr>
      <w:tr w:rsidR="000B0AAC" w:rsidRPr="00D144F6"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10 mars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fédérale</w:t>
            </w:r>
          </w:p>
          <w:p w:rsidR="000B0AAC" w:rsidRPr="00FA13DA" w:rsidRDefault="000B0AAC" w:rsidP="00D33F7D">
            <w:pPr>
              <w:jc w:val="both"/>
              <w:rPr>
                <w:rFonts w:eastAsia="Calibri"/>
                <w:sz w:val="20"/>
                <w:szCs w:val="20"/>
                <w:lang w:val="fr-CA"/>
              </w:rPr>
            </w:pPr>
            <w:r w:rsidRPr="00FA13DA">
              <w:rPr>
                <w:rFonts w:eastAsia="Calibri"/>
                <w:sz w:val="20"/>
                <w:szCs w:val="20"/>
                <w:lang w:val="fr-CA"/>
              </w:rPr>
              <w:t>(Juge Kane)</w:t>
            </w:r>
          </w:p>
          <w:p w:rsidR="000B0AAC" w:rsidRPr="00FA13DA" w:rsidRDefault="009C5A48" w:rsidP="00D33F7D">
            <w:pPr>
              <w:jc w:val="both"/>
              <w:rPr>
                <w:rFonts w:eastAsia="Calibri"/>
                <w:sz w:val="20"/>
                <w:szCs w:val="20"/>
                <w:lang w:val="fr-CA"/>
              </w:rPr>
            </w:pPr>
            <w:hyperlink r:id="rId45" w:history="1">
              <w:r w:rsidR="000B0AAC" w:rsidRPr="00FA13DA">
                <w:rPr>
                  <w:rFonts w:eastAsia="Calibri"/>
                  <w:color w:val="0000FF"/>
                  <w:sz w:val="20"/>
                  <w:szCs w:val="20"/>
                  <w:u w:val="single"/>
                  <w:lang w:val="fr-CA"/>
                </w:rPr>
                <w:t>2014 FC 233</w:t>
              </w:r>
            </w:hyperlink>
            <w:r w:rsidR="000B0AAC" w:rsidRPr="00FA13DA">
              <w:rPr>
                <w:rFonts w:eastAsia="Calibri"/>
                <w:sz w:val="20"/>
                <w:szCs w:val="20"/>
                <w:lang w:val="fr-CA"/>
              </w:rPr>
              <w:t>;T1725-13;T-1744-13;T-1834-13</w:t>
            </w:r>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Rejet de la demande de contrôle judiciaire présentée par les demandeurs dans le dossier T-1744-13; arrêt accueillant la requête de l’intimée en radiation des demandes dans les dossiers T-1725-13 et T-1834-13</w:t>
            </w:r>
          </w:p>
        </w:tc>
      </w:tr>
      <w:tr w:rsidR="000B0AAC" w:rsidRPr="00FA13DA"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7 octobre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d’appel fédérale</w:t>
            </w:r>
          </w:p>
          <w:p w:rsidR="000B0AAC" w:rsidRPr="00FA13DA" w:rsidRDefault="000B0AAC" w:rsidP="00D33F7D">
            <w:pPr>
              <w:jc w:val="both"/>
              <w:rPr>
                <w:rFonts w:eastAsia="Calibri"/>
                <w:sz w:val="20"/>
                <w:szCs w:val="20"/>
                <w:lang w:val="fr-CA"/>
              </w:rPr>
            </w:pPr>
            <w:r w:rsidRPr="00FA13DA">
              <w:rPr>
                <w:rFonts w:eastAsia="Calibri"/>
                <w:sz w:val="20"/>
                <w:szCs w:val="20"/>
                <w:lang w:val="fr-CA"/>
              </w:rPr>
              <w:t>(Juges Trudel, Webb et Boivin)</w:t>
            </w:r>
          </w:p>
          <w:p w:rsidR="000B0AAC" w:rsidRPr="00FA13DA" w:rsidRDefault="000B0AAC" w:rsidP="00D33F7D">
            <w:pPr>
              <w:jc w:val="both"/>
              <w:rPr>
                <w:rFonts w:eastAsia="Calibri"/>
                <w:sz w:val="20"/>
                <w:szCs w:val="20"/>
                <w:lang w:val="fr-CA"/>
              </w:rPr>
            </w:pPr>
            <w:r w:rsidRPr="00FA13DA">
              <w:rPr>
                <w:rFonts w:eastAsia="Calibri"/>
                <w:sz w:val="20"/>
                <w:szCs w:val="20"/>
                <w:lang w:val="fr-CA"/>
              </w:rPr>
              <w:t>2014 FCA 222; A-147-14; A-148-14</w:t>
            </w:r>
          </w:p>
          <w:p w:rsidR="000B0AAC" w:rsidRPr="00FA13DA" w:rsidRDefault="000B0AAC" w:rsidP="00D33F7D">
            <w:pPr>
              <w:jc w:val="both"/>
              <w:rPr>
                <w:rFonts w:eastAsia="Calibri"/>
                <w:sz w:val="20"/>
                <w:szCs w:val="20"/>
                <w:lang w:val="fr-CA"/>
              </w:rPr>
            </w:pP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Rejet des appels</w:t>
            </w:r>
          </w:p>
          <w:p w:rsidR="000B0AAC" w:rsidRPr="00FA13DA" w:rsidRDefault="000B0AAC" w:rsidP="00D33F7D">
            <w:pPr>
              <w:jc w:val="both"/>
              <w:rPr>
                <w:rFonts w:eastAsia="Calibri"/>
                <w:sz w:val="20"/>
                <w:szCs w:val="20"/>
                <w:lang w:val="fr-CA"/>
              </w:rPr>
            </w:pPr>
          </w:p>
        </w:tc>
      </w:tr>
      <w:tr w:rsidR="000B0AAC" w:rsidRPr="00FA13DA" w:rsidTr="00D33F7D">
        <w:tc>
          <w:tcPr>
            <w:tcW w:w="2427"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3 décembre 2014</w:t>
            </w:r>
          </w:p>
          <w:p w:rsidR="000B0AAC" w:rsidRPr="00FA13DA" w:rsidRDefault="000B0AAC" w:rsidP="00D33F7D">
            <w:pPr>
              <w:jc w:val="both"/>
              <w:rPr>
                <w:rFonts w:eastAsia="Calibri"/>
                <w:sz w:val="20"/>
                <w:szCs w:val="20"/>
                <w:lang w:val="fr-CA"/>
              </w:rPr>
            </w:pPr>
            <w:r w:rsidRPr="00FA13DA">
              <w:rPr>
                <w:rFonts w:eastAsia="Calibri"/>
                <w:sz w:val="20"/>
                <w:szCs w:val="20"/>
                <w:lang w:val="fr-CA"/>
              </w:rPr>
              <w:t>Cour suprême du Canada</w:t>
            </w:r>
          </w:p>
        </w:tc>
        <w:tc>
          <w:tcPr>
            <w:tcW w:w="243" w:type="pct"/>
          </w:tcPr>
          <w:p w:rsidR="000B0AAC" w:rsidRPr="00FA13DA" w:rsidRDefault="000B0AAC" w:rsidP="00D33F7D">
            <w:pPr>
              <w:jc w:val="both"/>
              <w:rPr>
                <w:rFonts w:eastAsia="Calibri"/>
                <w:sz w:val="20"/>
                <w:szCs w:val="20"/>
                <w:lang w:val="fr-CA"/>
              </w:rPr>
            </w:pPr>
          </w:p>
        </w:tc>
        <w:tc>
          <w:tcPr>
            <w:tcW w:w="2330" w:type="pct"/>
          </w:tcPr>
          <w:p w:rsidR="000B0AAC" w:rsidRPr="00FA13DA" w:rsidRDefault="000B0AAC" w:rsidP="00D33F7D">
            <w:pPr>
              <w:jc w:val="both"/>
              <w:rPr>
                <w:rFonts w:eastAsia="Calibri"/>
                <w:sz w:val="20"/>
                <w:szCs w:val="20"/>
                <w:lang w:val="fr-CA"/>
              </w:rPr>
            </w:pPr>
            <w:r w:rsidRPr="00FA13DA">
              <w:rPr>
                <w:rFonts w:eastAsia="Calibri"/>
                <w:sz w:val="20"/>
                <w:szCs w:val="20"/>
                <w:lang w:val="fr-CA"/>
              </w:rPr>
              <w:t>Dépôt des demandes d’autorisation d’appel</w:t>
            </w:r>
          </w:p>
          <w:p w:rsidR="000B0AAC" w:rsidRPr="00FA13DA" w:rsidRDefault="000B0AAC" w:rsidP="00D33F7D">
            <w:pPr>
              <w:jc w:val="both"/>
              <w:rPr>
                <w:rFonts w:eastAsia="Calibri"/>
                <w:sz w:val="20"/>
                <w:szCs w:val="20"/>
                <w:lang w:val="fr-CA"/>
              </w:rPr>
            </w:pPr>
          </w:p>
        </w:tc>
      </w:tr>
    </w:tbl>
    <w:p w:rsidR="00A53490" w:rsidRDefault="00A53490" w:rsidP="00A53490">
      <w:pPr>
        <w:rPr>
          <w:sz w:val="20"/>
          <w:szCs w:val="20"/>
        </w:rPr>
      </w:pPr>
    </w:p>
    <w:p w:rsidR="00A53490" w:rsidRDefault="009C5A48" w:rsidP="00A53490">
      <w:pPr>
        <w:rPr>
          <w:sz w:val="20"/>
          <w:szCs w:val="20"/>
        </w:rPr>
      </w:pPr>
      <w:r>
        <w:rPr>
          <w:sz w:val="20"/>
          <w:szCs w:val="20"/>
          <w:lang w:val="fr-CA"/>
        </w:rPr>
        <w:pict>
          <v:rect id="_x0000_i1046" style="width:2in;height:1pt" o:hrpct="0" o:hralign="center" o:hrstd="t" o:hrnoshade="t" o:hr="t" fillcolor="black [3213]" stroked="f"/>
        </w:pict>
      </w:r>
    </w:p>
    <w:p w:rsidR="00A53490" w:rsidRDefault="00A53490" w:rsidP="00A53490">
      <w:pPr>
        <w:rPr>
          <w:sz w:val="20"/>
          <w:szCs w:val="20"/>
        </w:rPr>
      </w:pPr>
    </w:p>
    <w:p w:rsidR="00A53490" w:rsidRDefault="00A53490"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B1507" w:rsidRPr="00CB1507" w:rsidRDefault="00CB1507" w:rsidP="00CB1507">
      <w:pPr>
        <w:tabs>
          <w:tab w:val="left" w:pos="-1440"/>
          <w:tab w:val="left" w:pos="-720"/>
        </w:tabs>
        <w:jc w:val="both"/>
        <w:rPr>
          <w:rFonts w:eastAsia="Times New Roman" w:cs="Times New Roman"/>
          <w:sz w:val="20"/>
          <w:szCs w:val="20"/>
          <w:lang w:val="fr-CA" w:eastAsia="en-CA"/>
        </w:rPr>
      </w:pPr>
      <w:r w:rsidRPr="00CB1507">
        <w:rPr>
          <w:rFonts w:eastAsia="Times New Roman" w:cs="Times New Roman"/>
          <w:sz w:val="20"/>
          <w:szCs w:val="20"/>
          <w:lang w:val="fr-CA" w:eastAsia="en-CA"/>
        </w:rPr>
        <w:t>23.03.2015</w:t>
      </w:r>
    </w:p>
    <w:p w:rsidR="00CB1507" w:rsidRPr="00CB1507" w:rsidRDefault="00CB1507" w:rsidP="00CB1507">
      <w:pPr>
        <w:tabs>
          <w:tab w:val="left" w:pos="-1440"/>
          <w:tab w:val="left" w:pos="-720"/>
        </w:tabs>
        <w:jc w:val="both"/>
        <w:rPr>
          <w:rFonts w:eastAsia="Times New Roman" w:cs="Times New Roman"/>
          <w:sz w:val="20"/>
          <w:szCs w:val="20"/>
          <w:lang w:val="fr-CA" w:eastAsia="en-CA"/>
        </w:rPr>
      </w:pPr>
    </w:p>
    <w:p w:rsidR="00CB1507" w:rsidRPr="00CB1507" w:rsidRDefault="00CB1507" w:rsidP="00CB1507">
      <w:pPr>
        <w:tabs>
          <w:tab w:val="left" w:pos="-1440"/>
          <w:tab w:val="left" w:pos="-720"/>
        </w:tabs>
        <w:jc w:val="both"/>
        <w:rPr>
          <w:rFonts w:eastAsia="Times New Roman" w:cs="Times New Roman"/>
          <w:sz w:val="20"/>
          <w:szCs w:val="20"/>
          <w:lang w:val="fr-CA" w:eastAsia="en-CA"/>
        </w:rPr>
      </w:pPr>
      <w:r w:rsidRPr="00CB1507">
        <w:rPr>
          <w:rFonts w:eastAsia="Times New Roman" w:cs="Times New Roman"/>
          <w:sz w:val="20"/>
          <w:szCs w:val="20"/>
          <w:lang w:val="fr-CA" w:eastAsia="en-CA"/>
        </w:rPr>
        <w:t>Before / Devant :   ABELLA J. / LA JUGE ABELLA</w:t>
      </w:r>
    </w:p>
    <w:p w:rsidR="00CB1507" w:rsidRPr="00CB1507" w:rsidRDefault="00CB1507" w:rsidP="00CB1507">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B1507" w:rsidRPr="00CB1507" w:rsidTr="00D33F7D">
        <w:trPr>
          <w:trHeight w:val="151"/>
        </w:trPr>
        <w:tc>
          <w:tcPr>
            <w:tcW w:w="4338" w:type="dxa"/>
          </w:tcPr>
          <w:p w:rsidR="00CB1507" w:rsidRPr="00CB1507" w:rsidRDefault="00CB1507" w:rsidP="00CB1507">
            <w:pPr>
              <w:tabs>
                <w:tab w:val="left" w:pos="-1440"/>
                <w:tab w:val="left" w:pos="-720"/>
              </w:tabs>
              <w:jc w:val="both"/>
              <w:rPr>
                <w:lang w:val="fr-CA"/>
              </w:rPr>
            </w:pPr>
            <w:r w:rsidRPr="00CB1507">
              <w:rPr>
                <w:b/>
                <w:bCs/>
                <w:color w:val="000000"/>
                <w:lang w:val="fr-CA"/>
              </w:rPr>
              <w:t xml:space="preserve">Order </w:t>
            </w:r>
            <w:r w:rsidR="009E55C9" w:rsidRPr="00CB1507">
              <w:rPr>
                <w:lang w:val="en-US"/>
              </w:rPr>
              <w:fldChar w:fldCharType="begin"/>
            </w:r>
            <w:r w:rsidRPr="00CB1507">
              <w:rPr>
                <w:lang w:val="fr-CA"/>
              </w:rPr>
              <w:instrText xml:space="preserve"> SEQ CHAPTER \h \r 1</w:instrText>
            </w:r>
            <w:r w:rsidR="009E55C9" w:rsidRPr="00CB1507">
              <w:rPr>
                <w:lang w:val="en-US"/>
              </w:rPr>
              <w:fldChar w:fldCharType="end"/>
            </w:r>
          </w:p>
        </w:tc>
        <w:tc>
          <w:tcPr>
            <w:tcW w:w="1170" w:type="dxa"/>
          </w:tcPr>
          <w:p w:rsidR="00CB1507" w:rsidRPr="00CB1507" w:rsidRDefault="00CB1507" w:rsidP="00CB1507">
            <w:pPr>
              <w:jc w:val="both"/>
              <w:rPr>
                <w:lang w:val="fr-CA"/>
              </w:rPr>
            </w:pPr>
          </w:p>
          <w:p w:rsidR="00CB1507" w:rsidRPr="00CB1507" w:rsidRDefault="00CB1507" w:rsidP="00CB1507">
            <w:pPr>
              <w:jc w:val="both"/>
              <w:rPr>
                <w:lang w:val="fr-CA"/>
              </w:rPr>
            </w:pPr>
          </w:p>
        </w:tc>
        <w:tc>
          <w:tcPr>
            <w:tcW w:w="4327" w:type="dxa"/>
          </w:tcPr>
          <w:p w:rsidR="00CB1507" w:rsidRPr="00CB1507" w:rsidRDefault="00CB1507" w:rsidP="00CB1507">
            <w:pPr>
              <w:jc w:val="both"/>
              <w:rPr>
                <w:b/>
                <w:lang w:val="fr-CA"/>
              </w:rPr>
            </w:pPr>
            <w:r w:rsidRPr="00CB1507">
              <w:rPr>
                <w:b/>
                <w:bCs/>
                <w:color w:val="000000"/>
                <w:lang w:val="fr-CA"/>
              </w:rPr>
              <w:t xml:space="preserve">Ordonnance </w:t>
            </w:r>
            <w:r w:rsidR="009E55C9" w:rsidRPr="00CB1507">
              <w:rPr>
                <w:b/>
                <w:lang w:val="en-US"/>
              </w:rPr>
              <w:fldChar w:fldCharType="begin"/>
            </w:r>
            <w:r w:rsidRPr="00CB1507">
              <w:rPr>
                <w:b/>
                <w:lang w:val="fr-CA"/>
              </w:rPr>
              <w:instrText xml:space="preserve"> SEQ CHAPTER \h \r 1</w:instrText>
            </w:r>
            <w:r w:rsidR="009E55C9" w:rsidRPr="00CB1507">
              <w:rPr>
                <w:b/>
                <w:lang w:val="en-US"/>
              </w:rPr>
              <w:fldChar w:fldCharType="end"/>
            </w:r>
            <w:r w:rsidR="009E55C9" w:rsidRPr="00CB1507">
              <w:rPr>
                <w:b/>
                <w:lang w:val="en-US"/>
              </w:rPr>
              <w:fldChar w:fldCharType="begin"/>
            </w:r>
            <w:r w:rsidRPr="00CB1507">
              <w:rPr>
                <w:b/>
                <w:lang w:val="fr-CA"/>
              </w:rPr>
              <w:instrText xml:space="preserve"> SEQ CHAPTER \h \r 1</w:instrText>
            </w:r>
            <w:r w:rsidR="009E55C9" w:rsidRPr="00CB1507">
              <w:rPr>
                <w:b/>
                <w:lang w:val="en-US"/>
              </w:rPr>
              <w:fldChar w:fldCharType="end"/>
            </w:r>
          </w:p>
        </w:tc>
      </w:tr>
      <w:tr w:rsidR="00CB1507" w:rsidRPr="00CB1507" w:rsidTr="00D33F7D">
        <w:trPr>
          <w:trHeight w:val="150"/>
        </w:trPr>
        <w:tc>
          <w:tcPr>
            <w:tcW w:w="4338" w:type="dxa"/>
          </w:tcPr>
          <w:p w:rsidR="00CB1507" w:rsidRPr="00CB1507" w:rsidRDefault="00CB1507" w:rsidP="00CB1507">
            <w:pPr>
              <w:tabs>
                <w:tab w:val="left" w:pos="-1440"/>
                <w:tab w:val="left" w:pos="-720"/>
              </w:tabs>
              <w:jc w:val="both"/>
              <w:rPr>
                <w:lang w:val="fr-CA"/>
              </w:rPr>
            </w:pPr>
            <w:r w:rsidRPr="00CB1507">
              <w:rPr>
                <w:lang w:val="fr-CA"/>
              </w:rPr>
              <w:t>Weihua Shi</w:t>
            </w:r>
          </w:p>
          <w:p w:rsidR="00CB1507" w:rsidRPr="00CB1507" w:rsidRDefault="00CB1507" w:rsidP="00CB1507">
            <w:pPr>
              <w:tabs>
                <w:tab w:val="left" w:pos="-1440"/>
                <w:tab w:val="left" w:pos="-720"/>
              </w:tabs>
              <w:jc w:val="both"/>
              <w:rPr>
                <w:lang w:val="fr-CA"/>
              </w:rPr>
            </w:pPr>
          </w:p>
          <w:p w:rsidR="00CB1507" w:rsidRPr="00CB1507" w:rsidRDefault="00CB1507" w:rsidP="00CB1507">
            <w:pPr>
              <w:tabs>
                <w:tab w:val="left" w:pos="-1440"/>
                <w:tab w:val="left" w:pos="-720"/>
              </w:tabs>
              <w:jc w:val="both"/>
              <w:rPr>
                <w:lang w:val="fr-CA"/>
              </w:rPr>
            </w:pPr>
            <w:r w:rsidRPr="00CB1507">
              <w:rPr>
                <w:lang w:val="fr-CA"/>
              </w:rPr>
              <w:tab/>
              <w:t>v. (35837)</w:t>
            </w:r>
          </w:p>
          <w:p w:rsidR="00CB1507" w:rsidRPr="00CB1507" w:rsidRDefault="00CB1507" w:rsidP="00CB1507">
            <w:pPr>
              <w:tabs>
                <w:tab w:val="left" w:pos="-1440"/>
                <w:tab w:val="left" w:pos="-720"/>
              </w:tabs>
              <w:jc w:val="both"/>
              <w:rPr>
                <w:lang w:val="fr-CA"/>
              </w:rPr>
            </w:pPr>
          </w:p>
          <w:p w:rsidR="00CB1507" w:rsidRPr="00CB1507" w:rsidRDefault="00CB1507" w:rsidP="00CB1507">
            <w:pPr>
              <w:tabs>
                <w:tab w:val="left" w:pos="-1440"/>
                <w:tab w:val="left" w:pos="-720"/>
              </w:tabs>
              <w:jc w:val="both"/>
            </w:pPr>
            <w:r w:rsidRPr="00CB1507">
              <w:rPr>
                <w:lang w:val="fr-CA"/>
              </w:rPr>
              <w:t xml:space="preserve">Ontario Labour Relations Board et al. </w:t>
            </w:r>
            <w:r w:rsidRPr="00CB1507">
              <w:t>(Ont.)</w:t>
            </w:r>
          </w:p>
        </w:tc>
        <w:tc>
          <w:tcPr>
            <w:tcW w:w="1170" w:type="dxa"/>
          </w:tcPr>
          <w:p w:rsidR="00CB1507" w:rsidRPr="00CB1507" w:rsidRDefault="00CB1507" w:rsidP="00CB1507">
            <w:pPr>
              <w:jc w:val="both"/>
            </w:pPr>
          </w:p>
        </w:tc>
        <w:tc>
          <w:tcPr>
            <w:tcW w:w="4327" w:type="dxa"/>
          </w:tcPr>
          <w:p w:rsidR="00CB1507" w:rsidRPr="00CB1507" w:rsidRDefault="00CB1507" w:rsidP="00CB1507">
            <w:pPr>
              <w:jc w:val="both"/>
            </w:pPr>
          </w:p>
        </w:tc>
      </w:tr>
    </w:tbl>
    <w:p w:rsidR="00CB1507" w:rsidRPr="00CB1507" w:rsidRDefault="00CB1507" w:rsidP="00CB1507">
      <w:pPr>
        <w:tabs>
          <w:tab w:val="left" w:pos="-1440"/>
          <w:tab w:val="left" w:pos="-720"/>
        </w:tabs>
        <w:jc w:val="both"/>
        <w:rPr>
          <w:rFonts w:eastAsia="Times New Roman" w:cs="Times New Roman"/>
          <w:sz w:val="20"/>
          <w:szCs w:val="20"/>
          <w:lang w:eastAsia="en-CA"/>
        </w:rPr>
      </w:pPr>
    </w:p>
    <w:p w:rsidR="00CB1507" w:rsidRPr="00CB1507" w:rsidRDefault="00CB1507" w:rsidP="00CB1507">
      <w:pPr>
        <w:jc w:val="both"/>
        <w:rPr>
          <w:rFonts w:eastAsia="Times New Roman" w:cs="Times New Roman"/>
          <w:b/>
          <w:sz w:val="20"/>
          <w:szCs w:val="20"/>
          <w:lang w:val="en-US" w:eastAsia="en-CA"/>
        </w:rPr>
      </w:pPr>
      <w:r w:rsidRPr="00CB1507">
        <w:rPr>
          <w:rFonts w:eastAsia="Times New Roman" w:cs="Times New Roman"/>
          <w:b/>
          <w:sz w:val="20"/>
          <w:szCs w:val="20"/>
          <w:lang w:val="en-US" w:eastAsia="en-CA"/>
        </w:rPr>
        <w:t>WHEREAS</w:t>
      </w:r>
      <w:r w:rsidRPr="00CB1507">
        <w:rPr>
          <w:rFonts w:eastAsia="Times New Roman" w:cs="Times New Roman"/>
          <w:sz w:val="20"/>
          <w:szCs w:val="20"/>
          <w:lang w:val="en-US" w:eastAsia="en-CA"/>
        </w:rPr>
        <w:t xml:space="preserve"> the Registrar, after receiving a document from Ms. Weihua Shi on January 8, 2015, entitled “Motion to a Judge”, sent Ms. Shi</w:t>
      </w:r>
      <w:r w:rsidRPr="00CB1507">
        <w:rPr>
          <w:rFonts w:eastAsia="Times New Roman" w:cs="Times New Roman"/>
          <w:bCs/>
          <w:sz w:val="20"/>
          <w:szCs w:val="20"/>
          <w:lang w:val="en-US" w:eastAsia="en-CA"/>
        </w:rPr>
        <w:t xml:space="preserve"> a</w:t>
      </w:r>
      <w:r w:rsidRPr="00CB1507">
        <w:rPr>
          <w:rFonts w:eastAsia="Times New Roman" w:cs="Times New Roman"/>
          <w:b/>
          <w:bCs/>
          <w:sz w:val="20"/>
          <w:szCs w:val="20"/>
          <w:lang w:val="en-US" w:eastAsia="en-CA"/>
        </w:rPr>
        <w:t xml:space="preserve"> </w:t>
      </w:r>
      <w:r w:rsidRPr="00CB1507">
        <w:rPr>
          <w:rFonts w:eastAsia="Times New Roman" w:cs="Times New Roman"/>
          <w:bCs/>
          <w:sz w:val="20"/>
          <w:szCs w:val="20"/>
          <w:lang w:val="en-US" w:eastAsia="en-CA"/>
        </w:rPr>
        <w:t xml:space="preserve">notice under Rule 67 of the </w:t>
      </w:r>
      <w:r w:rsidRPr="00CB1507">
        <w:rPr>
          <w:rFonts w:eastAsia="Times New Roman" w:cs="Times New Roman"/>
          <w:bCs/>
          <w:i/>
          <w:sz w:val="20"/>
          <w:szCs w:val="20"/>
          <w:lang w:val="en-US" w:eastAsia="en-CA"/>
        </w:rPr>
        <w:t>Rules of the Supreme Court of Canada</w:t>
      </w:r>
      <w:r w:rsidRPr="00CB1507">
        <w:rPr>
          <w:rFonts w:eastAsia="Times New Roman" w:cs="Times New Roman"/>
          <w:bCs/>
          <w:sz w:val="20"/>
          <w:szCs w:val="20"/>
          <w:lang w:val="en-US" w:eastAsia="en-CA"/>
        </w:rPr>
        <w:t>;</w:t>
      </w:r>
    </w:p>
    <w:p w:rsidR="00CB1507" w:rsidRPr="00CB1507" w:rsidRDefault="00CB1507" w:rsidP="00CB1507">
      <w:pPr>
        <w:jc w:val="both"/>
        <w:rPr>
          <w:rFonts w:eastAsia="Times New Roman" w:cs="Times New Roman"/>
          <w:b/>
          <w:sz w:val="20"/>
          <w:szCs w:val="20"/>
          <w:lang w:val="en-US" w:eastAsia="en-CA"/>
        </w:rPr>
      </w:pPr>
    </w:p>
    <w:p w:rsidR="00CB1507" w:rsidRPr="00CB1507" w:rsidRDefault="00CB1507" w:rsidP="00CB1507">
      <w:pPr>
        <w:jc w:val="both"/>
        <w:rPr>
          <w:rFonts w:eastAsia="Times New Roman" w:cs="Times New Roman"/>
          <w:b/>
          <w:sz w:val="20"/>
          <w:szCs w:val="20"/>
          <w:lang w:val="en-US" w:eastAsia="en-CA"/>
        </w:rPr>
      </w:pPr>
      <w:r w:rsidRPr="00CB1507">
        <w:rPr>
          <w:rFonts w:eastAsia="Times New Roman" w:cs="Times New Roman"/>
          <w:b/>
          <w:sz w:val="20"/>
          <w:szCs w:val="20"/>
          <w:lang w:val="en-US" w:eastAsia="en-CA"/>
        </w:rPr>
        <w:t xml:space="preserve">AND WHEREAS </w:t>
      </w:r>
      <w:r w:rsidRPr="00CB1507">
        <w:rPr>
          <w:rFonts w:eastAsia="Times New Roman" w:cs="Times New Roman"/>
          <w:sz w:val="20"/>
          <w:szCs w:val="20"/>
          <w:lang w:val="en-US" w:eastAsia="en-CA"/>
        </w:rPr>
        <w:t xml:space="preserve">the Registrar has requested that a judge issue an order under Rule 66(2) of the </w:t>
      </w:r>
      <w:r w:rsidRPr="00CB1507">
        <w:rPr>
          <w:rFonts w:eastAsia="Times New Roman" w:cs="Times New Roman"/>
          <w:i/>
          <w:sz w:val="20"/>
          <w:szCs w:val="20"/>
          <w:lang w:val="en-US" w:eastAsia="en-CA"/>
        </w:rPr>
        <w:t>Rules of the Supreme Court of Canada</w:t>
      </w:r>
      <w:r w:rsidRPr="00CB1507">
        <w:rPr>
          <w:rFonts w:eastAsia="Times New Roman" w:cs="Times New Roman"/>
          <w:sz w:val="20"/>
          <w:szCs w:val="20"/>
          <w:lang w:val="en-US" w:eastAsia="en-CA"/>
        </w:rPr>
        <w:t>;</w:t>
      </w:r>
    </w:p>
    <w:p w:rsidR="00CB1507" w:rsidRPr="00CB1507" w:rsidRDefault="00CB1507" w:rsidP="00CB1507">
      <w:pPr>
        <w:jc w:val="both"/>
        <w:rPr>
          <w:rFonts w:eastAsia="Times New Roman" w:cs="Times New Roman"/>
          <w:b/>
          <w:bCs/>
          <w:sz w:val="20"/>
          <w:szCs w:val="20"/>
          <w:lang w:val="en-US" w:eastAsia="en-CA"/>
        </w:rPr>
      </w:pPr>
    </w:p>
    <w:p w:rsidR="00CB1507" w:rsidRPr="00CB1507" w:rsidRDefault="00CB1507" w:rsidP="00CB1507">
      <w:pPr>
        <w:jc w:val="both"/>
        <w:rPr>
          <w:rFonts w:eastAsia="Times New Roman" w:cs="Times New Roman"/>
          <w:bCs/>
          <w:sz w:val="20"/>
          <w:szCs w:val="20"/>
          <w:lang w:val="en-US" w:eastAsia="en-CA"/>
        </w:rPr>
      </w:pPr>
      <w:r w:rsidRPr="00CB1507">
        <w:rPr>
          <w:rFonts w:eastAsia="Times New Roman" w:cs="Times New Roman"/>
          <w:b/>
          <w:bCs/>
          <w:sz w:val="20"/>
          <w:szCs w:val="20"/>
          <w:lang w:val="en-US" w:eastAsia="en-CA"/>
        </w:rPr>
        <w:t xml:space="preserve">AND HAVING </w:t>
      </w:r>
      <w:r w:rsidRPr="00CB1507">
        <w:rPr>
          <w:rFonts w:eastAsia="Times New Roman" w:cs="Times New Roman"/>
          <w:bCs/>
          <w:sz w:val="20"/>
          <w:szCs w:val="20"/>
          <w:lang w:val="en-US" w:eastAsia="en-CA"/>
        </w:rPr>
        <w:t>considered the material filed;</w:t>
      </w:r>
    </w:p>
    <w:p w:rsidR="00CB1507" w:rsidRPr="00CB1507" w:rsidRDefault="00CB1507" w:rsidP="00CB1507">
      <w:pPr>
        <w:jc w:val="both"/>
        <w:rPr>
          <w:rFonts w:eastAsia="Times New Roman" w:cs="Times New Roman"/>
          <w:b/>
          <w:bCs/>
          <w:sz w:val="20"/>
          <w:szCs w:val="20"/>
          <w:lang w:val="en-US" w:eastAsia="en-CA"/>
        </w:rPr>
      </w:pPr>
    </w:p>
    <w:p w:rsidR="00CB1507" w:rsidRPr="00CB1507" w:rsidRDefault="00CB1507" w:rsidP="00CB1507">
      <w:pPr>
        <w:jc w:val="both"/>
        <w:rPr>
          <w:rFonts w:eastAsia="Times New Roman" w:cs="Times New Roman"/>
          <w:b/>
          <w:bCs/>
          <w:sz w:val="20"/>
          <w:szCs w:val="20"/>
          <w:lang w:val="en-US" w:eastAsia="en-CA"/>
        </w:rPr>
      </w:pPr>
      <w:r w:rsidRPr="00CB1507">
        <w:rPr>
          <w:rFonts w:eastAsia="Times New Roman" w:cs="Times New Roman"/>
          <w:b/>
          <w:bCs/>
          <w:sz w:val="20"/>
          <w:szCs w:val="20"/>
          <w:lang w:val="en-US" w:eastAsia="en-CA"/>
        </w:rPr>
        <w:t xml:space="preserve">AND GIVEN THAT </w:t>
      </w:r>
      <w:r w:rsidRPr="00CB1507">
        <w:rPr>
          <w:rFonts w:eastAsia="Times New Roman" w:cs="Times New Roman"/>
          <w:bCs/>
          <w:sz w:val="20"/>
          <w:szCs w:val="20"/>
          <w:lang w:val="en-US" w:eastAsia="en-CA"/>
        </w:rPr>
        <w:t>I am satisfied that</w:t>
      </w:r>
      <w:r w:rsidRPr="00CB1507">
        <w:rPr>
          <w:rFonts w:eastAsia="Times New Roman" w:cs="Times New Roman"/>
          <w:b/>
          <w:bCs/>
          <w:sz w:val="20"/>
          <w:szCs w:val="20"/>
          <w:lang w:val="en-US" w:eastAsia="en-CA"/>
        </w:rPr>
        <w:t xml:space="preserve"> </w:t>
      </w:r>
      <w:r w:rsidRPr="00CB1507">
        <w:rPr>
          <w:rFonts w:eastAsia="Times New Roman" w:cs="Times New Roman"/>
          <w:bCs/>
          <w:sz w:val="20"/>
          <w:szCs w:val="20"/>
          <w:lang w:val="en-US" w:eastAsia="en-CA"/>
        </w:rPr>
        <w:t>the filing of further documents would be vexatious;</w:t>
      </w:r>
    </w:p>
    <w:p w:rsidR="00CB1507" w:rsidRPr="00CB1507" w:rsidRDefault="00CB1507" w:rsidP="00CB1507">
      <w:pPr>
        <w:jc w:val="both"/>
        <w:rPr>
          <w:rFonts w:eastAsia="Times New Roman" w:cs="Times New Roman"/>
          <w:b/>
          <w:bCs/>
          <w:sz w:val="20"/>
          <w:szCs w:val="20"/>
          <w:lang w:val="en-US" w:eastAsia="en-CA"/>
        </w:rPr>
      </w:pPr>
    </w:p>
    <w:p w:rsidR="00CB1507" w:rsidRPr="00CB1507" w:rsidRDefault="00CB1507" w:rsidP="00CB1507">
      <w:pPr>
        <w:contextualSpacing/>
        <w:jc w:val="both"/>
        <w:rPr>
          <w:rFonts w:cs="Times New Roman"/>
          <w:bCs/>
          <w:kern w:val="36"/>
          <w:sz w:val="20"/>
          <w:szCs w:val="20"/>
        </w:rPr>
      </w:pPr>
      <w:r w:rsidRPr="00CB1507">
        <w:rPr>
          <w:rFonts w:cs="Times New Roman"/>
          <w:b/>
          <w:bCs/>
          <w:sz w:val="20"/>
          <w:szCs w:val="20"/>
        </w:rPr>
        <w:t xml:space="preserve">I HEREBY ORDER THAT </w:t>
      </w:r>
      <w:r w:rsidRPr="00CB1507">
        <w:rPr>
          <w:rFonts w:cs="Times New Roman"/>
          <w:bCs/>
          <w:kern w:val="36"/>
          <w:sz w:val="20"/>
          <w:szCs w:val="20"/>
        </w:rPr>
        <w:t>Ms. Shi is prohibited from filing further documents relating to these proceedings. The documents received from Ms. Shi on January 8, 2015, and after that date are not accepted for filing and shall be returned to Ms. Shi.</w:t>
      </w:r>
    </w:p>
    <w:p w:rsidR="00CB1507" w:rsidRPr="00CB1507" w:rsidRDefault="00CB1507" w:rsidP="00CB1507">
      <w:pPr>
        <w:contextualSpacing/>
        <w:jc w:val="both"/>
        <w:rPr>
          <w:rFonts w:cs="Times New Roman"/>
          <w:bCs/>
          <w:kern w:val="36"/>
          <w:sz w:val="20"/>
          <w:szCs w:val="20"/>
        </w:rPr>
      </w:pPr>
    </w:p>
    <w:p w:rsidR="00CB1507" w:rsidRPr="00CB1507" w:rsidRDefault="00CB1507" w:rsidP="00CB1507">
      <w:pPr>
        <w:contextualSpacing/>
        <w:jc w:val="both"/>
        <w:rPr>
          <w:rFonts w:cs="Times New Roman"/>
          <w:bCs/>
          <w:kern w:val="36"/>
          <w:sz w:val="20"/>
          <w:szCs w:val="20"/>
        </w:rPr>
      </w:pPr>
    </w:p>
    <w:p w:rsidR="00CB1507" w:rsidRPr="00CB1507" w:rsidRDefault="00CB1507" w:rsidP="00CB1507">
      <w:pPr>
        <w:contextualSpacing/>
        <w:jc w:val="both"/>
        <w:rPr>
          <w:rFonts w:cs="Times New Roman"/>
          <w:bCs/>
          <w:kern w:val="36"/>
          <w:sz w:val="20"/>
          <w:szCs w:val="20"/>
        </w:rPr>
      </w:pPr>
    </w:p>
    <w:p w:rsidR="00CB1507" w:rsidRPr="00CB1507" w:rsidRDefault="00CB1507" w:rsidP="00CB1507">
      <w:pPr>
        <w:jc w:val="both"/>
        <w:rPr>
          <w:rFonts w:eastAsia="Times New Roman" w:cs="Times New Roman"/>
          <w:sz w:val="20"/>
          <w:szCs w:val="20"/>
          <w:lang w:val="fr-CA" w:eastAsia="en-CA"/>
        </w:rPr>
      </w:pPr>
      <w:r w:rsidRPr="00CB1507">
        <w:rPr>
          <w:rFonts w:eastAsia="Times New Roman" w:cs="Times New Roman"/>
          <w:b/>
          <w:sz w:val="20"/>
          <w:szCs w:val="20"/>
          <w:lang w:val="fr-CA" w:eastAsia="en-CA"/>
        </w:rPr>
        <w:t xml:space="preserve">ATTENDU </w:t>
      </w:r>
      <w:r w:rsidRPr="00CB1507">
        <w:rPr>
          <w:rFonts w:eastAsia="Times New Roman" w:cs="Times New Roman"/>
          <w:sz w:val="20"/>
          <w:szCs w:val="20"/>
          <w:lang w:val="fr-CA" w:eastAsia="en-CA"/>
        </w:rPr>
        <w:t>que, après avoir reçu le 8 janvier 2015 un document expédié par M</w:t>
      </w:r>
      <w:r w:rsidRPr="00CB1507">
        <w:rPr>
          <w:rFonts w:eastAsia="Times New Roman" w:cs="Times New Roman"/>
          <w:sz w:val="20"/>
          <w:szCs w:val="20"/>
          <w:vertAlign w:val="superscript"/>
          <w:lang w:val="fr-CA" w:eastAsia="en-CA"/>
        </w:rPr>
        <w:t>me</w:t>
      </w:r>
      <w:r w:rsidRPr="00CB1507">
        <w:rPr>
          <w:rFonts w:eastAsia="Times New Roman" w:cs="Times New Roman"/>
          <w:sz w:val="20"/>
          <w:szCs w:val="20"/>
          <w:lang w:val="fr-CA" w:eastAsia="en-CA"/>
        </w:rPr>
        <w:t> Weihua Shi et intitulé « Requête à un juge », le registraire a envoyé à M</w:t>
      </w:r>
      <w:r w:rsidRPr="00CB1507">
        <w:rPr>
          <w:rFonts w:eastAsia="Times New Roman" w:cs="Times New Roman"/>
          <w:sz w:val="20"/>
          <w:szCs w:val="20"/>
          <w:vertAlign w:val="superscript"/>
          <w:lang w:val="fr-CA" w:eastAsia="en-CA"/>
        </w:rPr>
        <w:t>me</w:t>
      </w:r>
      <w:r w:rsidRPr="00CB1507">
        <w:rPr>
          <w:rFonts w:eastAsia="Times New Roman" w:cs="Times New Roman"/>
          <w:sz w:val="20"/>
          <w:szCs w:val="20"/>
          <w:lang w:val="fr-CA" w:eastAsia="en-CA"/>
        </w:rPr>
        <w:t xml:space="preserve"> Shi un préavis en application de l’art. 67 des </w:t>
      </w:r>
      <w:r w:rsidRPr="00CB1507">
        <w:rPr>
          <w:rFonts w:eastAsia="Times New Roman" w:cs="Times New Roman"/>
          <w:i/>
          <w:sz w:val="20"/>
          <w:szCs w:val="20"/>
          <w:lang w:val="fr-CA" w:eastAsia="en-CA"/>
        </w:rPr>
        <w:t>Règles de la Cour suprême du Canada</w:t>
      </w:r>
      <w:r w:rsidRPr="00CB1507">
        <w:rPr>
          <w:rFonts w:eastAsia="Times New Roman" w:cs="Times New Roman"/>
          <w:sz w:val="20"/>
          <w:szCs w:val="20"/>
          <w:lang w:val="fr-CA" w:eastAsia="en-CA"/>
        </w:rPr>
        <w:t>;</w:t>
      </w:r>
    </w:p>
    <w:p w:rsidR="00CB1507" w:rsidRPr="00CB1507" w:rsidRDefault="00CB1507" w:rsidP="00CB1507">
      <w:pPr>
        <w:contextualSpacing/>
        <w:jc w:val="both"/>
        <w:rPr>
          <w:rFonts w:cs="Times New Roman"/>
          <w:sz w:val="20"/>
          <w:szCs w:val="20"/>
          <w:lang w:val="fr-CA"/>
        </w:rPr>
      </w:pPr>
    </w:p>
    <w:p w:rsidR="00CB1507" w:rsidRPr="00CB1507" w:rsidRDefault="00CB1507" w:rsidP="00CB1507">
      <w:pPr>
        <w:jc w:val="both"/>
        <w:rPr>
          <w:rFonts w:eastAsia="Times New Roman" w:cs="Times New Roman"/>
          <w:sz w:val="20"/>
          <w:szCs w:val="20"/>
          <w:lang w:val="fr-CA" w:eastAsia="en-CA"/>
        </w:rPr>
      </w:pPr>
      <w:r w:rsidRPr="00CB1507">
        <w:rPr>
          <w:rFonts w:eastAsia="Times New Roman" w:cs="Times New Roman"/>
          <w:b/>
          <w:sz w:val="20"/>
          <w:szCs w:val="20"/>
          <w:lang w:val="fr-CA" w:eastAsia="en-CA"/>
        </w:rPr>
        <w:t xml:space="preserve">ET ATTENDU </w:t>
      </w:r>
      <w:r w:rsidRPr="00CB1507">
        <w:rPr>
          <w:rFonts w:eastAsia="Times New Roman" w:cs="Times New Roman"/>
          <w:sz w:val="20"/>
          <w:szCs w:val="20"/>
          <w:lang w:val="fr-CA" w:eastAsia="en-CA"/>
        </w:rPr>
        <w:t xml:space="preserve">que le registraire a demandé qu’un juge rende une ordonnance en vertu du par. 66(2) des </w:t>
      </w:r>
      <w:r w:rsidRPr="00CB1507">
        <w:rPr>
          <w:rFonts w:eastAsia="Times New Roman" w:cs="Times New Roman"/>
          <w:i/>
          <w:sz w:val="20"/>
          <w:szCs w:val="20"/>
          <w:lang w:val="fr-CA" w:eastAsia="en-CA"/>
        </w:rPr>
        <w:t>Règles de la Cour suprême du Canada</w:t>
      </w:r>
      <w:r w:rsidRPr="00CB1507">
        <w:rPr>
          <w:rFonts w:eastAsia="Times New Roman" w:cs="Times New Roman"/>
          <w:sz w:val="20"/>
          <w:szCs w:val="20"/>
          <w:lang w:val="fr-CA" w:eastAsia="en-CA"/>
        </w:rPr>
        <w:t>;</w:t>
      </w:r>
    </w:p>
    <w:p w:rsidR="00CB1507" w:rsidRPr="00CB1507" w:rsidRDefault="00CB1507" w:rsidP="00CB1507">
      <w:pPr>
        <w:contextualSpacing/>
        <w:jc w:val="both"/>
        <w:rPr>
          <w:rFonts w:cs="Times New Roman"/>
          <w:sz w:val="20"/>
          <w:szCs w:val="20"/>
          <w:lang w:val="fr-CA"/>
        </w:rPr>
      </w:pPr>
    </w:p>
    <w:p w:rsidR="00CB1507" w:rsidRPr="00CB1507" w:rsidRDefault="00CB1507" w:rsidP="00CB1507">
      <w:pPr>
        <w:jc w:val="both"/>
        <w:rPr>
          <w:rFonts w:eastAsia="Times New Roman" w:cs="Times New Roman"/>
          <w:sz w:val="20"/>
          <w:szCs w:val="20"/>
          <w:lang w:val="fr-CA" w:eastAsia="en-CA"/>
        </w:rPr>
      </w:pPr>
      <w:r w:rsidRPr="00CB1507">
        <w:rPr>
          <w:rFonts w:eastAsia="Times New Roman" w:cs="Times New Roman"/>
          <w:b/>
          <w:sz w:val="20"/>
          <w:szCs w:val="20"/>
          <w:lang w:val="fr-CA" w:eastAsia="en-CA"/>
        </w:rPr>
        <w:t xml:space="preserve">ET APRÈS EXAMEN </w:t>
      </w:r>
      <w:r w:rsidRPr="00CB1507">
        <w:rPr>
          <w:rFonts w:eastAsia="Times New Roman" w:cs="Times New Roman"/>
          <w:sz w:val="20"/>
          <w:szCs w:val="20"/>
          <w:lang w:val="fr-CA" w:eastAsia="en-CA"/>
        </w:rPr>
        <w:t>des documents déposés;</w:t>
      </w:r>
    </w:p>
    <w:p w:rsidR="00CB1507" w:rsidRPr="00CB1507" w:rsidRDefault="00CB1507" w:rsidP="00CB1507">
      <w:pPr>
        <w:jc w:val="both"/>
        <w:rPr>
          <w:rFonts w:eastAsia="Times New Roman" w:cs="Times New Roman"/>
          <w:sz w:val="20"/>
          <w:szCs w:val="20"/>
          <w:lang w:val="fr-CA" w:eastAsia="en-CA"/>
        </w:rPr>
      </w:pPr>
    </w:p>
    <w:p w:rsidR="00CB1507" w:rsidRPr="00CB1507" w:rsidRDefault="00CB1507" w:rsidP="00CB1507">
      <w:pPr>
        <w:jc w:val="both"/>
        <w:rPr>
          <w:rFonts w:eastAsia="Times New Roman" w:cs="Times New Roman"/>
          <w:sz w:val="20"/>
          <w:szCs w:val="20"/>
          <w:lang w:val="fr-CA" w:eastAsia="en-CA"/>
        </w:rPr>
      </w:pPr>
      <w:r w:rsidRPr="00CB1507">
        <w:rPr>
          <w:rFonts w:eastAsia="Times New Roman" w:cs="Times New Roman"/>
          <w:b/>
          <w:sz w:val="20"/>
          <w:szCs w:val="20"/>
          <w:lang w:val="fr-CA" w:eastAsia="en-CA"/>
        </w:rPr>
        <w:t>ET VU</w:t>
      </w:r>
      <w:r w:rsidRPr="00CB1507">
        <w:rPr>
          <w:rFonts w:eastAsia="Times New Roman" w:cs="Times New Roman"/>
          <w:sz w:val="20"/>
          <w:szCs w:val="20"/>
          <w:lang w:val="fr-CA" w:eastAsia="en-CA"/>
        </w:rPr>
        <w:t xml:space="preserve"> que je suis convaincue que le dépôt d’autres documents serait vexatoire;</w:t>
      </w:r>
    </w:p>
    <w:p w:rsidR="00CB1507" w:rsidRPr="00CB1507" w:rsidRDefault="00CB1507" w:rsidP="00CB1507">
      <w:pPr>
        <w:jc w:val="both"/>
        <w:rPr>
          <w:rFonts w:eastAsia="Times New Roman" w:cs="Times New Roman"/>
          <w:sz w:val="20"/>
          <w:szCs w:val="20"/>
          <w:lang w:val="fr-CA" w:eastAsia="en-CA"/>
        </w:rPr>
      </w:pPr>
    </w:p>
    <w:p w:rsidR="00CB1507" w:rsidRPr="00CB1507" w:rsidRDefault="00CB1507" w:rsidP="00CB1507">
      <w:pPr>
        <w:contextualSpacing/>
        <w:jc w:val="both"/>
        <w:rPr>
          <w:rFonts w:cs="Times New Roman"/>
          <w:bCs/>
          <w:kern w:val="36"/>
          <w:sz w:val="20"/>
          <w:szCs w:val="20"/>
          <w:lang w:val="fr-CA"/>
        </w:rPr>
      </w:pPr>
      <w:r w:rsidRPr="00CB1507">
        <w:rPr>
          <w:rFonts w:cs="Times New Roman"/>
          <w:b/>
          <w:sz w:val="20"/>
          <w:szCs w:val="20"/>
          <w:lang w:val="fr-CA"/>
        </w:rPr>
        <w:t xml:space="preserve">J’ORDONNE PAR LA PRÉSENTE </w:t>
      </w:r>
      <w:r w:rsidRPr="00CB1507">
        <w:rPr>
          <w:rFonts w:cs="Times New Roman"/>
          <w:sz w:val="20"/>
          <w:szCs w:val="20"/>
          <w:lang w:val="fr-CA"/>
        </w:rPr>
        <w:t>que M</w:t>
      </w:r>
      <w:r w:rsidRPr="00CB1507">
        <w:rPr>
          <w:rFonts w:cs="Times New Roman"/>
          <w:sz w:val="20"/>
          <w:szCs w:val="20"/>
          <w:vertAlign w:val="superscript"/>
          <w:lang w:val="fr-CA"/>
        </w:rPr>
        <w:t>me</w:t>
      </w:r>
      <w:r w:rsidRPr="00CB1507">
        <w:rPr>
          <w:rFonts w:cs="Times New Roman"/>
          <w:sz w:val="20"/>
          <w:szCs w:val="20"/>
          <w:lang w:val="fr-CA"/>
        </w:rPr>
        <w:t> Shi ne soit autorisée à déposer aucun nouveau document relativement au présent dossier. Le dépôt des documents expédiés par M</w:t>
      </w:r>
      <w:r w:rsidRPr="00CB1507">
        <w:rPr>
          <w:rFonts w:cs="Times New Roman"/>
          <w:sz w:val="20"/>
          <w:szCs w:val="20"/>
          <w:vertAlign w:val="superscript"/>
          <w:lang w:val="fr-CA"/>
        </w:rPr>
        <w:t>me</w:t>
      </w:r>
      <w:r w:rsidRPr="00CB1507">
        <w:rPr>
          <w:rFonts w:cs="Times New Roman"/>
          <w:sz w:val="20"/>
          <w:szCs w:val="20"/>
          <w:lang w:val="fr-CA"/>
        </w:rPr>
        <w:t> Shi et reçus par la Cour le 8 janvier 2015 et ultérieurement n’est pas accepté et les documents en question seront retournés à M</w:t>
      </w:r>
      <w:r w:rsidRPr="00CB1507">
        <w:rPr>
          <w:rFonts w:cs="Times New Roman"/>
          <w:sz w:val="20"/>
          <w:szCs w:val="20"/>
          <w:vertAlign w:val="superscript"/>
          <w:lang w:val="fr-CA"/>
        </w:rPr>
        <w:t>me</w:t>
      </w:r>
      <w:r w:rsidRPr="00CB1507">
        <w:rPr>
          <w:rFonts w:cs="Times New Roman"/>
          <w:sz w:val="20"/>
          <w:szCs w:val="20"/>
          <w:lang w:val="fr-CA"/>
        </w:rPr>
        <w:t> Shi.</w:t>
      </w:r>
    </w:p>
    <w:p w:rsidR="00CB1507" w:rsidRPr="00CB1507" w:rsidRDefault="00CB1507" w:rsidP="00CB1507">
      <w:pPr>
        <w:tabs>
          <w:tab w:val="left" w:pos="-1440"/>
          <w:tab w:val="left" w:pos="-720"/>
        </w:tabs>
        <w:jc w:val="both"/>
        <w:rPr>
          <w:rFonts w:eastAsia="Times New Roman" w:cs="Times New Roman"/>
          <w:sz w:val="20"/>
          <w:szCs w:val="20"/>
          <w:lang w:val="fr-CA" w:eastAsia="en-CA"/>
        </w:rPr>
      </w:pPr>
    </w:p>
    <w:p w:rsidR="00CB1507" w:rsidRPr="00CB1507" w:rsidRDefault="009C5A48" w:rsidP="00CB150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CB1507" w:rsidRPr="00CB1507" w:rsidRDefault="00CB1507" w:rsidP="00CB1507">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1A1D63">
            <w:pPr>
              <w:keepNext/>
              <w:keepLines/>
              <w:rPr>
                <w:b/>
                <w:szCs w:val="24"/>
              </w:rPr>
            </w:pPr>
            <w:r w:rsidRPr="00C50A5C">
              <w:rPr>
                <w:b/>
                <w:szCs w:val="24"/>
              </w:rPr>
              <w:lastRenderedPageBreak/>
              <w:t xml:space="preserve">AGENDA FOR </w:t>
            </w:r>
            <w:r w:rsidR="005F1ED8">
              <w:rPr>
                <w:b/>
                <w:szCs w:val="24"/>
              </w:rPr>
              <w:t>APRIL 201</w:t>
            </w:r>
            <w:r w:rsidR="001A1D63">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1A1D63">
            <w:pPr>
              <w:keepNext/>
              <w:keepLines/>
              <w:rPr>
                <w:b/>
                <w:szCs w:val="24"/>
                <w:lang w:val="fr-CA"/>
              </w:rPr>
            </w:pPr>
            <w:r w:rsidRPr="00C50A5C">
              <w:rPr>
                <w:b/>
                <w:szCs w:val="24"/>
                <w:lang w:val="fr-CA"/>
              </w:rPr>
              <w:t>CALENDRIER D</w:t>
            </w:r>
            <w:r w:rsidR="005F1ED8">
              <w:rPr>
                <w:b/>
                <w:szCs w:val="24"/>
                <w:lang w:val="fr-CA"/>
              </w:rPr>
              <w:t>’AV</w:t>
            </w:r>
            <w:r w:rsidRPr="00C50A5C">
              <w:rPr>
                <w:b/>
                <w:szCs w:val="24"/>
                <w:lang w:val="fr-CA"/>
              </w:rPr>
              <w:t>R</w:t>
            </w:r>
            <w:r w:rsidR="005F1ED8">
              <w:rPr>
                <w:b/>
                <w:szCs w:val="24"/>
                <w:lang w:val="fr-CA"/>
              </w:rPr>
              <w:t>IL</w:t>
            </w:r>
            <w:r w:rsidRPr="00C50A5C">
              <w:rPr>
                <w:b/>
                <w:szCs w:val="24"/>
                <w:lang w:val="fr-CA"/>
              </w:rPr>
              <w:t xml:space="preserve"> </w:t>
            </w:r>
            <w:r w:rsidR="005F1ED8">
              <w:rPr>
                <w:b/>
                <w:szCs w:val="24"/>
                <w:lang w:val="fr-CA"/>
              </w:rPr>
              <w:t>201</w:t>
            </w:r>
            <w:r w:rsidR="001A1D63">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w:t>
      </w:r>
      <w:r w:rsidR="001A1D63">
        <w:rPr>
          <w:b/>
          <w:sz w:val="20"/>
          <w:szCs w:val="20"/>
        </w:rPr>
        <w:t>0</w:t>
      </w:r>
      <w:r w:rsidRPr="00DD0B49">
        <w:rPr>
          <w:b/>
          <w:sz w:val="20"/>
          <w:szCs w:val="20"/>
        </w:rPr>
        <w:t xml:space="preserve">f </w:t>
      </w:r>
      <w:r>
        <w:rPr>
          <w:b/>
          <w:sz w:val="20"/>
          <w:szCs w:val="20"/>
        </w:rPr>
        <w:t xml:space="preserve">April </w:t>
      </w:r>
      <w:r w:rsidRPr="00DD0B49">
        <w:rPr>
          <w:b/>
          <w:sz w:val="20"/>
          <w:szCs w:val="20"/>
        </w:rPr>
        <w:t>1</w:t>
      </w:r>
      <w:r w:rsidR="001A1D63">
        <w:rPr>
          <w:b/>
          <w:sz w:val="20"/>
          <w:szCs w:val="20"/>
        </w:rPr>
        <w:t>3</w:t>
      </w:r>
      <w:r w:rsidRPr="00DD0B49">
        <w:rPr>
          <w:b/>
          <w:sz w:val="20"/>
          <w:szCs w:val="20"/>
        </w:rPr>
        <w:t xml:space="preserve"> and </w:t>
      </w:r>
      <w:r>
        <w:rPr>
          <w:b/>
          <w:sz w:val="20"/>
          <w:szCs w:val="20"/>
        </w:rPr>
        <w:t>2</w:t>
      </w:r>
      <w:r w:rsidR="00121A5A">
        <w:rPr>
          <w:b/>
          <w:sz w:val="20"/>
          <w:szCs w:val="20"/>
        </w:rPr>
        <w:t>0</w:t>
      </w:r>
      <w:r w:rsidRPr="00DD0B49">
        <w:rPr>
          <w:b/>
          <w:sz w:val="20"/>
          <w:szCs w:val="20"/>
        </w:rPr>
        <w:t>, 201</w:t>
      </w:r>
      <w:r w:rsidR="001A1D63">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CALENDRIER de la semaine du 1</w:t>
      </w:r>
      <w:r w:rsidR="001A1D63">
        <w:rPr>
          <w:b/>
          <w:sz w:val="20"/>
          <w:szCs w:val="20"/>
          <w:lang w:val="fr-CA"/>
        </w:rPr>
        <w:t>3</w:t>
      </w:r>
      <w:r>
        <w:rPr>
          <w:b/>
          <w:sz w:val="20"/>
          <w:szCs w:val="20"/>
          <w:lang w:val="fr-CA"/>
        </w:rPr>
        <w:t xml:space="preserve"> avril </w:t>
      </w:r>
      <w:r w:rsidRPr="00DD0B49">
        <w:rPr>
          <w:b/>
          <w:sz w:val="20"/>
          <w:szCs w:val="20"/>
          <w:lang w:val="fr-CA"/>
        </w:rPr>
        <w:t xml:space="preserve">et celle du </w:t>
      </w:r>
      <w:r>
        <w:rPr>
          <w:b/>
          <w:sz w:val="20"/>
          <w:szCs w:val="20"/>
          <w:lang w:val="fr-CA"/>
        </w:rPr>
        <w:t>2</w:t>
      </w:r>
      <w:r w:rsidR="001A1D63">
        <w:rPr>
          <w:b/>
          <w:sz w:val="20"/>
          <w:szCs w:val="20"/>
          <w:lang w:val="fr-CA"/>
        </w:rPr>
        <w:t>0</w:t>
      </w:r>
      <w:r w:rsidRPr="00DD0B49">
        <w:rPr>
          <w:b/>
          <w:sz w:val="20"/>
          <w:szCs w:val="20"/>
          <w:lang w:val="fr-CA"/>
        </w:rPr>
        <w:t xml:space="preserve"> </w:t>
      </w:r>
      <w:r>
        <w:rPr>
          <w:b/>
          <w:sz w:val="20"/>
          <w:szCs w:val="20"/>
          <w:lang w:val="fr-CA"/>
        </w:rPr>
        <w:t>a</w:t>
      </w:r>
      <w:r w:rsidRPr="00DD0B49">
        <w:rPr>
          <w:b/>
          <w:sz w:val="20"/>
          <w:szCs w:val="20"/>
          <w:lang w:val="fr-CA"/>
        </w:rPr>
        <w:t>vr</w:t>
      </w:r>
      <w:r>
        <w:rPr>
          <w:b/>
          <w:sz w:val="20"/>
          <w:szCs w:val="20"/>
          <w:lang w:val="fr-CA"/>
        </w:rPr>
        <w:t>il</w:t>
      </w:r>
      <w:r w:rsidRPr="00DD0B49">
        <w:rPr>
          <w:b/>
          <w:sz w:val="20"/>
          <w:szCs w:val="20"/>
          <w:lang w:val="fr-CA"/>
        </w:rPr>
        <w:t xml:space="preserve"> 201</w:t>
      </w:r>
      <w:r w:rsidR="001A1D63">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Pr>
          <w:sz w:val="20"/>
          <w:szCs w:val="20"/>
        </w:rPr>
        <w:t xml:space="preserve">April </w:t>
      </w:r>
      <w:r w:rsidR="001A1D63">
        <w:rPr>
          <w:sz w:val="20"/>
          <w:szCs w:val="20"/>
        </w:rPr>
        <w:t>6</w:t>
      </w:r>
      <w:r w:rsidRPr="00DD0B49">
        <w:rPr>
          <w:sz w:val="20"/>
          <w:szCs w:val="20"/>
        </w:rPr>
        <w:t xml:space="preserve"> and 2</w:t>
      </w:r>
      <w:r w:rsidR="001A1D63">
        <w:rPr>
          <w:sz w:val="20"/>
          <w:szCs w:val="20"/>
        </w:rPr>
        <w:t>7</w:t>
      </w:r>
      <w:r w:rsidRPr="00DD0B49">
        <w:rPr>
          <w:sz w:val="20"/>
          <w:szCs w:val="20"/>
        </w:rPr>
        <w:t>, 201</w:t>
      </w:r>
      <w:r w:rsidR="001A1D63">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1A1D63">
        <w:rPr>
          <w:sz w:val="20"/>
          <w:szCs w:val="20"/>
          <w:lang w:val="fr-CA"/>
        </w:rPr>
        <w:t>6</w:t>
      </w:r>
      <w:r w:rsidRPr="00DD0B49">
        <w:rPr>
          <w:sz w:val="20"/>
          <w:szCs w:val="20"/>
          <w:lang w:val="fr-CA"/>
        </w:rPr>
        <w:t xml:space="preserve"> et du 2</w:t>
      </w:r>
      <w:r w:rsidR="001A1D63">
        <w:rPr>
          <w:sz w:val="20"/>
          <w:szCs w:val="20"/>
          <w:lang w:val="fr-CA"/>
        </w:rPr>
        <w:t>7</w:t>
      </w:r>
      <w:r w:rsidRPr="00DD0B49">
        <w:rPr>
          <w:sz w:val="20"/>
          <w:szCs w:val="20"/>
          <w:lang w:val="fr-CA"/>
        </w:rPr>
        <w:t xml:space="preserve"> </w:t>
      </w:r>
      <w:r>
        <w:rPr>
          <w:sz w:val="20"/>
          <w:szCs w:val="20"/>
          <w:lang w:val="fr-CA"/>
        </w:rPr>
        <w:t>a</w:t>
      </w:r>
      <w:r w:rsidRPr="00DD0B49">
        <w:rPr>
          <w:sz w:val="20"/>
          <w:szCs w:val="20"/>
          <w:lang w:val="fr-CA"/>
        </w:rPr>
        <w:t>v</w:t>
      </w:r>
      <w:r>
        <w:rPr>
          <w:sz w:val="20"/>
          <w:szCs w:val="20"/>
          <w:lang w:val="fr-CA"/>
        </w:rPr>
        <w:t>ril</w:t>
      </w:r>
      <w:r w:rsidRPr="00DD0B49">
        <w:rPr>
          <w:sz w:val="20"/>
          <w:szCs w:val="20"/>
          <w:lang w:val="fr-CA"/>
        </w:rPr>
        <w:t xml:space="preserve"> 201</w:t>
      </w:r>
      <w:r w:rsidR="0023049F">
        <w:rPr>
          <w:sz w:val="20"/>
          <w:szCs w:val="20"/>
          <w:lang w:val="fr-CA"/>
        </w:rPr>
        <w:t>5</w:t>
      </w:r>
      <w:r w:rsidRPr="00DD0B49">
        <w:rPr>
          <w:sz w:val="20"/>
          <w:szCs w:val="20"/>
          <w:lang w:val="fr-CA"/>
        </w:rPr>
        <w:t>.</w:t>
      </w:r>
    </w:p>
    <w:p w:rsidR="004B66B4" w:rsidRPr="00DD0B49" w:rsidRDefault="009C5A48" w:rsidP="004B66B4">
      <w:pPr>
        <w:rPr>
          <w:sz w:val="20"/>
          <w:szCs w:val="20"/>
        </w:rPr>
      </w:pPr>
      <w:r>
        <w:rPr>
          <w:sz w:val="20"/>
          <w:szCs w:val="20"/>
        </w:rPr>
        <w:pict>
          <v:rect id="_x0000_i1052"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EF277E"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5F1ED8" w:rsidRPr="003A74F5" w:rsidTr="005F1ED8">
        <w:trPr>
          <w:cantSplit/>
          <w:trHeight w:hRule="exact" w:val="648"/>
        </w:trPr>
        <w:tc>
          <w:tcPr>
            <w:tcW w:w="2398" w:type="dxa"/>
          </w:tcPr>
          <w:p w:rsidR="005F1ED8" w:rsidRPr="003A74F5" w:rsidRDefault="005F1ED8" w:rsidP="0023049F">
            <w:pPr>
              <w:rPr>
                <w:rFonts w:eastAsia="Calibri" w:cs="Times New Roman"/>
                <w:sz w:val="20"/>
                <w:szCs w:val="20"/>
              </w:rPr>
            </w:pPr>
            <w:r>
              <w:rPr>
                <w:rFonts w:eastAsia="Calibri" w:cs="Times New Roman"/>
                <w:sz w:val="20"/>
                <w:szCs w:val="20"/>
              </w:rPr>
              <w:t>201</w:t>
            </w:r>
            <w:r w:rsidR="0023049F">
              <w:rPr>
                <w:rFonts w:eastAsia="Calibri" w:cs="Times New Roman"/>
                <w:sz w:val="20"/>
                <w:szCs w:val="20"/>
              </w:rPr>
              <w:t>5</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1</w:t>
            </w:r>
            <w:r w:rsidR="0023049F">
              <w:rPr>
                <w:rFonts w:eastAsia="Calibri" w:cs="Times New Roman"/>
                <w:sz w:val="20"/>
                <w:szCs w:val="20"/>
              </w:rPr>
              <w:t>6</w:t>
            </w:r>
          </w:p>
        </w:tc>
        <w:tc>
          <w:tcPr>
            <w:tcW w:w="7178" w:type="dxa"/>
          </w:tcPr>
          <w:p w:rsidR="005F1ED8" w:rsidRPr="003A74F5" w:rsidRDefault="0023049F" w:rsidP="0023049F">
            <w:pPr>
              <w:jc w:val="both"/>
              <w:rPr>
                <w:rFonts w:eastAsia="Calibri" w:cs="Times New Roman"/>
                <w:sz w:val="20"/>
                <w:szCs w:val="20"/>
              </w:rPr>
            </w:pPr>
            <w:r>
              <w:rPr>
                <w:rFonts w:eastAsia="Calibri" w:cs="Times New Roman"/>
                <w:i/>
                <w:sz w:val="20"/>
                <w:szCs w:val="20"/>
              </w:rPr>
              <w:t xml:space="preserve">Jeyakannan Kanthasamy </w:t>
            </w:r>
            <w:r w:rsidR="005F1ED8" w:rsidRPr="003A74F5">
              <w:rPr>
                <w:rFonts w:eastAsia="Calibri" w:cs="Times New Roman"/>
                <w:i/>
                <w:sz w:val="20"/>
                <w:szCs w:val="20"/>
              </w:rPr>
              <w:t xml:space="preserve">v. </w:t>
            </w:r>
            <w:r>
              <w:rPr>
                <w:rFonts w:eastAsia="Calibri" w:cs="Times New Roman"/>
                <w:i/>
                <w:sz w:val="20"/>
                <w:szCs w:val="20"/>
              </w:rPr>
              <w:t>Minis</w:t>
            </w:r>
            <w:r w:rsidR="005F1ED8">
              <w:rPr>
                <w:rFonts w:eastAsia="Calibri" w:cs="Times New Roman"/>
                <w:i/>
                <w:sz w:val="20"/>
                <w:szCs w:val="20"/>
              </w:rPr>
              <w:t>t</w:t>
            </w:r>
            <w:r w:rsidR="005F1ED8" w:rsidRPr="003A74F5">
              <w:rPr>
                <w:rFonts w:eastAsia="Calibri" w:cs="Times New Roman"/>
                <w:i/>
                <w:sz w:val="20"/>
                <w:szCs w:val="20"/>
              </w:rPr>
              <w:t>e</w:t>
            </w:r>
            <w:r>
              <w:rPr>
                <w:rFonts w:eastAsia="Calibri" w:cs="Times New Roman"/>
                <w:i/>
                <w:sz w:val="20"/>
                <w:szCs w:val="20"/>
              </w:rPr>
              <w:t>r of C</w:t>
            </w:r>
            <w:r w:rsidR="005F1ED8">
              <w:rPr>
                <w:rFonts w:eastAsia="Calibri" w:cs="Times New Roman"/>
                <w:i/>
                <w:sz w:val="20"/>
                <w:szCs w:val="20"/>
              </w:rPr>
              <w:t>iti</w:t>
            </w:r>
            <w:r>
              <w:rPr>
                <w:rFonts w:eastAsia="Calibri" w:cs="Times New Roman"/>
                <w:i/>
                <w:sz w:val="20"/>
                <w:szCs w:val="20"/>
              </w:rPr>
              <w:t>zen</w:t>
            </w:r>
            <w:r w:rsidR="005F1ED8">
              <w:rPr>
                <w:rFonts w:eastAsia="Calibri" w:cs="Times New Roman"/>
                <w:i/>
                <w:sz w:val="20"/>
                <w:szCs w:val="20"/>
              </w:rPr>
              <w:t>shi</w:t>
            </w:r>
            <w:r>
              <w:rPr>
                <w:rFonts w:eastAsia="Calibri" w:cs="Times New Roman"/>
                <w:i/>
                <w:sz w:val="20"/>
                <w:szCs w:val="20"/>
              </w:rPr>
              <w:t>p and Immigr</w:t>
            </w:r>
            <w:r w:rsidR="005F1ED8">
              <w:rPr>
                <w:rFonts w:eastAsia="Calibri" w:cs="Times New Roman"/>
                <w:i/>
                <w:sz w:val="20"/>
                <w:szCs w:val="20"/>
              </w:rPr>
              <w:t>a</w:t>
            </w:r>
            <w:r>
              <w:rPr>
                <w:rFonts w:eastAsia="Calibri" w:cs="Times New Roman"/>
                <w:i/>
                <w:sz w:val="20"/>
                <w:szCs w:val="20"/>
              </w:rPr>
              <w:t>tion</w:t>
            </w:r>
            <w:r w:rsidR="005F1ED8">
              <w:rPr>
                <w:rFonts w:eastAsia="Calibri" w:cs="Times New Roman"/>
                <w:i/>
                <w:sz w:val="20"/>
                <w:szCs w:val="20"/>
              </w:rPr>
              <w:t xml:space="preserve"> </w:t>
            </w:r>
            <w:r w:rsidR="005F1ED8" w:rsidRPr="003A74F5">
              <w:rPr>
                <w:rFonts w:eastAsia="Calibri" w:cs="Times New Roman"/>
                <w:sz w:val="20"/>
                <w:szCs w:val="20"/>
              </w:rPr>
              <w:t>(</w:t>
            </w:r>
            <w:r>
              <w:rPr>
                <w:rFonts w:eastAsia="Calibri" w:cs="Times New Roman"/>
                <w:sz w:val="20"/>
                <w:szCs w:val="20"/>
              </w:rPr>
              <w:t>F</w:t>
            </w:r>
            <w:r w:rsidR="005F1ED8">
              <w:rPr>
                <w:rFonts w:eastAsia="Calibri" w:cs="Times New Roman"/>
                <w:sz w:val="20"/>
                <w:szCs w:val="20"/>
              </w:rPr>
              <w:t>.C</w:t>
            </w:r>
            <w:r w:rsidR="005F1ED8" w:rsidRPr="003A74F5">
              <w:rPr>
                <w:rFonts w:eastAsia="Calibri" w:cs="Times New Roman"/>
                <w:sz w:val="20"/>
                <w:szCs w:val="20"/>
              </w:rPr>
              <w:t>.) (Ci</w:t>
            </w:r>
            <w:r w:rsidR="005F1ED8">
              <w:rPr>
                <w:rFonts w:eastAsia="Calibri" w:cs="Times New Roman"/>
                <w:sz w:val="20"/>
                <w:szCs w:val="20"/>
              </w:rPr>
              <w:t>v</w:t>
            </w:r>
            <w:r w:rsidR="005F1ED8" w:rsidRPr="003A74F5">
              <w:rPr>
                <w:rFonts w:eastAsia="Calibri" w:cs="Times New Roman"/>
                <w:sz w:val="20"/>
                <w:szCs w:val="20"/>
              </w:rPr>
              <w:t>il) (By</w:t>
            </w:r>
            <w:r>
              <w:rPr>
                <w:rFonts w:eastAsia="Calibri" w:cs="Times New Roman"/>
                <w:sz w:val="20"/>
                <w:szCs w:val="20"/>
              </w:rPr>
              <w:t> </w:t>
            </w:r>
            <w:r w:rsidR="005F1ED8" w:rsidRPr="003A74F5">
              <w:rPr>
                <w:rFonts w:eastAsia="Calibri" w:cs="Times New Roman"/>
                <w:sz w:val="20"/>
                <w:szCs w:val="20"/>
              </w:rPr>
              <w:t>Leave) (3</w:t>
            </w:r>
            <w:r w:rsidR="005F1ED8">
              <w:rPr>
                <w:rFonts w:eastAsia="Calibri" w:cs="Times New Roman"/>
                <w:sz w:val="20"/>
                <w:szCs w:val="20"/>
              </w:rPr>
              <w:t>5</w:t>
            </w:r>
            <w:r>
              <w:rPr>
                <w:rFonts w:eastAsia="Calibri" w:cs="Times New Roman"/>
                <w:sz w:val="20"/>
                <w:szCs w:val="20"/>
              </w:rPr>
              <w:t>990</w:t>
            </w:r>
            <w:r w:rsidR="005F1ED8" w:rsidRPr="003A74F5">
              <w:rPr>
                <w:rFonts w:eastAsia="Calibri" w:cs="Times New Roman"/>
                <w:sz w:val="20"/>
                <w:szCs w:val="20"/>
              </w:rPr>
              <w:t>)</w:t>
            </w:r>
          </w:p>
        </w:tc>
      </w:tr>
      <w:tr w:rsidR="005F1ED8" w:rsidRPr="003A74F5" w:rsidTr="005F1ED8">
        <w:trPr>
          <w:cantSplit/>
          <w:trHeight w:hRule="exact" w:val="648"/>
        </w:trPr>
        <w:tc>
          <w:tcPr>
            <w:tcW w:w="2398" w:type="dxa"/>
          </w:tcPr>
          <w:p w:rsidR="005F1ED8" w:rsidRPr="003A74F5" w:rsidRDefault="005F1ED8" w:rsidP="0023049F">
            <w:pPr>
              <w:rPr>
                <w:rFonts w:eastAsia="Calibri" w:cs="Times New Roman"/>
                <w:sz w:val="20"/>
                <w:szCs w:val="20"/>
              </w:rPr>
            </w:pPr>
            <w:r>
              <w:rPr>
                <w:rFonts w:eastAsia="Calibri" w:cs="Times New Roman"/>
                <w:sz w:val="20"/>
                <w:szCs w:val="20"/>
              </w:rPr>
              <w:t>201</w:t>
            </w:r>
            <w:r w:rsidR="0023049F">
              <w:rPr>
                <w:rFonts w:eastAsia="Calibri" w:cs="Times New Roman"/>
                <w:sz w:val="20"/>
                <w:szCs w:val="20"/>
              </w:rPr>
              <w:t>5</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1</w:t>
            </w:r>
            <w:r w:rsidR="0023049F">
              <w:rPr>
                <w:rFonts w:eastAsia="Calibri" w:cs="Times New Roman"/>
                <w:sz w:val="20"/>
                <w:szCs w:val="20"/>
              </w:rPr>
              <w:t>7</w:t>
            </w:r>
          </w:p>
        </w:tc>
        <w:tc>
          <w:tcPr>
            <w:tcW w:w="7178" w:type="dxa"/>
          </w:tcPr>
          <w:p w:rsidR="005F1ED8" w:rsidRPr="003A74F5" w:rsidRDefault="0023049F" w:rsidP="0023049F">
            <w:pPr>
              <w:jc w:val="both"/>
              <w:rPr>
                <w:rFonts w:eastAsia="Calibri" w:cs="Times New Roman"/>
                <w:sz w:val="20"/>
                <w:szCs w:val="20"/>
              </w:rPr>
            </w:pPr>
            <w:r>
              <w:rPr>
                <w:rFonts w:eastAsia="Calibri" w:cs="Times New Roman"/>
                <w:i/>
                <w:sz w:val="20"/>
                <w:szCs w:val="20"/>
              </w:rPr>
              <w:t>Zuric</w:t>
            </w:r>
            <w:r w:rsidR="005F1ED8">
              <w:rPr>
                <w:rFonts w:eastAsia="Calibri" w:cs="Times New Roman"/>
                <w:i/>
                <w:sz w:val="20"/>
                <w:szCs w:val="20"/>
              </w:rPr>
              <w:t>h</w:t>
            </w:r>
            <w:r>
              <w:rPr>
                <w:rFonts w:eastAsia="Calibri" w:cs="Times New Roman"/>
                <w:i/>
                <w:sz w:val="20"/>
                <w:szCs w:val="20"/>
              </w:rPr>
              <w:t xml:space="preserve"> Insur</w:t>
            </w:r>
            <w:r w:rsidR="005F1ED8">
              <w:rPr>
                <w:rFonts w:eastAsia="Calibri" w:cs="Times New Roman"/>
                <w:i/>
                <w:sz w:val="20"/>
                <w:szCs w:val="20"/>
              </w:rPr>
              <w:t>an</w:t>
            </w:r>
            <w:r>
              <w:rPr>
                <w:rFonts w:eastAsia="Calibri" w:cs="Times New Roman"/>
                <w:i/>
                <w:sz w:val="20"/>
                <w:szCs w:val="20"/>
              </w:rPr>
              <w:t>ce Company</w:t>
            </w:r>
            <w:r w:rsidR="005F1ED8">
              <w:rPr>
                <w:rFonts w:eastAsia="Calibri" w:cs="Times New Roman"/>
                <w:i/>
                <w:sz w:val="20"/>
                <w:szCs w:val="20"/>
              </w:rPr>
              <w:t xml:space="preserve"> </w:t>
            </w:r>
            <w:r w:rsidR="005F1ED8" w:rsidRPr="003A74F5">
              <w:rPr>
                <w:rFonts w:eastAsia="Calibri" w:cs="Times New Roman"/>
                <w:i/>
                <w:sz w:val="20"/>
                <w:szCs w:val="20"/>
              </w:rPr>
              <w:t xml:space="preserve">v. </w:t>
            </w:r>
            <w:r>
              <w:rPr>
                <w:rFonts w:eastAsia="Calibri" w:cs="Times New Roman"/>
                <w:i/>
                <w:sz w:val="20"/>
                <w:szCs w:val="20"/>
              </w:rPr>
              <w:t>Chubb Insu</w:t>
            </w:r>
            <w:r w:rsidR="005F1ED8" w:rsidRPr="003A74F5">
              <w:rPr>
                <w:rFonts w:eastAsia="Calibri" w:cs="Times New Roman"/>
                <w:i/>
                <w:sz w:val="20"/>
                <w:szCs w:val="20"/>
              </w:rPr>
              <w:t>ra</w:t>
            </w:r>
            <w:r>
              <w:rPr>
                <w:rFonts w:eastAsia="Calibri" w:cs="Times New Roman"/>
                <w:i/>
                <w:sz w:val="20"/>
                <w:szCs w:val="20"/>
              </w:rPr>
              <w:t>nc</w:t>
            </w:r>
            <w:r w:rsidR="005F1ED8" w:rsidRPr="003A74F5">
              <w:rPr>
                <w:rFonts w:eastAsia="Calibri" w:cs="Times New Roman"/>
                <w:i/>
                <w:sz w:val="20"/>
                <w:szCs w:val="20"/>
              </w:rPr>
              <w:t>e</w:t>
            </w:r>
            <w:r>
              <w:rPr>
                <w:rFonts w:eastAsia="Calibri" w:cs="Times New Roman"/>
                <w:i/>
                <w:sz w:val="20"/>
                <w:szCs w:val="20"/>
              </w:rPr>
              <w:t xml:space="preserve"> Compan</w:t>
            </w:r>
            <w:r w:rsidR="005F1ED8" w:rsidRPr="003A74F5">
              <w:rPr>
                <w:rFonts w:eastAsia="Calibri" w:cs="Times New Roman"/>
                <w:i/>
                <w:sz w:val="20"/>
                <w:szCs w:val="20"/>
              </w:rPr>
              <w:t>y</w:t>
            </w:r>
            <w:r>
              <w:rPr>
                <w:rFonts w:eastAsia="Calibri" w:cs="Times New Roman"/>
                <w:i/>
                <w:sz w:val="20"/>
                <w:szCs w:val="20"/>
              </w:rPr>
              <w:t xml:space="preserve"> of Ca</w:t>
            </w:r>
            <w:r w:rsidR="005F1ED8" w:rsidRPr="003A74F5">
              <w:rPr>
                <w:rFonts w:eastAsia="Calibri" w:cs="Times New Roman"/>
                <w:i/>
                <w:sz w:val="20"/>
                <w:szCs w:val="20"/>
              </w:rPr>
              <w:t>n</w:t>
            </w:r>
            <w:r>
              <w:rPr>
                <w:rFonts w:eastAsia="Calibri" w:cs="Times New Roman"/>
                <w:i/>
                <w:sz w:val="20"/>
                <w:szCs w:val="20"/>
              </w:rPr>
              <w:t>ada</w:t>
            </w:r>
            <w:r w:rsidR="005F1ED8" w:rsidRPr="003A74F5">
              <w:rPr>
                <w:rFonts w:eastAsia="Calibri" w:cs="Times New Roman"/>
                <w:sz w:val="20"/>
                <w:szCs w:val="20"/>
              </w:rPr>
              <w:t xml:space="preserve"> (</w:t>
            </w:r>
            <w:r>
              <w:rPr>
                <w:rFonts w:eastAsia="Calibri" w:cs="Times New Roman"/>
                <w:sz w:val="20"/>
                <w:szCs w:val="20"/>
              </w:rPr>
              <w:t>On</w:t>
            </w:r>
            <w:r w:rsidR="005F1ED8">
              <w:rPr>
                <w:rFonts w:eastAsia="Calibri" w:cs="Times New Roman"/>
                <w:sz w:val="20"/>
                <w:szCs w:val="20"/>
              </w:rPr>
              <w:t>t</w:t>
            </w:r>
            <w:r w:rsidR="005F1ED8" w:rsidRPr="003A74F5">
              <w:rPr>
                <w:rFonts w:eastAsia="Calibri" w:cs="Times New Roman"/>
                <w:sz w:val="20"/>
                <w:szCs w:val="20"/>
              </w:rPr>
              <w:t>.) (Ci</w:t>
            </w:r>
            <w:r>
              <w:rPr>
                <w:rFonts w:eastAsia="Calibri" w:cs="Times New Roman"/>
                <w:sz w:val="20"/>
                <w:szCs w:val="20"/>
              </w:rPr>
              <w:t>v</w:t>
            </w:r>
            <w:r w:rsidR="005F1ED8" w:rsidRPr="003A74F5">
              <w:rPr>
                <w:rFonts w:eastAsia="Calibri" w:cs="Times New Roman"/>
                <w:sz w:val="20"/>
                <w:szCs w:val="20"/>
              </w:rPr>
              <w:t>il) (</w:t>
            </w:r>
            <w:r w:rsidR="005F1ED8">
              <w:rPr>
                <w:rFonts w:eastAsia="Calibri" w:cs="Times New Roman"/>
                <w:sz w:val="20"/>
                <w:szCs w:val="20"/>
              </w:rPr>
              <w:t>By</w:t>
            </w:r>
            <w:r>
              <w:rPr>
                <w:rFonts w:eastAsia="Calibri" w:cs="Times New Roman"/>
                <w:sz w:val="20"/>
                <w:szCs w:val="20"/>
              </w:rPr>
              <w:t> </w:t>
            </w:r>
            <w:r w:rsidR="005F1ED8">
              <w:rPr>
                <w:rFonts w:eastAsia="Calibri" w:cs="Times New Roman"/>
                <w:sz w:val="20"/>
                <w:szCs w:val="20"/>
              </w:rPr>
              <w:t>Leave</w:t>
            </w:r>
            <w:r w:rsidR="005F1ED8" w:rsidRPr="003A74F5">
              <w:rPr>
                <w:rFonts w:eastAsia="Calibri" w:cs="Times New Roman"/>
                <w:sz w:val="20"/>
                <w:szCs w:val="20"/>
              </w:rPr>
              <w:t>) (3</w:t>
            </w:r>
            <w:r>
              <w:rPr>
                <w:rFonts w:eastAsia="Calibri" w:cs="Times New Roman"/>
                <w:sz w:val="20"/>
                <w:szCs w:val="20"/>
              </w:rPr>
              <w:t>600</w:t>
            </w:r>
            <w:r w:rsidR="005F1ED8">
              <w:rPr>
                <w:rFonts w:eastAsia="Calibri" w:cs="Times New Roman"/>
                <w:sz w:val="20"/>
                <w:szCs w:val="20"/>
              </w:rPr>
              <w:t>2</w:t>
            </w:r>
            <w:r w:rsidR="005F1ED8" w:rsidRPr="003A74F5">
              <w:rPr>
                <w:rFonts w:eastAsia="Calibri" w:cs="Times New Roman"/>
                <w:sz w:val="20"/>
                <w:szCs w:val="20"/>
              </w:rPr>
              <w:t>)</w:t>
            </w:r>
          </w:p>
        </w:tc>
      </w:tr>
      <w:tr w:rsidR="005F1ED8" w:rsidRPr="00C5600D" w:rsidTr="005F1ED8">
        <w:trPr>
          <w:cantSplit/>
          <w:trHeight w:hRule="exact" w:val="432"/>
        </w:trPr>
        <w:tc>
          <w:tcPr>
            <w:tcW w:w="2398" w:type="dxa"/>
          </w:tcPr>
          <w:p w:rsidR="005F1ED8" w:rsidRPr="003A74F5" w:rsidRDefault="0023049F" w:rsidP="0023049F">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20</w:t>
            </w:r>
          </w:p>
        </w:tc>
        <w:tc>
          <w:tcPr>
            <w:tcW w:w="7178" w:type="dxa"/>
          </w:tcPr>
          <w:p w:rsidR="005F1ED8" w:rsidRPr="0023049F" w:rsidRDefault="0023049F" w:rsidP="000002F7">
            <w:pPr>
              <w:jc w:val="both"/>
              <w:rPr>
                <w:rFonts w:eastAsia="Calibri" w:cs="Times New Roman"/>
                <w:sz w:val="20"/>
                <w:szCs w:val="20"/>
              </w:rPr>
            </w:pPr>
            <w:r w:rsidRPr="0023049F">
              <w:rPr>
                <w:rFonts w:eastAsia="Calibri" w:cs="Times New Roman"/>
                <w:i/>
                <w:sz w:val="20"/>
                <w:szCs w:val="20"/>
                <w:lang w:val="fr-CA"/>
              </w:rPr>
              <w:t>S</w:t>
            </w:r>
            <w:r w:rsidR="005F1ED8" w:rsidRPr="0023049F">
              <w:rPr>
                <w:rFonts w:eastAsia="Calibri" w:cs="Times New Roman"/>
                <w:i/>
                <w:sz w:val="20"/>
                <w:szCs w:val="20"/>
                <w:lang w:val="fr-CA"/>
              </w:rPr>
              <w:t>a</w:t>
            </w:r>
            <w:r w:rsidRPr="0023049F">
              <w:rPr>
                <w:rFonts w:eastAsia="Calibri" w:cs="Times New Roman"/>
                <w:i/>
                <w:sz w:val="20"/>
                <w:szCs w:val="20"/>
                <w:lang w:val="fr-CA"/>
              </w:rPr>
              <w:t>nof</w:t>
            </w:r>
            <w:r w:rsidR="000002F7">
              <w:rPr>
                <w:rFonts w:eastAsia="Calibri" w:cs="Times New Roman"/>
                <w:i/>
                <w:sz w:val="20"/>
                <w:szCs w:val="20"/>
                <w:lang w:val="fr-CA"/>
              </w:rPr>
              <w:t>i</w:t>
            </w:r>
            <w:r w:rsidRPr="0023049F">
              <w:rPr>
                <w:rFonts w:eastAsia="Calibri" w:cs="Times New Roman"/>
                <w:i/>
                <w:sz w:val="20"/>
                <w:szCs w:val="20"/>
                <w:lang w:val="fr-CA"/>
              </w:rPr>
              <w:t>-Av</w:t>
            </w:r>
            <w:r w:rsidR="005F1ED8" w:rsidRPr="0023049F">
              <w:rPr>
                <w:rFonts w:eastAsia="Calibri" w:cs="Times New Roman"/>
                <w:i/>
                <w:sz w:val="20"/>
                <w:szCs w:val="20"/>
                <w:lang w:val="fr-CA"/>
              </w:rPr>
              <w:t>e</w:t>
            </w:r>
            <w:r w:rsidRPr="0023049F">
              <w:rPr>
                <w:rFonts w:eastAsia="Calibri" w:cs="Times New Roman"/>
                <w:i/>
                <w:sz w:val="20"/>
                <w:szCs w:val="20"/>
                <w:lang w:val="fr-CA"/>
              </w:rPr>
              <w:t>n</w:t>
            </w:r>
            <w:r w:rsidR="005F1ED8" w:rsidRPr="0023049F">
              <w:rPr>
                <w:rFonts w:eastAsia="Calibri" w:cs="Times New Roman"/>
                <w:i/>
                <w:sz w:val="20"/>
                <w:szCs w:val="20"/>
                <w:lang w:val="fr-CA"/>
              </w:rPr>
              <w:t>tis</w:t>
            </w:r>
            <w:r w:rsidRPr="0023049F">
              <w:rPr>
                <w:rFonts w:eastAsia="Calibri" w:cs="Times New Roman"/>
                <w:i/>
                <w:sz w:val="20"/>
                <w:szCs w:val="20"/>
                <w:lang w:val="fr-CA"/>
              </w:rPr>
              <w:t xml:space="preserve"> et al.</w:t>
            </w:r>
            <w:r w:rsidR="005F1ED8" w:rsidRPr="0023049F">
              <w:rPr>
                <w:rFonts w:eastAsia="Calibri" w:cs="Times New Roman"/>
                <w:i/>
                <w:sz w:val="20"/>
                <w:szCs w:val="20"/>
                <w:lang w:val="fr-CA"/>
              </w:rPr>
              <w:t xml:space="preserve"> v. </w:t>
            </w:r>
            <w:r w:rsidRPr="0023049F">
              <w:rPr>
                <w:rFonts w:eastAsia="Calibri" w:cs="Times New Roman"/>
                <w:i/>
                <w:sz w:val="20"/>
                <w:szCs w:val="20"/>
                <w:lang w:val="fr-CA"/>
              </w:rPr>
              <w:t>Apot</w:t>
            </w:r>
            <w:r w:rsidR="005F1ED8" w:rsidRPr="0023049F">
              <w:rPr>
                <w:rFonts w:eastAsia="Calibri" w:cs="Times New Roman"/>
                <w:i/>
                <w:sz w:val="20"/>
                <w:szCs w:val="20"/>
                <w:lang w:val="fr-CA"/>
              </w:rPr>
              <w:t>e</w:t>
            </w:r>
            <w:r w:rsidRPr="0023049F">
              <w:rPr>
                <w:rFonts w:eastAsia="Calibri" w:cs="Times New Roman"/>
                <w:i/>
                <w:sz w:val="20"/>
                <w:szCs w:val="20"/>
                <w:lang w:val="fr-CA"/>
              </w:rPr>
              <w:t xml:space="preserve">x Inc. </w:t>
            </w:r>
            <w:r w:rsidR="005F1ED8" w:rsidRPr="0023049F">
              <w:rPr>
                <w:rFonts w:eastAsia="Calibri" w:cs="Times New Roman"/>
                <w:sz w:val="20"/>
                <w:szCs w:val="20"/>
              </w:rPr>
              <w:t>(</w:t>
            </w:r>
            <w:r w:rsidRPr="0023049F">
              <w:rPr>
                <w:rFonts w:eastAsia="Calibri" w:cs="Times New Roman"/>
                <w:sz w:val="20"/>
                <w:szCs w:val="20"/>
              </w:rPr>
              <w:t>F.C</w:t>
            </w:r>
            <w:r w:rsidR="005F1ED8" w:rsidRPr="0023049F">
              <w:rPr>
                <w:rFonts w:eastAsia="Calibri" w:cs="Times New Roman"/>
                <w:sz w:val="20"/>
                <w:szCs w:val="20"/>
              </w:rPr>
              <w:t>.) (Ci</w:t>
            </w:r>
            <w:r>
              <w:rPr>
                <w:rFonts w:eastAsia="Calibri" w:cs="Times New Roman"/>
                <w:sz w:val="20"/>
                <w:szCs w:val="20"/>
              </w:rPr>
              <w:t>v</w:t>
            </w:r>
            <w:r w:rsidR="005F1ED8" w:rsidRPr="0023049F">
              <w:rPr>
                <w:rFonts w:eastAsia="Calibri" w:cs="Times New Roman"/>
                <w:sz w:val="20"/>
                <w:szCs w:val="20"/>
              </w:rPr>
              <w:t>il) (By Leave) (35</w:t>
            </w:r>
            <w:r>
              <w:rPr>
                <w:rFonts w:eastAsia="Calibri" w:cs="Times New Roman"/>
                <w:sz w:val="20"/>
                <w:szCs w:val="20"/>
              </w:rPr>
              <w:t>886</w:t>
            </w:r>
            <w:r w:rsidR="005F1ED8" w:rsidRPr="0023049F">
              <w:rPr>
                <w:rFonts w:eastAsia="Calibri" w:cs="Times New Roman"/>
                <w:sz w:val="20"/>
                <w:szCs w:val="20"/>
              </w:rPr>
              <w:t>)</w:t>
            </w:r>
          </w:p>
        </w:tc>
      </w:tr>
      <w:tr w:rsidR="005F1ED8" w:rsidRPr="00EF277E" w:rsidTr="0023049F">
        <w:trPr>
          <w:cantSplit/>
          <w:trHeight w:hRule="exact" w:val="648"/>
        </w:trPr>
        <w:tc>
          <w:tcPr>
            <w:tcW w:w="2398" w:type="dxa"/>
          </w:tcPr>
          <w:p w:rsidR="005F1ED8" w:rsidRPr="0023049F" w:rsidRDefault="0023049F" w:rsidP="0023049F">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23</w:t>
            </w:r>
          </w:p>
        </w:tc>
        <w:tc>
          <w:tcPr>
            <w:tcW w:w="7178" w:type="dxa"/>
          </w:tcPr>
          <w:p w:rsidR="005F1ED8" w:rsidRPr="0023049F" w:rsidRDefault="0023049F" w:rsidP="0023049F">
            <w:pPr>
              <w:jc w:val="both"/>
              <w:rPr>
                <w:rFonts w:eastAsia="Calibri" w:cs="Times New Roman"/>
                <w:sz w:val="20"/>
                <w:szCs w:val="20"/>
                <w:lang w:val="fr-CA"/>
              </w:rPr>
            </w:pPr>
            <w:r w:rsidRPr="0023049F">
              <w:rPr>
                <w:rFonts w:eastAsia="Calibri" w:cs="Times New Roman"/>
                <w:i/>
                <w:sz w:val="20"/>
                <w:szCs w:val="20"/>
                <w:lang w:val="fr-CA"/>
              </w:rPr>
              <w:t>Da</w:t>
            </w:r>
            <w:r w:rsidR="005F1ED8" w:rsidRPr="0023049F">
              <w:rPr>
                <w:rFonts w:eastAsia="Calibri" w:cs="Times New Roman"/>
                <w:i/>
                <w:sz w:val="20"/>
                <w:szCs w:val="20"/>
                <w:lang w:val="fr-CA"/>
              </w:rPr>
              <w:t>vi</w:t>
            </w:r>
            <w:r w:rsidRPr="0023049F">
              <w:rPr>
                <w:rFonts w:eastAsia="Calibri" w:cs="Times New Roman"/>
                <w:i/>
                <w:sz w:val="20"/>
                <w:szCs w:val="20"/>
                <w:lang w:val="fr-CA"/>
              </w:rPr>
              <w:t>d C</w:t>
            </w:r>
            <w:r w:rsidR="005F1ED8" w:rsidRPr="0023049F">
              <w:rPr>
                <w:rFonts w:eastAsia="Calibri" w:cs="Times New Roman"/>
                <w:i/>
                <w:sz w:val="20"/>
                <w:szCs w:val="20"/>
                <w:lang w:val="fr-CA"/>
              </w:rPr>
              <w:t>a</w:t>
            </w:r>
            <w:r w:rsidRPr="0023049F">
              <w:rPr>
                <w:rFonts w:eastAsia="Calibri" w:cs="Times New Roman"/>
                <w:i/>
                <w:sz w:val="20"/>
                <w:szCs w:val="20"/>
                <w:lang w:val="fr-CA"/>
              </w:rPr>
              <w:t>pli</w:t>
            </w:r>
            <w:r w:rsidR="005F1ED8" w:rsidRPr="0023049F">
              <w:rPr>
                <w:rFonts w:eastAsia="Calibri" w:cs="Times New Roman"/>
                <w:i/>
                <w:sz w:val="20"/>
                <w:szCs w:val="20"/>
                <w:lang w:val="fr-CA"/>
              </w:rPr>
              <w:t xml:space="preserve">n </w:t>
            </w:r>
            <w:r w:rsidRPr="0023049F">
              <w:rPr>
                <w:rFonts w:eastAsia="Calibri" w:cs="Times New Roman"/>
                <w:i/>
                <w:sz w:val="20"/>
                <w:szCs w:val="20"/>
                <w:lang w:val="fr-CA"/>
              </w:rPr>
              <w:t>c</w:t>
            </w:r>
            <w:r w:rsidR="005F1ED8" w:rsidRPr="0023049F">
              <w:rPr>
                <w:rFonts w:eastAsia="Calibri" w:cs="Times New Roman"/>
                <w:i/>
                <w:sz w:val="20"/>
                <w:szCs w:val="20"/>
                <w:lang w:val="fr-CA"/>
              </w:rPr>
              <w:t xml:space="preserve">. </w:t>
            </w:r>
            <w:r w:rsidRPr="0023049F">
              <w:rPr>
                <w:rFonts w:eastAsia="Calibri" w:cs="Times New Roman"/>
                <w:i/>
                <w:sz w:val="20"/>
                <w:szCs w:val="20"/>
                <w:lang w:val="fr-CA"/>
              </w:rPr>
              <w:t>Minist</w:t>
            </w:r>
            <w:r w:rsidR="005F1ED8" w:rsidRPr="0023049F">
              <w:rPr>
                <w:rFonts w:eastAsia="Calibri" w:cs="Times New Roman"/>
                <w:i/>
                <w:sz w:val="20"/>
                <w:szCs w:val="20"/>
                <w:lang w:val="fr-CA"/>
              </w:rPr>
              <w:t>r</w:t>
            </w:r>
            <w:r w:rsidRPr="0023049F">
              <w:rPr>
                <w:rFonts w:eastAsia="Calibri" w:cs="Times New Roman"/>
                <w:i/>
                <w:sz w:val="20"/>
                <w:szCs w:val="20"/>
                <w:lang w:val="fr-CA"/>
              </w:rPr>
              <w:t>e de la Ju</w:t>
            </w:r>
            <w:r w:rsidR="005F1ED8" w:rsidRPr="0023049F">
              <w:rPr>
                <w:rFonts w:eastAsia="Calibri" w:cs="Times New Roman"/>
                <w:i/>
                <w:sz w:val="20"/>
                <w:szCs w:val="20"/>
                <w:lang w:val="fr-CA"/>
              </w:rPr>
              <w:t>st</w:t>
            </w:r>
            <w:r w:rsidRPr="0023049F">
              <w:rPr>
                <w:rFonts w:eastAsia="Calibri" w:cs="Times New Roman"/>
                <w:i/>
                <w:sz w:val="20"/>
                <w:szCs w:val="20"/>
                <w:lang w:val="fr-CA"/>
              </w:rPr>
              <w:t>ice du Ca</w:t>
            </w:r>
            <w:r w:rsidR="005F1ED8" w:rsidRPr="0023049F">
              <w:rPr>
                <w:rFonts w:eastAsia="Calibri" w:cs="Times New Roman"/>
                <w:i/>
                <w:sz w:val="20"/>
                <w:szCs w:val="20"/>
                <w:lang w:val="fr-CA"/>
              </w:rPr>
              <w:t>n</w:t>
            </w:r>
            <w:r w:rsidRPr="0023049F">
              <w:rPr>
                <w:rFonts w:eastAsia="Calibri" w:cs="Times New Roman"/>
                <w:i/>
                <w:sz w:val="20"/>
                <w:szCs w:val="20"/>
                <w:lang w:val="fr-CA"/>
              </w:rPr>
              <w:t>ada</w:t>
            </w:r>
            <w:r w:rsidR="005F1ED8" w:rsidRPr="0023049F">
              <w:rPr>
                <w:rFonts w:eastAsia="Calibri" w:cs="Times New Roman"/>
                <w:i/>
                <w:sz w:val="20"/>
                <w:szCs w:val="20"/>
                <w:lang w:val="fr-CA"/>
              </w:rPr>
              <w:t xml:space="preserve"> </w:t>
            </w:r>
            <w:r w:rsidR="005F1ED8" w:rsidRPr="0023049F">
              <w:rPr>
                <w:rFonts w:eastAsia="Calibri" w:cs="Times New Roman"/>
                <w:sz w:val="20"/>
                <w:szCs w:val="20"/>
                <w:lang w:val="fr-CA"/>
              </w:rPr>
              <w:t>(</w:t>
            </w:r>
            <w:r w:rsidRPr="0023049F">
              <w:rPr>
                <w:rFonts w:eastAsia="Calibri" w:cs="Times New Roman"/>
                <w:sz w:val="20"/>
                <w:szCs w:val="20"/>
                <w:lang w:val="fr-CA"/>
              </w:rPr>
              <w:t>Qc</w:t>
            </w:r>
            <w:r w:rsidR="005F1ED8" w:rsidRPr="0023049F">
              <w:rPr>
                <w:rFonts w:eastAsia="Calibri" w:cs="Times New Roman"/>
                <w:sz w:val="20"/>
                <w:szCs w:val="20"/>
                <w:lang w:val="fr-CA"/>
              </w:rPr>
              <w:t>) (Crimin</w:t>
            </w:r>
            <w:r w:rsidRPr="0023049F">
              <w:rPr>
                <w:rFonts w:eastAsia="Calibri" w:cs="Times New Roman"/>
                <w:sz w:val="20"/>
                <w:szCs w:val="20"/>
                <w:lang w:val="fr-CA"/>
              </w:rPr>
              <w:t>el</w:t>
            </w:r>
            <w:r w:rsidR="005F1ED8" w:rsidRPr="0023049F">
              <w:rPr>
                <w:rFonts w:eastAsia="Calibri" w:cs="Times New Roman"/>
                <w:sz w:val="20"/>
                <w:szCs w:val="20"/>
                <w:lang w:val="fr-CA"/>
              </w:rPr>
              <w:t>l</w:t>
            </w:r>
            <w:r>
              <w:rPr>
                <w:rFonts w:eastAsia="Calibri" w:cs="Times New Roman"/>
                <w:sz w:val="20"/>
                <w:szCs w:val="20"/>
                <w:lang w:val="fr-CA"/>
              </w:rPr>
              <w:t>e</w:t>
            </w:r>
            <w:r w:rsidR="005F1ED8" w:rsidRPr="0023049F">
              <w:rPr>
                <w:rFonts w:eastAsia="Calibri" w:cs="Times New Roman"/>
                <w:sz w:val="20"/>
                <w:szCs w:val="20"/>
                <w:lang w:val="fr-CA"/>
              </w:rPr>
              <w:t>) (</w:t>
            </w:r>
            <w:r>
              <w:rPr>
                <w:rFonts w:eastAsia="Calibri" w:cs="Times New Roman"/>
                <w:sz w:val="20"/>
                <w:szCs w:val="20"/>
                <w:lang w:val="fr-CA"/>
              </w:rPr>
              <w:t>Autorisation</w:t>
            </w:r>
            <w:r w:rsidR="005F1ED8" w:rsidRPr="0023049F">
              <w:rPr>
                <w:rFonts w:eastAsia="Calibri" w:cs="Times New Roman"/>
                <w:sz w:val="20"/>
                <w:szCs w:val="20"/>
                <w:lang w:val="fr-CA"/>
              </w:rPr>
              <w:t>) (35</w:t>
            </w:r>
            <w:r>
              <w:rPr>
                <w:rFonts w:eastAsia="Calibri" w:cs="Times New Roman"/>
                <w:sz w:val="20"/>
                <w:szCs w:val="20"/>
                <w:lang w:val="fr-CA"/>
              </w:rPr>
              <w:t>527</w:t>
            </w:r>
            <w:r w:rsidR="005F1ED8" w:rsidRPr="0023049F">
              <w:rPr>
                <w:rFonts w:eastAsia="Calibri" w:cs="Times New Roman"/>
                <w:sz w:val="20"/>
                <w:szCs w:val="20"/>
                <w:lang w:val="fr-CA"/>
              </w:rPr>
              <w:t>)</w:t>
            </w:r>
          </w:p>
        </w:tc>
      </w:tr>
      <w:tr w:rsidR="005F1ED8" w:rsidRPr="00216AEB" w:rsidTr="005F1ED8">
        <w:trPr>
          <w:cantSplit/>
          <w:trHeight w:hRule="exact" w:val="432"/>
        </w:trPr>
        <w:tc>
          <w:tcPr>
            <w:tcW w:w="2398" w:type="dxa"/>
          </w:tcPr>
          <w:p w:rsidR="005F1ED8" w:rsidRPr="0023049F" w:rsidRDefault="0023049F" w:rsidP="0023049F">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23</w:t>
            </w:r>
          </w:p>
        </w:tc>
        <w:tc>
          <w:tcPr>
            <w:tcW w:w="7178" w:type="dxa"/>
          </w:tcPr>
          <w:p w:rsidR="005F1ED8" w:rsidRPr="003B7455" w:rsidRDefault="0023049F" w:rsidP="002F7BF5">
            <w:pPr>
              <w:jc w:val="both"/>
              <w:rPr>
                <w:rFonts w:eastAsia="Calibri" w:cs="Times New Roman"/>
                <w:sz w:val="20"/>
                <w:szCs w:val="20"/>
              </w:rPr>
            </w:pPr>
            <w:r>
              <w:rPr>
                <w:rFonts w:eastAsia="Calibri" w:cs="Times New Roman"/>
                <w:i/>
                <w:sz w:val="20"/>
                <w:szCs w:val="20"/>
              </w:rPr>
              <w:t>Atto</w:t>
            </w:r>
            <w:r w:rsidR="005F1ED8" w:rsidRPr="003B7455">
              <w:rPr>
                <w:rFonts w:eastAsia="Calibri" w:cs="Times New Roman"/>
                <w:i/>
                <w:sz w:val="20"/>
                <w:szCs w:val="20"/>
              </w:rPr>
              <w:t>r</w:t>
            </w:r>
            <w:r>
              <w:rPr>
                <w:rFonts w:eastAsia="Calibri" w:cs="Times New Roman"/>
                <w:i/>
                <w:sz w:val="20"/>
                <w:szCs w:val="20"/>
              </w:rPr>
              <w:t>n</w:t>
            </w:r>
            <w:r w:rsidR="005F1ED8" w:rsidRPr="0085047E">
              <w:rPr>
                <w:rFonts w:eastAsia="Calibri" w:cs="Times New Roman"/>
                <w:i/>
                <w:sz w:val="20"/>
                <w:szCs w:val="20"/>
              </w:rPr>
              <w:t xml:space="preserve">ey </w:t>
            </w:r>
            <w:r>
              <w:rPr>
                <w:rFonts w:eastAsia="Calibri" w:cs="Times New Roman"/>
                <w:i/>
                <w:sz w:val="20"/>
                <w:szCs w:val="20"/>
              </w:rPr>
              <w:t>General of Ca</w:t>
            </w:r>
            <w:r w:rsidR="005F1ED8" w:rsidRPr="0085047E">
              <w:rPr>
                <w:rFonts w:eastAsia="Calibri" w:cs="Times New Roman"/>
                <w:i/>
                <w:sz w:val="20"/>
                <w:szCs w:val="20"/>
              </w:rPr>
              <w:t>n</w:t>
            </w:r>
            <w:r>
              <w:rPr>
                <w:rFonts w:eastAsia="Calibri" w:cs="Times New Roman"/>
                <w:i/>
                <w:sz w:val="20"/>
                <w:szCs w:val="20"/>
              </w:rPr>
              <w:t>ada</w:t>
            </w:r>
            <w:r w:rsidR="005F1ED8" w:rsidRPr="0085047E">
              <w:rPr>
                <w:rFonts w:eastAsia="Calibri" w:cs="Times New Roman"/>
                <w:sz w:val="20"/>
                <w:szCs w:val="20"/>
              </w:rPr>
              <w:t xml:space="preserve"> </w:t>
            </w:r>
            <w:r w:rsidR="005F1ED8" w:rsidRPr="003B7455">
              <w:rPr>
                <w:rFonts w:eastAsia="Calibri" w:cs="Times New Roman"/>
                <w:i/>
                <w:sz w:val="20"/>
                <w:szCs w:val="20"/>
              </w:rPr>
              <w:t>v.</w:t>
            </w:r>
            <w:r w:rsidR="005F1ED8">
              <w:rPr>
                <w:rFonts w:eastAsia="Calibri" w:cs="Times New Roman"/>
                <w:i/>
                <w:sz w:val="20"/>
                <w:szCs w:val="20"/>
              </w:rPr>
              <w:t xml:space="preserve"> </w:t>
            </w:r>
            <w:r>
              <w:rPr>
                <w:rFonts w:eastAsia="Calibri" w:cs="Times New Roman"/>
                <w:i/>
                <w:sz w:val="20"/>
                <w:szCs w:val="20"/>
              </w:rPr>
              <w:t>Ant</w:t>
            </w:r>
            <w:r w:rsidR="005F1ED8">
              <w:rPr>
                <w:rFonts w:eastAsia="Calibri" w:cs="Times New Roman"/>
                <w:i/>
                <w:sz w:val="20"/>
                <w:szCs w:val="20"/>
              </w:rPr>
              <w:t>h</w:t>
            </w:r>
            <w:r>
              <w:rPr>
                <w:rFonts w:eastAsia="Calibri" w:cs="Times New Roman"/>
                <w:i/>
                <w:sz w:val="20"/>
                <w:szCs w:val="20"/>
              </w:rPr>
              <w:t>o</w:t>
            </w:r>
            <w:r w:rsidR="005F1ED8">
              <w:rPr>
                <w:rFonts w:eastAsia="Calibri" w:cs="Times New Roman"/>
                <w:i/>
                <w:sz w:val="20"/>
                <w:szCs w:val="20"/>
              </w:rPr>
              <w:t>n</w:t>
            </w:r>
            <w:r>
              <w:rPr>
                <w:rFonts w:eastAsia="Calibri" w:cs="Times New Roman"/>
                <w:i/>
                <w:sz w:val="20"/>
                <w:szCs w:val="20"/>
              </w:rPr>
              <w:t>y Barnaby</w:t>
            </w:r>
            <w:r w:rsidR="005F1ED8" w:rsidRPr="003B7455">
              <w:rPr>
                <w:rFonts w:eastAsia="Calibri" w:cs="Times New Roman"/>
                <w:i/>
                <w:sz w:val="20"/>
                <w:szCs w:val="20"/>
              </w:rPr>
              <w:t xml:space="preserve"> </w:t>
            </w:r>
            <w:r w:rsidR="005F1ED8" w:rsidRPr="0085047E">
              <w:rPr>
                <w:rFonts w:eastAsia="Calibri" w:cs="Times New Roman"/>
                <w:sz w:val="20"/>
                <w:szCs w:val="20"/>
              </w:rPr>
              <w:t>(</w:t>
            </w:r>
            <w:r w:rsidR="002F7BF5">
              <w:rPr>
                <w:rFonts w:eastAsia="Calibri" w:cs="Times New Roman"/>
                <w:sz w:val="20"/>
                <w:szCs w:val="20"/>
              </w:rPr>
              <w:t>Que</w:t>
            </w:r>
            <w:r w:rsidR="005F1ED8" w:rsidRPr="0085047E">
              <w:rPr>
                <w:rFonts w:eastAsia="Calibri" w:cs="Times New Roman"/>
                <w:sz w:val="20"/>
                <w:szCs w:val="20"/>
              </w:rPr>
              <w:t xml:space="preserve">.) </w:t>
            </w:r>
            <w:r w:rsidR="005F1ED8" w:rsidRPr="003B7455">
              <w:rPr>
                <w:rFonts w:eastAsia="Calibri" w:cs="Times New Roman"/>
                <w:sz w:val="20"/>
                <w:szCs w:val="20"/>
              </w:rPr>
              <w:t>(Criminal) (</w:t>
            </w:r>
            <w:r w:rsidR="005F1ED8">
              <w:rPr>
                <w:rFonts w:eastAsia="Calibri" w:cs="Times New Roman"/>
                <w:sz w:val="20"/>
                <w:szCs w:val="20"/>
              </w:rPr>
              <w:t>By Leave)</w:t>
            </w:r>
            <w:r w:rsidR="005F1ED8" w:rsidRPr="003B7455">
              <w:rPr>
                <w:rFonts w:eastAsia="Calibri" w:cs="Times New Roman"/>
                <w:sz w:val="20"/>
                <w:szCs w:val="20"/>
              </w:rPr>
              <w:t xml:space="preserve"> (3</w:t>
            </w:r>
            <w:r w:rsidR="005F1ED8">
              <w:rPr>
                <w:rFonts w:eastAsia="Calibri" w:cs="Times New Roman"/>
                <w:sz w:val="20"/>
                <w:szCs w:val="20"/>
              </w:rPr>
              <w:t>5</w:t>
            </w:r>
            <w:r w:rsidR="002F7BF5">
              <w:rPr>
                <w:rFonts w:eastAsia="Calibri" w:cs="Times New Roman"/>
                <w:sz w:val="20"/>
                <w:szCs w:val="20"/>
              </w:rPr>
              <w:t>5</w:t>
            </w:r>
            <w:r w:rsidR="005F1ED8" w:rsidRPr="003B7455">
              <w:rPr>
                <w:rFonts w:eastAsia="Calibri" w:cs="Times New Roman"/>
                <w:sz w:val="20"/>
                <w:szCs w:val="20"/>
              </w:rPr>
              <w:t>4</w:t>
            </w:r>
            <w:r w:rsidR="002F7BF5">
              <w:rPr>
                <w:rFonts w:eastAsia="Calibri" w:cs="Times New Roman"/>
                <w:sz w:val="20"/>
                <w:szCs w:val="20"/>
              </w:rPr>
              <w:t>8</w:t>
            </w:r>
            <w:r w:rsidR="005F1ED8" w:rsidRPr="003B7455">
              <w:rPr>
                <w:rFonts w:eastAsia="Calibri" w:cs="Times New Roman"/>
                <w:sz w:val="20"/>
                <w:szCs w:val="20"/>
              </w:rPr>
              <w:t>)</w:t>
            </w:r>
          </w:p>
        </w:tc>
      </w:tr>
      <w:tr w:rsidR="005F1ED8" w:rsidRPr="00EF277E" w:rsidTr="005F1ED8">
        <w:trPr>
          <w:cantSplit/>
          <w:trHeight w:hRule="exact" w:val="648"/>
        </w:trPr>
        <w:tc>
          <w:tcPr>
            <w:tcW w:w="2398" w:type="dxa"/>
          </w:tcPr>
          <w:p w:rsidR="005F1ED8" w:rsidRDefault="002F7BF5"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04</w:t>
            </w:r>
            <w:r w:rsidRPr="003A74F5">
              <w:rPr>
                <w:rFonts w:eastAsia="Calibri" w:cs="Times New Roman"/>
                <w:sz w:val="20"/>
                <w:szCs w:val="20"/>
              </w:rPr>
              <w:t>-</w:t>
            </w:r>
            <w:r>
              <w:rPr>
                <w:rFonts w:eastAsia="Calibri" w:cs="Times New Roman"/>
                <w:sz w:val="20"/>
                <w:szCs w:val="20"/>
              </w:rPr>
              <w:t>24</w:t>
            </w:r>
          </w:p>
        </w:tc>
        <w:tc>
          <w:tcPr>
            <w:tcW w:w="7178" w:type="dxa"/>
          </w:tcPr>
          <w:p w:rsidR="005F1ED8" w:rsidRPr="00A708C5" w:rsidRDefault="002F7BF5" w:rsidP="00EF277E">
            <w:pPr>
              <w:jc w:val="both"/>
              <w:rPr>
                <w:rFonts w:eastAsia="Calibri" w:cs="Times New Roman"/>
                <w:i/>
                <w:sz w:val="20"/>
                <w:szCs w:val="20"/>
                <w:lang w:val="fr-CA"/>
              </w:rPr>
            </w:pPr>
            <w:r>
              <w:rPr>
                <w:rFonts w:eastAsia="Calibri" w:cs="Times New Roman"/>
                <w:i/>
                <w:sz w:val="20"/>
                <w:szCs w:val="20"/>
                <w:lang w:val="fr-CA"/>
              </w:rPr>
              <w:t>Proc</w:t>
            </w:r>
            <w:r w:rsidR="005F1ED8">
              <w:rPr>
                <w:rFonts w:eastAsia="Calibri" w:cs="Times New Roman"/>
                <w:i/>
                <w:sz w:val="20"/>
                <w:szCs w:val="20"/>
                <w:lang w:val="fr-CA"/>
              </w:rPr>
              <w:t>u</w:t>
            </w:r>
            <w:r>
              <w:rPr>
                <w:rFonts w:eastAsia="Calibri" w:cs="Times New Roman"/>
                <w:i/>
                <w:sz w:val="20"/>
                <w:szCs w:val="20"/>
                <w:lang w:val="fr-CA"/>
              </w:rPr>
              <w:t>r</w:t>
            </w:r>
            <w:r w:rsidR="005F1ED8" w:rsidRPr="00A708C5">
              <w:rPr>
                <w:rFonts w:eastAsia="Calibri" w:cs="Times New Roman"/>
                <w:i/>
                <w:sz w:val="20"/>
                <w:szCs w:val="20"/>
                <w:lang w:val="fr-CA"/>
              </w:rPr>
              <w:t>e</w:t>
            </w:r>
            <w:r>
              <w:rPr>
                <w:rFonts w:eastAsia="Calibri" w:cs="Times New Roman"/>
                <w:i/>
                <w:sz w:val="20"/>
                <w:szCs w:val="20"/>
                <w:lang w:val="fr-CA"/>
              </w:rPr>
              <w:t>ur</w:t>
            </w:r>
            <w:r w:rsidR="00EF277E">
              <w:rPr>
                <w:rFonts w:eastAsia="Calibri" w:cs="Times New Roman"/>
                <w:i/>
                <w:sz w:val="20"/>
                <w:szCs w:val="20"/>
                <w:lang w:val="fr-CA"/>
              </w:rPr>
              <w:t>e</w:t>
            </w:r>
            <w:r>
              <w:rPr>
                <w:rFonts w:eastAsia="Calibri" w:cs="Times New Roman"/>
                <w:i/>
                <w:sz w:val="20"/>
                <w:szCs w:val="20"/>
                <w:lang w:val="fr-CA"/>
              </w:rPr>
              <w:t xml:space="preserve"> générale du Québec et autres </w:t>
            </w:r>
            <w:r w:rsidR="005F1ED8" w:rsidRPr="00A708C5">
              <w:rPr>
                <w:rFonts w:eastAsia="Calibri" w:cs="Times New Roman"/>
                <w:i/>
                <w:sz w:val="20"/>
                <w:szCs w:val="20"/>
                <w:lang w:val="fr-CA"/>
              </w:rPr>
              <w:t xml:space="preserve">c. </w:t>
            </w:r>
            <w:r>
              <w:rPr>
                <w:rFonts w:eastAsia="Calibri" w:cs="Times New Roman"/>
                <w:i/>
                <w:sz w:val="20"/>
                <w:szCs w:val="20"/>
                <w:lang w:val="fr-CA"/>
              </w:rPr>
              <w:t>Pr</w:t>
            </w:r>
            <w:r w:rsidR="005F1ED8" w:rsidRPr="00A708C5">
              <w:rPr>
                <w:rFonts w:eastAsia="Calibri" w:cs="Times New Roman"/>
                <w:i/>
                <w:sz w:val="20"/>
                <w:szCs w:val="20"/>
                <w:lang w:val="fr-CA"/>
              </w:rPr>
              <w:t>o</w:t>
            </w:r>
            <w:r>
              <w:rPr>
                <w:rFonts w:eastAsia="Calibri" w:cs="Times New Roman"/>
                <w:i/>
                <w:sz w:val="20"/>
                <w:szCs w:val="20"/>
                <w:lang w:val="fr-CA"/>
              </w:rPr>
              <w:t xml:space="preserve">cureur général du Canada </w:t>
            </w:r>
            <w:r w:rsidR="005F1ED8" w:rsidRPr="00A708C5">
              <w:rPr>
                <w:rFonts w:eastAsia="Calibri" w:cs="Times New Roman"/>
                <w:sz w:val="20"/>
                <w:szCs w:val="20"/>
                <w:lang w:val="fr-CA"/>
              </w:rPr>
              <w:t>(Qc) (Civile) (</w:t>
            </w:r>
            <w:r>
              <w:rPr>
                <w:rFonts w:eastAsia="Calibri" w:cs="Times New Roman"/>
                <w:sz w:val="20"/>
                <w:szCs w:val="20"/>
                <w:lang w:val="fr-CA"/>
              </w:rPr>
              <w:t>De plei</w:t>
            </w:r>
            <w:r w:rsidR="005F1ED8" w:rsidRPr="00A708C5">
              <w:rPr>
                <w:rFonts w:eastAsia="Calibri" w:cs="Times New Roman"/>
                <w:sz w:val="20"/>
                <w:szCs w:val="20"/>
                <w:lang w:val="fr-CA"/>
              </w:rPr>
              <w:t>n</w:t>
            </w:r>
            <w:r>
              <w:rPr>
                <w:rFonts w:eastAsia="Calibri" w:cs="Times New Roman"/>
                <w:sz w:val="20"/>
                <w:szCs w:val="20"/>
                <w:lang w:val="fr-CA"/>
              </w:rPr>
              <w:t xml:space="preserve"> droit</w:t>
            </w:r>
            <w:r w:rsidR="005F1ED8" w:rsidRPr="00A708C5">
              <w:rPr>
                <w:rFonts w:eastAsia="Calibri" w:cs="Times New Roman"/>
                <w:sz w:val="20"/>
                <w:szCs w:val="20"/>
                <w:lang w:val="fr-CA"/>
              </w:rPr>
              <w:t>) (3</w:t>
            </w:r>
            <w:r>
              <w:rPr>
                <w:rFonts w:eastAsia="Calibri" w:cs="Times New Roman"/>
                <w:sz w:val="20"/>
                <w:szCs w:val="20"/>
                <w:lang w:val="fr-CA"/>
              </w:rPr>
              <w:t>6</w:t>
            </w:r>
            <w:r w:rsidR="005F1ED8" w:rsidRPr="00A708C5">
              <w:rPr>
                <w:rFonts w:eastAsia="Calibri" w:cs="Times New Roman"/>
                <w:sz w:val="20"/>
                <w:szCs w:val="20"/>
                <w:lang w:val="fr-CA"/>
              </w:rPr>
              <w:t>2</w:t>
            </w:r>
            <w:r w:rsidR="005F1ED8">
              <w:rPr>
                <w:rFonts w:eastAsia="Calibri" w:cs="Times New Roman"/>
                <w:sz w:val="20"/>
                <w:szCs w:val="20"/>
                <w:lang w:val="fr-CA"/>
              </w:rPr>
              <w:t>31</w:t>
            </w:r>
            <w:r w:rsidR="005F1ED8" w:rsidRPr="00A708C5">
              <w:rPr>
                <w:rFonts w:eastAsia="Calibri" w:cs="Times New Roman"/>
                <w:sz w:val="20"/>
                <w:szCs w:val="20"/>
                <w:lang w:val="fr-CA"/>
              </w:rPr>
              <w:t>)</w:t>
            </w:r>
          </w:p>
        </w:tc>
      </w:tr>
    </w:tbl>
    <w:p w:rsidR="005F1ED8" w:rsidRDefault="005F1ED8" w:rsidP="004B66B4">
      <w:pPr>
        <w:rPr>
          <w:sz w:val="20"/>
          <w:szCs w:val="20"/>
          <w:lang w:val="fr-CA"/>
        </w:rPr>
      </w:pPr>
    </w:p>
    <w:p w:rsidR="004B66B4" w:rsidRPr="00DD0B49" w:rsidRDefault="009C5A48" w:rsidP="002868D0">
      <w:pPr>
        <w:jc w:val="both"/>
        <w:rPr>
          <w:sz w:val="20"/>
          <w:szCs w:val="20"/>
        </w:rPr>
      </w:pPr>
      <w:r>
        <w:rPr>
          <w:sz w:val="20"/>
          <w:szCs w:val="20"/>
          <w:lang w:val="fr-CA"/>
        </w:rPr>
        <w:pict>
          <v:rect id="_x0000_i1053"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2" w:name="1"/>
    <w:bookmarkEnd w:id="2"/>
    <w:p w:rsidR="00181ABB" w:rsidRPr="0025202F" w:rsidRDefault="009E55C9" w:rsidP="00181ABB">
      <w:pPr>
        <w:pStyle w:val="NoSpacing"/>
        <w:rPr>
          <w:sz w:val="20"/>
          <w:lang w:val="en-CA"/>
        </w:rPr>
      </w:pPr>
      <w:r w:rsidRPr="0025202F">
        <w:rPr>
          <w:b/>
          <w:sz w:val="20"/>
          <w:lang w:val="en-CA"/>
        </w:rPr>
        <w:fldChar w:fldCharType="begin"/>
      </w:r>
      <w:r w:rsidR="00181ABB" w:rsidRPr="0025202F">
        <w:rPr>
          <w:b/>
          <w:sz w:val="20"/>
        </w:rPr>
        <w:instrText xml:space="preserve"> SEQ CHAPTER \h \r 1</w:instrText>
      </w:r>
      <w:r w:rsidRPr="0025202F">
        <w:rPr>
          <w:b/>
          <w:sz w:val="20"/>
        </w:rPr>
        <w:fldChar w:fldCharType="end"/>
      </w:r>
      <w:r w:rsidR="00181ABB" w:rsidRPr="0025202F">
        <w:rPr>
          <w:b/>
          <w:sz w:val="20"/>
          <w:lang w:val="en-CA"/>
        </w:rPr>
        <w:t>35990</w:t>
      </w:r>
      <w:r w:rsidR="00181ABB" w:rsidRPr="0025202F">
        <w:rPr>
          <w:sz w:val="20"/>
          <w:lang w:val="en-CA"/>
        </w:rPr>
        <w:tab/>
      </w:r>
      <w:bookmarkStart w:id="3" w:name="3"/>
      <w:bookmarkEnd w:id="3"/>
      <w:r w:rsidR="00181ABB" w:rsidRPr="0025202F">
        <w:rPr>
          <w:b/>
          <w:i/>
          <w:sz w:val="20"/>
        </w:rPr>
        <w:t>Jeyakannan</w:t>
      </w:r>
      <w:r w:rsidR="00181ABB" w:rsidRPr="0025202F">
        <w:rPr>
          <w:b/>
          <w:i/>
          <w:sz w:val="20"/>
          <w:lang w:val="en-CA"/>
        </w:rPr>
        <w:t xml:space="preserve"> Kanthasamy v. Minister of Citizenship and Immigration Canada</w:t>
      </w:r>
    </w:p>
    <w:p w:rsidR="00181ABB" w:rsidRPr="0025202F" w:rsidRDefault="00181ABB" w:rsidP="00181ABB">
      <w:pPr>
        <w:widowControl w:val="0"/>
        <w:jc w:val="both"/>
        <w:rPr>
          <w:sz w:val="20"/>
          <w:szCs w:val="20"/>
        </w:rPr>
      </w:pPr>
    </w:p>
    <w:p w:rsidR="00181ABB" w:rsidRPr="0025202F" w:rsidRDefault="00181ABB" w:rsidP="00181ABB">
      <w:pPr>
        <w:widowControl w:val="0"/>
        <w:jc w:val="both"/>
        <w:rPr>
          <w:sz w:val="20"/>
          <w:szCs w:val="20"/>
        </w:rPr>
      </w:pPr>
      <w:r w:rsidRPr="0025202F">
        <w:rPr>
          <w:sz w:val="20"/>
          <w:szCs w:val="20"/>
        </w:rPr>
        <w:t>Immigration - Permanent residents - Humanitarian and compassionate considerations - Application by a person denied refugee protection in Canada to be allowed to apply for permanent resident status from within Canada - Application dismissed on the basis that the appellant had not demonstrated that he would be</w:t>
      </w:r>
      <w:r w:rsidRPr="0025202F">
        <w:rPr>
          <w:i/>
          <w:sz w:val="20"/>
          <w:szCs w:val="20"/>
        </w:rPr>
        <w:t xml:space="preserve"> </w:t>
      </w:r>
      <w:r w:rsidRPr="0025202F">
        <w:rPr>
          <w:sz w:val="20"/>
          <w:szCs w:val="20"/>
        </w:rPr>
        <w:t xml:space="preserve">personally and directly affected by unusual and undeserved, or disproportionate hardship if required to return to his country of origin to apply for permanent residence - What is the proper interpretation of the requirements of ss. 25(1) and (1.3) of the </w:t>
      </w:r>
      <w:r w:rsidRPr="0025202F">
        <w:rPr>
          <w:i/>
          <w:sz w:val="20"/>
          <w:szCs w:val="20"/>
        </w:rPr>
        <w:t>Immigration and Refugee Protection Act</w:t>
      </w:r>
      <w:r w:rsidRPr="0025202F">
        <w:rPr>
          <w:sz w:val="20"/>
          <w:szCs w:val="20"/>
        </w:rPr>
        <w:t>, S.C. 2001, c. 27?</w:t>
      </w:r>
    </w:p>
    <w:p w:rsidR="00181ABB" w:rsidRPr="0025202F" w:rsidRDefault="00181ABB" w:rsidP="00181ABB">
      <w:pPr>
        <w:widowControl w:val="0"/>
        <w:jc w:val="both"/>
        <w:rPr>
          <w:sz w:val="20"/>
          <w:szCs w:val="20"/>
        </w:rPr>
      </w:pPr>
    </w:p>
    <w:p w:rsidR="00181ABB" w:rsidRPr="0025202F" w:rsidRDefault="00181ABB" w:rsidP="00181ABB">
      <w:pPr>
        <w:jc w:val="both"/>
        <w:rPr>
          <w:sz w:val="20"/>
          <w:szCs w:val="20"/>
        </w:rPr>
      </w:pPr>
      <w:r w:rsidRPr="0025202F">
        <w:rPr>
          <w:sz w:val="20"/>
          <w:szCs w:val="20"/>
        </w:rPr>
        <w:t xml:space="preserve">The appellant is a 21-year old Tamil from the northern region of Sri Lanka. He arrived in Canada in 2010, when he was 17 years old, and sought refugee protection under s. 96 and s. 97 of the </w:t>
      </w:r>
      <w:r w:rsidRPr="0025202F">
        <w:rPr>
          <w:i/>
          <w:sz w:val="20"/>
          <w:szCs w:val="20"/>
        </w:rPr>
        <w:t>IRPA</w:t>
      </w:r>
      <w:r w:rsidRPr="0025202F">
        <w:rPr>
          <w:sz w:val="20"/>
          <w:szCs w:val="20"/>
        </w:rPr>
        <w:t xml:space="preserve">. The Immigration and Refugee Board refused his application. The appellant then applied for a Pre-Removal Risk Assessment, claiming risk based on his past experiences, his profile and worsening conditions for Tamils in Sri Lanka. The application was refused. </w:t>
      </w:r>
    </w:p>
    <w:p w:rsidR="00181ABB" w:rsidRPr="0025202F" w:rsidRDefault="00181ABB" w:rsidP="00181ABB">
      <w:pPr>
        <w:jc w:val="both"/>
        <w:rPr>
          <w:sz w:val="20"/>
          <w:szCs w:val="20"/>
        </w:rPr>
      </w:pPr>
    </w:p>
    <w:p w:rsidR="00181ABB" w:rsidRPr="0025202F" w:rsidRDefault="00181ABB" w:rsidP="00181ABB">
      <w:pPr>
        <w:jc w:val="both"/>
        <w:rPr>
          <w:sz w:val="20"/>
          <w:szCs w:val="20"/>
        </w:rPr>
      </w:pPr>
      <w:r w:rsidRPr="0025202F">
        <w:rPr>
          <w:sz w:val="20"/>
          <w:szCs w:val="20"/>
        </w:rPr>
        <w:t xml:space="preserve">The appellant also applied to the Minister under s. 25(1) of the </w:t>
      </w:r>
      <w:r w:rsidRPr="0025202F">
        <w:rPr>
          <w:i/>
          <w:sz w:val="20"/>
          <w:szCs w:val="20"/>
        </w:rPr>
        <w:t>IRPA</w:t>
      </w:r>
      <w:r w:rsidRPr="0025202F">
        <w:rPr>
          <w:sz w:val="20"/>
          <w:szCs w:val="20"/>
        </w:rPr>
        <w:t xml:space="preserve"> to be allowed to apply for permanent resident status from within Canada. Under that provision, the Minister may grant this relief if he is of the opinion that the exemption is “justified by humanitarian and compassionate considerations relating to the foreign national, taking into account the best interests of a child directly affected.” Subsection 25(1.3), which came into force in 2012, provides that in making such a decision, the Minister may not consider the same factors that are taken into account in determining whether a foreign national is a Convention refugee (s. 96) or a person in need of protection (s. 97). Rather, he must consider “elements related to the hardships that affect the foreign national.” </w:t>
      </w:r>
    </w:p>
    <w:p w:rsidR="00181ABB" w:rsidRPr="0025202F" w:rsidRDefault="00181ABB" w:rsidP="00181ABB">
      <w:pPr>
        <w:jc w:val="both"/>
        <w:rPr>
          <w:sz w:val="20"/>
          <w:szCs w:val="20"/>
        </w:rPr>
      </w:pPr>
    </w:p>
    <w:p w:rsidR="00181ABB" w:rsidRPr="0025202F" w:rsidRDefault="00181ABB" w:rsidP="00181ABB">
      <w:pPr>
        <w:jc w:val="both"/>
        <w:rPr>
          <w:sz w:val="20"/>
          <w:szCs w:val="20"/>
        </w:rPr>
      </w:pPr>
      <w:r w:rsidRPr="0025202F">
        <w:rPr>
          <w:sz w:val="20"/>
          <w:szCs w:val="20"/>
        </w:rPr>
        <w:t>The appellant’s application was based on the fact that (1) he had established himself in Canada since arriving as a teenager, attending high school and working part-time for his uncle; (2) he was integrating into his uncle’s family and making close friends; (3) he wanted to pursue art and computer graphics after high school; (4) he suffered from moderate to severe PTSD and an adjustment disorder with mixed anxiety and depression; (5) his condition would deteriorate if he were deported to Sri Lanka; and (6) he feared returning there, as conditions had deteriorated and young northern Tamils, like himself, faced ongoing harassment and discrimination. The application was refused.</w:t>
      </w:r>
    </w:p>
    <w:p w:rsidR="00181ABB" w:rsidRPr="0025202F" w:rsidRDefault="00181ABB" w:rsidP="00181ABB">
      <w:pPr>
        <w:widowControl w:val="0"/>
        <w:jc w:val="both"/>
        <w:rPr>
          <w:sz w:val="20"/>
          <w:szCs w:val="20"/>
        </w:rPr>
      </w:pPr>
    </w:p>
    <w:p w:rsidR="00181ABB" w:rsidRPr="0025202F" w:rsidRDefault="00181ABB" w:rsidP="00181ABB">
      <w:pPr>
        <w:widowControl w:val="0"/>
        <w:jc w:val="both"/>
        <w:rPr>
          <w:sz w:val="20"/>
          <w:szCs w:val="20"/>
        </w:rPr>
      </w:pPr>
    </w:p>
    <w:p w:rsidR="00181ABB" w:rsidRPr="0025202F" w:rsidRDefault="00181ABB" w:rsidP="00181ABB">
      <w:pPr>
        <w:widowControl w:val="0"/>
        <w:ind w:left="2880" w:hanging="2880"/>
        <w:jc w:val="both"/>
        <w:rPr>
          <w:sz w:val="20"/>
          <w:szCs w:val="20"/>
        </w:rPr>
      </w:pPr>
      <w:r w:rsidRPr="0025202F">
        <w:rPr>
          <w:sz w:val="20"/>
          <w:szCs w:val="20"/>
        </w:rPr>
        <w:t>Origin of the case:</w:t>
      </w:r>
      <w:r w:rsidRPr="0025202F">
        <w:rPr>
          <w:sz w:val="20"/>
          <w:szCs w:val="20"/>
        </w:rPr>
        <w:tab/>
      </w:r>
      <w:bookmarkStart w:id="4" w:name="4"/>
      <w:bookmarkEnd w:id="4"/>
      <w:r w:rsidRPr="0025202F">
        <w:rPr>
          <w:sz w:val="20"/>
          <w:szCs w:val="20"/>
        </w:rPr>
        <w:t>Federal Court of Appeal</w:t>
      </w:r>
    </w:p>
    <w:p w:rsidR="00181ABB" w:rsidRPr="0025202F" w:rsidRDefault="00181ABB" w:rsidP="00181ABB">
      <w:pPr>
        <w:widowControl w:val="0"/>
        <w:ind w:left="2880" w:hanging="2880"/>
        <w:jc w:val="both"/>
        <w:rPr>
          <w:sz w:val="20"/>
          <w:szCs w:val="20"/>
        </w:rPr>
      </w:pPr>
    </w:p>
    <w:p w:rsidR="00181ABB" w:rsidRPr="0025202F" w:rsidRDefault="00181ABB" w:rsidP="00181ABB">
      <w:pPr>
        <w:widowControl w:val="0"/>
        <w:ind w:left="2880" w:hanging="2880"/>
        <w:jc w:val="both"/>
        <w:rPr>
          <w:sz w:val="20"/>
          <w:szCs w:val="20"/>
        </w:rPr>
      </w:pPr>
      <w:r w:rsidRPr="0025202F">
        <w:rPr>
          <w:sz w:val="20"/>
          <w:szCs w:val="20"/>
        </w:rPr>
        <w:t>File No.:</w:t>
      </w:r>
      <w:r w:rsidRPr="0025202F">
        <w:rPr>
          <w:sz w:val="20"/>
          <w:szCs w:val="20"/>
        </w:rPr>
        <w:tab/>
      </w:r>
      <w:bookmarkStart w:id="5" w:name="2"/>
      <w:bookmarkEnd w:id="5"/>
      <w:r w:rsidRPr="0025202F">
        <w:rPr>
          <w:sz w:val="20"/>
          <w:szCs w:val="20"/>
        </w:rPr>
        <w:t>35990</w:t>
      </w:r>
    </w:p>
    <w:p w:rsidR="00181ABB" w:rsidRPr="0025202F" w:rsidRDefault="00181ABB" w:rsidP="00181ABB">
      <w:pPr>
        <w:widowControl w:val="0"/>
        <w:ind w:left="2880" w:hanging="2880"/>
        <w:jc w:val="both"/>
        <w:rPr>
          <w:sz w:val="20"/>
          <w:szCs w:val="20"/>
        </w:rPr>
      </w:pPr>
    </w:p>
    <w:p w:rsidR="00181ABB" w:rsidRPr="0025202F" w:rsidRDefault="00181ABB" w:rsidP="00181ABB">
      <w:pPr>
        <w:widowControl w:val="0"/>
        <w:ind w:left="2880" w:hanging="2880"/>
        <w:jc w:val="both"/>
        <w:rPr>
          <w:sz w:val="20"/>
          <w:szCs w:val="20"/>
        </w:rPr>
      </w:pPr>
      <w:r w:rsidRPr="0025202F">
        <w:rPr>
          <w:sz w:val="20"/>
          <w:szCs w:val="20"/>
        </w:rPr>
        <w:t>Judgment of the Court of Appeal:</w:t>
      </w:r>
      <w:r w:rsidRPr="0025202F">
        <w:rPr>
          <w:sz w:val="20"/>
          <w:szCs w:val="20"/>
        </w:rPr>
        <w:tab/>
      </w:r>
      <w:bookmarkStart w:id="6" w:name="5"/>
      <w:bookmarkEnd w:id="6"/>
      <w:r w:rsidRPr="0025202F">
        <w:rPr>
          <w:sz w:val="20"/>
          <w:szCs w:val="20"/>
        </w:rPr>
        <w:t>May 2, 2014</w:t>
      </w:r>
    </w:p>
    <w:p w:rsidR="00181ABB" w:rsidRPr="0025202F" w:rsidRDefault="00181ABB" w:rsidP="00181ABB">
      <w:pPr>
        <w:widowControl w:val="0"/>
        <w:ind w:left="2880" w:hanging="2880"/>
        <w:jc w:val="both"/>
        <w:rPr>
          <w:sz w:val="20"/>
          <w:szCs w:val="20"/>
        </w:rPr>
      </w:pPr>
    </w:p>
    <w:p w:rsidR="00181ABB" w:rsidRPr="0025202F" w:rsidRDefault="00181ABB" w:rsidP="00181ABB">
      <w:pPr>
        <w:widowControl w:val="0"/>
        <w:ind w:left="2880" w:hanging="2880"/>
        <w:jc w:val="both"/>
        <w:rPr>
          <w:sz w:val="20"/>
          <w:szCs w:val="20"/>
        </w:rPr>
      </w:pPr>
      <w:r w:rsidRPr="0025202F">
        <w:rPr>
          <w:sz w:val="20"/>
          <w:szCs w:val="20"/>
        </w:rPr>
        <w:t>Counsel:</w:t>
      </w:r>
      <w:r w:rsidRPr="0025202F">
        <w:rPr>
          <w:sz w:val="20"/>
          <w:szCs w:val="20"/>
        </w:rPr>
        <w:tab/>
      </w:r>
      <w:bookmarkStart w:id="7" w:name="6"/>
      <w:bookmarkEnd w:id="7"/>
      <w:r w:rsidRPr="0025202F">
        <w:rPr>
          <w:sz w:val="20"/>
          <w:szCs w:val="20"/>
        </w:rPr>
        <w:t>Barbara Jackman for the Appellant</w:t>
      </w:r>
    </w:p>
    <w:p w:rsidR="00181ABB" w:rsidRPr="0025202F" w:rsidRDefault="00181ABB" w:rsidP="00181ABB">
      <w:pPr>
        <w:widowControl w:val="0"/>
        <w:ind w:left="2880" w:hanging="2880"/>
        <w:jc w:val="both"/>
        <w:rPr>
          <w:sz w:val="20"/>
          <w:szCs w:val="20"/>
        </w:rPr>
      </w:pPr>
      <w:r w:rsidRPr="0025202F">
        <w:rPr>
          <w:sz w:val="20"/>
          <w:szCs w:val="20"/>
        </w:rPr>
        <w:tab/>
      </w:r>
      <w:bookmarkStart w:id="8" w:name="7"/>
      <w:bookmarkEnd w:id="8"/>
      <w:r w:rsidRPr="0025202F">
        <w:rPr>
          <w:sz w:val="20"/>
          <w:szCs w:val="20"/>
        </w:rPr>
        <w:t>William F. Pentney for the Respondent</w:t>
      </w:r>
    </w:p>
    <w:p w:rsidR="000B3C9A" w:rsidRPr="005F1ED8" w:rsidRDefault="000B3C9A" w:rsidP="000B3C9A">
      <w:pPr>
        <w:tabs>
          <w:tab w:val="left" w:pos="-1440"/>
          <w:tab w:val="left" w:pos="-720"/>
        </w:tabs>
        <w:ind w:left="720" w:hanging="720"/>
        <w:jc w:val="both"/>
        <w:rPr>
          <w:sz w:val="20"/>
          <w:szCs w:val="20"/>
        </w:rPr>
      </w:pPr>
    </w:p>
    <w:p w:rsidR="000B3C9A" w:rsidRPr="00DD0B49" w:rsidRDefault="009C5A48" w:rsidP="000B3C9A">
      <w:pPr>
        <w:tabs>
          <w:tab w:val="left" w:pos="-1440"/>
          <w:tab w:val="left" w:pos="-720"/>
        </w:tabs>
        <w:ind w:left="720" w:hanging="720"/>
        <w:jc w:val="both"/>
        <w:rPr>
          <w:sz w:val="20"/>
          <w:szCs w:val="20"/>
          <w:lang w:val="fr-CA"/>
        </w:rPr>
      </w:pPr>
      <w:r>
        <w:rPr>
          <w:sz w:val="20"/>
          <w:szCs w:val="20"/>
          <w:lang w:val="fr-CA"/>
        </w:rPr>
        <w:pict>
          <v:rect id="_x0000_i1056"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181ABB" w:rsidRPr="00990B84" w:rsidRDefault="009E55C9" w:rsidP="00181ABB">
      <w:pPr>
        <w:pStyle w:val="NoSpacing"/>
        <w:rPr>
          <w:b/>
          <w:i/>
          <w:sz w:val="20"/>
          <w:lang w:val="fr-CA"/>
        </w:rPr>
      </w:pPr>
      <w:r w:rsidRPr="00181ABB">
        <w:rPr>
          <w:b/>
          <w:sz w:val="20"/>
          <w:lang w:val="fr-CA"/>
        </w:rPr>
        <w:lastRenderedPageBreak/>
        <w:fldChar w:fldCharType="begin"/>
      </w:r>
      <w:r w:rsidR="00181ABB" w:rsidRPr="00181ABB">
        <w:rPr>
          <w:b/>
          <w:sz w:val="20"/>
          <w:lang w:val="fr-CA"/>
        </w:rPr>
        <w:instrText xml:space="preserve"> SEQ CHAPTER \h \r 1</w:instrText>
      </w:r>
      <w:r w:rsidRPr="00181ABB">
        <w:rPr>
          <w:b/>
          <w:sz w:val="20"/>
          <w:lang w:val="fr-CA"/>
        </w:rPr>
        <w:fldChar w:fldCharType="end"/>
      </w:r>
      <w:r w:rsidR="00181ABB" w:rsidRPr="00181ABB">
        <w:rPr>
          <w:b/>
          <w:sz w:val="20"/>
          <w:lang w:val="fr-CA"/>
        </w:rPr>
        <w:t>35990</w:t>
      </w:r>
      <w:r w:rsidR="00181ABB" w:rsidRPr="00181ABB">
        <w:rPr>
          <w:b/>
          <w:sz w:val="20"/>
          <w:lang w:val="fr-CA"/>
        </w:rPr>
        <w:tab/>
      </w:r>
      <w:r w:rsidR="00181ABB" w:rsidRPr="00990B84">
        <w:rPr>
          <w:b/>
          <w:i/>
          <w:sz w:val="20"/>
          <w:lang w:val="fr-CA"/>
        </w:rPr>
        <w:t>Jeyakannan Kanthasamy c. Ministre de la Citoyenneté et de l’Immigration Canada</w:t>
      </w:r>
    </w:p>
    <w:p w:rsidR="00181ABB" w:rsidRPr="00990B84" w:rsidRDefault="00181ABB" w:rsidP="00181ABB">
      <w:pPr>
        <w:widowControl w:val="0"/>
        <w:jc w:val="both"/>
        <w:rPr>
          <w:sz w:val="20"/>
          <w:szCs w:val="20"/>
          <w:lang w:val="fr-CA"/>
        </w:rPr>
      </w:pPr>
    </w:p>
    <w:p w:rsidR="00181ABB" w:rsidRPr="00990B84" w:rsidRDefault="00181ABB" w:rsidP="00181ABB">
      <w:pPr>
        <w:widowControl w:val="0"/>
        <w:jc w:val="both"/>
        <w:rPr>
          <w:sz w:val="20"/>
          <w:szCs w:val="20"/>
          <w:lang w:val="fr-CA"/>
        </w:rPr>
      </w:pPr>
      <w:r w:rsidRPr="00990B84">
        <w:rPr>
          <w:sz w:val="20"/>
          <w:szCs w:val="20"/>
          <w:lang w:val="fr-CA"/>
        </w:rPr>
        <w:t xml:space="preserve">Immigration - Résidents permanents - Considérations d’ordre humanitaire - Demande d’une personne qui s’est vu refuser l’asile au Canada en autorisation de présenter une demande de résidence permanente depuis le Canada - Demande rejetée au motif que l’appelant n’avait pas démontré qu’il serait personnellement et directement touché par des difficultés inhabituelles et injustifiées ou excessives s’il était obligé de retourner dans son pays d’origine pour présenter sa demande de résidence permanente - Comment faut-il interpréter les exigences des par. 25(1) et (1.3) de la </w:t>
      </w:r>
      <w:r w:rsidRPr="00990B84">
        <w:rPr>
          <w:i/>
          <w:sz w:val="20"/>
          <w:szCs w:val="20"/>
          <w:lang w:val="fr-CA"/>
        </w:rPr>
        <w:t>Loi sur l’immigration et la protection des réfugiés</w:t>
      </w:r>
      <w:r w:rsidRPr="00990B84">
        <w:rPr>
          <w:sz w:val="20"/>
          <w:szCs w:val="20"/>
          <w:lang w:val="fr-CA"/>
        </w:rPr>
        <w:t>, L.C. 2001, ch. 27?</w:t>
      </w:r>
    </w:p>
    <w:p w:rsidR="00181ABB" w:rsidRPr="00990B84" w:rsidRDefault="00181ABB" w:rsidP="00181ABB">
      <w:pPr>
        <w:widowControl w:val="0"/>
        <w:jc w:val="both"/>
        <w:rPr>
          <w:sz w:val="20"/>
          <w:szCs w:val="20"/>
          <w:lang w:val="fr-CA"/>
        </w:rPr>
      </w:pPr>
    </w:p>
    <w:p w:rsidR="00181ABB" w:rsidRPr="00990B84" w:rsidRDefault="00181ABB" w:rsidP="00181ABB">
      <w:pPr>
        <w:jc w:val="both"/>
        <w:rPr>
          <w:sz w:val="20"/>
          <w:szCs w:val="20"/>
          <w:lang w:val="fr-CA"/>
        </w:rPr>
      </w:pPr>
      <w:r w:rsidRPr="00990B84">
        <w:rPr>
          <w:sz w:val="20"/>
          <w:szCs w:val="20"/>
          <w:lang w:val="fr-CA"/>
        </w:rPr>
        <w:t xml:space="preserve">L’appelant, âgé de 21 ans, est un Tamoul originaire du nord du Sri Lanka. Il est arrivé au Canada en 2010, à l’âge de 17 ans, et il a demandé l’asile en application des art. 96 et 97 de la </w:t>
      </w:r>
      <w:r w:rsidRPr="00990B84">
        <w:rPr>
          <w:i/>
          <w:sz w:val="20"/>
          <w:szCs w:val="20"/>
          <w:lang w:val="fr-CA"/>
        </w:rPr>
        <w:t>LIPR</w:t>
      </w:r>
      <w:r w:rsidRPr="00990B84">
        <w:rPr>
          <w:sz w:val="20"/>
          <w:szCs w:val="20"/>
          <w:lang w:val="fr-CA"/>
        </w:rPr>
        <w:t xml:space="preserve">. La Commission de l’immigration et du statut de réfugié (« la Commission ») a rejeté sa demande. L’appelant a ensuite présenté une demande d’examen des risques avant renvoi, alléguant un risque fondé sur ses expériences, son profil et les conditions qui se détérioraient pour les Tamouls au Sri Lanka. La demande a été rejetée. </w:t>
      </w:r>
    </w:p>
    <w:p w:rsidR="00181ABB" w:rsidRPr="00990B84" w:rsidRDefault="00181ABB" w:rsidP="00181ABB">
      <w:pPr>
        <w:jc w:val="both"/>
        <w:rPr>
          <w:sz w:val="20"/>
          <w:szCs w:val="20"/>
          <w:lang w:val="fr-CA"/>
        </w:rPr>
      </w:pPr>
    </w:p>
    <w:p w:rsidR="00181ABB" w:rsidRPr="00990B84" w:rsidRDefault="00181ABB" w:rsidP="00181ABB">
      <w:pPr>
        <w:jc w:val="both"/>
        <w:rPr>
          <w:sz w:val="20"/>
          <w:szCs w:val="20"/>
          <w:lang w:val="fr-CA"/>
        </w:rPr>
      </w:pPr>
      <w:r w:rsidRPr="00990B84">
        <w:rPr>
          <w:sz w:val="20"/>
          <w:szCs w:val="20"/>
          <w:lang w:val="fr-CA"/>
        </w:rPr>
        <w:t xml:space="preserve">L’appelant a également présenté une demande au ministre en application du par. 25(1) de la </w:t>
      </w:r>
      <w:r w:rsidRPr="00990B84">
        <w:rPr>
          <w:i/>
          <w:sz w:val="20"/>
          <w:szCs w:val="20"/>
          <w:lang w:val="fr-CA"/>
        </w:rPr>
        <w:t>LIPR</w:t>
      </w:r>
      <w:r w:rsidRPr="00990B84">
        <w:rPr>
          <w:sz w:val="20"/>
          <w:szCs w:val="20"/>
          <w:lang w:val="fr-CA"/>
        </w:rPr>
        <w:t xml:space="preserve"> en vue d’être autorisé à présenter une demande de résidence permanente depuis le Canada. En vertu de cette disposition, le ministre peut faire droit à cette demande « s’il estime que des considérations d’ordre humanitaire relatives à l’étranger le justifient, compte tenu de l’intérêt supérieur de l’enfant directement touché ». Le paragraphe 25(1.3), qui est entré en vigueur en 2012, prévoit qu’en prenant cette décision, le ministre ne tient compte d’aucun des facteurs servant à établir la qualité de réfugié au sens de la Convention (art. 96) ou de personne à protéger (art. 97); il tient compte, toutefois, des « difficultés auxquelles l’étranger fait face ». </w:t>
      </w:r>
    </w:p>
    <w:p w:rsidR="00181ABB" w:rsidRPr="00990B84" w:rsidRDefault="00181ABB" w:rsidP="00181ABB">
      <w:pPr>
        <w:jc w:val="both"/>
        <w:rPr>
          <w:sz w:val="20"/>
          <w:szCs w:val="20"/>
          <w:lang w:val="fr-CA"/>
        </w:rPr>
      </w:pPr>
    </w:p>
    <w:p w:rsidR="00181ABB" w:rsidRPr="00990B84" w:rsidRDefault="00181ABB" w:rsidP="00181ABB">
      <w:pPr>
        <w:jc w:val="both"/>
        <w:rPr>
          <w:sz w:val="20"/>
          <w:szCs w:val="20"/>
          <w:lang w:val="fr-CA"/>
        </w:rPr>
      </w:pPr>
      <w:r w:rsidRPr="00990B84">
        <w:rPr>
          <w:sz w:val="20"/>
          <w:szCs w:val="20"/>
          <w:lang w:val="fr-CA"/>
        </w:rPr>
        <w:t>La demande de l’appelant était fondée sur les faits suivants : (1) il s’est établi au Canada à son arrivée au pays à l’adolescence, fréquentant l’école secondaire et travaillant à temps partiel pour son oncle; (2) il était en train de s’intégrer dans la famille de son oncle et était en train de se faire de bons amis; (3) il voulait se lancer dans les arts et l’infographie après son secondaire; (4) il souffrait d’un ÉSPT modéré à sévère et d’un trouble d’adaptation avec anxiété et dépression mixtes; (5) son état se détériorerait s’il était expulsé vers le Sri Lanka; (6) il craignait y retourner, puisque les conditions s’étaient détériorées et les jeunes Tamouls du nord comme lui faisaient l’objet de harcèlement et de discrimination continus. La demande a été rejetée.</w:t>
      </w:r>
    </w:p>
    <w:p w:rsidR="00181ABB" w:rsidRPr="00990B84" w:rsidRDefault="00181ABB" w:rsidP="00181ABB">
      <w:pPr>
        <w:widowControl w:val="0"/>
        <w:jc w:val="both"/>
        <w:rPr>
          <w:sz w:val="20"/>
          <w:szCs w:val="20"/>
          <w:lang w:val="fr-CA"/>
        </w:rPr>
      </w:pPr>
    </w:p>
    <w:p w:rsidR="00181ABB" w:rsidRPr="00990B84" w:rsidRDefault="00181ABB" w:rsidP="00181ABB">
      <w:pPr>
        <w:widowControl w:val="0"/>
        <w:jc w:val="both"/>
        <w:rPr>
          <w:sz w:val="20"/>
          <w:szCs w:val="20"/>
          <w:lang w:val="fr-CA"/>
        </w:rPr>
      </w:pPr>
    </w:p>
    <w:p w:rsidR="00181ABB" w:rsidRPr="00990B84" w:rsidRDefault="00181ABB" w:rsidP="00181ABB">
      <w:pPr>
        <w:widowControl w:val="0"/>
        <w:ind w:left="2880" w:hanging="2880"/>
        <w:jc w:val="both"/>
        <w:rPr>
          <w:sz w:val="20"/>
          <w:szCs w:val="20"/>
          <w:lang w:val="fr-CA"/>
        </w:rPr>
      </w:pPr>
      <w:r w:rsidRPr="00990B84">
        <w:rPr>
          <w:sz w:val="20"/>
          <w:szCs w:val="20"/>
          <w:lang w:val="fr-CA"/>
        </w:rPr>
        <w:t>Origine :</w:t>
      </w:r>
      <w:r w:rsidRPr="00990B84">
        <w:rPr>
          <w:sz w:val="20"/>
          <w:szCs w:val="20"/>
          <w:lang w:val="fr-CA"/>
        </w:rPr>
        <w:tab/>
        <w:t>Cour d’appel fédérale</w:t>
      </w:r>
    </w:p>
    <w:p w:rsidR="00181ABB" w:rsidRPr="00990B84" w:rsidRDefault="00181ABB" w:rsidP="00181ABB">
      <w:pPr>
        <w:widowControl w:val="0"/>
        <w:ind w:left="2880" w:hanging="2880"/>
        <w:jc w:val="both"/>
        <w:rPr>
          <w:sz w:val="20"/>
          <w:szCs w:val="20"/>
          <w:lang w:val="fr-CA"/>
        </w:rPr>
      </w:pPr>
    </w:p>
    <w:p w:rsidR="00181ABB" w:rsidRPr="00990B84" w:rsidRDefault="00181ABB" w:rsidP="00181ABB">
      <w:pPr>
        <w:widowControl w:val="0"/>
        <w:ind w:left="2880" w:hanging="2880"/>
        <w:jc w:val="both"/>
        <w:rPr>
          <w:sz w:val="20"/>
          <w:szCs w:val="20"/>
          <w:lang w:val="fr-CA"/>
        </w:rPr>
      </w:pPr>
      <w:r w:rsidRPr="00990B84">
        <w:rPr>
          <w:sz w:val="20"/>
          <w:szCs w:val="20"/>
          <w:lang w:val="fr-CA"/>
        </w:rPr>
        <w:t>N</w:t>
      </w:r>
      <w:r w:rsidRPr="00990B84">
        <w:rPr>
          <w:sz w:val="20"/>
          <w:szCs w:val="20"/>
          <w:vertAlign w:val="superscript"/>
          <w:lang w:val="fr-CA"/>
        </w:rPr>
        <w:t>o</w:t>
      </w:r>
      <w:r w:rsidRPr="00990B84">
        <w:rPr>
          <w:sz w:val="20"/>
          <w:szCs w:val="20"/>
          <w:lang w:val="fr-CA"/>
        </w:rPr>
        <w:t xml:space="preserve"> du greffe :</w:t>
      </w:r>
      <w:r w:rsidRPr="00990B84">
        <w:rPr>
          <w:sz w:val="20"/>
          <w:szCs w:val="20"/>
          <w:lang w:val="fr-CA"/>
        </w:rPr>
        <w:tab/>
        <w:t>35990</w:t>
      </w:r>
    </w:p>
    <w:p w:rsidR="00181ABB" w:rsidRPr="00990B84" w:rsidRDefault="00181ABB" w:rsidP="00181ABB">
      <w:pPr>
        <w:widowControl w:val="0"/>
        <w:ind w:left="2880" w:hanging="2880"/>
        <w:jc w:val="both"/>
        <w:rPr>
          <w:sz w:val="20"/>
          <w:szCs w:val="20"/>
          <w:lang w:val="fr-CA"/>
        </w:rPr>
      </w:pPr>
    </w:p>
    <w:p w:rsidR="00181ABB" w:rsidRPr="00990B84" w:rsidRDefault="00181ABB" w:rsidP="00181ABB">
      <w:pPr>
        <w:widowControl w:val="0"/>
        <w:ind w:left="2880" w:hanging="2880"/>
        <w:jc w:val="both"/>
        <w:rPr>
          <w:sz w:val="20"/>
          <w:szCs w:val="20"/>
          <w:lang w:val="fr-CA"/>
        </w:rPr>
      </w:pPr>
      <w:r w:rsidRPr="00990B84">
        <w:rPr>
          <w:sz w:val="20"/>
          <w:szCs w:val="20"/>
          <w:lang w:val="fr-CA"/>
        </w:rPr>
        <w:t>Arrêt de la Cour d’appel :</w:t>
      </w:r>
      <w:r w:rsidRPr="00990B84">
        <w:rPr>
          <w:sz w:val="20"/>
          <w:szCs w:val="20"/>
          <w:lang w:val="fr-CA"/>
        </w:rPr>
        <w:tab/>
        <w:t>le 2 mai 2014</w:t>
      </w:r>
    </w:p>
    <w:p w:rsidR="00181ABB" w:rsidRPr="00990B84" w:rsidRDefault="00181ABB" w:rsidP="00181ABB">
      <w:pPr>
        <w:widowControl w:val="0"/>
        <w:ind w:left="2880" w:hanging="2880"/>
        <w:jc w:val="both"/>
        <w:rPr>
          <w:sz w:val="20"/>
          <w:szCs w:val="20"/>
          <w:lang w:val="fr-CA"/>
        </w:rPr>
      </w:pPr>
    </w:p>
    <w:p w:rsidR="00181ABB" w:rsidRPr="00990B84" w:rsidRDefault="00181ABB" w:rsidP="00181ABB">
      <w:pPr>
        <w:widowControl w:val="0"/>
        <w:ind w:left="2880" w:hanging="2880"/>
        <w:jc w:val="both"/>
        <w:rPr>
          <w:sz w:val="20"/>
          <w:szCs w:val="20"/>
          <w:lang w:val="fr-CA"/>
        </w:rPr>
      </w:pPr>
      <w:r w:rsidRPr="00990B84">
        <w:rPr>
          <w:sz w:val="20"/>
          <w:szCs w:val="20"/>
          <w:lang w:val="fr-CA"/>
        </w:rPr>
        <w:t>Avocats :</w:t>
      </w:r>
      <w:r w:rsidRPr="00990B84">
        <w:rPr>
          <w:sz w:val="20"/>
          <w:szCs w:val="20"/>
          <w:lang w:val="fr-CA"/>
        </w:rPr>
        <w:tab/>
        <w:t>Barbara Jackman pour l’appelant</w:t>
      </w:r>
    </w:p>
    <w:p w:rsidR="00181ABB" w:rsidRPr="00990B84" w:rsidRDefault="00181ABB" w:rsidP="00181ABB">
      <w:pPr>
        <w:widowControl w:val="0"/>
        <w:ind w:left="2880" w:hanging="2880"/>
        <w:jc w:val="both"/>
        <w:rPr>
          <w:sz w:val="20"/>
          <w:szCs w:val="20"/>
          <w:lang w:val="fr-CA"/>
        </w:rPr>
      </w:pPr>
      <w:r w:rsidRPr="00990B84">
        <w:rPr>
          <w:sz w:val="20"/>
          <w:szCs w:val="20"/>
          <w:lang w:val="fr-CA"/>
        </w:rPr>
        <w:tab/>
        <w:t>William F. Pentney pour l’intimé</w:t>
      </w:r>
    </w:p>
    <w:p w:rsidR="000B3C9A" w:rsidRPr="00DD0B49" w:rsidRDefault="000B3C9A" w:rsidP="000B3C9A">
      <w:pPr>
        <w:tabs>
          <w:tab w:val="left" w:pos="-1440"/>
          <w:tab w:val="left" w:pos="-720"/>
        </w:tabs>
        <w:jc w:val="both"/>
        <w:rPr>
          <w:sz w:val="20"/>
          <w:szCs w:val="20"/>
          <w:lang w:val="fr-CA"/>
        </w:rPr>
      </w:pPr>
    </w:p>
    <w:p w:rsidR="000B3C9A" w:rsidRDefault="009C5A48" w:rsidP="000B3C9A">
      <w:pPr>
        <w:tabs>
          <w:tab w:val="left" w:pos="-1440"/>
          <w:tab w:val="left" w:pos="-720"/>
        </w:tabs>
        <w:jc w:val="both"/>
        <w:rPr>
          <w:sz w:val="20"/>
          <w:szCs w:val="20"/>
          <w:lang w:val="fr-CA"/>
        </w:rPr>
      </w:pPr>
      <w:r>
        <w:rPr>
          <w:sz w:val="20"/>
          <w:szCs w:val="20"/>
          <w:lang w:val="fr-CA"/>
        </w:rPr>
        <w:pict>
          <v:rect id="_x0000_i1057" style="width:2in;height:1pt" o:hrpct="0" o:hralign="center" o:hrstd="t" o:hrnoshade="t" o:hr="t" fillcolor="black [3213]" stroked="f"/>
        </w:pict>
      </w:r>
    </w:p>
    <w:p w:rsidR="008E5188" w:rsidRDefault="008E5188" w:rsidP="000B3C9A">
      <w:pPr>
        <w:tabs>
          <w:tab w:val="left" w:pos="-1440"/>
          <w:tab w:val="left" w:pos="-720"/>
        </w:tabs>
        <w:jc w:val="both"/>
        <w:rPr>
          <w:sz w:val="20"/>
          <w:szCs w:val="20"/>
          <w:lang w:val="fr-CA"/>
        </w:rPr>
      </w:pPr>
    </w:p>
    <w:p w:rsidR="008E5188" w:rsidRDefault="008E5188" w:rsidP="000B3C9A">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D33F7D" w:rsidRPr="00CB067D" w:rsidRDefault="009E55C9" w:rsidP="00D33F7D">
      <w:pPr>
        <w:widowControl w:val="0"/>
        <w:ind w:left="720" w:hanging="720"/>
        <w:jc w:val="both"/>
        <w:rPr>
          <w:sz w:val="20"/>
          <w:szCs w:val="20"/>
        </w:rPr>
      </w:pPr>
      <w:r w:rsidRPr="00CB067D">
        <w:rPr>
          <w:b/>
          <w:sz w:val="20"/>
          <w:szCs w:val="20"/>
        </w:rPr>
        <w:lastRenderedPageBreak/>
        <w:fldChar w:fldCharType="begin"/>
      </w:r>
      <w:r w:rsidR="00D33F7D" w:rsidRPr="00CB067D">
        <w:rPr>
          <w:b/>
          <w:sz w:val="20"/>
          <w:szCs w:val="20"/>
        </w:rPr>
        <w:instrText xml:space="preserve"> SEQ CHAPTER \h \r 1</w:instrText>
      </w:r>
      <w:r w:rsidRPr="00CB067D">
        <w:rPr>
          <w:b/>
          <w:sz w:val="20"/>
          <w:szCs w:val="20"/>
        </w:rPr>
        <w:fldChar w:fldCharType="end"/>
      </w:r>
      <w:r w:rsidR="00D33F7D" w:rsidRPr="00CB067D">
        <w:rPr>
          <w:b/>
          <w:sz w:val="20"/>
          <w:szCs w:val="20"/>
        </w:rPr>
        <w:t>36002</w:t>
      </w:r>
      <w:r w:rsidR="00D33F7D" w:rsidRPr="00CB067D">
        <w:rPr>
          <w:sz w:val="20"/>
          <w:szCs w:val="20"/>
        </w:rPr>
        <w:tab/>
      </w:r>
      <w:r w:rsidR="00D33F7D" w:rsidRPr="00CB067D">
        <w:rPr>
          <w:b/>
          <w:i/>
          <w:sz w:val="20"/>
          <w:szCs w:val="20"/>
        </w:rPr>
        <w:t>Zurich Insurance Company v. Chubb Insurance Company of Canada</w:t>
      </w:r>
    </w:p>
    <w:p w:rsidR="00D33F7D" w:rsidRPr="00CB067D" w:rsidRDefault="00D33F7D" w:rsidP="00D33F7D">
      <w:pPr>
        <w:widowControl w:val="0"/>
        <w:jc w:val="both"/>
        <w:rPr>
          <w:sz w:val="20"/>
          <w:szCs w:val="20"/>
        </w:rPr>
      </w:pPr>
    </w:p>
    <w:p w:rsidR="00D33F7D" w:rsidRPr="00CB067D" w:rsidRDefault="00D33F7D" w:rsidP="00D33F7D">
      <w:pPr>
        <w:jc w:val="both"/>
        <w:rPr>
          <w:sz w:val="20"/>
          <w:szCs w:val="20"/>
        </w:rPr>
      </w:pPr>
      <w:r w:rsidRPr="00CB067D">
        <w:rPr>
          <w:sz w:val="20"/>
          <w:szCs w:val="20"/>
        </w:rPr>
        <w:t xml:space="preserve">Insurance - Liability insurance - Motor vehicle liability policy - Rented vehicle - Statutory Accident Benefits - “Pay first, dispute later” rule - Nexus between claimant and insurer - </w:t>
      </w:r>
      <w:r w:rsidRPr="00CB067D">
        <w:rPr>
          <w:i/>
          <w:sz w:val="20"/>
          <w:szCs w:val="20"/>
        </w:rPr>
        <w:t>Insurance Act</w:t>
      </w:r>
      <w:r w:rsidRPr="00CB067D">
        <w:rPr>
          <w:sz w:val="20"/>
          <w:szCs w:val="20"/>
        </w:rPr>
        <w:t xml:space="preserve">, R.S.O. 1990, s. 268 - </w:t>
      </w:r>
      <w:r w:rsidRPr="00CB067D">
        <w:rPr>
          <w:i/>
          <w:sz w:val="20"/>
          <w:szCs w:val="20"/>
        </w:rPr>
        <w:t>Disputes Between Insurers</w:t>
      </w:r>
      <w:r w:rsidRPr="00CB067D">
        <w:rPr>
          <w:sz w:val="20"/>
          <w:szCs w:val="20"/>
        </w:rPr>
        <w:t xml:space="preserve">, O. Reg. 283/95, Claimant declined optional motor vehicle liability policy when renting vehicle - Claimant injured in single-vehicle accident involving rental vehicle - Claimant applied to motor vehicle liability insurer for Statutory Accident Benefits - Insurer refused to provide benefits - Whether Chubb is an “insurer” for the purposes of s. 268 of the </w:t>
      </w:r>
      <w:r w:rsidRPr="00CB067D">
        <w:rPr>
          <w:i/>
          <w:sz w:val="20"/>
          <w:szCs w:val="20"/>
        </w:rPr>
        <w:t>Insurance Act</w:t>
      </w:r>
      <w:r w:rsidRPr="00CB067D">
        <w:rPr>
          <w:sz w:val="20"/>
          <w:szCs w:val="20"/>
        </w:rPr>
        <w:t xml:space="preserve"> and Ontario Regulation 283/95 - </w:t>
      </w:r>
      <w:r w:rsidRPr="00CB067D">
        <w:rPr>
          <w:i/>
          <w:sz w:val="20"/>
          <w:szCs w:val="20"/>
        </w:rPr>
        <w:t>Disputes Between Insurers</w:t>
      </w:r>
      <w:r w:rsidRPr="00CB067D">
        <w:rPr>
          <w:sz w:val="20"/>
          <w:szCs w:val="20"/>
        </w:rPr>
        <w:t xml:space="preserve"> - Whether, where there is a nexus between an insurer and a motor vehicle that gives rise to an accident benefits claim, an insurer can ignore the obligations imposed by the disputes between insurers regulation by unilaterally determining it is not an insurer for that purpose.</w:t>
      </w:r>
    </w:p>
    <w:p w:rsidR="00D33F7D" w:rsidRPr="00CB067D" w:rsidRDefault="00D33F7D" w:rsidP="00D33F7D">
      <w:pPr>
        <w:widowControl w:val="0"/>
        <w:jc w:val="both"/>
        <w:rPr>
          <w:sz w:val="20"/>
          <w:szCs w:val="20"/>
        </w:rPr>
      </w:pPr>
    </w:p>
    <w:p w:rsidR="00D33F7D" w:rsidRPr="00CB067D" w:rsidRDefault="00D33F7D" w:rsidP="00D33F7D">
      <w:pPr>
        <w:jc w:val="both"/>
        <w:rPr>
          <w:sz w:val="20"/>
          <w:szCs w:val="20"/>
        </w:rPr>
      </w:pPr>
      <w:r w:rsidRPr="00CB067D">
        <w:rPr>
          <w:sz w:val="20"/>
          <w:szCs w:val="20"/>
        </w:rPr>
        <w:t xml:space="preserve">On September 23, 2006, Ms. Singh was injured in a single-vehicle accident while driving a vehicle rented from Wheels 4 Rent. Despite having declined the opportunity to purchase an optional death and dismemberment policy offered by Chubb Insurance Company of Canada, she submitted an application for Statutory Accident Benefits to Chubb. It declined benefits on the basis that the optional policy was not a motor vehicle policy, and it had been declined. Chubb argued that the Statutory Accident Benefits scheme did not apply because it was not an “insurer” under the </w:t>
      </w:r>
      <w:r w:rsidRPr="00CB067D">
        <w:rPr>
          <w:i/>
          <w:sz w:val="20"/>
          <w:szCs w:val="20"/>
        </w:rPr>
        <w:t>Insurance Act</w:t>
      </w:r>
      <w:r w:rsidRPr="00CB067D">
        <w:rPr>
          <w:sz w:val="20"/>
          <w:szCs w:val="20"/>
        </w:rPr>
        <w:t xml:space="preserve">, R.S.O. 1990, c. I.8. Eventually, she received benefits from Zurich Insurance Company, which insured Wheels 4 Rent’s rental vehicles pursuant to a “motor vehicle liability policy”. Zurich administered the claim on a “without prejudice” basis, arguing that Chubb was the first insurer and should have paid first. </w:t>
      </w:r>
    </w:p>
    <w:p w:rsidR="00D33F7D" w:rsidRPr="00CB067D" w:rsidRDefault="00D33F7D" w:rsidP="00D33F7D">
      <w:pPr>
        <w:jc w:val="both"/>
        <w:rPr>
          <w:sz w:val="20"/>
          <w:szCs w:val="20"/>
        </w:rPr>
      </w:pPr>
    </w:p>
    <w:p w:rsidR="00D33F7D" w:rsidRPr="00CB067D" w:rsidRDefault="00D33F7D" w:rsidP="00D33F7D">
      <w:pPr>
        <w:jc w:val="both"/>
        <w:rPr>
          <w:sz w:val="20"/>
          <w:szCs w:val="20"/>
        </w:rPr>
      </w:pPr>
      <w:r w:rsidRPr="00CB067D">
        <w:rPr>
          <w:sz w:val="20"/>
          <w:szCs w:val="20"/>
        </w:rPr>
        <w:t>The Arbitrator chosen by Zurich and Chubb determined, based on agreed facts, that Chubb was not an insurer for the purposes of the Act and the Regulation because it had not issued a “motor vehicle liability policy” to Wheels 4 Rent or Ms. Singh. Under the arbitration agreement, that meant that Chubb was not obligated to pay her benefits under the “pay first, dispute later” rules.</w:t>
      </w:r>
    </w:p>
    <w:p w:rsidR="00D33F7D" w:rsidRPr="00CB067D" w:rsidRDefault="00D33F7D" w:rsidP="00D33F7D">
      <w:pPr>
        <w:widowControl w:val="0"/>
        <w:jc w:val="both"/>
        <w:rPr>
          <w:sz w:val="20"/>
          <w:szCs w:val="20"/>
        </w:rPr>
      </w:pPr>
    </w:p>
    <w:p w:rsidR="00D33F7D" w:rsidRPr="00CB067D" w:rsidRDefault="00D33F7D" w:rsidP="00D33F7D">
      <w:pPr>
        <w:widowControl w:val="0"/>
        <w:jc w:val="both"/>
        <w:rPr>
          <w:sz w:val="20"/>
          <w:szCs w:val="20"/>
        </w:rPr>
      </w:pPr>
    </w:p>
    <w:p w:rsidR="00D33F7D" w:rsidRPr="00CB067D" w:rsidRDefault="00D33F7D" w:rsidP="00D33F7D">
      <w:pPr>
        <w:widowControl w:val="0"/>
        <w:ind w:left="2880" w:hanging="2880"/>
        <w:jc w:val="both"/>
        <w:rPr>
          <w:sz w:val="20"/>
          <w:szCs w:val="20"/>
        </w:rPr>
      </w:pPr>
      <w:r w:rsidRPr="00CB067D">
        <w:rPr>
          <w:sz w:val="20"/>
          <w:szCs w:val="20"/>
        </w:rPr>
        <w:t>Origin of the case:</w:t>
      </w:r>
      <w:r w:rsidRPr="00CB067D">
        <w:rPr>
          <w:sz w:val="20"/>
          <w:szCs w:val="20"/>
        </w:rPr>
        <w:tab/>
        <w:t>Ontario</w:t>
      </w:r>
    </w:p>
    <w:p w:rsidR="00D33F7D" w:rsidRPr="00CB067D" w:rsidRDefault="00D33F7D" w:rsidP="00D33F7D">
      <w:pPr>
        <w:widowControl w:val="0"/>
        <w:ind w:left="2880" w:hanging="2880"/>
        <w:jc w:val="both"/>
        <w:rPr>
          <w:sz w:val="20"/>
          <w:szCs w:val="20"/>
        </w:rPr>
      </w:pPr>
    </w:p>
    <w:p w:rsidR="00D33F7D" w:rsidRPr="00CB067D" w:rsidRDefault="00D33F7D" w:rsidP="00D33F7D">
      <w:pPr>
        <w:widowControl w:val="0"/>
        <w:ind w:left="2880" w:hanging="2880"/>
        <w:jc w:val="both"/>
        <w:rPr>
          <w:sz w:val="20"/>
          <w:szCs w:val="20"/>
        </w:rPr>
      </w:pPr>
      <w:r w:rsidRPr="00CB067D">
        <w:rPr>
          <w:sz w:val="20"/>
          <w:szCs w:val="20"/>
        </w:rPr>
        <w:t>File No.:</w:t>
      </w:r>
      <w:r w:rsidRPr="00CB067D">
        <w:rPr>
          <w:sz w:val="20"/>
          <w:szCs w:val="20"/>
        </w:rPr>
        <w:tab/>
        <w:t>36002</w:t>
      </w:r>
    </w:p>
    <w:p w:rsidR="00D33F7D" w:rsidRPr="00CB067D" w:rsidRDefault="00D33F7D" w:rsidP="00D33F7D">
      <w:pPr>
        <w:widowControl w:val="0"/>
        <w:ind w:left="2880" w:hanging="2880"/>
        <w:jc w:val="both"/>
        <w:rPr>
          <w:sz w:val="20"/>
          <w:szCs w:val="20"/>
        </w:rPr>
      </w:pPr>
    </w:p>
    <w:p w:rsidR="00D33F7D" w:rsidRPr="00CB067D" w:rsidRDefault="00D33F7D" w:rsidP="00D33F7D">
      <w:pPr>
        <w:widowControl w:val="0"/>
        <w:ind w:left="2880" w:hanging="2880"/>
        <w:jc w:val="both"/>
        <w:rPr>
          <w:sz w:val="20"/>
          <w:szCs w:val="20"/>
        </w:rPr>
      </w:pPr>
      <w:r w:rsidRPr="00CB067D">
        <w:rPr>
          <w:sz w:val="20"/>
          <w:szCs w:val="20"/>
        </w:rPr>
        <w:t>Judgment of the Court of Appeal:</w:t>
      </w:r>
      <w:r w:rsidRPr="00CB067D">
        <w:rPr>
          <w:sz w:val="20"/>
          <w:szCs w:val="20"/>
        </w:rPr>
        <w:tab/>
        <w:t>May 15, 2014</w:t>
      </w:r>
    </w:p>
    <w:p w:rsidR="00D33F7D" w:rsidRPr="00CB067D" w:rsidRDefault="00D33F7D" w:rsidP="00D33F7D">
      <w:pPr>
        <w:widowControl w:val="0"/>
        <w:ind w:left="2880" w:hanging="2880"/>
        <w:jc w:val="both"/>
        <w:rPr>
          <w:sz w:val="20"/>
          <w:szCs w:val="20"/>
        </w:rPr>
      </w:pPr>
    </w:p>
    <w:p w:rsidR="00D33F7D" w:rsidRPr="00CB067D" w:rsidRDefault="00D33F7D" w:rsidP="00D33F7D">
      <w:pPr>
        <w:widowControl w:val="0"/>
        <w:ind w:left="2880" w:hanging="2880"/>
        <w:jc w:val="both"/>
        <w:rPr>
          <w:sz w:val="20"/>
          <w:szCs w:val="20"/>
        </w:rPr>
      </w:pPr>
      <w:r w:rsidRPr="00CB067D">
        <w:rPr>
          <w:sz w:val="20"/>
          <w:szCs w:val="20"/>
        </w:rPr>
        <w:t>Counsel:</w:t>
      </w:r>
      <w:r w:rsidRPr="00CB067D">
        <w:rPr>
          <w:sz w:val="20"/>
          <w:szCs w:val="20"/>
        </w:rPr>
        <w:tab/>
        <w:t>Eric K. Grossman, Kate M. MacLeod and Michael Warfe for the Appellant</w:t>
      </w:r>
    </w:p>
    <w:p w:rsidR="00D33F7D" w:rsidRPr="00CB067D" w:rsidRDefault="00D33F7D" w:rsidP="00D33F7D">
      <w:pPr>
        <w:widowControl w:val="0"/>
        <w:ind w:left="2880" w:hanging="2880"/>
        <w:jc w:val="both"/>
        <w:rPr>
          <w:sz w:val="20"/>
          <w:szCs w:val="20"/>
        </w:rPr>
      </w:pPr>
      <w:r w:rsidRPr="00CB067D">
        <w:rPr>
          <w:sz w:val="20"/>
          <w:szCs w:val="20"/>
        </w:rPr>
        <w:tab/>
        <w:t>George Kanellakos and Marie-France Major for the Respondent</w:t>
      </w:r>
    </w:p>
    <w:p w:rsidR="008E5188" w:rsidRPr="00D33F7D" w:rsidRDefault="008E5188" w:rsidP="008E5188">
      <w:pPr>
        <w:tabs>
          <w:tab w:val="left" w:pos="-1440"/>
          <w:tab w:val="left" w:pos="-720"/>
        </w:tabs>
        <w:jc w:val="both"/>
        <w:rPr>
          <w:sz w:val="20"/>
          <w:szCs w:val="20"/>
        </w:rPr>
      </w:pPr>
    </w:p>
    <w:p w:rsidR="008E5188" w:rsidRDefault="009C5A48" w:rsidP="008E5188">
      <w:pPr>
        <w:tabs>
          <w:tab w:val="left" w:pos="-1440"/>
          <w:tab w:val="left" w:pos="-720"/>
        </w:tabs>
        <w:jc w:val="both"/>
        <w:rPr>
          <w:sz w:val="20"/>
          <w:szCs w:val="20"/>
          <w:lang w:val="fr-CA"/>
        </w:rPr>
      </w:pPr>
      <w:r>
        <w:rPr>
          <w:sz w:val="20"/>
          <w:szCs w:val="20"/>
          <w:lang w:val="fr-CA"/>
        </w:rPr>
        <w:pict>
          <v:rect id="_x0000_i1058"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D33F7D" w:rsidRPr="006F1979" w:rsidRDefault="009E55C9" w:rsidP="00D33F7D">
      <w:pPr>
        <w:widowControl w:val="0"/>
        <w:ind w:left="720" w:hanging="720"/>
        <w:jc w:val="both"/>
        <w:rPr>
          <w:sz w:val="20"/>
          <w:szCs w:val="20"/>
          <w:lang w:val="fr-CA"/>
        </w:rPr>
      </w:pPr>
      <w:r w:rsidRPr="006F1979">
        <w:rPr>
          <w:b/>
          <w:sz w:val="20"/>
          <w:szCs w:val="20"/>
          <w:lang w:val="fr-CA"/>
        </w:rPr>
        <w:lastRenderedPageBreak/>
        <w:fldChar w:fldCharType="begin"/>
      </w:r>
      <w:r w:rsidR="00D33F7D" w:rsidRPr="006F1979">
        <w:rPr>
          <w:b/>
          <w:sz w:val="20"/>
          <w:szCs w:val="20"/>
          <w:lang w:val="fr-CA"/>
        </w:rPr>
        <w:instrText xml:space="preserve"> SEQ CHAPTER \h \r 1</w:instrText>
      </w:r>
      <w:r w:rsidRPr="006F1979">
        <w:rPr>
          <w:b/>
          <w:sz w:val="20"/>
          <w:szCs w:val="20"/>
          <w:lang w:val="fr-CA"/>
        </w:rPr>
        <w:fldChar w:fldCharType="end"/>
      </w:r>
      <w:r w:rsidR="00D33F7D" w:rsidRPr="006F1979">
        <w:rPr>
          <w:b/>
          <w:sz w:val="20"/>
          <w:szCs w:val="20"/>
          <w:lang w:val="fr-CA"/>
        </w:rPr>
        <w:t>36002</w:t>
      </w:r>
      <w:r w:rsidR="00D33F7D" w:rsidRPr="006F1979">
        <w:rPr>
          <w:sz w:val="20"/>
          <w:szCs w:val="20"/>
          <w:lang w:val="fr-CA"/>
        </w:rPr>
        <w:tab/>
      </w:r>
      <w:r w:rsidR="00D33F7D" w:rsidRPr="006F1979">
        <w:rPr>
          <w:b/>
          <w:i/>
          <w:sz w:val="20"/>
          <w:szCs w:val="20"/>
          <w:lang w:val="fr-CA"/>
        </w:rPr>
        <w:t>Zurich Compagnie d’Assurances c. Chubb du Canada Compagnie d’Assurance</w:t>
      </w:r>
    </w:p>
    <w:p w:rsidR="00D33F7D" w:rsidRPr="006F1979" w:rsidRDefault="00D33F7D" w:rsidP="00D33F7D">
      <w:pPr>
        <w:widowControl w:val="0"/>
        <w:jc w:val="both"/>
        <w:rPr>
          <w:sz w:val="20"/>
          <w:szCs w:val="20"/>
          <w:lang w:val="fr-CA"/>
        </w:rPr>
      </w:pPr>
    </w:p>
    <w:p w:rsidR="00D33F7D" w:rsidRPr="006F1979" w:rsidRDefault="00D33F7D" w:rsidP="00D33F7D">
      <w:pPr>
        <w:jc w:val="both"/>
        <w:rPr>
          <w:sz w:val="20"/>
          <w:szCs w:val="20"/>
          <w:lang w:val="fr-CA"/>
        </w:rPr>
      </w:pPr>
      <w:r w:rsidRPr="006F1979">
        <w:rPr>
          <w:sz w:val="20"/>
          <w:szCs w:val="20"/>
          <w:lang w:val="fr-CA"/>
        </w:rPr>
        <w:t xml:space="preserve">Assurance - Assurance de responsabilité - Police d’assurance de responsabilité automobile - Véhicule loué - Indemnité d’accident légale - Règle  « payez d’abord, contestez après » - Lien entre la réclamante et l’assureur - </w:t>
      </w:r>
      <w:r w:rsidRPr="006F1979">
        <w:rPr>
          <w:i/>
          <w:sz w:val="20"/>
          <w:szCs w:val="20"/>
          <w:lang w:val="fr-CA"/>
        </w:rPr>
        <w:t>Loi sur les assurances</w:t>
      </w:r>
      <w:r w:rsidRPr="006F1979">
        <w:rPr>
          <w:sz w:val="20"/>
          <w:szCs w:val="20"/>
          <w:lang w:val="fr-CA"/>
        </w:rPr>
        <w:t>, L.R.O. 1990, art. 268 -</w:t>
      </w:r>
      <w:r w:rsidRPr="006F1979">
        <w:rPr>
          <w:i/>
          <w:sz w:val="20"/>
          <w:szCs w:val="20"/>
          <w:lang w:val="fr-CA"/>
        </w:rPr>
        <w:t>Disputes Between Insurers</w:t>
      </w:r>
      <w:r w:rsidRPr="006F1979">
        <w:rPr>
          <w:sz w:val="20"/>
          <w:szCs w:val="20"/>
          <w:lang w:val="fr-CA"/>
        </w:rPr>
        <w:t xml:space="preserve">, O. Reg. 283/95 : la réclamante a refusé la police d’assurance de responsabilité automobile optionnelle lors de la location de véhicule - La réclamante a été blessée lors d’un accident à un seul véhicule impliquant le véhicule loué - La réclamante a présenté une demande d’indemnité d’accident légale à l’assureur de la police d’assurance de responsabilité automobile - L’assureur a refusé de payer l’indemnité - Est-ce que Chubb est un « assureur » aux fins de l’art. 268 de la </w:t>
      </w:r>
      <w:r w:rsidRPr="006F1979">
        <w:rPr>
          <w:i/>
          <w:sz w:val="20"/>
          <w:szCs w:val="20"/>
          <w:lang w:val="fr-CA"/>
        </w:rPr>
        <w:t>Loi sur les assurances</w:t>
      </w:r>
      <w:r w:rsidRPr="006F1979">
        <w:rPr>
          <w:sz w:val="20"/>
          <w:szCs w:val="20"/>
          <w:lang w:val="fr-CA"/>
        </w:rPr>
        <w:t xml:space="preserve"> et du Règlement de l’Ontario </w:t>
      </w:r>
      <w:r w:rsidRPr="006F1979">
        <w:rPr>
          <w:i/>
          <w:sz w:val="20"/>
          <w:szCs w:val="20"/>
          <w:lang w:val="fr-CA"/>
        </w:rPr>
        <w:t>Disputes Between Insurers</w:t>
      </w:r>
      <w:r w:rsidRPr="006F1979">
        <w:rPr>
          <w:sz w:val="20"/>
          <w:szCs w:val="20"/>
          <w:lang w:val="fr-CA"/>
        </w:rPr>
        <w:t>, O. Reg. 283/95? - Lorsqu’il y a un lien entre un assureur et un véhicule automobile qui donne lieu à une demande d’indemnité, un assureur peut-il faire abstraction des obligations imposées par le règlement sur les différends qui opposent les assureurs en décidant unilatéralement qu’il n’est pas un assureur à cette fin?</w:t>
      </w:r>
    </w:p>
    <w:p w:rsidR="00D33F7D" w:rsidRPr="006F1979" w:rsidRDefault="00D33F7D" w:rsidP="00D33F7D">
      <w:pPr>
        <w:widowControl w:val="0"/>
        <w:jc w:val="both"/>
        <w:rPr>
          <w:sz w:val="20"/>
          <w:szCs w:val="20"/>
          <w:lang w:val="fr-CA"/>
        </w:rPr>
      </w:pPr>
    </w:p>
    <w:p w:rsidR="00D33F7D" w:rsidRPr="006F1979" w:rsidRDefault="00D33F7D" w:rsidP="00D33F7D">
      <w:pPr>
        <w:jc w:val="both"/>
        <w:rPr>
          <w:sz w:val="20"/>
          <w:szCs w:val="20"/>
          <w:lang w:val="fr-CA"/>
        </w:rPr>
      </w:pPr>
      <w:r w:rsidRPr="006F1979">
        <w:rPr>
          <w:sz w:val="20"/>
          <w:szCs w:val="20"/>
          <w:lang w:val="fr-CA"/>
        </w:rPr>
        <w:t xml:space="preserve">Le 23 septembre 2006, Mme Singh a été blessée dans un accident à un seul véhicule alors qu’elle conduisait un véhicule loué de la compagnie Wheels 4 Rent. Malgré le fait qu’elle avait refusé d’acheter la police d’assurance optionnelle en cas de décès et de mutilation accidentels offerte par Chubb du Canada Compagnie d’Assurance, elle a présenté une demande d’indemnité d’accident légale à Chubb. Chubb a refusé de payer l’indemnité au motif que la police optionnelle n’était pas une police d’assurance de responsabilité automobile, et que la police avait été refusée. Chubb a prétendu que le mécanisme d’indemnité d’accident légale ne s’appliquait pas car Chubb n’était pas un « assureur » sous le régime de la </w:t>
      </w:r>
      <w:r w:rsidRPr="006F1979">
        <w:rPr>
          <w:i/>
          <w:sz w:val="20"/>
          <w:szCs w:val="20"/>
          <w:lang w:val="fr-CA"/>
        </w:rPr>
        <w:t>Loi sur les assurances</w:t>
      </w:r>
      <w:r w:rsidRPr="006F1979">
        <w:rPr>
          <w:sz w:val="20"/>
          <w:szCs w:val="20"/>
          <w:lang w:val="fr-CA"/>
        </w:rPr>
        <w:t xml:space="preserve">, L.R.O. 1990, c. I.8. Éventuellement, elle a reçu une indemnité de Zurich Compagnie d’Assurances, qui assurait les véhicules de location de Wheels 4 Rent en vertu d’une « police d’assurance de responsabilité automobile ». Zurich a traité la réclamation « sans préjudice », en prétendant que Chubb était le premier assureur et qu’elle aurait dû être la première à payer. </w:t>
      </w:r>
    </w:p>
    <w:p w:rsidR="00D33F7D" w:rsidRPr="006F1979" w:rsidRDefault="00D33F7D" w:rsidP="00D33F7D">
      <w:pPr>
        <w:jc w:val="both"/>
        <w:rPr>
          <w:sz w:val="20"/>
          <w:szCs w:val="20"/>
          <w:lang w:val="fr-CA"/>
        </w:rPr>
      </w:pPr>
    </w:p>
    <w:p w:rsidR="00D33F7D" w:rsidRPr="006F1979" w:rsidRDefault="00D33F7D" w:rsidP="00D33F7D">
      <w:pPr>
        <w:jc w:val="both"/>
        <w:rPr>
          <w:sz w:val="20"/>
          <w:szCs w:val="20"/>
          <w:lang w:val="fr-CA"/>
        </w:rPr>
      </w:pPr>
      <w:r w:rsidRPr="006F1979">
        <w:rPr>
          <w:sz w:val="20"/>
          <w:szCs w:val="20"/>
          <w:lang w:val="fr-CA"/>
        </w:rPr>
        <w:t xml:space="preserve">L’arbitre choisi par Zurich et Chubb a conclu, en se fondant sur les faits convenus, que Chubb n’était pas un assureur aux fins de la Loi et du règlement car elle n’avait pas émis de « police d’assurance de responsabilité automobile » à Wheels 4 Rent ou à Madame Singh. Aux termes de la convention d’arbitrage, Chubb n’était donc pas obligée de payer l’indemnité à Mme Singh en application de la règle « payez d’abord, contestez après ». </w:t>
      </w:r>
    </w:p>
    <w:p w:rsidR="00D33F7D" w:rsidRPr="006F1979" w:rsidRDefault="00D33F7D" w:rsidP="00D33F7D">
      <w:pPr>
        <w:widowControl w:val="0"/>
        <w:jc w:val="both"/>
        <w:rPr>
          <w:sz w:val="20"/>
          <w:szCs w:val="20"/>
          <w:lang w:val="fr-CA"/>
        </w:rPr>
      </w:pPr>
    </w:p>
    <w:p w:rsidR="00D33F7D" w:rsidRPr="006F1979" w:rsidRDefault="00D33F7D" w:rsidP="00D33F7D">
      <w:pPr>
        <w:widowControl w:val="0"/>
        <w:jc w:val="both"/>
        <w:rPr>
          <w:sz w:val="20"/>
          <w:szCs w:val="20"/>
          <w:lang w:val="fr-CA"/>
        </w:rPr>
      </w:pPr>
    </w:p>
    <w:p w:rsidR="00D33F7D" w:rsidRPr="006F1979" w:rsidRDefault="00D33F7D" w:rsidP="00D33F7D">
      <w:pPr>
        <w:widowControl w:val="0"/>
        <w:ind w:left="2880" w:hanging="2880"/>
        <w:jc w:val="both"/>
        <w:rPr>
          <w:sz w:val="20"/>
          <w:szCs w:val="20"/>
          <w:lang w:val="fr-CA"/>
        </w:rPr>
      </w:pPr>
      <w:r w:rsidRPr="006F1979">
        <w:rPr>
          <w:sz w:val="20"/>
          <w:szCs w:val="20"/>
          <w:lang w:val="fr-CA"/>
        </w:rPr>
        <w:t>Origine :</w:t>
      </w:r>
      <w:r w:rsidRPr="006F1979">
        <w:rPr>
          <w:sz w:val="20"/>
          <w:szCs w:val="20"/>
          <w:lang w:val="fr-CA"/>
        </w:rPr>
        <w:tab/>
        <w:t>Ontario</w:t>
      </w:r>
    </w:p>
    <w:p w:rsidR="00D33F7D" w:rsidRPr="006F1979" w:rsidRDefault="00D33F7D" w:rsidP="00D33F7D">
      <w:pPr>
        <w:widowControl w:val="0"/>
        <w:ind w:left="2880" w:hanging="2880"/>
        <w:jc w:val="both"/>
        <w:rPr>
          <w:sz w:val="20"/>
          <w:szCs w:val="20"/>
          <w:lang w:val="fr-CA"/>
        </w:rPr>
      </w:pPr>
    </w:p>
    <w:p w:rsidR="00D33F7D" w:rsidRPr="006F1979" w:rsidRDefault="00D33F7D" w:rsidP="00D33F7D">
      <w:pPr>
        <w:widowControl w:val="0"/>
        <w:ind w:left="2880" w:hanging="2880"/>
        <w:jc w:val="both"/>
        <w:rPr>
          <w:sz w:val="20"/>
          <w:szCs w:val="20"/>
          <w:lang w:val="fr-CA"/>
        </w:rPr>
      </w:pPr>
      <w:r w:rsidRPr="006F1979">
        <w:rPr>
          <w:sz w:val="20"/>
          <w:szCs w:val="20"/>
          <w:lang w:val="fr-CA"/>
        </w:rPr>
        <w:t>N</w:t>
      </w:r>
      <w:r w:rsidRPr="006F1979">
        <w:rPr>
          <w:sz w:val="20"/>
          <w:szCs w:val="20"/>
          <w:vertAlign w:val="superscript"/>
          <w:lang w:val="fr-CA"/>
        </w:rPr>
        <w:t>o</w:t>
      </w:r>
      <w:r w:rsidRPr="006F1979">
        <w:rPr>
          <w:sz w:val="20"/>
          <w:szCs w:val="20"/>
          <w:lang w:val="fr-CA"/>
        </w:rPr>
        <w:t xml:space="preserve"> du greffe :</w:t>
      </w:r>
      <w:r w:rsidRPr="006F1979">
        <w:rPr>
          <w:sz w:val="20"/>
          <w:szCs w:val="20"/>
          <w:lang w:val="fr-CA"/>
        </w:rPr>
        <w:tab/>
        <w:t>36002</w:t>
      </w:r>
    </w:p>
    <w:p w:rsidR="00D33F7D" w:rsidRPr="006F1979" w:rsidRDefault="00D33F7D" w:rsidP="00D33F7D">
      <w:pPr>
        <w:widowControl w:val="0"/>
        <w:ind w:left="2880" w:hanging="2880"/>
        <w:jc w:val="both"/>
        <w:rPr>
          <w:sz w:val="20"/>
          <w:szCs w:val="20"/>
          <w:lang w:val="fr-CA"/>
        </w:rPr>
      </w:pPr>
    </w:p>
    <w:p w:rsidR="00D33F7D" w:rsidRPr="006F1979" w:rsidRDefault="00D33F7D" w:rsidP="00D33F7D">
      <w:pPr>
        <w:widowControl w:val="0"/>
        <w:ind w:left="2880" w:hanging="2880"/>
        <w:jc w:val="both"/>
        <w:rPr>
          <w:sz w:val="20"/>
          <w:szCs w:val="20"/>
          <w:lang w:val="fr-CA"/>
        </w:rPr>
      </w:pPr>
      <w:r w:rsidRPr="006F1979">
        <w:rPr>
          <w:sz w:val="20"/>
          <w:szCs w:val="20"/>
          <w:lang w:val="fr-CA"/>
        </w:rPr>
        <w:t>Arrêt de la Cour d’appel :</w:t>
      </w:r>
      <w:r w:rsidRPr="006F1979">
        <w:rPr>
          <w:sz w:val="20"/>
          <w:szCs w:val="20"/>
          <w:lang w:val="fr-CA"/>
        </w:rPr>
        <w:tab/>
        <w:t>le 15 mai 2014</w:t>
      </w:r>
    </w:p>
    <w:p w:rsidR="00D33F7D" w:rsidRPr="006F1979" w:rsidRDefault="00D33F7D" w:rsidP="00D33F7D">
      <w:pPr>
        <w:widowControl w:val="0"/>
        <w:ind w:left="2880" w:hanging="2880"/>
        <w:jc w:val="both"/>
        <w:rPr>
          <w:sz w:val="20"/>
          <w:szCs w:val="20"/>
          <w:lang w:val="fr-CA"/>
        </w:rPr>
      </w:pPr>
    </w:p>
    <w:p w:rsidR="00D33F7D" w:rsidRPr="006F1979" w:rsidRDefault="00D33F7D" w:rsidP="00D33F7D">
      <w:pPr>
        <w:widowControl w:val="0"/>
        <w:ind w:left="2880" w:hanging="2880"/>
        <w:jc w:val="both"/>
        <w:rPr>
          <w:sz w:val="20"/>
          <w:szCs w:val="20"/>
          <w:lang w:val="fr-CA"/>
        </w:rPr>
      </w:pPr>
      <w:r w:rsidRPr="006F1979">
        <w:rPr>
          <w:sz w:val="20"/>
          <w:szCs w:val="20"/>
          <w:lang w:val="fr-CA"/>
        </w:rPr>
        <w:t>Avocats :</w:t>
      </w:r>
      <w:r w:rsidRPr="006F1979">
        <w:rPr>
          <w:sz w:val="20"/>
          <w:szCs w:val="20"/>
          <w:lang w:val="fr-CA"/>
        </w:rPr>
        <w:tab/>
        <w:t>Eric K. Grossman, Kate M. MacLeod et Michael Warfe pour l’appelante</w:t>
      </w:r>
    </w:p>
    <w:p w:rsidR="00D33F7D" w:rsidRPr="006F1979" w:rsidRDefault="00D33F7D" w:rsidP="00D33F7D">
      <w:pPr>
        <w:widowControl w:val="0"/>
        <w:ind w:left="2880" w:hanging="2880"/>
        <w:jc w:val="both"/>
        <w:rPr>
          <w:sz w:val="20"/>
          <w:szCs w:val="20"/>
          <w:lang w:val="fr-CA"/>
        </w:rPr>
      </w:pPr>
      <w:r w:rsidRPr="006F1979">
        <w:rPr>
          <w:sz w:val="20"/>
          <w:szCs w:val="20"/>
          <w:lang w:val="fr-CA"/>
        </w:rPr>
        <w:tab/>
        <w:t>George Kanellakos et Marie-France Major pour l’intimée</w:t>
      </w:r>
    </w:p>
    <w:p w:rsidR="008E5188" w:rsidRPr="00DD0B49" w:rsidRDefault="008E5188" w:rsidP="008E5188">
      <w:pPr>
        <w:tabs>
          <w:tab w:val="left" w:pos="-1440"/>
          <w:tab w:val="left" w:pos="-720"/>
        </w:tabs>
        <w:jc w:val="both"/>
        <w:rPr>
          <w:sz w:val="20"/>
          <w:szCs w:val="20"/>
          <w:lang w:val="fr-CA"/>
        </w:rPr>
      </w:pPr>
    </w:p>
    <w:p w:rsidR="008E5188" w:rsidRDefault="009C5A48" w:rsidP="008E5188">
      <w:pPr>
        <w:tabs>
          <w:tab w:val="left" w:pos="-1440"/>
          <w:tab w:val="left" w:pos="-720"/>
        </w:tabs>
        <w:jc w:val="both"/>
        <w:rPr>
          <w:sz w:val="20"/>
          <w:szCs w:val="20"/>
          <w:lang w:val="fr-CA"/>
        </w:rPr>
      </w:pPr>
      <w:r>
        <w:rPr>
          <w:sz w:val="20"/>
          <w:szCs w:val="20"/>
          <w:lang w:val="fr-CA"/>
        </w:rPr>
        <w:pict>
          <v:rect id="_x0000_i1059"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7D3571" w:rsidRPr="00680E9A" w:rsidRDefault="009E55C9" w:rsidP="007D3571">
      <w:pPr>
        <w:widowControl w:val="0"/>
        <w:ind w:left="720" w:hanging="720"/>
        <w:jc w:val="both"/>
        <w:rPr>
          <w:sz w:val="20"/>
          <w:szCs w:val="20"/>
          <w:lang w:val="fr-CA"/>
        </w:rPr>
      </w:pPr>
      <w:r w:rsidRPr="00680E9A">
        <w:rPr>
          <w:b/>
          <w:sz w:val="20"/>
          <w:szCs w:val="20"/>
        </w:rPr>
        <w:lastRenderedPageBreak/>
        <w:fldChar w:fldCharType="begin"/>
      </w:r>
      <w:r w:rsidR="007D3571" w:rsidRPr="00680E9A">
        <w:rPr>
          <w:b/>
          <w:sz w:val="20"/>
          <w:szCs w:val="20"/>
          <w:lang w:val="fr-CA"/>
        </w:rPr>
        <w:instrText xml:space="preserve"> SEQ CHAPTER \h \r 1</w:instrText>
      </w:r>
      <w:r w:rsidRPr="00680E9A">
        <w:rPr>
          <w:b/>
          <w:sz w:val="20"/>
          <w:szCs w:val="20"/>
        </w:rPr>
        <w:fldChar w:fldCharType="end"/>
      </w:r>
      <w:r w:rsidR="007D3571" w:rsidRPr="00680E9A">
        <w:rPr>
          <w:b/>
          <w:sz w:val="20"/>
          <w:szCs w:val="20"/>
          <w:lang w:val="fr-CA"/>
        </w:rPr>
        <w:t>35886</w:t>
      </w:r>
      <w:r w:rsidR="007D3571" w:rsidRPr="00680E9A">
        <w:rPr>
          <w:sz w:val="20"/>
          <w:szCs w:val="20"/>
          <w:lang w:val="fr-CA"/>
        </w:rPr>
        <w:tab/>
      </w:r>
      <w:r w:rsidR="007D3571" w:rsidRPr="00680E9A">
        <w:rPr>
          <w:b/>
          <w:i/>
          <w:sz w:val="20"/>
          <w:szCs w:val="20"/>
          <w:lang w:val="fr-CA"/>
        </w:rPr>
        <w:t>Sanofi-Aventis et al v. Apotex Inc.</w:t>
      </w:r>
      <w:r w:rsidR="007D3571" w:rsidRPr="00680E9A">
        <w:rPr>
          <w:i/>
          <w:sz w:val="20"/>
          <w:szCs w:val="20"/>
          <w:lang w:val="fr-CA"/>
        </w:rPr>
        <w:t xml:space="preserve"> </w:t>
      </w:r>
    </w:p>
    <w:p w:rsidR="007D3571" w:rsidRPr="00680E9A" w:rsidRDefault="007D3571" w:rsidP="007D3571">
      <w:pPr>
        <w:widowControl w:val="0"/>
        <w:jc w:val="both"/>
        <w:rPr>
          <w:sz w:val="20"/>
          <w:szCs w:val="20"/>
          <w:lang w:val="fr-CA"/>
        </w:rPr>
      </w:pPr>
    </w:p>
    <w:p w:rsidR="007D3571" w:rsidRPr="00680E9A" w:rsidRDefault="007D3571" w:rsidP="007D3571">
      <w:pPr>
        <w:jc w:val="both"/>
        <w:rPr>
          <w:smallCaps/>
          <w:sz w:val="20"/>
          <w:szCs w:val="20"/>
        </w:rPr>
      </w:pPr>
      <w:r w:rsidRPr="00680E9A">
        <w:rPr>
          <w:smallCaps/>
          <w:sz w:val="20"/>
          <w:szCs w:val="20"/>
        </w:rPr>
        <w:t xml:space="preserve">(Sealing </w:t>
      </w:r>
      <w:r>
        <w:rPr>
          <w:smallCaps/>
          <w:sz w:val="20"/>
          <w:szCs w:val="20"/>
        </w:rPr>
        <w:t>O</w:t>
      </w:r>
      <w:r w:rsidRPr="00680E9A">
        <w:rPr>
          <w:smallCaps/>
          <w:sz w:val="20"/>
          <w:szCs w:val="20"/>
        </w:rPr>
        <w:t>rder)</w:t>
      </w:r>
    </w:p>
    <w:p w:rsidR="007D3571" w:rsidRPr="00680E9A" w:rsidRDefault="007D3571" w:rsidP="007D3571">
      <w:pPr>
        <w:jc w:val="both"/>
        <w:rPr>
          <w:smallCaps/>
          <w:sz w:val="20"/>
          <w:szCs w:val="20"/>
        </w:rPr>
      </w:pPr>
    </w:p>
    <w:p w:rsidR="007D3571" w:rsidRPr="00680E9A" w:rsidRDefault="007D3571" w:rsidP="007D3571">
      <w:pPr>
        <w:jc w:val="both"/>
        <w:rPr>
          <w:sz w:val="20"/>
          <w:szCs w:val="20"/>
        </w:rPr>
      </w:pPr>
      <w:r w:rsidRPr="00680E9A">
        <w:rPr>
          <w:sz w:val="20"/>
          <w:szCs w:val="20"/>
        </w:rPr>
        <w:t xml:space="preserve">Intellectual property - Patents - Medicines - Generic manufacturer seeking damages under s. 8 of </w:t>
      </w:r>
      <w:r w:rsidRPr="00680E9A">
        <w:rPr>
          <w:i/>
          <w:sz w:val="20"/>
          <w:szCs w:val="20"/>
        </w:rPr>
        <w:t>Patented Medicines (Notice of Compliance) Regulations</w:t>
      </w:r>
      <w:r w:rsidRPr="00680E9A">
        <w:rPr>
          <w:sz w:val="20"/>
          <w:szCs w:val="20"/>
        </w:rPr>
        <w:t xml:space="preserve">, SOR/93-133 after delayed market entry due to statutory stay occasioned by failed prohibition proceedings - Whether lower courts erred in interpreting s. 8 of the </w:t>
      </w:r>
      <w:r w:rsidRPr="00680E9A">
        <w:rPr>
          <w:i/>
          <w:sz w:val="20"/>
          <w:szCs w:val="20"/>
        </w:rPr>
        <w:t>NOC Regulations</w:t>
      </w:r>
      <w:r w:rsidRPr="00680E9A">
        <w:rPr>
          <w:sz w:val="20"/>
          <w:szCs w:val="20"/>
        </w:rPr>
        <w:t xml:space="preserve"> as providing a damages framework that overcompensates claimants and leads to judicial inconsistencies; in selecting April 26, 2004 as the commencement date for the period of loss; and in awarding Apotex compensation for hypothetically losing unapproved HOPE sales</w:t>
      </w:r>
    </w:p>
    <w:p w:rsidR="007D3571" w:rsidRPr="00680E9A" w:rsidRDefault="007D3571" w:rsidP="007D3571">
      <w:pPr>
        <w:widowControl w:val="0"/>
        <w:jc w:val="both"/>
        <w:rPr>
          <w:sz w:val="20"/>
          <w:szCs w:val="20"/>
        </w:rPr>
      </w:pPr>
    </w:p>
    <w:p w:rsidR="007D3571" w:rsidRPr="00680E9A" w:rsidRDefault="007D3571" w:rsidP="007D3571">
      <w:pPr>
        <w:shd w:val="clear" w:color="auto" w:fill="FFFFFF"/>
        <w:jc w:val="both"/>
        <w:rPr>
          <w:spacing w:val="-3"/>
          <w:sz w:val="20"/>
          <w:szCs w:val="20"/>
        </w:rPr>
      </w:pPr>
      <w:r w:rsidRPr="00680E9A">
        <w:rPr>
          <w:spacing w:val="-3"/>
          <w:sz w:val="20"/>
          <w:szCs w:val="20"/>
        </w:rPr>
        <w:t xml:space="preserve">The Applicants (collectively, “Sanofi”) are the patentees and have the rights to a series of Canadian patents for the drug, ramipril, used in the treatment of hypertension. The original ‘087 patent issued in 1985 and was set to expire in 2002. In an effort to extend that patent protection, Sanofi obtained a further series of patents for different indications for ramipril and listed them on the Patent Register. Between 2003 and 2008, these “new” ramipril patents were challenged by Apotex Inc. and other generic manufacturers under the </w:t>
      </w:r>
      <w:r w:rsidRPr="00680E9A">
        <w:rPr>
          <w:i/>
          <w:spacing w:val="-3"/>
          <w:sz w:val="20"/>
          <w:szCs w:val="20"/>
        </w:rPr>
        <w:t>PM(NOC) Regulations</w:t>
      </w:r>
      <w:r w:rsidRPr="00680E9A">
        <w:rPr>
          <w:spacing w:val="-3"/>
          <w:sz w:val="20"/>
          <w:szCs w:val="20"/>
        </w:rPr>
        <w:t xml:space="preserve">. Sanofi applied for prohibition orders in each case, triggering the 24-month statutory stay that kept the generic competitors off the ramipril market during that period of time. Only one prohibition application was successful. Apotex received its NOC to market Apo-ramipril in December, 2006. Sanofi commenced separate unsuccessful infringement actions against both Apotex and the other generic manufacturers. Apotex then brought an action under s. 8 of the </w:t>
      </w:r>
      <w:hyperlink r:id="rId64" w:history="1">
        <w:r w:rsidRPr="00680E9A">
          <w:rPr>
            <w:i/>
            <w:iCs/>
            <w:spacing w:val="-3"/>
            <w:sz w:val="20"/>
            <w:szCs w:val="20"/>
          </w:rPr>
          <w:t>PM(NOC) Regulations</w:t>
        </w:r>
        <w:r w:rsidRPr="00680E9A">
          <w:rPr>
            <w:spacing w:val="-3"/>
            <w:sz w:val="20"/>
            <w:szCs w:val="20"/>
          </w:rPr>
          <w:t xml:space="preserve">, </w:t>
        </w:r>
      </w:hyperlink>
      <w:r w:rsidRPr="00680E9A">
        <w:rPr>
          <w:sz w:val="20"/>
          <w:szCs w:val="20"/>
        </w:rPr>
        <w:t>to claim damages f</w:t>
      </w:r>
      <w:r w:rsidRPr="00680E9A">
        <w:rPr>
          <w:spacing w:val="-3"/>
          <w:sz w:val="20"/>
          <w:szCs w:val="20"/>
        </w:rPr>
        <w:t xml:space="preserve">or its net lost profits during the period of the statutory stay. </w:t>
      </w:r>
    </w:p>
    <w:p w:rsidR="007D3571" w:rsidRPr="00680E9A" w:rsidRDefault="007D3571" w:rsidP="007D3571">
      <w:pPr>
        <w:widowControl w:val="0"/>
        <w:jc w:val="both"/>
        <w:rPr>
          <w:sz w:val="20"/>
          <w:szCs w:val="20"/>
        </w:rPr>
      </w:pPr>
    </w:p>
    <w:p w:rsidR="007D3571" w:rsidRPr="00680E9A" w:rsidRDefault="007D3571" w:rsidP="007D3571">
      <w:pPr>
        <w:widowControl w:val="0"/>
        <w:jc w:val="both"/>
        <w:rPr>
          <w:sz w:val="20"/>
          <w:szCs w:val="20"/>
        </w:rPr>
      </w:pPr>
    </w:p>
    <w:p w:rsidR="007D3571" w:rsidRPr="00680E9A" w:rsidRDefault="007D3571" w:rsidP="007D3571">
      <w:pPr>
        <w:widowControl w:val="0"/>
        <w:ind w:left="2880" w:hanging="2880"/>
        <w:jc w:val="both"/>
        <w:rPr>
          <w:sz w:val="20"/>
          <w:szCs w:val="20"/>
        </w:rPr>
      </w:pPr>
      <w:r w:rsidRPr="00680E9A">
        <w:rPr>
          <w:sz w:val="20"/>
          <w:szCs w:val="20"/>
        </w:rPr>
        <w:t>Origin of the case:</w:t>
      </w:r>
      <w:r w:rsidRPr="00680E9A">
        <w:rPr>
          <w:sz w:val="20"/>
          <w:szCs w:val="20"/>
        </w:rPr>
        <w:tab/>
        <w:t>Federal Court of Appeal</w:t>
      </w:r>
    </w:p>
    <w:p w:rsidR="007D3571" w:rsidRPr="00680E9A" w:rsidRDefault="007D3571" w:rsidP="007D3571">
      <w:pPr>
        <w:widowControl w:val="0"/>
        <w:ind w:left="2880" w:hanging="2880"/>
        <w:jc w:val="both"/>
        <w:rPr>
          <w:sz w:val="20"/>
          <w:szCs w:val="20"/>
        </w:rPr>
      </w:pPr>
    </w:p>
    <w:p w:rsidR="007D3571" w:rsidRPr="00680E9A" w:rsidRDefault="007D3571" w:rsidP="007D3571">
      <w:pPr>
        <w:widowControl w:val="0"/>
        <w:ind w:left="2880" w:hanging="2880"/>
        <w:jc w:val="both"/>
        <w:rPr>
          <w:sz w:val="20"/>
          <w:szCs w:val="20"/>
        </w:rPr>
      </w:pPr>
      <w:r w:rsidRPr="00680E9A">
        <w:rPr>
          <w:sz w:val="20"/>
          <w:szCs w:val="20"/>
        </w:rPr>
        <w:t>File No.:</w:t>
      </w:r>
      <w:r w:rsidRPr="00680E9A">
        <w:rPr>
          <w:sz w:val="20"/>
          <w:szCs w:val="20"/>
        </w:rPr>
        <w:tab/>
        <w:t>35886</w:t>
      </w:r>
    </w:p>
    <w:p w:rsidR="007D3571" w:rsidRPr="00680E9A" w:rsidRDefault="007D3571" w:rsidP="007D3571">
      <w:pPr>
        <w:widowControl w:val="0"/>
        <w:ind w:left="2880" w:hanging="2880"/>
        <w:jc w:val="both"/>
        <w:rPr>
          <w:sz w:val="20"/>
          <w:szCs w:val="20"/>
        </w:rPr>
      </w:pPr>
    </w:p>
    <w:p w:rsidR="007D3571" w:rsidRPr="00680E9A" w:rsidRDefault="007D3571" w:rsidP="007D3571">
      <w:pPr>
        <w:widowControl w:val="0"/>
        <w:ind w:left="2880" w:hanging="2880"/>
        <w:jc w:val="both"/>
        <w:rPr>
          <w:sz w:val="20"/>
          <w:szCs w:val="20"/>
        </w:rPr>
      </w:pPr>
      <w:r w:rsidRPr="00680E9A">
        <w:rPr>
          <w:sz w:val="20"/>
          <w:szCs w:val="20"/>
        </w:rPr>
        <w:t>Judgment of the Court of Appeal:</w:t>
      </w:r>
      <w:r w:rsidRPr="00680E9A">
        <w:rPr>
          <w:sz w:val="20"/>
          <w:szCs w:val="20"/>
        </w:rPr>
        <w:tab/>
        <w:t>March 14, 2014</w:t>
      </w:r>
    </w:p>
    <w:p w:rsidR="007D3571" w:rsidRPr="00680E9A" w:rsidRDefault="007D3571" w:rsidP="007D3571">
      <w:pPr>
        <w:widowControl w:val="0"/>
        <w:ind w:left="2880" w:hanging="2880"/>
        <w:jc w:val="both"/>
        <w:rPr>
          <w:sz w:val="20"/>
          <w:szCs w:val="20"/>
        </w:rPr>
      </w:pPr>
    </w:p>
    <w:p w:rsidR="007D3571" w:rsidRPr="00680E9A" w:rsidRDefault="007D3571" w:rsidP="007D3571">
      <w:pPr>
        <w:widowControl w:val="0"/>
        <w:ind w:left="2880" w:hanging="2880"/>
        <w:jc w:val="both"/>
        <w:rPr>
          <w:sz w:val="20"/>
          <w:szCs w:val="20"/>
        </w:rPr>
      </w:pPr>
      <w:r w:rsidRPr="00680E9A">
        <w:rPr>
          <w:sz w:val="20"/>
          <w:szCs w:val="20"/>
        </w:rPr>
        <w:t>Counsel:</w:t>
      </w:r>
      <w:r w:rsidRPr="00680E9A">
        <w:rPr>
          <w:sz w:val="20"/>
          <w:szCs w:val="20"/>
        </w:rPr>
        <w:tab/>
        <w:t>Andrew J. Reddon for the Appellant</w:t>
      </w:r>
    </w:p>
    <w:p w:rsidR="007D3571" w:rsidRPr="00680E9A" w:rsidRDefault="007D3571" w:rsidP="007D3571">
      <w:pPr>
        <w:widowControl w:val="0"/>
        <w:ind w:left="2880" w:hanging="2880"/>
        <w:jc w:val="both"/>
        <w:rPr>
          <w:sz w:val="20"/>
          <w:szCs w:val="20"/>
        </w:rPr>
      </w:pPr>
      <w:r w:rsidRPr="00680E9A">
        <w:rPr>
          <w:sz w:val="20"/>
          <w:szCs w:val="20"/>
        </w:rPr>
        <w:tab/>
        <w:t>Harry B. Radomski for the Respondent</w:t>
      </w:r>
    </w:p>
    <w:p w:rsidR="008E5188" w:rsidRPr="007D3571" w:rsidRDefault="008E5188" w:rsidP="008E5188">
      <w:pPr>
        <w:tabs>
          <w:tab w:val="left" w:pos="-1440"/>
          <w:tab w:val="left" w:pos="-720"/>
        </w:tabs>
        <w:jc w:val="both"/>
        <w:rPr>
          <w:sz w:val="20"/>
          <w:szCs w:val="20"/>
        </w:rPr>
      </w:pPr>
    </w:p>
    <w:p w:rsidR="008E5188" w:rsidRDefault="009C5A48" w:rsidP="008E5188">
      <w:pPr>
        <w:tabs>
          <w:tab w:val="left" w:pos="-1440"/>
          <w:tab w:val="left" w:pos="-720"/>
        </w:tabs>
        <w:jc w:val="both"/>
        <w:rPr>
          <w:sz w:val="20"/>
          <w:szCs w:val="20"/>
          <w:lang w:val="fr-CA"/>
        </w:rPr>
      </w:pPr>
      <w:r>
        <w:rPr>
          <w:sz w:val="20"/>
          <w:szCs w:val="20"/>
          <w:lang w:val="fr-CA"/>
        </w:rPr>
        <w:pict>
          <v:rect id="_x0000_i1060"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7D3571" w:rsidRPr="00E464D3" w:rsidRDefault="009E55C9" w:rsidP="007D3571">
      <w:pPr>
        <w:widowControl w:val="0"/>
        <w:ind w:left="720" w:hanging="720"/>
        <w:jc w:val="both"/>
        <w:rPr>
          <w:sz w:val="20"/>
          <w:szCs w:val="20"/>
          <w:lang w:val="fr-CA"/>
        </w:rPr>
      </w:pPr>
      <w:r w:rsidRPr="00E464D3">
        <w:rPr>
          <w:b/>
          <w:sz w:val="20"/>
          <w:szCs w:val="20"/>
          <w:lang w:val="fr-CA"/>
        </w:rPr>
        <w:lastRenderedPageBreak/>
        <w:fldChar w:fldCharType="begin"/>
      </w:r>
      <w:r w:rsidR="007D3571" w:rsidRPr="00E464D3">
        <w:rPr>
          <w:b/>
          <w:sz w:val="20"/>
          <w:szCs w:val="20"/>
          <w:lang w:val="fr-CA"/>
        </w:rPr>
        <w:instrText xml:space="preserve"> SEQ CHAPTER \h \r 1</w:instrText>
      </w:r>
      <w:r w:rsidRPr="00E464D3">
        <w:rPr>
          <w:b/>
          <w:sz w:val="20"/>
          <w:szCs w:val="20"/>
          <w:lang w:val="fr-CA"/>
        </w:rPr>
        <w:fldChar w:fldCharType="end"/>
      </w:r>
      <w:r w:rsidR="007D3571" w:rsidRPr="00E464D3">
        <w:rPr>
          <w:b/>
          <w:sz w:val="20"/>
          <w:szCs w:val="20"/>
          <w:lang w:val="fr-CA"/>
        </w:rPr>
        <w:t>35886</w:t>
      </w:r>
      <w:r w:rsidR="007D3571" w:rsidRPr="00E464D3">
        <w:rPr>
          <w:sz w:val="20"/>
          <w:szCs w:val="20"/>
          <w:lang w:val="fr-CA"/>
        </w:rPr>
        <w:tab/>
      </w:r>
      <w:r w:rsidR="007D3571" w:rsidRPr="00E464D3">
        <w:rPr>
          <w:b/>
          <w:i/>
          <w:sz w:val="20"/>
          <w:szCs w:val="20"/>
          <w:lang w:val="fr-CA"/>
        </w:rPr>
        <w:t>Sanofi-Aventis et a</w:t>
      </w:r>
      <w:r w:rsidR="00AF4F51">
        <w:rPr>
          <w:b/>
          <w:i/>
          <w:sz w:val="20"/>
          <w:szCs w:val="20"/>
          <w:lang w:val="fr-CA"/>
        </w:rPr>
        <w:t>utre</w:t>
      </w:r>
      <w:r w:rsidR="007D3571" w:rsidRPr="00E464D3">
        <w:rPr>
          <w:b/>
          <w:i/>
          <w:sz w:val="20"/>
          <w:szCs w:val="20"/>
          <w:lang w:val="fr-CA"/>
        </w:rPr>
        <w:t xml:space="preserve"> c. Apotex Inc.</w:t>
      </w:r>
      <w:r w:rsidR="007D3571" w:rsidRPr="00E464D3">
        <w:rPr>
          <w:i/>
          <w:sz w:val="20"/>
          <w:szCs w:val="20"/>
          <w:lang w:val="fr-CA"/>
        </w:rPr>
        <w:t xml:space="preserve"> </w:t>
      </w:r>
    </w:p>
    <w:p w:rsidR="007D3571" w:rsidRPr="00E464D3" w:rsidRDefault="007D3571" w:rsidP="007D3571">
      <w:pPr>
        <w:widowControl w:val="0"/>
        <w:jc w:val="both"/>
        <w:rPr>
          <w:sz w:val="20"/>
          <w:szCs w:val="20"/>
          <w:lang w:val="fr-CA"/>
        </w:rPr>
      </w:pPr>
    </w:p>
    <w:p w:rsidR="007D3571" w:rsidRPr="00E464D3" w:rsidRDefault="007D3571" w:rsidP="007D3571">
      <w:pPr>
        <w:jc w:val="both"/>
        <w:rPr>
          <w:smallCaps/>
          <w:sz w:val="20"/>
          <w:szCs w:val="20"/>
          <w:lang w:val="fr-CA"/>
        </w:rPr>
      </w:pPr>
      <w:r w:rsidRPr="00E464D3">
        <w:rPr>
          <w:smallCaps/>
          <w:sz w:val="20"/>
          <w:szCs w:val="20"/>
          <w:lang w:val="fr-CA"/>
        </w:rPr>
        <w:t>(</w:t>
      </w:r>
      <w:r>
        <w:rPr>
          <w:smallCaps/>
          <w:sz w:val="20"/>
          <w:lang w:val="fr-CA"/>
        </w:rPr>
        <w:t>O</w:t>
      </w:r>
      <w:r w:rsidRPr="00E464D3">
        <w:rPr>
          <w:smallCaps/>
          <w:sz w:val="20"/>
          <w:szCs w:val="20"/>
          <w:lang w:val="fr-CA"/>
        </w:rPr>
        <w:t>rdonnance de mise sous scellés)</w:t>
      </w:r>
    </w:p>
    <w:p w:rsidR="007D3571" w:rsidRPr="00E464D3" w:rsidRDefault="007D3571" w:rsidP="007D3571">
      <w:pPr>
        <w:jc w:val="both"/>
        <w:rPr>
          <w:smallCaps/>
          <w:sz w:val="20"/>
          <w:szCs w:val="20"/>
          <w:lang w:val="fr-CA"/>
        </w:rPr>
      </w:pPr>
    </w:p>
    <w:p w:rsidR="007D3571" w:rsidRPr="00E464D3" w:rsidRDefault="007D3571" w:rsidP="007D3571">
      <w:pPr>
        <w:jc w:val="both"/>
        <w:rPr>
          <w:sz w:val="20"/>
          <w:szCs w:val="20"/>
          <w:lang w:val="fr-CA"/>
        </w:rPr>
      </w:pPr>
      <w:r w:rsidRPr="00E464D3">
        <w:rPr>
          <w:sz w:val="20"/>
          <w:szCs w:val="20"/>
          <w:lang w:val="fr-CA"/>
        </w:rPr>
        <w:t xml:space="preserve">Propriété intellectuelle - Brevets - Médicaments - Un fabricant de produits génériques demande des dommages-intérêts en vertu de l’art. 8 du </w:t>
      </w:r>
      <w:r w:rsidRPr="00E464D3">
        <w:rPr>
          <w:i/>
          <w:sz w:val="20"/>
          <w:szCs w:val="20"/>
          <w:lang w:val="fr-CA"/>
        </w:rPr>
        <w:t>Règlement sur les médicaments brevetés (avis de conformité)</w:t>
      </w:r>
      <w:r w:rsidRPr="00E464D3">
        <w:rPr>
          <w:sz w:val="20"/>
          <w:szCs w:val="20"/>
          <w:lang w:val="fr-CA"/>
        </w:rPr>
        <w:t xml:space="preserve">, DORS/93-133 suite au report de la mise en marché en raison d’un sursis prévu par la loi causé par une procédure d’interdiction infructueuse - Les juridictions inférieures ont-elles commis une erreur en interprétant l’art. 8 du </w:t>
      </w:r>
      <w:r w:rsidRPr="00E464D3">
        <w:rPr>
          <w:i/>
          <w:sz w:val="20"/>
          <w:szCs w:val="20"/>
          <w:lang w:val="fr-CA"/>
        </w:rPr>
        <w:t>Règlement AC</w:t>
      </w:r>
      <w:r w:rsidRPr="00E464D3">
        <w:rPr>
          <w:sz w:val="20"/>
          <w:szCs w:val="20"/>
          <w:lang w:val="fr-CA"/>
        </w:rPr>
        <w:t xml:space="preserve"> comme si cette disposition créait un régime de dommages-intérêts qui surindemnise les demandeurs et qui mène à des incohérences judiciaires, en fixant au 26 avril 2004 la date de départ de la période d’indemnisation des pertes et en accordant à Apotex une indemnité pour avoir subi une perte hypothétique de ventes HOPE non autorisées?</w:t>
      </w:r>
    </w:p>
    <w:p w:rsidR="007D3571" w:rsidRPr="00E464D3" w:rsidRDefault="007D3571" w:rsidP="007D3571">
      <w:pPr>
        <w:widowControl w:val="0"/>
        <w:jc w:val="both"/>
        <w:rPr>
          <w:sz w:val="20"/>
          <w:szCs w:val="20"/>
          <w:lang w:val="fr-CA"/>
        </w:rPr>
      </w:pPr>
    </w:p>
    <w:p w:rsidR="007D3571" w:rsidRPr="00E464D3" w:rsidRDefault="007D3571" w:rsidP="007D3571">
      <w:pPr>
        <w:shd w:val="clear" w:color="auto" w:fill="FFFFFF"/>
        <w:jc w:val="both"/>
        <w:rPr>
          <w:spacing w:val="-3"/>
          <w:sz w:val="20"/>
          <w:szCs w:val="20"/>
          <w:lang w:val="fr-CA"/>
        </w:rPr>
      </w:pPr>
      <w:r w:rsidRPr="00E464D3">
        <w:rPr>
          <w:spacing w:val="-3"/>
          <w:sz w:val="20"/>
          <w:szCs w:val="20"/>
          <w:lang w:val="fr-CA"/>
        </w:rPr>
        <w:t xml:space="preserve">Les appelants (collectivement, « Sanofi ») sont les titulaires de brevets et détiennent les droits relativement à une série de brevets canadiens pour le médicament, ramipril, utilisée pour le traitement de l’hypertension. Le brevet original ‘087 a été délivré en 1985 et devait expirer en 2002. Afin de prolonger la durée de la protection conférée par le brevet, Sanofi a obtenu une série supplémentaire de brevets pour différentes indications pour ramipril et les a inscrit au registre des brevets. Entre 2003 et 2008, ces « nouveaux » brevets pour ramipril ont été contestés par Apotex Inc. et d’autres fabricants de produits génériques en vertu du </w:t>
      </w:r>
      <w:r w:rsidRPr="00E464D3">
        <w:rPr>
          <w:i/>
          <w:sz w:val="20"/>
          <w:szCs w:val="20"/>
          <w:lang w:val="fr-CA"/>
        </w:rPr>
        <w:t xml:space="preserve">Règlement RMB(ADC). </w:t>
      </w:r>
      <w:r w:rsidRPr="00E464D3">
        <w:rPr>
          <w:spacing w:val="-3"/>
          <w:sz w:val="20"/>
          <w:szCs w:val="20"/>
          <w:lang w:val="fr-CA"/>
        </w:rPr>
        <w:t xml:space="preserve">Sanofi a demandé une ordonnance d’interdiction pour chacun de ces brevets, entraînant ainsi le sursis prévu par la loi de 24 mois, ce qui a eu comme conséquence d’empêcher les compétiteurs génériques d’avoir accès au marché du rampiril durant cette période. Seulement une des demandes d’ordonnances d’interdiction a été accordée. Apotex a reçu son avis de conformité (ADC) lui permettant de faire la mise en marché de Apo-ramipril en décembre 2006. Sanofi a entamé des actions en contrefaçon séparées, et sans succès, contre Apotex et les autres fabricants génériques. Par la suite, Apotex a intenté une action en vertu de l’art. 8 du </w:t>
      </w:r>
      <w:r w:rsidRPr="00E464D3">
        <w:rPr>
          <w:i/>
          <w:sz w:val="20"/>
          <w:szCs w:val="20"/>
          <w:lang w:val="fr-CA"/>
        </w:rPr>
        <w:t>Règlement RMB(ADC),</w:t>
      </w:r>
      <w:r w:rsidRPr="00E464D3">
        <w:rPr>
          <w:sz w:val="20"/>
          <w:szCs w:val="20"/>
          <w:lang w:val="fr-CA"/>
        </w:rPr>
        <w:t xml:space="preserve"> pour demander des dommages-intérêts pour ses benéfices nets perdus durant la période de sursis prévu par la loi</w:t>
      </w:r>
      <w:r w:rsidRPr="00E464D3">
        <w:rPr>
          <w:spacing w:val="-3"/>
          <w:sz w:val="20"/>
          <w:szCs w:val="20"/>
          <w:lang w:val="fr-CA"/>
        </w:rPr>
        <w:t xml:space="preserve">. </w:t>
      </w:r>
    </w:p>
    <w:p w:rsidR="007D3571" w:rsidRPr="00E464D3" w:rsidRDefault="007D3571" w:rsidP="007D3571">
      <w:pPr>
        <w:widowControl w:val="0"/>
        <w:jc w:val="both"/>
        <w:rPr>
          <w:sz w:val="20"/>
          <w:szCs w:val="20"/>
          <w:lang w:val="fr-CA"/>
        </w:rPr>
      </w:pPr>
    </w:p>
    <w:p w:rsidR="007D3571" w:rsidRPr="00E464D3" w:rsidRDefault="007D3571" w:rsidP="007D3571">
      <w:pPr>
        <w:widowControl w:val="0"/>
        <w:jc w:val="both"/>
        <w:rPr>
          <w:sz w:val="20"/>
          <w:szCs w:val="20"/>
          <w:lang w:val="fr-CA"/>
        </w:rPr>
      </w:pPr>
    </w:p>
    <w:p w:rsidR="007D3571" w:rsidRPr="00E464D3" w:rsidRDefault="007D3571" w:rsidP="007D3571">
      <w:pPr>
        <w:widowControl w:val="0"/>
        <w:ind w:left="2880" w:hanging="2880"/>
        <w:jc w:val="both"/>
        <w:rPr>
          <w:sz w:val="20"/>
          <w:szCs w:val="20"/>
          <w:lang w:val="fr-CA"/>
        </w:rPr>
      </w:pPr>
      <w:r w:rsidRPr="00E464D3">
        <w:rPr>
          <w:sz w:val="20"/>
          <w:szCs w:val="20"/>
          <w:lang w:val="fr-CA"/>
        </w:rPr>
        <w:t>Origine :</w:t>
      </w:r>
      <w:r w:rsidRPr="00E464D3">
        <w:rPr>
          <w:sz w:val="20"/>
          <w:szCs w:val="20"/>
          <w:lang w:val="fr-CA"/>
        </w:rPr>
        <w:tab/>
        <w:t>Cour d’appel fédérale</w:t>
      </w:r>
    </w:p>
    <w:p w:rsidR="007D3571" w:rsidRPr="00E464D3" w:rsidRDefault="007D3571" w:rsidP="007D3571">
      <w:pPr>
        <w:widowControl w:val="0"/>
        <w:ind w:left="2880" w:hanging="2880"/>
        <w:jc w:val="both"/>
        <w:rPr>
          <w:sz w:val="20"/>
          <w:szCs w:val="20"/>
          <w:lang w:val="fr-CA"/>
        </w:rPr>
      </w:pPr>
    </w:p>
    <w:p w:rsidR="007D3571" w:rsidRPr="00E464D3" w:rsidRDefault="007D3571" w:rsidP="007D3571">
      <w:pPr>
        <w:widowControl w:val="0"/>
        <w:ind w:left="2880" w:hanging="2880"/>
        <w:jc w:val="both"/>
        <w:rPr>
          <w:sz w:val="20"/>
          <w:szCs w:val="20"/>
          <w:lang w:val="fr-CA"/>
        </w:rPr>
      </w:pPr>
      <w:r w:rsidRPr="00E464D3">
        <w:rPr>
          <w:sz w:val="20"/>
          <w:szCs w:val="20"/>
          <w:lang w:val="fr-CA"/>
        </w:rPr>
        <w:t>N</w:t>
      </w:r>
      <w:r w:rsidRPr="00E464D3">
        <w:rPr>
          <w:sz w:val="20"/>
          <w:szCs w:val="20"/>
          <w:vertAlign w:val="superscript"/>
          <w:lang w:val="fr-CA"/>
        </w:rPr>
        <w:t>o</w:t>
      </w:r>
      <w:r w:rsidRPr="00E464D3">
        <w:rPr>
          <w:sz w:val="20"/>
          <w:szCs w:val="20"/>
          <w:lang w:val="fr-CA"/>
        </w:rPr>
        <w:t xml:space="preserve"> du greffe :</w:t>
      </w:r>
      <w:r w:rsidRPr="00E464D3">
        <w:rPr>
          <w:sz w:val="20"/>
          <w:szCs w:val="20"/>
          <w:lang w:val="fr-CA"/>
        </w:rPr>
        <w:tab/>
        <w:t>35886</w:t>
      </w:r>
    </w:p>
    <w:p w:rsidR="007D3571" w:rsidRPr="00E464D3" w:rsidRDefault="007D3571" w:rsidP="007D3571">
      <w:pPr>
        <w:widowControl w:val="0"/>
        <w:ind w:left="2880" w:hanging="2880"/>
        <w:jc w:val="both"/>
        <w:rPr>
          <w:sz w:val="20"/>
          <w:szCs w:val="20"/>
          <w:lang w:val="fr-CA"/>
        </w:rPr>
      </w:pPr>
    </w:p>
    <w:p w:rsidR="007D3571" w:rsidRPr="00E464D3" w:rsidRDefault="007D3571" w:rsidP="007D3571">
      <w:pPr>
        <w:widowControl w:val="0"/>
        <w:ind w:left="2880" w:hanging="2880"/>
        <w:jc w:val="both"/>
        <w:rPr>
          <w:sz w:val="20"/>
          <w:szCs w:val="20"/>
          <w:lang w:val="fr-CA"/>
        </w:rPr>
      </w:pPr>
      <w:r w:rsidRPr="00E464D3">
        <w:rPr>
          <w:sz w:val="20"/>
          <w:szCs w:val="20"/>
          <w:lang w:val="fr-CA"/>
        </w:rPr>
        <w:t>Arrêt de la Cour d’appel :</w:t>
      </w:r>
      <w:r w:rsidRPr="00E464D3">
        <w:rPr>
          <w:sz w:val="20"/>
          <w:szCs w:val="20"/>
          <w:lang w:val="fr-CA"/>
        </w:rPr>
        <w:tab/>
        <w:t>le 14 mars 2014</w:t>
      </w:r>
    </w:p>
    <w:p w:rsidR="007D3571" w:rsidRPr="00E464D3" w:rsidRDefault="007D3571" w:rsidP="007D3571">
      <w:pPr>
        <w:widowControl w:val="0"/>
        <w:ind w:left="2880" w:hanging="2880"/>
        <w:jc w:val="both"/>
        <w:rPr>
          <w:sz w:val="20"/>
          <w:szCs w:val="20"/>
          <w:lang w:val="fr-CA"/>
        </w:rPr>
      </w:pPr>
    </w:p>
    <w:p w:rsidR="007D3571" w:rsidRPr="00E464D3" w:rsidRDefault="007D3571" w:rsidP="007D3571">
      <w:pPr>
        <w:widowControl w:val="0"/>
        <w:ind w:left="2880" w:hanging="2880"/>
        <w:jc w:val="both"/>
        <w:rPr>
          <w:sz w:val="20"/>
          <w:szCs w:val="20"/>
          <w:lang w:val="fr-CA"/>
        </w:rPr>
      </w:pPr>
      <w:r w:rsidRPr="00E464D3">
        <w:rPr>
          <w:sz w:val="20"/>
          <w:szCs w:val="20"/>
          <w:lang w:val="fr-CA"/>
        </w:rPr>
        <w:t>Avocats :</w:t>
      </w:r>
      <w:r w:rsidRPr="00E464D3">
        <w:rPr>
          <w:sz w:val="20"/>
          <w:szCs w:val="20"/>
          <w:lang w:val="fr-CA"/>
        </w:rPr>
        <w:tab/>
        <w:t>Andrew J. Reddon pour l’appelante</w:t>
      </w:r>
    </w:p>
    <w:p w:rsidR="007D3571" w:rsidRPr="00E464D3" w:rsidRDefault="007D3571" w:rsidP="007D3571">
      <w:pPr>
        <w:widowControl w:val="0"/>
        <w:ind w:left="2880" w:hanging="2880"/>
        <w:jc w:val="both"/>
        <w:rPr>
          <w:sz w:val="20"/>
          <w:szCs w:val="20"/>
          <w:lang w:val="fr-CA"/>
        </w:rPr>
      </w:pPr>
      <w:r w:rsidRPr="00E464D3">
        <w:rPr>
          <w:sz w:val="20"/>
          <w:szCs w:val="20"/>
          <w:lang w:val="fr-CA"/>
        </w:rPr>
        <w:tab/>
        <w:t>Harry B. Radomski pour l’intimée</w:t>
      </w:r>
    </w:p>
    <w:p w:rsidR="007D3571" w:rsidRPr="00E464D3" w:rsidRDefault="007D3571" w:rsidP="007D3571">
      <w:pPr>
        <w:widowControl w:val="0"/>
        <w:ind w:left="2880" w:hanging="2880"/>
        <w:jc w:val="both"/>
        <w:rPr>
          <w:sz w:val="20"/>
          <w:lang w:val="fr-CA"/>
        </w:rPr>
      </w:pPr>
    </w:p>
    <w:p w:rsidR="008E5188" w:rsidRDefault="009C5A48" w:rsidP="008E5188">
      <w:pPr>
        <w:tabs>
          <w:tab w:val="left" w:pos="-1440"/>
          <w:tab w:val="left" w:pos="-720"/>
        </w:tabs>
        <w:jc w:val="both"/>
        <w:rPr>
          <w:sz w:val="20"/>
          <w:szCs w:val="20"/>
          <w:lang w:val="fr-CA"/>
        </w:rPr>
      </w:pPr>
      <w:r>
        <w:rPr>
          <w:sz w:val="20"/>
          <w:szCs w:val="20"/>
          <w:lang w:val="fr-CA"/>
        </w:rPr>
        <w:pict>
          <v:rect id="_x0000_i1061"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rsidP="000B3C9A">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007F41" w:rsidRPr="00EF1D16" w:rsidRDefault="009E55C9" w:rsidP="00007F41">
      <w:pPr>
        <w:widowControl w:val="0"/>
        <w:ind w:left="720" w:hanging="720"/>
        <w:jc w:val="both"/>
        <w:rPr>
          <w:sz w:val="20"/>
          <w:szCs w:val="20"/>
        </w:rPr>
      </w:pPr>
      <w:r w:rsidRPr="00EF1D16">
        <w:rPr>
          <w:b/>
          <w:sz w:val="20"/>
          <w:szCs w:val="20"/>
        </w:rPr>
        <w:lastRenderedPageBreak/>
        <w:fldChar w:fldCharType="begin"/>
      </w:r>
      <w:r w:rsidR="00007F41" w:rsidRPr="00EF1D16">
        <w:rPr>
          <w:b/>
          <w:sz w:val="20"/>
          <w:szCs w:val="20"/>
        </w:rPr>
        <w:instrText xml:space="preserve"> SEQ CHAPTER \h \r 1</w:instrText>
      </w:r>
      <w:r w:rsidRPr="00EF1D16">
        <w:rPr>
          <w:b/>
          <w:sz w:val="20"/>
          <w:szCs w:val="20"/>
        </w:rPr>
        <w:fldChar w:fldCharType="end"/>
      </w:r>
      <w:r w:rsidR="00007F41" w:rsidRPr="00EF1D16">
        <w:rPr>
          <w:b/>
          <w:sz w:val="20"/>
          <w:szCs w:val="20"/>
        </w:rPr>
        <w:t>35527</w:t>
      </w:r>
      <w:r w:rsidR="00007F41" w:rsidRPr="00EF1D16">
        <w:rPr>
          <w:sz w:val="20"/>
          <w:szCs w:val="20"/>
        </w:rPr>
        <w:tab/>
      </w:r>
      <w:r w:rsidR="00007F41" w:rsidRPr="00EF1D16">
        <w:rPr>
          <w:b/>
          <w:i/>
          <w:sz w:val="20"/>
          <w:szCs w:val="20"/>
        </w:rPr>
        <w:t>David Caplin v. Minister of Justice of Canada</w:t>
      </w:r>
    </w:p>
    <w:p w:rsidR="00007F41" w:rsidRPr="00EF1D16" w:rsidRDefault="00007F41" w:rsidP="00007F41">
      <w:pPr>
        <w:widowControl w:val="0"/>
        <w:jc w:val="both"/>
        <w:rPr>
          <w:sz w:val="20"/>
          <w:szCs w:val="20"/>
        </w:rPr>
      </w:pPr>
    </w:p>
    <w:p w:rsidR="00007F41" w:rsidRPr="00EF1D16" w:rsidRDefault="00007F41" w:rsidP="00007F41">
      <w:pPr>
        <w:jc w:val="both"/>
        <w:rPr>
          <w:sz w:val="20"/>
          <w:szCs w:val="20"/>
        </w:rPr>
      </w:pPr>
      <w:r w:rsidRPr="00EF1D16">
        <w:rPr>
          <w:sz w:val="20"/>
          <w:szCs w:val="20"/>
        </w:rPr>
        <w:t>Extradition - Criminal law - Surrender order - Judicial review - Whether the Court of Appeal erred in its interpretation of new evidence - Whether the Court of Appeal erred in law in failing to declare that there was an abuse of process in this matter.</w:t>
      </w:r>
    </w:p>
    <w:p w:rsidR="00007F41" w:rsidRPr="00EF1D16" w:rsidRDefault="00007F41" w:rsidP="00007F41">
      <w:pPr>
        <w:widowControl w:val="0"/>
        <w:jc w:val="both"/>
        <w:rPr>
          <w:sz w:val="20"/>
          <w:szCs w:val="20"/>
        </w:rPr>
      </w:pPr>
    </w:p>
    <w:p w:rsidR="00007F41" w:rsidRPr="00EF1D16" w:rsidRDefault="00007F41" w:rsidP="00007F41">
      <w:pPr>
        <w:jc w:val="both"/>
        <w:rPr>
          <w:sz w:val="20"/>
          <w:szCs w:val="20"/>
        </w:rPr>
      </w:pPr>
      <w:r w:rsidRPr="00EF1D16">
        <w:rPr>
          <w:sz w:val="20"/>
          <w:szCs w:val="20"/>
        </w:rPr>
        <w:t>The United States of America request the extradition of the appellant to stand trial in the State of New Hampshire. The appellant and an accomplice, Anthony Barnaby, are accused of the first and second degree murders of Charlene Ranstrom and Brenda Warner. Both women were stabbed to death in their apartment on the night of October 2-3, 1988 in Nashua, New Hampshire.</w:t>
      </w:r>
    </w:p>
    <w:p w:rsidR="00007F41" w:rsidRPr="00EF1D16" w:rsidRDefault="00007F41" w:rsidP="00007F41">
      <w:pPr>
        <w:jc w:val="both"/>
        <w:rPr>
          <w:sz w:val="20"/>
          <w:szCs w:val="20"/>
        </w:rPr>
      </w:pPr>
    </w:p>
    <w:p w:rsidR="00007F41" w:rsidRPr="00EF1D16" w:rsidRDefault="00007F41" w:rsidP="00007F41">
      <w:pPr>
        <w:jc w:val="both"/>
        <w:rPr>
          <w:sz w:val="20"/>
          <w:szCs w:val="20"/>
        </w:rPr>
      </w:pPr>
      <w:r w:rsidRPr="00EF1D16">
        <w:rPr>
          <w:sz w:val="20"/>
          <w:szCs w:val="20"/>
        </w:rPr>
        <w:t xml:space="preserve">The appellant was charged with those offences in 1990 but prior to his trial, defence motions to exclude evidence were granted and were upheld on appeal. As a result, the prosecution entered a </w:t>
      </w:r>
      <w:r w:rsidRPr="00EF1D16">
        <w:rPr>
          <w:i/>
          <w:sz w:val="20"/>
          <w:szCs w:val="20"/>
        </w:rPr>
        <w:t>nolle prosequi</w:t>
      </w:r>
      <w:r w:rsidRPr="00EF1D16">
        <w:rPr>
          <w:sz w:val="20"/>
          <w:szCs w:val="20"/>
        </w:rPr>
        <w:t xml:space="preserve"> against the appellant and the charges were dismissed.</w:t>
      </w:r>
    </w:p>
    <w:p w:rsidR="00007F41" w:rsidRPr="00EF1D16" w:rsidRDefault="00007F41" w:rsidP="00007F41">
      <w:pPr>
        <w:jc w:val="both"/>
        <w:rPr>
          <w:sz w:val="20"/>
          <w:szCs w:val="20"/>
        </w:rPr>
      </w:pPr>
    </w:p>
    <w:p w:rsidR="00007F41" w:rsidRPr="00EF1D16" w:rsidRDefault="00007F41" w:rsidP="00007F41">
      <w:pPr>
        <w:jc w:val="both"/>
        <w:rPr>
          <w:sz w:val="20"/>
          <w:szCs w:val="20"/>
        </w:rPr>
      </w:pPr>
      <w:r w:rsidRPr="00EF1D16">
        <w:rPr>
          <w:sz w:val="20"/>
          <w:szCs w:val="20"/>
        </w:rPr>
        <w:t xml:space="preserve">In 2010, the New Hampshire State authorities reopened their investigation and in 2011, evidence seized from the crime scene was submitted for DNA testing not available at the time of the initial investigation. The profile of the appellant was identified. Witnesses were again contacted and provided additional information. A new warrant was obtained for the appellant’s arrest. </w:t>
      </w:r>
    </w:p>
    <w:p w:rsidR="00007F41" w:rsidRPr="00EF1D16" w:rsidRDefault="00007F41" w:rsidP="00007F41">
      <w:pPr>
        <w:jc w:val="both"/>
        <w:rPr>
          <w:sz w:val="20"/>
          <w:szCs w:val="20"/>
        </w:rPr>
      </w:pPr>
    </w:p>
    <w:p w:rsidR="00007F41" w:rsidRPr="00EF1D16" w:rsidRDefault="00007F41" w:rsidP="00007F41">
      <w:pPr>
        <w:jc w:val="both"/>
        <w:rPr>
          <w:sz w:val="20"/>
          <w:szCs w:val="20"/>
        </w:rPr>
      </w:pPr>
      <w:r w:rsidRPr="00EF1D16">
        <w:rPr>
          <w:sz w:val="20"/>
          <w:szCs w:val="20"/>
        </w:rPr>
        <w:t xml:space="preserve">In June 2011, an Authority to Proceed was issued pursuant to the </w:t>
      </w:r>
      <w:r w:rsidRPr="00EF1D16">
        <w:rPr>
          <w:i/>
          <w:sz w:val="20"/>
          <w:szCs w:val="20"/>
        </w:rPr>
        <w:t>Extradition Act</w:t>
      </w:r>
      <w:r w:rsidRPr="00EF1D16">
        <w:rPr>
          <w:sz w:val="20"/>
          <w:szCs w:val="20"/>
        </w:rPr>
        <w:t>, S.C. 1999, c. 18, authorizing extradition proceedings against the appellant before the Superior Court of Quebec. In September 2011, that court held that there was sufficient evidence to commit the appellant. In March 2012, the Minister of Justice signed an extradition order ordering the surrender of the appellant to the United States. In July 2013, the Court of Appeal of Quebec dismissed the appellant’s application for judicial review of the Minister’s decision.</w:t>
      </w:r>
    </w:p>
    <w:p w:rsidR="00007F41" w:rsidRPr="00EF1D16" w:rsidRDefault="00007F41" w:rsidP="00007F41">
      <w:pPr>
        <w:widowControl w:val="0"/>
        <w:jc w:val="both"/>
        <w:rPr>
          <w:sz w:val="20"/>
          <w:szCs w:val="20"/>
        </w:rPr>
      </w:pPr>
    </w:p>
    <w:p w:rsidR="00007F41" w:rsidRPr="00EF1D16" w:rsidRDefault="00007F41" w:rsidP="00007F41">
      <w:pPr>
        <w:widowControl w:val="0"/>
        <w:jc w:val="both"/>
        <w:rPr>
          <w:sz w:val="20"/>
          <w:szCs w:val="20"/>
        </w:rPr>
      </w:pPr>
    </w:p>
    <w:p w:rsidR="00007F41" w:rsidRPr="00EF1D16" w:rsidRDefault="00007F41" w:rsidP="00007F41">
      <w:pPr>
        <w:widowControl w:val="0"/>
        <w:ind w:left="2880" w:hanging="2880"/>
        <w:jc w:val="both"/>
        <w:rPr>
          <w:sz w:val="20"/>
          <w:szCs w:val="20"/>
        </w:rPr>
      </w:pPr>
      <w:r w:rsidRPr="00EF1D16">
        <w:rPr>
          <w:sz w:val="20"/>
          <w:szCs w:val="20"/>
        </w:rPr>
        <w:t>Origin of the case:</w:t>
      </w:r>
      <w:r w:rsidRPr="00EF1D16">
        <w:rPr>
          <w:sz w:val="20"/>
          <w:szCs w:val="20"/>
        </w:rPr>
        <w:tab/>
        <w:t>Quebec</w:t>
      </w:r>
    </w:p>
    <w:p w:rsidR="00007F41" w:rsidRPr="00EF1D16" w:rsidRDefault="00007F41" w:rsidP="00007F41">
      <w:pPr>
        <w:widowControl w:val="0"/>
        <w:ind w:left="2880" w:hanging="2880"/>
        <w:jc w:val="both"/>
        <w:rPr>
          <w:sz w:val="20"/>
          <w:szCs w:val="20"/>
        </w:rPr>
      </w:pPr>
    </w:p>
    <w:p w:rsidR="00007F41" w:rsidRPr="00EF1D16" w:rsidRDefault="00007F41" w:rsidP="00007F41">
      <w:pPr>
        <w:widowControl w:val="0"/>
        <w:ind w:left="2880" w:hanging="2880"/>
        <w:jc w:val="both"/>
        <w:rPr>
          <w:sz w:val="20"/>
          <w:szCs w:val="20"/>
        </w:rPr>
      </w:pPr>
      <w:r w:rsidRPr="00EF1D16">
        <w:rPr>
          <w:sz w:val="20"/>
          <w:szCs w:val="20"/>
        </w:rPr>
        <w:t>File No.:</w:t>
      </w:r>
      <w:r w:rsidRPr="00EF1D16">
        <w:rPr>
          <w:sz w:val="20"/>
          <w:szCs w:val="20"/>
        </w:rPr>
        <w:tab/>
        <w:t>35527</w:t>
      </w:r>
    </w:p>
    <w:p w:rsidR="00007F41" w:rsidRPr="00EF1D16" w:rsidRDefault="00007F41" w:rsidP="00007F41">
      <w:pPr>
        <w:widowControl w:val="0"/>
        <w:ind w:left="2880" w:hanging="2880"/>
        <w:jc w:val="both"/>
        <w:rPr>
          <w:sz w:val="20"/>
          <w:szCs w:val="20"/>
        </w:rPr>
      </w:pPr>
    </w:p>
    <w:p w:rsidR="00007F41" w:rsidRPr="00EF1D16" w:rsidRDefault="00007F41" w:rsidP="00007F41">
      <w:pPr>
        <w:widowControl w:val="0"/>
        <w:ind w:left="2880" w:hanging="2880"/>
        <w:jc w:val="both"/>
        <w:rPr>
          <w:sz w:val="20"/>
          <w:szCs w:val="20"/>
        </w:rPr>
      </w:pPr>
      <w:r w:rsidRPr="00EF1D16">
        <w:rPr>
          <w:sz w:val="20"/>
          <w:szCs w:val="20"/>
        </w:rPr>
        <w:t>Judgment of the Court of Appeal:</w:t>
      </w:r>
      <w:r w:rsidRPr="00EF1D16">
        <w:rPr>
          <w:sz w:val="20"/>
          <w:szCs w:val="20"/>
        </w:rPr>
        <w:tab/>
        <w:t>July 31, 2013</w:t>
      </w:r>
    </w:p>
    <w:p w:rsidR="00007F41" w:rsidRPr="00EF1D16" w:rsidRDefault="00007F41" w:rsidP="00007F41">
      <w:pPr>
        <w:widowControl w:val="0"/>
        <w:ind w:left="2880" w:hanging="2880"/>
        <w:jc w:val="both"/>
        <w:rPr>
          <w:sz w:val="20"/>
          <w:szCs w:val="20"/>
        </w:rPr>
      </w:pPr>
    </w:p>
    <w:p w:rsidR="00007F41" w:rsidRPr="00EF1D16" w:rsidRDefault="00007F41" w:rsidP="00007F41">
      <w:pPr>
        <w:widowControl w:val="0"/>
        <w:ind w:left="2880" w:hanging="2880"/>
        <w:jc w:val="both"/>
        <w:rPr>
          <w:sz w:val="20"/>
          <w:szCs w:val="20"/>
        </w:rPr>
      </w:pPr>
      <w:r w:rsidRPr="00EF1D16">
        <w:rPr>
          <w:sz w:val="20"/>
          <w:szCs w:val="20"/>
        </w:rPr>
        <w:t>Counsel:</w:t>
      </w:r>
      <w:r w:rsidRPr="00EF1D16">
        <w:rPr>
          <w:sz w:val="20"/>
          <w:szCs w:val="20"/>
        </w:rPr>
        <w:tab/>
        <w:t>Véronique Courtecuisse for the appellant</w:t>
      </w:r>
    </w:p>
    <w:p w:rsidR="00007F41" w:rsidRPr="00EF1D16" w:rsidRDefault="00007F41" w:rsidP="00007F41">
      <w:pPr>
        <w:widowControl w:val="0"/>
        <w:ind w:left="2880" w:hanging="2880"/>
        <w:jc w:val="both"/>
        <w:rPr>
          <w:sz w:val="20"/>
          <w:szCs w:val="20"/>
        </w:rPr>
      </w:pPr>
      <w:r w:rsidRPr="00EF1D16">
        <w:rPr>
          <w:sz w:val="20"/>
          <w:szCs w:val="20"/>
        </w:rPr>
        <w:tab/>
        <w:t>Ginette Gobeil and Marc Ribeiro for the respondent</w:t>
      </w:r>
    </w:p>
    <w:p w:rsidR="008E5188" w:rsidRPr="00007F41" w:rsidRDefault="008E5188" w:rsidP="008E5188">
      <w:pPr>
        <w:tabs>
          <w:tab w:val="left" w:pos="-1440"/>
          <w:tab w:val="left" w:pos="-720"/>
        </w:tabs>
        <w:jc w:val="both"/>
        <w:rPr>
          <w:sz w:val="20"/>
          <w:szCs w:val="20"/>
        </w:rPr>
      </w:pPr>
    </w:p>
    <w:p w:rsidR="008E5188" w:rsidRDefault="009C5A48" w:rsidP="008E5188">
      <w:pPr>
        <w:tabs>
          <w:tab w:val="left" w:pos="-1440"/>
          <w:tab w:val="left" w:pos="-720"/>
        </w:tabs>
        <w:jc w:val="both"/>
        <w:rPr>
          <w:sz w:val="20"/>
          <w:szCs w:val="20"/>
          <w:lang w:val="fr-CA"/>
        </w:rPr>
      </w:pPr>
      <w:r>
        <w:rPr>
          <w:sz w:val="20"/>
          <w:szCs w:val="20"/>
          <w:lang w:val="fr-CA"/>
        </w:rPr>
        <w:pict>
          <v:rect id="_x0000_i1062"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007F41" w:rsidRPr="009A17DF" w:rsidRDefault="009E55C9" w:rsidP="00007F41">
      <w:pPr>
        <w:widowControl w:val="0"/>
        <w:ind w:left="720" w:hanging="720"/>
        <w:jc w:val="both"/>
        <w:rPr>
          <w:sz w:val="20"/>
          <w:szCs w:val="20"/>
          <w:lang w:val="fr-CA"/>
        </w:rPr>
      </w:pPr>
      <w:r w:rsidRPr="009A17DF">
        <w:rPr>
          <w:b/>
          <w:sz w:val="20"/>
          <w:szCs w:val="20"/>
          <w:lang w:val="fr-CA"/>
        </w:rPr>
        <w:lastRenderedPageBreak/>
        <w:fldChar w:fldCharType="begin"/>
      </w:r>
      <w:r w:rsidR="00007F41" w:rsidRPr="009A17DF">
        <w:rPr>
          <w:b/>
          <w:sz w:val="20"/>
          <w:szCs w:val="20"/>
          <w:lang w:val="fr-CA"/>
        </w:rPr>
        <w:instrText xml:space="preserve"> SEQ CHAPTER \h \r 1</w:instrText>
      </w:r>
      <w:r w:rsidRPr="009A17DF">
        <w:rPr>
          <w:b/>
          <w:sz w:val="20"/>
          <w:szCs w:val="20"/>
          <w:lang w:val="fr-CA"/>
        </w:rPr>
        <w:fldChar w:fldCharType="end"/>
      </w:r>
      <w:r w:rsidR="00007F41" w:rsidRPr="009A17DF">
        <w:rPr>
          <w:b/>
          <w:sz w:val="20"/>
          <w:szCs w:val="20"/>
          <w:lang w:val="fr-CA"/>
        </w:rPr>
        <w:t>35527</w:t>
      </w:r>
      <w:r w:rsidR="00007F41" w:rsidRPr="009A17DF">
        <w:rPr>
          <w:sz w:val="20"/>
          <w:szCs w:val="20"/>
          <w:lang w:val="fr-CA"/>
        </w:rPr>
        <w:tab/>
      </w:r>
      <w:r w:rsidR="00007F41" w:rsidRPr="009A17DF">
        <w:rPr>
          <w:b/>
          <w:i/>
          <w:sz w:val="20"/>
          <w:szCs w:val="20"/>
          <w:lang w:val="fr-CA"/>
        </w:rPr>
        <w:t>David Caplin c. Ministre de la Justice du Canada</w:t>
      </w:r>
    </w:p>
    <w:p w:rsidR="00007F41" w:rsidRPr="009A17DF" w:rsidRDefault="00007F41" w:rsidP="00007F41">
      <w:pPr>
        <w:widowControl w:val="0"/>
        <w:jc w:val="both"/>
        <w:rPr>
          <w:sz w:val="20"/>
          <w:szCs w:val="20"/>
          <w:lang w:val="fr-CA"/>
        </w:rPr>
      </w:pPr>
    </w:p>
    <w:p w:rsidR="00007F41" w:rsidRPr="009A17DF" w:rsidRDefault="00007F41" w:rsidP="00007F41">
      <w:pPr>
        <w:jc w:val="both"/>
        <w:rPr>
          <w:sz w:val="20"/>
          <w:szCs w:val="20"/>
          <w:lang w:val="fr-CA"/>
        </w:rPr>
      </w:pPr>
      <w:r w:rsidRPr="009A17DF">
        <w:rPr>
          <w:sz w:val="20"/>
          <w:szCs w:val="20"/>
          <w:lang w:val="fr-CA"/>
        </w:rPr>
        <w:t>Extradition - Droit criminel - Arrêté d’extradition - Contrôle judiciaire - La Cour d’appel a</w:t>
      </w:r>
      <w:r w:rsidRPr="009A17DF">
        <w:rPr>
          <w:sz w:val="20"/>
          <w:szCs w:val="20"/>
          <w:lang w:val="fr-CA"/>
        </w:rPr>
        <w:noBreakHyphen/>
        <w:t>t</w:t>
      </w:r>
      <w:r w:rsidRPr="009A17DF">
        <w:rPr>
          <w:sz w:val="20"/>
          <w:szCs w:val="20"/>
          <w:lang w:val="fr-CA"/>
        </w:rPr>
        <w:noBreakHyphen/>
        <w:t xml:space="preserve">elle mal interprété les nouveaux éléments de preuve? - La Cour d’appel a-t-elle commis une erreur de droit en ne déclarant pas qu’il y avait eu abus de procédure en l’espèce? </w:t>
      </w:r>
    </w:p>
    <w:p w:rsidR="00007F41" w:rsidRPr="009A17DF" w:rsidRDefault="00007F41" w:rsidP="00007F41">
      <w:pPr>
        <w:widowControl w:val="0"/>
        <w:jc w:val="both"/>
        <w:rPr>
          <w:sz w:val="20"/>
          <w:szCs w:val="20"/>
          <w:lang w:val="fr-CA"/>
        </w:rPr>
      </w:pPr>
    </w:p>
    <w:p w:rsidR="00007F41" w:rsidRPr="009A17DF" w:rsidRDefault="00007F41" w:rsidP="00007F41">
      <w:pPr>
        <w:jc w:val="both"/>
        <w:rPr>
          <w:sz w:val="20"/>
          <w:szCs w:val="20"/>
          <w:lang w:val="fr-CA"/>
        </w:rPr>
      </w:pPr>
      <w:r w:rsidRPr="009A17DF">
        <w:rPr>
          <w:sz w:val="20"/>
          <w:szCs w:val="20"/>
          <w:lang w:val="fr-CA"/>
        </w:rPr>
        <w:t>Les États-Unis d’Amérique demandent l’extradition de l’appelant pour qu’il soit traduit en justice dans l’État du New Hampshire.  L’appelant et un complice, Anthony Barnaby, sont accusés des meurtres aux premier et deuxième degrés de Charlene Ranstrom et de Brenda Warner, qui ont toutes deux été poignardées à mort dans leur appartement durant la nuit du 2 au 3 octobre, 1988 à Nashua (New Hampshire).</w:t>
      </w:r>
    </w:p>
    <w:p w:rsidR="00007F41" w:rsidRPr="009A17DF" w:rsidRDefault="00007F41" w:rsidP="00007F41">
      <w:pPr>
        <w:jc w:val="both"/>
        <w:rPr>
          <w:sz w:val="20"/>
          <w:szCs w:val="20"/>
          <w:lang w:val="fr-CA"/>
        </w:rPr>
      </w:pPr>
    </w:p>
    <w:p w:rsidR="00007F41" w:rsidRPr="009A17DF" w:rsidRDefault="00007F41" w:rsidP="00007F41">
      <w:pPr>
        <w:jc w:val="both"/>
        <w:rPr>
          <w:sz w:val="20"/>
          <w:szCs w:val="20"/>
          <w:lang w:val="fr-CA"/>
        </w:rPr>
      </w:pPr>
      <w:r w:rsidRPr="009A17DF">
        <w:rPr>
          <w:sz w:val="20"/>
          <w:szCs w:val="20"/>
          <w:lang w:val="fr-CA"/>
        </w:rPr>
        <w:t>L’appelant a été inculpé de ces infractions en 1990, mais avant son procès, des requêtes présentées par la défense pour faire exclure des éléments de preuve furent accueillies, puis confirmées en appel.  En conséquence, la poursuite a inscrit un refus de poursuivre contre l’appelant et les accusations ont été rejetées.</w:t>
      </w:r>
    </w:p>
    <w:p w:rsidR="00007F41" w:rsidRPr="009A17DF" w:rsidRDefault="00007F41" w:rsidP="00007F41">
      <w:pPr>
        <w:jc w:val="both"/>
        <w:rPr>
          <w:sz w:val="20"/>
          <w:szCs w:val="20"/>
          <w:lang w:val="fr-CA"/>
        </w:rPr>
      </w:pPr>
    </w:p>
    <w:p w:rsidR="00007F41" w:rsidRPr="009A17DF" w:rsidRDefault="00007F41" w:rsidP="00007F41">
      <w:pPr>
        <w:jc w:val="both"/>
        <w:rPr>
          <w:sz w:val="20"/>
          <w:szCs w:val="20"/>
          <w:lang w:val="fr-CA"/>
        </w:rPr>
      </w:pPr>
      <w:r w:rsidRPr="009A17DF">
        <w:rPr>
          <w:sz w:val="20"/>
          <w:szCs w:val="20"/>
          <w:lang w:val="fr-CA"/>
        </w:rPr>
        <w:t xml:space="preserve">En 2010, les autorités du New Hampshire ont rouvert leur enquête et, en 2011, des éléments de preuve provenant des lieux du crime ont été soumis pour analyses génétiques qui n’étaient pas disponibles à l’époque de l’enquête initiale.  Le profil de l’appelant a été identifié.  Les témoins ont été joints de nouveau et ils ont fourni des renseignements supplémentaires.  Un nouveau mandat d’arrêt contre l’appelant a été obtenu. </w:t>
      </w:r>
    </w:p>
    <w:p w:rsidR="00007F41" w:rsidRPr="009A17DF" w:rsidRDefault="00007F41" w:rsidP="00007F41">
      <w:pPr>
        <w:jc w:val="both"/>
        <w:rPr>
          <w:sz w:val="20"/>
          <w:szCs w:val="20"/>
          <w:lang w:val="fr-CA"/>
        </w:rPr>
      </w:pPr>
    </w:p>
    <w:p w:rsidR="00007F41" w:rsidRPr="009A17DF" w:rsidRDefault="00007F41" w:rsidP="00007F41">
      <w:pPr>
        <w:jc w:val="both"/>
        <w:rPr>
          <w:sz w:val="20"/>
          <w:szCs w:val="20"/>
          <w:lang w:val="fr-CA"/>
        </w:rPr>
      </w:pPr>
      <w:r w:rsidRPr="009A17DF">
        <w:rPr>
          <w:sz w:val="20"/>
          <w:szCs w:val="20"/>
          <w:lang w:val="fr-CA"/>
        </w:rPr>
        <w:t xml:space="preserve">En juin 2011, un arrêté introductif d’instance a été pris en application de la </w:t>
      </w:r>
      <w:r w:rsidRPr="009A17DF">
        <w:rPr>
          <w:i/>
          <w:sz w:val="20"/>
          <w:szCs w:val="20"/>
          <w:lang w:val="fr-CA"/>
        </w:rPr>
        <w:t>Loi sur l’extradition</w:t>
      </w:r>
      <w:r w:rsidRPr="009A17DF">
        <w:rPr>
          <w:sz w:val="20"/>
          <w:szCs w:val="20"/>
          <w:lang w:val="fr-CA"/>
        </w:rPr>
        <w:t>, L.C. 1999, ch. 18, autorisant l’introduction de la procédure d’extradition en Cour supérieure du Québec.  En septembre 2011, cette cour a jugé qu’il y avait suffisamment d’éléments de preuve pour incarcérer l’appelant.  En mars 2012, le ministre de la Justice a signé un arrêt d’extradition de l’appelant vers les États-Unis.  En juillet 2013, la Cour d’appel du Québec a rejeté la demande de contrôle judiciaire de la décision du ministre présentée par l’appelant.</w:t>
      </w:r>
    </w:p>
    <w:p w:rsidR="00007F41" w:rsidRPr="009A17DF" w:rsidRDefault="00007F41" w:rsidP="00007F41">
      <w:pPr>
        <w:widowControl w:val="0"/>
        <w:jc w:val="both"/>
        <w:rPr>
          <w:sz w:val="20"/>
          <w:szCs w:val="20"/>
          <w:lang w:val="fr-CA"/>
        </w:rPr>
      </w:pPr>
    </w:p>
    <w:p w:rsidR="00007F41" w:rsidRPr="009A17DF" w:rsidRDefault="00007F41" w:rsidP="00007F41">
      <w:pPr>
        <w:widowControl w:val="0"/>
        <w:jc w:val="both"/>
        <w:rPr>
          <w:sz w:val="20"/>
          <w:szCs w:val="20"/>
          <w:lang w:val="fr-CA"/>
        </w:rPr>
      </w:pPr>
    </w:p>
    <w:p w:rsidR="00007F41" w:rsidRPr="009A17DF" w:rsidRDefault="00007F41" w:rsidP="00007F41">
      <w:pPr>
        <w:widowControl w:val="0"/>
        <w:ind w:left="2880" w:hanging="2880"/>
        <w:jc w:val="both"/>
        <w:rPr>
          <w:sz w:val="20"/>
          <w:szCs w:val="20"/>
          <w:lang w:val="fr-CA"/>
        </w:rPr>
      </w:pPr>
      <w:r w:rsidRPr="009A17DF">
        <w:rPr>
          <w:sz w:val="20"/>
          <w:szCs w:val="20"/>
          <w:lang w:val="fr-CA"/>
        </w:rPr>
        <w:t>Origine :</w:t>
      </w:r>
      <w:r w:rsidRPr="009A17DF">
        <w:rPr>
          <w:sz w:val="20"/>
          <w:szCs w:val="20"/>
          <w:lang w:val="fr-CA"/>
        </w:rPr>
        <w:tab/>
        <w:t>Québec</w:t>
      </w:r>
    </w:p>
    <w:p w:rsidR="00007F41" w:rsidRPr="009A17DF" w:rsidRDefault="00007F41" w:rsidP="00007F41">
      <w:pPr>
        <w:widowControl w:val="0"/>
        <w:ind w:left="2880" w:hanging="2880"/>
        <w:jc w:val="both"/>
        <w:rPr>
          <w:sz w:val="20"/>
          <w:szCs w:val="20"/>
          <w:lang w:val="fr-CA"/>
        </w:rPr>
      </w:pPr>
    </w:p>
    <w:p w:rsidR="00007F41" w:rsidRPr="009A17DF" w:rsidRDefault="00007F41" w:rsidP="00007F41">
      <w:pPr>
        <w:widowControl w:val="0"/>
        <w:ind w:left="2880" w:hanging="2880"/>
        <w:jc w:val="both"/>
        <w:rPr>
          <w:sz w:val="20"/>
          <w:szCs w:val="20"/>
          <w:lang w:val="fr-CA"/>
        </w:rPr>
      </w:pPr>
      <w:r w:rsidRPr="009A17DF">
        <w:rPr>
          <w:sz w:val="20"/>
          <w:szCs w:val="20"/>
          <w:lang w:val="fr-CA"/>
        </w:rPr>
        <w:t>N</w:t>
      </w:r>
      <w:r w:rsidRPr="009A17DF">
        <w:rPr>
          <w:sz w:val="20"/>
          <w:szCs w:val="20"/>
          <w:vertAlign w:val="superscript"/>
          <w:lang w:val="fr-CA"/>
        </w:rPr>
        <w:t>o</w:t>
      </w:r>
      <w:r w:rsidRPr="009A17DF">
        <w:rPr>
          <w:sz w:val="20"/>
          <w:szCs w:val="20"/>
          <w:lang w:val="fr-CA"/>
        </w:rPr>
        <w:t xml:space="preserve"> du greffe :</w:t>
      </w:r>
      <w:r w:rsidRPr="009A17DF">
        <w:rPr>
          <w:sz w:val="20"/>
          <w:szCs w:val="20"/>
          <w:lang w:val="fr-CA"/>
        </w:rPr>
        <w:tab/>
        <w:t>35527</w:t>
      </w:r>
    </w:p>
    <w:p w:rsidR="00007F41" w:rsidRPr="009A17DF" w:rsidRDefault="00007F41" w:rsidP="00007F41">
      <w:pPr>
        <w:widowControl w:val="0"/>
        <w:ind w:left="2880" w:hanging="2880"/>
        <w:jc w:val="both"/>
        <w:rPr>
          <w:sz w:val="20"/>
          <w:szCs w:val="20"/>
          <w:lang w:val="fr-CA"/>
        </w:rPr>
      </w:pPr>
    </w:p>
    <w:p w:rsidR="00007F41" w:rsidRPr="009A17DF" w:rsidRDefault="00007F41" w:rsidP="00007F41">
      <w:pPr>
        <w:widowControl w:val="0"/>
        <w:ind w:left="2880" w:hanging="2880"/>
        <w:jc w:val="both"/>
        <w:rPr>
          <w:sz w:val="20"/>
          <w:szCs w:val="20"/>
          <w:lang w:val="fr-CA"/>
        </w:rPr>
      </w:pPr>
      <w:r w:rsidRPr="009A17DF">
        <w:rPr>
          <w:sz w:val="20"/>
          <w:szCs w:val="20"/>
          <w:lang w:val="fr-CA"/>
        </w:rPr>
        <w:t>Arrêt de la Cour d’appel :</w:t>
      </w:r>
      <w:r w:rsidRPr="009A17DF">
        <w:rPr>
          <w:sz w:val="20"/>
          <w:szCs w:val="20"/>
          <w:lang w:val="fr-CA"/>
        </w:rPr>
        <w:tab/>
        <w:t>le 31 juillet 2013</w:t>
      </w:r>
    </w:p>
    <w:p w:rsidR="00007F41" w:rsidRPr="009A17DF" w:rsidRDefault="00007F41" w:rsidP="00007F41">
      <w:pPr>
        <w:widowControl w:val="0"/>
        <w:ind w:left="2880" w:hanging="2880"/>
        <w:jc w:val="both"/>
        <w:rPr>
          <w:sz w:val="20"/>
          <w:szCs w:val="20"/>
          <w:lang w:val="fr-CA"/>
        </w:rPr>
      </w:pPr>
    </w:p>
    <w:p w:rsidR="00007F41" w:rsidRPr="009A17DF" w:rsidRDefault="00007F41" w:rsidP="00007F41">
      <w:pPr>
        <w:widowControl w:val="0"/>
        <w:ind w:left="2880" w:hanging="2880"/>
        <w:jc w:val="both"/>
        <w:rPr>
          <w:sz w:val="20"/>
          <w:szCs w:val="20"/>
          <w:lang w:val="fr-CA"/>
        </w:rPr>
      </w:pPr>
      <w:r w:rsidRPr="009A17DF">
        <w:rPr>
          <w:sz w:val="20"/>
          <w:szCs w:val="20"/>
          <w:lang w:val="fr-CA"/>
        </w:rPr>
        <w:t>Avocats :</w:t>
      </w:r>
      <w:r w:rsidRPr="009A17DF">
        <w:rPr>
          <w:sz w:val="20"/>
          <w:szCs w:val="20"/>
          <w:lang w:val="fr-CA"/>
        </w:rPr>
        <w:tab/>
        <w:t>Véronique Courtecuisse pour l’appelant</w:t>
      </w:r>
    </w:p>
    <w:p w:rsidR="00007F41" w:rsidRPr="009A17DF" w:rsidRDefault="00007F41" w:rsidP="00007F41">
      <w:pPr>
        <w:widowControl w:val="0"/>
        <w:ind w:left="2880" w:hanging="2880"/>
        <w:jc w:val="both"/>
        <w:rPr>
          <w:sz w:val="20"/>
          <w:szCs w:val="20"/>
          <w:lang w:val="fr-CA"/>
        </w:rPr>
      </w:pPr>
      <w:r w:rsidRPr="009A17DF">
        <w:rPr>
          <w:sz w:val="20"/>
          <w:szCs w:val="20"/>
          <w:lang w:val="fr-CA"/>
        </w:rPr>
        <w:tab/>
        <w:t>Ginette Gobeil et Marc Ribeiro pour l’intimé</w:t>
      </w:r>
    </w:p>
    <w:p w:rsidR="008E5188" w:rsidRPr="00DD0B49" w:rsidRDefault="008E5188" w:rsidP="008E5188">
      <w:pPr>
        <w:tabs>
          <w:tab w:val="left" w:pos="-1440"/>
          <w:tab w:val="left" w:pos="-720"/>
        </w:tabs>
        <w:jc w:val="both"/>
        <w:rPr>
          <w:sz w:val="20"/>
          <w:szCs w:val="20"/>
          <w:lang w:val="fr-CA"/>
        </w:rPr>
      </w:pPr>
    </w:p>
    <w:p w:rsidR="008E5188" w:rsidRDefault="009C5A48" w:rsidP="008E5188">
      <w:pPr>
        <w:tabs>
          <w:tab w:val="left" w:pos="-1440"/>
          <w:tab w:val="left" w:pos="-720"/>
        </w:tabs>
        <w:jc w:val="both"/>
        <w:rPr>
          <w:sz w:val="20"/>
          <w:szCs w:val="20"/>
          <w:lang w:val="fr-CA"/>
        </w:rPr>
      </w:pPr>
      <w:r>
        <w:rPr>
          <w:sz w:val="20"/>
          <w:szCs w:val="20"/>
          <w:lang w:val="fr-CA"/>
        </w:rPr>
        <w:pict>
          <v:rect id="_x0000_i1063"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007F41" w:rsidRPr="00A931B1" w:rsidRDefault="009E55C9" w:rsidP="00007F41">
      <w:pPr>
        <w:widowControl w:val="0"/>
        <w:ind w:left="720" w:hanging="720"/>
        <w:jc w:val="both"/>
        <w:rPr>
          <w:sz w:val="20"/>
          <w:szCs w:val="20"/>
        </w:rPr>
      </w:pPr>
      <w:r w:rsidRPr="00A931B1">
        <w:rPr>
          <w:b/>
          <w:sz w:val="20"/>
          <w:szCs w:val="20"/>
        </w:rPr>
        <w:lastRenderedPageBreak/>
        <w:fldChar w:fldCharType="begin"/>
      </w:r>
      <w:r w:rsidR="00007F41" w:rsidRPr="00A931B1">
        <w:rPr>
          <w:b/>
          <w:sz w:val="20"/>
          <w:szCs w:val="20"/>
        </w:rPr>
        <w:instrText xml:space="preserve"> SEQ CHAPTER \h \r 1</w:instrText>
      </w:r>
      <w:r w:rsidRPr="00A931B1">
        <w:rPr>
          <w:b/>
          <w:sz w:val="20"/>
          <w:szCs w:val="20"/>
        </w:rPr>
        <w:fldChar w:fldCharType="end"/>
      </w:r>
      <w:r w:rsidR="00007F41" w:rsidRPr="00A931B1">
        <w:rPr>
          <w:b/>
          <w:sz w:val="20"/>
          <w:szCs w:val="20"/>
        </w:rPr>
        <w:t>35548</w:t>
      </w:r>
      <w:r w:rsidR="00007F41" w:rsidRPr="00A931B1">
        <w:rPr>
          <w:sz w:val="20"/>
          <w:szCs w:val="20"/>
        </w:rPr>
        <w:tab/>
      </w:r>
      <w:r w:rsidR="00007F41" w:rsidRPr="00A931B1">
        <w:rPr>
          <w:b/>
          <w:i/>
          <w:sz w:val="20"/>
          <w:szCs w:val="20"/>
        </w:rPr>
        <w:t>Attorney General of Canada v. Anthony Barnaby</w:t>
      </w:r>
    </w:p>
    <w:p w:rsidR="00007F41" w:rsidRPr="00A931B1" w:rsidRDefault="00007F41" w:rsidP="00007F41">
      <w:pPr>
        <w:widowControl w:val="0"/>
        <w:jc w:val="both"/>
        <w:rPr>
          <w:sz w:val="20"/>
          <w:szCs w:val="20"/>
        </w:rPr>
      </w:pPr>
    </w:p>
    <w:p w:rsidR="00007F41" w:rsidRPr="00A931B1" w:rsidRDefault="00007F41" w:rsidP="00007F41">
      <w:pPr>
        <w:jc w:val="both"/>
        <w:rPr>
          <w:sz w:val="20"/>
          <w:szCs w:val="20"/>
        </w:rPr>
      </w:pPr>
      <w:r w:rsidRPr="00A931B1">
        <w:rPr>
          <w:sz w:val="20"/>
          <w:szCs w:val="20"/>
        </w:rPr>
        <w:t>Extradition - Criminal law - Surrender order - Judicial review - Whether the Court of Appeal erred in finding that the order surrendering the respondent to the United States of America was unreasonable.</w:t>
      </w:r>
    </w:p>
    <w:p w:rsidR="00007F41" w:rsidRPr="00A931B1" w:rsidRDefault="00007F41" w:rsidP="00007F41">
      <w:pPr>
        <w:widowControl w:val="0"/>
        <w:jc w:val="both"/>
        <w:rPr>
          <w:sz w:val="20"/>
          <w:szCs w:val="20"/>
        </w:rPr>
      </w:pPr>
    </w:p>
    <w:p w:rsidR="00007F41" w:rsidRPr="00A931B1" w:rsidRDefault="00007F41" w:rsidP="00007F41">
      <w:pPr>
        <w:jc w:val="both"/>
        <w:rPr>
          <w:sz w:val="20"/>
          <w:szCs w:val="20"/>
        </w:rPr>
      </w:pPr>
      <w:r w:rsidRPr="00A931B1">
        <w:rPr>
          <w:sz w:val="20"/>
          <w:szCs w:val="20"/>
        </w:rPr>
        <w:t>The United States of America request the extradition of the respondent to stand trial in the State of New Hampshire. The respondent and an accomplice, David Caplin, are accused of the first and second degree murders of Charlene Ranstrom and Brenda Warner. Both women were stabbed to death in their apartment on the night of October 2-3, 1988 in Nashua, New Hampshire.</w:t>
      </w:r>
    </w:p>
    <w:p w:rsidR="00007F41" w:rsidRPr="00A931B1" w:rsidRDefault="00007F41" w:rsidP="00007F41">
      <w:pPr>
        <w:jc w:val="both"/>
        <w:rPr>
          <w:sz w:val="20"/>
          <w:szCs w:val="20"/>
        </w:rPr>
      </w:pPr>
    </w:p>
    <w:p w:rsidR="00007F41" w:rsidRPr="00A931B1" w:rsidRDefault="00007F41" w:rsidP="00007F41">
      <w:pPr>
        <w:jc w:val="both"/>
        <w:rPr>
          <w:sz w:val="20"/>
          <w:szCs w:val="20"/>
        </w:rPr>
      </w:pPr>
      <w:r w:rsidRPr="00A931B1">
        <w:rPr>
          <w:sz w:val="20"/>
          <w:szCs w:val="20"/>
        </w:rPr>
        <w:t xml:space="preserve">In 1989, the respondent was indicted on two counts of first degree murder. He proceeded to trial on three occasions, in 1989 and 1990. Each trial ended in a hung jury, as a unanimous verdict could not be reached. At the conclusion of the third trial, the prosecution entered a </w:t>
      </w:r>
      <w:r w:rsidRPr="00A931B1">
        <w:rPr>
          <w:i/>
          <w:sz w:val="20"/>
          <w:szCs w:val="20"/>
        </w:rPr>
        <w:t>nolle prosequi</w:t>
      </w:r>
      <w:r w:rsidRPr="00A931B1">
        <w:rPr>
          <w:sz w:val="20"/>
          <w:szCs w:val="20"/>
        </w:rPr>
        <w:t>, a dismissal of charges, against the respondent.</w:t>
      </w:r>
    </w:p>
    <w:p w:rsidR="00007F41" w:rsidRPr="00A931B1" w:rsidRDefault="00007F41" w:rsidP="00007F41">
      <w:pPr>
        <w:jc w:val="both"/>
        <w:rPr>
          <w:sz w:val="20"/>
          <w:szCs w:val="20"/>
        </w:rPr>
      </w:pPr>
    </w:p>
    <w:p w:rsidR="00007F41" w:rsidRPr="00A931B1" w:rsidRDefault="00007F41" w:rsidP="00007F41">
      <w:pPr>
        <w:jc w:val="both"/>
        <w:rPr>
          <w:sz w:val="20"/>
          <w:szCs w:val="20"/>
        </w:rPr>
      </w:pPr>
      <w:r w:rsidRPr="00A931B1">
        <w:rPr>
          <w:sz w:val="20"/>
          <w:szCs w:val="20"/>
        </w:rPr>
        <w:t xml:space="preserve">In 2010, the New Hampshire State authorities reopened their investigation and in 2011, evidence seized from the crime scene was submitted for DNA testing not available at the time of the initial investigation. The profile of the respondent’s accomplice, Mr. Caplin, was identified. Witnesses were again contacted and provided additional information. A new warrant was obtained for the respondent’s arrest. </w:t>
      </w:r>
    </w:p>
    <w:p w:rsidR="00007F41" w:rsidRPr="00A931B1" w:rsidRDefault="00007F41" w:rsidP="00007F41">
      <w:pPr>
        <w:jc w:val="both"/>
        <w:rPr>
          <w:sz w:val="20"/>
          <w:szCs w:val="20"/>
        </w:rPr>
      </w:pPr>
    </w:p>
    <w:p w:rsidR="00007F41" w:rsidRPr="00A931B1" w:rsidRDefault="00007F41" w:rsidP="00007F41">
      <w:pPr>
        <w:jc w:val="both"/>
        <w:rPr>
          <w:sz w:val="20"/>
          <w:szCs w:val="20"/>
        </w:rPr>
      </w:pPr>
      <w:r w:rsidRPr="00A931B1">
        <w:rPr>
          <w:sz w:val="20"/>
          <w:szCs w:val="20"/>
        </w:rPr>
        <w:t xml:space="preserve">In June 2011, an Authority to Proceed was issued pursuant to the </w:t>
      </w:r>
      <w:r w:rsidRPr="00A931B1">
        <w:rPr>
          <w:i/>
          <w:sz w:val="20"/>
          <w:szCs w:val="20"/>
        </w:rPr>
        <w:t>Extradition Act</w:t>
      </w:r>
      <w:r w:rsidRPr="00A931B1">
        <w:rPr>
          <w:sz w:val="20"/>
          <w:szCs w:val="20"/>
        </w:rPr>
        <w:t>, S.C. 1999, c. 18, authorizing extradition proceedings against the respondent before the Superior Court of Quebec. In September 2011, that court held that there was sufficient evidence to commit the respondent. In March 2012, the Minister of Justice signed an extradition order ordering the surrender of the respondent to the United States. In July 2013, the Court of Appeal of Quebec allowed the respondent’s application for judicial review of the Minister’s decision and quashed the surrender order.</w:t>
      </w:r>
    </w:p>
    <w:p w:rsidR="00007F41" w:rsidRPr="00A931B1" w:rsidRDefault="00007F41" w:rsidP="00007F41">
      <w:pPr>
        <w:widowControl w:val="0"/>
        <w:jc w:val="both"/>
        <w:rPr>
          <w:sz w:val="20"/>
          <w:szCs w:val="20"/>
        </w:rPr>
      </w:pPr>
    </w:p>
    <w:p w:rsidR="00007F41" w:rsidRPr="00A931B1" w:rsidRDefault="00007F41" w:rsidP="00007F41">
      <w:pPr>
        <w:widowControl w:val="0"/>
        <w:jc w:val="both"/>
        <w:rPr>
          <w:sz w:val="20"/>
          <w:szCs w:val="20"/>
        </w:rPr>
      </w:pPr>
    </w:p>
    <w:p w:rsidR="00007F41" w:rsidRPr="00A931B1" w:rsidRDefault="00007F41" w:rsidP="00007F41">
      <w:pPr>
        <w:widowControl w:val="0"/>
        <w:ind w:left="2880" w:hanging="2880"/>
        <w:jc w:val="both"/>
        <w:rPr>
          <w:sz w:val="20"/>
          <w:szCs w:val="20"/>
        </w:rPr>
      </w:pPr>
      <w:r w:rsidRPr="00A931B1">
        <w:rPr>
          <w:sz w:val="20"/>
          <w:szCs w:val="20"/>
        </w:rPr>
        <w:t>Origin of the case:</w:t>
      </w:r>
      <w:r w:rsidRPr="00A931B1">
        <w:rPr>
          <w:sz w:val="20"/>
          <w:szCs w:val="20"/>
        </w:rPr>
        <w:tab/>
        <w:t>Quebec</w:t>
      </w:r>
    </w:p>
    <w:p w:rsidR="00007F41" w:rsidRPr="00A931B1" w:rsidRDefault="00007F41" w:rsidP="00007F41">
      <w:pPr>
        <w:widowControl w:val="0"/>
        <w:ind w:left="2880" w:hanging="2880"/>
        <w:jc w:val="both"/>
        <w:rPr>
          <w:sz w:val="20"/>
          <w:szCs w:val="20"/>
        </w:rPr>
      </w:pPr>
    </w:p>
    <w:p w:rsidR="00007F41" w:rsidRPr="00A931B1" w:rsidRDefault="00007F41" w:rsidP="00007F41">
      <w:pPr>
        <w:widowControl w:val="0"/>
        <w:ind w:left="2880" w:hanging="2880"/>
        <w:jc w:val="both"/>
        <w:rPr>
          <w:sz w:val="20"/>
          <w:szCs w:val="20"/>
        </w:rPr>
      </w:pPr>
      <w:r w:rsidRPr="00A931B1">
        <w:rPr>
          <w:sz w:val="20"/>
          <w:szCs w:val="20"/>
        </w:rPr>
        <w:t>File No.:</w:t>
      </w:r>
      <w:r w:rsidRPr="00A931B1">
        <w:rPr>
          <w:sz w:val="20"/>
          <w:szCs w:val="20"/>
        </w:rPr>
        <w:tab/>
        <w:t>35548</w:t>
      </w:r>
    </w:p>
    <w:p w:rsidR="00007F41" w:rsidRPr="00A931B1" w:rsidRDefault="00007F41" w:rsidP="00007F41">
      <w:pPr>
        <w:widowControl w:val="0"/>
        <w:ind w:left="2880" w:hanging="2880"/>
        <w:jc w:val="both"/>
        <w:rPr>
          <w:sz w:val="20"/>
          <w:szCs w:val="20"/>
        </w:rPr>
      </w:pPr>
    </w:p>
    <w:p w:rsidR="00007F41" w:rsidRPr="00A931B1" w:rsidRDefault="00007F41" w:rsidP="00007F41">
      <w:pPr>
        <w:widowControl w:val="0"/>
        <w:ind w:left="2880" w:hanging="2880"/>
        <w:jc w:val="both"/>
        <w:rPr>
          <w:sz w:val="20"/>
          <w:szCs w:val="20"/>
        </w:rPr>
      </w:pPr>
      <w:r w:rsidRPr="00A931B1">
        <w:rPr>
          <w:sz w:val="20"/>
          <w:szCs w:val="20"/>
        </w:rPr>
        <w:t>Judgment of the Court of Appeal:</w:t>
      </w:r>
      <w:r w:rsidRPr="00A931B1">
        <w:rPr>
          <w:sz w:val="20"/>
          <w:szCs w:val="20"/>
        </w:rPr>
        <w:tab/>
        <w:t>July 31, 2013</w:t>
      </w:r>
    </w:p>
    <w:p w:rsidR="00007F41" w:rsidRPr="00A931B1" w:rsidRDefault="00007F41" w:rsidP="00007F41">
      <w:pPr>
        <w:widowControl w:val="0"/>
        <w:ind w:left="2880" w:hanging="2880"/>
        <w:jc w:val="both"/>
        <w:rPr>
          <w:sz w:val="20"/>
          <w:szCs w:val="20"/>
        </w:rPr>
      </w:pPr>
    </w:p>
    <w:p w:rsidR="00007F41" w:rsidRPr="00A931B1" w:rsidRDefault="00007F41" w:rsidP="00007F41">
      <w:pPr>
        <w:widowControl w:val="0"/>
        <w:ind w:left="2880" w:hanging="2880"/>
        <w:jc w:val="both"/>
        <w:rPr>
          <w:sz w:val="20"/>
          <w:szCs w:val="20"/>
        </w:rPr>
      </w:pPr>
      <w:r w:rsidRPr="00A931B1">
        <w:rPr>
          <w:sz w:val="20"/>
          <w:szCs w:val="20"/>
        </w:rPr>
        <w:t>Counsel:</w:t>
      </w:r>
      <w:r w:rsidRPr="00A931B1">
        <w:rPr>
          <w:sz w:val="20"/>
          <w:szCs w:val="20"/>
        </w:rPr>
        <w:tab/>
        <w:t>Ginette Gobeil and Marc Ribeiro for the appellant</w:t>
      </w:r>
    </w:p>
    <w:p w:rsidR="00007F41" w:rsidRPr="00A931B1" w:rsidRDefault="00007F41" w:rsidP="00007F41">
      <w:pPr>
        <w:widowControl w:val="0"/>
        <w:ind w:left="2880" w:hanging="2880"/>
        <w:jc w:val="both"/>
        <w:rPr>
          <w:sz w:val="20"/>
          <w:szCs w:val="20"/>
        </w:rPr>
      </w:pPr>
      <w:r w:rsidRPr="00A931B1">
        <w:rPr>
          <w:sz w:val="20"/>
          <w:szCs w:val="20"/>
        </w:rPr>
        <w:tab/>
        <w:t>Clemente Monterosso for the respondent</w:t>
      </w:r>
    </w:p>
    <w:p w:rsidR="008E5188" w:rsidRPr="0032669B" w:rsidRDefault="008E5188" w:rsidP="008E5188">
      <w:pPr>
        <w:tabs>
          <w:tab w:val="left" w:pos="-1440"/>
          <w:tab w:val="left" w:pos="-720"/>
        </w:tabs>
        <w:jc w:val="both"/>
        <w:rPr>
          <w:sz w:val="20"/>
          <w:szCs w:val="20"/>
        </w:rPr>
      </w:pPr>
    </w:p>
    <w:p w:rsidR="008E5188" w:rsidRDefault="009C5A48" w:rsidP="008E5188">
      <w:pPr>
        <w:tabs>
          <w:tab w:val="left" w:pos="-1440"/>
          <w:tab w:val="left" w:pos="-720"/>
        </w:tabs>
        <w:jc w:val="both"/>
        <w:rPr>
          <w:sz w:val="20"/>
          <w:szCs w:val="20"/>
          <w:lang w:val="fr-CA"/>
        </w:rPr>
      </w:pPr>
      <w:r>
        <w:rPr>
          <w:sz w:val="20"/>
          <w:szCs w:val="20"/>
          <w:lang w:val="fr-CA"/>
        </w:rPr>
        <w:pict>
          <v:rect id="_x0000_i1064"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32669B" w:rsidRPr="00CC093E" w:rsidRDefault="009E55C9" w:rsidP="0032669B">
      <w:pPr>
        <w:widowControl w:val="0"/>
        <w:ind w:left="720" w:hanging="720"/>
        <w:jc w:val="both"/>
        <w:rPr>
          <w:sz w:val="20"/>
          <w:szCs w:val="20"/>
          <w:lang w:val="fr-CA"/>
        </w:rPr>
      </w:pPr>
      <w:r w:rsidRPr="00CC093E">
        <w:rPr>
          <w:b/>
          <w:sz w:val="20"/>
          <w:szCs w:val="20"/>
          <w:lang w:val="fr-CA"/>
        </w:rPr>
        <w:lastRenderedPageBreak/>
        <w:fldChar w:fldCharType="begin"/>
      </w:r>
      <w:r w:rsidR="0032669B" w:rsidRPr="00CC093E">
        <w:rPr>
          <w:b/>
          <w:sz w:val="20"/>
          <w:szCs w:val="20"/>
          <w:lang w:val="fr-CA"/>
        </w:rPr>
        <w:instrText xml:space="preserve"> SEQ CHAPTER \h \r 1</w:instrText>
      </w:r>
      <w:r w:rsidRPr="00CC093E">
        <w:rPr>
          <w:b/>
          <w:sz w:val="20"/>
          <w:szCs w:val="20"/>
          <w:lang w:val="fr-CA"/>
        </w:rPr>
        <w:fldChar w:fldCharType="end"/>
      </w:r>
      <w:r w:rsidR="0032669B" w:rsidRPr="00CC093E">
        <w:rPr>
          <w:b/>
          <w:sz w:val="20"/>
          <w:szCs w:val="20"/>
          <w:lang w:val="fr-CA"/>
        </w:rPr>
        <w:t>35548</w:t>
      </w:r>
      <w:r w:rsidR="0032669B" w:rsidRPr="00CC093E">
        <w:rPr>
          <w:sz w:val="20"/>
          <w:szCs w:val="20"/>
          <w:lang w:val="fr-CA"/>
        </w:rPr>
        <w:tab/>
      </w:r>
      <w:r w:rsidR="0032669B" w:rsidRPr="00CC093E">
        <w:rPr>
          <w:b/>
          <w:i/>
          <w:sz w:val="20"/>
          <w:szCs w:val="20"/>
          <w:lang w:val="fr-CA"/>
        </w:rPr>
        <w:t>Procureur général du Canada c. Anthony Barnaby</w:t>
      </w:r>
    </w:p>
    <w:p w:rsidR="0032669B" w:rsidRPr="00CC093E" w:rsidRDefault="0032669B" w:rsidP="0032669B">
      <w:pPr>
        <w:widowControl w:val="0"/>
        <w:jc w:val="both"/>
        <w:rPr>
          <w:sz w:val="20"/>
          <w:szCs w:val="20"/>
          <w:lang w:val="fr-CA"/>
        </w:rPr>
      </w:pPr>
    </w:p>
    <w:p w:rsidR="0032669B" w:rsidRPr="00CC093E" w:rsidRDefault="0032669B" w:rsidP="0032669B">
      <w:pPr>
        <w:jc w:val="both"/>
        <w:rPr>
          <w:sz w:val="20"/>
          <w:szCs w:val="20"/>
          <w:lang w:val="fr-CA"/>
        </w:rPr>
      </w:pPr>
      <w:r w:rsidRPr="00CC093E">
        <w:rPr>
          <w:sz w:val="20"/>
          <w:szCs w:val="20"/>
          <w:lang w:val="fr-CA"/>
        </w:rPr>
        <w:t>Extradition - Droit criminel - Arrêté d’extradition - Contrôle judiciaire - La Cour d’appel a</w:t>
      </w:r>
      <w:r w:rsidRPr="00CC093E">
        <w:rPr>
          <w:sz w:val="20"/>
          <w:szCs w:val="20"/>
          <w:lang w:val="fr-CA"/>
        </w:rPr>
        <w:noBreakHyphen/>
        <w:t>t</w:t>
      </w:r>
      <w:r w:rsidRPr="00CC093E">
        <w:rPr>
          <w:sz w:val="20"/>
          <w:szCs w:val="20"/>
          <w:lang w:val="fr-CA"/>
        </w:rPr>
        <w:noBreakHyphen/>
        <w:t xml:space="preserve">elle mal interprété les nouveaux éléments de preuve? - La Cour d’appel a-t-elle eu tort de conclure que l’arrêt d’extradition de l’intimé aux États-Unis était déraisonnable? </w:t>
      </w:r>
    </w:p>
    <w:p w:rsidR="0032669B" w:rsidRPr="00CC093E" w:rsidRDefault="0032669B" w:rsidP="0032669B">
      <w:pPr>
        <w:widowControl w:val="0"/>
        <w:jc w:val="both"/>
        <w:rPr>
          <w:sz w:val="20"/>
          <w:szCs w:val="20"/>
          <w:lang w:val="fr-CA"/>
        </w:rPr>
      </w:pPr>
    </w:p>
    <w:p w:rsidR="0032669B" w:rsidRPr="00CC093E" w:rsidRDefault="0032669B" w:rsidP="0032669B">
      <w:pPr>
        <w:jc w:val="both"/>
        <w:rPr>
          <w:sz w:val="20"/>
          <w:szCs w:val="20"/>
          <w:lang w:val="fr-CA"/>
        </w:rPr>
      </w:pPr>
      <w:r w:rsidRPr="00CC093E">
        <w:rPr>
          <w:sz w:val="20"/>
          <w:szCs w:val="20"/>
          <w:lang w:val="fr-CA"/>
        </w:rPr>
        <w:t>Les États-Unis d’Amérique demandent l’extradition de l’intimé pour qu’il soit traduit en justice dans l’État du New Hampshire.  L’intimé et un complice, David Caplin, sont accusés des meurtres aux premier et deuxième degrés de Charlene Ranstrom et de Brenda Warner, qui ont toutes deux été poignardées à mort dans leur appartement durant la nuit du 2 au 3 octobre, 1988 à Nashua (New Hampshire).</w:t>
      </w:r>
    </w:p>
    <w:p w:rsidR="0032669B" w:rsidRPr="00CC093E" w:rsidRDefault="0032669B" w:rsidP="0032669B">
      <w:pPr>
        <w:jc w:val="both"/>
        <w:rPr>
          <w:sz w:val="20"/>
          <w:szCs w:val="20"/>
          <w:lang w:val="fr-CA"/>
        </w:rPr>
      </w:pPr>
    </w:p>
    <w:p w:rsidR="0032669B" w:rsidRPr="00CC093E" w:rsidRDefault="0032669B" w:rsidP="0032669B">
      <w:pPr>
        <w:jc w:val="both"/>
        <w:rPr>
          <w:sz w:val="20"/>
          <w:szCs w:val="20"/>
          <w:lang w:val="fr-CA"/>
        </w:rPr>
      </w:pPr>
      <w:r w:rsidRPr="00CC093E">
        <w:rPr>
          <w:sz w:val="20"/>
          <w:szCs w:val="20"/>
          <w:lang w:val="fr-CA"/>
        </w:rPr>
        <w:t>En 1989, l’intimé a été formellement accusé sous deux chefs de meurtre au premier degré.  Il a subi trois procès, en 1989 et en 1990.  Au terme de chacun des procès, le jury s’est retrouvé dans une impasse, faute de verdict unanime.  Au terme du troisième procès, la poursuite a inscrit un refus de poursuivre, abandonnant les accusations portées contre l’intimé.</w:t>
      </w:r>
    </w:p>
    <w:p w:rsidR="0032669B" w:rsidRPr="00CC093E" w:rsidRDefault="0032669B" w:rsidP="0032669B">
      <w:pPr>
        <w:jc w:val="both"/>
        <w:rPr>
          <w:sz w:val="20"/>
          <w:szCs w:val="20"/>
          <w:lang w:val="fr-CA"/>
        </w:rPr>
      </w:pPr>
    </w:p>
    <w:p w:rsidR="0032669B" w:rsidRPr="00CC093E" w:rsidRDefault="0032669B" w:rsidP="0032669B">
      <w:pPr>
        <w:jc w:val="both"/>
        <w:rPr>
          <w:sz w:val="20"/>
          <w:szCs w:val="20"/>
          <w:lang w:val="fr-CA"/>
        </w:rPr>
      </w:pPr>
      <w:r w:rsidRPr="00CC093E">
        <w:rPr>
          <w:sz w:val="20"/>
          <w:szCs w:val="20"/>
          <w:lang w:val="fr-CA"/>
        </w:rPr>
        <w:t xml:space="preserve">En 2010, les autorités du New Hampshire ont rouvert leur enquête et, en 2011, des éléments de preuve provenant des lieux du crime ont été soumis pour analyses génétiques qui n’étaient pas disponibles à l’époque de l’enquête initiale.  Le profil du complice de l’intimé, M. Caplin, a été identifié.  Les témoins ont été joints de nouveau et ils ont fourni des renseignements supplémentaires.  Un nouveau mandat d’arrêt contre l’intimé a été obtenu. </w:t>
      </w:r>
    </w:p>
    <w:p w:rsidR="0032669B" w:rsidRPr="00CC093E" w:rsidRDefault="0032669B" w:rsidP="0032669B">
      <w:pPr>
        <w:jc w:val="both"/>
        <w:rPr>
          <w:sz w:val="20"/>
          <w:szCs w:val="20"/>
          <w:lang w:val="fr-CA"/>
        </w:rPr>
      </w:pPr>
    </w:p>
    <w:p w:rsidR="0032669B" w:rsidRPr="00CC093E" w:rsidRDefault="0032669B" w:rsidP="0032669B">
      <w:pPr>
        <w:jc w:val="both"/>
        <w:rPr>
          <w:sz w:val="20"/>
          <w:szCs w:val="20"/>
          <w:lang w:val="fr-CA"/>
        </w:rPr>
      </w:pPr>
      <w:r w:rsidRPr="00CC093E">
        <w:rPr>
          <w:sz w:val="20"/>
          <w:szCs w:val="20"/>
          <w:lang w:val="fr-CA"/>
        </w:rPr>
        <w:t xml:space="preserve">En juin 2011, un arrêté introductif d’instance a été pris en application de la </w:t>
      </w:r>
      <w:r w:rsidRPr="00CC093E">
        <w:rPr>
          <w:i/>
          <w:sz w:val="20"/>
          <w:szCs w:val="20"/>
          <w:lang w:val="fr-CA"/>
        </w:rPr>
        <w:t>Loi sur l’extradition</w:t>
      </w:r>
      <w:r w:rsidRPr="00CC093E">
        <w:rPr>
          <w:sz w:val="20"/>
          <w:szCs w:val="20"/>
          <w:lang w:val="fr-CA"/>
        </w:rPr>
        <w:t>, L.C. 1999, ch. 18, autorisant l’introduction de la procédure d’extradition de l’intimé en Cour supérieure du Québec.  En septembre 2011, cette cour a jugé qu’il y avait suffisamment d’éléments de preuve pour incarcérer l’intimé.  En mars 2012, le ministre de la Justice a signé un arrêt d’extradition de l’intimé vers les États-Unis.  En juillet 2013, la Cour d’appel du Québec a accueilli la demande de contrôle judiciaire de la décision du ministre présentée par l’intimé et a annulé l’arrêt d’extradition.</w:t>
      </w:r>
    </w:p>
    <w:p w:rsidR="0032669B" w:rsidRPr="00CC093E" w:rsidRDefault="0032669B" w:rsidP="0032669B">
      <w:pPr>
        <w:widowControl w:val="0"/>
        <w:jc w:val="both"/>
        <w:rPr>
          <w:sz w:val="20"/>
          <w:szCs w:val="20"/>
          <w:lang w:val="fr-CA"/>
        </w:rPr>
      </w:pPr>
    </w:p>
    <w:p w:rsidR="0032669B" w:rsidRPr="00CC093E" w:rsidRDefault="0032669B" w:rsidP="0032669B">
      <w:pPr>
        <w:widowControl w:val="0"/>
        <w:jc w:val="both"/>
        <w:rPr>
          <w:sz w:val="20"/>
          <w:szCs w:val="20"/>
          <w:lang w:val="fr-CA"/>
        </w:rPr>
      </w:pPr>
    </w:p>
    <w:p w:rsidR="0032669B" w:rsidRPr="00CC093E" w:rsidRDefault="0032669B" w:rsidP="0032669B">
      <w:pPr>
        <w:widowControl w:val="0"/>
        <w:ind w:left="2880" w:hanging="2880"/>
        <w:jc w:val="both"/>
        <w:rPr>
          <w:sz w:val="20"/>
          <w:szCs w:val="20"/>
          <w:lang w:val="fr-CA"/>
        </w:rPr>
      </w:pPr>
      <w:r w:rsidRPr="00CC093E">
        <w:rPr>
          <w:sz w:val="20"/>
          <w:szCs w:val="20"/>
          <w:lang w:val="fr-CA"/>
        </w:rPr>
        <w:t>Origine :</w:t>
      </w:r>
      <w:r w:rsidRPr="00CC093E">
        <w:rPr>
          <w:sz w:val="20"/>
          <w:szCs w:val="20"/>
          <w:lang w:val="fr-CA"/>
        </w:rPr>
        <w:tab/>
        <w:t>Québec</w:t>
      </w:r>
    </w:p>
    <w:p w:rsidR="0032669B" w:rsidRPr="00CC093E" w:rsidRDefault="0032669B" w:rsidP="0032669B">
      <w:pPr>
        <w:widowControl w:val="0"/>
        <w:ind w:left="2880" w:hanging="2880"/>
        <w:jc w:val="both"/>
        <w:rPr>
          <w:sz w:val="20"/>
          <w:szCs w:val="20"/>
          <w:lang w:val="fr-CA"/>
        </w:rPr>
      </w:pPr>
    </w:p>
    <w:p w:rsidR="0032669B" w:rsidRPr="00CC093E" w:rsidRDefault="0032669B" w:rsidP="0032669B">
      <w:pPr>
        <w:widowControl w:val="0"/>
        <w:ind w:left="2880" w:hanging="2880"/>
        <w:jc w:val="both"/>
        <w:rPr>
          <w:sz w:val="20"/>
          <w:szCs w:val="20"/>
          <w:lang w:val="fr-CA"/>
        </w:rPr>
      </w:pPr>
      <w:r w:rsidRPr="00CC093E">
        <w:rPr>
          <w:sz w:val="20"/>
          <w:szCs w:val="20"/>
          <w:lang w:val="fr-CA"/>
        </w:rPr>
        <w:t>N</w:t>
      </w:r>
      <w:r w:rsidRPr="00CC093E">
        <w:rPr>
          <w:sz w:val="20"/>
          <w:szCs w:val="20"/>
          <w:vertAlign w:val="superscript"/>
          <w:lang w:val="fr-CA"/>
        </w:rPr>
        <w:t>o</w:t>
      </w:r>
      <w:r w:rsidRPr="00CC093E">
        <w:rPr>
          <w:sz w:val="20"/>
          <w:szCs w:val="20"/>
          <w:lang w:val="fr-CA"/>
        </w:rPr>
        <w:t xml:space="preserve"> du greffe :</w:t>
      </w:r>
      <w:r w:rsidRPr="00CC093E">
        <w:rPr>
          <w:sz w:val="20"/>
          <w:szCs w:val="20"/>
          <w:lang w:val="fr-CA"/>
        </w:rPr>
        <w:tab/>
        <w:t>35548</w:t>
      </w:r>
    </w:p>
    <w:p w:rsidR="0032669B" w:rsidRPr="00CC093E" w:rsidRDefault="0032669B" w:rsidP="0032669B">
      <w:pPr>
        <w:widowControl w:val="0"/>
        <w:ind w:left="2880" w:hanging="2880"/>
        <w:jc w:val="both"/>
        <w:rPr>
          <w:sz w:val="20"/>
          <w:szCs w:val="20"/>
          <w:lang w:val="fr-CA"/>
        </w:rPr>
      </w:pPr>
    </w:p>
    <w:p w:rsidR="0032669B" w:rsidRPr="00CC093E" w:rsidRDefault="0032669B" w:rsidP="0032669B">
      <w:pPr>
        <w:widowControl w:val="0"/>
        <w:ind w:left="2880" w:hanging="2880"/>
        <w:jc w:val="both"/>
        <w:rPr>
          <w:sz w:val="20"/>
          <w:szCs w:val="20"/>
          <w:lang w:val="fr-CA"/>
        </w:rPr>
      </w:pPr>
      <w:r w:rsidRPr="00CC093E">
        <w:rPr>
          <w:sz w:val="20"/>
          <w:szCs w:val="20"/>
          <w:lang w:val="fr-CA"/>
        </w:rPr>
        <w:t>Arrêt de la Cour d’appel :</w:t>
      </w:r>
      <w:r w:rsidRPr="00CC093E">
        <w:rPr>
          <w:sz w:val="20"/>
          <w:szCs w:val="20"/>
          <w:lang w:val="fr-CA"/>
        </w:rPr>
        <w:tab/>
        <w:t>le 31 juillet 2013</w:t>
      </w:r>
    </w:p>
    <w:p w:rsidR="0032669B" w:rsidRPr="00CC093E" w:rsidRDefault="0032669B" w:rsidP="0032669B">
      <w:pPr>
        <w:widowControl w:val="0"/>
        <w:ind w:left="2880" w:hanging="2880"/>
        <w:jc w:val="both"/>
        <w:rPr>
          <w:sz w:val="20"/>
          <w:szCs w:val="20"/>
          <w:lang w:val="fr-CA"/>
        </w:rPr>
      </w:pPr>
    </w:p>
    <w:p w:rsidR="0032669B" w:rsidRPr="00CC093E" w:rsidRDefault="0032669B" w:rsidP="0032669B">
      <w:pPr>
        <w:widowControl w:val="0"/>
        <w:ind w:left="2880" w:hanging="2880"/>
        <w:jc w:val="both"/>
        <w:rPr>
          <w:sz w:val="20"/>
          <w:szCs w:val="20"/>
          <w:lang w:val="fr-CA"/>
        </w:rPr>
      </w:pPr>
      <w:r w:rsidRPr="00CC093E">
        <w:rPr>
          <w:sz w:val="20"/>
          <w:szCs w:val="20"/>
          <w:lang w:val="fr-CA"/>
        </w:rPr>
        <w:t>Avocats :</w:t>
      </w:r>
      <w:r w:rsidRPr="00CC093E">
        <w:rPr>
          <w:sz w:val="20"/>
          <w:szCs w:val="20"/>
          <w:lang w:val="fr-CA"/>
        </w:rPr>
        <w:tab/>
        <w:t>Ginette Gobeil et Marc Ribeiro pour l’appelant</w:t>
      </w:r>
    </w:p>
    <w:p w:rsidR="0032669B" w:rsidRPr="00CC093E" w:rsidRDefault="0032669B" w:rsidP="0032669B">
      <w:pPr>
        <w:widowControl w:val="0"/>
        <w:ind w:left="2880" w:hanging="2880"/>
        <w:jc w:val="both"/>
        <w:rPr>
          <w:sz w:val="20"/>
          <w:szCs w:val="20"/>
          <w:lang w:val="fr-CA"/>
        </w:rPr>
      </w:pPr>
      <w:r w:rsidRPr="00CC093E">
        <w:rPr>
          <w:sz w:val="20"/>
          <w:szCs w:val="20"/>
          <w:lang w:val="fr-CA"/>
        </w:rPr>
        <w:tab/>
        <w:t>Clemente Monterosso pour l’intimé</w:t>
      </w:r>
    </w:p>
    <w:p w:rsidR="008E5188" w:rsidRPr="00DD0B49" w:rsidRDefault="008E5188" w:rsidP="008E5188">
      <w:pPr>
        <w:tabs>
          <w:tab w:val="left" w:pos="-1440"/>
          <w:tab w:val="left" w:pos="-720"/>
        </w:tabs>
        <w:jc w:val="both"/>
        <w:rPr>
          <w:sz w:val="20"/>
          <w:szCs w:val="20"/>
          <w:lang w:val="fr-CA"/>
        </w:rPr>
      </w:pPr>
    </w:p>
    <w:p w:rsidR="008E5188" w:rsidRDefault="009C5A48" w:rsidP="008E5188">
      <w:pPr>
        <w:tabs>
          <w:tab w:val="left" w:pos="-1440"/>
          <w:tab w:val="left" w:pos="-720"/>
        </w:tabs>
        <w:jc w:val="both"/>
        <w:rPr>
          <w:sz w:val="20"/>
          <w:szCs w:val="20"/>
          <w:lang w:val="fr-CA"/>
        </w:rPr>
      </w:pPr>
      <w:r>
        <w:rPr>
          <w:sz w:val="20"/>
          <w:szCs w:val="20"/>
          <w:lang w:val="fr-CA"/>
        </w:rPr>
        <w:pict>
          <v:rect id="_x0000_i1065"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32669B" w:rsidRPr="008D3743" w:rsidRDefault="009E55C9" w:rsidP="0032669B">
      <w:pPr>
        <w:widowControl w:val="0"/>
        <w:ind w:left="720" w:hanging="720"/>
        <w:jc w:val="both"/>
        <w:rPr>
          <w:sz w:val="20"/>
          <w:szCs w:val="20"/>
        </w:rPr>
      </w:pPr>
      <w:r w:rsidRPr="008D3743">
        <w:rPr>
          <w:b/>
          <w:sz w:val="20"/>
          <w:szCs w:val="20"/>
        </w:rPr>
        <w:lastRenderedPageBreak/>
        <w:fldChar w:fldCharType="begin"/>
      </w:r>
      <w:r w:rsidR="0032669B" w:rsidRPr="008D3743">
        <w:rPr>
          <w:b/>
          <w:sz w:val="20"/>
          <w:szCs w:val="20"/>
        </w:rPr>
        <w:instrText xml:space="preserve"> SEQ CHAPTER \h \r 1</w:instrText>
      </w:r>
      <w:r w:rsidRPr="008D3743">
        <w:rPr>
          <w:b/>
          <w:sz w:val="20"/>
          <w:szCs w:val="20"/>
        </w:rPr>
        <w:fldChar w:fldCharType="end"/>
      </w:r>
      <w:r w:rsidR="0032669B" w:rsidRPr="008D3743">
        <w:rPr>
          <w:b/>
          <w:sz w:val="20"/>
          <w:szCs w:val="20"/>
        </w:rPr>
        <w:t>36231</w:t>
      </w:r>
      <w:r w:rsidR="0032669B" w:rsidRPr="008D3743">
        <w:rPr>
          <w:sz w:val="20"/>
          <w:szCs w:val="20"/>
        </w:rPr>
        <w:tab/>
      </w:r>
      <w:r w:rsidR="0032669B" w:rsidRPr="008D3743">
        <w:rPr>
          <w:b/>
          <w:i/>
          <w:sz w:val="20"/>
          <w:szCs w:val="20"/>
        </w:rPr>
        <w:t>Attorney General of Quebec, et al. v. Attorney General of Canada</w:t>
      </w:r>
    </w:p>
    <w:p w:rsidR="0032669B" w:rsidRPr="008D3743" w:rsidRDefault="0032669B" w:rsidP="0032669B">
      <w:pPr>
        <w:widowControl w:val="0"/>
        <w:jc w:val="both"/>
        <w:rPr>
          <w:sz w:val="20"/>
          <w:szCs w:val="20"/>
        </w:rPr>
      </w:pPr>
    </w:p>
    <w:p w:rsidR="0032669B" w:rsidRPr="008D3743" w:rsidRDefault="0032669B" w:rsidP="0032669B">
      <w:pPr>
        <w:widowControl w:val="0"/>
        <w:jc w:val="both"/>
        <w:rPr>
          <w:sz w:val="20"/>
          <w:szCs w:val="20"/>
        </w:rPr>
      </w:pPr>
      <w:r w:rsidRPr="008D3743">
        <w:rPr>
          <w:sz w:val="20"/>
          <w:szCs w:val="20"/>
        </w:rPr>
        <w:t xml:space="preserve">Constitutional law - Courts - Judges - Which Quebec courts are covered by s. 98 of the </w:t>
      </w:r>
      <w:r w:rsidRPr="008D3743">
        <w:rPr>
          <w:i/>
          <w:sz w:val="20"/>
          <w:szCs w:val="20"/>
        </w:rPr>
        <w:t>Constitution Act, 1867</w:t>
      </w:r>
      <w:r w:rsidRPr="008D3743">
        <w:rPr>
          <w:sz w:val="20"/>
          <w:szCs w:val="20"/>
        </w:rPr>
        <w:t xml:space="preserve">? - What conditions for appointing judges to Quebec courts are required under s. 98 of the </w:t>
      </w:r>
      <w:r w:rsidRPr="008D3743">
        <w:rPr>
          <w:i/>
          <w:sz w:val="20"/>
          <w:szCs w:val="20"/>
        </w:rPr>
        <w:t>Constitution Act, 1867</w:t>
      </w:r>
      <w:r w:rsidRPr="008D3743">
        <w:rPr>
          <w:sz w:val="20"/>
          <w:szCs w:val="20"/>
        </w:rPr>
        <w:t>, and does that section allow the appointment of persons who are members of federal courts?</w:t>
      </w:r>
    </w:p>
    <w:p w:rsidR="0032669B" w:rsidRPr="008D3743" w:rsidRDefault="0032669B" w:rsidP="0032669B">
      <w:pPr>
        <w:widowControl w:val="0"/>
        <w:jc w:val="both"/>
        <w:rPr>
          <w:sz w:val="20"/>
          <w:szCs w:val="20"/>
        </w:rPr>
      </w:pPr>
    </w:p>
    <w:p w:rsidR="0032669B" w:rsidRPr="008D3743" w:rsidRDefault="0032669B" w:rsidP="0032669B">
      <w:pPr>
        <w:widowControl w:val="0"/>
        <w:jc w:val="both"/>
        <w:rPr>
          <w:sz w:val="20"/>
          <w:szCs w:val="20"/>
        </w:rPr>
      </w:pPr>
      <w:r w:rsidRPr="008D3743">
        <w:rPr>
          <w:sz w:val="20"/>
          <w:szCs w:val="20"/>
        </w:rPr>
        <w:t xml:space="preserve">On June 13, 2014, the Governor General of Canada appointed the Honourable Justice Robert Mainville to the Court of Appeal of Quebec. Rocco Galati and the Constitutional Rights Centre Inc. sought judicial review of the appointment in the Federal Court, on the basis that as a member of the Federal Court of Appeal, Justice Mainville could not legally be appointed to the Court of Appeal of Quebec in light of s. 98 of the </w:t>
      </w:r>
      <w:r w:rsidRPr="008D3743">
        <w:rPr>
          <w:i/>
          <w:sz w:val="20"/>
          <w:szCs w:val="20"/>
        </w:rPr>
        <w:t>Constitution Act, 1867</w:t>
      </w:r>
      <w:r w:rsidRPr="008D3743">
        <w:rPr>
          <w:sz w:val="20"/>
          <w:szCs w:val="20"/>
        </w:rPr>
        <w:t xml:space="preserve">, which provides that “The Judges of the Courts of Quebec shall be selected from the Bar of that Province”. The Attorney General of Quebec sought the opinion of the Quebec Court of Appeal by way of reference on two questions, which received the following answers: </w:t>
      </w:r>
    </w:p>
    <w:p w:rsidR="0032669B" w:rsidRPr="008D3743" w:rsidRDefault="0032669B" w:rsidP="0032669B">
      <w:pPr>
        <w:widowControl w:val="0"/>
        <w:jc w:val="both"/>
        <w:rPr>
          <w:sz w:val="20"/>
          <w:szCs w:val="20"/>
        </w:rPr>
      </w:pPr>
    </w:p>
    <w:p w:rsidR="0032669B" w:rsidRPr="008D3743" w:rsidRDefault="0032669B" w:rsidP="0032669B">
      <w:pPr>
        <w:widowControl w:val="0"/>
        <w:ind w:left="360"/>
        <w:jc w:val="both"/>
        <w:rPr>
          <w:sz w:val="20"/>
          <w:szCs w:val="20"/>
        </w:rPr>
      </w:pPr>
      <w:r w:rsidRPr="008D3743">
        <w:rPr>
          <w:sz w:val="20"/>
          <w:szCs w:val="20"/>
        </w:rPr>
        <w:t>1.</w:t>
      </w:r>
      <w:r w:rsidRPr="008D3743">
        <w:rPr>
          <w:sz w:val="20"/>
          <w:szCs w:val="20"/>
        </w:rPr>
        <w:tab/>
        <w:t xml:space="preserve">Which Quebec courts are covered by section 98 of the </w:t>
      </w:r>
      <w:r w:rsidRPr="008D3743">
        <w:rPr>
          <w:i/>
          <w:sz w:val="20"/>
          <w:szCs w:val="20"/>
        </w:rPr>
        <w:t>Constitution Act, 1867</w:t>
      </w:r>
      <w:r w:rsidRPr="008D3743">
        <w:rPr>
          <w:sz w:val="20"/>
          <w:szCs w:val="20"/>
        </w:rPr>
        <w:t>?</w:t>
      </w:r>
    </w:p>
    <w:p w:rsidR="0032669B" w:rsidRPr="008D3743" w:rsidRDefault="0032669B" w:rsidP="0032669B">
      <w:pPr>
        <w:widowControl w:val="0"/>
        <w:ind w:left="360"/>
        <w:jc w:val="both"/>
        <w:rPr>
          <w:sz w:val="20"/>
          <w:szCs w:val="20"/>
        </w:rPr>
      </w:pPr>
    </w:p>
    <w:p w:rsidR="0032669B" w:rsidRPr="008D3743" w:rsidRDefault="0032669B" w:rsidP="0032669B">
      <w:pPr>
        <w:widowControl w:val="0"/>
        <w:ind w:left="360"/>
        <w:jc w:val="both"/>
        <w:rPr>
          <w:sz w:val="20"/>
          <w:szCs w:val="20"/>
        </w:rPr>
      </w:pPr>
      <w:r w:rsidRPr="008D3743">
        <w:rPr>
          <w:sz w:val="20"/>
          <w:szCs w:val="20"/>
        </w:rPr>
        <w:t xml:space="preserve">The “Courts of Quebec” contemplated by s. 98 of the </w:t>
      </w:r>
      <w:r w:rsidRPr="008D3743">
        <w:rPr>
          <w:i/>
          <w:sz w:val="20"/>
          <w:szCs w:val="20"/>
        </w:rPr>
        <w:t>Constitution Act, 1867</w:t>
      </w:r>
      <w:r w:rsidRPr="008D3743">
        <w:rPr>
          <w:sz w:val="20"/>
          <w:szCs w:val="20"/>
        </w:rPr>
        <w:t xml:space="preserve"> are those whose judges are appointed by the Governor General, that is, the Court of Appeal of Quebec and the Superior Court of Quebec.</w:t>
      </w:r>
    </w:p>
    <w:p w:rsidR="0032669B" w:rsidRPr="008D3743" w:rsidRDefault="0032669B" w:rsidP="0032669B">
      <w:pPr>
        <w:widowControl w:val="0"/>
        <w:ind w:left="360"/>
        <w:jc w:val="both"/>
        <w:rPr>
          <w:sz w:val="20"/>
          <w:szCs w:val="20"/>
        </w:rPr>
      </w:pPr>
    </w:p>
    <w:p w:rsidR="0032669B" w:rsidRPr="008D3743" w:rsidRDefault="0032669B" w:rsidP="0032669B">
      <w:pPr>
        <w:widowControl w:val="0"/>
        <w:ind w:left="360"/>
        <w:jc w:val="both"/>
        <w:rPr>
          <w:sz w:val="20"/>
          <w:szCs w:val="20"/>
        </w:rPr>
      </w:pPr>
      <w:r w:rsidRPr="008D3743">
        <w:rPr>
          <w:sz w:val="20"/>
          <w:szCs w:val="20"/>
        </w:rPr>
        <w:t>2.</w:t>
      </w:r>
      <w:r w:rsidRPr="008D3743">
        <w:rPr>
          <w:sz w:val="20"/>
          <w:szCs w:val="20"/>
        </w:rPr>
        <w:tab/>
        <w:t xml:space="preserve">What conditions for appointing judges to Quebec courts are required under section 98 of the </w:t>
      </w:r>
      <w:r w:rsidRPr="008D3743">
        <w:rPr>
          <w:i/>
          <w:sz w:val="20"/>
          <w:szCs w:val="20"/>
        </w:rPr>
        <w:t>Constitution Act, 1867</w:t>
      </w:r>
      <w:r w:rsidRPr="008D3743">
        <w:rPr>
          <w:sz w:val="20"/>
          <w:szCs w:val="20"/>
        </w:rPr>
        <w:t xml:space="preserve"> and does that section allow the appointment of persons who are members of federal courts?</w:t>
      </w:r>
    </w:p>
    <w:p w:rsidR="0032669B" w:rsidRPr="008D3743" w:rsidRDefault="0032669B" w:rsidP="0032669B">
      <w:pPr>
        <w:widowControl w:val="0"/>
        <w:ind w:left="360"/>
        <w:jc w:val="both"/>
        <w:rPr>
          <w:sz w:val="20"/>
          <w:szCs w:val="20"/>
        </w:rPr>
      </w:pPr>
    </w:p>
    <w:p w:rsidR="0032669B" w:rsidRPr="008D3743" w:rsidRDefault="0032669B" w:rsidP="0032669B">
      <w:pPr>
        <w:widowControl w:val="0"/>
        <w:ind w:left="360"/>
        <w:jc w:val="both"/>
        <w:rPr>
          <w:sz w:val="20"/>
          <w:szCs w:val="20"/>
        </w:rPr>
      </w:pPr>
      <w:r w:rsidRPr="008D3743">
        <w:rPr>
          <w:sz w:val="20"/>
          <w:szCs w:val="20"/>
        </w:rPr>
        <w:t xml:space="preserve">Section 98 of the </w:t>
      </w:r>
      <w:r w:rsidRPr="008D3743">
        <w:rPr>
          <w:i/>
          <w:sz w:val="20"/>
          <w:szCs w:val="20"/>
        </w:rPr>
        <w:t>Constitution Act, 1867</w:t>
      </w:r>
      <w:r w:rsidRPr="008D3743">
        <w:rPr>
          <w:sz w:val="20"/>
          <w:szCs w:val="20"/>
        </w:rPr>
        <w:t xml:space="preserve"> requires that a person appointed to one of the Courts of Quebec have previously been a member of the Barreau du Québec or be such a member when appointed. Therefore, a judge of the federal courts who was a member of the Barreau du Québec prior to becoming a judge may be appointed to the Court of Appeal or the Superior Court of Quebec.</w:t>
      </w:r>
    </w:p>
    <w:p w:rsidR="0032669B" w:rsidRPr="008D3743" w:rsidRDefault="0032669B" w:rsidP="0032669B">
      <w:pPr>
        <w:widowControl w:val="0"/>
        <w:jc w:val="both"/>
        <w:rPr>
          <w:sz w:val="20"/>
          <w:szCs w:val="20"/>
        </w:rPr>
      </w:pPr>
    </w:p>
    <w:p w:rsidR="0032669B" w:rsidRPr="008D3743" w:rsidRDefault="0032669B" w:rsidP="0032669B">
      <w:pPr>
        <w:widowControl w:val="0"/>
        <w:jc w:val="both"/>
        <w:rPr>
          <w:sz w:val="20"/>
          <w:szCs w:val="20"/>
        </w:rPr>
      </w:pPr>
    </w:p>
    <w:p w:rsidR="0032669B" w:rsidRPr="008D3743" w:rsidRDefault="0032669B" w:rsidP="0032669B">
      <w:pPr>
        <w:widowControl w:val="0"/>
        <w:ind w:left="2880" w:hanging="2880"/>
        <w:jc w:val="both"/>
        <w:rPr>
          <w:sz w:val="20"/>
          <w:szCs w:val="20"/>
        </w:rPr>
      </w:pPr>
      <w:r w:rsidRPr="008D3743">
        <w:rPr>
          <w:sz w:val="20"/>
          <w:szCs w:val="20"/>
        </w:rPr>
        <w:t>Origin of the case:</w:t>
      </w:r>
      <w:r w:rsidRPr="008D3743">
        <w:rPr>
          <w:sz w:val="20"/>
          <w:szCs w:val="20"/>
        </w:rPr>
        <w:tab/>
        <w:t>Quebec</w:t>
      </w:r>
    </w:p>
    <w:p w:rsidR="0032669B" w:rsidRPr="008D3743" w:rsidRDefault="0032669B" w:rsidP="0032669B">
      <w:pPr>
        <w:widowControl w:val="0"/>
        <w:ind w:left="2880" w:hanging="2880"/>
        <w:jc w:val="both"/>
        <w:rPr>
          <w:sz w:val="20"/>
          <w:szCs w:val="20"/>
        </w:rPr>
      </w:pPr>
    </w:p>
    <w:p w:rsidR="0032669B" w:rsidRPr="008D3743" w:rsidRDefault="0032669B" w:rsidP="0032669B">
      <w:pPr>
        <w:widowControl w:val="0"/>
        <w:ind w:left="2880" w:hanging="2880"/>
        <w:jc w:val="both"/>
        <w:rPr>
          <w:sz w:val="20"/>
          <w:szCs w:val="20"/>
        </w:rPr>
      </w:pPr>
      <w:r w:rsidRPr="008D3743">
        <w:rPr>
          <w:sz w:val="20"/>
          <w:szCs w:val="20"/>
        </w:rPr>
        <w:t>File No.:</w:t>
      </w:r>
      <w:r w:rsidRPr="008D3743">
        <w:rPr>
          <w:sz w:val="20"/>
          <w:szCs w:val="20"/>
        </w:rPr>
        <w:tab/>
        <w:t>36231</w:t>
      </w:r>
    </w:p>
    <w:p w:rsidR="0032669B" w:rsidRPr="008D3743" w:rsidRDefault="0032669B" w:rsidP="0032669B">
      <w:pPr>
        <w:widowControl w:val="0"/>
        <w:ind w:left="2880" w:hanging="2880"/>
        <w:jc w:val="both"/>
        <w:rPr>
          <w:sz w:val="20"/>
          <w:szCs w:val="20"/>
        </w:rPr>
      </w:pPr>
    </w:p>
    <w:p w:rsidR="0032669B" w:rsidRPr="008D3743" w:rsidRDefault="0032669B" w:rsidP="0032669B">
      <w:pPr>
        <w:widowControl w:val="0"/>
        <w:ind w:left="2880" w:hanging="2880"/>
        <w:jc w:val="both"/>
        <w:rPr>
          <w:sz w:val="20"/>
          <w:szCs w:val="20"/>
        </w:rPr>
      </w:pPr>
      <w:r w:rsidRPr="008D3743">
        <w:rPr>
          <w:sz w:val="20"/>
          <w:szCs w:val="20"/>
        </w:rPr>
        <w:t>Judgment of the Court of Appeal:</w:t>
      </w:r>
      <w:r w:rsidRPr="008D3743">
        <w:rPr>
          <w:sz w:val="20"/>
          <w:szCs w:val="20"/>
        </w:rPr>
        <w:tab/>
        <w:t>December 23, 2014</w:t>
      </w:r>
    </w:p>
    <w:p w:rsidR="0032669B" w:rsidRPr="008D3743" w:rsidRDefault="0032669B" w:rsidP="0032669B">
      <w:pPr>
        <w:widowControl w:val="0"/>
        <w:ind w:left="2880" w:hanging="2880"/>
        <w:jc w:val="both"/>
        <w:rPr>
          <w:sz w:val="20"/>
          <w:szCs w:val="20"/>
        </w:rPr>
      </w:pPr>
    </w:p>
    <w:p w:rsidR="0032669B" w:rsidRPr="008D3743" w:rsidRDefault="0032669B" w:rsidP="0032669B">
      <w:pPr>
        <w:widowControl w:val="0"/>
        <w:ind w:left="2880" w:hanging="2880"/>
        <w:jc w:val="both"/>
        <w:rPr>
          <w:sz w:val="20"/>
          <w:szCs w:val="20"/>
        </w:rPr>
      </w:pPr>
      <w:r w:rsidRPr="008D3743">
        <w:rPr>
          <w:sz w:val="20"/>
          <w:szCs w:val="20"/>
        </w:rPr>
        <w:t>Counsel:</w:t>
      </w:r>
      <w:r w:rsidRPr="008D3743">
        <w:rPr>
          <w:sz w:val="20"/>
          <w:szCs w:val="20"/>
        </w:rPr>
        <w:tab/>
        <w:t>Jean-Yves Bernard and Francis Demers for the Attorney General of Quebec</w:t>
      </w:r>
    </w:p>
    <w:p w:rsidR="0032669B" w:rsidRPr="008D3743" w:rsidRDefault="0032669B" w:rsidP="0032669B">
      <w:pPr>
        <w:widowControl w:val="0"/>
        <w:ind w:left="2880" w:hanging="2880"/>
        <w:jc w:val="both"/>
        <w:rPr>
          <w:sz w:val="20"/>
          <w:szCs w:val="20"/>
        </w:rPr>
      </w:pPr>
      <w:r w:rsidRPr="008D3743">
        <w:rPr>
          <w:sz w:val="20"/>
          <w:szCs w:val="20"/>
        </w:rPr>
        <w:tab/>
        <w:t>Paul Slansky for the Constitutional Rights Centre Inc.</w:t>
      </w:r>
    </w:p>
    <w:p w:rsidR="0032669B" w:rsidRPr="008D3743" w:rsidRDefault="0032669B" w:rsidP="0032669B">
      <w:pPr>
        <w:widowControl w:val="0"/>
        <w:ind w:left="2880" w:hanging="2880"/>
        <w:jc w:val="both"/>
        <w:rPr>
          <w:sz w:val="20"/>
          <w:szCs w:val="20"/>
        </w:rPr>
      </w:pPr>
      <w:r w:rsidRPr="008D3743">
        <w:rPr>
          <w:sz w:val="20"/>
          <w:szCs w:val="20"/>
        </w:rPr>
        <w:tab/>
        <w:t>Rocco Galati, for himself</w:t>
      </w:r>
    </w:p>
    <w:p w:rsidR="0032669B" w:rsidRPr="008D3743" w:rsidRDefault="0032669B" w:rsidP="0032669B">
      <w:pPr>
        <w:widowControl w:val="0"/>
        <w:ind w:left="2880" w:hanging="2880"/>
        <w:jc w:val="both"/>
        <w:rPr>
          <w:sz w:val="20"/>
          <w:szCs w:val="20"/>
        </w:rPr>
      </w:pPr>
      <w:r w:rsidRPr="008D3743">
        <w:rPr>
          <w:sz w:val="20"/>
          <w:szCs w:val="20"/>
        </w:rPr>
        <w:tab/>
        <w:t>Alexander Pless, for the Attorney General of Canada</w:t>
      </w:r>
    </w:p>
    <w:p w:rsidR="0032669B" w:rsidRPr="008D3743" w:rsidRDefault="0032669B" w:rsidP="0032669B">
      <w:pPr>
        <w:widowControl w:val="0"/>
        <w:ind w:left="2880" w:hanging="2880"/>
        <w:jc w:val="both"/>
        <w:rPr>
          <w:sz w:val="20"/>
          <w:szCs w:val="20"/>
        </w:rPr>
      </w:pPr>
      <w:r w:rsidRPr="008D3743">
        <w:rPr>
          <w:sz w:val="20"/>
          <w:szCs w:val="20"/>
        </w:rPr>
        <w:tab/>
        <w:t>Sébastien Grammond, for the Association of Provincial Court Judges</w:t>
      </w:r>
    </w:p>
    <w:p w:rsidR="0032669B" w:rsidRPr="008D3743" w:rsidRDefault="0032669B" w:rsidP="0032669B">
      <w:pPr>
        <w:widowControl w:val="0"/>
        <w:ind w:left="2880" w:hanging="2880"/>
        <w:jc w:val="both"/>
        <w:rPr>
          <w:sz w:val="20"/>
          <w:szCs w:val="20"/>
        </w:rPr>
      </w:pPr>
      <w:r w:rsidRPr="008D3743">
        <w:rPr>
          <w:sz w:val="20"/>
          <w:szCs w:val="20"/>
        </w:rPr>
        <w:tab/>
        <w:t>James A. O’Reilly, for the Grand Council of Cree (Eeyou Istchee) and the Cree Nation Government</w:t>
      </w:r>
    </w:p>
    <w:p w:rsidR="008E5188" w:rsidRPr="0032669B" w:rsidRDefault="008E5188" w:rsidP="008E5188">
      <w:pPr>
        <w:tabs>
          <w:tab w:val="left" w:pos="-1440"/>
          <w:tab w:val="left" w:pos="-720"/>
        </w:tabs>
        <w:jc w:val="both"/>
        <w:rPr>
          <w:sz w:val="20"/>
          <w:szCs w:val="20"/>
        </w:rPr>
      </w:pPr>
    </w:p>
    <w:p w:rsidR="008E5188" w:rsidRDefault="009C5A48" w:rsidP="008E5188">
      <w:pPr>
        <w:tabs>
          <w:tab w:val="left" w:pos="-1440"/>
          <w:tab w:val="left" w:pos="-720"/>
        </w:tabs>
        <w:jc w:val="both"/>
        <w:rPr>
          <w:sz w:val="20"/>
          <w:szCs w:val="20"/>
          <w:lang w:val="fr-CA"/>
        </w:rPr>
      </w:pPr>
      <w:r>
        <w:rPr>
          <w:sz w:val="20"/>
          <w:szCs w:val="20"/>
          <w:lang w:val="fr-CA"/>
        </w:rPr>
        <w:pict>
          <v:rect id="_x0000_i1066"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pPr>
        <w:rPr>
          <w:sz w:val="20"/>
          <w:szCs w:val="20"/>
          <w:lang w:val="fr-CA"/>
        </w:rPr>
      </w:pPr>
      <w:r>
        <w:rPr>
          <w:sz w:val="20"/>
          <w:szCs w:val="20"/>
          <w:lang w:val="fr-CA"/>
        </w:rPr>
        <w:br w:type="page"/>
      </w:r>
    </w:p>
    <w:p w:rsidR="0032669B" w:rsidRPr="00E031CF" w:rsidRDefault="009E55C9" w:rsidP="0032669B">
      <w:pPr>
        <w:widowControl w:val="0"/>
        <w:ind w:left="720" w:hanging="720"/>
        <w:jc w:val="both"/>
        <w:rPr>
          <w:sz w:val="20"/>
          <w:szCs w:val="20"/>
          <w:lang w:val="fr-CA"/>
        </w:rPr>
      </w:pPr>
      <w:r w:rsidRPr="00E031CF">
        <w:rPr>
          <w:b/>
          <w:sz w:val="20"/>
          <w:szCs w:val="20"/>
          <w:lang w:val="fr-CA"/>
        </w:rPr>
        <w:lastRenderedPageBreak/>
        <w:fldChar w:fldCharType="begin"/>
      </w:r>
      <w:r w:rsidR="0032669B" w:rsidRPr="00E031CF">
        <w:rPr>
          <w:b/>
          <w:sz w:val="20"/>
          <w:szCs w:val="20"/>
          <w:lang w:val="fr-CA"/>
        </w:rPr>
        <w:instrText xml:space="preserve"> SEQ CHAPTER \h \r 1</w:instrText>
      </w:r>
      <w:r w:rsidRPr="00E031CF">
        <w:rPr>
          <w:b/>
          <w:sz w:val="20"/>
          <w:szCs w:val="20"/>
          <w:lang w:val="fr-CA"/>
        </w:rPr>
        <w:fldChar w:fldCharType="end"/>
      </w:r>
      <w:r w:rsidR="0032669B" w:rsidRPr="00E031CF">
        <w:rPr>
          <w:b/>
          <w:sz w:val="20"/>
          <w:szCs w:val="20"/>
          <w:lang w:val="fr-CA"/>
        </w:rPr>
        <w:t>36231</w:t>
      </w:r>
      <w:r w:rsidR="0032669B" w:rsidRPr="00E031CF">
        <w:rPr>
          <w:sz w:val="20"/>
          <w:szCs w:val="20"/>
          <w:lang w:val="fr-CA"/>
        </w:rPr>
        <w:tab/>
      </w:r>
      <w:r w:rsidR="0032669B" w:rsidRPr="00E031CF">
        <w:rPr>
          <w:b/>
          <w:i/>
          <w:sz w:val="20"/>
          <w:szCs w:val="20"/>
          <w:lang w:val="fr-CA"/>
        </w:rPr>
        <w:t>Procureur</w:t>
      </w:r>
      <w:r w:rsidR="00EF277E">
        <w:rPr>
          <w:b/>
          <w:i/>
          <w:sz w:val="20"/>
          <w:szCs w:val="20"/>
          <w:lang w:val="fr-CA"/>
        </w:rPr>
        <w:t>e</w:t>
      </w:r>
      <w:r w:rsidR="0032669B" w:rsidRPr="00E031CF">
        <w:rPr>
          <w:b/>
          <w:i/>
          <w:sz w:val="20"/>
          <w:szCs w:val="20"/>
          <w:lang w:val="fr-CA"/>
        </w:rPr>
        <w:t xml:space="preserve"> général</w:t>
      </w:r>
      <w:r w:rsidR="00EF277E">
        <w:rPr>
          <w:b/>
          <w:i/>
          <w:sz w:val="20"/>
          <w:szCs w:val="20"/>
          <w:lang w:val="fr-CA"/>
        </w:rPr>
        <w:t>e</w:t>
      </w:r>
      <w:r w:rsidR="0032669B" w:rsidRPr="00E031CF">
        <w:rPr>
          <w:b/>
          <w:i/>
          <w:sz w:val="20"/>
          <w:szCs w:val="20"/>
          <w:lang w:val="fr-CA"/>
        </w:rPr>
        <w:t xml:space="preserve"> du Québec et a</w:t>
      </w:r>
      <w:r w:rsidR="00B70227">
        <w:rPr>
          <w:b/>
          <w:i/>
          <w:sz w:val="20"/>
          <w:szCs w:val="20"/>
          <w:lang w:val="fr-CA"/>
        </w:rPr>
        <w:t>utres</w:t>
      </w:r>
      <w:r w:rsidR="0032669B" w:rsidRPr="00E031CF">
        <w:rPr>
          <w:b/>
          <w:i/>
          <w:sz w:val="20"/>
          <w:szCs w:val="20"/>
          <w:lang w:val="fr-CA"/>
        </w:rPr>
        <w:t xml:space="preserve"> c. Procureur général du Canada</w:t>
      </w:r>
    </w:p>
    <w:p w:rsidR="0032669B" w:rsidRPr="00E031CF" w:rsidRDefault="0032669B" w:rsidP="0032669B">
      <w:pPr>
        <w:widowControl w:val="0"/>
        <w:jc w:val="both"/>
        <w:rPr>
          <w:sz w:val="20"/>
          <w:szCs w:val="20"/>
          <w:lang w:val="fr-CA"/>
        </w:rPr>
      </w:pPr>
    </w:p>
    <w:p w:rsidR="0032669B" w:rsidRPr="00E031CF" w:rsidRDefault="0032669B" w:rsidP="0032669B">
      <w:pPr>
        <w:widowControl w:val="0"/>
        <w:jc w:val="both"/>
        <w:rPr>
          <w:sz w:val="20"/>
          <w:szCs w:val="20"/>
          <w:lang w:val="fr-CA"/>
        </w:rPr>
      </w:pPr>
      <w:r w:rsidRPr="00E031CF">
        <w:rPr>
          <w:sz w:val="20"/>
          <w:szCs w:val="20"/>
          <w:lang w:val="fr-CA"/>
        </w:rPr>
        <w:t xml:space="preserve">Droit constitutionnel - Tribunaux - Juges - Quelles sont les cours du Québec visées par l’article 98 de la </w:t>
      </w:r>
      <w:r w:rsidRPr="00E031CF">
        <w:rPr>
          <w:i/>
          <w:iCs/>
          <w:sz w:val="20"/>
          <w:szCs w:val="20"/>
          <w:lang w:val="fr-CA"/>
        </w:rPr>
        <w:t>Loi constitutionnelle de 1867</w:t>
      </w:r>
      <w:r w:rsidRPr="00E031CF">
        <w:rPr>
          <w:sz w:val="20"/>
          <w:szCs w:val="20"/>
          <w:lang w:val="fr-CA"/>
        </w:rPr>
        <w:t>? - Quelles sont les conditions de nomination des juges des cours du Québec requises par l’article 98 de la </w:t>
      </w:r>
      <w:r w:rsidRPr="00E031CF">
        <w:rPr>
          <w:i/>
          <w:iCs/>
          <w:sz w:val="20"/>
          <w:szCs w:val="20"/>
          <w:lang w:val="fr-CA"/>
        </w:rPr>
        <w:t xml:space="preserve">Loi constitutionnelle de 1867 </w:t>
      </w:r>
      <w:r w:rsidRPr="00E031CF">
        <w:rPr>
          <w:sz w:val="20"/>
          <w:szCs w:val="20"/>
          <w:lang w:val="fr-CA"/>
        </w:rPr>
        <w:t>et cet article permet-il la nomination de personnes qui sont membres des cours fédérales?</w:t>
      </w:r>
    </w:p>
    <w:p w:rsidR="0032669B" w:rsidRPr="00E031CF" w:rsidRDefault="0032669B" w:rsidP="0032669B">
      <w:pPr>
        <w:widowControl w:val="0"/>
        <w:jc w:val="both"/>
        <w:rPr>
          <w:sz w:val="20"/>
          <w:szCs w:val="20"/>
          <w:lang w:val="fr-CA"/>
        </w:rPr>
      </w:pPr>
    </w:p>
    <w:p w:rsidR="0032669B" w:rsidRPr="00E031CF" w:rsidRDefault="0032669B" w:rsidP="0032669B">
      <w:pPr>
        <w:widowControl w:val="0"/>
        <w:jc w:val="both"/>
        <w:rPr>
          <w:sz w:val="20"/>
          <w:szCs w:val="20"/>
          <w:lang w:val="fr-CA"/>
        </w:rPr>
      </w:pPr>
      <w:r w:rsidRPr="00E031CF">
        <w:rPr>
          <w:sz w:val="20"/>
          <w:szCs w:val="20"/>
          <w:lang w:val="fr-CA"/>
        </w:rPr>
        <w:t xml:space="preserve">Le 13 juin 2014, le gouverneur général du Canada nommait l’honorable Robert Mainville à la Cour d’appel du Québec. Rocco Galati et Constitutional Rights Centre Inc. ont demandé en Cour fédérale le contrôle judiciaire de la nomination, plaidant que le juge Mainville, en tant que membre de la Cour d’appel fédérale, ne pouvait pas légalement être nommé à la Cour d’appel du Québec vu l’art. 98 de la </w:t>
      </w:r>
      <w:r w:rsidRPr="00E031CF">
        <w:rPr>
          <w:i/>
          <w:sz w:val="20"/>
          <w:szCs w:val="20"/>
          <w:lang w:val="fr-CA"/>
        </w:rPr>
        <w:t>Loi constitutionnelle de 1867</w:t>
      </w:r>
      <w:r w:rsidRPr="00E031CF">
        <w:rPr>
          <w:sz w:val="20"/>
          <w:szCs w:val="20"/>
          <w:lang w:val="fr-CA"/>
        </w:rPr>
        <w:t>, qui prévoit que « [l]es juges des cours de Québec seront choisis parmi les membres du barreau de cette province ». L</w:t>
      </w:r>
      <w:r w:rsidR="00EF277E">
        <w:rPr>
          <w:sz w:val="20"/>
          <w:szCs w:val="20"/>
          <w:lang w:val="fr-CA"/>
        </w:rPr>
        <w:t>a</w:t>
      </w:r>
      <w:r w:rsidRPr="00E031CF">
        <w:rPr>
          <w:sz w:val="20"/>
          <w:szCs w:val="20"/>
          <w:lang w:val="fr-CA"/>
        </w:rPr>
        <w:t xml:space="preserve"> procureur</w:t>
      </w:r>
      <w:r w:rsidR="00EF277E">
        <w:rPr>
          <w:sz w:val="20"/>
          <w:szCs w:val="20"/>
          <w:lang w:val="fr-CA"/>
        </w:rPr>
        <w:t>e</w:t>
      </w:r>
      <w:r w:rsidRPr="00E031CF">
        <w:rPr>
          <w:sz w:val="20"/>
          <w:szCs w:val="20"/>
          <w:lang w:val="fr-CA"/>
        </w:rPr>
        <w:t xml:space="preserve"> général</w:t>
      </w:r>
      <w:r w:rsidR="00EF277E">
        <w:rPr>
          <w:sz w:val="20"/>
          <w:szCs w:val="20"/>
          <w:lang w:val="fr-CA"/>
        </w:rPr>
        <w:t>e</w:t>
      </w:r>
      <w:r w:rsidRPr="00E031CF">
        <w:rPr>
          <w:sz w:val="20"/>
          <w:szCs w:val="20"/>
          <w:lang w:val="fr-CA"/>
        </w:rPr>
        <w:t xml:space="preserve"> du Québec a sollicité par renvoi l’avis de la Cour d’appel du Québec sur deux questions, auxquelles la Cour a donné les réponses suivantes : </w:t>
      </w:r>
    </w:p>
    <w:p w:rsidR="0032669B" w:rsidRPr="00E031CF" w:rsidRDefault="0032669B" w:rsidP="0032669B">
      <w:pPr>
        <w:widowControl w:val="0"/>
        <w:jc w:val="both"/>
        <w:rPr>
          <w:sz w:val="20"/>
          <w:szCs w:val="20"/>
          <w:lang w:val="fr-CA"/>
        </w:rPr>
      </w:pPr>
    </w:p>
    <w:p w:rsidR="0032669B" w:rsidRPr="00E031CF" w:rsidRDefault="0032669B" w:rsidP="0032669B">
      <w:pPr>
        <w:widowControl w:val="0"/>
        <w:ind w:left="360"/>
        <w:jc w:val="both"/>
        <w:rPr>
          <w:sz w:val="20"/>
          <w:szCs w:val="20"/>
          <w:lang w:val="fr-CA"/>
        </w:rPr>
      </w:pPr>
      <w:r w:rsidRPr="00E031CF">
        <w:rPr>
          <w:sz w:val="20"/>
          <w:szCs w:val="20"/>
          <w:lang w:val="fr-CA"/>
        </w:rPr>
        <w:t>1.</w:t>
      </w:r>
      <w:r w:rsidRPr="00E031CF">
        <w:rPr>
          <w:sz w:val="20"/>
          <w:szCs w:val="20"/>
          <w:lang w:val="fr-CA"/>
        </w:rPr>
        <w:tab/>
        <w:t>Quelles sont les cours du Québec visées par l’article 98 de la </w:t>
      </w:r>
      <w:r w:rsidRPr="00E031CF">
        <w:rPr>
          <w:i/>
          <w:iCs/>
          <w:sz w:val="20"/>
          <w:szCs w:val="20"/>
          <w:lang w:val="fr-CA"/>
        </w:rPr>
        <w:t>Loi constitutionnelle de 1867</w:t>
      </w:r>
      <w:r w:rsidRPr="00E031CF">
        <w:rPr>
          <w:sz w:val="20"/>
          <w:szCs w:val="20"/>
          <w:lang w:val="fr-CA"/>
        </w:rPr>
        <w:t>?</w:t>
      </w:r>
    </w:p>
    <w:p w:rsidR="0032669B" w:rsidRPr="00E031CF" w:rsidRDefault="0032669B" w:rsidP="0032669B">
      <w:pPr>
        <w:widowControl w:val="0"/>
        <w:ind w:left="360"/>
        <w:jc w:val="both"/>
        <w:rPr>
          <w:sz w:val="20"/>
          <w:szCs w:val="20"/>
          <w:lang w:val="fr-CA"/>
        </w:rPr>
      </w:pPr>
    </w:p>
    <w:p w:rsidR="0032669B" w:rsidRPr="00E031CF" w:rsidRDefault="0032669B" w:rsidP="0032669B">
      <w:pPr>
        <w:widowControl w:val="0"/>
        <w:ind w:left="360"/>
        <w:jc w:val="both"/>
        <w:rPr>
          <w:sz w:val="20"/>
          <w:szCs w:val="20"/>
          <w:lang w:val="fr-CA"/>
        </w:rPr>
      </w:pPr>
      <w:r w:rsidRPr="00E031CF">
        <w:rPr>
          <w:sz w:val="20"/>
          <w:szCs w:val="20"/>
          <w:lang w:val="fr-CA"/>
        </w:rPr>
        <w:t>Les cours du Québec visées par l’article 98 de la </w:t>
      </w:r>
      <w:r w:rsidRPr="00E031CF">
        <w:rPr>
          <w:i/>
          <w:iCs/>
          <w:sz w:val="20"/>
          <w:szCs w:val="20"/>
          <w:lang w:val="fr-CA"/>
        </w:rPr>
        <w:t>Loi constitutionnelle de 1867 </w:t>
      </w:r>
      <w:r w:rsidRPr="00E031CF">
        <w:rPr>
          <w:sz w:val="20"/>
          <w:szCs w:val="20"/>
          <w:lang w:val="fr-CA"/>
        </w:rPr>
        <w:t>sont celles dont les juges sont nommés par le gouverneur général, soit la Cour d’appel du Québec et la Cour supérieure du Québec.</w:t>
      </w:r>
    </w:p>
    <w:p w:rsidR="0032669B" w:rsidRPr="00E031CF" w:rsidRDefault="0032669B" w:rsidP="0032669B">
      <w:pPr>
        <w:widowControl w:val="0"/>
        <w:ind w:left="360"/>
        <w:jc w:val="both"/>
        <w:rPr>
          <w:sz w:val="20"/>
          <w:szCs w:val="20"/>
          <w:lang w:val="fr-CA"/>
        </w:rPr>
      </w:pPr>
    </w:p>
    <w:p w:rsidR="0032669B" w:rsidRPr="00E031CF" w:rsidRDefault="0032669B" w:rsidP="0032669B">
      <w:pPr>
        <w:widowControl w:val="0"/>
        <w:ind w:left="360"/>
        <w:jc w:val="both"/>
        <w:rPr>
          <w:sz w:val="20"/>
          <w:szCs w:val="20"/>
          <w:lang w:val="fr-CA"/>
        </w:rPr>
      </w:pPr>
      <w:r w:rsidRPr="00E031CF">
        <w:rPr>
          <w:sz w:val="20"/>
          <w:szCs w:val="20"/>
          <w:lang w:val="fr-CA"/>
        </w:rPr>
        <w:t>2.</w:t>
      </w:r>
      <w:r w:rsidRPr="00E031CF">
        <w:rPr>
          <w:sz w:val="20"/>
          <w:szCs w:val="20"/>
          <w:lang w:val="fr-CA"/>
        </w:rPr>
        <w:tab/>
        <w:t>Quelles sont les conditions de nomination des juges des cours du Québec requises par l’article 98 de la </w:t>
      </w:r>
      <w:r w:rsidRPr="00E031CF">
        <w:rPr>
          <w:i/>
          <w:iCs/>
          <w:sz w:val="20"/>
          <w:szCs w:val="20"/>
          <w:lang w:val="fr-CA"/>
        </w:rPr>
        <w:t xml:space="preserve">Loi constitutionnelle de 1867 </w:t>
      </w:r>
      <w:r w:rsidRPr="00E031CF">
        <w:rPr>
          <w:sz w:val="20"/>
          <w:szCs w:val="20"/>
          <w:lang w:val="fr-CA"/>
        </w:rPr>
        <w:t>et cet article permet-il la nomination de personnes qui sont membres des cours fédérales?</w:t>
      </w:r>
    </w:p>
    <w:p w:rsidR="0032669B" w:rsidRPr="00E031CF" w:rsidRDefault="0032669B" w:rsidP="0032669B">
      <w:pPr>
        <w:widowControl w:val="0"/>
        <w:ind w:left="360"/>
        <w:jc w:val="both"/>
        <w:rPr>
          <w:sz w:val="20"/>
          <w:szCs w:val="20"/>
          <w:lang w:val="fr-CA"/>
        </w:rPr>
      </w:pPr>
    </w:p>
    <w:p w:rsidR="0032669B" w:rsidRPr="00E031CF" w:rsidRDefault="0032669B" w:rsidP="0032669B">
      <w:pPr>
        <w:widowControl w:val="0"/>
        <w:ind w:left="360"/>
        <w:jc w:val="both"/>
        <w:rPr>
          <w:sz w:val="20"/>
          <w:szCs w:val="20"/>
          <w:lang w:val="fr-CA"/>
        </w:rPr>
      </w:pPr>
      <w:r w:rsidRPr="00E031CF">
        <w:rPr>
          <w:sz w:val="20"/>
          <w:szCs w:val="20"/>
          <w:lang w:val="fr-CA"/>
        </w:rPr>
        <w:t>L’article 98 de la </w:t>
      </w:r>
      <w:r w:rsidRPr="00E031CF">
        <w:rPr>
          <w:i/>
          <w:iCs/>
          <w:sz w:val="20"/>
          <w:szCs w:val="20"/>
          <w:lang w:val="fr-CA"/>
        </w:rPr>
        <w:t>Loi constitutionnelle de 1867</w:t>
      </w:r>
      <w:r w:rsidRPr="00E031CF">
        <w:rPr>
          <w:sz w:val="20"/>
          <w:szCs w:val="20"/>
          <w:lang w:val="fr-CA"/>
        </w:rPr>
        <w:t xml:space="preserve"> exige qu’une personne nommée à l’une des cours du Québec ait été membre du Barreau du Québec dans le passé ou le soit au moment de sa nomination. Il s’ensuit qu’un juge des Cours fédérales qui était membre du Barreau du Québec avant son accession à la magistrature peut être nommé à la Cour d’appel du Québec ou à la Cour supérieure du Québec.</w:t>
      </w:r>
    </w:p>
    <w:p w:rsidR="0032669B" w:rsidRPr="00E031CF" w:rsidRDefault="0032669B" w:rsidP="0032669B">
      <w:pPr>
        <w:widowControl w:val="0"/>
        <w:jc w:val="both"/>
        <w:rPr>
          <w:sz w:val="20"/>
          <w:szCs w:val="20"/>
          <w:lang w:val="fr-CA"/>
        </w:rPr>
      </w:pPr>
    </w:p>
    <w:p w:rsidR="0032669B" w:rsidRPr="00E031CF" w:rsidRDefault="0032669B" w:rsidP="0032669B">
      <w:pPr>
        <w:widowControl w:val="0"/>
        <w:jc w:val="both"/>
        <w:rPr>
          <w:sz w:val="20"/>
          <w:szCs w:val="20"/>
          <w:lang w:val="fr-CA"/>
        </w:rPr>
      </w:pPr>
    </w:p>
    <w:p w:rsidR="0032669B" w:rsidRPr="00E031CF" w:rsidRDefault="0032669B" w:rsidP="00B70227">
      <w:pPr>
        <w:widowControl w:val="0"/>
        <w:ind w:left="2880" w:hanging="2880"/>
        <w:jc w:val="both"/>
        <w:rPr>
          <w:sz w:val="20"/>
          <w:szCs w:val="20"/>
          <w:lang w:val="fr-CA"/>
        </w:rPr>
      </w:pPr>
      <w:r w:rsidRPr="00E031CF">
        <w:rPr>
          <w:sz w:val="20"/>
          <w:szCs w:val="20"/>
          <w:lang w:val="fr-CA"/>
        </w:rPr>
        <w:t>Origine :</w:t>
      </w:r>
      <w:r w:rsidRPr="00E031CF">
        <w:rPr>
          <w:sz w:val="20"/>
          <w:szCs w:val="20"/>
          <w:lang w:val="fr-CA"/>
        </w:rPr>
        <w:tab/>
        <w:t>Québec</w:t>
      </w:r>
    </w:p>
    <w:p w:rsidR="0032669B" w:rsidRPr="00E031CF" w:rsidRDefault="0032669B" w:rsidP="00B70227">
      <w:pPr>
        <w:widowControl w:val="0"/>
        <w:ind w:left="2880" w:hanging="2880"/>
        <w:jc w:val="both"/>
        <w:rPr>
          <w:sz w:val="20"/>
          <w:szCs w:val="20"/>
          <w:lang w:val="fr-CA"/>
        </w:rPr>
      </w:pPr>
    </w:p>
    <w:p w:rsidR="0032669B" w:rsidRPr="00E031CF" w:rsidRDefault="0032669B" w:rsidP="00B70227">
      <w:pPr>
        <w:widowControl w:val="0"/>
        <w:ind w:left="2880" w:hanging="2880"/>
        <w:jc w:val="both"/>
        <w:rPr>
          <w:sz w:val="20"/>
          <w:szCs w:val="20"/>
          <w:lang w:val="fr-CA"/>
        </w:rPr>
      </w:pPr>
      <w:r w:rsidRPr="00E031CF">
        <w:rPr>
          <w:sz w:val="20"/>
          <w:szCs w:val="20"/>
          <w:lang w:val="fr-CA"/>
        </w:rPr>
        <w:t>N</w:t>
      </w:r>
      <w:r w:rsidRPr="00E031CF">
        <w:rPr>
          <w:sz w:val="20"/>
          <w:szCs w:val="20"/>
          <w:vertAlign w:val="superscript"/>
          <w:lang w:val="fr-CA"/>
        </w:rPr>
        <w:t>o</w:t>
      </w:r>
      <w:r w:rsidRPr="00E031CF">
        <w:rPr>
          <w:sz w:val="20"/>
          <w:szCs w:val="20"/>
          <w:lang w:val="fr-CA"/>
        </w:rPr>
        <w:t xml:space="preserve"> du greffe :</w:t>
      </w:r>
      <w:r w:rsidRPr="00E031CF">
        <w:rPr>
          <w:sz w:val="20"/>
          <w:szCs w:val="20"/>
          <w:lang w:val="fr-CA"/>
        </w:rPr>
        <w:tab/>
        <w:t>36231</w:t>
      </w:r>
    </w:p>
    <w:p w:rsidR="0032669B" w:rsidRPr="00E031CF" w:rsidRDefault="0032669B" w:rsidP="00B70227">
      <w:pPr>
        <w:widowControl w:val="0"/>
        <w:ind w:left="2880" w:hanging="2880"/>
        <w:jc w:val="both"/>
        <w:rPr>
          <w:sz w:val="20"/>
          <w:szCs w:val="20"/>
          <w:lang w:val="fr-CA"/>
        </w:rPr>
      </w:pPr>
    </w:p>
    <w:p w:rsidR="0032669B" w:rsidRPr="00E031CF" w:rsidRDefault="0032669B" w:rsidP="00B70227">
      <w:pPr>
        <w:widowControl w:val="0"/>
        <w:ind w:left="2880" w:hanging="2880"/>
        <w:jc w:val="both"/>
        <w:rPr>
          <w:sz w:val="20"/>
          <w:szCs w:val="20"/>
          <w:lang w:val="fr-CA"/>
        </w:rPr>
      </w:pPr>
      <w:r w:rsidRPr="00E031CF">
        <w:rPr>
          <w:sz w:val="20"/>
          <w:szCs w:val="20"/>
          <w:lang w:val="fr-CA"/>
        </w:rPr>
        <w:t>Arrêt de la Cour d’appel :</w:t>
      </w:r>
      <w:r w:rsidRPr="00E031CF">
        <w:rPr>
          <w:sz w:val="20"/>
          <w:szCs w:val="20"/>
          <w:lang w:val="fr-CA"/>
        </w:rPr>
        <w:tab/>
        <w:t>le 23 décembre 2014</w:t>
      </w:r>
    </w:p>
    <w:p w:rsidR="0032669B" w:rsidRPr="00E031CF" w:rsidRDefault="0032669B" w:rsidP="00B70227">
      <w:pPr>
        <w:widowControl w:val="0"/>
        <w:ind w:left="2880" w:hanging="2880"/>
        <w:jc w:val="both"/>
        <w:rPr>
          <w:sz w:val="20"/>
          <w:szCs w:val="20"/>
          <w:lang w:val="fr-CA"/>
        </w:rPr>
      </w:pPr>
    </w:p>
    <w:p w:rsidR="0032669B" w:rsidRPr="00E031CF" w:rsidRDefault="0032669B" w:rsidP="00B70227">
      <w:pPr>
        <w:widowControl w:val="0"/>
        <w:ind w:left="2880" w:hanging="2880"/>
        <w:jc w:val="both"/>
        <w:rPr>
          <w:sz w:val="20"/>
          <w:szCs w:val="20"/>
          <w:lang w:val="fr-CA"/>
        </w:rPr>
      </w:pPr>
      <w:r w:rsidRPr="00E031CF">
        <w:rPr>
          <w:sz w:val="20"/>
          <w:szCs w:val="20"/>
          <w:lang w:val="fr-CA"/>
        </w:rPr>
        <w:t>Avocats :</w:t>
      </w:r>
      <w:r w:rsidRPr="00E031CF">
        <w:rPr>
          <w:sz w:val="20"/>
          <w:szCs w:val="20"/>
          <w:lang w:val="fr-CA"/>
        </w:rPr>
        <w:tab/>
        <w:t>Jean-Yves Bernard et Francis Demers pour l</w:t>
      </w:r>
      <w:r w:rsidR="00EF277E">
        <w:rPr>
          <w:sz w:val="20"/>
          <w:szCs w:val="20"/>
          <w:lang w:val="fr-CA"/>
        </w:rPr>
        <w:t>a</w:t>
      </w:r>
      <w:r w:rsidRPr="00E031CF">
        <w:rPr>
          <w:sz w:val="20"/>
          <w:szCs w:val="20"/>
          <w:lang w:val="fr-CA"/>
        </w:rPr>
        <w:t xml:space="preserve"> procureur</w:t>
      </w:r>
      <w:r w:rsidR="00EF277E">
        <w:rPr>
          <w:sz w:val="20"/>
          <w:szCs w:val="20"/>
          <w:lang w:val="fr-CA"/>
        </w:rPr>
        <w:t>e</w:t>
      </w:r>
      <w:r w:rsidRPr="00E031CF">
        <w:rPr>
          <w:sz w:val="20"/>
          <w:szCs w:val="20"/>
          <w:lang w:val="fr-CA"/>
        </w:rPr>
        <w:t xml:space="preserve"> général</w:t>
      </w:r>
      <w:r w:rsidR="00EF277E">
        <w:rPr>
          <w:sz w:val="20"/>
          <w:szCs w:val="20"/>
          <w:lang w:val="fr-CA"/>
        </w:rPr>
        <w:t>e</w:t>
      </w:r>
      <w:r w:rsidRPr="00E031CF">
        <w:rPr>
          <w:sz w:val="20"/>
          <w:szCs w:val="20"/>
          <w:lang w:val="fr-CA"/>
        </w:rPr>
        <w:t xml:space="preserve"> du Québec</w:t>
      </w:r>
    </w:p>
    <w:p w:rsidR="0032669B" w:rsidRPr="00E031CF" w:rsidRDefault="0032669B" w:rsidP="00B70227">
      <w:pPr>
        <w:widowControl w:val="0"/>
        <w:ind w:left="2880" w:hanging="2880"/>
        <w:jc w:val="both"/>
        <w:rPr>
          <w:sz w:val="20"/>
          <w:szCs w:val="20"/>
          <w:lang w:val="fr-CA"/>
        </w:rPr>
      </w:pPr>
      <w:r w:rsidRPr="00E031CF">
        <w:rPr>
          <w:sz w:val="20"/>
          <w:szCs w:val="20"/>
          <w:lang w:val="fr-CA"/>
        </w:rPr>
        <w:tab/>
        <w:t>Paul Slansky pour Constitutional Rights Centre Inc.</w:t>
      </w:r>
    </w:p>
    <w:p w:rsidR="0032669B" w:rsidRPr="00E031CF" w:rsidRDefault="0032669B" w:rsidP="00B70227">
      <w:pPr>
        <w:widowControl w:val="0"/>
        <w:ind w:left="2880" w:hanging="2880"/>
        <w:jc w:val="both"/>
        <w:rPr>
          <w:sz w:val="20"/>
          <w:szCs w:val="20"/>
          <w:lang w:val="fr-CA"/>
        </w:rPr>
      </w:pPr>
      <w:r w:rsidRPr="00E031CF">
        <w:rPr>
          <w:sz w:val="20"/>
          <w:szCs w:val="20"/>
          <w:lang w:val="fr-CA"/>
        </w:rPr>
        <w:tab/>
        <w:t>Rocco Galati, pour lui-même</w:t>
      </w:r>
    </w:p>
    <w:p w:rsidR="0032669B" w:rsidRPr="00E031CF" w:rsidRDefault="0032669B" w:rsidP="00B70227">
      <w:pPr>
        <w:widowControl w:val="0"/>
        <w:ind w:left="2880" w:hanging="2880"/>
        <w:jc w:val="both"/>
        <w:rPr>
          <w:sz w:val="20"/>
          <w:szCs w:val="20"/>
          <w:lang w:val="fr-CA"/>
        </w:rPr>
      </w:pPr>
      <w:r w:rsidRPr="00E031CF">
        <w:rPr>
          <w:sz w:val="20"/>
          <w:szCs w:val="20"/>
          <w:lang w:val="fr-CA"/>
        </w:rPr>
        <w:tab/>
        <w:t>Alexander Pless, pour le procureur général du Canada</w:t>
      </w:r>
    </w:p>
    <w:p w:rsidR="0032669B" w:rsidRPr="00E031CF" w:rsidRDefault="00B70227" w:rsidP="00B70227">
      <w:pPr>
        <w:widowControl w:val="0"/>
        <w:ind w:left="2880" w:hanging="2880"/>
        <w:jc w:val="both"/>
        <w:rPr>
          <w:sz w:val="20"/>
          <w:szCs w:val="20"/>
          <w:lang w:val="fr-CA"/>
        </w:rPr>
      </w:pPr>
      <w:r>
        <w:rPr>
          <w:sz w:val="20"/>
          <w:szCs w:val="20"/>
          <w:lang w:val="fr-CA"/>
        </w:rPr>
        <w:tab/>
      </w:r>
      <w:r w:rsidR="0032669B" w:rsidRPr="00E031CF">
        <w:rPr>
          <w:sz w:val="20"/>
          <w:szCs w:val="20"/>
          <w:lang w:val="fr-CA"/>
        </w:rPr>
        <w:t>Sébastien Grammond, pour l’Association canadienne des juges de cours provinciales</w:t>
      </w:r>
    </w:p>
    <w:p w:rsidR="0032669B" w:rsidRPr="00E031CF" w:rsidRDefault="0032669B" w:rsidP="00B70227">
      <w:pPr>
        <w:widowControl w:val="0"/>
        <w:ind w:left="2880" w:hanging="2880"/>
        <w:jc w:val="both"/>
        <w:rPr>
          <w:sz w:val="20"/>
          <w:szCs w:val="20"/>
          <w:lang w:val="fr-CA"/>
        </w:rPr>
      </w:pPr>
      <w:r w:rsidRPr="00E031CF">
        <w:rPr>
          <w:sz w:val="20"/>
          <w:szCs w:val="20"/>
          <w:lang w:val="fr-CA"/>
        </w:rPr>
        <w:tab/>
        <w:t>James A. O’Reilly, pour le</w:t>
      </w:r>
      <w:r w:rsidR="00B70227">
        <w:rPr>
          <w:sz w:val="20"/>
          <w:szCs w:val="20"/>
          <w:lang w:val="fr-CA"/>
        </w:rPr>
        <w:t xml:space="preserve"> Grand conseil des Cris (Eeyou </w:t>
      </w:r>
      <w:r w:rsidRPr="00E031CF">
        <w:rPr>
          <w:sz w:val="20"/>
          <w:szCs w:val="20"/>
          <w:lang w:val="fr-CA"/>
        </w:rPr>
        <w:t>Istchee) et le Gouvernement de la Nation crie</w:t>
      </w:r>
    </w:p>
    <w:p w:rsidR="008E5188" w:rsidRPr="00DD0B49" w:rsidRDefault="008E5188" w:rsidP="008E5188">
      <w:pPr>
        <w:tabs>
          <w:tab w:val="left" w:pos="-1440"/>
          <w:tab w:val="left" w:pos="-720"/>
        </w:tabs>
        <w:jc w:val="both"/>
        <w:rPr>
          <w:sz w:val="20"/>
          <w:szCs w:val="20"/>
          <w:lang w:val="fr-CA"/>
        </w:rPr>
      </w:pPr>
    </w:p>
    <w:p w:rsidR="008E5188" w:rsidRDefault="009C5A48" w:rsidP="008E5188">
      <w:pPr>
        <w:tabs>
          <w:tab w:val="left" w:pos="-1440"/>
          <w:tab w:val="left" w:pos="-720"/>
        </w:tabs>
        <w:jc w:val="both"/>
        <w:rPr>
          <w:sz w:val="20"/>
          <w:szCs w:val="20"/>
          <w:lang w:val="fr-CA"/>
        </w:rPr>
      </w:pPr>
      <w:r>
        <w:rPr>
          <w:sz w:val="20"/>
          <w:szCs w:val="20"/>
          <w:lang w:val="fr-CA"/>
        </w:rPr>
        <w:pict>
          <v:rect id="_x0000_i1067" style="width:2in;height:1pt" o:hrpct="0" o:hralign="center" o:hrstd="t" o:hrnoshade="t" o:hr="t" fillcolor="black [3213]" stroked="f"/>
        </w:pict>
      </w:r>
    </w:p>
    <w:p w:rsidR="008E5188" w:rsidRDefault="008E5188" w:rsidP="008E5188">
      <w:pPr>
        <w:tabs>
          <w:tab w:val="left" w:pos="-1440"/>
          <w:tab w:val="left" w:pos="-720"/>
        </w:tabs>
        <w:jc w:val="both"/>
        <w:rPr>
          <w:sz w:val="20"/>
          <w:szCs w:val="20"/>
          <w:lang w:val="fr-CA"/>
        </w:rPr>
      </w:pPr>
    </w:p>
    <w:p w:rsidR="008E5188" w:rsidRDefault="008E5188" w:rsidP="000B3C9A">
      <w:pPr>
        <w:tabs>
          <w:tab w:val="left" w:pos="-1440"/>
          <w:tab w:val="left" w:pos="-720"/>
        </w:tabs>
        <w:jc w:val="both"/>
        <w:rPr>
          <w:sz w:val="20"/>
          <w:szCs w:val="20"/>
          <w:lang w:val="fr-CA"/>
        </w:rPr>
      </w:pPr>
    </w:p>
    <w:p w:rsidR="008E5188" w:rsidRDefault="008E5188" w:rsidP="000B3C9A">
      <w:pPr>
        <w:tabs>
          <w:tab w:val="left" w:pos="-1440"/>
          <w:tab w:val="left" w:pos="-720"/>
        </w:tabs>
        <w:jc w:val="both"/>
        <w:rPr>
          <w:sz w:val="20"/>
          <w:szCs w:val="20"/>
          <w:lang w:val="fr-CA"/>
        </w:rPr>
      </w:pPr>
    </w:p>
    <w:p w:rsidR="008E5188" w:rsidRPr="00DD0B49" w:rsidRDefault="008E5188"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8112A9" w:rsidRPr="002E0C7E" w:rsidRDefault="009E55C9"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23049F">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3049F">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3049F">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DECEMBER - DÉCEMBRE</w:t>
            </w:r>
          </w:p>
        </w:tc>
      </w:tr>
      <w:tr w:rsidR="008112A9" w:rsidRPr="002E0C7E" w:rsidTr="0023049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S</w:t>
            </w:r>
          </w:p>
        </w:tc>
      </w:tr>
      <w:tr w:rsidR="008112A9" w:rsidRPr="002E0C7E" w:rsidTr="0023049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23049F">
            <w:pPr>
              <w:widowControl w:val="0"/>
              <w:jc w:val="center"/>
              <w:rPr>
                <w:rFonts w:ascii="Arial" w:hAnsi="Arial"/>
                <w:b/>
                <w:sz w:val="14"/>
              </w:rPr>
            </w:pPr>
            <w:r>
              <w:rPr>
                <w:rFonts w:ascii="Arial" w:hAnsi="Arial"/>
                <w:b/>
                <w:sz w:val="14"/>
              </w:rPr>
              <w:t>M</w:t>
            </w:r>
          </w:p>
          <w:p w:rsidR="008112A9" w:rsidRPr="002E0C7E" w:rsidRDefault="008112A9" w:rsidP="0023049F">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6</w:t>
            </w:r>
          </w:p>
        </w:tc>
      </w:tr>
      <w:tr w:rsidR="008112A9" w:rsidRPr="002E0C7E" w:rsidTr="0023049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23049F">
            <w:pPr>
              <w:widowControl w:val="0"/>
              <w:jc w:val="center"/>
              <w:rPr>
                <w:rFonts w:ascii="Arial" w:hAnsi="Arial"/>
                <w:b/>
                <w:sz w:val="14"/>
              </w:rPr>
            </w:pPr>
            <w:r>
              <w:rPr>
                <w:rFonts w:ascii="Arial" w:hAnsi="Arial"/>
                <w:b/>
                <w:sz w:val="14"/>
              </w:rPr>
              <w:t>M</w:t>
            </w:r>
          </w:p>
          <w:p w:rsidR="008112A9" w:rsidRPr="002E0C7E" w:rsidRDefault="008112A9" w:rsidP="0023049F">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M</w:t>
            </w:r>
          </w:p>
          <w:p w:rsidR="008112A9" w:rsidRPr="002E0C7E" w:rsidRDefault="008112A9" w:rsidP="0023049F">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13</w:t>
            </w:r>
          </w:p>
        </w:tc>
      </w:tr>
      <w:tr w:rsidR="008112A9" w:rsidRPr="002E0C7E" w:rsidTr="0023049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23049F">
            <w:pPr>
              <w:widowControl w:val="0"/>
              <w:jc w:val="center"/>
              <w:rPr>
                <w:rFonts w:ascii="Arial" w:hAnsi="Arial"/>
                <w:b/>
                <w:sz w:val="14"/>
              </w:rPr>
            </w:pPr>
            <w:r>
              <w:rPr>
                <w:rFonts w:ascii="Arial" w:hAnsi="Arial"/>
                <w:b/>
                <w:sz w:val="14"/>
              </w:rPr>
              <w:t>H</w:t>
            </w: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23049F">
            <w:pPr>
              <w:widowControl w:val="0"/>
              <w:jc w:val="center"/>
              <w:rPr>
                <w:rFonts w:ascii="Arial" w:hAnsi="Arial"/>
                <w:b/>
                <w:sz w:val="14"/>
              </w:rPr>
            </w:pPr>
            <w:r w:rsidRPr="004F066E">
              <w:rPr>
                <w:rFonts w:ascii="Arial" w:hAnsi="Arial"/>
                <w:b/>
                <w:sz w:val="14"/>
              </w:rPr>
              <w:t>H</w:t>
            </w:r>
          </w:p>
          <w:p w:rsidR="008112A9" w:rsidRPr="002E0C7E" w:rsidRDefault="008112A9" w:rsidP="0023049F">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20</w:t>
            </w:r>
          </w:p>
        </w:tc>
      </w:tr>
      <w:tr w:rsidR="008112A9" w:rsidRPr="002E0C7E" w:rsidTr="0023049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23049F">
            <w:pPr>
              <w:widowControl w:val="0"/>
              <w:jc w:val="center"/>
              <w:rPr>
                <w:rFonts w:ascii="Arial" w:hAnsi="Arial"/>
                <w:b/>
                <w:sz w:val="14"/>
              </w:rPr>
            </w:pPr>
            <w:r>
              <w:rPr>
                <w:rFonts w:ascii="Arial" w:hAnsi="Arial"/>
                <w:b/>
                <w:sz w:val="14"/>
              </w:rPr>
              <w:t>H</w:t>
            </w:r>
          </w:p>
          <w:p w:rsidR="008112A9" w:rsidRPr="002E0C7E" w:rsidRDefault="008112A9" w:rsidP="0023049F">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23049F">
            <w:pPr>
              <w:widowControl w:val="0"/>
              <w:jc w:val="center"/>
              <w:rPr>
                <w:rFonts w:ascii="Arial" w:hAnsi="Arial"/>
                <w:b/>
                <w:sz w:val="14"/>
              </w:rPr>
            </w:pPr>
            <w:r>
              <w:rPr>
                <w:rFonts w:ascii="Arial" w:hAnsi="Arial"/>
                <w:b/>
                <w:sz w:val="14"/>
              </w:rPr>
              <w:t>H</w:t>
            </w:r>
          </w:p>
          <w:p w:rsidR="008112A9" w:rsidRPr="002E0C7E" w:rsidRDefault="008112A9" w:rsidP="0023049F">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23049F">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23049F">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23049F">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3049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3049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MARCH - MARS</w:t>
            </w:r>
          </w:p>
        </w:tc>
      </w:tr>
      <w:tr w:rsidR="008112A9" w:rsidRPr="002E0C7E" w:rsidTr="0023049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S</w:t>
            </w:r>
          </w:p>
        </w:tc>
      </w:tr>
      <w:tr w:rsidR="008112A9" w:rsidRPr="002E0C7E" w:rsidTr="0023049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23049F">
            <w:pPr>
              <w:widowControl w:val="0"/>
              <w:jc w:val="center"/>
              <w:rPr>
                <w:rFonts w:ascii="Arial" w:hAnsi="Arial"/>
                <w:b/>
                <w:sz w:val="14"/>
              </w:rPr>
            </w:pPr>
            <w:r w:rsidRPr="004F066E">
              <w:rPr>
                <w:rFonts w:ascii="Arial" w:hAnsi="Arial"/>
                <w:b/>
                <w:sz w:val="14"/>
              </w:rPr>
              <w:t>H</w:t>
            </w:r>
          </w:p>
          <w:p w:rsidR="008112A9" w:rsidRPr="002E0C7E" w:rsidRDefault="008112A9" w:rsidP="0023049F">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7</w:t>
            </w:r>
          </w:p>
        </w:tc>
      </w:tr>
      <w:tr w:rsidR="008112A9" w:rsidRPr="002E0C7E" w:rsidTr="0023049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23049F">
            <w:pPr>
              <w:widowControl w:val="0"/>
              <w:jc w:val="center"/>
              <w:rPr>
                <w:rFonts w:ascii="Arial" w:hAnsi="Arial"/>
                <w:b/>
                <w:sz w:val="14"/>
              </w:rPr>
            </w:pPr>
            <w:r>
              <w:rPr>
                <w:rFonts w:ascii="Arial" w:hAnsi="Arial"/>
                <w:b/>
                <w:sz w:val="14"/>
              </w:rPr>
              <w:t>M</w:t>
            </w:r>
          </w:p>
          <w:p w:rsidR="008112A9" w:rsidRPr="002E0C7E" w:rsidRDefault="008112A9" w:rsidP="0023049F">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14</w:t>
            </w:r>
          </w:p>
        </w:tc>
      </w:tr>
      <w:tr w:rsidR="008112A9" w:rsidRPr="002E0C7E" w:rsidTr="0023049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23049F">
            <w:pPr>
              <w:widowControl w:val="0"/>
              <w:jc w:val="center"/>
              <w:rPr>
                <w:rFonts w:ascii="Arial" w:hAnsi="Arial"/>
                <w:b/>
                <w:sz w:val="14"/>
              </w:rPr>
            </w:pPr>
            <w:r>
              <w:rPr>
                <w:rFonts w:ascii="Arial" w:hAnsi="Arial"/>
                <w:b/>
                <w:sz w:val="14"/>
              </w:rPr>
              <w:t>M</w:t>
            </w: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23049F">
            <w:pPr>
              <w:widowControl w:val="0"/>
              <w:jc w:val="center"/>
              <w:rPr>
                <w:rFonts w:ascii="Arial" w:hAnsi="Arial"/>
                <w:b/>
                <w:sz w:val="14"/>
              </w:rPr>
            </w:pPr>
            <w:r w:rsidRPr="009900C5">
              <w:rPr>
                <w:rFonts w:ascii="Arial" w:hAnsi="Arial"/>
                <w:b/>
                <w:sz w:val="14"/>
              </w:rPr>
              <w:t>M</w:t>
            </w: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23049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23049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23049F">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3049F">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23049F">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23049F">
            <w:pPr>
              <w:widowControl w:val="0"/>
              <w:jc w:val="center"/>
              <w:rPr>
                <w:rFonts w:ascii="Arial" w:hAnsi="Arial"/>
                <w:sz w:val="14"/>
              </w:rPr>
            </w:pPr>
            <w:r w:rsidRPr="002E0C7E">
              <w:rPr>
                <w:rFonts w:ascii="Arial" w:hAnsi="Arial"/>
                <w:b/>
                <w:sz w:val="14"/>
              </w:rPr>
              <w:t>JUNE - JUIN</w:t>
            </w:r>
          </w:p>
        </w:tc>
      </w:tr>
      <w:tr w:rsidR="008112A9" w:rsidRPr="002E0C7E" w:rsidTr="0023049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S</w:t>
            </w:r>
          </w:p>
          <w:p w:rsidR="008112A9" w:rsidRPr="002E0C7E" w:rsidRDefault="008112A9" w:rsidP="0023049F">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M</w:t>
            </w:r>
          </w:p>
          <w:p w:rsidR="008112A9" w:rsidRPr="002E0C7E" w:rsidRDefault="008112A9" w:rsidP="0023049F">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W</w:t>
            </w:r>
          </w:p>
          <w:p w:rsidR="008112A9" w:rsidRPr="002E0C7E" w:rsidRDefault="008112A9" w:rsidP="0023049F">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T</w:t>
            </w:r>
          </w:p>
          <w:p w:rsidR="008112A9" w:rsidRPr="002E0C7E" w:rsidRDefault="008112A9" w:rsidP="0023049F">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sidRPr="002E0C7E">
              <w:rPr>
                <w:rFonts w:ascii="Arial" w:hAnsi="Arial"/>
                <w:sz w:val="14"/>
              </w:rPr>
              <w:t>F</w:t>
            </w:r>
          </w:p>
          <w:p w:rsidR="008112A9" w:rsidRPr="002E0C7E" w:rsidRDefault="008112A9" w:rsidP="0023049F">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r>
              <w:rPr>
                <w:rFonts w:ascii="Arial" w:hAnsi="Arial"/>
                <w:sz w:val="14"/>
              </w:rPr>
              <w:t>S</w:t>
            </w:r>
          </w:p>
          <w:p w:rsidR="008112A9" w:rsidRPr="002E0C7E" w:rsidRDefault="008112A9" w:rsidP="0023049F">
            <w:pPr>
              <w:widowControl w:val="0"/>
              <w:jc w:val="center"/>
              <w:rPr>
                <w:rFonts w:ascii="Arial" w:hAnsi="Arial"/>
                <w:sz w:val="14"/>
              </w:rPr>
            </w:pPr>
            <w:r>
              <w:rPr>
                <w:rFonts w:ascii="Arial" w:hAnsi="Arial"/>
                <w:sz w:val="14"/>
              </w:rPr>
              <w:t>S</w:t>
            </w:r>
          </w:p>
        </w:tc>
      </w:tr>
      <w:tr w:rsidR="008112A9" w:rsidRPr="002E0C7E" w:rsidTr="0023049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23049F">
            <w:pPr>
              <w:widowControl w:val="0"/>
              <w:jc w:val="center"/>
              <w:rPr>
                <w:rFonts w:ascii="Arial" w:hAnsi="Arial"/>
                <w:b/>
                <w:sz w:val="14"/>
              </w:rPr>
            </w:pPr>
            <w:r>
              <w:rPr>
                <w:rFonts w:ascii="Arial" w:hAnsi="Arial"/>
                <w:b/>
                <w:sz w:val="14"/>
              </w:rPr>
              <w:t>H</w:t>
            </w:r>
          </w:p>
          <w:p w:rsidR="008112A9" w:rsidRPr="002E0C7E" w:rsidRDefault="008112A9" w:rsidP="0023049F">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6</w:t>
            </w:r>
          </w:p>
        </w:tc>
      </w:tr>
      <w:tr w:rsidR="008112A9" w:rsidRPr="002E0C7E" w:rsidTr="0023049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23049F">
            <w:pPr>
              <w:widowControl w:val="0"/>
              <w:jc w:val="center"/>
              <w:rPr>
                <w:rFonts w:ascii="Arial" w:hAnsi="Arial"/>
                <w:b/>
                <w:sz w:val="14"/>
              </w:rPr>
            </w:pPr>
            <w:r>
              <w:rPr>
                <w:rFonts w:ascii="Arial" w:hAnsi="Arial"/>
                <w:b/>
                <w:sz w:val="14"/>
              </w:rPr>
              <w:t>H</w:t>
            </w:r>
          </w:p>
          <w:p w:rsidR="008112A9" w:rsidRPr="002E0C7E" w:rsidRDefault="008112A9" w:rsidP="0023049F">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23049F">
            <w:pPr>
              <w:widowControl w:val="0"/>
              <w:jc w:val="center"/>
              <w:rPr>
                <w:rFonts w:ascii="Arial" w:hAnsi="Arial"/>
                <w:b/>
                <w:sz w:val="14"/>
              </w:rPr>
            </w:pPr>
            <w:r>
              <w:rPr>
                <w:rFonts w:ascii="Arial" w:hAnsi="Arial"/>
                <w:b/>
                <w:sz w:val="14"/>
              </w:rPr>
              <w:t>M</w:t>
            </w:r>
          </w:p>
          <w:p w:rsidR="008112A9" w:rsidRPr="002E0C7E" w:rsidRDefault="008112A9" w:rsidP="0023049F">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13</w:t>
            </w:r>
          </w:p>
        </w:tc>
      </w:tr>
      <w:tr w:rsidR="008112A9" w:rsidRPr="002E0C7E" w:rsidTr="0023049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23049F">
            <w:pPr>
              <w:widowControl w:val="0"/>
              <w:jc w:val="center"/>
              <w:rPr>
                <w:rFonts w:ascii="Arial" w:hAnsi="Arial"/>
                <w:b/>
                <w:sz w:val="14"/>
              </w:rPr>
            </w:pPr>
            <w:r>
              <w:rPr>
                <w:rFonts w:ascii="Arial" w:hAnsi="Arial"/>
                <w:b/>
                <w:sz w:val="14"/>
              </w:rPr>
              <w:t>M</w:t>
            </w: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23049F">
            <w:pPr>
              <w:widowControl w:val="0"/>
              <w:jc w:val="center"/>
              <w:rPr>
                <w:rFonts w:ascii="Arial" w:hAnsi="Arial"/>
                <w:b/>
                <w:sz w:val="14"/>
              </w:rPr>
            </w:pPr>
            <w:r w:rsidRPr="002453E3">
              <w:rPr>
                <w:rFonts w:ascii="Arial" w:hAnsi="Arial"/>
                <w:b/>
                <w:sz w:val="14"/>
              </w:rPr>
              <w:t>M</w:t>
            </w: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20</w:t>
            </w:r>
          </w:p>
        </w:tc>
      </w:tr>
      <w:tr w:rsidR="008112A9" w:rsidRPr="002E0C7E" w:rsidTr="0023049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23049F">
            <w:pPr>
              <w:widowControl w:val="0"/>
              <w:jc w:val="center"/>
              <w:rPr>
                <w:rFonts w:ascii="Arial" w:hAnsi="Arial"/>
                <w:b/>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23049F">
            <w:pPr>
              <w:widowControl w:val="0"/>
              <w:jc w:val="center"/>
              <w:rPr>
                <w:rFonts w:ascii="Arial" w:hAnsi="Arial"/>
                <w:b/>
                <w:sz w:val="14"/>
              </w:rPr>
            </w:pPr>
            <w:r>
              <w:rPr>
                <w:rFonts w:ascii="Arial" w:hAnsi="Arial"/>
                <w:b/>
                <w:sz w:val="14"/>
              </w:rPr>
              <w:t>H</w:t>
            </w:r>
          </w:p>
          <w:p w:rsidR="008112A9" w:rsidRPr="002E0C7E" w:rsidRDefault="008112A9" w:rsidP="0023049F">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23049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23049F">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23049F">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23049F">
            <w:pPr>
              <w:widowControl w:val="0"/>
              <w:jc w:val="center"/>
              <w:rPr>
                <w:rFonts w:ascii="Arial" w:hAnsi="Arial"/>
                <w:sz w:val="14"/>
              </w:rPr>
            </w:pPr>
          </w:p>
          <w:p w:rsidR="008112A9" w:rsidRPr="002E0C7E" w:rsidRDefault="008112A9" w:rsidP="0023049F">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23049F">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23049F">
            <w:pPr>
              <w:widowControl w:val="0"/>
              <w:rPr>
                <w:rFonts w:ascii="Arial" w:hAnsi="Arial"/>
                <w:sz w:val="16"/>
              </w:rPr>
            </w:pPr>
            <w:r w:rsidRPr="002E0C7E">
              <w:rPr>
                <w:rFonts w:ascii="Arial" w:hAnsi="Arial"/>
                <w:sz w:val="16"/>
              </w:rPr>
              <w:t>Sittings of the court:</w:t>
            </w:r>
          </w:p>
          <w:p w:rsidR="008112A9" w:rsidRPr="002E0C7E" w:rsidRDefault="008112A9" w:rsidP="0023049F">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23049F">
            <w:pPr>
              <w:widowControl w:val="0"/>
              <w:rPr>
                <w:rFonts w:ascii="Arial" w:hAnsi="Arial"/>
                <w:sz w:val="16"/>
              </w:rPr>
            </w:pPr>
          </w:p>
          <w:p w:rsidR="008112A9" w:rsidRPr="002E0C7E" w:rsidRDefault="008112A9" w:rsidP="0023049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23049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23049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23049F">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2304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9"/>
      <w:footerReference w:type="default" r:id="rId7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BA" w:rsidRDefault="00E16DBA" w:rsidP="00A87207">
      <w:r>
        <w:separator/>
      </w:r>
    </w:p>
  </w:endnote>
  <w:endnote w:type="continuationSeparator" w:id="0">
    <w:p w:rsidR="00E16DBA" w:rsidRDefault="00E16DB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pPr>
      <w:pStyle w:val="Footer"/>
      <w:rPr>
        <w:lang w:val="fr-CA"/>
      </w:rPr>
    </w:pPr>
    <w:r>
      <w:rPr>
        <w:lang w:val="fr-CA"/>
      </w:rPr>
      <w:pict>
        <v:rect id="_x0000_i1048" style="width:480.95pt;height:1pt" o:hralign="center" o:hrstd="t" o:hrnoshade="t" o:hr="t" fillcolor="black [3213]" stroked="f"/>
      </w:pict>
    </w:r>
  </w:p>
  <w:p w:rsidR="00E16DBA" w:rsidRDefault="00E16DBA" w:rsidP="00245129">
    <w:pPr>
      <w:tabs>
        <w:tab w:val="center" w:pos="4680"/>
      </w:tabs>
    </w:pPr>
    <w:r>
      <w:tab/>
    </w:r>
    <w:r w:rsidRPr="0009648D">
      <w:t xml:space="preserve">- </w:t>
    </w:r>
    <w:r w:rsidR="00D144F6">
      <w:fldChar w:fldCharType="begin"/>
    </w:r>
    <w:r w:rsidR="00D144F6">
      <w:instrText xml:space="preserve"> PAGE   \* MERGEFORMAT </w:instrText>
    </w:r>
    <w:r w:rsidR="00D144F6">
      <w:fldChar w:fldCharType="separate"/>
    </w:r>
    <w:r w:rsidR="009C5A48">
      <w:rPr>
        <w:noProof/>
      </w:rPr>
      <w:t>573</w:t>
    </w:r>
    <w:r w:rsidR="00D144F6">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16DBA"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6DBA" w:rsidRDefault="00E16DB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755F22">
    <w:pPr>
      <w:tabs>
        <w:tab w:val="left" w:pos="-1440"/>
        <w:tab w:val="left" w:pos="-720"/>
      </w:tabs>
    </w:pPr>
    <w:r>
      <w:pict>
        <v:rect id="_x0000_i1050" style="width:480.95pt;height:1pt" o:hralign="center" o:hrstd="t" o:hrnoshade="t" o:hr="t" fillcolor="black [3213]" stroked="f"/>
      </w:pict>
    </w:r>
  </w:p>
  <w:p w:rsidR="00E16DBA" w:rsidRDefault="00E16DBA" w:rsidP="00EB2B90">
    <w:pPr>
      <w:tabs>
        <w:tab w:val="center" w:pos="4680"/>
      </w:tabs>
    </w:pPr>
    <w:r>
      <w:tab/>
      <w:t xml:space="preserve">- </w:t>
    </w:r>
    <w:r w:rsidR="00D144F6">
      <w:fldChar w:fldCharType="begin"/>
    </w:r>
    <w:r w:rsidR="00D144F6">
      <w:instrText xml:space="preserve"> PAGE   \* MERGEFORMAT </w:instrText>
    </w:r>
    <w:r w:rsidR="00D144F6">
      <w:fldChar w:fldCharType="separate"/>
    </w:r>
    <w:r>
      <w:rPr>
        <w:noProof/>
      </w:rPr>
      <w:t>525</w:t>
    </w:r>
    <w:r w:rsidR="00D144F6">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EB2B90">
    <w:pPr>
      <w:tabs>
        <w:tab w:val="center" w:pos="4680"/>
      </w:tabs>
    </w:pPr>
    <w:r>
      <w:pict>
        <v:rect id="_x0000_i1051" style="width:480.95pt;height:1pt" o:hralign="center" o:hrstd="t" o:hrnoshade="t" o:hr="t" fillcolor="black [3213]" stroked="f"/>
      </w:pict>
    </w:r>
  </w:p>
  <w:p w:rsidR="00E16DBA" w:rsidRPr="0031432F" w:rsidRDefault="00E16DBA" w:rsidP="00EB2B90">
    <w:pPr>
      <w:tabs>
        <w:tab w:val="center" w:pos="4680"/>
      </w:tabs>
    </w:pPr>
    <w:r>
      <w:tab/>
      <w:t xml:space="preserve">- </w:t>
    </w:r>
    <w:r w:rsidR="00D144F6">
      <w:fldChar w:fldCharType="begin"/>
    </w:r>
    <w:r w:rsidR="00D144F6">
      <w:instrText xml:space="preserve"> PAGE   \* MERGEFORMAT </w:instrText>
    </w:r>
    <w:r w:rsidR="00D144F6">
      <w:fldChar w:fldCharType="separate"/>
    </w:r>
    <w:r w:rsidR="009C5A48">
      <w:rPr>
        <w:noProof/>
      </w:rPr>
      <w:t>585</w:t>
    </w:r>
    <w:r w:rsidR="00D144F6">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E16DBA" w:rsidRDefault="00E16DB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E16DBA" w:rsidRDefault="00E16DB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22323B">
    <w:r>
      <w:pict>
        <v:rect id="_x0000_i1054" style="width:480.95pt;height:1pt" o:hralign="center" o:hrstd="t" o:hrnoshade="t" o:hr="t" fillcolor="black [3213]" stroked="f"/>
      </w:pict>
    </w:r>
  </w:p>
  <w:p w:rsidR="00E16DBA" w:rsidRDefault="00E16DBA">
    <w:pPr>
      <w:tabs>
        <w:tab w:val="center" w:pos="4740"/>
      </w:tabs>
      <w:spacing w:line="0" w:lineRule="atLeast"/>
    </w:pPr>
    <w:r>
      <w:tab/>
      <w:t xml:space="preserve">- </w:t>
    </w:r>
    <w:r w:rsidR="00D144F6">
      <w:fldChar w:fldCharType="begin"/>
    </w:r>
    <w:r w:rsidR="00D144F6">
      <w:instrText xml:space="preserve"> PAGE   \* MERGEFORMAT </w:instrText>
    </w:r>
    <w:r w:rsidR="00D144F6">
      <w:fldChar w:fldCharType="separate"/>
    </w:r>
    <w:r>
      <w:rPr>
        <w:noProof/>
      </w:rPr>
      <w:t>542</w:t>
    </w:r>
    <w:r w:rsidR="00D144F6">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22323B">
    <w:r>
      <w:pict>
        <v:rect id="_x0000_i1055" style="width:480.95pt;height:1pt" o:hralign="center" o:hrstd="t" o:hrnoshade="t" o:hr="t" fillcolor="black [3213]" stroked="f"/>
      </w:pict>
    </w:r>
  </w:p>
  <w:p w:rsidR="00E16DBA" w:rsidRDefault="00E16DBA" w:rsidP="0022323B">
    <w:pPr>
      <w:tabs>
        <w:tab w:val="center" w:pos="4740"/>
      </w:tabs>
      <w:spacing w:line="0" w:lineRule="atLeast"/>
    </w:pPr>
    <w:r>
      <w:tab/>
      <w:t xml:space="preserve">- </w:t>
    </w:r>
    <w:r w:rsidR="00D144F6">
      <w:fldChar w:fldCharType="begin"/>
    </w:r>
    <w:r w:rsidR="00D144F6">
      <w:instrText xml:space="preserve"> PAGE   \* MERGEFORMAT </w:instrText>
    </w:r>
    <w:r w:rsidR="00D144F6">
      <w:fldChar w:fldCharType="separate"/>
    </w:r>
    <w:r w:rsidR="009C5A48">
      <w:rPr>
        <w:noProof/>
      </w:rPr>
      <w:t>586</w:t>
    </w:r>
    <w:r w:rsidR="00D144F6">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22323B">
    <w:r>
      <w:pict>
        <v:rect id="_x0000_i1068" style="width:480.95pt;height:1pt" o:hralign="center" o:hrstd="t" o:hrnoshade="t" o:hr="t" fillcolor="black [3213]" stroked="f"/>
      </w:pict>
    </w:r>
  </w:p>
  <w:p w:rsidR="00E16DBA" w:rsidRDefault="00E16DBA">
    <w:pPr>
      <w:tabs>
        <w:tab w:val="center" w:pos="4740"/>
      </w:tabs>
      <w:spacing w:line="0" w:lineRule="atLeast"/>
    </w:pPr>
    <w:r>
      <w:tab/>
      <w:t xml:space="preserve">- </w:t>
    </w:r>
    <w:r w:rsidR="00D144F6">
      <w:fldChar w:fldCharType="begin"/>
    </w:r>
    <w:r w:rsidR="00D144F6">
      <w:instrText xml:space="preserve"> PAGE   \* MERGEFORMAT </w:instrText>
    </w:r>
    <w:r w:rsidR="00D144F6">
      <w:fldChar w:fldCharType="separate"/>
    </w:r>
    <w:r w:rsidR="009C5A48">
      <w:rPr>
        <w:noProof/>
      </w:rPr>
      <w:t>598</w:t>
    </w:r>
    <w:r w:rsidR="00D144F6">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22323B">
    <w:r>
      <w:pict>
        <v:rect id="_x0000_i1069" style="width:480.95pt;height:1pt" o:hralign="center" o:hrstd="t" o:hrnoshade="t" o:hr="t" fillcolor="black [3213]" stroked="f"/>
      </w:pict>
    </w:r>
  </w:p>
  <w:p w:rsidR="00E16DBA" w:rsidRDefault="00E16DBA" w:rsidP="0022323B">
    <w:pPr>
      <w:tabs>
        <w:tab w:val="center" w:pos="4740"/>
      </w:tabs>
      <w:spacing w:line="0" w:lineRule="atLeast"/>
    </w:pPr>
    <w:r>
      <w:tab/>
      <w:t xml:space="preserve">- </w:t>
    </w:r>
    <w:r w:rsidR="00D144F6">
      <w:fldChar w:fldCharType="begin"/>
    </w:r>
    <w:r w:rsidR="00D144F6">
      <w:instrText xml:space="preserve"> PAGE   \* MERGEFORMAT </w:instrText>
    </w:r>
    <w:r w:rsidR="00D144F6">
      <w:fldChar w:fldCharType="separate"/>
    </w:r>
    <w:r w:rsidR="009C5A48">
      <w:rPr>
        <w:noProof/>
      </w:rPr>
      <w:t>587</w:t>
    </w:r>
    <w:r w:rsidR="00D144F6">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Pr="00924065" w:rsidRDefault="00E16DBA"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A87207">
    <w:pPr>
      <w:pStyle w:val="Footer"/>
    </w:pPr>
    <w:r>
      <w:pict>
        <v:rect id="_x0000_i1030" style="width:480.95pt;height:1pt" o:hralign="center" o:hrstd="t" o:hrnoshade="t" o:hr="t" fillcolor="black [3213]" stroked="f"/>
      </w:pict>
    </w:r>
  </w:p>
  <w:p w:rsidR="00E16DBA" w:rsidRPr="00B7374B" w:rsidRDefault="00E16DBA" w:rsidP="00B7374B">
    <w:pPr>
      <w:tabs>
        <w:tab w:val="center" w:pos="4680"/>
      </w:tabs>
      <w:rPr>
        <w:szCs w:val="24"/>
      </w:rPr>
    </w:pPr>
    <w:r w:rsidRPr="00954D22">
      <w:rPr>
        <w:szCs w:val="24"/>
      </w:rPr>
      <w:tab/>
      <w:t xml:space="preserve">- </w:t>
    </w:r>
    <w:r w:rsidR="009E55C9" w:rsidRPr="00954D22">
      <w:rPr>
        <w:szCs w:val="24"/>
      </w:rPr>
      <w:fldChar w:fldCharType="begin"/>
    </w:r>
    <w:r w:rsidRPr="00954D22">
      <w:rPr>
        <w:szCs w:val="24"/>
      </w:rPr>
      <w:instrText xml:space="preserve"> PAGE   \* MERGEFORMAT </w:instrText>
    </w:r>
    <w:r w:rsidR="009E55C9" w:rsidRPr="00954D22">
      <w:rPr>
        <w:szCs w:val="24"/>
      </w:rPr>
      <w:fldChar w:fldCharType="separate"/>
    </w:r>
    <w:r>
      <w:rPr>
        <w:noProof/>
        <w:szCs w:val="24"/>
      </w:rPr>
      <w:t>501</w:t>
    </w:r>
    <w:r w:rsidR="009E55C9"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755F22">
    <w:pPr>
      <w:tabs>
        <w:tab w:val="left" w:pos="-1440"/>
        <w:tab w:val="left" w:pos="-720"/>
      </w:tabs>
    </w:pPr>
    <w:r>
      <w:pict>
        <v:rect id="_x0000_i1031" style="width:480.95pt;height:1pt" o:hralign="center" o:hrstd="t" o:hrnoshade="t" o:hr="t" fillcolor="black [3213]" stroked="f"/>
      </w:pict>
    </w:r>
  </w:p>
  <w:p w:rsidR="00E16DBA" w:rsidRPr="00954D22" w:rsidRDefault="00E16DBA" w:rsidP="00B7374B">
    <w:pPr>
      <w:tabs>
        <w:tab w:val="center" w:pos="4680"/>
      </w:tabs>
      <w:rPr>
        <w:szCs w:val="24"/>
      </w:rPr>
    </w:pPr>
    <w:r w:rsidRPr="00954D22">
      <w:rPr>
        <w:szCs w:val="24"/>
      </w:rPr>
      <w:tab/>
      <w:t xml:space="preserve">- </w:t>
    </w:r>
    <w:r w:rsidR="009E55C9">
      <w:rPr>
        <w:szCs w:val="24"/>
      </w:rPr>
      <w:fldChar w:fldCharType="begin"/>
    </w:r>
    <w:r>
      <w:rPr>
        <w:szCs w:val="24"/>
      </w:rPr>
      <w:instrText xml:space="preserve"> PAGE   \* MERGEFORMAT </w:instrText>
    </w:r>
    <w:r w:rsidR="009E55C9">
      <w:rPr>
        <w:szCs w:val="24"/>
      </w:rPr>
      <w:fldChar w:fldCharType="separate"/>
    </w:r>
    <w:r w:rsidR="009C5A48">
      <w:rPr>
        <w:noProof/>
        <w:szCs w:val="24"/>
      </w:rPr>
      <w:t>571</w:t>
    </w:r>
    <w:r w:rsidR="009E55C9">
      <w:rPr>
        <w:szCs w:val="24"/>
      </w:rPr>
      <w:fldChar w:fldCharType="end"/>
    </w:r>
    <w:r w:rsidRPr="00954D22">
      <w:rPr>
        <w:szCs w:val="24"/>
      </w:rPr>
      <w:t xml:space="preserve"> -</w:t>
    </w:r>
  </w:p>
  <w:p w:rsidR="00E16DBA" w:rsidRDefault="00E16D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A87207">
    <w:pPr>
      <w:pStyle w:val="Footer"/>
    </w:pPr>
    <w:r>
      <w:pict>
        <v:rect id="_x0000_i1033" style="width:480.95pt;height:1pt" o:hralign="center" o:hrstd="t" o:hrnoshade="t" o:hr="t" fillcolor="black [3213]" stroked="f"/>
      </w:pict>
    </w:r>
  </w:p>
  <w:p w:rsidR="00E16DBA" w:rsidRPr="00B7374B" w:rsidRDefault="00E16DBA" w:rsidP="00B7374B">
    <w:pPr>
      <w:tabs>
        <w:tab w:val="center" w:pos="4680"/>
      </w:tabs>
      <w:rPr>
        <w:szCs w:val="24"/>
      </w:rPr>
    </w:pPr>
    <w:r w:rsidRPr="00954D22">
      <w:rPr>
        <w:szCs w:val="24"/>
      </w:rPr>
      <w:tab/>
      <w:t xml:space="preserve">- </w:t>
    </w:r>
    <w:r w:rsidR="009E55C9" w:rsidRPr="00954D22">
      <w:rPr>
        <w:szCs w:val="24"/>
      </w:rPr>
      <w:fldChar w:fldCharType="begin"/>
    </w:r>
    <w:r w:rsidRPr="00954D22">
      <w:rPr>
        <w:szCs w:val="24"/>
      </w:rPr>
      <w:instrText xml:space="preserve"> PAGE   \* MERGEFORMAT </w:instrText>
    </w:r>
    <w:r w:rsidR="009E55C9" w:rsidRPr="00954D22">
      <w:rPr>
        <w:szCs w:val="24"/>
      </w:rPr>
      <w:fldChar w:fldCharType="separate"/>
    </w:r>
    <w:r>
      <w:rPr>
        <w:noProof/>
        <w:szCs w:val="24"/>
      </w:rPr>
      <w:t>573</w:t>
    </w:r>
    <w:r w:rsidR="009E55C9"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E16DBA" w:rsidRPr="00954D22" w:rsidRDefault="00E16DBA" w:rsidP="00B7374B">
    <w:pPr>
      <w:tabs>
        <w:tab w:val="center" w:pos="4680"/>
      </w:tabs>
      <w:rPr>
        <w:szCs w:val="24"/>
      </w:rPr>
    </w:pPr>
    <w:r w:rsidRPr="00954D22">
      <w:rPr>
        <w:szCs w:val="24"/>
      </w:rPr>
      <w:tab/>
      <w:t xml:space="preserve">- </w:t>
    </w:r>
    <w:r w:rsidR="009E55C9" w:rsidRPr="00954D22">
      <w:rPr>
        <w:szCs w:val="24"/>
      </w:rPr>
      <w:fldChar w:fldCharType="begin"/>
    </w:r>
    <w:r w:rsidRPr="00954D22">
      <w:rPr>
        <w:szCs w:val="24"/>
      </w:rPr>
      <w:instrText xml:space="preserve"> PAGE   \* MERGEFORMAT </w:instrText>
    </w:r>
    <w:r w:rsidR="009E55C9" w:rsidRPr="00954D22">
      <w:rPr>
        <w:szCs w:val="24"/>
      </w:rPr>
      <w:fldChar w:fldCharType="separate"/>
    </w:r>
    <w:r w:rsidR="009C5A48">
      <w:rPr>
        <w:noProof/>
        <w:szCs w:val="24"/>
      </w:rPr>
      <w:t>572</w:t>
    </w:r>
    <w:r w:rsidR="009E55C9"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16DBA"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16DBA" w:rsidRDefault="00E16DB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9C5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E16DBA" w:rsidRPr="0009648D" w:rsidRDefault="00E16DBA" w:rsidP="00ED7E83">
    <w:pPr>
      <w:tabs>
        <w:tab w:val="center" w:pos="4680"/>
      </w:tabs>
    </w:pPr>
    <w:r>
      <w:tab/>
    </w:r>
    <w:r w:rsidRPr="0009648D">
      <w:t xml:space="preserve">- </w:t>
    </w:r>
    <w:r w:rsidR="00D144F6">
      <w:fldChar w:fldCharType="begin"/>
    </w:r>
    <w:r w:rsidR="00D144F6">
      <w:instrText xml:space="preserve"> PAGE   \* MERGEFORMAT </w:instrText>
    </w:r>
    <w:r w:rsidR="00D144F6">
      <w:fldChar w:fldCharType="separate"/>
    </w:r>
    <w:r w:rsidR="009C5A48">
      <w:rPr>
        <w:noProof/>
      </w:rPr>
      <w:t>584</w:t>
    </w:r>
    <w:r w:rsidR="00D144F6">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BA" w:rsidRDefault="00E16DBA" w:rsidP="00A87207">
      <w:r>
        <w:separator/>
      </w:r>
    </w:p>
  </w:footnote>
  <w:footnote w:type="continuationSeparator" w:id="0">
    <w:p w:rsidR="00E16DBA" w:rsidRDefault="00E16DB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16DBA">
      <w:tc>
        <w:tcPr>
          <w:tcW w:w="4230" w:type="dxa"/>
          <w:tcMar>
            <w:left w:w="0" w:type="dxa"/>
            <w:right w:w="0" w:type="dxa"/>
          </w:tcMar>
        </w:tcPr>
        <w:p w:rsidR="00E16DBA" w:rsidRDefault="00E1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16DBA" w:rsidRDefault="00E1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6DBA" w:rsidRDefault="00E1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16DBA">
      <w:trPr>
        <w:gridAfter w:val="2"/>
        <w:wAfter w:w="5250" w:type="dxa"/>
      </w:trPr>
      <w:tc>
        <w:tcPr>
          <w:tcW w:w="4230" w:type="dxa"/>
          <w:tcMar>
            <w:left w:w="0" w:type="dxa"/>
            <w:right w:w="0" w:type="dxa"/>
          </w:tcMar>
        </w:tcPr>
        <w:p w:rsidR="00E16DBA"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16DBA"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16DBA" w:rsidRPr="00755F22" w:rsidTr="00245129">
      <w:tc>
        <w:tcPr>
          <w:tcW w:w="4230" w:type="dxa"/>
          <w:tcMar>
            <w:left w:w="0" w:type="dxa"/>
            <w:right w:w="0" w:type="dxa"/>
          </w:tcMar>
        </w:tcPr>
        <w:p w:rsidR="00E16DBA" w:rsidRPr="00755F22" w:rsidRDefault="00E16DBA" w:rsidP="00831CA9">
          <w:pPr>
            <w:keepNext/>
            <w:keepLines/>
            <w:rPr>
              <w:sz w:val="20"/>
              <w:szCs w:val="20"/>
            </w:rPr>
          </w:pPr>
          <w:r w:rsidRPr="00755F22">
            <w:rPr>
              <w:sz w:val="20"/>
              <w:szCs w:val="20"/>
            </w:rPr>
            <w:t>MOTIONS</w:t>
          </w:r>
        </w:p>
      </w:tc>
      <w:tc>
        <w:tcPr>
          <w:tcW w:w="1170" w:type="dxa"/>
          <w:tcMar>
            <w:left w:w="0" w:type="dxa"/>
            <w:right w:w="0" w:type="dxa"/>
          </w:tcMar>
        </w:tcPr>
        <w:p w:rsidR="00E16DBA" w:rsidRPr="00755F22" w:rsidRDefault="00E16DBA" w:rsidP="00831CA9">
          <w:pPr>
            <w:keepLines/>
            <w:jc w:val="center"/>
            <w:rPr>
              <w:sz w:val="20"/>
              <w:szCs w:val="20"/>
            </w:rPr>
          </w:pPr>
        </w:p>
        <w:p w:rsidR="00E16DBA" w:rsidRPr="00755F22" w:rsidRDefault="00E16DBA" w:rsidP="00831CA9">
          <w:pPr>
            <w:keepLines/>
            <w:tabs>
              <w:tab w:val="left" w:pos="-1440"/>
              <w:tab w:val="left" w:pos="-720"/>
            </w:tabs>
            <w:jc w:val="center"/>
            <w:rPr>
              <w:sz w:val="20"/>
              <w:szCs w:val="20"/>
            </w:rPr>
          </w:pPr>
        </w:p>
      </w:tc>
      <w:tc>
        <w:tcPr>
          <w:tcW w:w="4080" w:type="dxa"/>
          <w:tcMar>
            <w:left w:w="0" w:type="dxa"/>
            <w:right w:w="0" w:type="dxa"/>
          </w:tcMar>
        </w:tcPr>
        <w:p w:rsidR="00E16DBA" w:rsidRPr="00BA6468" w:rsidRDefault="00E16DBA" w:rsidP="00BA6468">
          <w:pPr>
            <w:keepLines/>
            <w:rPr>
              <w:sz w:val="20"/>
              <w:szCs w:val="20"/>
              <w:lang w:val="fr-CA"/>
            </w:rPr>
          </w:pPr>
          <w:r w:rsidRPr="00BA6468">
            <w:rPr>
              <w:sz w:val="20"/>
              <w:szCs w:val="20"/>
              <w:lang w:val="fr-CA"/>
            </w:rPr>
            <w:t>REQUÊTES</w:t>
          </w:r>
        </w:p>
      </w:tc>
    </w:tr>
  </w:tbl>
  <w:p w:rsidR="00E16DBA" w:rsidRDefault="00E16DBA"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16DBA">
      <w:tc>
        <w:tcPr>
          <w:tcW w:w="4200" w:type="dxa"/>
          <w:tcMar>
            <w:left w:w="0" w:type="dxa"/>
            <w:right w:w="0" w:type="dxa"/>
          </w:tcMar>
        </w:tcPr>
        <w:p w:rsidR="00E16DBA" w:rsidRDefault="00E16DB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E16DBA" w:rsidRDefault="00E16DB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E16DBA" w:rsidRDefault="00E16DBA">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E16DBA" w:rsidRDefault="00E16DBA">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E16DBA" w:rsidRDefault="00E16DB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E16DBA" w:rsidRDefault="00E16DBA">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16DBA" w:rsidRPr="00C50A5C" w:rsidTr="00245129">
      <w:tc>
        <w:tcPr>
          <w:tcW w:w="4200" w:type="dxa"/>
          <w:tcMar>
            <w:left w:w="0" w:type="dxa"/>
            <w:right w:w="0" w:type="dxa"/>
          </w:tcMar>
        </w:tcPr>
        <w:p w:rsidR="00E16DBA" w:rsidRPr="00C50A5C" w:rsidRDefault="00E16DB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E16DBA" w:rsidRPr="00C50A5C" w:rsidRDefault="00E16DB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E16DBA" w:rsidRPr="00C50A5C" w:rsidRDefault="00E16DBA"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E16DBA" w:rsidRPr="00C50A5C" w:rsidRDefault="00E16DBA"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E16DBA" w:rsidRDefault="00E16DBA"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16DBA" w:rsidRPr="005F263E" w:rsidTr="00245129">
      <w:tc>
        <w:tcPr>
          <w:tcW w:w="4200" w:type="dxa"/>
          <w:tcMar>
            <w:left w:w="0" w:type="dxa"/>
            <w:right w:w="0" w:type="dxa"/>
          </w:tcMar>
        </w:tcPr>
        <w:p w:rsidR="00E16DBA" w:rsidRPr="005F263E" w:rsidRDefault="00E16DBA"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E16DBA" w:rsidRPr="005F263E" w:rsidRDefault="00E16DBA" w:rsidP="00245129">
          <w:pPr>
            <w:keepNext/>
            <w:keepLines/>
            <w:tabs>
              <w:tab w:val="left" w:pos="-1440"/>
              <w:tab w:val="left" w:pos="-720"/>
            </w:tabs>
            <w:jc w:val="center"/>
            <w:rPr>
              <w:sz w:val="20"/>
              <w:szCs w:val="20"/>
            </w:rPr>
          </w:pPr>
        </w:p>
        <w:p w:rsidR="00E16DBA" w:rsidRPr="005F263E" w:rsidRDefault="00E16DBA" w:rsidP="00245129">
          <w:pPr>
            <w:keepNext/>
            <w:keepLines/>
            <w:tabs>
              <w:tab w:val="left" w:pos="-1440"/>
              <w:tab w:val="left" w:pos="-720"/>
            </w:tabs>
            <w:jc w:val="center"/>
            <w:rPr>
              <w:sz w:val="20"/>
              <w:szCs w:val="20"/>
            </w:rPr>
          </w:pPr>
        </w:p>
      </w:tc>
      <w:tc>
        <w:tcPr>
          <w:tcW w:w="4080" w:type="dxa"/>
          <w:tcMar>
            <w:left w:w="0" w:type="dxa"/>
            <w:right w:w="0" w:type="dxa"/>
          </w:tcMar>
        </w:tcPr>
        <w:p w:rsidR="00E16DBA" w:rsidRPr="005F263E" w:rsidRDefault="00E16DBA" w:rsidP="00245129">
          <w:pPr>
            <w:keepLines/>
            <w:tabs>
              <w:tab w:val="left" w:pos="-1440"/>
              <w:tab w:val="left" w:pos="-720"/>
            </w:tabs>
            <w:rPr>
              <w:sz w:val="20"/>
              <w:szCs w:val="20"/>
            </w:rPr>
          </w:pPr>
          <w:r w:rsidRPr="005F263E">
            <w:rPr>
              <w:sz w:val="20"/>
              <w:szCs w:val="20"/>
            </w:rPr>
            <w:t>RÉSUMÉS DES AFFAIRES</w:t>
          </w:r>
        </w:p>
      </w:tc>
    </w:tr>
  </w:tbl>
  <w:p w:rsidR="00E16DBA" w:rsidRDefault="00E16DBA" w:rsidP="005F263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16DBA" w:rsidRPr="0044776A" w:rsidTr="00245129">
      <w:tc>
        <w:tcPr>
          <w:tcW w:w="4290" w:type="dxa"/>
          <w:tcMar>
            <w:left w:w="0" w:type="dxa"/>
            <w:right w:w="0" w:type="dxa"/>
          </w:tcMar>
        </w:tcPr>
        <w:p w:rsidR="00E16DBA" w:rsidRPr="0044776A" w:rsidRDefault="00E16DB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16DBA" w:rsidRPr="0044776A" w:rsidRDefault="00E16DBA" w:rsidP="002E2327">
          <w:pPr>
            <w:keepNext/>
            <w:keepLines/>
            <w:tabs>
              <w:tab w:val="left" w:pos="-1440"/>
              <w:tab w:val="left" w:pos="-720"/>
            </w:tabs>
            <w:jc w:val="center"/>
            <w:rPr>
              <w:sz w:val="20"/>
              <w:szCs w:val="20"/>
            </w:rPr>
          </w:pPr>
        </w:p>
        <w:p w:rsidR="00E16DBA" w:rsidRPr="0044776A" w:rsidRDefault="00E16DBA" w:rsidP="002E2327">
          <w:pPr>
            <w:keepNext/>
            <w:keepLines/>
            <w:tabs>
              <w:tab w:val="left" w:pos="-1440"/>
              <w:tab w:val="left" w:pos="-720"/>
            </w:tabs>
            <w:jc w:val="center"/>
            <w:rPr>
              <w:sz w:val="20"/>
              <w:szCs w:val="20"/>
            </w:rPr>
          </w:pPr>
        </w:p>
        <w:p w:rsidR="00E16DBA" w:rsidRPr="0044776A" w:rsidRDefault="00E16DBA" w:rsidP="002E2327">
          <w:pPr>
            <w:keepNext/>
            <w:keepLines/>
            <w:tabs>
              <w:tab w:val="left" w:pos="-1440"/>
              <w:tab w:val="left" w:pos="-720"/>
            </w:tabs>
            <w:jc w:val="center"/>
            <w:rPr>
              <w:sz w:val="20"/>
              <w:szCs w:val="20"/>
            </w:rPr>
          </w:pPr>
        </w:p>
      </w:tc>
      <w:tc>
        <w:tcPr>
          <w:tcW w:w="4320" w:type="dxa"/>
          <w:tcMar>
            <w:left w:w="0" w:type="dxa"/>
            <w:right w:w="0" w:type="dxa"/>
          </w:tcMar>
        </w:tcPr>
        <w:p w:rsidR="00E16DBA" w:rsidRPr="0044776A" w:rsidRDefault="00E16DBA" w:rsidP="002E2327">
          <w:pPr>
            <w:keepLines/>
            <w:rPr>
              <w:sz w:val="20"/>
              <w:szCs w:val="20"/>
              <w:lang w:val="fr-CA"/>
            </w:rPr>
          </w:pPr>
          <w:r w:rsidRPr="0044776A">
            <w:rPr>
              <w:sz w:val="20"/>
              <w:szCs w:val="20"/>
              <w:lang w:val="fr-CA"/>
            </w:rPr>
            <w:t>DEMANDES D'AUTORISATION D'APPEL DÉPOSÉES</w:t>
          </w:r>
        </w:p>
      </w:tc>
    </w:tr>
  </w:tbl>
  <w:p w:rsidR="00E16DBA" w:rsidRDefault="00E16D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16DBA" w:rsidRPr="00EF277E" w:rsidTr="00245129">
      <w:tc>
        <w:tcPr>
          <w:tcW w:w="4200" w:type="dxa"/>
          <w:tcMar>
            <w:left w:w="0" w:type="dxa"/>
            <w:right w:w="0" w:type="dxa"/>
          </w:tcMar>
        </w:tcPr>
        <w:p w:rsidR="00E16DBA" w:rsidRPr="0044776A" w:rsidRDefault="00E16DBA" w:rsidP="0044776A">
          <w:pPr>
            <w:keepNext/>
            <w:keepLines/>
            <w:widowControl w:val="0"/>
            <w:rPr>
              <w:sz w:val="20"/>
              <w:szCs w:val="20"/>
            </w:rPr>
          </w:pPr>
          <w:r>
            <w:rPr>
              <w:sz w:val="20"/>
              <w:szCs w:val="20"/>
            </w:rPr>
            <w:t>APPLICATIONS FOR LEAVE</w:t>
          </w:r>
        </w:p>
        <w:p w:rsidR="00E16DBA" w:rsidRPr="0044776A" w:rsidRDefault="00E16DB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16DBA" w:rsidRPr="0044776A" w:rsidRDefault="00E16DBA" w:rsidP="0044776A">
          <w:pPr>
            <w:keepNext/>
            <w:keepLines/>
            <w:widowControl w:val="0"/>
            <w:jc w:val="center"/>
            <w:rPr>
              <w:sz w:val="20"/>
              <w:szCs w:val="20"/>
            </w:rPr>
          </w:pPr>
        </w:p>
        <w:p w:rsidR="00E16DBA" w:rsidRPr="0044776A" w:rsidRDefault="00E16DBA" w:rsidP="0044776A">
          <w:pPr>
            <w:keepNext/>
            <w:keepLines/>
            <w:widowControl w:val="0"/>
            <w:jc w:val="center"/>
            <w:rPr>
              <w:sz w:val="20"/>
              <w:szCs w:val="20"/>
            </w:rPr>
          </w:pPr>
        </w:p>
        <w:p w:rsidR="00E16DBA" w:rsidRPr="0044776A" w:rsidRDefault="00E16DBA" w:rsidP="0044776A">
          <w:pPr>
            <w:keepNext/>
            <w:keepLines/>
            <w:widowControl w:val="0"/>
            <w:jc w:val="center"/>
            <w:rPr>
              <w:sz w:val="20"/>
              <w:szCs w:val="20"/>
            </w:rPr>
          </w:pPr>
        </w:p>
      </w:tc>
      <w:tc>
        <w:tcPr>
          <w:tcW w:w="4080" w:type="dxa"/>
          <w:tcMar>
            <w:left w:w="0" w:type="dxa"/>
            <w:right w:w="0" w:type="dxa"/>
          </w:tcMar>
        </w:tcPr>
        <w:p w:rsidR="00E16DBA" w:rsidRPr="0044776A" w:rsidRDefault="00E16DBA" w:rsidP="0044776A">
          <w:pPr>
            <w:keepLines/>
            <w:widowControl w:val="0"/>
            <w:rPr>
              <w:sz w:val="20"/>
              <w:szCs w:val="20"/>
              <w:lang w:val="fr-CA"/>
            </w:rPr>
          </w:pPr>
          <w:r w:rsidRPr="0044776A">
            <w:rPr>
              <w:sz w:val="20"/>
              <w:szCs w:val="20"/>
              <w:lang w:val="fr-CA"/>
            </w:rPr>
            <w:t>DEMANDES SOUMISES À LA COUR DEPUIS LA DERNIÈRE PARUTION</w:t>
          </w:r>
        </w:p>
        <w:p w:rsidR="00E16DBA" w:rsidRPr="0044776A" w:rsidRDefault="00E16DBA" w:rsidP="0044776A">
          <w:pPr>
            <w:widowControl w:val="0"/>
            <w:rPr>
              <w:sz w:val="20"/>
              <w:szCs w:val="20"/>
              <w:lang w:val="fr-CA"/>
            </w:rPr>
          </w:pPr>
        </w:p>
      </w:tc>
    </w:tr>
  </w:tbl>
  <w:p w:rsidR="00E16DBA" w:rsidRPr="002E2327" w:rsidRDefault="00E16DBA">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BA" w:rsidRDefault="00E16D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16DBA" w:rsidRPr="00EF277E">
      <w:tc>
        <w:tcPr>
          <w:tcW w:w="4200" w:type="dxa"/>
          <w:tcMar>
            <w:left w:w="0" w:type="dxa"/>
            <w:right w:w="0" w:type="dxa"/>
          </w:tcMar>
        </w:tcPr>
        <w:p w:rsidR="00E16DBA" w:rsidRDefault="00E1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16DBA" w:rsidRDefault="00E1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16DBA" w:rsidRDefault="00E1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16DBA" w:rsidRPr="00FF6BA5" w:rsidRDefault="00E1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16DBA" w:rsidRPr="00FF6BA5"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16DBA" w:rsidRPr="00FF6BA5"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16DBA" w:rsidRPr="00FF6BA5" w:rsidRDefault="00E16D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16DBA" w:rsidRPr="00EF277E" w:rsidTr="00245129">
      <w:tc>
        <w:tcPr>
          <w:tcW w:w="4200" w:type="dxa"/>
          <w:tcMar>
            <w:left w:w="0" w:type="dxa"/>
            <w:right w:w="0" w:type="dxa"/>
          </w:tcMar>
        </w:tcPr>
        <w:p w:rsidR="00E16DBA" w:rsidRPr="00755F22" w:rsidRDefault="00E1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16DBA" w:rsidRPr="00755F22" w:rsidRDefault="00E16DB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16DBA" w:rsidRPr="00755F22" w:rsidRDefault="00E16D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16DBA" w:rsidRPr="00755F22" w:rsidRDefault="00E16D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16DBA" w:rsidRPr="00755F22" w:rsidRDefault="00E16DB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16DBA" w:rsidRPr="00755F22" w:rsidRDefault="00E16DB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16DBA" w:rsidRPr="00FF6BA5" w:rsidRDefault="00E16DBA"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85005"/>
  </w:hdrShapeDefaults>
  <w:footnotePr>
    <w:footnote w:id="-1"/>
    <w:footnote w:id="0"/>
  </w:footnotePr>
  <w:endnotePr>
    <w:endnote w:id="-1"/>
    <w:endnote w:id="0"/>
  </w:endnotePr>
  <w:compat>
    <w:compatSetting w:name="compatibilityMode" w:uri="http://schemas.microsoft.com/office/word" w:val="12"/>
  </w:compat>
  <w:rsids>
    <w:rsidRoot w:val="00205C6A"/>
    <w:rsid w:val="000002F7"/>
    <w:rsid w:val="00007F41"/>
    <w:rsid w:val="00020DC3"/>
    <w:rsid w:val="0003223B"/>
    <w:rsid w:val="000327B2"/>
    <w:rsid w:val="00043D8D"/>
    <w:rsid w:val="0004528B"/>
    <w:rsid w:val="00064FBA"/>
    <w:rsid w:val="00091FA6"/>
    <w:rsid w:val="00096BD9"/>
    <w:rsid w:val="000B0AAC"/>
    <w:rsid w:val="000B3C9A"/>
    <w:rsid w:val="000B40A2"/>
    <w:rsid w:val="000B4624"/>
    <w:rsid w:val="000C0ACD"/>
    <w:rsid w:val="000C0D2A"/>
    <w:rsid w:val="000C5CE8"/>
    <w:rsid w:val="000E2959"/>
    <w:rsid w:val="000F0B60"/>
    <w:rsid w:val="00102926"/>
    <w:rsid w:val="0010587F"/>
    <w:rsid w:val="00111C6B"/>
    <w:rsid w:val="0012102B"/>
    <w:rsid w:val="00121A5A"/>
    <w:rsid w:val="0013369E"/>
    <w:rsid w:val="00164E6D"/>
    <w:rsid w:val="00181ABB"/>
    <w:rsid w:val="00183454"/>
    <w:rsid w:val="001A1D63"/>
    <w:rsid w:val="001B157C"/>
    <w:rsid w:val="001B4006"/>
    <w:rsid w:val="001B5C23"/>
    <w:rsid w:val="001C56DA"/>
    <w:rsid w:val="001D0D5F"/>
    <w:rsid w:val="001D6B8C"/>
    <w:rsid w:val="001E60CC"/>
    <w:rsid w:val="001F1F83"/>
    <w:rsid w:val="001F40DF"/>
    <w:rsid w:val="001F6B2D"/>
    <w:rsid w:val="002021A9"/>
    <w:rsid w:val="00205C6A"/>
    <w:rsid w:val="002139A7"/>
    <w:rsid w:val="00215F7C"/>
    <w:rsid w:val="0022323B"/>
    <w:rsid w:val="0023049F"/>
    <w:rsid w:val="002410B8"/>
    <w:rsid w:val="00242AEE"/>
    <w:rsid w:val="00245129"/>
    <w:rsid w:val="00245879"/>
    <w:rsid w:val="00265275"/>
    <w:rsid w:val="00267FD5"/>
    <w:rsid w:val="00274D34"/>
    <w:rsid w:val="00283ED8"/>
    <w:rsid w:val="002868D0"/>
    <w:rsid w:val="0029560C"/>
    <w:rsid w:val="002A008C"/>
    <w:rsid w:val="002A27D1"/>
    <w:rsid w:val="002A4AFA"/>
    <w:rsid w:val="002B516C"/>
    <w:rsid w:val="002D7093"/>
    <w:rsid w:val="002D72EB"/>
    <w:rsid w:val="002E2327"/>
    <w:rsid w:val="002E3583"/>
    <w:rsid w:val="002E5576"/>
    <w:rsid w:val="002F7BF5"/>
    <w:rsid w:val="0032669B"/>
    <w:rsid w:val="00331B52"/>
    <w:rsid w:val="00332F45"/>
    <w:rsid w:val="003359D3"/>
    <w:rsid w:val="00355967"/>
    <w:rsid w:val="00360286"/>
    <w:rsid w:val="00382C47"/>
    <w:rsid w:val="00384384"/>
    <w:rsid w:val="003866AE"/>
    <w:rsid w:val="003B3977"/>
    <w:rsid w:val="003E1D4C"/>
    <w:rsid w:val="003F68A7"/>
    <w:rsid w:val="0040085A"/>
    <w:rsid w:val="004137A0"/>
    <w:rsid w:val="00420DDE"/>
    <w:rsid w:val="00422D9A"/>
    <w:rsid w:val="00432989"/>
    <w:rsid w:val="00440E24"/>
    <w:rsid w:val="0044776A"/>
    <w:rsid w:val="00453366"/>
    <w:rsid w:val="00460AFC"/>
    <w:rsid w:val="0047471F"/>
    <w:rsid w:val="004875A8"/>
    <w:rsid w:val="00487B4D"/>
    <w:rsid w:val="004A27E1"/>
    <w:rsid w:val="004B195E"/>
    <w:rsid w:val="004B66B4"/>
    <w:rsid w:val="004B7F60"/>
    <w:rsid w:val="004C1AAC"/>
    <w:rsid w:val="004C3886"/>
    <w:rsid w:val="004D3DC2"/>
    <w:rsid w:val="004E1E0A"/>
    <w:rsid w:val="004F090E"/>
    <w:rsid w:val="00501F3C"/>
    <w:rsid w:val="0052229C"/>
    <w:rsid w:val="00527CC7"/>
    <w:rsid w:val="00571CA4"/>
    <w:rsid w:val="00582136"/>
    <w:rsid w:val="005C6840"/>
    <w:rsid w:val="005E333F"/>
    <w:rsid w:val="005F1ED8"/>
    <w:rsid w:val="005F263E"/>
    <w:rsid w:val="00600252"/>
    <w:rsid w:val="00612A40"/>
    <w:rsid w:val="0062714A"/>
    <w:rsid w:val="00667D8B"/>
    <w:rsid w:val="00675479"/>
    <w:rsid w:val="00680709"/>
    <w:rsid w:val="00681F61"/>
    <w:rsid w:val="00693A24"/>
    <w:rsid w:val="00696BF9"/>
    <w:rsid w:val="00697C62"/>
    <w:rsid w:val="006A329B"/>
    <w:rsid w:val="006A7EB8"/>
    <w:rsid w:val="006B6926"/>
    <w:rsid w:val="006C3F47"/>
    <w:rsid w:val="006C5F7A"/>
    <w:rsid w:val="006E06AF"/>
    <w:rsid w:val="006F350F"/>
    <w:rsid w:val="00732DB7"/>
    <w:rsid w:val="0074238B"/>
    <w:rsid w:val="00745EF7"/>
    <w:rsid w:val="00755F22"/>
    <w:rsid w:val="00762075"/>
    <w:rsid w:val="00766E4A"/>
    <w:rsid w:val="007715C2"/>
    <w:rsid w:val="007820CE"/>
    <w:rsid w:val="00782AE4"/>
    <w:rsid w:val="0079724F"/>
    <w:rsid w:val="007A3EAE"/>
    <w:rsid w:val="007B467D"/>
    <w:rsid w:val="007C04FC"/>
    <w:rsid w:val="007C3DB0"/>
    <w:rsid w:val="007C47C2"/>
    <w:rsid w:val="007D3571"/>
    <w:rsid w:val="007D3E0F"/>
    <w:rsid w:val="007E4282"/>
    <w:rsid w:val="007F387B"/>
    <w:rsid w:val="00802863"/>
    <w:rsid w:val="008112A9"/>
    <w:rsid w:val="00815B3C"/>
    <w:rsid w:val="0081610A"/>
    <w:rsid w:val="00822961"/>
    <w:rsid w:val="0082783A"/>
    <w:rsid w:val="008301A6"/>
    <w:rsid w:val="00831CA9"/>
    <w:rsid w:val="00850E1F"/>
    <w:rsid w:val="0085476B"/>
    <w:rsid w:val="0086340B"/>
    <w:rsid w:val="00890FEB"/>
    <w:rsid w:val="00895E7E"/>
    <w:rsid w:val="008A1F42"/>
    <w:rsid w:val="008A5C1A"/>
    <w:rsid w:val="008D292F"/>
    <w:rsid w:val="008E03DC"/>
    <w:rsid w:val="008E5188"/>
    <w:rsid w:val="00902E51"/>
    <w:rsid w:val="00915ACF"/>
    <w:rsid w:val="00924065"/>
    <w:rsid w:val="00930D68"/>
    <w:rsid w:val="00932DB4"/>
    <w:rsid w:val="00941A4B"/>
    <w:rsid w:val="00946242"/>
    <w:rsid w:val="0095096B"/>
    <w:rsid w:val="00970CD3"/>
    <w:rsid w:val="009723FA"/>
    <w:rsid w:val="00984546"/>
    <w:rsid w:val="00996510"/>
    <w:rsid w:val="009C5A48"/>
    <w:rsid w:val="009D1F15"/>
    <w:rsid w:val="009D555E"/>
    <w:rsid w:val="009E55C9"/>
    <w:rsid w:val="009F1085"/>
    <w:rsid w:val="009F3024"/>
    <w:rsid w:val="009F32BD"/>
    <w:rsid w:val="009F39BA"/>
    <w:rsid w:val="00A0355E"/>
    <w:rsid w:val="00A375D1"/>
    <w:rsid w:val="00A456EE"/>
    <w:rsid w:val="00A51D10"/>
    <w:rsid w:val="00A52A83"/>
    <w:rsid w:val="00A53490"/>
    <w:rsid w:val="00A6552C"/>
    <w:rsid w:val="00A87207"/>
    <w:rsid w:val="00A935AA"/>
    <w:rsid w:val="00A956D3"/>
    <w:rsid w:val="00AB2201"/>
    <w:rsid w:val="00AD04F4"/>
    <w:rsid w:val="00AD19F6"/>
    <w:rsid w:val="00AD1D34"/>
    <w:rsid w:val="00AD3259"/>
    <w:rsid w:val="00AF1715"/>
    <w:rsid w:val="00AF3904"/>
    <w:rsid w:val="00AF4F51"/>
    <w:rsid w:val="00B010C0"/>
    <w:rsid w:val="00B4740D"/>
    <w:rsid w:val="00B61629"/>
    <w:rsid w:val="00B63B59"/>
    <w:rsid w:val="00B70227"/>
    <w:rsid w:val="00B7374B"/>
    <w:rsid w:val="00B90DC0"/>
    <w:rsid w:val="00BA116A"/>
    <w:rsid w:val="00BA5582"/>
    <w:rsid w:val="00BA6468"/>
    <w:rsid w:val="00BB1D44"/>
    <w:rsid w:val="00BD06DA"/>
    <w:rsid w:val="00BD4217"/>
    <w:rsid w:val="00BE56F1"/>
    <w:rsid w:val="00BF25F3"/>
    <w:rsid w:val="00C1697B"/>
    <w:rsid w:val="00C21644"/>
    <w:rsid w:val="00C21CB5"/>
    <w:rsid w:val="00C46376"/>
    <w:rsid w:val="00C50A5C"/>
    <w:rsid w:val="00C50FDF"/>
    <w:rsid w:val="00C63381"/>
    <w:rsid w:val="00C73D06"/>
    <w:rsid w:val="00C73E1B"/>
    <w:rsid w:val="00C759B4"/>
    <w:rsid w:val="00C77435"/>
    <w:rsid w:val="00C77713"/>
    <w:rsid w:val="00C85BB7"/>
    <w:rsid w:val="00CA2DEA"/>
    <w:rsid w:val="00CB1507"/>
    <w:rsid w:val="00CB3520"/>
    <w:rsid w:val="00CB43D5"/>
    <w:rsid w:val="00CC4D84"/>
    <w:rsid w:val="00CE198A"/>
    <w:rsid w:val="00CF08C8"/>
    <w:rsid w:val="00D004FC"/>
    <w:rsid w:val="00D144F6"/>
    <w:rsid w:val="00D176D0"/>
    <w:rsid w:val="00D23FB7"/>
    <w:rsid w:val="00D268B2"/>
    <w:rsid w:val="00D33F7D"/>
    <w:rsid w:val="00D64901"/>
    <w:rsid w:val="00D76BDF"/>
    <w:rsid w:val="00D818B6"/>
    <w:rsid w:val="00D862C1"/>
    <w:rsid w:val="00D93B50"/>
    <w:rsid w:val="00D94028"/>
    <w:rsid w:val="00D944BB"/>
    <w:rsid w:val="00D94670"/>
    <w:rsid w:val="00DA46F6"/>
    <w:rsid w:val="00DD0B49"/>
    <w:rsid w:val="00DD1C43"/>
    <w:rsid w:val="00DE0502"/>
    <w:rsid w:val="00DE349D"/>
    <w:rsid w:val="00E06DFA"/>
    <w:rsid w:val="00E14B88"/>
    <w:rsid w:val="00E16DBA"/>
    <w:rsid w:val="00E20A0A"/>
    <w:rsid w:val="00E240C2"/>
    <w:rsid w:val="00E356C7"/>
    <w:rsid w:val="00E41A5A"/>
    <w:rsid w:val="00E45FE4"/>
    <w:rsid w:val="00E64FA7"/>
    <w:rsid w:val="00E770CB"/>
    <w:rsid w:val="00E903A1"/>
    <w:rsid w:val="00E940EB"/>
    <w:rsid w:val="00E9703F"/>
    <w:rsid w:val="00EB2B90"/>
    <w:rsid w:val="00ED7E83"/>
    <w:rsid w:val="00EE091F"/>
    <w:rsid w:val="00EF277E"/>
    <w:rsid w:val="00EF4B63"/>
    <w:rsid w:val="00EF56B1"/>
    <w:rsid w:val="00F0068D"/>
    <w:rsid w:val="00F038E0"/>
    <w:rsid w:val="00F0576D"/>
    <w:rsid w:val="00F14E6D"/>
    <w:rsid w:val="00F15EA8"/>
    <w:rsid w:val="00F16C8D"/>
    <w:rsid w:val="00F23A34"/>
    <w:rsid w:val="00F26C61"/>
    <w:rsid w:val="00F33CCE"/>
    <w:rsid w:val="00F40249"/>
    <w:rsid w:val="00F526C8"/>
    <w:rsid w:val="00F761A3"/>
    <w:rsid w:val="00F9272D"/>
    <w:rsid w:val="00F9518C"/>
    <w:rsid w:val="00FA316E"/>
    <w:rsid w:val="00FA3373"/>
    <w:rsid w:val="00FA59EF"/>
    <w:rsid w:val="00FA611A"/>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50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CB150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81ABB"/>
    <w:rPr>
      <w:rFonts w:eastAsia="Times New Roman" w:cs="Times New Roman"/>
      <w:szCs w:val="20"/>
      <w:lang w:eastAsia="en-CA"/>
    </w:rPr>
  </w:style>
  <w:style w:type="table" w:customStyle="1" w:styleId="TableGrid3">
    <w:name w:val="Table Grid3"/>
    <w:basedOn w:val="TableNormal"/>
    <w:next w:val="TableGrid"/>
    <w:uiPriority w:val="59"/>
    <w:rsid w:val="0029560C"/>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875A8"/>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en/sk/skqb/doc/2011/2011skqb209/2011skqb209.html" TargetMode="External"/><Relationship Id="rId39" Type="http://schemas.openxmlformats.org/officeDocument/2006/relationships/hyperlink" Target="http://www.canlii.org/en/on/onca/doc/2014/2014onca689/2014onca689.html" TargetMode="External"/><Relationship Id="rId21" Type="http://schemas.openxmlformats.org/officeDocument/2006/relationships/footer" Target="footer6.xml"/><Relationship Id="rId34" Type="http://schemas.openxmlformats.org/officeDocument/2006/relationships/hyperlink" Target="http://www.canlii.org/en/sk/skca/doc/2014/2014skca110/2014skca110.html" TargetMode="External"/><Relationship Id="rId42" Type="http://schemas.openxmlformats.org/officeDocument/2006/relationships/hyperlink" Target="http://www.canlii.org/en/ca/fct/doc/2014/2014fc232/2014fc232.html"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footer" Target="footer16.xml"/><Relationship Id="rId68" Type="http://schemas.openxmlformats.org/officeDocument/2006/relationships/footer" Target="footer18.xml"/><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en/bc/bcca/doc/2014/2014bcca360/2014bcca36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en/sk/skqb/doc/2011/2011skqb209/2011skqb209.html" TargetMode="External"/><Relationship Id="rId32" Type="http://schemas.openxmlformats.org/officeDocument/2006/relationships/hyperlink" Target="http://www.canlii.org/en/sk/skqb/doc/2009/2009skqb466/2009skqb466.html" TargetMode="External"/><Relationship Id="rId37" Type="http://schemas.openxmlformats.org/officeDocument/2006/relationships/hyperlink" Target="http://www.canlii.org/en/sk/skca/doc/2014/2014skca110/2014skca110.html" TargetMode="External"/><Relationship Id="rId40" Type="http://schemas.openxmlformats.org/officeDocument/2006/relationships/hyperlink" Target="http://www.canlii.org/en/on/onsc/doc/2013/2013onsc851/2013onsc851.html" TargetMode="External"/><Relationship Id="rId45" Type="http://schemas.openxmlformats.org/officeDocument/2006/relationships/hyperlink" Target="http://www.canlii.org/en/ca/fct/doc/2014/2014fc233/2014fc233.html?searchUrlHash=AAAAAQANIjIwMTQgRkMgMjMyIgAAAAAB&amp;resultIndex=2" TargetMode="External"/><Relationship Id="rId53" Type="http://schemas.openxmlformats.org/officeDocument/2006/relationships/header" Target="header12.xml"/><Relationship Id="rId58" Type="http://schemas.openxmlformats.org/officeDocument/2006/relationships/header" Target="header14.xml"/><Relationship Id="rId66"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canlii.org/en/bc/bcsc/doc/2013/2013bcsc642/2013bcsc642.html" TargetMode="External"/><Relationship Id="rId36" Type="http://schemas.openxmlformats.org/officeDocument/2006/relationships/hyperlink" Target="http://www.canlii.org/en/sk/skqb/doc/2011/2011skqb293/2011skqb293.html?resultIndex=1" TargetMode="Externa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anlii.org/en/bc/bcca/doc/2014/2014bcca360/2014bcca360.html" TargetMode="External"/><Relationship Id="rId44" Type="http://schemas.openxmlformats.org/officeDocument/2006/relationships/hyperlink" Target="http://www.canlii.org/en/ca/fct/doc/2014/2014fc232/2014fc232.html" TargetMode="External"/><Relationship Id="rId52" Type="http://schemas.openxmlformats.org/officeDocument/2006/relationships/header" Target="header11.xml"/><Relationship Id="rId60" Type="http://schemas.openxmlformats.org/officeDocument/2006/relationships/footer" Target="footer14.xml"/><Relationship Id="rId65"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sk/skca/doc/2014/2014skca85/2014skca85.html?resultIndex=1" TargetMode="External"/><Relationship Id="rId30" Type="http://schemas.openxmlformats.org/officeDocument/2006/relationships/hyperlink" Target="http://www.canlii.org/en/bc/bcsc/doc/2013/2013bcsc642/2013bcsc642.html" TargetMode="External"/><Relationship Id="rId35" Type="http://schemas.openxmlformats.org/officeDocument/2006/relationships/hyperlink" Target="http://www.canlii.org/en/sk/skqb/doc/2009/2009skqb466/2009skqb466.html" TargetMode="External"/><Relationship Id="rId43" Type="http://schemas.openxmlformats.org/officeDocument/2006/relationships/hyperlink" Target="http://www.canlii.org/en/ca/fct/doc/2014/2014fc233/2014fc233.html?searchUrlHash=AAAAAQANIjIwMTQgRkMgMjMyIgAAAAAB&amp;resultIndex=2" TargetMode="External"/><Relationship Id="rId48" Type="http://schemas.openxmlformats.org/officeDocument/2006/relationships/footer" Target="footer8.xml"/><Relationship Id="rId56" Type="http://schemas.openxmlformats.org/officeDocument/2006/relationships/header" Target="header13.xml"/><Relationship Id="rId64" Type="http://schemas.openxmlformats.org/officeDocument/2006/relationships/hyperlink" Target="http://www.canlii.org/en/ca/laws/regu/sor-93-133/latest/sor-93-133.html" TargetMode="External"/><Relationship Id="rId69" Type="http://schemas.openxmlformats.org/officeDocument/2006/relationships/header" Target="header19.xml"/><Relationship Id="rId8" Type="http://schemas.openxmlformats.org/officeDocument/2006/relationships/hyperlink" Target="http://www.scc-csc.ca" TargetMode="External"/><Relationship Id="rId51" Type="http://schemas.openxmlformats.org/officeDocument/2006/relationships/footer" Target="footer10.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sk/skca/doc/2014/2014skca85/2014skca85.html?resultIndex=1" TargetMode="External"/><Relationship Id="rId33" Type="http://schemas.openxmlformats.org/officeDocument/2006/relationships/hyperlink" Target="http://www.canlii.org/en/sk/skqb/doc/2011/2011skqb293/2011skqb293.html?resultIndex=1" TargetMode="External"/><Relationship Id="rId38" Type="http://schemas.openxmlformats.org/officeDocument/2006/relationships/hyperlink" Target="http://www.canlii.org/en/on/onsc/doc/2013/2013onsc851/2013onsc851.html" TargetMode="External"/><Relationship Id="rId46" Type="http://schemas.openxmlformats.org/officeDocument/2006/relationships/header" Target="header8.xml"/><Relationship Id="rId59" Type="http://schemas.openxmlformats.org/officeDocument/2006/relationships/header" Target="header15.xml"/><Relationship Id="rId67"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yperlink" Target="http://www.canlii.org/en/on/onca/doc/2014/2014onca689/2014onca689.html" TargetMode="External"/><Relationship Id="rId54" Type="http://schemas.openxmlformats.org/officeDocument/2006/relationships/footer" Target="footer11.xml"/><Relationship Id="rId62" Type="http://schemas.openxmlformats.org/officeDocument/2006/relationships/header" Target="header16.xml"/><Relationship Id="rId70"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11959</Words>
  <Characters>68170</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2015-03-31T12:50:00Z</dcterms:created>
  <dcterms:modified xsi:type="dcterms:W3CDTF">2015-11-26T21:55:00Z</dcterms:modified>
</cp:coreProperties>
</file>