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37788"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3778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37788"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37788"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37788" w:rsidTr="002E5576">
        <w:tc>
          <w:tcPr>
            <w:tcW w:w="4518" w:type="dxa"/>
          </w:tcPr>
          <w:p w:rsidR="00BF25F3" w:rsidRPr="002E2327" w:rsidRDefault="00004B8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04B8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37788"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237788"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237788">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237788">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EC4319" w:rsidP="00F0068D">
      <w:pPr>
        <w:pBdr>
          <w:bottom w:val="single" w:sz="6" w:space="1" w:color="auto"/>
        </w:pBdr>
        <w:tabs>
          <w:tab w:val="center" w:pos="4680"/>
          <w:tab w:val="right" w:pos="9360"/>
        </w:tabs>
        <w:rPr>
          <w:lang w:val="fr-CA"/>
        </w:rPr>
      </w:pPr>
      <w:r>
        <w:rPr>
          <w:lang w:val="fr-CA"/>
        </w:rPr>
        <w:t>October 17</w:t>
      </w:r>
      <w:r w:rsidR="00440E24" w:rsidRPr="00675479">
        <w:rPr>
          <w:lang w:val="fr-CA"/>
        </w:rPr>
        <w:t>, 201</w:t>
      </w:r>
      <w:r w:rsidR="00501F3C">
        <w:rPr>
          <w:lang w:val="fr-CA"/>
        </w:rPr>
        <w:t>4</w:t>
      </w:r>
      <w:r w:rsidR="00F0068D" w:rsidRPr="00675479">
        <w:rPr>
          <w:lang w:val="fr-CA"/>
        </w:rPr>
        <w:tab/>
        <w:t>1</w:t>
      </w:r>
      <w:r w:rsidR="00B1010D">
        <w:rPr>
          <w:lang w:val="fr-CA"/>
        </w:rPr>
        <w:t>598</w:t>
      </w:r>
      <w:r w:rsidR="00F0068D" w:rsidRPr="00675479">
        <w:rPr>
          <w:lang w:val="fr-CA"/>
        </w:rPr>
        <w:t xml:space="preserve"> - </w:t>
      </w:r>
      <w:r w:rsidR="00E50A36">
        <w:rPr>
          <w:lang w:val="fr-CA"/>
        </w:rPr>
        <w:t>1628</w:t>
      </w:r>
      <w:r w:rsidR="00440E24" w:rsidRPr="00675479">
        <w:rPr>
          <w:lang w:val="fr-CA"/>
        </w:rPr>
        <w:tab/>
      </w:r>
      <w:r w:rsidR="00440E24" w:rsidRPr="002E2327">
        <w:rPr>
          <w:lang w:val="fr-CA"/>
        </w:rPr>
        <w:t>Le</w:t>
      </w:r>
      <w:r w:rsidR="00C73D06">
        <w:rPr>
          <w:lang w:val="fr-CA"/>
        </w:rPr>
        <w:t xml:space="preserve"> </w:t>
      </w:r>
      <w:r>
        <w:rPr>
          <w:lang w:val="fr-CA"/>
        </w:rPr>
        <w:t>17</w:t>
      </w:r>
      <w:r w:rsidR="00C73D06">
        <w:rPr>
          <w:lang w:val="fr-CA"/>
        </w:rPr>
        <w:t xml:space="preserve"> </w:t>
      </w:r>
      <w:r>
        <w:rPr>
          <w:lang w:val="fr-CA"/>
        </w:rPr>
        <w:t>octobre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37788"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1A47E1">
            <w:pPr>
              <w:tabs>
                <w:tab w:val="right" w:pos="9360"/>
              </w:tabs>
              <w:rPr>
                <w:rFonts w:cs="Times New Roman"/>
                <w:sz w:val="20"/>
                <w:szCs w:val="20"/>
              </w:rPr>
            </w:pPr>
          </w:p>
        </w:tc>
        <w:tc>
          <w:tcPr>
            <w:tcW w:w="1980" w:type="dxa"/>
          </w:tcPr>
          <w:p w:rsidR="0095096B" w:rsidRPr="002E2327" w:rsidRDefault="00B1010D" w:rsidP="0095096B">
            <w:pPr>
              <w:jc w:val="center"/>
              <w:rPr>
                <w:rFonts w:cs="Times New Roman"/>
                <w:sz w:val="20"/>
                <w:szCs w:val="20"/>
              </w:rPr>
            </w:pPr>
            <w:r>
              <w:rPr>
                <w:rFonts w:cs="Times New Roman"/>
                <w:sz w:val="20"/>
                <w:szCs w:val="20"/>
              </w:rPr>
              <w:t xml:space="preserve">1598 </w:t>
            </w:r>
            <w:r w:rsidR="00004B8E" w:rsidRPr="002E2327">
              <w:rPr>
                <w:rFonts w:cs="Times New Roman"/>
                <w:sz w:val="20"/>
                <w:szCs w:val="20"/>
              </w:rPr>
              <w:fldChar w:fldCharType="begin"/>
            </w:r>
            <w:r w:rsidR="0095096B" w:rsidRPr="002E2327">
              <w:rPr>
                <w:rFonts w:cs="Times New Roman"/>
                <w:sz w:val="20"/>
                <w:szCs w:val="20"/>
              </w:rPr>
              <w:instrText xml:space="preserve"> SEQ CHAPTER \h \r 1</w:instrText>
            </w:r>
            <w:r w:rsidR="00004B8E"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w:t>
            </w:r>
            <w:r w:rsidR="00FF3ED1">
              <w:rPr>
                <w:rFonts w:cs="Times New Roman"/>
                <w:sz w:val="20"/>
                <w:szCs w:val="20"/>
              </w:rPr>
              <w:t>1599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F3ED1" w:rsidP="0095096B">
            <w:pPr>
              <w:jc w:val="center"/>
              <w:rPr>
                <w:rFonts w:cs="Times New Roman"/>
                <w:sz w:val="20"/>
                <w:szCs w:val="20"/>
              </w:rPr>
            </w:pPr>
            <w:r>
              <w:rPr>
                <w:rFonts w:cs="Times New Roman"/>
                <w:sz w:val="20"/>
                <w:szCs w:val="20"/>
              </w:rPr>
              <w:t>1600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C3747" w:rsidP="0095096B">
            <w:pPr>
              <w:jc w:val="center"/>
              <w:rPr>
                <w:rFonts w:cs="Times New Roman"/>
                <w:sz w:val="20"/>
                <w:szCs w:val="20"/>
              </w:rPr>
            </w:pPr>
            <w:r>
              <w:rPr>
                <w:rFonts w:cs="Times New Roman"/>
                <w:sz w:val="20"/>
                <w:szCs w:val="20"/>
              </w:rPr>
              <w:t xml:space="preserve">1601 </w:t>
            </w:r>
            <w:r w:rsidR="0095096B" w:rsidRPr="002E2327">
              <w:rPr>
                <w:rFonts w:cs="Times New Roman"/>
                <w:sz w:val="20"/>
                <w:szCs w:val="20"/>
              </w:rPr>
              <w:t>-</w:t>
            </w:r>
            <w:r w:rsidR="00043881">
              <w:rPr>
                <w:rFonts w:cs="Times New Roman"/>
                <w:sz w:val="20"/>
                <w:szCs w:val="20"/>
              </w:rPr>
              <w:t xml:space="preserve"> 1607</w:t>
            </w:r>
          </w:p>
          <w:p w:rsidR="0095096B" w:rsidRPr="002E2327" w:rsidRDefault="0095096B" w:rsidP="0095096B">
            <w:pPr>
              <w:jc w:val="center"/>
              <w:rPr>
                <w:rFonts w:cs="Times New Roman"/>
                <w:sz w:val="20"/>
                <w:szCs w:val="20"/>
              </w:rPr>
            </w:pPr>
          </w:p>
          <w:p w:rsidR="00043881" w:rsidRDefault="00043881" w:rsidP="0095096B">
            <w:pPr>
              <w:jc w:val="center"/>
              <w:rPr>
                <w:rFonts w:cs="Times New Roman"/>
                <w:sz w:val="20"/>
                <w:szCs w:val="20"/>
              </w:rPr>
            </w:pPr>
          </w:p>
          <w:p w:rsidR="0095096B" w:rsidRPr="002E2327" w:rsidRDefault="00043881" w:rsidP="0095096B">
            <w:pPr>
              <w:jc w:val="center"/>
              <w:rPr>
                <w:rFonts w:cs="Times New Roman"/>
                <w:sz w:val="20"/>
                <w:szCs w:val="20"/>
              </w:rPr>
            </w:pPr>
            <w:r>
              <w:rPr>
                <w:rFonts w:cs="Times New Roman"/>
                <w:sz w:val="20"/>
                <w:szCs w:val="20"/>
              </w:rPr>
              <w:t xml:space="preserve">1608 </w:t>
            </w:r>
            <w:r w:rsidR="0095096B" w:rsidRPr="002E2327">
              <w:rPr>
                <w:rFonts w:cs="Times New Roman"/>
                <w:sz w:val="20"/>
                <w:szCs w:val="20"/>
              </w:rPr>
              <w:t>-</w:t>
            </w:r>
            <w:r>
              <w:rPr>
                <w:rFonts w:cs="Times New Roman"/>
                <w:sz w:val="20"/>
                <w:szCs w:val="20"/>
              </w:rPr>
              <w:t xml:space="preserve"> 1612</w:t>
            </w:r>
          </w:p>
          <w:p w:rsidR="0095096B" w:rsidRPr="002E2327" w:rsidRDefault="0095096B" w:rsidP="0095096B">
            <w:pPr>
              <w:jc w:val="center"/>
              <w:rPr>
                <w:rFonts w:cs="Times New Roman"/>
                <w:sz w:val="20"/>
                <w:szCs w:val="20"/>
              </w:rPr>
            </w:pPr>
          </w:p>
          <w:p w:rsidR="0095096B" w:rsidRPr="002E2327" w:rsidRDefault="00043881" w:rsidP="0095096B">
            <w:pPr>
              <w:jc w:val="center"/>
              <w:rPr>
                <w:rFonts w:cs="Times New Roman"/>
                <w:sz w:val="20"/>
                <w:szCs w:val="20"/>
              </w:rPr>
            </w:pPr>
            <w:r>
              <w:rPr>
                <w:rFonts w:cs="Times New Roman"/>
                <w:sz w:val="20"/>
                <w:szCs w:val="20"/>
              </w:rPr>
              <w:t xml:space="preserve">1613 </w:t>
            </w:r>
            <w:r w:rsidR="0095096B" w:rsidRPr="002E2327">
              <w:rPr>
                <w:rFonts w:cs="Times New Roman"/>
                <w:sz w:val="20"/>
                <w:szCs w:val="20"/>
              </w:rPr>
              <w:t>-</w:t>
            </w:r>
            <w:r w:rsidR="00505BD2">
              <w:rPr>
                <w:rFonts w:cs="Times New Roman"/>
                <w:sz w:val="20"/>
                <w:szCs w:val="20"/>
              </w:rPr>
              <w:t xml:space="preserve"> 1618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E50A36" w:rsidRPr="002E2327" w:rsidRDefault="00E50A36" w:rsidP="00E50A36">
            <w:pPr>
              <w:jc w:val="center"/>
              <w:rPr>
                <w:rFonts w:cs="Times New Roman"/>
                <w:sz w:val="20"/>
                <w:szCs w:val="20"/>
              </w:rPr>
            </w:pPr>
            <w:r>
              <w:rPr>
                <w:rFonts w:cs="Times New Roman"/>
                <w:sz w:val="20"/>
                <w:szCs w:val="20"/>
              </w:rPr>
              <w:t xml:space="preserve">1619 </w:t>
            </w:r>
            <w:r w:rsidRPr="002E2327">
              <w:rPr>
                <w:rFonts w:cs="Times New Roman"/>
                <w:sz w:val="20"/>
                <w:szCs w:val="20"/>
              </w:rPr>
              <w:t>-</w:t>
            </w:r>
            <w:r>
              <w:rPr>
                <w:rFonts w:cs="Times New Roman"/>
                <w:sz w:val="20"/>
                <w:szCs w:val="20"/>
              </w:rPr>
              <w:t xml:space="preserve"> 1620</w:t>
            </w:r>
          </w:p>
          <w:p w:rsidR="00043881" w:rsidRDefault="00043881" w:rsidP="0095096B">
            <w:pPr>
              <w:jc w:val="center"/>
              <w:rPr>
                <w:rFonts w:cs="Times New Roman"/>
                <w:sz w:val="20"/>
                <w:szCs w:val="20"/>
              </w:rPr>
            </w:pPr>
          </w:p>
          <w:p w:rsidR="00043881" w:rsidRDefault="00043881" w:rsidP="0095096B">
            <w:pPr>
              <w:jc w:val="center"/>
              <w:rPr>
                <w:rFonts w:cs="Times New Roman"/>
                <w:sz w:val="20"/>
                <w:szCs w:val="20"/>
              </w:rPr>
            </w:pPr>
          </w:p>
          <w:p w:rsidR="0095096B" w:rsidRPr="002E2327" w:rsidRDefault="00505BD2" w:rsidP="0095096B">
            <w:pPr>
              <w:jc w:val="center"/>
              <w:rPr>
                <w:rFonts w:cs="Times New Roman"/>
                <w:sz w:val="20"/>
                <w:szCs w:val="20"/>
              </w:rPr>
            </w:pPr>
            <w:r>
              <w:rPr>
                <w:rFonts w:cs="Times New Roman"/>
                <w:sz w:val="20"/>
                <w:szCs w:val="20"/>
              </w:rPr>
              <w:t>162</w:t>
            </w:r>
            <w:r w:rsidR="00E50A36">
              <w:rPr>
                <w:rFonts w:cs="Times New Roman"/>
                <w:sz w:val="20"/>
                <w:szCs w:val="20"/>
              </w:rPr>
              <w:t>1</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w:t>
            </w:r>
            <w:r w:rsidR="00E50A36">
              <w:rPr>
                <w:rFonts w:cs="Times New Roman"/>
                <w:sz w:val="20"/>
                <w:szCs w:val="20"/>
              </w:rPr>
              <w:t>1627</w:t>
            </w:r>
          </w:p>
          <w:p w:rsidR="0095096B" w:rsidRPr="002E2327" w:rsidRDefault="0095096B" w:rsidP="0095096B">
            <w:pPr>
              <w:jc w:val="center"/>
              <w:rPr>
                <w:rFonts w:cs="Times New Roman"/>
                <w:sz w:val="20"/>
                <w:szCs w:val="20"/>
              </w:rPr>
            </w:pPr>
          </w:p>
          <w:p w:rsidR="0095096B" w:rsidRPr="002E2327" w:rsidRDefault="00E50A36" w:rsidP="0095096B">
            <w:pPr>
              <w:jc w:val="center"/>
              <w:rPr>
                <w:rFonts w:cs="Times New Roman"/>
                <w:sz w:val="20"/>
                <w:szCs w:val="20"/>
              </w:rPr>
            </w:pPr>
            <w:r>
              <w:rPr>
                <w:rFonts w:cs="Times New Roman"/>
                <w:sz w:val="20"/>
                <w:szCs w:val="20"/>
              </w:rPr>
              <w:t>1628</w:t>
            </w:r>
          </w:p>
          <w:p w:rsidR="00A87207" w:rsidRPr="002E2327" w:rsidRDefault="00A87207" w:rsidP="00043881">
            <w:pPr>
              <w:jc w:val="center"/>
              <w:rPr>
                <w:rFonts w:cs="Times New Roman"/>
                <w:sz w:val="20"/>
                <w:szCs w:val="20"/>
              </w:rPr>
            </w:pPr>
          </w:p>
        </w:tc>
        <w:tc>
          <w:tcPr>
            <w:tcW w:w="3888" w:type="dxa"/>
          </w:tcPr>
          <w:p w:rsidR="0095096B" w:rsidRPr="002E2327" w:rsidRDefault="00004B8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1A47E1">
            <w:pPr>
              <w:tabs>
                <w:tab w:val="right" w:pos="9360"/>
              </w:tabs>
              <w:rPr>
                <w:rFonts w:cs="Times New Roman"/>
                <w:sz w:val="20"/>
                <w:szCs w:val="20"/>
                <w:lang w:val="fr-CA"/>
              </w:rPr>
            </w:pPr>
          </w:p>
        </w:tc>
      </w:tr>
    </w:tbl>
    <w:p w:rsidR="0095096B" w:rsidRPr="00615A51" w:rsidRDefault="0095096B" w:rsidP="0095096B">
      <w:pPr>
        <w:tabs>
          <w:tab w:val="right" w:pos="9360"/>
        </w:tabs>
        <w:rPr>
          <w:lang w:val="fr-CA"/>
        </w:rPr>
      </w:pPr>
    </w:p>
    <w:p w:rsidR="001A47E1" w:rsidRPr="00615A51" w:rsidRDefault="001A47E1" w:rsidP="0095096B">
      <w:pPr>
        <w:tabs>
          <w:tab w:val="right" w:pos="9360"/>
        </w:tabs>
        <w:rPr>
          <w:lang w:val="fr-CA"/>
        </w:rPr>
      </w:pPr>
    </w:p>
    <w:p w:rsidR="001A47E1" w:rsidRPr="00615A51" w:rsidRDefault="001A47E1" w:rsidP="0095096B">
      <w:pPr>
        <w:tabs>
          <w:tab w:val="right" w:pos="9360"/>
        </w:tabs>
        <w:rPr>
          <w:lang w:val="fr-CA"/>
        </w:rPr>
      </w:pPr>
    </w:p>
    <w:p w:rsidR="001A47E1" w:rsidRPr="00615A51" w:rsidRDefault="001A47E1" w:rsidP="0095096B">
      <w:pPr>
        <w:tabs>
          <w:tab w:val="right" w:pos="9360"/>
        </w:tabs>
        <w:rPr>
          <w:lang w:val="fr-CA"/>
        </w:rPr>
      </w:pPr>
    </w:p>
    <w:p w:rsidR="001A47E1" w:rsidRPr="00615A51" w:rsidRDefault="001A47E1"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237788"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B63AF" w:rsidRPr="00C21644" w:rsidTr="003B3977">
        <w:tc>
          <w:tcPr>
            <w:tcW w:w="4320" w:type="dxa"/>
            <w:shd w:val="clear" w:color="auto" w:fill="auto"/>
          </w:tcPr>
          <w:p w:rsidR="000B63AF" w:rsidRPr="00A935AA" w:rsidRDefault="000B63AF" w:rsidP="005F1ED8">
            <w:pPr>
              <w:rPr>
                <w:b/>
                <w:sz w:val="20"/>
                <w:szCs w:val="20"/>
              </w:rPr>
            </w:pPr>
            <w:r>
              <w:rPr>
                <w:b/>
                <w:sz w:val="20"/>
                <w:szCs w:val="20"/>
              </w:rPr>
              <w:t>Terry Theo Thompson</w:t>
            </w:r>
          </w:p>
          <w:p w:rsidR="000B63AF" w:rsidRPr="00A935AA" w:rsidRDefault="000B63AF" w:rsidP="005F1ED8">
            <w:pPr>
              <w:tabs>
                <w:tab w:val="left" w:pos="-1440"/>
                <w:tab w:val="left" w:pos="-720"/>
              </w:tabs>
              <w:rPr>
                <w:sz w:val="20"/>
                <w:szCs w:val="20"/>
              </w:rPr>
            </w:pPr>
            <w:r w:rsidRPr="00A935AA">
              <w:rPr>
                <w:sz w:val="20"/>
                <w:szCs w:val="20"/>
              </w:rPr>
              <w:tab/>
            </w:r>
            <w:r w:rsidR="002C592F">
              <w:rPr>
                <w:sz w:val="20"/>
                <w:szCs w:val="20"/>
              </w:rPr>
              <w:t>Terry T</w:t>
            </w:r>
            <w:r>
              <w:rPr>
                <w:sz w:val="20"/>
                <w:szCs w:val="20"/>
              </w:rPr>
              <w:t>h</w:t>
            </w:r>
            <w:r w:rsidR="002C592F">
              <w:rPr>
                <w:sz w:val="20"/>
                <w:szCs w:val="20"/>
              </w:rPr>
              <w:t>e</w:t>
            </w:r>
            <w:r>
              <w:rPr>
                <w:sz w:val="20"/>
                <w:szCs w:val="20"/>
              </w:rPr>
              <w:t>o</w:t>
            </w:r>
            <w:r w:rsidR="002C592F">
              <w:rPr>
                <w:sz w:val="20"/>
                <w:szCs w:val="20"/>
              </w:rPr>
              <w:t xml:space="preserve"> Thomp</w:t>
            </w:r>
            <w:r>
              <w:rPr>
                <w:sz w:val="20"/>
                <w:szCs w:val="20"/>
              </w:rPr>
              <w:t>s</w:t>
            </w:r>
            <w:r w:rsidR="002C592F">
              <w:rPr>
                <w:sz w:val="20"/>
                <w:szCs w:val="20"/>
              </w:rPr>
              <w:t>o</w:t>
            </w:r>
            <w:r>
              <w:rPr>
                <w:sz w:val="20"/>
                <w:szCs w:val="20"/>
              </w:rPr>
              <w:t xml:space="preserve">n </w:t>
            </w:r>
          </w:p>
          <w:p w:rsidR="000B63AF" w:rsidRPr="002C592F" w:rsidRDefault="000B63AF" w:rsidP="005F1ED8">
            <w:pPr>
              <w:tabs>
                <w:tab w:val="left" w:pos="-1440"/>
                <w:tab w:val="left" w:pos="-720"/>
              </w:tabs>
              <w:rPr>
                <w:sz w:val="20"/>
                <w:szCs w:val="20"/>
              </w:rPr>
            </w:pPr>
          </w:p>
          <w:p w:rsidR="000B63AF" w:rsidRPr="002C592F" w:rsidRDefault="000B63AF" w:rsidP="005F1ED8">
            <w:pPr>
              <w:tabs>
                <w:tab w:val="left" w:pos="-1440"/>
                <w:tab w:val="left" w:pos="-720"/>
              </w:tabs>
              <w:rPr>
                <w:sz w:val="20"/>
                <w:szCs w:val="20"/>
              </w:rPr>
            </w:pPr>
            <w:r w:rsidRPr="002C592F">
              <w:rPr>
                <w:sz w:val="20"/>
                <w:szCs w:val="20"/>
              </w:rPr>
              <w:tab/>
              <w:t>v. (36</w:t>
            </w:r>
            <w:r w:rsidR="002C592F" w:rsidRPr="002C592F">
              <w:rPr>
                <w:sz w:val="20"/>
                <w:szCs w:val="20"/>
              </w:rPr>
              <w:t>111</w:t>
            </w:r>
            <w:r w:rsidRPr="002C592F">
              <w:rPr>
                <w:sz w:val="20"/>
                <w:szCs w:val="20"/>
              </w:rPr>
              <w:t>)</w:t>
            </w:r>
          </w:p>
          <w:p w:rsidR="000B63AF" w:rsidRPr="002C592F" w:rsidRDefault="000B63AF" w:rsidP="005F1ED8">
            <w:pPr>
              <w:tabs>
                <w:tab w:val="left" w:pos="-1440"/>
                <w:tab w:val="left" w:pos="-720"/>
              </w:tabs>
              <w:rPr>
                <w:sz w:val="20"/>
                <w:szCs w:val="20"/>
              </w:rPr>
            </w:pPr>
          </w:p>
          <w:p w:rsidR="000B63AF" w:rsidRPr="00A935AA" w:rsidRDefault="000B63AF" w:rsidP="005F1ED8">
            <w:pPr>
              <w:tabs>
                <w:tab w:val="left" w:pos="-1440"/>
                <w:tab w:val="left" w:pos="-720"/>
              </w:tabs>
              <w:rPr>
                <w:b/>
                <w:sz w:val="20"/>
                <w:szCs w:val="20"/>
              </w:rPr>
            </w:pPr>
            <w:r w:rsidRPr="000B63AF">
              <w:rPr>
                <w:b/>
                <w:sz w:val="20"/>
                <w:szCs w:val="20"/>
              </w:rPr>
              <w:t>Her Majesty the Queen</w:t>
            </w:r>
            <w:r w:rsidRPr="000B63AF">
              <w:rPr>
                <w:sz w:val="20"/>
                <w:szCs w:val="20"/>
              </w:rPr>
              <w:t xml:space="preserve"> </w:t>
            </w:r>
            <w:r w:rsidRPr="00A935AA">
              <w:rPr>
                <w:b/>
                <w:sz w:val="20"/>
                <w:szCs w:val="20"/>
              </w:rPr>
              <w:t>(</w:t>
            </w:r>
            <w:r>
              <w:rPr>
                <w:b/>
                <w:sz w:val="20"/>
                <w:szCs w:val="20"/>
              </w:rPr>
              <w:t>Ont</w:t>
            </w:r>
            <w:r w:rsidRPr="00A935AA">
              <w:rPr>
                <w:b/>
                <w:sz w:val="20"/>
                <w:szCs w:val="20"/>
              </w:rPr>
              <w:t>.)</w:t>
            </w:r>
          </w:p>
          <w:p w:rsidR="002C592F" w:rsidRPr="00A935AA" w:rsidRDefault="000B63AF" w:rsidP="002C592F">
            <w:pPr>
              <w:tabs>
                <w:tab w:val="left" w:pos="-1440"/>
                <w:tab w:val="left" w:pos="-720"/>
              </w:tabs>
              <w:rPr>
                <w:sz w:val="20"/>
                <w:szCs w:val="20"/>
              </w:rPr>
            </w:pPr>
            <w:r w:rsidRPr="00A935AA">
              <w:rPr>
                <w:sz w:val="20"/>
                <w:szCs w:val="20"/>
              </w:rPr>
              <w:tab/>
            </w:r>
            <w:r w:rsidR="002C592F">
              <w:rPr>
                <w:sz w:val="20"/>
                <w:szCs w:val="20"/>
              </w:rPr>
              <w:t>Nicholas E</w:t>
            </w:r>
            <w:r w:rsidR="00FF3ED1">
              <w:rPr>
                <w:sz w:val="20"/>
                <w:szCs w:val="20"/>
              </w:rPr>
              <w:t>.</w:t>
            </w:r>
            <w:r w:rsidR="002C592F">
              <w:rPr>
                <w:sz w:val="20"/>
                <w:szCs w:val="20"/>
              </w:rPr>
              <w:t xml:space="preserve"> Devlin </w:t>
            </w:r>
          </w:p>
          <w:p w:rsidR="002C592F" w:rsidRPr="002C592F" w:rsidRDefault="002C592F" w:rsidP="002C592F">
            <w:pPr>
              <w:tabs>
                <w:tab w:val="left" w:pos="-1440"/>
                <w:tab w:val="left" w:pos="-720"/>
              </w:tabs>
              <w:rPr>
                <w:sz w:val="20"/>
                <w:szCs w:val="20"/>
              </w:rPr>
            </w:pPr>
            <w:r w:rsidRPr="00A935AA">
              <w:rPr>
                <w:sz w:val="20"/>
                <w:szCs w:val="20"/>
              </w:rPr>
              <w:tab/>
            </w:r>
            <w:r w:rsidRPr="002C592F">
              <w:rPr>
                <w:sz w:val="20"/>
                <w:szCs w:val="20"/>
              </w:rPr>
              <w:t>Public Prosecution Service of Canada</w:t>
            </w:r>
          </w:p>
          <w:p w:rsidR="000B63AF" w:rsidRPr="00A935AA" w:rsidRDefault="000B63AF" w:rsidP="005F1ED8">
            <w:pPr>
              <w:tabs>
                <w:tab w:val="left" w:pos="-1440"/>
                <w:tab w:val="left" w:pos="-720"/>
              </w:tabs>
              <w:rPr>
                <w:sz w:val="20"/>
                <w:szCs w:val="20"/>
              </w:rPr>
            </w:pPr>
          </w:p>
          <w:p w:rsidR="000B63AF" w:rsidRPr="00A935AA" w:rsidRDefault="000B63AF" w:rsidP="002C592F">
            <w:pPr>
              <w:rPr>
                <w:sz w:val="20"/>
                <w:szCs w:val="20"/>
              </w:rPr>
            </w:pPr>
            <w:r w:rsidRPr="00A935AA">
              <w:rPr>
                <w:sz w:val="20"/>
                <w:szCs w:val="20"/>
              </w:rPr>
              <w:t xml:space="preserve">FILING DATE: </w:t>
            </w:r>
            <w:r w:rsidR="002C592F">
              <w:rPr>
                <w:sz w:val="20"/>
                <w:szCs w:val="20"/>
              </w:rPr>
              <w:t>21</w:t>
            </w:r>
            <w:r w:rsidRPr="00A935AA">
              <w:rPr>
                <w:sz w:val="20"/>
                <w:szCs w:val="20"/>
              </w:rPr>
              <w:t>.</w:t>
            </w:r>
            <w:r w:rsidR="002C592F">
              <w:rPr>
                <w:sz w:val="20"/>
                <w:szCs w:val="20"/>
              </w:rPr>
              <w:t>07</w:t>
            </w:r>
            <w:r w:rsidRPr="00A935AA">
              <w:rPr>
                <w:sz w:val="20"/>
                <w:szCs w:val="20"/>
              </w:rPr>
              <w:t>.201</w:t>
            </w:r>
            <w:r w:rsidR="002C592F">
              <w:rPr>
                <w:sz w:val="20"/>
                <w:szCs w:val="20"/>
              </w:rPr>
              <w:t>4</w:t>
            </w:r>
            <w:r w:rsidR="0023778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0B63AF" w:rsidRPr="00A935AA" w:rsidRDefault="000B63AF" w:rsidP="00242AEE">
            <w:pPr>
              <w:jc w:val="center"/>
              <w:rPr>
                <w:sz w:val="20"/>
                <w:szCs w:val="20"/>
              </w:rPr>
            </w:pPr>
          </w:p>
          <w:p w:rsidR="000B63AF" w:rsidRPr="00A935AA" w:rsidRDefault="000B63AF" w:rsidP="00242AEE">
            <w:pPr>
              <w:jc w:val="center"/>
              <w:rPr>
                <w:sz w:val="20"/>
                <w:szCs w:val="20"/>
              </w:rPr>
            </w:pPr>
          </w:p>
          <w:p w:rsidR="000B63AF" w:rsidRPr="00A935AA" w:rsidRDefault="000B63AF" w:rsidP="00242AEE">
            <w:pPr>
              <w:jc w:val="center"/>
              <w:rPr>
                <w:sz w:val="20"/>
                <w:szCs w:val="20"/>
              </w:rPr>
            </w:pPr>
          </w:p>
          <w:p w:rsidR="000B63AF" w:rsidRPr="00A935AA" w:rsidRDefault="000B63AF" w:rsidP="00242AEE">
            <w:pPr>
              <w:jc w:val="center"/>
              <w:rPr>
                <w:sz w:val="20"/>
                <w:szCs w:val="20"/>
              </w:rPr>
            </w:pPr>
          </w:p>
          <w:p w:rsidR="000B63AF" w:rsidRPr="00A935AA" w:rsidRDefault="000B63AF" w:rsidP="00242AEE">
            <w:pPr>
              <w:jc w:val="center"/>
              <w:rPr>
                <w:sz w:val="20"/>
                <w:szCs w:val="20"/>
              </w:rPr>
            </w:pPr>
          </w:p>
          <w:p w:rsidR="000B63AF" w:rsidRPr="00A935AA" w:rsidRDefault="000B63AF" w:rsidP="00242AEE">
            <w:pPr>
              <w:jc w:val="center"/>
              <w:rPr>
                <w:sz w:val="20"/>
                <w:szCs w:val="20"/>
              </w:rPr>
            </w:pPr>
          </w:p>
          <w:p w:rsidR="000B63AF" w:rsidRPr="00A935AA" w:rsidRDefault="000B63AF" w:rsidP="00242AEE">
            <w:pPr>
              <w:jc w:val="center"/>
              <w:rPr>
                <w:sz w:val="20"/>
                <w:szCs w:val="20"/>
              </w:rPr>
            </w:pPr>
          </w:p>
          <w:p w:rsidR="000B63AF" w:rsidRPr="00A935AA" w:rsidRDefault="000B63AF" w:rsidP="00242AEE">
            <w:pPr>
              <w:jc w:val="center"/>
              <w:rPr>
                <w:sz w:val="20"/>
                <w:szCs w:val="20"/>
              </w:rPr>
            </w:pPr>
          </w:p>
          <w:p w:rsidR="000B63AF" w:rsidRPr="00A935AA" w:rsidRDefault="000B63AF" w:rsidP="00242AEE">
            <w:pPr>
              <w:jc w:val="center"/>
              <w:rPr>
                <w:sz w:val="20"/>
                <w:szCs w:val="20"/>
              </w:rPr>
            </w:pPr>
          </w:p>
          <w:p w:rsidR="000B63AF" w:rsidRPr="00A935AA" w:rsidRDefault="000B63AF" w:rsidP="00242AEE">
            <w:pPr>
              <w:jc w:val="center"/>
              <w:rPr>
                <w:sz w:val="20"/>
                <w:szCs w:val="20"/>
              </w:rPr>
            </w:pPr>
          </w:p>
          <w:p w:rsidR="000B63AF" w:rsidRPr="00A935AA" w:rsidRDefault="000B63AF" w:rsidP="00242AEE">
            <w:pPr>
              <w:jc w:val="center"/>
              <w:rPr>
                <w:sz w:val="20"/>
                <w:szCs w:val="20"/>
              </w:rPr>
            </w:pPr>
          </w:p>
          <w:p w:rsidR="000B63AF" w:rsidRPr="00A935AA" w:rsidRDefault="000B63AF" w:rsidP="00242AEE">
            <w:pPr>
              <w:jc w:val="center"/>
              <w:rPr>
                <w:sz w:val="20"/>
                <w:szCs w:val="20"/>
              </w:rPr>
            </w:pPr>
          </w:p>
        </w:tc>
        <w:tc>
          <w:tcPr>
            <w:tcW w:w="4320" w:type="dxa"/>
            <w:shd w:val="clear" w:color="auto" w:fill="auto"/>
          </w:tcPr>
          <w:p w:rsidR="000B63AF" w:rsidRPr="00A935AA" w:rsidRDefault="002C592F" w:rsidP="000B63AF">
            <w:pPr>
              <w:rPr>
                <w:b/>
                <w:sz w:val="20"/>
                <w:szCs w:val="20"/>
              </w:rPr>
            </w:pPr>
            <w:r>
              <w:rPr>
                <w:b/>
                <w:sz w:val="20"/>
                <w:szCs w:val="20"/>
              </w:rPr>
              <w:t>Robert Glen Harrison</w:t>
            </w:r>
          </w:p>
          <w:p w:rsidR="000B63AF" w:rsidRPr="00A935AA" w:rsidRDefault="000B63AF" w:rsidP="000B63AF">
            <w:pPr>
              <w:tabs>
                <w:tab w:val="left" w:pos="-1440"/>
                <w:tab w:val="left" w:pos="-720"/>
              </w:tabs>
              <w:rPr>
                <w:sz w:val="20"/>
                <w:szCs w:val="20"/>
              </w:rPr>
            </w:pPr>
            <w:r w:rsidRPr="00A935AA">
              <w:rPr>
                <w:sz w:val="20"/>
                <w:szCs w:val="20"/>
              </w:rPr>
              <w:tab/>
            </w:r>
            <w:r w:rsidR="002C592F">
              <w:rPr>
                <w:sz w:val="20"/>
                <w:szCs w:val="20"/>
              </w:rPr>
              <w:t>Robert Glen Harrison</w:t>
            </w:r>
          </w:p>
          <w:p w:rsidR="000B63AF" w:rsidRPr="00A935AA" w:rsidRDefault="000B63AF" w:rsidP="000B63AF">
            <w:pPr>
              <w:tabs>
                <w:tab w:val="left" w:pos="-1440"/>
                <w:tab w:val="left" w:pos="-720"/>
              </w:tabs>
              <w:rPr>
                <w:sz w:val="20"/>
                <w:szCs w:val="20"/>
              </w:rPr>
            </w:pPr>
          </w:p>
          <w:p w:rsidR="000B63AF" w:rsidRPr="00A935AA" w:rsidRDefault="000B63AF" w:rsidP="000B63AF">
            <w:pPr>
              <w:tabs>
                <w:tab w:val="left" w:pos="-1440"/>
                <w:tab w:val="left" w:pos="-720"/>
              </w:tabs>
              <w:rPr>
                <w:sz w:val="20"/>
                <w:szCs w:val="20"/>
              </w:rPr>
            </w:pPr>
            <w:r w:rsidRPr="00A935AA">
              <w:rPr>
                <w:sz w:val="20"/>
                <w:szCs w:val="20"/>
              </w:rPr>
              <w:tab/>
              <w:t>v. (3</w:t>
            </w:r>
            <w:r w:rsidR="002C592F">
              <w:rPr>
                <w:sz w:val="20"/>
                <w:szCs w:val="20"/>
              </w:rPr>
              <w:t>6073</w:t>
            </w:r>
            <w:r w:rsidRPr="00A935AA">
              <w:rPr>
                <w:sz w:val="20"/>
                <w:szCs w:val="20"/>
              </w:rPr>
              <w:t>)</w:t>
            </w:r>
          </w:p>
          <w:p w:rsidR="000B63AF" w:rsidRPr="00A935AA" w:rsidRDefault="000B63AF" w:rsidP="000B63AF">
            <w:pPr>
              <w:tabs>
                <w:tab w:val="left" w:pos="-1440"/>
                <w:tab w:val="left" w:pos="-720"/>
              </w:tabs>
              <w:rPr>
                <w:sz w:val="20"/>
                <w:szCs w:val="20"/>
              </w:rPr>
            </w:pPr>
          </w:p>
          <w:p w:rsidR="000B63AF" w:rsidRPr="00A935AA" w:rsidRDefault="002C592F" w:rsidP="000B63AF">
            <w:pPr>
              <w:tabs>
                <w:tab w:val="left" w:pos="-1440"/>
                <w:tab w:val="left" w:pos="-720"/>
              </w:tabs>
              <w:rPr>
                <w:b/>
                <w:sz w:val="20"/>
                <w:szCs w:val="20"/>
              </w:rPr>
            </w:pPr>
            <w:r>
              <w:rPr>
                <w:b/>
                <w:sz w:val="20"/>
                <w:szCs w:val="20"/>
              </w:rPr>
              <w:t xml:space="preserve">Her Majesty the Queen in Right of the Province of British Columbia et al. </w:t>
            </w:r>
            <w:r w:rsidR="000B63AF" w:rsidRPr="00A935AA">
              <w:rPr>
                <w:b/>
                <w:sz w:val="20"/>
                <w:szCs w:val="20"/>
              </w:rPr>
              <w:t>(</w:t>
            </w:r>
            <w:r>
              <w:rPr>
                <w:b/>
                <w:sz w:val="20"/>
                <w:szCs w:val="20"/>
              </w:rPr>
              <w:t>B.C</w:t>
            </w:r>
            <w:r w:rsidR="000B63AF" w:rsidRPr="00A935AA">
              <w:rPr>
                <w:b/>
                <w:sz w:val="20"/>
                <w:szCs w:val="20"/>
              </w:rPr>
              <w:t>.)</w:t>
            </w:r>
          </w:p>
          <w:p w:rsidR="000B63AF" w:rsidRPr="00A935AA" w:rsidRDefault="000B63AF" w:rsidP="000B63AF">
            <w:pPr>
              <w:tabs>
                <w:tab w:val="left" w:pos="-1440"/>
                <w:tab w:val="left" w:pos="-720"/>
              </w:tabs>
              <w:rPr>
                <w:sz w:val="20"/>
                <w:szCs w:val="20"/>
              </w:rPr>
            </w:pPr>
            <w:r w:rsidRPr="00A935AA">
              <w:rPr>
                <w:sz w:val="20"/>
                <w:szCs w:val="20"/>
              </w:rPr>
              <w:tab/>
            </w:r>
            <w:r w:rsidR="002C592F">
              <w:rPr>
                <w:sz w:val="20"/>
                <w:szCs w:val="20"/>
              </w:rPr>
              <w:t>J. Gareth Morley</w:t>
            </w:r>
          </w:p>
          <w:p w:rsidR="000B63AF" w:rsidRPr="00A935AA" w:rsidRDefault="000B63AF" w:rsidP="000B63AF">
            <w:pPr>
              <w:tabs>
                <w:tab w:val="left" w:pos="-1440"/>
                <w:tab w:val="left" w:pos="-720"/>
              </w:tabs>
              <w:rPr>
                <w:sz w:val="20"/>
                <w:szCs w:val="20"/>
              </w:rPr>
            </w:pPr>
            <w:r w:rsidRPr="00A935AA">
              <w:rPr>
                <w:sz w:val="20"/>
                <w:szCs w:val="20"/>
              </w:rPr>
              <w:tab/>
            </w:r>
            <w:r w:rsidR="002C592F">
              <w:rPr>
                <w:sz w:val="20"/>
                <w:szCs w:val="20"/>
              </w:rPr>
              <w:t>A.G. of British Columbia</w:t>
            </w:r>
          </w:p>
          <w:p w:rsidR="000B63AF" w:rsidRPr="00A935AA" w:rsidRDefault="000B63AF" w:rsidP="000B63AF">
            <w:pPr>
              <w:tabs>
                <w:tab w:val="left" w:pos="-1440"/>
                <w:tab w:val="left" w:pos="-720"/>
              </w:tabs>
              <w:rPr>
                <w:sz w:val="20"/>
                <w:szCs w:val="20"/>
              </w:rPr>
            </w:pPr>
          </w:p>
          <w:p w:rsidR="000B63AF" w:rsidRPr="00A935AA" w:rsidRDefault="000B63AF" w:rsidP="002C592F">
            <w:pPr>
              <w:rPr>
                <w:sz w:val="20"/>
                <w:szCs w:val="20"/>
              </w:rPr>
            </w:pPr>
            <w:r w:rsidRPr="00A935AA">
              <w:rPr>
                <w:sz w:val="20"/>
                <w:szCs w:val="20"/>
              </w:rPr>
              <w:t>FILING DATE: 2</w:t>
            </w:r>
            <w:r w:rsidR="002C592F">
              <w:rPr>
                <w:sz w:val="20"/>
                <w:szCs w:val="20"/>
              </w:rPr>
              <w:t>0</w:t>
            </w:r>
            <w:r w:rsidRPr="00A935AA">
              <w:rPr>
                <w:sz w:val="20"/>
                <w:szCs w:val="20"/>
              </w:rPr>
              <w:t>.0</w:t>
            </w:r>
            <w:r w:rsidR="002C592F">
              <w:rPr>
                <w:sz w:val="20"/>
                <w:szCs w:val="20"/>
              </w:rPr>
              <w:t>8</w:t>
            </w:r>
            <w:r w:rsidRPr="00A935AA">
              <w:rPr>
                <w:sz w:val="20"/>
                <w:szCs w:val="20"/>
              </w:rPr>
              <w:t>.201</w:t>
            </w:r>
            <w:r>
              <w:rPr>
                <w:sz w:val="20"/>
                <w:szCs w:val="20"/>
              </w:rPr>
              <w:t>4</w:t>
            </w:r>
            <w:r w:rsidR="00237788">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615A51" w:rsidRDefault="002C592F" w:rsidP="003B3977">
            <w:pPr>
              <w:rPr>
                <w:b/>
                <w:sz w:val="20"/>
                <w:szCs w:val="20"/>
                <w:lang w:val="fr-CA"/>
              </w:rPr>
            </w:pPr>
            <w:r w:rsidRPr="00615A51">
              <w:rPr>
                <w:b/>
                <w:sz w:val="20"/>
                <w:szCs w:val="20"/>
                <w:lang w:val="fr-CA"/>
              </w:rPr>
              <w:t>Stephen Glover</w:t>
            </w:r>
          </w:p>
          <w:p w:rsidR="00C21644" w:rsidRPr="00615A51" w:rsidRDefault="00C21644" w:rsidP="003B3977">
            <w:pPr>
              <w:tabs>
                <w:tab w:val="left" w:pos="-1440"/>
                <w:tab w:val="left" w:pos="-720"/>
              </w:tabs>
              <w:rPr>
                <w:sz w:val="20"/>
                <w:szCs w:val="20"/>
                <w:lang w:val="fr-CA"/>
              </w:rPr>
            </w:pPr>
            <w:r w:rsidRPr="00615A51">
              <w:rPr>
                <w:sz w:val="20"/>
                <w:szCs w:val="20"/>
                <w:lang w:val="fr-CA"/>
              </w:rPr>
              <w:tab/>
            </w:r>
            <w:r w:rsidR="002C592F" w:rsidRPr="00615A51">
              <w:rPr>
                <w:sz w:val="20"/>
                <w:szCs w:val="20"/>
                <w:lang w:val="fr-CA"/>
              </w:rPr>
              <w:t>Michel Pouliot</w:t>
            </w:r>
          </w:p>
          <w:p w:rsidR="00C21644" w:rsidRPr="00615A51" w:rsidRDefault="00C21644" w:rsidP="003B3977">
            <w:pPr>
              <w:tabs>
                <w:tab w:val="left" w:pos="-1440"/>
                <w:tab w:val="left" w:pos="-720"/>
              </w:tabs>
              <w:rPr>
                <w:sz w:val="20"/>
                <w:szCs w:val="20"/>
                <w:lang w:val="fr-CA"/>
              </w:rPr>
            </w:pPr>
          </w:p>
          <w:p w:rsidR="00C21644" w:rsidRPr="002C592F" w:rsidRDefault="00C21644" w:rsidP="003B3977">
            <w:pPr>
              <w:tabs>
                <w:tab w:val="left" w:pos="-1440"/>
                <w:tab w:val="left" w:pos="-720"/>
              </w:tabs>
              <w:rPr>
                <w:sz w:val="20"/>
                <w:szCs w:val="20"/>
                <w:lang w:val="fr-CA"/>
              </w:rPr>
            </w:pPr>
            <w:r w:rsidRPr="00615A51">
              <w:rPr>
                <w:sz w:val="20"/>
                <w:szCs w:val="20"/>
                <w:lang w:val="fr-CA"/>
              </w:rPr>
              <w:tab/>
            </w:r>
            <w:r w:rsidR="002C592F" w:rsidRPr="002C592F">
              <w:rPr>
                <w:sz w:val="20"/>
                <w:szCs w:val="20"/>
                <w:lang w:val="fr-CA"/>
              </w:rPr>
              <w:t>c</w:t>
            </w:r>
            <w:r w:rsidRPr="002C592F">
              <w:rPr>
                <w:sz w:val="20"/>
                <w:szCs w:val="20"/>
                <w:lang w:val="fr-CA"/>
              </w:rPr>
              <w:t>. (3</w:t>
            </w:r>
            <w:r w:rsidR="002C592F" w:rsidRPr="002C592F">
              <w:rPr>
                <w:sz w:val="20"/>
                <w:szCs w:val="20"/>
                <w:lang w:val="fr-CA"/>
              </w:rPr>
              <w:t>608</w:t>
            </w:r>
            <w:r w:rsidRPr="002C592F">
              <w:rPr>
                <w:sz w:val="20"/>
                <w:szCs w:val="20"/>
                <w:lang w:val="fr-CA"/>
              </w:rPr>
              <w:t>5)</w:t>
            </w:r>
          </w:p>
          <w:p w:rsidR="00C21644" w:rsidRPr="002C592F" w:rsidRDefault="00C21644" w:rsidP="003B3977">
            <w:pPr>
              <w:tabs>
                <w:tab w:val="left" w:pos="-1440"/>
                <w:tab w:val="left" w:pos="-720"/>
              </w:tabs>
              <w:rPr>
                <w:sz w:val="20"/>
                <w:szCs w:val="20"/>
                <w:lang w:val="fr-CA"/>
              </w:rPr>
            </w:pPr>
          </w:p>
          <w:p w:rsidR="00C21644" w:rsidRPr="002C592F" w:rsidRDefault="002C592F" w:rsidP="003B3977">
            <w:pPr>
              <w:tabs>
                <w:tab w:val="left" w:pos="-1440"/>
                <w:tab w:val="left" w:pos="-720"/>
              </w:tabs>
              <w:rPr>
                <w:b/>
                <w:sz w:val="20"/>
                <w:szCs w:val="20"/>
                <w:lang w:val="fr-CA"/>
              </w:rPr>
            </w:pPr>
            <w:r w:rsidRPr="002C592F">
              <w:rPr>
                <w:b/>
                <w:sz w:val="20"/>
                <w:szCs w:val="20"/>
                <w:lang w:val="fr-CA"/>
              </w:rPr>
              <w:t xml:space="preserve">Fédération des producteurs acéricoles du Québec et autres </w:t>
            </w:r>
            <w:r w:rsidR="00C21644" w:rsidRPr="002C592F">
              <w:rPr>
                <w:b/>
                <w:sz w:val="20"/>
                <w:szCs w:val="20"/>
                <w:lang w:val="fr-CA"/>
              </w:rPr>
              <w:t>(</w:t>
            </w:r>
            <w:r w:rsidRPr="002C592F">
              <w:rPr>
                <w:b/>
                <w:sz w:val="20"/>
                <w:szCs w:val="20"/>
                <w:lang w:val="fr-CA"/>
              </w:rPr>
              <w:t>Qc</w:t>
            </w:r>
            <w:r w:rsidR="00C21644" w:rsidRPr="002C592F">
              <w:rPr>
                <w:b/>
                <w:sz w:val="20"/>
                <w:szCs w:val="20"/>
                <w:lang w:val="fr-CA"/>
              </w:rPr>
              <w:t>)</w:t>
            </w:r>
          </w:p>
          <w:p w:rsidR="00C21644" w:rsidRPr="002C592F" w:rsidRDefault="00C21644" w:rsidP="003B3977">
            <w:pPr>
              <w:tabs>
                <w:tab w:val="left" w:pos="-1440"/>
                <w:tab w:val="left" w:pos="-720"/>
              </w:tabs>
              <w:rPr>
                <w:sz w:val="20"/>
                <w:szCs w:val="20"/>
                <w:lang w:val="fr-CA"/>
              </w:rPr>
            </w:pPr>
            <w:r w:rsidRPr="002C592F">
              <w:rPr>
                <w:sz w:val="20"/>
                <w:szCs w:val="20"/>
                <w:lang w:val="fr-CA"/>
              </w:rPr>
              <w:tab/>
            </w:r>
            <w:r w:rsidR="002C592F">
              <w:rPr>
                <w:sz w:val="20"/>
                <w:szCs w:val="20"/>
                <w:lang w:val="fr-CA"/>
              </w:rPr>
              <w:t>Mathieu Turcotte</w:t>
            </w:r>
          </w:p>
          <w:p w:rsidR="00C21644" w:rsidRPr="002C592F" w:rsidRDefault="00C21644" w:rsidP="003B3977">
            <w:pPr>
              <w:tabs>
                <w:tab w:val="left" w:pos="-1440"/>
                <w:tab w:val="left" w:pos="-720"/>
              </w:tabs>
              <w:rPr>
                <w:sz w:val="20"/>
                <w:szCs w:val="20"/>
                <w:lang w:val="fr-CA"/>
              </w:rPr>
            </w:pPr>
            <w:r w:rsidRPr="002C592F">
              <w:rPr>
                <w:sz w:val="20"/>
                <w:szCs w:val="20"/>
                <w:lang w:val="fr-CA"/>
              </w:rPr>
              <w:tab/>
            </w:r>
            <w:r w:rsidR="002C592F">
              <w:rPr>
                <w:sz w:val="20"/>
                <w:szCs w:val="20"/>
                <w:lang w:val="fr-CA"/>
              </w:rPr>
              <w:t>Dufresne Hébert Comeau inc.</w:t>
            </w:r>
          </w:p>
          <w:p w:rsidR="00C21644" w:rsidRPr="002C592F" w:rsidRDefault="00C21644" w:rsidP="003B3977">
            <w:pPr>
              <w:tabs>
                <w:tab w:val="left" w:pos="-1440"/>
                <w:tab w:val="left" w:pos="-720"/>
              </w:tabs>
              <w:rPr>
                <w:sz w:val="20"/>
                <w:szCs w:val="20"/>
                <w:lang w:val="fr-CA"/>
              </w:rPr>
            </w:pPr>
          </w:p>
          <w:p w:rsidR="00C21644" w:rsidRPr="00A935AA" w:rsidRDefault="002C592F" w:rsidP="002C592F">
            <w:pPr>
              <w:rPr>
                <w:sz w:val="20"/>
                <w:szCs w:val="20"/>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26</w:t>
            </w:r>
            <w:r w:rsidRPr="00806A5B">
              <w:rPr>
                <w:sz w:val="20"/>
                <w:szCs w:val="20"/>
                <w:lang w:val="fr-CA"/>
              </w:rPr>
              <w:t>.0</w:t>
            </w:r>
            <w:r>
              <w:rPr>
                <w:sz w:val="20"/>
                <w:szCs w:val="20"/>
                <w:lang w:val="fr-CA"/>
              </w:rPr>
              <w:t>9</w:t>
            </w:r>
            <w:r w:rsidRPr="00806A5B">
              <w:rPr>
                <w:sz w:val="20"/>
                <w:szCs w:val="20"/>
                <w:lang w:val="fr-CA"/>
              </w:rPr>
              <w:t>.2014</w:t>
            </w:r>
            <w:r w:rsidR="00237788">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3B3977">
            <w:pPr>
              <w:keepNext/>
              <w:keepLines/>
              <w:tabs>
                <w:tab w:val="left" w:pos="-1440"/>
                <w:tab w:val="left" w:pos="-720"/>
              </w:tabs>
              <w:rPr>
                <w:b/>
                <w:sz w:val="20"/>
                <w:szCs w:val="20"/>
              </w:rPr>
            </w:pPr>
          </w:p>
          <w:p w:rsidR="002C592F" w:rsidRPr="002C592F" w:rsidRDefault="002C592F" w:rsidP="003B3977">
            <w:pPr>
              <w:keepNext/>
              <w:keepLines/>
              <w:tabs>
                <w:tab w:val="left" w:pos="-1440"/>
                <w:tab w:val="left" w:pos="-720"/>
              </w:tabs>
              <w:rPr>
                <w:b/>
                <w:sz w:val="20"/>
                <w:szCs w:val="20"/>
              </w:rPr>
            </w:pPr>
            <w:r>
              <w:rPr>
                <w:b/>
                <w:sz w:val="20"/>
                <w:szCs w:val="20"/>
              </w:rPr>
              <w:t>Albert George Muckle</w:t>
            </w:r>
          </w:p>
          <w:p w:rsidR="00C21644" w:rsidRPr="002C592F" w:rsidRDefault="00C21644" w:rsidP="003B3977">
            <w:pPr>
              <w:keepNext/>
              <w:keepLines/>
              <w:tabs>
                <w:tab w:val="left" w:pos="-1440"/>
                <w:tab w:val="left" w:pos="-720"/>
              </w:tabs>
              <w:rPr>
                <w:sz w:val="20"/>
                <w:szCs w:val="20"/>
              </w:rPr>
            </w:pPr>
            <w:r w:rsidRPr="002C592F">
              <w:rPr>
                <w:sz w:val="20"/>
                <w:szCs w:val="20"/>
              </w:rPr>
              <w:tab/>
            </w:r>
            <w:r w:rsidR="002C592F">
              <w:rPr>
                <w:sz w:val="20"/>
                <w:szCs w:val="20"/>
              </w:rPr>
              <w:t>Albert George Muckle</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2C592F">
              <w:rPr>
                <w:sz w:val="20"/>
                <w:szCs w:val="20"/>
              </w:rPr>
              <w:t>6121</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2C592F" w:rsidP="003B3977">
            <w:pPr>
              <w:keepNext/>
              <w:keepLines/>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Alta</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2C592F">
              <w:rPr>
                <w:sz w:val="20"/>
                <w:szCs w:val="20"/>
              </w:rPr>
              <w:t>Goran Tomljanovic, Q.C.</w:t>
            </w:r>
          </w:p>
          <w:p w:rsidR="00C21644" w:rsidRPr="00A935AA" w:rsidRDefault="00C21644" w:rsidP="003B3977">
            <w:pPr>
              <w:keepNext/>
              <w:keepLines/>
              <w:tabs>
                <w:tab w:val="left" w:pos="-1440"/>
                <w:tab w:val="left" w:pos="-720"/>
              </w:tabs>
              <w:rPr>
                <w:sz w:val="20"/>
                <w:szCs w:val="20"/>
              </w:rPr>
            </w:pPr>
            <w:r w:rsidRPr="00A935AA">
              <w:rPr>
                <w:sz w:val="20"/>
                <w:szCs w:val="20"/>
              </w:rPr>
              <w:tab/>
            </w:r>
            <w:r w:rsidR="002C592F">
              <w:rPr>
                <w:sz w:val="20"/>
                <w:szCs w:val="20"/>
              </w:rPr>
              <w:t>A.G. of Alberta</w:t>
            </w:r>
          </w:p>
          <w:p w:rsidR="00C21644" w:rsidRPr="00A935AA" w:rsidRDefault="00C21644" w:rsidP="003B3977">
            <w:pPr>
              <w:keepNext/>
              <w:keepLines/>
              <w:tabs>
                <w:tab w:val="left" w:pos="-1440"/>
                <w:tab w:val="left" w:pos="-720"/>
              </w:tabs>
              <w:rPr>
                <w:sz w:val="20"/>
                <w:szCs w:val="20"/>
              </w:rPr>
            </w:pPr>
          </w:p>
          <w:p w:rsidR="00C21644" w:rsidRPr="00A935AA" w:rsidRDefault="00C21644" w:rsidP="002C592F">
            <w:pPr>
              <w:rPr>
                <w:sz w:val="20"/>
                <w:szCs w:val="20"/>
              </w:rPr>
            </w:pPr>
            <w:r w:rsidRPr="00A935AA">
              <w:rPr>
                <w:sz w:val="20"/>
                <w:szCs w:val="20"/>
              </w:rPr>
              <w:t>FILING DATE: 2</w:t>
            </w:r>
            <w:r w:rsidR="002C592F">
              <w:rPr>
                <w:sz w:val="20"/>
                <w:szCs w:val="20"/>
              </w:rPr>
              <w:t>3</w:t>
            </w:r>
            <w:r w:rsidRPr="00A935AA">
              <w:rPr>
                <w:sz w:val="20"/>
                <w:szCs w:val="20"/>
              </w:rPr>
              <w:t>.0</w:t>
            </w:r>
            <w:r w:rsidR="002C592F">
              <w:rPr>
                <w:sz w:val="20"/>
                <w:szCs w:val="20"/>
              </w:rPr>
              <w:t>9</w:t>
            </w:r>
            <w:r w:rsidRPr="00A935AA">
              <w:rPr>
                <w:sz w:val="20"/>
                <w:szCs w:val="20"/>
              </w:rPr>
              <w:t>.201</w:t>
            </w:r>
            <w:r>
              <w:rPr>
                <w:sz w:val="20"/>
                <w:szCs w:val="20"/>
              </w:rPr>
              <w:t>4</w:t>
            </w:r>
            <w:r w:rsidR="00237788">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2C592F" w:rsidP="005F1ED8">
            <w:pPr>
              <w:rPr>
                <w:b/>
                <w:sz w:val="20"/>
                <w:szCs w:val="20"/>
              </w:rPr>
            </w:pPr>
            <w:r>
              <w:rPr>
                <w:b/>
                <w:sz w:val="20"/>
                <w:szCs w:val="20"/>
              </w:rPr>
              <w:t>Robert Shular</w:t>
            </w:r>
          </w:p>
          <w:p w:rsidR="00C21644" w:rsidRPr="00A935AA" w:rsidRDefault="00C21644" w:rsidP="005F1ED8">
            <w:pPr>
              <w:tabs>
                <w:tab w:val="left" w:pos="-1440"/>
                <w:tab w:val="left" w:pos="-720"/>
              </w:tabs>
              <w:rPr>
                <w:sz w:val="20"/>
                <w:szCs w:val="20"/>
              </w:rPr>
            </w:pPr>
            <w:r w:rsidRPr="00A935AA">
              <w:rPr>
                <w:sz w:val="20"/>
                <w:szCs w:val="20"/>
              </w:rPr>
              <w:tab/>
            </w:r>
            <w:r w:rsidR="002C592F">
              <w:rPr>
                <w:sz w:val="20"/>
                <w:szCs w:val="20"/>
              </w:rPr>
              <w:t>Peter J. Royal, Q.C.</w:t>
            </w:r>
          </w:p>
          <w:p w:rsidR="00C21644" w:rsidRPr="00A935AA" w:rsidRDefault="00C21644" w:rsidP="005F1ED8">
            <w:pPr>
              <w:tabs>
                <w:tab w:val="left" w:pos="-1440"/>
                <w:tab w:val="left" w:pos="-720"/>
              </w:tabs>
              <w:rPr>
                <w:sz w:val="20"/>
                <w:szCs w:val="20"/>
              </w:rPr>
            </w:pPr>
            <w:r w:rsidRPr="00A935AA">
              <w:rPr>
                <w:sz w:val="20"/>
                <w:szCs w:val="20"/>
              </w:rPr>
              <w:tab/>
            </w:r>
            <w:r w:rsidR="002C592F">
              <w:rPr>
                <w:sz w:val="20"/>
                <w:szCs w:val="20"/>
              </w:rPr>
              <w:t>Royal Teskey</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2C592F">
              <w:rPr>
                <w:sz w:val="20"/>
                <w:szCs w:val="20"/>
              </w:rPr>
              <w:t>6086</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2C592F"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Al</w:t>
            </w:r>
            <w:r w:rsidR="00C21644">
              <w:rPr>
                <w:b/>
                <w:sz w:val="20"/>
                <w:szCs w:val="20"/>
              </w:rPr>
              <w:t>t</w:t>
            </w:r>
            <w:r>
              <w:rPr>
                <w:b/>
                <w:sz w:val="20"/>
                <w:szCs w:val="20"/>
              </w:rPr>
              <w: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2C592F">
              <w:rPr>
                <w:sz w:val="20"/>
                <w:szCs w:val="20"/>
              </w:rPr>
              <w:t>Susan D. Hughson, Q.C.</w:t>
            </w:r>
          </w:p>
          <w:p w:rsidR="00C21644" w:rsidRPr="00A935AA" w:rsidRDefault="00C21644" w:rsidP="005F1ED8">
            <w:pPr>
              <w:tabs>
                <w:tab w:val="left" w:pos="-1440"/>
                <w:tab w:val="left" w:pos="-720"/>
              </w:tabs>
              <w:rPr>
                <w:sz w:val="20"/>
                <w:szCs w:val="20"/>
              </w:rPr>
            </w:pPr>
            <w:r w:rsidRPr="00A935AA">
              <w:rPr>
                <w:sz w:val="20"/>
                <w:szCs w:val="20"/>
              </w:rPr>
              <w:tab/>
            </w:r>
            <w:r w:rsidR="002C592F">
              <w:rPr>
                <w:sz w:val="20"/>
                <w:szCs w:val="20"/>
              </w:rPr>
              <w:t>A.G. of Alberta</w:t>
            </w:r>
          </w:p>
          <w:p w:rsidR="00C21644" w:rsidRPr="00A935AA" w:rsidRDefault="00C21644" w:rsidP="005F1ED8">
            <w:pPr>
              <w:tabs>
                <w:tab w:val="left" w:pos="-1440"/>
                <w:tab w:val="left" w:pos="-720"/>
              </w:tabs>
              <w:rPr>
                <w:sz w:val="20"/>
                <w:szCs w:val="20"/>
              </w:rPr>
            </w:pPr>
          </w:p>
          <w:p w:rsidR="00C21644" w:rsidRPr="00A935AA" w:rsidRDefault="00C21644" w:rsidP="002C592F">
            <w:pPr>
              <w:rPr>
                <w:sz w:val="20"/>
                <w:szCs w:val="20"/>
              </w:rPr>
            </w:pPr>
            <w:r w:rsidRPr="00A935AA">
              <w:rPr>
                <w:sz w:val="20"/>
                <w:szCs w:val="20"/>
              </w:rPr>
              <w:t>FILING DATE: 2</w:t>
            </w:r>
            <w:r w:rsidR="002C592F">
              <w:rPr>
                <w:sz w:val="20"/>
                <w:szCs w:val="20"/>
              </w:rPr>
              <w:t>6</w:t>
            </w:r>
            <w:r w:rsidRPr="00A935AA">
              <w:rPr>
                <w:sz w:val="20"/>
                <w:szCs w:val="20"/>
              </w:rPr>
              <w:t>.0</w:t>
            </w:r>
            <w:r w:rsidR="002C592F">
              <w:rPr>
                <w:sz w:val="20"/>
                <w:szCs w:val="20"/>
              </w:rPr>
              <w:t>9</w:t>
            </w:r>
            <w:r w:rsidRPr="00A935AA">
              <w:rPr>
                <w:sz w:val="20"/>
                <w:szCs w:val="20"/>
              </w:rPr>
              <w:t>.201</w:t>
            </w:r>
            <w:r>
              <w:rPr>
                <w:sz w:val="20"/>
                <w:szCs w:val="20"/>
              </w:rPr>
              <w:t>4</w:t>
            </w:r>
            <w:r w:rsidR="00237788">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2C592F" w:rsidP="005F1ED8">
            <w:pPr>
              <w:rPr>
                <w:b/>
                <w:sz w:val="20"/>
                <w:szCs w:val="20"/>
              </w:rPr>
            </w:pPr>
            <w:r>
              <w:rPr>
                <w:b/>
                <w:sz w:val="20"/>
                <w:szCs w:val="20"/>
              </w:rPr>
              <w:t>Lyle Agar</w:t>
            </w:r>
          </w:p>
          <w:p w:rsidR="00C21644" w:rsidRPr="00A935AA" w:rsidRDefault="00C21644" w:rsidP="005F1ED8">
            <w:pPr>
              <w:tabs>
                <w:tab w:val="left" w:pos="-1440"/>
                <w:tab w:val="left" w:pos="-720"/>
              </w:tabs>
              <w:rPr>
                <w:sz w:val="20"/>
                <w:szCs w:val="20"/>
              </w:rPr>
            </w:pPr>
            <w:r w:rsidRPr="00A935AA">
              <w:rPr>
                <w:sz w:val="20"/>
                <w:szCs w:val="20"/>
              </w:rPr>
              <w:tab/>
            </w:r>
            <w:r w:rsidR="002C592F">
              <w:rPr>
                <w:sz w:val="20"/>
                <w:szCs w:val="20"/>
              </w:rPr>
              <w:t>Gary L.F. Somers</w:t>
            </w:r>
            <w:r w:rsidR="001B47E2">
              <w:rPr>
                <w:sz w:val="20"/>
                <w:szCs w:val="20"/>
              </w:rPr>
              <w:t>, Q.C.</w:t>
            </w:r>
          </w:p>
          <w:p w:rsidR="00C21644" w:rsidRPr="00A935AA" w:rsidRDefault="00C21644" w:rsidP="005F1ED8">
            <w:pPr>
              <w:tabs>
                <w:tab w:val="left" w:pos="-1440"/>
                <w:tab w:val="left" w:pos="-720"/>
              </w:tabs>
              <w:rPr>
                <w:sz w:val="20"/>
                <w:szCs w:val="20"/>
              </w:rPr>
            </w:pPr>
            <w:r w:rsidRPr="00A935AA">
              <w:rPr>
                <w:sz w:val="20"/>
                <w:szCs w:val="20"/>
              </w:rPr>
              <w:tab/>
            </w:r>
            <w:r w:rsidR="002C592F">
              <w:rPr>
                <w:sz w:val="20"/>
                <w:szCs w:val="20"/>
              </w:rPr>
              <w:t>Somers &amp; Company</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2C592F">
              <w:rPr>
                <w:sz w:val="20"/>
                <w:szCs w:val="20"/>
              </w:rPr>
              <w:t>6090</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2C592F" w:rsidP="005F1ED8">
            <w:pPr>
              <w:tabs>
                <w:tab w:val="left" w:pos="-1440"/>
                <w:tab w:val="left" w:pos="-720"/>
              </w:tabs>
              <w:rPr>
                <w:b/>
                <w:sz w:val="20"/>
                <w:szCs w:val="20"/>
              </w:rPr>
            </w:pPr>
            <w:r>
              <w:rPr>
                <w:b/>
                <w:sz w:val="20"/>
                <w:szCs w:val="20"/>
              </w:rPr>
              <w:t xml:space="preserve">Ulrich Weber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2C592F">
              <w:rPr>
                <w:sz w:val="20"/>
                <w:szCs w:val="20"/>
              </w:rPr>
              <w:t>John M. Moshonas</w:t>
            </w:r>
          </w:p>
          <w:p w:rsidR="00C21644" w:rsidRPr="00A935AA" w:rsidRDefault="00C21644" w:rsidP="005F1ED8">
            <w:pPr>
              <w:tabs>
                <w:tab w:val="left" w:pos="-1440"/>
                <w:tab w:val="left" w:pos="-720"/>
              </w:tabs>
              <w:rPr>
                <w:sz w:val="20"/>
                <w:szCs w:val="20"/>
              </w:rPr>
            </w:pPr>
            <w:r w:rsidRPr="00A935AA">
              <w:rPr>
                <w:sz w:val="20"/>
                <w:szCs w:val="20"/>
              </w:rPr>
              <w:tab/>
            </w:r>
            <w:r w:rsidR="002C592F">
              <w:rPr>
                <w:sz w:val="20"/>
                <w:szCs w:val="20"/>
              </w:rPr>
              <w:t>Whitelaw &amp; Twining</w:t>
            </w:r>
          </w:p>
          <w:p w:rsidR="00C21644" w:rsidRPr="00A935AA" w:rsidRDefault="00C21644" w:rsidP="005F1ED8">
            <w:pPr>
              <w:tabs>
                <w:tab w:val="left" w:pos="-1440"/>
                <w:tab w:val="left" w:pos="-720"/>
              </w:tabs>
              <w:rPr>
                <w:sz w:val="20"/>
                <w:szCs w:val="20"/>
              </w:rPr>
            </w:pPr>
          </w:p>
          <w:p w:rsidR="00C21644" w:rsidRPr="00A935AA" w:rsidRDefault="00C21644" w:rsidP="006670A1">
            <w:pPr>
              <w:rPr>
                <w:sz w:val="20"/>
                <w:szCs w:val="20"/>
              </w:rPr>
            </w:pPr>
            <w:r w:rsidRPr="00A935AA">
              <w:rPr>
                <w:sz w:val="20"/>
                <w:szCs w:val="20"/>
              </w:rPr>
              <w:t>FILING DATE: 2</w:t>
            </w:r>
            <w:r w:rsidR="006670A1">
              <w:rPr>
                <w:sz w:val="20"/>
                <w:szCs w:val="20"/>
              </w:rPr>
              <w:t>6</w:t>
            </w:r>
            <w:r w:rsidRPr="00A935AA">
              <w:rPr>
                <w:sz w:val="20"/>
                <w:szCs w:val="20"/>
              </w:rPr>
              <w:t>.0</w:t>
            </w:r>
            <w:r w:rsidR="006670A1">
              <w:rPr>
                <w:sz w:val="20"/>
                <w:szCs w:val="20"/>
              </w:rPr>
              <w:t>9</w:t>
            </w:r>
            <w:r w:rsidRPr="00A935AA">
              <w:rPr>
                <w:sz w:val="20"/>
                <w:szCs w:val="20"/>
              </w:rPr>
              <w:t>.201</w:t>
            </w:r>
            <w:r>
              <w:rPr>
                <w:sz w:val="20"/>
                <w:szCs w:val="20"/>
              </w:rPr>
              <w:t>4</w:t>
            </w:r>
            <w:r w:rsidR="00237788">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6670A1" w:rsidP="005F1ED8">
            <w:pPr>
              <w:rPr>
                <w:b/>
                <w:sz w:val="20"/>
                <w:szCs w:val="20"/>
              </w:rPr>
            </w:pPr>
            <w:r>
              <w:rPr>
                <w:b/>
                <w:sz w:val="20"/>
                <w:szCs w:val="20"/>
              </w:rPr>
              <w:t>Gerry Miller</w:t>
            </w:r>
          </w:p>
          <w:p w:rsidR="00C21644" w:rsidRPr="00A935AA" w:rsidRDefault="00C21644" w:rsidP="005F1ED8">
            <w:pPr>
              <w:tabs>
                <w:tab w:val="left" w:pos="-1440"/>
                <w:tab w:val="left" w:pos="-720"/>
              </w:tabs>
              <w:rPr>
                <w:sz w:val="20"/>
                <w:szCs w:val="20"/>
              </w:rPr>
            </w:pPr>
            <w:r w:rsidRPr="00A935AA">
              <w:rPr>
                <w:sz w:val="20"/>
                <w:szCs w:val="20"/>
              </w:rPr>
              <w:tab/>
            </w:r>
            <w:r w:rsidR="006670A1">
              <w:rPr>
                <w:sz w:val="20"/>
                <w:szCs w:val="20"/>
              </w:rPr>
              <w:t>Richard B. Johnson</w:t>
            </w:r>
          </w:p>
          <w:p w:rsidR="00C21644" w:rsidRPr="00A935AA" w:rsidRDefault="00C21644" w:rsidP="005F1ED8">
            <w:pPr>
              <w:tabs>
                <w:tab w:val="left" w:pos="-1440"/>
                <w:tab w:val="left" w:pos="-720"/>
              </w:tabs>
              <w:rPr>
                <w:sz w:val="20"/>
                <w:szCs w:val="20"/>
              </w:rPr>
            </w:pPr>
            <w:r w:rsidRPr="00A935AA">
              <w:rPr>
                <w:sz w:val="20"/>
                <w:szCs w:val="20"/>
              </w:rPr>
              <w:tab/>
            </w:r>
            <w:r w:rsidR="006670A1">
              <w:rPr>
                <w:sz w:val="20"/>
                <w:szCs w:val="20"/>
              </w:rPr>
              <w:t>Kent Employment Law</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6670A1">
              <w:rPr>
                <w:sz w:val="20"/>
                <w:szCs w:val="20"/>
              </w:rPr>
              <w:t>6092</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6670A1" w:rsidP="005F1ED8">
            <w:pPr>
              <w:tabs>
                <w:tab w:val="left" w:pos="-1440"/>
                <w:tab w:val="left" w:pos="-720"/>
              </w:tabs>
              <w:rPr>
                <w:b/>
                <w:sz w:val="20"/>
                <w:szCs w:val="20"/>
              </w:rPr>
            </w:pPr>
            <w:r>
              <w:rPr>
                <w:b/>
                <w:sz w:val="20"/>
                <w:szCs w:val="20"/>
              </w:rPr>
              <w:t xml:space="preserve">Convergys CMG Canada Limited Partnership et al.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6670A1">
              <w:rPr>
                <w:sz w:val="20"/>
                <w:szCs w:val="20"/>
              </w:rPr>
              <w:t>Tara Erskine</w:t>
            </w:r>
          </w:p>
          <w:p w:rsidR="00C21644" w:rsidRPr="00A935AA" w:rsidRDefault="00C21644" w:rsidP="005F1ED8">
            <w:pPr>
              <w:tabs>
                <w:tab w:val="left" w:pos="-1440"/>
                <w:tab w:val="left" w:pos="-720"/>
              </w:tabs>
              <w:rPr>
                <w:sz w:val="20"/>
                <w:szCs w:val="20"/>
              </w:rPr>
            </w:pPr>
            <w:r w:rsidRPr="00A935AA">
              <w:rPr>
                <w:sz w:val="20"/>
                <w:szCs w:val="20"/>
              </w:rPr>
              <w:tab/>
            </w:r>
            <w:r w:rsidR="006670A1">
              <w:rPr>
                <w:sz w:val="20"/>
                <w:szCs w:val="20"/>
              </w:rPr>
              <w:t>McInnes Cooper</w:t>
            </w:r>
          </w:p>
          <w:p w:rsidR="00C21644" w:rsidRPr="00A935AA" w:rsidRDefault="00C21644" w:rsidP="005F1ED8">
            <w:pPr>
              <w:tabs>
                <w:tab w:val="left" w:pos="-1440"/>
                <w:tab w:val="left" w:pos="-720"/>
              </w:tabs>
              <w:rPr>
                <w:sz w:val="20"/>
                <w:szCs w:val="20"/>
              </w:rPr>
            </w:pPr>
          </w:p>
          <w:p w:rsidR="00C21644" w:rsidRPr="00A935AA" w:rsidRDefault="00C21644" w:rsidP="006670A1">
            <w:pPr>
              <w:rPr>
                <w:sz w:val="20"/>
                <w:szCs w:val="20"/>
              </w:rPr>
            </w:pPr>
            <w:r w:rsidRPr="00A935AA">
              <w:rPr>
                <w:sz w:val="20"/>
                <w:szCs w:val="20"/>
              </w:rPr>
              <w:t>FILING DATE: 2</w:t>
            </w:r>
            <w:r w:rsidR="006670A1">
              <w:rPr>
                <w:sz w:val="20"/>
                <w:szCs w:val="20"/>
              </w:rPr>
              <w:t>9</w:t>
            </w:r>
            <w:r w:rsidRPr="00A935AA">
              <w:rPr>
                <w:sz w:val="20"/>
                <w:szCs w:val="20"/>
              </w:rPr>
              <w:t>.0</w:t>
            </w:r>
            <w:r w:rsidR="006670A1">
              <w:rPr>
                <w:sz w:val="20"/>
                <w:szCs w:val="20"/>
              </w:rPr>
              <w:t>9</w:t>
            </w:r>
            <w:r w:rsidRPr="00A935AA">
              <w:rPr>
                <w:sz w:val="20"/>
                <w:szCs w:val="20"/>
              </w:rPr>
              <w:t>.201</w:t>
            </w:r>
            <w:r>
              <w:rPr>
                <w:sz w:val="20"/>
                <w:szCs w:val="20"/>
              </w:rPr>
              <w:t>4</w:t>
            </w:r>
            <w:r w:rsidR="00237788">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6670A1" w:rsidRPr="00A935AA" w:rsidRDefault="006670A1"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6670A1" w:rsidP="005F1ED8">
            <w:pPr>
              <w:rPr>
                <w:b/>
                <w:sz w:val="20"/>
                <w:szCs w:val="20"/>
              </w:rPr>
            </w:pPr>
            <w:r>
              <w:rPr>
                <w:b/>
                <w:sz w:val="20"/>
                <w:szCs w:val="20"/>
              </w:rPr>
              <w:t>Brandon William Lane a.k.a. “BossHiaka”</w:t>
            </w:r>
          </w:p>
          <w:p w:rsidR="00C21644" w:rsidRPr="00A935AA" w:rsidRDefault="00C21644" w:rsidP="005F1ED8">
            <w:pPr>
              <w:tabs>
                <w:tab w:val="left" w:pos="-1440"/>
                <w:tab w:val="left" w:pos="-720"/>
              </w:tabs>
              <w:rPr>
                <w:sz w:val="20"/>
                <w:szCs w:val="20"/>
              </w:rPr>
            </w:pPr>
            <w:r w:rsidRPr="00A935AA">
              <w:rPr>
                <w:sz w:val="20"/>
                <w:szCs w:val="20"/>
              </w:rPr>
              <w:tab/>
            </w:r>
            <w:r w:rsidR="006670A1">
              <w:rPr>
                <w:sz w:val="20"/>
                <w:szCs w:val="20"/>
              </w:rPr>
              <w:t>John Norris</w:t>
            </w:r>
          </w:p>
          <w:p w:rsidR="00C21644" w:rsidRPr="00A935AA" w:rsidRDefault="00C21644" w:rsidP="005F1ED8">
            <w:pPr>
              <w:tabs>
                <w:tab w:val="left" w:pos="-1440"/>
                <w:tab w:val="left" w:pos="-720"/>
              </w:tabs>
              <w:rPr>
                <w:sz w:val="20"/>
                <w:szCs w:val="20"/>
              </w:rPr>
            </w:pPr>
            <w:r w:rsidRPr="00A935AA">
              <w:rPr>
                <w:sz w:val="20"/>
                <w:szCs w:val="20"/>
              </w:rPr>
              <w:tab/>
            </w:r>
            <w:r w:rsidR="006670A1">
              <w:rPr>
                <w:sz w:val="20"/>
                <w:szCs w:val="20"/>
              </w:rPr>
              <w:t>Simcoe Chambers</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6670A1">
              <w:rPr>
                <w:sz w:val="20"/>
                <w:szCs w:val="20"/>
              </w:rPr>
              <w:t>6094</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6670A1" w:rsidP="005F1ED8">
            <w:pPr>
              <w:tabs>
                <w:tab w:val="left" w:pos="-1440"/>
                <w:tab w:val="left" w:pos="-720"/>
              </w:tabs>
              <w:rPr>
                <w:b/>
                <w:sz w:val="20"/>
                <w:szCs w:val="20"/>
              </w:rPr>
            </w:pPr>
            <w:r>
              <w:rPr>
                <w:b/>
                <w:sz w:val="20"/>
                <w:szCs w:val="20"/>
              </w:rPr>
              <w:t xml:space="preserve">Attorney General of Canada on behalf of the United States of America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6670A1">
              <w:rPr>
                <w:sz w:val="20"/>
                <w:szCs w:val="20"/>
              </w:rPr>
              <w:t>Brian A. Crane, Q.C.</w:t>
            </w:r>
          </w:p>
          <w:p w:rsidR="00C21644" w:rsidRPr="00A935AA" w:rsidRDefault="00C21644" w:rsidP="005F1ED8">
            <w:pPr>
              <w:tabs>
                <w:tab w:val="left" w:pos="-1440"/>
                <w:tab w:val="left" w:pos="-720"/>
              </w:tabs>
              <w:rPr>
                <w:sz w:val="20"/>
                <w:szCs w:val="20"/>
              </w:rPr>
            </w:pPr>
            <w:r w:rsidRPr="00A935AA">
              <w:rPr>
                <w:sz w:val="20"/>
                <w:szCs w:val="20"/>
              </w:rPr>
              <w:tab/>
            </w:r>
            <w:r w:rsidR="006670A1">
              <w:rPr>
                <w:sz w:val="20"/>
                <w:szCs w:val="20"/>
              </w:rPr>
              <w:t>Gowling Lafleur Henderson LLP</w:t>
            </w:r>
          </w:p>
          <w:p w:rsidR="00C21644" w:rsidRPr="00A935AA" w:rsidRDefault="00C21644" w:rsidP="005F1ED8">
            <w:pPr>
              <w:tabs>
                <w:tab w:val="left" w:pos="-1440"/>
                <w:tab w:val="left" w:pos="-720"/>
              </w:tabs>
              <w:rPr>
                <w:sz w:val="20"/>
                <w:szCs w:val="20"/>
              </w:rPr>
            </w:pPr>
          </w:p>
          <w:p w:rsidR="00C21644" w:rsidRPr="00A935AA" w:rsidRDefault="00C21644" w:rsidP="006670A1">
            <w:pPr>
              <w:rPr>
                <w:sz w:val="20"/>
                <w:szCs w:val="20"/>
              </w:rPr>
            </w:pPr>
            <w:r w:rsidRPr="00A935AA">
              <w:rPr>
                <w:sz w:val="20"/>
                <w:szCs w:val="20"/>
              </w:rPr>
              <w:t>FILING DATE: 2</w:t>
            </w:r>
            <w:r w:rsidR="006670A1">
              <w:rPr>
                <w:sz w:val="20"/>
                <w:szCs w:val="20"/>
              </w:rPr>
              <w:t>9</w:t>
            </w:r>
            <w:r w:rsidRPr="00A935AA">
              <w:rPr>
                <w:sz w:val="20"/>
                <w:szCs w:val="20"/>
              </w:rPr>
              <w:t>.0</w:t>
            </w:r>
            <w:r w:rsidR="006670A1">
              <w:rPr>
                <w:sz w:val="20"/>
                <w:szCs w:val="20"/>
              </w:rPr>
              <w:t>9</w:t>
            </w:r>
            <w:r w:rsidRPr="00A935AA">
              <w:rPr>
                <w:sz w:val="20"/>
                <w:szCs w:val="20"/>
              </w:rPr>
              <w:t>.201</w:t>
            </w:r>
            <w:r>
              <w:rPr>
                <w:sz w:val="20"/>
                <w:szCs w:val="20"/>
              </w:rPr>
              <w:t>4</w:t>
            </w:r>
            <w:r w:rsidR="00237788">
              <w:rPr>
                <w:sz w:val="20"/>
                <w:szCs w:val="20"/>
                <w:lang w:val="fr-CA"/>
              </w:rPr>
              <w:pict>
                <v:rect id="_x0000_i1032" style="width:108pt;height:1pt" o:hrpct="0" o:hralign="center" o:hrstd="t" o:hrnoshade="t" o:hr="t" fillcolor="black [3213]" stroked="f"/>
              </w:pict>
            </w:r>
          </w:p>
        </w:tc>
      </w:tr>
      <w:tr w:rsidR="00926130" w:rsidRPr="00A935AA" w:rsidTr="003B3977">
        <w:trPr>
          <w:cantSplit/>
        </w:trPr>
        <w:tc>
          <w:tcPr>
            <w:tcW w:w="4320" w:type="dxa"/>
            <w:shd w:val="clear" w:color="auto" w:fill="auto"/>
          </w:tcPr>
          <w:p w:rsidR="00926130" w:rsidRPr="00615A51" w:rsidRDefault="00926130" w:rsidP="005F1ED8">
            <w:pPr>
              <w:rPr>
                <w:b/>
                <w:sz w:val="20"/>
                <w:szCs w:val="20"/>
              </w:rPr>
            </w:pPr>
            <w:r w:rsidRPr="00615A51">
              <w:rPr>
                <w:b/>
                <w:sz w:val="20"/>
                <w:szCs w:val="20"/>
              </w:rPr>
              <w:lastRenderedPageBreak/>
              <w:t>Donald Milani</w:t>
            </w:r>
          </w:p>
          <w:p w:rsidR="00926130" w:rsidRPr="006670A1" w:rsidRDefault="00926130" w:rsidP="005F1ED8">
            <w:pPr>
              <w:tabs>
                <w:tab w:val="left" w:pos="-1440"/>
                <w:tab w:val="left" w:pos="-720"/>
              </w:tabs>
              <w:rPr>
                <w:sz w:val="20"/>
                <w:szCs w:val="20"/>
              </w:rPr>
            </w:pPr>
            <w:r w:rsidRPr="00615A51">
              <w:rPr>
                <w:sz w:val="20"/>
                <w:szCs w:val="20"/>
              </w:rPr>
              <w:tab/>
            </w:r>
            <w:r w:rsidRPr="006670A1">
              <w:rPr>
                <w:sz w:val="20"/>
                <w:szCs w:val="20"/>
              </w:rPr>
              <w:t>Seth P. Weinstein</w:t>
            </w:r>
          </w:p>
          <w:p w:rsidR="00926130" w:rsidRPr="006670A1" w:rsidRDefault="00926130" w:rsidP="005F1ED8">
            <w:pPr>
              <w:tabs>
                <w:tab w:val="left" w:pos="-1440"/>
                <w:tab w:val="left" w:pos="-720"/>
              </w:tabs>
              <w:rPr>
                <w:sz w:val="20"/>
                <w:szCs w:val="20"/>
              </w:rPr>
            </w:pPr>
            <w:r w:rsidRPr="006670A1">
              <w:rPr>
                <w:sz w:val="20"/>
                <w:szCs w:val="20"/>
              </w:rPr>
              <w:tab/>
              <w:t>Greenspan Humphrey Lavine</w:t>
            </w:r>
          </w:p>
          <w:p w:rsidR="00926130" w:rsidRPr="006670A1" w:rsidRDefault="00926130" w:rsidP="005F1ED8">
            <w:pPr>
              <w:tabs>
                <w:tab w:val="left" w:pos="-1440"/>
                <w:tab w:val="left" w:pos="-720"/>
              </w:tabs>
              <w:rPr>
                <w:sz w:val="20"/>
                <w:szCs w:val="20"/>
              </w:rPr>
            </w:pPr>
          </w:p>
          <w:p w:rsidR="00926130" w:rsidRPr="006670A1" w:rsidRDefault="00926130" w:rsidP="005F1ED8">
            <w:pPr>
              <w:tabs>
                <w:tab w:val="left" w:pos="-1440"/>
                <w:tab w:val="left" w:pos="-720"/>
              </w:tabs>
              <w:rPr>
                <w:sz w:val="20"/>
                <w:szCs w:val="20"/>
              </w:rPr>
            </w:pPr>
            <w:r w:rsidRPr="006670A1">
              <w:rPr>
                <w:sz w:val="20"/>
                <w:szCs w:val="20"/>
              </w:rPr>
              <w:tab/>
              <w:t>v. (36095)</w:t>
            </w:r>
          </w:p>
          <w:p w:rsidR="00926130" w:rsidRPr="006670A1" w:rsidRDefault="00926130" w:rsidP="005F1ED8">
            <w:pPr>
              <w:tabs>
                <w:tab w:val="left" w:pos="-1440"/>
                <w:tab w:val="left" w:pos="-720"/>
              </w:tabs>
              <w:rPr>
                <w:sz w:val="20"/>
                <w:szCs w:val="20"/>
              </w:rPr>
            </w:pPr>
          </w:p>
          <w:p w:rsidR="00926130" w:rsidRPr="006670A1" w:rsidRDefault="00926130" w:rsidP="005F1ED8">
            <w:pPr>
              <w:tabs>
                <w:tab w:val="left" w:pos="-1440"/>
                <w:tab w:val="left" w:pos="-720"/>
              </w:tabs>
              <w:rPr>
                <w:b/>
                <w:sz w:val="20"/>
                <w:szCs w:val="20"/>
              </w:rPr>
            </w:pPr>
            <w:r>
              <w:rPr>
                <w:b/>
                <w:sz w:val="20"/>
                <w:szCs w:val="20"/>
              </w:rPr>
              <w:t xml:space="preserve">Her Majesty the Queen </w:t>
            </w:r>
            <w:r w:rsidRPr="006670A1">
              <w:rPr>
                <w:b/>
                <w:sz w:val="20"/>
                <w:szCs w:val="20"/>
              </w:rPr>
              <w:t>(Ont.)</w:t>
            </w:r>
          </w:p>
          <w:p w:rsidR="00926130" w:rsidRPr="006670A1" w:rsidRDefault="00926130" w:rsidP="005F1ED8">
            <w:pPr>
              <w:tabs>
                <w:tab w:val="left" w:pos="-1440"/>
                <w:tab w:val="left" w:pos="-720"/>
              </w:tabs>
              <w:rPr>
                <w:sz w:val="20"/>
                <w:szCs w:val="20"/>
              </w:rPr>
            </w:pPr>
            <w:r w:rsidRPr="006670A1">
              <w:rPr>
                <w:sz w:val="20"/>
                <w:szCs w:val="20"/>
              </w:rPr>
              <w:tab/>
            </w:r>
            <w:r>
              <w:rPr>
                <w:sz w:val="20"/>
                <w:szCs w:val="20"/>
              </w:rPr>
              <w:t>Christopher Webb</w:t>
            </w:r>
          </w:p>
          <w:p w:rsidR="00926130" w:rsidRPr="006670A1" w:rsidRDefault="00926130" w:rsidP="005F1ED8">
            <w:pPr>
              <w:tabs>
                <w:tab w:val="left" w:pos="-1440"/>
                <w:tab w:val="left" w:pos="-720"/>
              </w:tabs>
              <w:rPr>
                <w:sz w:val="20"/>
                <w:szCs w:val="20"/>
              </w:rPr>
            </w:pPr>
            <w:r w:rsidRPr="006670A1">
              <w:rPr>
                <w:sz w:val="20"/>
                <w:szCs w:val="20"/>
              </w:rPr>
              <w:tab/>
            </w:r>
            <w:r>
              <w:rPr>
                <w:sz w:val="20"/>
                <w:szCs w:val="20"/>
              </w:rPr>
              <w:t>A.G. of Ontario</w:t>
            </w:r>
          </w:p>
          <w:p w:rsidR="00926130" w:rsidRPr="006670A1" w:rsidRDefault="00926130" w:rsidP="005F1ED8">
            <w:pPr>
              <w:tabs>
                <w:tab w:val="left" w:pos="-1440"/>
                <w:tab w:val="left" w:pos="-720"/>
              </w:tabs>
              <w:rPr>
                <w:sz w:val="20"/>
                <w:szCs w:val="20"/>
              </w:rPr>
            </w:pPr>
          </w:p>
          <w:p w:rsidR="00926130" w:rsidRPr="006670A1" w:rsidRDefault="00926130" w:rsidP="006670A1">
            <w:pPr>
              <w:rPr>
                <w:sz w:val="20"/>
                <w:szCs w:val="20"/>
                <w:lang w:val="fr-CA"/>
              </w:rPr>
            </w:pPr>
            <w:r w:rsidRPr="006670A1">
              <w:rPr>
                <w:sz w:val="20"/>
                <w:szCs w:val="20"/>
                <w:lang w:val="fr-CA"/>
              </w:rPr>
              <w:t>FILING DATE: 2</w:t>
            </w:r>
            <w:r>
              <w:rPr>
                <w:sz w:val="20"/>
                <w:szCs w:val="20"/>
                <w:lang w:val="fr-CA"/>
              </w:rPr>
              <w:t>9</w:t>
            </w:r>
            <w:r w:rsidRPr="006670A1">
              <w:rPr>
                <w:sz w:val="20"/>
                <w:szCs w:val="20"/>
                <w:lang w:val="fr-CA"/>
              </w:rPr>
              <w:t>.0</w:t>
            </w:r>
            <w:r>
              <w:rPr>
                <w:sz w:val="20"/>
                <w:szCs w:val="20"/>
                <w:lang w:val="fr-CA"/>
              </w:rPr>
              <w:t>9</w:t>
            </w:r>
            <w:r w:rsidRPr="006670A1">
              <w:rPr>
                <w:sz w:val="20"/>
                <w:szCs w:val="20"/>
                <w:lang w:val="fr-CA"/>
              </w:rPr>
              <w:t>.2014</w:t>
            </w:r>
            <w:r w:rsidR="00237788">
              <w:rPr>
                <w:sz w:val="20"/>
                <w:szCs w:val="20"/>
                <w:lang w:val="fr-CA"/>
              </w:rPr>
              <w:pict>
                <v:rect id="_x0000_i1033" style="width:108pt;height:1pt" o:hrpct="0" o:hralign="center" o:hrstd="t" o:hrnoshade="t" o:hr="t" fillcolor="black [3213]" stroked="f"/>
              </w:pict>
            </w:r>
          </w:p>
        </w:tc>
        <w:tc>
          <w:tcPr>
            <w:tcW w:w="1181" w:type="dxa"/>
            <w:shd w:val="clear" w:color="auto" w:fill="auto"/>
          </w:tcPr>
          <w:p w:rsidR="00926130" w:rsidRPr="006670A1" w:rsidRDefault="00926130" w:rsidP="00242AEE">
            <w:pPr>
              <w:jc w:val="center"/>
              <w:rPr>
                <w:sz w:val="20"/>
                <w:szCs w:val="20"/>
                <w:lang w:val="fr-CA"/>
              </w:rPr>
            </w:pPr>
          </w:p>
          <w:p w:rsidR="00926130" w:rsidRPr="006670A1" w:rsidRDefault="00926130" w:rsidP="00242AEE">
            <w:pPr>
              <w:jc w:val="center"/>
              <w:rPr>
                <w:sz w:val="20"/>
                <w:szCs w:val="20"/>
                <w:lang w:val="fr-CA"/>
              </w:rPr>
            </w:pPr>
          </w:p>
          <w:p w:rsidR="00926130" w:rsidRPr="006670A1" w:rsidRDefault="00926130" w:rsidP="00242AEE">
            <w:pPr>
              <w:jc w:val="center"/>
              <w:rPr>
                <w:sz w:val="20"/>
                <w:szCs w:val="20"/>
                <w:lang w:val="fr-CA"/>
              </w:rPr>
            </w:pPr>
          </w:p>
          <w:p w:rsidR="00926130" w:rsidRPr="006670A1" w:rsidRDefault="00926130" w:rsidP="00242AEE">
            <w:pPr>
              <w:jc w:val="center"/>
              <w:rPr>
                <w:sz w:val="20"/>
                <w:szCs w:val="20"/>
                <w:lang w:val="fr-CA"/>
              </w:rPr>
            </w:pPr>
          </w:p>
          <w:p w:rsidR="00926130" w:rsidRPr="006670A1" w:rsidRDefault="00926130" w:rsidP="00242AEE">
            <w:pPr>
              <w:jc w:val="center"/>
              <w:rPr>
                <w:sz w:val="20"/>
                <w:szCs w:val="20"/>
                <w:lang w:val="fr-CA"/>
              </w:rPr>
            </w:pPr>
          </w:p>
          <w:p w:rsidR="00926130" w:rsidRPr="006670A1" w:rsidRDefault="00926130" w:rsidP="00242AEE">
            <w:pPr>
              <w:jc w:val="center"/>
              <w:rPr>
                <w:sz w:val="20"/>
                <w:szCs w:val="20"/>
                <w:lang w:val="fr-CA"/>
              </w:rPr>
            </w:pPr>
          </w:p>
          <w:p w:rsidR="00926130" w:rsidRPr="006670A1" w:rsidRDefault="00926130" w:rsidP="00242AEE">
            <w:pPr>
              <w:jc w:val="center"/>
              <w:rPr>
                <w:sz w:val="20"/>
                <w:szCs w:val="20"/>
                <w:lang w:val="fr-CA"/>
              </w:rPr>
            </w:pPr>
          </w:p>
          <w:p w:rsidR="00926130" w:rsidRPr="006670A1" w:rsidRDefault="00926130" w:rsidP="00242AEE">
            <w:pPr>
              <w:jc w:val="center"/>
              <w:rPr>
                <w:sz w:val="20"/>
                <w:szCs w:val="20"/>
                <w:lang w:val="fr-CA"/>
              </w:rPr>
            </w:pPr>
          </w:p>
          <w:p w:rsidR="00926130" w:rsidRPr="006670A1" w:rsidRDefault="00926130" w:rsidP="00242AEE">
            <w:pPr>
              <w:jc w:val="center"/>
              <w:rPr>
                <w:sz w:val="20"/>
                <w:szCs w:val="20"/>
                <w:lang w:val="fr-CA"/>
              </w:rPr>
            </w:pPr>
          </w:p>
          <w:p w:rsidR="00926130" w:rsidRPr="006670A1" w:rsidRDefault="00926130" w:rsidP="00242AEE">
            <w:pPr>
              <w:jc w:val="center"/>
              <w:rPr>
                <w:sz w:val="20"/>
                <w:szCs w:val="20"/>
                <w:lang w:val="fr-CA"/>
              </w:rPr>
            </w:pPr>
          </w:p>
          <w:p w:rsidR="00926130" w:rsidRPr="006670A1" w:rsidRDefault="00926130" w:rsidP="00242AEE">
            <w:pPr>
              <w:jc w:val="center"/>
              <w:rPr>
                <w:sz w:val="20"/>
                <w:szCs w:val="20"/>
                <w:lang w:val="fr-CA"/>
              </w:rPr>
            </w:pPr>
          </w:p>
          <w:p w:rsidR="00926130" w:rsidRPr="006670A1" w:rsidRDefault="00926130" w:rsidP="00242AEE">
            <w:pPr>
              <w:jc w:val="center"/>
              <w:rPr>
                <w:sz w:val="20"/>
                <w:szCs w:val="20"/>
                <w:lang w:val="fr-CA"/>
              </w:rPr>
            </w:pPr>
          </w:p>
          <w:p w:rsidR="00926130" w:rsidRPr="006670A1" w:rsidRDefault="00926130" w:rsidP="00242AEE">
            <w:pPr>
              <w:jc w:val="center"/>
              <w:rPr>
                <w:sz w:val="20"/>
                <w:szCs w:val="20"/>
                <w:lang w:val="fr-CA"/>
              </w:rPr>
            </w:pPr>
          </w:p>
        </w:tc>
        <w:tc>
          <w:tcPr>
            <w:tcW w:w="4320" w:type="dxa"/>
            <w:shd w:val="clear" w:color="auto" w:fill="auto"/>
          </w:tcPr>
          <w:p w:rsidR="00926130" w:rsidRPr="00926130" w:rsidRDefault="00926130" w:rsidP="00926130">
            <w:pPr>
              <w:rPr>
                <w:b/>
                <w:sz w:val="20"/>
                <w:szCs w:val="20"/>
                <w:lang w:val="fr-CA"/>
              </w:rPr>
            </w:pPr>
            <w:r w:rsidRPr="00926130">
              <w:rPr>
                <w:b/>
                <w:sz w:val="20"/>
                <w:szCs w:val="20"/>
                <w:lang w:val="fr-CA"/>
              </w:rPr>
              <w:t>Amira Khalif Mo Elbakhiet et a</w:t>
            </w:r>
            <w:r>
              <w:rPr>
                <w:b/>
                <w:sz w:val="20"/>
                <w:szCs w:val="20"/>
                <w:lang w:val="fr-CA"/>
              </w:rPr>
              <w:t>l.</w:t>
            </w:r>
          </w:p>
          <w:p w:rsidR="00926130" w:rsidRPr="00926130" w:rsidRDefault="00926130" w:rsidP="00926130">
            <w:pPr>
              <w:tabs>
                <w:tab w:val="left" w:pos="-1440"/>
                <w:tab w:val="left" w:pos="-720"/>
              </w:tabs>
              <w:rPr>
                <w:sz w:val="20"/>
                <w:szCs w:val="20"/>
              </w:rPr>
            </w:pPr>
            <w:r w:rsidRPr="00926130">
              <w:rPr>
                <w:sz w:val="20"/>
                <w:szCs w:val="20"/>
                <w:lang w:val="fr-CA"/>
              </w:rPr>
              <w:tab/>
            </w:r>
            <w:r w:rsidRPr="00926130">
              <w:rPr>
                <w:sz w:val="20"/>
                <w:szCs w:val="20"/>
              </w:rPr>
              <w:t>Joseph Y. Obagi</w:t>
            </w:r>
          </w:p>
          <w:p w:rsidR="00926130" w:rsidRPr="00926130" w:rsidRDefault="00926130" w:rsidP="00926130">
            <w:pPr>
              <w:tabs>
                <w:tab w:val="left" w:pos="-1440"/>
                <w:tab w:val="left" w:pos="-720"/>
              </w:tabs>
              <w:rPr>
                <w:sz w:val="20"/>
                <w:szCs w:val="20"/>
              </w:rPr>
            </w:pPr>
            <w:r w:rsidRPr="00926130">
              <w:rPr>
                <w:sz w:val="20"/>
                <w:szCs w:val="20"/>
              </w:rPr>
              <w:tab/>
              <w:t>Connolly Obagi LLP</w:t>
            </w:r>
          </w:p>
          <w:p w:rsidR="00926130" w:rsidRPr="00926130" w:rsidRDefault="00926130" w:rsidP="00926130">
            <w:pPr>
              <w:tabs>
                <w:tab w:val="left" w:pos="-1440"/>
                <w:tab w:val="left" w:pos="-720"/>
              </w:tabs>
              <w:rPr>
                <w:sz w:val="20"/>
                <w:szCs w:val="20"/>
              </w:rPr>
            </w:pPr>
          </w:p>
          <w:p w:rsidR="00926130" w:rsidRPr="00615A51" w:rsidRDefault="00926130" w:rsidP="00926130">
            <w:pPr>
              <w:tabs>
                <w:tab w:val="left" w:pos="-1440"/>
                <w:tab w:val="left" w:pos="-720"/>
              </w:tabs>
              <w:rPr>
                <w:sz w:val="20"/>
                <w:szCs w:val="20"/>
                <w:lang w:val="fr-CA"/>
              </w:rPr>
            </w:pPr>
            <w:r w:rsidRPr="00926130">
              <w:rPr>
                <w:sz w:val="20"/>
                <w:szCs w:val="20"/>
              </w:rPr>
              <w:tab/>
            </w:r>
            <w:r w:rsidRPr="00615A51">
              <w:rPr>
                <w:sz w:val="20"/>
                <w:szCs w:val="20"/>
                <w:lang w:val="fr-CA"/>
              </w:rPr>
              <w:t>v. (36099)</w:t>
            </w:r>
          </w:p>
          <w:p w:rsidR="00926130" w:rsidRPr="00615A51" w:rsidRDefault="00926130" w:rsidP="00926130">
            <w:pPr>
              <w:tabs>
                <w:tab w:val="left" w:pos="-1440"/>
                <w:tab w:val="left" w:pos="-720"/>
              </w:tabs>
              <w:rPr>
                <w:sz w:val="20"/>
                <w:szCs w:val="20"/>
                <w:lang w:val="fr-CA"/>
              </w:rPr>
            </w:pPr>
          </w:p>
          <w:p w:rsidR="00926130" w:rsidRPr="00A935AA" w:rsidRDefault="00926130" w:rsidP="00926130">
            <w:pPr>
              <w:tabs>
                <w:tab w:val="left" w:pos="-1440"/>
                <w:tab w:val="left" w:pos="-720"/>
              </w:tabs>
              <w:rPr>
                <w:b/>
                <w:sz w:val="20"/>
                <w:szCs w:val="20"/>
              </w:rPr>
            </w:pPr>
            <w:r w:rsidRPr="00926130">
              <w:rPr>
                <w:b/>
                <w:sz w:val="20"/>
                <w:szCs w:val="20"/>
                <w:lang w:val="fr-CA"/>
              </w:rPr>
              <w:t xml:space="preserve">Derek A. Palmer et al. </w:t>
            </w:r>
            <w:r w:rsidRPr="00A935AA">
              <w:rPr>
                <w:b/>
                <w:sz w:val="20"/>
                <w:szCs w:val="20"/>
              </w:rPr>
              <w:t>(</w:t>
            </w:r>
            <w:r>
              <w:rPr>
                <w:b/>
                <w:sz w:val="20"/>
                <w:szCs w:val="20"/>
              </w:rPr>
              <w:t>Ont</w:t>
            </w:r>
            <w:r w:rsidRPr="00A935AA">
              <w:rPr>
                <w:b/>
                <w:sz w:val="20"/>
                <w:szCs w:val="20"/>
              </w:rPr>
              <w:t>.)</w:t>
            </w:r>
          </w:p>
          <w:p w:rsidR="00926130" w:rsidRPr="00A935AA" w:rsidRDefault="00926130" w:rsidP="00926130">
            <w:pPr>
              <w:tabs>
                <w:tab w:val="left" w:pos="-1440"/>
                <w:tab w:val="left" w:pos="-720"/>
              </w:tabs>
              <w:rPr>
                <w:sz w:val="20"/>
                <w:szCs w:val="20"/>
              </w:rPr>
            </w:pPr>
            <w:r w:rsidRPr="00A935AA">
              <w:rPr>
                <w:sz w:val="20"/>
                <w:szCs w:val="20"/>
              </w:rPr>
              <w:tab/>
            </w:r>
            <w:r w:rsidR="004A6177">
              <w:rPr>
                <w:sz w:val="20"/>
                <w:szCs w:val="20"/>
              </w:rPr>
              <w:t>Chris G. Paliare</w:t>
            </w:r>
          </w:p>
          <w:p w:rsidR="00926130" w:rsidRPr="00A935AA" w:rsidRDefault="00926130" w:rsidP="00926130">
            <w:pPr>
              <w:tabs>
                <w:tab w:val="left" w:pos="-1440"/>
                <w:tab w:val="left" w:pos="-720"/>
              </w:tabs>
              <w:rPr>
                <w:sz w:val="20"/>
                <w:szCs w:val="20"/>
              </w:rPr>
            </w:pPr>
            <w:r w:rsidRPr="00A935AA">
              <w:rPr>
                <w:sz w:val="20"/>
                <w:szCs w:val="20"/>
              </w:rPr>
              <w:tab/>
            </w:r>
            <w:r w:rsidR="004A6177">
              <w:rPr>
                <w:sz w:val="20"/>
                <w:szCs w:val="20"/>
              </w:rPr>
              <w:t xml:space="preserve">Paliare, Roland, Rosenberg, Rothstein </w:t>
            </w:r>
            <w:r w:rsidR="004A6177">
              <w:rPr>
                <w:sz w:val="20"/>
                <w:szCs w:val="20"/>
              </w:rPr>
              <w:tab/>
              <w:t>LLP</w:t>
            </w:r>
          </w:p>
          <w:p w:rsidR="00926130" w:rsidRPr="00A935AA" w:rsidRDefault="00926130" w:rsidP="00926130">
            <w:pPr>
              <w:tabs>
                <w:tab w:val="left" w:pos="-1440"/>
                <w:tab w:val="left" w:pos="-720"/>
              </w:tabs>
              <w:rPr>
                <w:sz w:val="20"/>
                <w:szCs w:val="20"/>
              </w:rPr>
            </w:pPr>
          </w:p>
          <w:p w:rsidR="00926130" w:rsidRPr="00A935AA" w:rsidRDefault="00926130" w:rsidP="004A6177">
            <w:pPr>
              <w:rPr>
                <w:sz w:val="20"/>
                <w:szCs w:val="20"/>
              </w:rPr>
            </w:pPr>
            <w:r w:rsidRPr="00A935AA">
              <w:rPr>
                <w:sz w:val="20"/>
                <w:szCs w:val="20"/>
              </w:rPr>
              <w:t>FILING DATE: 2</w:t>
            </w:r>
            <w:r w:rsidR="004A6177">
              <w:rPr>
                <w:sz w:val="20"/>
                <w:szCs w:val="20"/>
              </w:rPr>
              <w:t>9</w:t>
            </w:r>
            <w:r w:rsidRPr="00A935AA">
              <w:rPr>
                <w:sz w:val="20"/>
                <w:szCs w:val="20"/>
              </w:rPr>
              <w:t>.0</w:t>
            </w:r>
            <w:r w:rsidR="004A6177">
              <w:rPr>
                <w:sz w:val="20"/>
                <w:szCs w:val="20"/>
              </w:rPr>
              <w:t>9</w:t>
            </w:r>
            <w:r w:rsidRPr="00A935AA">
              <w:rPr>
                <w:sz w:val="20"/>
                <w:szCs w:val="20"/>
              </w:rPr>
              <w:t>.201</w:t>
            </w:r>
            <w:r>
              <w:rPr>
                <w:sz w:val="20"/>
                <w:szCs w:val="20"/>
              </w:rPr>
              <w:t>4</w:t>
            </w:r>
            <w:r w:rsidR="00237788">
              <w:rPr>
                <w:sz w:val="20"/>
                <w:szCs w:val="20"/>
                <w:lang w:val="fr-CA"/>
              </w:rPr>
              <w:pict>
                <v:rect id="_x0000_i1034"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926130" w:rsidP="005F1ED8">
            <w:pPr>
              <w:rPr>
                <w:b/>
                <w:sz w:val="20"/>
                <w:szCs w:val="20"/>
              </w:rPr>
            </w:pPr>
            <w:r>
              <w:rPr>
                <w:b/>
                <w:sz w:val="20"/>
                <w:szCs w:val="20"/>
              </w:rPr>
              <w:t>Information and Privacy Commissioner of Alberta</w:t>
            </w:r>
          </w:p>
          <w:p w:rsidR="00C21644" w:rsidRPr="00A935AA" w:rsidRDefault="00C21644" w:rsidP="005F1ED8">
            <w:pPr>
              <w:tabs>
                <w:tab w:val="left" w:pos="-1440"/>
                <w:tab w:val="left" w:pos="-720"/>
              </w:tabs>
              <w:rPr>
                <w:sz w:val="20"/>
                <w:szCs w:val="20"/>
              </w:rPr>
            </w:pPr>
            <w:r w:rsidRPr="00A935AA">
              <w:rPr>
                <w:sz w:val="20"/>
                <w:szCs w:val="20"/>
              </w:rPr>
              <w:tab/>
            </w:r>
            <w:r w:rsidR="00926130">
              <w:rPr>
                <w:sz w:val="20"/>
                <w:szCs w:val="20"/>
              </w:rPr>
              <w:t>Glenn Solomon, Q.C.</w:t>
            </w:r>
          </w:p>
          <w:p w:rsidR="00C21644" w:rsidRPr="00A935AA" w:rsidRDefault="00C21644" w:rsidP="005F1ED8">
            <w:pPr>
              <w:tabs>
                <w:tab w:val="left" w:pos="-1440"/>
                <w:tab w:val="left" w:pos="-720"/>
              </w:tabs>
              <w:rPr>
                <w:sz w:val="20"/>
                <w:szCs w:val="20"/>
              </w:rPr>
            </w:pPr>
            <w:r w:rsidRPr="00A935AA">
              <w:rPr>
                <w:sz w:val="20"/>
                <w:szCs w:val="20"/>
              </w:rPr>
              <w:tab/>
            </w:r>
            <w:r w:rsidR="00926130">
              <w:rPr>
                <w:sz w:val="20"/>
                <w:szCs w:val="20"/>
              </w:rPr>
              <w:t xml:space="preserve">Jensen Shawa Solomon Duguid Hawkes </w:t>
            </w:r>
            <w:r w:rsidR="00926130">
              <w:rPr>
                <w:sz w:val="20"/>
                <w:szCs w:val="20"/>
              </w:rPr>
              <w:tab/>
              <w:t xml:space="preserve">LLP </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926130">
              <w:rPr>
                <w:sz w:val="20"/>
                <w:szCs w:val="20"/>
              </w:rPr>
              <w:t>6098</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926130" w:rsidP="005F1ED8">
            <w:pPr>
              <w:tabs>
                <w:tab w:val="left" w:pos="-1440"/>
                <w:tab w:val="left" w:pos="-720"/>
              </w:tabs>
              <w:rPr>
                <w:b/>
                <w:sz w:val="20"/>
                <w:szCs w:val="20"/>
              </w:rPr>
            </w:pPr>
            <w:r>
              <w:rPr>
                <w:b/>
                <w:sz w:val="20"/>
                <w:szCs w:val="20"/>
              </w:rPr>
              <w:t xml:space="preserve">Imperial Oil Limited et al. </w:t>
            </w:r>
            <w:r w:rsidR="00C21644" w:rsidRPr="00A935AA">
              <w:rPr>
                <w:b/>
                <w:sz w:val="20"/>
                <w:szCs w:val="20"/>
              </w:rPr>
              <w:t>(</w:t>
            </w:r>
            <w:r>
              <w:rPr>
                <w:b/>
                <w:sz w:val="20"/>
                <w:szCs w:val="20"/>
              </w:rPr>
              <w:t>Al</w:t>
            </w:r>
            <w:r w:rsidR="00C21644">
              <w:rPr>
                <w:b/>
                <w:sz w:val="20"/>
                <w:szCs w:val="20"/>
              </w:rPr>
              <w:t>t</w:t>
            </w:r>
            <w:r>
              <w:rPr>
                <w:b/>
                <w:sz w:val="20"/>
                <w:szCs w:val="20"/>
              </w:rPr>
              <w: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926130">
              <w:rPr>
                <w:sz w:val="20"/>
                <w:szCs w:val="20"/>
              </w:rPr>
              <w:t>Darel Samuelson</w:t>
            </w:r>
          </w:p>
          <w:p w:rsidR="00C21644" w:rsidRPr="00A935AA" w:rsidRDefault="00C21644" w:rsidP="005F1ED8">
            <w:pPr>
              <w:tabs>
                <w:tab w:val="left" w:pos="-1440"/>
                <w:tab w:val="left" w:pos="-720"/>
              </w:tabs>
              <w:rPr>
                <w:sz w:val="20"/>
                <w:szCs w:val="20"/>
              </w:rPr>
            </w:pPr>
            <w:r w:rsidRPr="00A935AA">
              <w:rPr>
                <w:sz w:val="20"/>
                <w:szCs w:val="20"/>
              </w:rPr>
              <w:tab/>
            </w:r>
            <w:r w:rsidR="00926130">
              <w:rPr>
                <w:sz w:val="20"/>
                <w:szCs w:val="20"/>
              </w:rPr>
              <w:t>Blake, Cassels &amp; Graydon LLP</w:t>
            </w:r>
          </w:p>
          <w:p w:rsidR="00C21644" w:rsidRPr="00A935AA" w:rsidRDefault="00C21644" w:rsidP="005F1ED8">
            <w:pPr>
              <w:tabs>
                <w:tab w:val="left" w:pos="-1440"/>
                <w:tab w:val="left" w:pos="-720"/>
              </w:tabs>
              <w:rPr>
                <w:sz w:val="20"/>
                <w:szCs w:val="20"/>
              </w:rPr>
            </w:pPr>
          </w:p>
          <w:p w:rsidR="00C21644" w:rsidRPr="00A935AA" w:rsidRDefault="00C21644" w:rsidP="00926130">
            <w:pPr>
              <w:rPr>
                <w:sz w:val="20"/>
                <w:szCs w:val="20"/>
              </w:rPr>
            </w:pPr>
            <w:r w:rsidRPr="00A935AA">
              <w:rPr>
                <w:sz w:val="20"/>
                <w:szCs w:val="20"/>
              </w:rPr>
              <w:t>FILING DATE: 2</w:t>
            </w:r>
            <w:r w:rsidR="00926130">
              <w:rPr>
                <w:sz w:val="20"/>
                <w:szCs w:val="20"/>
              </w:rPr>
              <w:t>9</w:t>
            </w:r>
            <w:r w:rsidRPr="00A935AA">
              <w:rPr>
                <w:sz w:val="20"/>
                <w:szCs w:val="20"/>
              </w:rPr>
              <w:t>.0</w:t>
            </w:r>
            <w:r w:rsidR="00926130">
              <w:rPr>
                <w:sz w:val="20"/>
                <w:szCs w:val="20"/>
              </w:rPr>
              <w:t>9</w:t>
            </w:r>
            <w:r w:rsidRPr="00A935AA">
              <w:rPr>
                <w:sz w:val="20"/>
                <w:szCs w:val="20"/>
              </w:rPr>
              <w:t>.201</w:t>
            </w:r>
            <w:r>
              <w:rPr>
                <w:sz w:val="20"/>
                <w:szCs w:val="20"/>
              </w:rPr>
              <w:t>4</w:t>
            </w:r>
            <w:r w:rsidR="00237788">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926130" w:rsidRPr="00A935AA" w:rsidRDefault="00926130"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5F1ED8">
            <w:pPr>
              <w:rPr>
                <w:b/>
                <w:sz w:val="20"/>
                <w:szCs w:val="20"/>
              </w:rPr>
            </w:pPr>
          </w:p>
          <w:p w:rsidR="004A6177" w:rsidRPr="00A935AA" w:rsidRDefault="004A6177" w:rsidP="005F1ED8">
            <w:pPr>
              <w:rPr>
                <w:b/>
                <w:sz w:val="20"/>
                <w:szCs w:val="20"/>
              </w:rPr>
            </w:pPr>
            <w:r>
              <w:rPr>
                <w:b/>
                <w:sz w:val="20"/>
                <w:szCs w:val="20"/>
              </w:rPr>
              <w:t>Darren Stewart et al.</w:t>
            </w:r>
          </w:p>
          <w:p w:rsidR="00C21644" w:rsidRPr="00A935AA" w:rsidRDefault="00C21644" w:rsidP="005F1ED8">
            <w:pPr>
              <w:tabs>
                <w:tab w:val="left" w:pos="-1440"/>
                <w:tab w:val="left" w:pos="-720"/>
              </w:tabs>
              <w:rPr>
                <w:sz w:val="20"/>
                <w:szCs w:val="20"/>
              </w:rPr>
            </w:pPr>
            <w:r w:rsidRPr="00A935AA">
              <w:rPr>
                <w:sz w:val="20"/>
                <w:szCs w:val="20"/>
              </w:rPr>
              <w:tab/>
            </w:r>
            <w:r w:rsidR="004A6177">
              <w:rPr>
                <w:sz w:val="20"/>
                <w:szCs w:val="20"/>
              </w:rPr>
              <w:t>Keith R. Millikin</w:t>
            </w:r>
          </w:p>
          <w:p w:rsidR="00C21644" w:rsidRPr="00A935AA" w:rsidRDefault="00C21644" w:rsidP="005F1ED8">
            <w:pPr>
              <w:tabs>
                <w:tab w:val="left" w:pos="-1440"/>
                <w:tab w:val="left" w:pos="-720"/>
              </w:tabs>
              <w:rPr>
                <w:sz w:val="20"/>
                <w:szCs w:val="20"/>
              </w:rPr>
            </w:pPr>
            <w:r w:rsidRPr="00A935AA">
              <w:rPr>
                <w:sz w:val="20"/>
                <w:szCs w:val="20"/>
              </w:rPr>
              <w:tab/>
            </w:r>
            <w:r w:rsidR="004A6177">
              <w:rPr>
                <w:sz w:val="20"/>
                <w:szCs w:val="20"/>
              </w:rPr>
              <w:t>Guyatt, Gaasenbeek &amp; Millikin</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4A6177">
              <w:rPr>
                <w:sz w:val="20"/>
                <w:szCs w:val="20"/>
              </w:rPr>
              <w:t>6100</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4A6177" w:rsidP="005F1ED8">
            <w:pPr>
              <w:tabs>
                <w:tab w:val="left" w:pos="-1440"/>
                <w:tab w:val="left" w:pos="-720"/>
              </w:tabs>
              <w:rPr>
                <w:b/>
                <w:sz w:val="20"/>
                <w:szCs w:val="20"/>
              </w:rPr>
            </w:pPr>
            <w:r>
              <w:rPr>
                <w:b/>
                <w:sz w:val="20"/>
                <w:szCs w:val="20"/>
              </w:rPr>
              <w:t xml:space="preserve">TD General Insurance Company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4A6177">
              <w:rPr>
                <w:sz w:val="20"/>
                <w:szCs w:val="20"/>
              </w:rPr>
              <w:t>Dwain Carlton Burns</w:t>
            </w:r>
          </w:p>
          <w:p w:rsidR="00C21644" w:rsidRPr="00A935AA" w:rsidRDefault="00C21644" w:rsidP="005F1ED8">
            <w:pPr>
              <w:tabs>
                <w:tab w:val="left" w:pos="-1440"/>
                <w:tab w:val="left" w:pos="-720"/>
              </w:tabs>
              <w:rPr>
                <w:sz w:val="20"/>
                <w:szCs w:val="20"/>
              </w:rPr>
            </w:pPr>
            <w:r w:rsidRPr="00A935AA">
              <w:rPr>
                <w:sz w:val="20"/>
                <w:szCs w:val="20"/>
              </w:rPr>
              <w:tab/>
            </w:r>
            <w:r w:rsidR="004A6177">
              <w:rPr>
                <w:sz w:val="20"/>
                <w:szCs w:val="20"/>
              </w:rPr>
              <w:t>Sigurdson Courtlander Burns &amp; Smagata</w:t>
            </w:r>
          </w:p>
          <w:p w:rsidR="00C21644" w:rsidRPr="00A935AA" w:rsidRDefault="00C21644" w:rsidP="005F1ED8">
            <w:pPr>
              <w:tabs>
                <w:tab w:val="left" w:pos="-1440"/>
                <w:tab w:val="left" w:pos="-720"/>
              </w:tabs>
              <w:rPr>
                <w:sz w:val="20"/>
                <w:szCs w:val="20"/>
              </w:rPr>
            </w:pPr>
          </w:p>
          <w:p w:rsidR="00C21644" w:rsidRPr="00A935AA" w:rsidRDefault="00C21644" w:rsidP="004A6177">
            <w:pPr>
              <w:rPr>
                <w:sz w:val="20"/>
                <w:szCs w:val="20"/>
              </w:rPr>
            </w:pPr>
            <w:r w:rsidRPr="00A935AA">
              <w:rPr>
                <w:sz w:val="20"/>
                <w:szCs w:val="20"/>
              </w:rPr>
              <w:t>FILING DATE: 2</w:t>
            </w:r>
            <w:r w:rsidR="004A6177">
              <w:rPr>
                <w:sz w:val="20"/>
                <w:szCs w:val="20"/>
              </w:rPr>
              <w:t>9</w:t>
            </w:r>
            <w:r w:rsidRPr="00A935AA">
              <w:rPr>
                <w:sz w:val="20"/>
                <w:szCs w:val="20"/>
              </w:rPr>
              <w:t>.0</w:t>
            </w:r>
            <w:r w:rsidR="004A6177">
              <w:rPr>
                <w:sz w:val="20"/>
                <w:szCs w:val="20"/>
              </w:rPr>
              <w:t>9</w:t>
            </w:r>
            <w:r w:rsidRPr="00A935AA">
              <w:rPr>
                <w:sz w:val="20"/>
                <w:szCs w:val="20"/>
              </w:rPr>
              <w:t>.201</w:t>
            </w:r>
            <w:r>
              <w:rPr>
                <w:sz w:val="20"/>
                <w:szCs w:val="20"/>
              </w:rPr>
              <w:t>4</w:t>
            </w:r>
            <w:r w:rsidR="00237788">
              <w:rPr>
                <w:sz w:val="20"/>
                <w:szCs w:val="20"/>
                <w:lang w:val="fr-CA"/>
              </w:rPr>
              <w:pict>
                <v:rect id="_x0000_i1036" style="width:108pt;height:1pt" o:hrpct="0" o:hralign="center" o:hrstd="t" o:hrnoshade="t" o:hr="t" fillcolor="black [3213]" stroked="f"/>
              </w:pict>
            </w:r>
          </w:p>
        </w:tc>
      </w:tr>
      <w:tr w:rsidR="004A6177" w:rsidRPr="00A935AA" w:rsidTr="003B3977">
        <w:trPr>
          <w:cantSplit/>
        </w:trPr>
        <w:tc>
          <w:tcPr>
            <w:tcW w:w="4320" w:type="dxa"/>
            <w:shd w:val="clear" w:color="auto" w:fill="auto"/>
          </w:tcPr>
          <w:p w:rsidR="004A6177" w:rsidRDefault="004A6177" w:rsidP="000B63AF">
            <w:pPr>
              <w:rPr>
                <w:b/>
                <w:sz w:val="20"/>
                <w:szCs w:val="20"/>
              </w:rPr>
            </w:pPr>
          </w:p>
          <w:p w:rsidR="004A6177" w:rsidRPr="00A935AA" w:rsidRDefault="004A6177" w:rsidP="000B63AF">
            <w:pPr>
              <w:rPr>
                <w:b/>
                <w:sz w:val="20"/>
                <w:szCs w:val="20"/>
              </w:rPr>
            </w:pPr>
            <w:r>
              <w:rPr>
                <w:b/>
                <w:sz w:val="20"/>
                <w:szCs w:val="20"/>
              </w:rPr>
              <w:t>Steve</w:t>
            </w:r>
            <w:r w:rsidR="006B4C4C">
              <w:rPr>
                <w:b/>
                <w:sz w:val="20"/>
                <w:szCs w:val="20"/>
              </w:rPr>
              <w:t>n</w:t>
            </w:r>
            <w:r>
              <w:rPr>
                <w:b/>
                <w:sz w:val="20"/>
                <w:szCs w:val="20"/>
              </w:rPr>
              <w:t xml:space="preserve"> Boone</w:t>
            </w:r>
          </w:p>
          <w:p w:rsidR="004A6177" w:rsidRPr="00A935AA" w:rsidRDefault="004A6177" w:rsidP="000B63AF">
            <w:pPr>
              <w:tabs>
                <w:tab w:val="left" w:pos="-1440"/>
                <w:tab w:val="left" w:pos="-720"/>
              </w:tabs>
              <w:rPr>
                <w:sz w:val="20"/>
                <w:szCs w:val="20"/>
              </w:rPr>
            </w:pPr>
            <w:r w:rsidRPr="00A935AA">
              <w:rPr>
                <w:sz w:val="20"/>
                <w:szCs w:val="20"/>
              </w:rPr>
              <w:tab/>
            </w:r>
            <w:r>
              <w:rPr>
                <w:sz w:val="20"/>
                <w:szCs w:val="20"/>
              </w:rPr>
              <w:t>Paul Champ</w:t>
            </w:r>
          </w:p>
          <w:p w:rsidR="004A6177" w:rsidRPr="00A935AA" w:rsidRDefault="004A6177" w:rsidP="000B63AF">
            <w:pPr>
              <w:tabs>
                <w:tab w:val="left" w:pos="-1440"/>
                <w:tab w:val="left" w:pos="-720"/>
              </w:tabs>
              <w:rPr>
                <w:sz w:val="20"/>
                <w:szCs w:val="20"/>
              </w:rPr>
            </w:pPr>
            <w:r w:rsidRPr="00A935AA">
              <w:rPr>
                <w:sz w:val="20"/>
                <w:szCs w:val="20"/>
              </w:rPr>
              <w:tab/>
            </w:r>
            <w:r>
              <w:rPr>
                <w:sz w:val="20"/>
                <w:szCs w:val="20"/>
              </w:rPr>
              <w:t>Champ &amp; Associates</w:t>
            </w:r>
          </w:p>
          <w:p w:rsidR="004A6177" w:rsidRPr="00A935AA" w:rsidRDefault="004A6177" w:rsidP="000B63AF">
            <w:pPr>
              <w:tabs>
                <w:tab w:val="left" w:pos="-1440"/>
                <w:tab w:val="left" w:pos="-720"/>
              </w:tabs>
              <w:rPr>
                <w:sz w:val="20"/>
                <w:szCs w:val="20"/>
              </w:rPr>
            </w:pPr>
          </w:p>
          <w:p w:rsidR="004A6177" w:rsidRPr="00A935AA" w:rsidRDefault="004A6177" w:rsidP="000B63AF">
            <w:pPr>
              <w:tabs>
                <w:tab w:val="left" w:pos="-1440"/>
                <w:tab w:val="left" w:pos="-720"/>
              </w:tabs>
              <w:rPr>
                <w:sz w:val="20"/>
                <w:szCs w:val="20"/>
              </w:rPr>
            </w:pPr>
            <w:r w:rsidRPr="00A935AA">
              <w:rPr>
                <w:sz w:val="20"/>
                <w:szCs w:val="20"/>
              </w:rPr>
              <w:tab/>
              <w:t>v. (3</w:t>
            </w:r>
            <w:r>
              <w:rPr>
                <w:sz w:val="20"/>
                <w:szCs w:val="20"/>
              </w:rPr>
              <w:t>6103</w:t>
            </w:r>
            <w:r w:rsidRPr="00A935AA">
              <w:rPr>
                <w:sz w:val="20"/>
                <w:szCs w:val="20"/>
              </w:rPr>
              <w:t>)</w:t>
            </w:r>
          </w:p>
          <w:p w:rsidR="004A6177" w:rsidRPr="00A935AA" w:rsidRDefault="004A6177" w:rsidP="000B63AF">
            <w:pPr>
              <w:tabs>
                <w:tab w:val="left" w:pos="-1440"/>
                <w:tab w:val="left" w:pos="-720"/>
              </w:tabs>
              <w:rPr>
                <w:sz w:val="20"/>
                <w:szCs w:val="20"/>
              </w:rPr>
            </w:pPr>
          </w:p>
          <w:p w:rsidR="004A6177" w:rsidRPr="00615A51" w:rsidRDefault="004A6177" w:rsidP="000B63AF">
            <w:pPr>
              <w:tabs>
                <w:tab w:val="left" w:pos="-1440"/>
                <w:tab w:val="left" w:pos="-720"/>
              </w:tabs>
              <w:rPr>
                <w:b/>
                <w:sz w:val="20"/>
                <w:szCs w:val="20"/>
              </w:rPr>
            </w:pPr>
            <w:r>
              <w:rPr>
                <w:b/>
                <w:sz w:val="20"/>
                <w:szCs w:val="20"/>
              </w:rPr>
              <w:t xml:space="preserve">Ministry of Community Safety and Correctional Services et al. </w:t>
            </w:r>
            <w:r w:rsidRPr="00615A51">
              <w:rPr>
                <w:b/>
                <w:sz w:val="20"/>
                <w:szCs w:val="20"/>
              </w:rPr>
              <w:t>(Ont.)</w:t>
            </w:r>
          </w:p>
          <w:p w:rsidR="004A6177" w:rsidRPr="004A6177" w:rsidRDefault="004A6177" w:rsidP="000B63AF">
            <w:pPr>
              <w:tabs>
                <w:tab w:val="left" w:pos="-1440"/>
                <w:tab w:val="left" w:pos="-720"/>
              </w:tabs>
              <w:rPr>
                <w:sz w:val="20"/>
                <w:szCs w:val="20"/>
              </w:rPr>
            </w:pPr>
            <w:r w:rsidRPr="00615A51">
              <w:rPr>
                <w:sz w:val="20"/>
                <w:szCs w:val="20"/>
              </w:rPr>
              <w:tab/>
            </w:r>
            <w:r w:rsidRPr="004A6177">
              <w:rPr>
                <w:sz w:val="20"/>
                <w:szCs w:val="20"/>
              </w:rPr>
              <w:t>Brian G. Whitehead</w:t>
            </w:r>
          </w:p>
          <w:p w:rsidR="004A6177" w:rsidRPr="004A6177" w:rsidRDefault="004A6177" w:rsidP="000B63AF">
            <w:pPr>
              <w:tabs>
                <w:tab w:val="left" w:pos="-1440"/>
                <w:tab w:val="left" w:pos="-720"/>
              </w:tabs>
              <w:rPr>
                <w:sz w:val="20"/>
                <w:szCs w:val="20"/>
              </w:rPr>
            </w:pPr>
            <w:r w:rsidRPr="004A6177">
              <w:rPr>
                <w:sz w:val="20"/>
                <w:szCs w:val="20"/>
              </w:rPr>
              <w:tab/>
              <w:t xml:space="preserve">Ministry of Community Safety and </w:t>
            </w:r>
            <w:r w:rsidR="00262483">
              <w:rPr>
                <w:sz w:val="20"/>
                <w:szCs w:val="20"/>
              </w:rPr>
              <w:tab/>
            </w:r>
            <w:r w:rsidRPr="004A6177">
              <w:rPr>
                <w:sz w:val="20"/>
                <w:szCs w:val="20"/>
              </w:rPr>
              <w:t>Correctional Services (Ontario)</w:t>
            </w:r>
          </w:p>
          <w:p w:rsidR="004A6177" w:rsidRPr="004A6177" w:rsidRDefault="004A6177" w:rsidP="000B63AF">
            <w:pPr>
              <w:tabs>
                <w:tab w:val="left" w:pos="-1440"/>
                <w:tab w:val="left" w:pos="-720"/>
              </w:tabs>
              <w:rPr>
                <w:sz w:val="20"/>
                <w:szCs w:val="20"/>
              </w:rPr>
            </w:pPr>
          </w:p>
          <w:p w:rsidR="004A6177" w:rsidRPr="004A6177" w:rsidRDefault="004A6177" w:rsidP="004A6177">
            <w:pPr>
              <w:rPr>
                <w:sz w:val="20"/>
                <w:szCs w:val="20"/>
                <w:lang w:val="fr-CA"/>
              </w:rPr>
            </w:pPr>
            <w:r w:rsidRPr="004A6177">
              <w:rPr>
                <w:sz w:val="20"/>
                <w:szCs w:val="20"/>
                <w:lang w:val="fr-CA"/>
              </w:rPr>
              <w:t>FILING DATE: 2</w:t>
            </w:r>
            <w:r>
              <w:rPr>
                <w:sz w:val="20"/>
                <w:szCs w:val="20"/>
                <w:lang w:val="fr-CA"/>
              </w:rPr>
              <w:t>9</w:t>
            </w:r>
            <w:r w:rsidRPr="004A6177">
              <w:rPr>
                <w:sz w:val="20"/>
                <w:szCs w:val="20"/>
                <w:lang w:val="fr-CA"/>
              </w:rPr>
              <w:t>.0</w:t>
            </w:r>
            <w:r>
              <w:rPr>
                <w:sz w:val="20"/>
                <w:szCs w:val="20"/>
                <w:lang w:val="fr-CA"/>
              </w:rPr>
              <w:t>9</w:t>
            </w:r>
            <w:r w:rsidRPr="004A6177">
              <w:rPr>
                <w:sz w:val="20"/>
                <w:szCs w:val="20"/>
                <w:lang w:val="fr-CA"/>
              </w:rPr>
              <w:t>.2014</w:t>
            </w:r>
            <w:r w:rsidR="00237788">
              <w:rPr>
                <w:sz w:val="20"/>
                <w:szCs w:val="20"/>
                <w:lang w:val="fr-CA"/>
              </w:rPr>
              <w:pict>
                <v:rect id="_x0000_i1037" style="width:108pt;height:1pt" o:hrpct="0" o:hralign="center" o:hrstd="t" o:hrnoshade="t" o:hr="t" fillcolor="black [3213]" stroked="f"/>
              </w:pict>
            </w:r>
          </w:p>
        </w:tc>
        <w:tc>
          <w:tcPr>
            <w:tcW w:w="1181" w:type="dxa"/>
            <w:shd w:val="clear" w:color="auto" w:fill="auto"/>
          </w:tcPr>
          <w:p w:rsidR="004A6177" w:rsidRPr="004A6177" w:rsidRDefault="004A6177" w:rsidP="00242AEE">
            <w:pPr>
              <w:jc w:val="center"/>
              <w:rPr>
                <w:sz w:val="20"/>
                <w:szCs w:val="20"/>
                <w:lang w:val="fr-CA"/>
              </w:rPr>
            </w:pPr>
          </w:p>
          <w:p w:rsidR="004A6177" w:rsidRPr="004A6177" w:rsidRDefault="004A6177" w:rsidP="00242AEE">
            <w:pPr>
              <w:jc w:val="center"/>
              <w:rPr>
                <w:sz w:val="20"/>
                <w:szCs w:val="20"/>
                <w:lang w:val="fr-CA"/>
              </w:rPr>
            </w:pPr>
          </w:p>
          <w:p w:rsidR="004A6177" w:rsidRPr="004A6177" w:rsidRDefault="004A6177" w:rsidP="00242AEE">
            <w:pPr>
              <w:jc w:val="center"/>
              <w:rPr>
                <w:sz w:val="20"/>
                <w:szCs w:val="20"/>
                <w:lang w:val="fr-CA"/>
              </w:rPr>
            </w:pPr>
          </w:p>
          <w:p w:rsidR="004A6177" w:rsidRPr="004A6177" w:rsidRDefault="004A6177" w:rsidP="00242AEE">
            <w:pPr>
              <w:jc w:val="center"/>
              <w:rPr>
                <w:sz w:val="20"/>
                <w:szCs w:val="20"/>
                <w:lang w:val="fr-CA"/>
              </w:rPr>
            </w:pPr>
          </w:p>
          <w:p w:rsidR="004A6177" w:rsidRPr="004A6177" w:rsidRDefault="004A6177" w:rsidP="00242AEE">
            <w:pPr>
              <w:jc w:val="center"/>
              <w:rPr>
                <w:sz w:val="20"/>
                <w:szCs w:val="20"/>
                <w:lang w:val="fr-CA"/>
              </w:rPr>
            </w:pPr>
          </w:p>
          <w:p w:rsidR="004A6177" w:rsidRPr="004A6177" w:rsidRDefault="004A6177" w:rsidP="00242AEE">
            <w:pPr>
              <w:jc w:val="center"/>
              <w:rPr>
                <w:sz w:val="20"/>
                <w:szCs w:val="20"/>
                <w:lang w:val="fr-CA"/>
              </w:rPr>
            </w:pPr>
          </w:p>
          <w:p w:rsidR="004A6177" w:rsidRPr="004A6177" w:rsidRDefault="004A6177" w:rsidP="00242AEE">
            <w:pPr>
              <w:jc w:val="center"/>
              <w:rPr>
                <w:sz w:val="20"/>
                <w:szCs w:val="20"/>
                <w:lang w:val="fr-CA"/>
              </w:rPr>
            </w:pPr>
          </w:p>
          <w:p w:rsidR="004A6177" w:rsidRPr="004A6177" w:rsidRDefault="004A6177" w:rsidP="00242AEE">
            <w:pPr>
              <w:jc w:val="center"/>
              <w:rPr>
                <w:sz w:val="20"/>
                <w:szCs w:val="20"/>
                <w:lang w:val="fr-CA"/>
              </w:rPr>
            </w:pPr>
          </w:p>
          <w:p w:rsidR="004A6177" w:rsidRPr="004A6177" w:rsidRDefault="004A6177" w:rsidP="00242AEE">
            <w:pPr>
              <w:jc w:val="center"/>
              <w:rPr>
                <w:sz w:val="20"/>
                <w:szCs w:val="20"/>
                <w:lang w:val="fr-CA"/>
              </w:rPr>
            </w:pPr>
          </w:p>
          <w:p w:rsidR="004A6177" w:rsidRPr="004A6177" w:rsidRDefault="004A6177" w:rsidP="00242AEE">
            <w:pPr>
              <w:jc w:val="center"/>
              <w:rPr>
                <w:sz w:val="20"/>
                <w:szCs w:val="20"/>
                <w:lang w:val="fr-CA"/>
              </w:rPr>
            </w:pPr>
          </w:p>
          <w:p w:rsidR="004A6177" w:rsidRPr="004A6177" w:rsidRDefault="004A6177" w:rsidP="00242AEE">
            <w:pPr>
              <w:jc w:val="center"/>
              <w:rPr>
                <w:sz w:val="20"/>
                <w:szCs w:val="20"/>
                <w:lang w:val="fr-CA"/>
              </w:rPr>
            </w:pPr>
          </w:p>
          <w:p w:rsidR="004A6177" w:rsidRDefault="004A6177" w:rsidP="00242AEE">
            <w:pPr>
              <w:jc w:val="center"/>
              <w:rPr>
                <w:sz w:val="20"/>
                <w:szCs w:val="20"/>
                <w:lang w:val="fr-CA"/>
              </w:rPr>
            </w:pPr>
          </w:p>
          <w:p w:rsidR="004A6177" w:rsidRDefault="004A6177" w:rsidP="00242AEE">
            <w:pPr>
              <w:jc w:val="center"/>
              <w:rPr>
                <w:sz w:val="20"/>
                <w:szCs w:val="20"/>
                <w:lang w:val="fr-CA"/>
              </w:rPr>
            </w:pPr>
          </w:p>
          <w:p w:rsidR="004A6177" w:rsidRDefault="004A6177" w:rsidP="00242AEE">
            <w:pPr>
              <w:jc w:val="center"/>
              <w:rPr>
                <w:sz w:val="20"/>
                <w:szCs w:val="20"/>
                <w:lang w:val="fr-CA"/>
              </w:rPr>
            </w:pPr>
          </w:p>
          <w:p w:rsidR="004A6177" w:rsidRPr="004A6177" w:rsidRDefault="004A6177" w:rsidP="00242AEE">
            <w:pPr>
              <w:jc w:val="center"/>
              <w:rPr>
                <w:sz w:val="20"/>
                <w:szCs w:val="20"/>
                <w:lang w:val="fr-CA"/>
              </w:rPr>
            </w:pPr>
          </w:p>
          <w:p w:rsidR="004A6177" w:rsidRPr="004A6177" w:rsidRDefault="004A6177" w:rsidP="00242AEE">
            <w:pPr>
              <w:jc w:val="center"/>
              <w:rPr>
                <w:sz w:val="20"/>
                <w:szCs w:val="20"/>
                <w:lang w:val="fr-CA"/>
              </w:rPr>
            </w:pPr>
          </w:p>
        </w:tc>
        <w:tc>
          <w:tcPr>
            <w:tcW w:w="4320" w:type="dxa"/>
            <w:shd w:val="clear" w:color="auto" w:fill="auto"/>
          </w:tcPr>
          <w:p w:rsidR="004A6177" w:rsidRPr="00A935AA" w:rsidRDefault="004A6177" w:rsidP="004A6177">
            <w:pPr>
              <w:rPr>
                <w:b/>
                <w:sz w:val="20"/>
                <w:szCs w:val="20"/>
              </w:rPr>
            </w:pPr>
            <w:r>
              <w:rPr>
                <w:b/>
                <w:sz w:val="20"/>
                <w:szCs w:val="20"/>
              </w:rPr>
              <w:t>Andrew Clifford Maracle (a.k.a. Sir Andrew C. Miracle and Andrew Clifford Miracle)</w:t>
            </w:r>
          </w:p>
          <w:p w:rsidR="004A6177" w:rsidRPr="00A935AA" w:rsidRDefault="004A6177" w:rsidP="004A6177">
            <w:pPr>
              <w:tabs>
                <w:tab w:val="left" w:pos="-1440"/>
                <w:tab w:val="left" w:pos="-720"/>
              </w:tabs>
              <w:rPr>
                <w:sz w:val="20"/>
                <w:szCs w:val="20"/>
              </w:rPr>
            </w:pPr>
            <w:r w:rsidRPr="00A935AA">
              <w:rPr>
                <w:sz w:val="20"/>
                <w:szCs w:val="20"/>
              </w:rPr>
              <w:tab/>
            </w:r>
            <w:r>
              <w:rPr>
                <w:sz w:val="20"/>
                <w:szCs w:val="20"/>
              </w:rPr>
              <w:t>Allan Morrison</w:t>
            </w:r>
          </w:p>
          <w:p w:rsidR="004A6177" w:rsidRPr="00A935AA" w:rsidRDefault="004A6177" w:rsidP="004A6177">
            <w:pPr>
              <w:tabs>
                <w:tab w:val="left" w:pos="-1440"/>
                <w:tab w:val="left" w:pos="-720"/>
              </w:tabs>
              <w:rPr>
                <w:sz w:val="20"/>
                <w:szCs w:val="20"/>
              </w:rPr>
            </w:pPr>
            <w:r w:rsidRPr="00A935AA">
              <w:rPr>
                <w:sz w:val="20"/>
                <w:szCs w:val="20"/>
              </w:rPr>
              <w:tab/>
            </w:r>
            <w:r>
              <w:rPr>
                <w:sz w:val="20"/>
                <w:szCs w:val="20"/>
              </w:rPr>
              <w:t>Morrison Law</w:t>
            </w:r>
          </w:p>
          <w:p w:rsidR="004A6177" w:rsidRPr="00A935AA" w:rsidRDefault="004A6177" w:rsidP="004A6177">
            <w:pPr>
              <w:tabs>
                <w:tab w:val="left" w:pos="-1440"/>
                <w:tab w:val="left" w:pos="-720"/>
              </w:tabs>
              <w:rPr>
                <w:sz w:val="20"/>
                <w:szCs w:val="20"/>
              </w:rPr>
            </w:pPr>
          </w:p>
          <w:p w:rsidR="004A6177" w:rsidRPr="00A935AA" w:rsidRDefault="004A6177" w:rsidP="004A6177">
            <w:pPr>
              <w:tabs>
                <w:tab w:val="left" w:pos="-1440"/>
                <w:tab w:val="left" w:pos="-720"/>
              </w:tabs>
              <w:rPr>
                <w:sz w:val="20"/>
                <w:szCs w:val="20"/>
              </w:rPr>
            </w:pPr>
            <w:r w:rsidRPr="00A935AA">
              <w:rPr>
                <w:sz w:val="20"/>
                <w:szCs w:val="20"/>
              </w:rPr>
              <w:tab/>
              <w:t>v. (3</w:t>
            </w:r>
            <w:r>
              <w:rPr>
                <w:sz w:val="20"/>
                <w:szCs w:val="20"/>
              </w:rPr>
              <w:t>6096</w:t>
            </w:r>
            <w:r w:rsidRPr="00A935AA">
              <w:rPr>
                <w:sz w:val="20"/>
                <w:szCs w:val="20"/>
              </w:rPr>
              <w:t>)</w:t>
            </w:r>
          </w:p>
          <w:p w:rsidR="004A6177" w:rsidRPr="00A935AA" w:rsidRDefault="004A6177" w:rsidP="004A6177">
            <w:pPr>
              <w:tabs>
                <w:tab w:val="left" w:pos="-1440"/>
                <w:tab w:val="left" w:pos="-720"/>
              </w:tabs>
              <w:rPr>
                <w:sz w:val="20"/>
                <w:szCs w:val="20"/>
              </w:rPr>
            </w:pPr>
          </w:p>
          <w:p w:rsidR="004A6177" w:rsidRPr="00A935AA" w:rsidRDefault="004A6177" w:rsidP="004A6177">
            <w:pPr>
              <w:tabs>
                <w:tab w:val="left" w:pos="-1440"/>
                <w:tab w:val="left" w:pos="-720"/>
              </w:tabs>
              <w:rPr>
                <w:b/>
                <w:sz w:val="20"/>
                <w:szCs w:val="20"/>
              </w:rPr>
            </w:pPr>
            <w:r>
              <w:rPr>
                <w:b/>
                <w:sz w:val="20"/>
                <w:szCs w:val="20"/>
              </w:rPr>
              <w:t xml:space="preserve">R. Donald Maracle, Chief of the Mowhawks of the Bay of Quinte on behalf of the Tyendinaga Mohawk Council and all members of the Mohawks of the Bay of Quinte </w:t>
            </w:r>
            <w:r w:rsidRPr="00A935AA">
              <w:rPr>
                <w:b/>
                <w:sz w:val="20"/>
                <w:szCs w:val="20"/>
              </w:rPr>
              <w:t>(</w:t>
            </w:r>
            <w:r>
              <w:rPr>
                <w:b/>
                <w:sz w:val="20"/>
                <w:szCs w:val="20"/>
              </w:rPr>
              <w:t>Ont</w:t>
            </w:r>
            <w:r w:rsidRPr="00A935AA">
              <w:rPr>
                <w:b/>
                <w:sz w:val="20"/>
                <w:szCs w:val="20"/>
              </w:rPr>
              <w:t>.)</w:t>
            </w:r>
          </w:p>
          <w:p w:rsidR="004A6177" w:rsidRPr="00A935AA" w:rsidRDefault="004A6177" w:rsidP="004A6177">
            <w:pPr>
              <w:tabs>
                <w:tab w:val="left" w:pos="-1440"/>
                <w:tab w:val="left" w:pos="-720"/>
              </w:tabs>
              <w:rPr>
                <w:sz w:val="20"/>
                <w:szCs w:val="20"/>
              </w:rPr>
            </w:pPr>
            <w:r w:rsidRPr="00A935AA">
              <w:rPr>
                <w:sz w:val="20"/>
                <w:szCs w:val="20"/>
              </w:rPr>
              <w:tab/>
            </w:r>
            <w:r>
              <w:rPr>
                <w:sz w:val="20"/>
                <w:szCs w:val="20"/>
              </w:rPr>
              <w:t>Ronald J. Horst</w:t>
            </w:r>
          </w:p>
          <w:p w:rsidR="004A6177" w:rsidRPr="00A935AA" w:rsidRDefault="004A6177" w:rsidP="004A6177">
            <w:pPr>
              <w:tabs>
                <w:tab w:val="left" w:pos="-1440"/>
                <w:tab w:val="left" w:pos="-720"/>
              </w:tabs>
              <w:rPr>
                <w:sz w:val="20"/>
                <w:szCs w:val="20"/>
              </w:rPr>
            </w:pPr>
            <w:r w:rsidRPr="00A935AA">
              <w:rPr>
                <w:sz w:val="20"/>
                <w:szCs w:val="20"/>
              </w:rPr>
              <w:tab/>
            </w:r>
            <w:r>
              <w:rPr>
                <w:sz w:val="20"/>
                <w:szCs w:val="20"/>
              </w:rPr>
              <w:t>Blaney McMurtry LLP</w:t>
            </w:r>
          </w:p>
          <w:p w:rsidR="004A6177" w:rsidRPr="00A935AA" w:rsidRDefault="004A6177" w:rsidP="004A6177">
            <w:pPr>
              <w:tabs>
                <w:tab w:val="left" w:pos="-1440"/>
                <w:tab w:val="left" w:pos="-720"/>
              </w:tabs>
              <w:rPr>
                <w:sz w:val="20"/>
                <w:szCs w:val="20"/>
              </w:rPr>
            </w:pPr>
          </w:p>
          <w:p w:rsidR="004A6177" w:rsidRPr="00A935AA" w:rsidRDefault="004A6177" w:rsidP="004A6177">
            <w:pPr>
              <w:rPr>
                <w:sz w:val="20"/>
                <w:szCs w:val="20"/>
              </w:rPr>
            </w:pPr>
            <w:r w:rsidRPr="00A935AA">
              <w:rPr>
                <w:sz w:val="20"/>
                <w:szCs w:val="20"/>
              </w:rPr>
              <w:t>FILING DATE: 2</w:t>
            </w:r>
            <w:r>
              <w:rPr>
                <w:sz w:val="20"/>
                <w:szCs w:val="20"/>
              </w:rPr>
              <w:t>9</w:t>
            </w:r>
            <w:r w:rsidRPr="00A935AA">
              <w:rPr>
                <w:sz w:val="20"/>
                <w:szCs w:val="20"/>
              </w:rPr>
              <w:t>.0</w:t>
            </w:r>
            <w:r>
              <w:rPr>
                <w:sz w:val="20"/>
                <w:szCs w:val="20"/>
              </w:rPr>
              <w:t>9</w:t>
            </w:r>
            <w:r w:rsidRPr="00A935AA">
              <w:rPr>
                <w:sz w:val="20"/>
                <w:szCs w:val="20"/>
              </w:rPr>
              <w:t>.201</w:t>
            </w:r>
            <w:r>
              <w:rPr>
                <w:sz w:val="20"/>
                <w:szCs w:val="20"/>
              </w:rPr>
              <w:t>4</w:t>
            </w:r>
            <w:r w:rsidR="00237788">
              <w:rPr>
                <w:sz w:val="20"/>
                <w:szCs w:val="20"/>
                <w:lang w:val="fr-CA"/>
              </w:rPr>
              <w:pict>
                <v:rect id="_x0000_i1038"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1010D">
          <w:headerReference w:type="default" r:id="rId17"/>
          <w:footerReference w:type="default" r:id="rId18"/>
          <w:headerReference w:type="first" r:id="rId19"/>
          <w:footerReference w:type="first" r:id="rId20"/>
          <w:pgSz w:w="12240" w:h="15840"/>
          <w:pgMar w:top="720" w:right="965" w:bottom="1080" w:left="1656" w:header="706" w:footer="706" w:gutter="0"/>
          <w:pgNumType w:start="159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237788"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824CBB" w:rsidP="00CB3520">
      <w:pPr>
        <w:widowControl w:val="0"/>
        <w:rPr>
          <w:b/>
          <w:sz w:val="20"/>
          <w:szCs w:val="20"/>
        </w:rPr>
      </w:pPr>
      <w:r>
        <w:rPr>
          <w:b/>
          <w:sz w:val="20"/>
          <w:szCs w:val="20"/>
        </w:rPr>
        <w:t>OCTOBER 14</w:t>
      </w:r>
      <w:r w:rsidR="00CB3520" w:rsidRPr="00C50A5C">
        <w:rPr>
          <w:b/>
          <w:sz w:val="20"/>
          <w:szCs w:val="20"/>
        </w:rPr>
        <w:t>, 201</w:t>
      </w:r>
      <w:r w:rsidR="00CB3520">
        <w:rPr>
          <w:b/>
          <w:sz w:val="20"/>
          <w:szCs w:val="20"/>
        </w:rPr>
        <w:t>4</w:t>
      </w:r>
      <w:r w:rsidR="00CB3520" w:rsidRPr="00C50A5C">
        <w:rPr>
          <w:b/>
          <w:sz w:val="20"/>
          <w:szCs w:val="20"/>
        </w:rPr>
        <w:t xml:space="preserve"> / LE </w:t>
      </w:r>
      <w:r>
        <w:rPr>
          <w:b/>
          <w:sz w:val="20"/>
          <w:szCs w:val="20"/>
        </w:rPr>
        <w:t>14</w:t>
      </w:r>
      <w:r w:rsidR="00CB3520">
        <w:rPr>
          <w:b/>
          <w:sz w:val="20"/>
          <w:szCs w:val="20"/>
        </w:rPr>
        <w:t xml:space="preserve"> </w:t>
      </w:r>
      <w:r>
        <w:rPr>
          <w:b/>
          <w:sz w:val="20"/>
          <w:szCs w:val="20"/>
        </w:rPr>
        <w:t>OCTOBR</w:t>
      </w:r>
      <w:r w:rsidR="00CB3520">
        <w:rPr>
          <w:b/>
          <w:sz w:val="20"/>
          <w:szCs w:val="20"/>
        </w:rPr>
        <w:t>E</w:t>
      </w:r>
      <w:r w:rsidR="00CB3520" w:rsidRPr="00C50A5C">
        <w:rPr>
          <w:b/>
          <w:sz w:val="20"/>
          <w:szCs w:val="20"/>
        </w:rPr>
        <w:t xml:space="preserve"> 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C50A5C" w:rsidRDefault="00E87A06" w:rsidP="00CB3520">
      <w:pPr>
        <w:pStyle w:val="ListParagraph"/>
        <w:widowControl w:val="0"/>
        <w:numPr>
          <w:ilvl w:val="0"/>
          <w:numId w:val="1"/>
        </w:numPr>
        <w:ind w:hanging="720"/>
        <w:jc w:val="both"/>
        <w:rPr>
          <w:sz w:val="20"/>
          <w:szCs w:val="20"/>
        </w:rPr>
      </w:pPr>
      <w:r w:rsidRPr="00E87A06">
        <w:rPr>
          <w:i/>
          <w:sz w:val="20"/>
          <w:szCs w:val="20"/>
        </w:rPr>
        <w:t>Hau Duong v. Her Majesty the Queen</w:t>
      </w:r>
      <w:r w:rsidRPr="00E87A06">
        <w:rPr>
          <w:sz w:val="20"/>
          <w:szCs w:val="20"/>
        </w:rPr>
        <w:t xml:space="preserve"> (Ont.) (Crim.) (By Leave)</w:t>
      </w:r>
      <w:r w:rsidRPr="00C50A5C">
        <w:rPr>
          <w:sz w:val="20"/>
          <w:szCs w:val="20"/>
        </w:rPr>
        <w:t xml:space="preserve"> </w:t>
      </w:r>
      <w:r w:rsidR="00CB3520" w:rsidRPr="00C50A5C">
        <w:rPr>
          <w:sz w:val="20"/>
          <w:szCs w:val="20"/>
        </w:rPr>
        <w:t>(3</w:t>
      </w:r>
      <w:r w:rsidR="00CB3520">
        <w:rPr>
          <w:sz w:val="20"/>
          <w:szCs w:val="20"/>
        </w:rPr>
        <w:t>5</w:t>
      </w:r>
      <w:r>
        <w:rPr>
          <w:sz w:val="20"/>
          <w:szCs w:val="20"/>
        </w:rPr>
        <w:t>940</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E87A06" w:rsidP="00CB3520">
      <w:pPr>
        <w:pStyle w:val="ListParagraph"/>
        <w:widowControl w:val="0"/>
        <w:numPr>
          <w:ilvl w:val="0"/>
          <w:numId w:val="1"/>
        </w:numPr>
        <w:ind w:hanging="720"/>
        <w:jc w:val="both"/>
        <w:rPr>
          <w:sz w:val="20"/>
          <w:szCs w:val="20"/>
        </w:rPr>
      </w:pPr>
      <w:r w:rsidRPr="005B6EE2">
        <w:rPr>
          <w:i/>
          <w:sz w:val="20"/>
          <w:szCs w:val="20"/>
        </w:rPr>
        <w:t xml:space="preserve">Atiba Ralph </w:t>
      </w:r>
      <w:r w:rsidR="005B6EE2" w:rsidRPr="005B6EE2">
        <w:rPr>
          <w:i/>
          <w:sz w:val="20"/>
          <w:szCs w:val="20"/>
        </w:rPr>
        <w:t>v. Her Majesty the Queen</w:t>
      </w:r>
      <w:r w:rsidR="005B6EE2" w:rsidRPr="00E87A06">
        <w:rPr>
          <w:sz w:val="20"/>
          <w:szCs w:val="20"/>
        </w:rPr>
        <w:t xml:space="preserve"> </w:t>
      </w:r>
      <w:r w:rsidRPr="00E87A06">
        <w:rPr>
          <w:sz w:val="20"/>
          <w:szCs w:val="20"/>
        </w:rPr>
        <w:t>(Ont.) (Crim.) (By Leave)</w:t>
      </w:r>
      <w:r w:rsidR="00CB3520" w:rsidRPr="00C612D0">
        <w:rPr>
          <w:sz w:val="20"/>
          <w:szCs w:val="20"/>
        </w:rPr>
        <w:t xml:space="preserve"> (3</w:t>
      </w:r>
      <w:r w:rsidR="00CB3520">
        <w:rPr>
          <w:sz w:val="20"/>
          <w:szCs w:val="20"/>
        </w:rPr>
        <w:t>5</w:t>
      </w:r>
      <w:r>
        <w:rPr>
          <w:sz w:val="20"/>
          <w:szCs w:val="20"/>
        </w:rPr>
        <w:t>934</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5B6EE2" w:rsidP="00CB3520">
      <w:pPr>
        <w:pStyle w:val="ListParagraph"/>
        <w:widowControl w:val="0"/>
        <w:numPr>
          <w:ilvl w:val="0"/>
          <w:numId w:val="1"/>
        </w:numPr>
        <w:ind w:hanging="720"/>
        <w:jc w:val="both"/>
        <w:rPr>
          <w:sz w:val="20"/>
          <w:szCs w:val="20"/>
        </w:rPr>
      </w:pPr>
      <w:r w:rsidRPr="005B6EE2">
        <w:rPr>
          <w:i/>
          <w:sz w:val="20"/>
          <w:szCs w:val="20"/>
        </w:rPr>
        <w:t>Da Wei Chang v. Elizabeth Foo-Yun Chang Leung, Executrix of the Estate of Hsieu Chang, also Known as Chen Hsieu Chang, aslo known as Chang Chen Hsieu, Deceased et al.</w:t>
      </w:r>
      <w:r w:rsidRPr="00E87A06">
        <w:rPr>
          <w:sz w:val="20"/>
          <w:szCs w:val="20"/>
        </w:rPr>
        <w:t xml:space="preserve"> (B.C.) (Civil) (By Leave)</w:t>
      </w:r>
      <w:r w:rsidRPr="00940CAD">
        <w:rPr>
          <w:sz w:val="20"/>
          <w:szCs w:val="20"/>
        </w:rPr>
        <w:t xml:space="preserve"> </w:t>
      </w:r>
      <w:r w:rsidR="00CB3520" w:rsidRPr="00940CAD">
        <w:rPr>
          <w:sz w:val="20"/>
          <w:szCs w:val="20"/>
        </w:rPr>
        <w:t>(3</w:t>
      </w:r>
      <w:r w:rsidR="00CB3520">
        <w:rPr>
          <w:sz w:val="20"/>
          <w:szCs w:val="20"/>
        </w:rPr>
        <w:t>5</w:t>
      </w:r>
      <w:r w:rsidR="00E87A06">
        <w:rPr>
          <w:sz w:val="20"/>
          <w:szCs w:val="20"/>
        </w:rPr>
        <w:t>951</w:t>
      </w:r>
      <w:r w:rsidR="00CB3520" w:rsidRPr="00940CAD">
        <w:rPr>
          <w:sz w:val="20"/>
          <w:szCs w:val="20"/>
        </w:rPr>
        <w:t>)</w:t>
      </w:r>
    </w:p>
    <w:p w:rsidR="00CB3520" w:rsidRPr="00C50A5C" w:rsidRDefault="00CB3520" w:rsidP="00CB3520">
      <w:pPr>
        <w:widowControl w:val="0"/>
        <w:rPr>
          <w:sz w:val="20"/>
          <w:szCs w:val="20"/>
        </w:rPr>
      </w:pPr>
    </w:p>
    <w:p w:rsidR="00CB3520" w:rsidRPr="00C50A5C" w:rsidRDefault="005B6EE2" w:rsidP="00CB3520">
      <w:pPr>
        <w:pStyle w:val="ListParagraph"/>
        <w:widowControl w:val="0"/>
        <w:numPr>
          <w:ilvl w:val="0"/>
          <w:numId w:val="1"/>
        </w:numPr>
        <w:ind w:hanging="720"/>
        <w:jc w:val="both"/>
        <w:rPr>
          <w:sz w:val="20"/>
          <w:szCs w:val="20"/>
        </w:rPr>
      </w:pPr>
      <w:r w:rsidRPr="005B6EE2">
        <w:rPr>
          <w:i/>
          <w:sz w:val="20"/>
          <w:szCs w:val="20"/>
        </w:rPr>
        <w:t>Orville Lewis v. Central Credit Union Limited</w:t>
      </w:r>
      <w:r w:rsidRPr="005B6EE2">
        <w:rPr>
          <w:sz w:val="20"/>
          <w:szCs w:val="20"/>
        </w:rPr>
        <w:t xml:space="preserve"> (P.E.I.) </w:t>
      </w:r>
      <w:r w:rsidRPr="00E87A06">
        <w:rPr>
          <w:sz w:val="20"/>
          <w:szCs w:val="20"/>
        </w:rPr>
        <w:t>(Civil) (By Leave)</w:t>
      </w:r>
      <w:r w:rsidRPr="00C50A5C">
        <w:rPr>
          <w:sz w:val="20"/>
          <w:szCs w:val="20"/>
        </w:rPr>
        <w:t xml:space="preserve"> </w:t>
      </w:r>
      <w:r w:rsidR="00CB3520" w:rsidRPr="00C50A5C">
        <w:rPr>
          <w:sz w:val="20"/>
          <w:szCs w:val="20"/>
        </w:rPr>
        <w:t>(3</w:t>
      </w:r>
      <w:r w:rsidR="00CB3520">
        <w:rPr>
          <w:sz w:val="20"/>
          <w:szCs w:val="20"/>
        </w:rPr>
        <w:t>5</w:t>
      </w:r>
      <w:r w:rsidR="00E87A06">
        <w:rPr>
          <w:sz w:val="20"/>
          <w:szCs w:val="20"/>
        </w:rPr>
        <w:t>9</w:t>
      </w:r>
      <w:r w:rsidR="00CB3520">
        <w:rPr>
          <w:sz w:val="20"/>
          <w:szCs w:val="20"/>
        </w:rPr>
        <w:t>6</w:t>
      </w:r>
      <w:r w:rsidR="00E87A06">
        <w:rPr>
          <w:sz w:val="20"/>
          <w:szCs w:val="20"/>
        </w:rPr>
        <w:t>9</w:t>
      </w:r>
      <w:r w:rsidR="00CB3520" w:rsidRPr="00C50A5C">
        <w:rPr>
          <w:sz w:val="20"/>
          <w:szCs w:val="20"/>
        </w:rPr>
        <w:t>)</w:t>
      </w:r>
    </w:p>
    <w:p w:rsidR="00CB3520" w:rsidRDefault="00CB3520" w:rsidP="00CB3520">
      <w:pPr>
        <w:widowControl w:val="0"/>
        <w:jc w:val="both"/>
        <w:rPr>
          <w:sz w:val="20"/>
          <w:szCs w:val="20"/>
        </w:rPr>
      </w:pPr>
    </w:p>
    <w:p w:rsidR="00E87A06" w:rsidRDefault="00E87A06" w:rsidP="00CB3520">
      <w:pPr>
        <w:widowControl w:val="0"/>
        <w:jc w:val="both"/>
        <w:rPr>
          <w:sz w:val="20"/>
          <w:szCs w:val="20"/>
        </w:rPr>
      </w:pPr>
    </w:p>
    <w:p w:rsidR="00E87A06" w:rsidRPr="00C50A5C" w:rsidRDefault="00E87A06" w:rsidP="00E87A06">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E87A06" w:rsidRPr="00C50A5C" w:rsidRDefault="00E87A06" w:rsidP="00E87A06">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E87A06" w:rsidRPr="00E87A06" w:rsidRDefault="00E87A06" w:rsidP="00CB3520">
      <w:pPr>
        <w:widowControl w:val="0"/>
        <w:jc w:val="both"/>
        <w:rPr>
          <w:sz w:val="20"/>
          <w:szCs w:val="20"/>
          <w:lang w:val="fr-CA"/>
        </w:rPr>
      </w:pPr>
    </w:p>
    <w:p w:rsidR="00CB3520" w:rsidRPr="009C5D38" w:rsidRDefault="005B6EE2" w:rsidP="00CB3520">
      <w:pPr>
        <w:pStyle w:val="ListParagraph"/>
        <w:widowControl w:val="0"/>
        <w:numPr>
          <w:ilvl w:val="0"/>
          <w:numId w:val="1"/>
        </w:numPr>
        <w:ind w:hanging="720"/>
        <w:jc w:val="both"/>
        <w:rPr>
          <w:sz w:val="20"/>
          <w:szCs w:val="20"/>
        </w:rPr>
      </w:pPr>
      <w:r w:rsidRPr="005B6EE2">
        <w:rPr>
          <w:i/>
          <w:sz w:val="20"/>
          <w:szCs w:val="20"/>
        </w:rPr>
        <w:t>Richard Goebel v. Her Majesty the Queen</w:t>
      </w:r>
      <w:r w:rsidRPr="00E87A06">
        <w:rPr>
          <w:sz w:val="20"/>
          <w:szCs w:val="20"/>
        </w:rPr>
        <w:t xml:space="preserve"> (Ont.) (Crim.) (By Leave)</w:t>
      </w:r>
      <w:r w:rsidRPr="009C5D38">
        <w:rPr>
          <w:sz w:val="20"/>
          <w:szCs w:val="20"/>
        </w:rPr>
        <w:t xml:space="preserve"> </w:t>
      </w:r>
      <w:r w:rsidR="00CB3520" w:rsidRPr="009C5D38">
        <w:rPr>
          <w:sz w:val="20"/>
          <w:szCs w:val="20"/>
        </w:rPr>
        <w:t>(36</w:t>
      </w:r>
      <w:r w:rsidR="00E87A06">
        <w:rPr>
          <w:sz w:val="20"/>
          <w:szCs w:val="20"/>
        </w:rPr>
        <w:t>008</w:t>
      </w:r>
      <w:r w:rsidR="00CB3520" w:rsidRPr="009C5D38">
        <w:rPr>
          <w:sz w:val="20"/>
          <w:szCs w:val="20"/>
        </w:rPr>
        <w:t>)</w:t>
      </w:r>
    </w:p>
    <w:p w:rsidR="00CB3520" w:rsidRPr="005B6EE2" w:rsidRDefault="00CB3520" w:rsidP="00CB3520">
      <w:pPr>
        <w:widowControl w:val="0"/>
        <w:jc w:val="both"/>
        <w:rPr>
          <w:sz w:val="20"/>
          <w:szCs w:val="20"/>
        </w:rPr>
      </w:pPr>
    </w:p>
    <w:p w:rsidR="00CB3520" w:rsidRPr="00115C9E" w:rsidRDefault="005B6EE2" w:rsidP="00CB3520">
      <w:pPr>
        <w:pStyle w:val="ListParagraph"/>
        <w:widowControl w:val="0"/>
        <w:numPr>
          <w:ilvl w:val="0"/>
          <w:numId w:val="1"/>
        </w:numPr>
        <w:ind w:hanging="720"/>
        <w:jc w:val="both"/>
        <w:rPr>
          <w:sz w:val="20"/>
          <w:szCs w:val="20"/>
          <w:lang w:val="fr-CA"/>
        </w:rPr>
      </w:pPr>
      <w:r w:rsidRPr="005B6EE2">
        <w:rPr>
          <w:i/>
          <w:sz w:val="20"/>
          <w:szCs w:val="20"/>
          <w:lang w:val="fr-CA"/>
        </w:rPr>
        <w:t>Éric Bédard c. Ministre de la Justice du Canada</w:t>
      </w:r>
      <w:r w:rsidRPr="00E87A06">
        <w:rPr>
          <w:sz w:val="20"/>
          <w:szCs w:val="20"/>
          <w:lang w:val="fr-CA"/>
        </w:rPr>
        <w:t xml:space="preserve"> (Qc) (Crim.) (Autorisation)</w:t>
      </w:r>
      <w:r w:rsidRPr="00115C9E">
        <w:rPr>
          <w:sz w:val="20"/>
          <w:szCs w:val="20"/>
          <w:lang w:val="fr-CA"/>
        </w:rPr>
        <w:t xml:space="preserve"> </w:t>
      </w:r>
      <w:r w:rsidR="00CB3520" w:rsidRPr="00115C9E">
        <w:rPr>
          <w:sz w:val="20"/>
          <w:szCs w:val="20"/>
          <w:lang w:val="fr-CA"/>
        </w:rPr>
        <w:t>(3</w:t>
      </w:r>
      <w:r w:rsidR="00CB3520">
        <w:rPr>
          <w:sz w:val="20"/>
          <w:szCs w:val="20"/>
          <w:lang w:val="fr-CA"/>
        </w:rPr>
        <w:t>6</w:t>
      </w:r>
      <w:r w:rsidR="00E87A06">
        <w:rPr>
          <w:sz w:val="20"/>
          <w:szCs w:val="20"/>
          <w:lang w:val="fr-CA"/>
        </w:rPr>
        <w:t>018</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5B6EE2" w:rsidRDefault="005B6EE2" w:rsidP="00CB3520">
      <w:pPr>
        <w:pStyle w:val="ListParagraph"/>
        <w:widowControl w:val="0"/>
        <w:numPr>
          <w:ilvl w:val="0"/>
          <w:numId w:val="1"/>
        </w:numPr>
        <w:ind w:hanging="720"/>
        <w:jc w:val="both"/>
        <w:rPr>
          <w:sz w:val="20"/>
          <w:szCs w:val="20"/>
          <w:lang w:val="fr-CA"/>
        </w:rPr>
      </w:pPr>
      <w:r w:rsidRPr="005B6EE2">
        <w:rPr>
          <w:i/>
          <w:sz w:val="20"/>
          <w:szCs w:val="20"/>
          <w:lang w:val="fr-CA"/>
        </w:rPr>
        <w:t>Annie Marcheterre c. Carole Rollin et a</w:t>
      </w:r>
      <w:r w:rsidR="00262483">
        <w:rPr>
          <w:i/>
          <w:sz w:val="20"/>
          <w:szCs w:val="20"/>
          <w:lang w:val="fr-CA"/>
        </w:rPr>
        <w:t>utres</w:t>
      </w:r>
      <w:r w:rsidRPr="00E87A06">
        <w:rPr>
          <w:sz w:val="20"/>
          <w:szCs w:val="20"/>
          <w:lang w:val="fr-CA"/>
        </w:rPr>
        <w:t xml:space="preserve"> (Qc) (Civile) (Autorisation)</w:t>
      </w:r>
      <w:r w:rsidRPr="005B6EE2">
        <w:rPr>
          <w:sz w:val="20"/>
          <w:szCs w:val="20"/>
          <w:lang w:val="fr-CA"/>
        </w:rPr>
        <w:t xml:space="preserve"> </w:t>
      </w:r>
      <w:r w:rsidR="00CB3520" w:rsidRPr="005B6EE2">
        <w:rPr>
          <w:sz w:val="20"/>
          <w:szCs w:val="20"/>
          <w:lang w:val="fr-CA"/>
        </w:rPr>
        <w:t>(35</w:t>
      </w:r>
      <w:r w:rsidR="00E87A06" w:rsidRPr="005B6EE2">
        <w:rPr>
          <w:sz w:val="20"/>
          <w:szCs w:val="20"/>
          <w:lang w:val="fr-CA"/>
        </w:rPr>
        <w:t>988</w:t>
      </w:r>
      <w:r w:rsidR="00CB3520" w:rsidRPr="005B6EE2">
        <w:rPr>
          <w:sz w:val="20"/>
          <w:szCs w:val="20"/>
          <w:lang w:val="fr-CA"/>
        </w:rPr>
        <w:t>)</w:t>
      </w:r>
    </w:p>
    <w:p w:rsidR="00CB3520" w:rsidRPr="005B6EE2" w:rsidRDefault="00CB3520" w:rsidP="00CB3520">
      <w:pPr>
        <w:widowControl w:val="0"/>
        <w:jc w:val="both"/>
        <w:rPr>
          <w:sz w:val="20"/>
          <w:szCs w:val="20"/>
          <w:lang w:val="fr-CA"/>
        </w:rPr>
      </w:pPr>
    </w:p>
    <w:p w:rsidR="00CB3520" w:rsidRPr="005B6EE2" w:rsidRDefault="005B6EE2" w:rsidP="00CB3520">
      <w:pPr>
        <w:pStyle w:val="ListParagraph"/>
        <w:widowControl w:val="0"/>
        <w:numPr>
          <w:ilvl w:val="0"/>
          <w:numId w:val="1"/>
        </w:numPr>
        <w:ind w:hanging="720"/>
        <w:jc w:val="both"/>
        <w:rPr>
          <w:sz w:val="20"/>
          <w:szCs w:val="20"/>
        </w:rPr>
      </w:pPr>
      <w:r w:rsidRPr="005B6EE2">
        <w:rPr>
          <w:i/>
          <w:sz w:val="20"/>
          <w:szCs w:val="20"/>
        </w:rPr>
        <w:t>William Charlton et al. v. Karen Niedermeyer</w:t>
      </w:r>
      <w:r w:rsidRPr="00E87A06">
        <w:rPr>
          <w:sz w:val="20"/>
          <w:szCs w:val="20"/>
        </w:rPr>
        <w:t xml:space="preserve"> (B.C.) (Civil) (By Leave)</w:t>
      </w:r>
      <w:r w:rsidRPr="005B6EE2">
        <w:rPr>
          <w:sz w:val="20"/>
          <w:szCs w:val="20"/>
        </w:rPr>
        <w:t xml:space="preserve"> </w:t>
      </w:r>
      <w:r w:rsidR="00CB3520" w:rsidRPr="005B6EE2">
        <w:rPr>
          <w:sz w:val="20"/>
          <w:szCs w:val="20"/>
        </w:rPr>
        <w:t>(359</w:t>
      </w:r>
      <w:r w:rsidR="00E87A06" w:rsidRPr="005B6EE2">
        <w:rPr>
          <w:sz w:val="20"/>
          <w:szCs w:val="20"/>
        </w:rPr>
        <w:t>60</w:t>
      </w:r>
      <w:r w:rsidR="00CB3520" w:rsidRPr="005B6EE2">
        <w:rPr>
          <w:sz w:val="20"/>
          <w:szCs w:val="20"/>
        </w:rPr>
        <w:t>)</w:t>
      </w:r>
    </w:p>
    <w:p w:rsidR="00CB3520" w:rsidRPr="005B6EE2" w:rsidRDefault="00CB3520" w:rsidP="00CB3520">
      <w:pPr>
        <w:widowControl w:val="0"/>
        <w:rPr>
          <w:sz w:val="20"/>
          <w:szCs w:val="20"/>
        </w:rPr>
      </w:pPr>
    </w:p>
    <w:p w:rsidR="00E87A06" w:rsidRPr="005B6EE2" w:rsidRDefault="00E87A06" w:rsidP="00CB3520">
      <w:pPr>
        <w:widowControl w:val="0"/>
        <w:rPr>
          <w:sz w:val="20"/>
          <w:szCs w:val="20"/>
        </w:rPr>
      </w:pPr>
    </w:p>
    <w:p w:rsidR="00E87A06" w:rsidRPr="00C50A5C" w:rsidRDefault="00E87A06" w:rsidP="00E87A06">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E87A06" w:rsidRPr="00C50A5C" w:rsidRDefault="00E87A06" w:rsidP="00E87A06">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E87A06" w:rsidRDefault="00E87A06" w:rsidP="00CB3520">
      <w:pPr>
        <w:widowControl w:val="0"/>
        <w:rPr>
          <w:sz w:val="20"/>
          <w:szCs w:val="20"/>
          <w:lang w:val="fr-CA"/>
        </w:rPr>
      </w:pPr>
    </w:p>
    <w:p w:rsidR="00CB3520" w:rsidRPr="005B6EE2" w:rsidRDefault="005B6EE2" w:rsidP="00CB3520">
      <w:pPr>
        <w:pStyle w:val="ListParagraph"/>
        <w:widowControl w:val="0"/>
        <w:numPr>
          <w:ilvl w:val="0"/>
          <w:numId w:val="1"/>
        </w:numPr>
        <w:ind w:hanging="720"/>
        <w:jc w:val="both"/>
        <w:rPr>
          <w:sz w:val="20"/>
          <w:szCs w:val="20"/>
        </w:rPr>
      </w:pPr>
      <w:r w:rsidRPr="005B6EE2">
        <w:rPr>
          <w:i/>
          <w:sz w:val="20"/>
          <w:szCs w:val="20"/>
        </w:rPr>
        <w:t>Siobhan Ellis v. Her Majesty the Queen</w:t>
      </w:r>
      <w:r w:rsidRPr="00E87A06">
        <w:rPr>
          <w:sz w:val="20"/>
          <w:szCs w:val="20"/>
        </w:rPr>
        <w:t xml:space="preserve"> (Ont.) (Crim.) (By Leave)</w:t>
      </w:r>
      <w:r w:rsidRPr="005B6EE2">
        <w:rPr>
          <w:sz w:val="20"/>
          <w:szCs w:val="20"/>
        </w:rPr>
        <w:t xml:space="preserve"> </w:t>
      </w:r>
      <w:r w:rsidR="00CB3520" w:rsidRPr="005B6EE2">
        <w:rPr>
          <w:sz w:val="20"/>
          <w:szCs w:val="20"/>
        </w:rPr>
        <w:t>(35</w:t>
      </w:r>
      <w:r w:rsidR="00E87A06" w:rsidRPr="005B6EE2">
        <w:rPr>
          <w:sz w:val="20"/>
          <w:szCs w:val="20"/>
        </w:rPr>
        <w:t>975</w:t>
      </w:r>
      <w:r w:rsidR="00CB3520" w:rsidRPr="005B6EE2">
        <w:rPr>
          <w:sz w:val="20"/>
          <w:szCs w:val="20"/>
        </w:rPr>
        <w:t>)</w:t>
      </w:r>
    </w:p>
    <w:p w:rsidR="00CB3520" w:rsidRPr="005B6EE2" w:rsidRDefault="00CB3520" w:rsidP="00CB3520">
      <w:pPr>
        <w:widowControl w:val="0"/>
        <w:jc w:val="both"/>
        <w:rPr>
          <w:sz w:val="20"/>
          <w:szCs w:val="20"/>
        </w:rPr>
      </w:pPr>
    </w:p>
    <w:p w:rsidR="00CB3520" w:rsidRPr="00115C9E" w:rsidRDefault="005B6EE2" w:rsidP="00CB3520">
      <w:pPr>
        <w:pStyle w:val="ListParagraph"/>
        <w:widowControl w:val="0"/>
        <w:numPr>
          <w:ilvl w:val="0"/>
          <w:numId w:val="1"/>
        </w:numPr>
        <w:ind w:hanging="720"/>
        <w:jc w:val="both"/>
        <w:rPr>
          <w:sz w:val="20"/>
          <w:szCs w:val="20"/>
        </w:rPr>
      </w:pPr>
      <w:r w:rsidRPr="005B6EE2">
        <w:rPr>
          <w:i/>
          <w:sz w:val="20"/>
          <w:szCs w:val="20"/>
        </w:rPr>
        <w:t>Wayne Ferron v. Her Majesty the Queen</w:t>
      </w:r>
      <w:r w:rsidRPr="00E87A06">
        <w:rPr>
          <w:sz w:val="20"/>
          <w:szCs w:val="20"/>
        </w:rPr>
        <w:t xml:space="preserve"> (Ont.) (Civil) (By Leave)</w:t>
      </w:r>
      <w:r w:rsidRPr="00115C9E">
        <w:rPr>
          <w:sz w:val="20"/>
          <w:szCs w:val="20"/>
        </w:rPr>
        <w:t xml:space="preserve"> </w:t>
      </w:r>
      <w:r w:rsidR="00CB3520" w:rsidRPr="00115C9E">
        <w:rPr>
          <w:sz w:val="20"/>
          <w:szCs w:val="20"/>
        </w:rPr>
        <w:t>(3</w:t>
      </w:r>
      <w:r w:rsidR="00CB3520">
        <w:rPr>
          <w:sz w:val="20"/>
          <w:szCs w:val="20"/>
        </w:rPr>
        <w:t>5</w:t>
      </w:r>
      <w:r w:rsidR="00E87A06">
        <w:rPr>
          <w:sz w:val="20"/>
          <w:szCs w:val="20"/>
        </w:rPr>
        <w:t>939</w:t>
      </w:r>
      <w:r w:rsidR="00CB3520" w:rsidRPr="00115C9E">
        <w:rPr>
          <w:sz w:val="20"/>
          <w:szCs w:val="20"/>
        </w:rPr>
        <w:t>)</w:t>
      </w:r>
    </w:p>
    <w:p w:rsidR="00CB3520" w:rsidRPr="005B6EE2" w:rsidRDefault="00CB3520" w:rsidP="00CB3520">
      <w:pPr>
        <w:widowControl w:val="0"/>
        <w:jc w:val="both"/>
        <w:rPr>
          <w:sz w:val="20"/>
          <w:szCs w:val="20"/>
        </w:rPr>
      </w:pPr>
    </w:p>
    <w:p w:rsidR="00CB3520" w:rsidRPr="00115C9E" w:rsidRDefault="005B6EE2" w:rsidP="00CB3520">
      <w:pPr>
        <w:pStyle w:val="ListParagraph"/>
        <w:widowControl w:val="0"/>
        <w:numPr>
          <w:ilvl w:val="0"/>
          <w:numId w:val="1"/>
        </w:numPr>
        <w:ind w:hanging="720"/>
        <w:jc w:val="both"/>
        <w:rPr>
          <w:sz w:val="20"/>
          <w:szCs w:val="20"/>
        </w:rPr>
      </w:pPr>
      <w:r w:rsidRPr="005B6EE2">
        <w:rPr>
          <w:i/>
          <w:sz w:val="20"/>
          <w:szCs w:val="20"/>
        </w:rPr>
        <w:t>Teva Canada Limited v. Pfizer Canada Inc. et al.</w:t>
      </w:r>
      <w:r w:rsidRPr="00E87A06">
        <w:rPr>
          <w:sz w:val="20"/>
          <w:szCs w:val="20"/>
        </w:rPr>
        <w:t xml:space="preserve"> (F.C.) (Civil) (By Leave)</w:t>
      </w:r>
      <w:r w:rsidRPr="00115C9E">
        <w:rPr>
          <w:sz w:val="20"/>
          <w:szCs w:val="20"/>
        </w:rPr>
        <w:t xml:space="preserve"> </w:t>
      </w:r>
      <w:r w:rsidR="00CB3520" w:rsidRPr="00115C9E">
        <w:rPr>
          <w:sz w:val="20"/>
          <w:szCs w:val="20"/>
        </w:rPr>
        <w:t>(3</w:t>
      </w:r>
      <w:r w:rsidR="00CB3520">
        <w:rPr>
          <w:sz w:val="20"/>
          <w:szCs w:val="20"/>
        </w:rPr>
        <w:t>60</w:t>
      </w:r>
      <w:r w:rsidR="00E87A06">
        <w:rPr>
          <w:sz w:val="20"/>
          <w:szCs w:val="20"/>
        </w:rPr>
        <w:t>19</w:t>
      </w:r>
      <w:r w:rsidR="00CB3520" w:rsidRPr="00115C9E">
        <w:rPr>
          <w:sz w:val="20"/>
          <w:szCs w:val="20"/>
        </w:rPr>
        <w:t>)</w:t>
      </w:r>
    </w:p>
    <w:p w:rsidR="00CB3520" w:rsidRPr="00115C9E" w:rsidRDefault="00CB3520" w:rsidP="00CB3520">
      <w:pPr>
        <w:widowControl w:val="0"/>
        <w:jc w:val="both"/>
        <w:rPr>
          <w:sz w:val="20"/>
          <w:szCs w:val="20"/>
        </w:rPr>
      </w:pPr>
    </w:p>
    <w:p w:rsidR="00CB3520" w:rsidRDefault="005B6EE2" w:rsidP="00CB3520">
      <w:pPr>
        <w:pStyle w:val="ListParagraph"/>
        <w:widowControl w:val="0"/>
        <w:numPr>
          <w:ilvl w:val="0"/>
          <w:numId w:val="1"/>
        </w:numPr>
        <w:ind w:hanging="720"/>
        <w:jc w:val="both"/>
        <w:rPr>
          <w:sz w:val="20"/>
          <w:szCs w:val="20"/>
        </w:rPr>
      </w:pPr>
      <w:r w:rsidRPr="005B6EE2">
        <w:rPr>
          <w:i/>
          <w:sz w:val="20"/>
          <w:szCs w:val="20"/>
        </w:rPr>
        <w:t>Norman C. Beaulieu v. Governors of the University of Alberta et al.</w:t>
      </w:r>
      <w:r w:rsidRPr="00E87A06">
        <w:rPr>
          <w:sz w:val="20"/>
          <w:szCs w:val="20"/>
        </w:rPr>
        <w:t xml:space="preserve"> (Alta.) (Civil) (By Leave)</w:t>
      </w:r>
      <w:r w:rsidRPr="00C50A5C">
        <w:rPr>
          <w:sz w:val="20"/>
          <w:szCs w:val="20"/>
        </w:rPr>
        <w:t xml:space="preserve"> </w:t>
      </w:r>
      <w:r w:rsidR="00CB3520" w:rsidRPr="00C50A5C">
        <w:rPr>
          <w:sz w:val="20"/>
          <w:szCs w:val="20"/>
        </w:rPr>
        <w:t>(3</w:t>
      </w:r>
      <w:r w:rsidR="00CB3520">
        <w:rPr>
          <w:sz w:val="20"/>
          <w:szCs w:val="20"/>
        </w:rPr>
        <w:t>59</w:t>
      </w:r>
      <w:r w:rsidR="00E87A06">
        <w:rPr>
          <w:sz w:val="20"/>
          <w:szCs w:val="20"/>
        </w:rPr>
        <w:t>52</w:t>
      </w:r>
      <w:r w:rsidR="00CB3520" w:rsidRPr="00C50A5C">
        <w:rPr>
          <w:sz w:val="20"/>
          <w:szCs w:val="20"/>
        </w:rPr>
        <w:t>)</w:t>
      </w:r>
    </w:p>
    <w:p w:rsidR="00CB3520" w:rsidRPr="009C5D38" w:rsidRDefault="00CB3520" w:rsidP="00CB3520">
      <w:pPr>
        <w:widowControl w:val="0"/>
        <w:rPr>
          <w:i/>
          <w:sz w:val="20"/>
          <w:szCs w:val="20"/>
        </w:rPr>
      </w:pPr>
    </w:p>
    <w:p w:rsidR="00CB3520" w:rsidRPr="009C5D38" w:rsidRDefault="005B6EE2" w:rsidP="00CB3520">
      <w:pPr>
        <w:pStyle w:val="ListParagraph"/>
        <w:widowControl w:val="0"/>
        <w:numPr>
          <w:ilvl w:val="0"/>
          <w:numId w:val="1"/>
        </w:numPr>
        <w:ind w:hanging="720"/>
        <w:jc w:val="both"/>
        <w:rPr>
          <w:sz w:val="20"/>
          <w:szCs w:val="20"/>
        </w:rPr>
      </w:pPr>
      <w:r w:rsidRPr="005B6EE2">
        <w:rPr>
          <w:i/>
          <w:sz w:val="20"/>
          <w:szCs w:val="20"/>
        </w:rPr>
        <w:t>Her Majesty the Queen v. Geoffrey Last</w:t>
      </w:r>
      <w:r w:rsidRPr="00E87A06">
        <w:rPr>
          <w:sz w:val="20"/>
          <w:szCs w:val="20"/>
        </w:rPr>
        <w:t xml:space="preserve"> (F.C.) (Civil) (By Leave)</w:t>
      </w:r>
      <w:r w:rsidRPr="009C5D38">
        <w:rPr>
          <w:sz w:val="20"/>
          <w:szCs w:val="20"/>
        </w:rPr>
        <w:t xml:space="preserve"> </w:t>
      </w:r>
      <w:r w:rsidR="00CB3520" w:rsidRPr="009C5D38">
        <w:rPr>
          <w:sz w:val="20"/>
          <w:szCs w:val="20"/>
        </w:rPr>
        <w:t>(36</w:t>
      </w:r>
      <w:r w:rsidR="00E87A06">
        <w:rPr>
          <w:sz w:val="20"/>
          <w:szCs w:val="20"/>
        </w:rPr>
        <w:t>007</w:t>
      </w:r>
      <w:r w:rsidR="00CB3520" w:rsidRPr="009C5D38">
        <w:rPr>
          <w:sz w:val="20"/>
          <w:szCs w:val="20"/>
        </w:rPr>
        <w:t>)</w:t>
      </w:r>
    </w:p>
    <w:p w:rsidR="002E2327" w:rsidRPr="00CB3520" w:rsidRDefault="002E2327" w:rsidP="002E2327">
      <w:pPr>
        <w:widowControl w:val="0"/>
        <w:rPr>
          <w:sz w:val="20"/>
          <w:szCs w:val="20"/>
        </w:rPr>
      </w:pPr>
    </w:p>
    <w:p w:rsidR="002E2327" w:rsidRDefault="00237788" w:rsidP="002E2327">
      <w:pPr>
        <w:widowControl w:val="0"/>
        <w:rPr>
          <w:sz w:val="20"/>
          <w:szCs w:val="20"/>
        </w:rPr>
      </w:pPr>
      <w:r>
        <w:rPr>
          <w:sz w:val="20"/>
          <w:szCs w:val="20"/>
        </w:rPr>
        <w:pict>
          <v:rect id="_x0000_i1041" style="width:2in;height:1pt" o:hrpct="0" o:hralign="center" o:hrstd="t" o:hrnoshade="t" o:hr="t" fillcolor="black [3213]" stroked="f"/>
        </w:pict>
      </w:r>
    </w:p>
    <w:p w:rsidR="00D94028" w:rsidRDefault="00D94028" w:rsidP="002E2327">
      <w:pPr>
        <w:widowControl w:val="0"/>
        <w:rPr>
          <w:sz w:val="20"/>
          <w:szCs w:val="20"/>
        </w:rPr>
      </w:pPr>
    </w:p>
    <w:p w:rsidR="00E87A06" w:rsidRPr="00E87A06" w:rsidRDefault="00E87A06" w:rsidP="00E87A06">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237788"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596881" w:rsidP="000E2959">
      <w:pPr>
        <w:rPr>
          <w:b/>
          <w:sz w:val="20"/>
          <w:szCs w:val="20"/>
        </w:rPr>
      </w:pPr>
      <w:r>
        <w:rPr>
          <w:b/>
          <w:sz w:val="20"/>
          <w:szCs w:val="20"/>
        </w:rPr>
        <w:t>OCTOBER</w:t>
      </w:r>
      <w:r w:rsidR="000E2959" w:rsidRPr="00C50A5C">
        <w:rPr>
          <w:b/>
          <w:sz w:val="20"/>
          <w:szCs w:val="20"/>
        </w:rPr>
        <w:t xml:space="preserve"> </w:t>
      </w:r>
      <w:r>
        <w:rPr>
          <w:b/>
          <w:sz w:val="20"/>
          <w:szCs w:val="20"/>
        </w:rPr>
        <w:t>16</w:t>
      </w:r>
      <w:r w:rsidR="000E2959" w:rsidRPr="00C50A5C">
        <w:rPr>
          <w:b/>
          <w:sz w:val="20"/>
          <w:szCs w:val="20"/>
        </w:rPr>
        <w:t>, 201</w:t>
      </w:r>
      <w:r>
        <w:rPr>
          <w:b/>
          <w:sz w:val="20"/>
          <w:szCs w:val="20"/>
        </w:rPr>
        <w:t>4</w:t>
      </w:r>
      <w:r w:rsidR="000E2959" w:rsidRPr="00C50A5C">
        <w:rPr>
          <w:b/>
          <w:sz w:val="20"/>
          <w:szCs w:val="20"/>
        </w:rPr>
        <w:t xml:space="preserve"> / LE </w:t>
      </w:r>
      <w:r>
        <w:rPr>
          <w:b/>
          <w:sz w:val="20"/>
          <w:szCs w:val="20"/>
        </w:rPr>
        <w:t>16 OCTOBRE</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31E67" w:rsidRPr="00431E67" w:rsidTr="001C2EF3">
        <w:trPr>
          <w:cantSplit/>
        </w:trPr>
        <w:tc>
          <w:tcPr>
            <w:tcW w:w="1458" w:type="dxa"/>
          </w:tcPr>
          <w:p w:rsidR="00431E67" w:rsidRPr="00431E67" w:rsidRDefault="00431E67" w:rsidP="00431E67">
            <w:pPr>
              <w:rPr>
                <w:sz w:val="20"/>
              </w:rPr>
            </w:pPr>
            <w:r w:rsidRPr="00431E67">
              <w:rPr>
                <w:b/>
                <w:sz w:val="20"/>
                <w:lang w:val="fr-CA"/>
              </w:rPr>
              <w:t>34835</w:t>
            </w:r>
          </w:p>
          <w:p w:rsidR="00431E67" w:rsidRPr="00431E67" w:rsidRDefault="00431E67" w:rsidP="00431E67">
            <w:pPr>
              <w:rPr>
                <w:b/>
                <w:sz w:val="20"/>
                <w:lang w:val="fr-CA"/>
              </w:rPr>
            </w:pPr>
          </w:p>
        </w:tc>
        <w:tc>
          <w:tcPr>
            <w:tcW w:w="8118" w:type="dxa"/>
          </w:tcPr>
          <w:p w:rsidR="00431E67" w:rsidRPr="00431E67" w:rsidRDefault="00431E67" w:rsidP="00431E67">
            <w:pPr>
              <w:rPr>
                <w:sz w:val="20"/>
              </w:rPr>
            </w:pPr>
            <w:r w:rsidRPr="00431E67">
              <w:rPr>
                <w:b/>
                <w:sz w:val="20"/>
                <w:u w:val="single"/>
              </w:rPr>
              <w:t>Reggie Lee Harris v. Her Majesty the Queen</w:t>
            </w:r>
            <w:r w:rsidRPr="00431E67">
              <w:rPr>
                <w:sz w:val="20"/>
              </w:rPr>
              <w:t xml:space="preserve"> (Sask.) (Criminal) (By Leave)</w:t>
            </w:r>
          </w:p>
          <w:p w:rsidR="00431E67" w:rsidRPr="00431E67" w:rsidRDefault="00431E67" w:rsidP="00431E67">
            <w:pPr>
              <w:rPr>
                <w:sz w:val="20"/>
              </w:rPr>
            </w:pPr>
          </w:p>
        </w:tc>
      </w:tr>
      <w:tr w:rsidR="00431E67" w:rsidRPr="00431E67" w:rsidTr="001C2EF3">
        <w:trPr>
          <w:cantSplit/>
        </w:trPr>
        <w:tc>
          <w:tcPr>
            <w:tcW w:w="1458" w:type="dxa"/>
          </w:tcPr>
          <w:p w:rsidR="00431E67" w:rsidRPr="00431E67" w:rsidRDefault="00431E67" w:rsidP="00431E67">
            <w:pPr>
              <w:rPr>
                <w:sz w:val="20"/>
              </w:rPr>
            </w:pPr>
            <w:r w:rsidRPr="00431E67">
              <w:rPr>
                <w:sz w:val="20"/>
              </w:rPr>
              <w:t>Coram :</w:t>
            </w:r>
          </w:p>
        </w:tc>
        <w:tc>
          <w:tcPr>
            <w:tcW w:w="8118" w:type="dxa"/>
          </w:tcPr>
          <w:p w:rsidR="00431E67" w:rsidRPr="00431E67" w:rsidRDefault="00431E67" w:rsidP="00431E67">
            <w:pPr>
              <w:rPr>
                <w:sz w:val="20"/>
              </w:rPr>
            </w:pPr>
            <w:r w:rsidRPr="00431E67">
              <w:rPr>
                <w:sz w:val="20"/>
                <w:u w:val="single"/>
              </w:rPr>
              <w:t>Rothstein, Moldaver and Karakatsanis JJ.</w:t>
            </w:r>
          </w:p>
          <w:p w:rsidR="00431E67" w:rsidRPr="00431E67" w:rsidRDefault="00431E67" w:rsidP="00431E67">
            <w:pPr>
              <w:rPr>
                <w:sz w:val="20"/>
                <w:u w:val="single"/>
              </w:rPr>
            </w:pPr>
          </w:p>
        </w:tc>
      </w:tr>
      <w:tr w:rsidR="00431E67" w:rsidRPr="00237788" w:rsidTr="001C2EF3">
        <w:trPr>
          <w:cantSplit/>
        </w:trPr>
        <w:tc>
          <w:tcPr>
            <w:tcW w:w="9576" w:type="dxa"/>
            <w:gridSpan w:val="2"/>
          </w:tcPr>
          <w:p w:rsidR="00431E67" w:rsidRPr="00431E67" w:rsidRDefault="00431E67" w:rsidP="00431E67">
            <w:pPr>
              <w:ind w:firstLine="720"/>
              <w:jc w:val="both"/>
              <w:rPr>
                <w:sz w:val="20"/>
              </w:rPr>
            </w:pPr>
            <w:r w:rsidRPr="00431E67">
              <w:rPr>
                <w:sz w:val="20"/>
              </w:rPr>
              <w:t>The motion for an extension of time to serve and file the motion for reconsideration is granted. The motion to appoint counsel and the motion for reconsideration of the application for leave to appeal dismissed on November 1, 2012, are dismissed without costs.</w:t>
            </w:r>
          </w:p>
          <w:p w:rsidR="00431E67" w:rsidRPr="00431E67" w:rsidRDefault="00431E67" w:rsidP="00431E67">
            <w:pPr>
              <w:jc w:val="both"/>
              <w:rPr>
                <w:sz w:val="20"/>
              </w:rPr>
            </w:pPr>
          </w:p>
          <w:p w:rsidR="00431E67" w:rsidRPr="00431E67" w:rsidRDefault="00431E67" w:rsidP="00431E67">
            <w:pPr>
              <w:ind w:firstLine="720"/>
              <w:jc w:val="both"/>
              <w:rPr>
                <w:sz w:val="20"/>
                <w:lang w:val="fr-CA"/>
              </w:rPr>
            </w:pPr>
            <w:r w:rsidRPr="00431E67">
              <w:rPr>
                <w:sz w:val="20"/>
                <w:lang w:val="fr-CA"/>
              </w:rPr>
              <w:t>La requête en prorogation du délai de signification et de dépôt de la requête en réexamen est accueillie. La requête pour la nomination d’un procureur et la requête en réexamen de la demande d’autorisation d’appel rejetée le 1</w:t>
            </w:r>
            <w:r w:rsidRPr="00431E67">
              <w:rPr>
                <w:sz w:val="20"/>
                <w:vertAlign w:val="superscript"/>
                <w:lang w:val="fr-CA"/>
              </w:rPr>
              <w:t>er</w:t>
            </w:r>
            <w:r w:rsidRPr="00431E67">
              <w:rPr>
                <w:sz w:val="20"/>
                <w:lang w:val="fr-CA"/>
              </w:rPr>
              <w:t xml:space="preserve"> novembre 2012, sont rejetées sans dépens.</w:t>
            </w:r>
          </w:p>
        </w:tc>
      </w:tr>
    </w:tbl>
    <w:p w:rsidR="00596881" w:rsidRPr="00431E67" w:rsidRDefault="00596881" w:rsidP="000E2959">
      <w:pPr>
        <w:rPr>
          <w:sz w:val="20"/>
          <w:szCs w:val="20"/>
          <w:lang w:val="fr-CA"/>
        </w:rPr>
      </w:pPr>
    </w:p>
    <w:p w:rsidR="00596881" w:rsidRPr="001B157C" w:rsidRDefault="00596881" w:rsidP="00596881">
      <w:pPr>
        <w:rPr>
          <w:sz w:val="20"/>
          <w:szCs w:val="20"/>
          <w:u w:val="single"/>
        </w:rPr>
      </w:pPr>
      <w:r w:rsidRPr="001B157C">
        <w:rPr>
          <w:sz w:val="20"/>
          <w:szCs w:val="20"/>
          <w:u w:val="single"/>
        </w:rPr>
        <w:t>CASE SUMMARY</w:t>
      </w:r>
    </w:p>
    <w:p w:rsidR="00596881" w:rsidRDefault="00596881" w:rsidP="0059688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602B" w:rsidRPr="002279BE" w:rsidTr="00615A51">
        <w:tc>
          <w:tcPr>
            <w:tcW w:w="5000" w:type="pct"/>
            <w:gridSpan w:val="3"/>
          </w:tcPr>
          <w:p w:rsidR="007A602B" w:rsidRPr="002279BE" w:rsidRDefault="007A602B" w:rsidP="00615A51">
            <w:pPr>
              <w:jc w:val="both"/>
              <w:rPr>
                <w:rFonts w:eastAsia="Calibri"/>
                <w:sz w:val="20"/>
              </w:rPr>
            </w:pPr>
            <w:r w:rsidRPr="002279BE">
              <w:rPr>
                <w:rFonts w:eastAsia="Calibri"/>
                <w:sz w:val="20"/>
              </w:rPr>
              <w:t>Criminal law — Dangerous offender — Whether the burden of proof has been inadvertently shifted on to the accused — Whether the trial judge adequately applied the evidence he had accepted to the principle of proof beyond a reasonable doubt — Whether the deference given to the trial judge by the appeal court outweighed the facts of the case — Whether the verdict is unreasonable.</w:t>
            </w:r>
          </w:p>
        </w:tc>
      </w:tr>
      <w:tr w:rsidR="007A602B" w:rsidRPr="002279BE" w:rsidTr="00615A51">
        <w:tc>
          <w:tcPr>
            <w:tcW w:w="5000" w:type="pct"/>
            <w:gridSpan w:val="3"/>
          </w:tcPr>
          <w:p w:rsidR="007A602B" w:rsidRPr="002279BE" w:rsidRDefault="007A602B" w:rsidP="00615A51">
            <w:pPr>
              <w:jc w:val="both"/>
              <w:rPr>
                <w:rFonts w:eastAsia="Calibri"/>
                <w:sz w:val="20"/>
              </w:rPr>
            </w:pPr>
          </w:p>
        </w:tc>
      </w:tr>
      <w:tr w:rsidR="007A602B" w:rsidRPr="002279BE" w:rsidTr="00615A51">
        <w:tc>
          <w:tcPr>
            <w:tcW w:w="5000" w:type="pct"/>
            <w:gridSpan w:val="3"/>
          </w:tcPr>
          <w:p w:rsidR="007A602B" w:rsidRPr="002279BE" w:rsidRDefault="007A602B" w:rsidP="00615A51">
            <w:pPr>
              <w:jc w:val="both"/>
              <w:rPr>
                <w:rFonts w:eastAsia="Calibri"/>
                <w:sz w:val="20"/>
              </w:rPr>
            </w:pPr>
            <w:r w:rsidRPr="002279BE">
              <w:rPr>
                <w:rFonts w:eastAsia="Calibri"/>
                <w:sz w:val="20"/>
              </w:rPr>
              <w:t>Mr. Harris was convicted of seven offences and designated a dangerous offender.  He was given a sentence of five and a half years, with credit for the 17 months spent on remand, to be followed by a ten year supervision order, a lifetime firearms order and a DNA order for breaking and entering and assault causing bodily harm.  The other offences attracted sentences from three to six months concurrent to the sentence on the predicate offence.  Mr. Harris appealed the conviction on the predicate offence and uttering a threat, as well as the designation as a dangerous offender, the sentence for the predicate offence and the length of the supervision order.  The appeal court allowed the appeal in part, in that the Crown had no objection to the appeal being allowed with respect to the count of uttering a threat and the period of supervision following the expiration of the sentence was reduced from ten to five years.</w:t>
            </w:r>
          </w:p>
          <w:p w:rsidR="007A602B" w:rsidRPr="002279BE" w:rsidRDefault="007A602B" w:rsidP="00615A51">
            <w:pPr>
              <w:jc w:val="both"/>
              <w:rPr>
                <w:rFonts w:eastAsia="Calibri"/>
                <w:sz w:val="20"/>
              </w:rPr>
            </w:pPr>
          </w:p>
        </w:tc>
      </w:tr>
      <w:tr w:rsidR="007A602B" w:rsidRPr="002279BE" w:rsidTr="00615A51">
        <w:tc>
          <w:tcPr>
            <w:tcW w:w="2427" w:type="pct"/>
          </w:tcPr>
          <w:p w:rsidR="007A602B" w:rsidRPr="002279BE" w:rsidRDefault="007A602B" w:rsidP="00615A51">
            <w:pPr>
              <w:jc w:val="both"/>
              <w:rPr>
                <w:rFonts w:eastAsia="Calibri"/>
                <w:sz w:val="20"/>
              </w:rPr>
            </w:pPr>
            <w:r w:rsidRPr="002279BE">
              <w:rPr>
                <w:rFonts w:eastAsia="Calibri"/>
                <w:sz w:val="20"/>
              </w:rPr>
              <w:t>November 14, 2011</w:t>
            </w:r>
          </w:p>
          <w:p w:rsidR="007A602B" w:rsidRPr="002279BE" w:rsidRDefault="007A602B" w:rsidP="00615A51">
            <w:pPr>
              <w:jc w:val="both"/>
              <w:rPr>
                <w:rFonts w:eastAsia="Calibri"/>
                <w:sz w:val="20"/>
              </w:rPr>
            </w:pPr>
            <w:r w:rsidRPr="002279BE">
              <w:rPr>
                <w:rFonts w:eastAsia="Calibri"/>
                <w:sz w:val="20"/>
              </w:rPr>
              <w:t>Provincial Court of Saskatchewan</w:t>
            </w:r>
          </w:p>
          <w:p w:rsidR="007A602B" w:rsidRPr="002279BE" w:rsidRDefault="007A602B" w:rsidP="00615A51">
            <w:pPr>
              <w:jc w:val="both"/>
              <w:rPr>
                <w:rFonts w:eastAsia="Calibri"/>
                <w:sz w:val="20"/>
              </w:rPr>
            </w:pPr>
            <w:r w:rsidRPr="002279BE">
              <w:rPr>
                <w:rFonts w:eastAsia="Calibri"/>
                <w:sz w:val="20"/>
              </w:rPr>
              <w:t>(Hinds J.)</w:t>
            </w:r>
          </w:p>
          <w:p w:rsidR="007A602B" w:rsidRPr="002279BE" w:rsidRDefault="007A602B" w:rsidP="00615A51">
            <w:pPr>
              <w:jc w:val="both"/>
              <w:rPr>
                <w:rFonts w:eastAsia="Calibri"/>
                <w:sz w:val="20"/>
              </w:rPr>
            </w:pPr>
            <w:r w:rsidRPr="002279BE">
              <w:rPr>
                <w:rFonts w:eastAsia="Calibri"/>
                <w:sz w:val="20"/>
              </w:rPr>
              <w:t>2011 SKPC 176</w:t>
            </w:r>
          </w:p>
          <w:p w:rsidR="007A602B" w:rsidRPr="002279BE" w:rsidRDefault="007A602B" w:rsidP="00615A51">
            <w:pPr>
              <w:jc w:val="both"/>
              <w:rPr>
                <w:rFonts w:eastAsia="Calibri"/>
                <w:sz w:val="20"/>
              </w:rPr>
            </w:pPr>
          </w:p>
        </w:tc>
        <w:tc>
          <w:tcPr>
            <w:tcW w:w="243" w:type="pct"/>
          </w:tcPr>
          <w:p w:rsidR="007A602B" w:rsidRPr="002279BE" w:rsidRDefault="007A602B" w:rsidP="00615A51">
            <w:pPr>
              <w:jc w:val="both"/>
              <w:rPr>
                <w:rFonts w:eastAsia="Calibri"/>
                <w:sz w:val="20"/>
              </w:rPr>
            </w:pPr>
          </w:p>
        </w:tc>
        <w:tc>
          <w:tcPr>
            <w:tcW w:w="2330" w:type="pct"/>
          </w:tcPr>
          <w:p w:rsidR="007A602B" w:rsidRPr="002279BE" w:rsidRDefault="007A602B" w:rsidP="00615A51">
            <w:pPr>
              <w:jc w:val="both"/>
              <w:rPr>
                <w:rFonts w:eastAsia="Calibri"/>
                <w:sz w:val="20"/>
              </w:rPr>
            </w:pPr>
            <w:r w:rsidRPr="002279BE">
              <w:rPr>
                <w:rFonts w:eastAsia="Calibri"/>
                <w:sz w:val="20"/>
              </w:rPr>
              <w:t>Applicant convicted of seven offences; designated a dangerous offender</w:t>
            </w:r>
          </w:p>
          <w:p w:rsidR="007A602B" w:rsidRPr="002279BE" w:rsidRDefault="007A602B" w:rsidP="00615A51">
            <w:pPr>
              <w:jc w:val="both"/>
              <w:rPr>
                <w:rFonts w:eastAsia="Calibri"/>
                <w:sz w:val="20"/>
              </w:rPr>
            </w:pPr>
          </w:p>
        </w:tc>
      </w:tr>
      <w:tr w:rsidR="007A602B" w:rsidRPr="002279BE" w:rsidTr="00615A51">
        <w:tc>
          <w:tcPr>
            <w:tcW w:w="2427" w:type="pct"/>
          </w:tcPr>
          <w:p w:rsidR="007A602B" w:rsidRPr="002279BE" w:rsidRDefault="007A602B" w:rsidP="00615A51">
            <w:pPr>
              <w:jc w:val="both"/>
              <w:rPr>
                <w:rFonts w:eastAsia="Calibri"/>
                <w:sz w:val="20"/>
              </w:rPr>
            </w:pPr>
            <w:r w:rsidRPr="002279BE">
              <w:rPr>
                <w:rFonts w:eastAsia="Calibri"/>
                <w:sz w:val="20"/>
              </w:rPr>
              <w:t>March 29, 2012</w:t>
            </w:r>
          </w:p>
          <w:p w:rsidR="007A602B" w:rsidRPr="002279BE" w:rsidRDefault="007A602B" w:rsidP="00615A51">
            <w:pPr>
              <w:jc w:val="both"/>
              <w:rPr>
                <w:rFonts w:eastAsia="Calibri"/>
                <w:sz w:val="20"/>
              </w:rPr>
            </w:pPr>
            <w:r w:rsidRPr="002279BE">
              <w:rPr>
                <w:rFonts w:eastAsia="Calibri"/>
                <w:sz w:val="20"/>
              </w:rPr>
              <w:t>Court of Appeal for Saskatchewan</w:t>
            </w:r>
          </w:p>
          <w:p w:rsidR="007A602B" w:rsidRPr="002279BE" w:rsidRDefault="007A602B" w:rsidP="00615A51">
            <w:pPr>
              <w:jc w:val="both"/>
              <w:rPr>
                <w:rFonts w:eastAsia="Calibri"/>
                <w:sz w:val="20"/>
              </w:rPr>
            </w:pPr>
            <w:r w:rsidRPr="002279BE">
              <w:rPr>
                <w:rFonts w:eastAsia="Calibri"/>
                <w:sz w:val="20"/>
              </w:rPr>
              <w:t>(Cameron, Gerwing and Jackson JJ.A.)</w:t>
            </w:r>
          </w:p>
          <w:p w:rsidR="007A602B" w:rsidRPr="002279BE" w:rsidRDefault="007A602B" w:rsidP="00615A51">
            <w:pPr>
              <w:jc w:val="both"/>
              <w:rPr>
                <w:rFonts w:eastAsia="Calibri"/>
                <w:sz w:val="20"/>
              </w:rPr>
            </w:pPr>
            <w:r w:rsidRPr="002279BE">
              <w:rPr>
                <w:rFonts w:eastAsia="Calibri"/>
                <w:sz w:val="20"/>
              </w:rPr>
              <w:t>2012  SKCA 43; CACR2054</w:t>
            </w:r>
          </w:p>
          <w:p w:rsidR="007A602B" w:rsidRPr="002279BE" w:rsidRDefault="007A602B" w:rsidP="00615A51">
            <w:pPr>
              <w:jc w:val="both"/>
              <w:rPr>
                <w:rFonts w:eastAsia="Calibri"/>
                <w:sz w:val="20"/>
              </w:rPr>
            </w:pPr>
          </w:p>
        </w:tc>
        <w:tc>
          <w:tcPr>
            <w:tcW w:w="243" w:type="pct"/>
          </w:tcPr>
          <w:p w:rsidR="007A602B" w:rsidRPr="002279BE" w:rsidRDefault="007A602B" w:rsidP="00615A51">
            <w:pPr>
              <w:jc w:val="both"/>
              <w:rPr>
                <w:rFonts w:eastAsia="Calibri"/>
                <w:sz w:val="20"/>
              </w:rPr>
            </w:pPr>
          </w:p>
        </w:tc>
        <w:tc>
          <w:tcPr>
            <w:tcW w:w="2330" w:type="pct"/>
          </w:tcPr>
          <w:p w:rsidR="007A602B" w:rsidRPr="002279BE" w:rsidRDefault="007A602B" w:rsidP="00615A51">
            <w:pPr>
              <w:jc w:val="both"/>
              <w:rPr>
                <w:rFonts w:eastAsia="Calibri"/>
                <w:sz w:val="20"/>
              </w:rPr>
            </w:pPr>
            <w:r w:rsidRPr="002279BE">
              <w:rPr>
                <w:rFonts w:eastAsia="Calibri"/>
                <w:sz w:val="20"/>
              </w:rPr>
              <w:t>Appeal allowed in part</w:t>
            </w:r>
          </w:p>
          <w:p w:rsidR="007A602B" w:rsidRPr="002279BE" w:rsidRDefault="007A602B" w:rsidP="00615A51">
            <w:pPr>
              <w:jc w:val="both"/>
              <w:rPr>
                <w:rFonts w:eastAsia="Calibri"/>
                <w:sz w:val="20"/>
              </w:rPr>
            </w:pPr>
          </w:p>
        </w:tc>
      </w:tr>
      <w:tr w:rsidR="007A602B" w:rsidRPr="002279BE" w:rsidTr="00615A51">
        <w:tc>
          <w:tcPr>
            <w:tcW w:w="2427" w:type="pct"/>
          </w:tcPr>
          <w:p w:rsidR="007A602B" w:rsidRPr="002279BE" w:rsidRDefault="007A602B" w:rsidP="00615A51">
            <w:pPr>
              <w:jc w:val="both"/>
              <w:rPr>
                <w:rFonts w:eastAsia="Calibri"/>
                <w:sz w:val="20"/>
              </w:rPr>
            </w:pPr>
            <w:r w:rsidRPr="002279BE">
              <w:rPr>
                <w:rFonts w:eastAsia="Calibri"/>
                <w:sz w:val="20"/>
              </w:rPr>
              <w:t>May 18, 2012</w:t>
            </w:r>
          </w:p>
          <w:p w:rsidR="007A602B" w:rsidRPr="002279BE" w:rsidRDefault="007A602B" w:rsidP="00615A51">
            <w:pPr>
              <w:jc w:val="both"/>
              <w:rPr>
                <w:rFonts w:eastAsia="Calibri"/>
                <w:sz w:val="20"/>
              </w:rPr>
            </w:pPr>
            <w:r w:rsidRPr="002279BE">
              <w:rPr>
                <w:rFonts w:eastAsia="Calibri"/>
                <w:sz w:val="20"/>
              </w:rPr>
              <w:t>Supreme Court of Canada</w:t>
            </w:r>
          </w:p>
        </w:tc>
        <w:tc>
          <w:tcPr>
            <w:tcW w:w="243" w:type="pct"/>
          </w:tcPr>
          <w:p w:rsidR="007A602B" w:rsidRPr="002279BE" w:rsidRDefault="007A602B" w:rsidP="00615A51">
            <w:pPr>
              <w:jc w:val="both"/>
              <w:rPr>
                <w:rFonts w:eastAsia="Calibri"/>
                <w:sz w:val="20"/>
              </w:rPr>
            </w:pPr>
          </w:p>
        </w:tc>
        <w:tc>
          <w:tcPr>
            <w:tcW w:w="2330" w:type="pct"/>
          </w:tcPr>
          <w:p w:rsidR="007A602B" w:rsidRPr="002279BE" w:rsidRDefault="007A602B" w:rsidP="00615A51">
            <w:pPr>
              <w:jc w:val="both"/>
              <w:rPr>
                <w:rFonts w:eastAsia="Calibri"/>
                <w:sz w:val="20"/>
              </w:rPr>
            </w:pPr>
            <w:r w:rsidRPr="002279BE">
              <w:rPr>
                <w:rFonts w:eastAsia="Calibri"/>
                <w:sz w:val="20"/>
              </w:rPr>
              <w:t>Application for leave to appeal filed</w:t>
            </w:r>
          </w:p>
        </w:tc>
      </w:tr>
    </w:tbl>
    <w:p w:rsidR="00596881" w:rsidRDefault="00596881" w:rsidP="000E2959">
      <w:pPr>
        <w:rPr>
          <w:sz w:val="20"/>
          <w:szCs w:val="20"/>
        </w:rPr>
      </w:pPr>
    </w:p>
    <w:p w:rsidR="00596881" w:rsidRPr="00C50A5C" w:rsidRDefault="00237788" w:rsidP="00596881">
      <w:pPr>
        <w:rPr>
          <w:sz w:val="20"/>
          <w:szCs w:val="20"/>
        </w:rPr>
      </w:pPr>
      <w:r>
        <w:rPr>
          <w:sz w:val="20"/>
          <w:szCs w:val="20"/>
          <w:lang w:val="fr-CA"/>
        </w:rPr>
        <w:pict>
          <v:rect id="_x0000_i1044" style="width:2in;height:1pt" o:hrpct="0" o:hralign="center" o:hrstd="t" o:hrnoshade="t" o:hr="t" fillcolor="black [3213]" stroked="f"/>
        </w:pict>
      </w:r>
    </w:p>
    <w:p w:rsidR="00596881" w:rsidRDefault="00596881" w:rsidP="00596881">
      <w:pPr>
        <w:rPr>
          <w:sz w:val="20"/>
          <w:szCs w:val="20"/>
        </w:rPr>
      </w:pPr>
    </w:p>
    <w:p w:rsidR="00596881" w:rsidRPr="001B157C" w:rsidRDefault="00596881" w:rsidP="00596881">
      <w:pPr>
        <w:rPr>
          <w:sz w:val="20"/>
          <w:szCs w:val="20"/>
          <w:u w:val="single"/>
          <w:lang w:val="fr-CA"/>
        </w:rPr>
      </w:pPr>
      <w:r w:rsidRPr="001B157C">
        <w:rPr>
          <w:sz w:val="20"/>
          <w:szCs w:val="20"/>
          <w:u w:val="single"/>
          <w:lang w:val="fr-CA"/>
        </w:rPr>
        <w:t>RÉSUMÉ DE L’AFFAIRE</w:t>
      </w:r>
    </w:p>
    <w:p w:rsidR="00596881" w:rsidRDefault="00596881" w:rsidP="00596881">
      <w:pPr>
        <w:rPr>
          <w:sz w:val="20"/>
          <w:szCs w:val="20"/>
        </w:rPr>
      </w:pPr>
    </w:p>
    <w:tbl>
      <w:tblPr>
        <w:tblW w:w="4952" w:type="pct"/>
        <w:tblLayout w:type="fixed"/>
        <w:tblCellMar>
          <w:left w:w="0" w:type="dxa"/>
          <w:bottom w:w="99" w:type="dxa"/>
          <w:right w:w="0" w:type="dxa"/>
        </w:tblCellMar>
        <w:tblLook w:val="00A0" w:firstRow="1" w:lastRow="0" w:firstColumn="1" w:lastColumn="0" w:noHBand="0" w:noVBand="0"/>
      </w:tblPr>
      <w:tblGrid>
        <w:gridCol w:w="4624"/>
        <w:gridCol w:w="463"/>
        <w:gridCol w:w="4440"/>
      </w:tblGrid>
      <w:tr w:rsidR="007A602B" w:rsidRPr="00237788" w:rsidTr="00615A51">
        <w:tc>
          <w:tcPr>
            <w:tcW w:w="5000" w:type="pct"/>
            <w:gridSpan w:val="3"/>
          </w:tcPr>
          <w:p w:rsidR="007A602B" w:rsidRPr="002279BE" w:rsidRDefault="007A602B" w:rsidP="00615A51">
            <w:pPr>
              <w:jc w:val="both"/>
              <w:rPr>
                <w:rFonts w:eastAsia="Calibri"/>
                <w:sz w:val="20"/>
                <w:lang w:val="fr-CA"/>
              </w:rPr>
            </w:pPr>
            <w:r w:rsidRPr="002279BE">
              <w:rPr>
                <w:rFonts w:eastAsia="Calibri"/>
                <w:sz w:val="20"/>
                <w:lang w:val="fr-CA"/>
              </w:rPr>
              <w:t>Droit criminel — Délinquant dangereux — Le fardeau de la preuve a</w:t>
            </w:r>
            <w:r w:rsidRPr="002279BE">
              <w:rPr>
                <w:rFonts w:eastAsia="Calibri"/>
                <w:sz w:val="20"/>
                <w:lang w:val="fr-CA"/>
              </w:rPr>
              <w:noBreakHyphen/>
              <w:t>t</w:t>
            </w:r>
            <w:r w:rsidRPr="002279BE">
              <w:rPr>
                <w:rFonts w:eastAsia="Calibri"/>
                <w:sz w:val="20"/>
                <w:lang w:val="fr-CA"/>
              </w:rPr>
              <w:noBreakHyphen/>
              <w:t xml:space="preserve">il été déplacé par inadvertance pour qu’il </w:t>
            </w:r>
            <w:r w:rsidRPr="002279BE">
              <w:rPr>
                <w:rFonts w:eastAsia="Calibri"/>
                <w:sz w:val="20"/>
                <w:lang w:val="fr-CA"/>
              </w:rPr>
              <w:lastRenderedPageBreak/>
              <w:t>incombe à l’accusé? — Le juge du procès a</w:t>
            </w:r>
            <w:r w:rsidRPr="002279BE">
              <w:rPr>
                <w:rFonts w:eastAsia="Calibri"/>
                <w:sz w:val="20"/>
                <w:lang w:val="fr-CA"/>
              </w:rPr>
              <w:noBreakHyphen/>
              <w:t>t</w:t>
            </w:r>
            <w:r w:rsidRPr="002279BE">
              <w:rPr>
                <w:rFonts w:eastAsia="Calibri"/>
                <w:sz w:val="20"/>
                <w:lang w:val="fr-CA"/>
              </w:rPr>
              <w:noBreakHyphen/>
              <w:t>il adéquatement appliqué la preuve qu’il avait acceptée au principe de la preuve hors de tout doute raisonnable? — La déférence accordée par la Cour d’appel au juge du procès l’a</w:t>
            </w:r>
            <w:r w:rsidRPr="002279BE">
              <w:rPr>
                <w:rFonts w:eastAsia="Calibri"/>
                <w:sz w:val="20"/>
                <w:lang w:val="fr-CA"/>
              </w:rPr>
              <w:noBreakHyphen/>
              <w:t>t</w:t>
            </w:r>
            <w:r w:rsidRPr="002279BE">
              <w:rPr>
                <w:rFonts w:eastAsia="Calibri"/>
                <w:sz w:val="20"/>
                <w:lang w:val="fr-CA"/>
              </w:rPr>
              <w:noBreakHyphen/>
              <w:t>elle emporté sur les faits en l’espèce? — Le verdict est</w:t>
            </w:r>
            <w:r w:rsidRPr="002279BE">
              <w:rPr>
                <w:rFonts w:eastAsia="Calibri"/>
                <w:sz w:val="20"/>
                <w:lang w:val="fr-CA"/>
              </w:rPr>
              <w:noBreakHyphen/>
              <w:t>il déraisonnable?</w:t>
            </w:r>
          </w:p>
          <w:p w:rsidR="007A602B" w:rsidRPr="002279BE" w:rsidRDefault="007A602B" w:rsidP="00615A51">
            <w:pPr>
              <w:jc w:val="both"/>
              <w:rPr>
                <w:rFonts w:eastAsia="Calibri"/>
                <w:sz w:val="20"/>
                <w:lang w:val="fr-CA"/>
              </w:rPr>
            </w:pPr>
          </w:p>
        </w:tc>
      </w:tr>
      <w:tr w:rsidR="007A602B" w:rsidRPr="00237788" w:rsidTr="00615A51">
        <w:tc>
          <w:tcPr>
            <w:tcW w:w="5000" w:type="pct"/>
            <w:gridSpan w:val="3"/>
          </w:tcPr>
          <w:p w:rsidR="007A602B" w:rsidRPr="002279BE" w:rsidRDefault="007A602B" w:rsidP="00615A51">
            <w:pPr>
              <w:jc w:val="both"/>
              <w:rPr>
                <w:rFonts w:eastAsia="Calibri"/>
                <w:sz w:val="20"/>
                <w:lang w:val="fr-CA"/>
              </w:rPr>
            </w:pPr>
            <w:r w:rsidRPr="002279BE">
              <w:rPr>
                <w:rFonts w:eastAsia="Calibri"/>
                <w:sz w:val="20"/>
                <w:lang w:val="fr-CA"/>
              </w:rPr>
              <w:lastRenderedPageBreak/>
              <w:t>Monsieur Harris a été déclaré coupable de sept infractions et déclaré délinquant dangereux.  Il a été condamné à une peine de cinq and et demie, avec une réduction pour tenir compte des 17 mois de détention préventive, à être suivie d’une période de surveillance de dix ans, une interdiction à vie d’avoir des armes à feu en sa possession et d’une ordonnance de prélèvement d’ADN pour introduction par effraction et voies de faits causant des lésions corporelles.  Les autres infractions lui ont valu des peines de trois à six mois, concurrentes à la peine imposée pour l’infraction sous</w:t>
            </w:r>
            <w:r w:rsidRPr="002279BE">
              <w:rPr>
                <w:rFonts w:eastAsia="Calibri"/>
                <w:sz w:val="20"/>
                <w:lang w:val="fr-CA"/>
              </w:rPr>
              <w:noBreakHyphen/>
              <w:t>jacente.  Monsieur Harris a interjeté appel de la déclaration de culpabilité de l’infraction sous</w:t>
            </w:r>
            <w:r w:rsidRPr="002279BE">
              <w:rPr>
                <w:rFonts w:eastAsia="Calibri"/>
                <w:sz w:val="20"/>
                <w:lang w:val="fr-CA"/>
              </w:rPr>
              <w:noBreakHyphen/>
              <w:t>jacente et celle d’avoir proféré une menace, la déclaration de délinquant dangereux, la peine imposée pour l’infraction sous</w:t>
            </w:r>
            <w:r w:rsidRPr="002279BE">
              <w:rPr>
                <w:rFonts w:eastAsia="Calibri"/>
                <w:sz w:val="20"/>
                <w:lang w:val="fr-CA"/>
              </w:rPr>
              <w:noBreakHyphen/>
              <w:t>jacente et la durée de la période de surveillance.  La Cour d’appel a accueilli l’appel en partie, vu que le ministère public n’avait aucune objection à ce que l’appel soit accueilli relativement à l’accusation de menace et la période de surveillance suivant l’expiration de la peine a été réduite de dix à cinq ans.</w:t>
            </w:r>
          </w:p>
          <w:p w:rsidR="007A602B" w:rsidRPr="002279BE" w:rsidRDefault="007A602B" w:rsidP="00615A51">
            <w:pPr>
              <w:jc w:val="both"/>
              <w:rPr>
                <w:rFonts w:eastAsia="Calibri"/>
                <w:sz w:val="20"/>
                <w:lang w:val="fr-CA"/>
              </w:rPr>
            </w:pPr>
          </w:p>
        </w:tc>
      </w:tr>
      <w:tr w:rsidR="007A602B" w:rsidRPr="00237788" w:rsidTr="00615A51">
        <w:tc>
          <w:tcPr>
            <w:tcW w:w="2427" w:type="pct"/>
          </w:tcPr>
          <w:p w:rsidR="007A602B" w:rsidRPr="002279BE" w:rsidRDefault="007A602B" w:rsidP="00615A51">
            <w:pPr>
              <w:jc w:val="both"/>
              <w:rPr>
                <w:rFonts w:eastAsia="Calibri"/>
                <w:sz w:val="20"/>
                <w:lang w:val="fr-CA"/>
              </w:rPr>
            </w:pPr>
            <w:r w:rsidRPr="002279BE">
              <w:rPr>
                <w:rFonts w:eastAsia="Calibri"/>
                <w:sz w:val="20"/>
                <w:lang w:val="fr-CA"/>
              </w:rPr>
              <w:t>14 novembre 2011</w:t>
            </w:r>
          </w:p>
          <w:p w:rsidR="007A602B" w:rsidRPr="002279BE" w:rsidRDefault="007A602B" w:rsidP="00615A51">
            <w:pPr>
              <w:jc w:val="both"/>
              <w:rPr>
                <w:rFonts w:eastAsia="Calibri"/>
                <w:sz w:val="20"/>
                <w:lang w:val="fr-CA"/>
              </w:rPr>
            </w:pPr>
            <w:r w:rsidRPr="002279BE">
              <w:rPr>
                <w:rFonts w:eastAsia="Calibri"/>
                <w:sz w:val="20"/>
                <w:lang w:val="fr-CA"/>
              </w:rPr>
              <w:t>Cour provinciale de la Saskatchewan</w:t>
            </w:r>
          </w:p>
          <w:p w:rsidR="007A602B" w:rsidRPr="002279BE" w:rsidRDefault="007A602B" w:rsidP="00615A51">
            <w:pPr>
              <w:jc w:val="both"/>
              <w:rPr>
                <w:rFonts w:eastAsia="Calibri"/>
                <w:sz w:val="20"/>
                <w:lang w:val="fr-CA"/>
              </w:rPr>
            </w:pPr>
            <w:r w:rsidRPr="002279BE">
              <w:rPr>
                <w:rFonts w:eastAsia="Calibri"/>
                <w:sz w:val="20"/>
                <w:lang w:val="fr-CA"/>
              </w:rPr>
              <w:t>(Juge Hinds)</w:t>
            </w:r>
          </w:p>
          <w:p w:rsidR="007A602B" w:rsidRPr="002279BE" w:rsidRDefault="007A602B" w:rsidP="00615A51">
            <w:pPr>
              <w:jc w:val="both"/>
              <w:rPr>
                <w:rFonts w:eastAsia="Calibri"/>
                <w:sz w:val="20"/>
                <w:lang w:val="fr-CA"/>
              </w:rPr>
            </w:pPr>
            <w:r w:rsidRPr="002279BE">
              <w:rPr>
                <w:rFonts w:eastAsia="Calibri"/>
                <w:sz w:val="20"/>
                <w:lang w:val="fr-CA"/>
              </w:rPr>
              <w:t>2011 SKPC 176</w:t>
            </w:r>
          </w:p>
          <w:p w:rsidR="007A602B" w:rsidRPr="002279BE" w:rsidRDefault="007A602B" w:rsidP="00615A51">
            <w:pPr>
              <w:jc w:val="both"/>
              <w:rPr>
                <w:rFonts w:eastAsia="Calibri"/>
                <w:sz w:val="20"/>
                <w:lang w:val="fr-CA"/>
              </w:rPr>
            </w:pPr>
          </w:p>
        </w:tc>
        <w:tc>
          <w:tcPr>
            <w:tcW w:w="243" w:type="pct"/>
          </w:tcPr>
          <w:p w:rsidR="007A602B" w:rsidRPr="002279BE" w:rsidRDefault="007A602B" w:rsidP="00615A51">
            <w:pPr>
              <w:jc w:val="both"/>
              <w:rPr>
                <w:rFonts w:eastAsia="Calibri"/>
                <w:sz w:val="20"/>
                <w:lang w:val="fr-CA"/>
              </w:rPr>
            </w:pPr>
          </w:p>
        </w:tc>
        <w:tc>
          <w:tcPr>
            <w:tcW w:w="2330" w:type="pct"/>
          </w:tcPr>
          <w:p w:rsidR="007A602B" w:rsidRPr="002279BE" w:rsidRDefault="007A602B" w:rsidP="00615A51">
            <w:pPr>
              <w:jc w:val="both"/>
              <w:rPr>
                <w:rFonts w:eastAsia="Calibri"/>
                <w:sz w:val="20"/>
                <w:lang w:val="fr-CA"/>
              </w:rPr>
            </w:pPr>
            <w:r w:rsidRPr="002279BE">
              <w:rPr>
                <w:rFonts w:eastAsia="Calibri"/>
                <w:sz w:val="20"/>
                <w:lang w:val="fr-CA"/>
              </w:rPr>
              <w:t>Demandeur déclaré coupable de sept infractions : déclaré délinquant dangereux</w:t>
            </w:r>
          </w:p>
          <w:p w:rsidR="007A602B" w:rsidRPr="002279BE" w:rsidRDefault="007A602B" w:rsidP="00615A51">
            <w:pPr>
              <w:jc w:val="both"/>
              <w:rPr>
                <w:rFonts w:eastAsia="Calibri"/>
                <w:sz w:val="20"/>
                <w:lang w:val="fr-CA"/>
              </w:rPr>
            </w:pPr>
          </w:p>
        </w:tc>
      </w:tr>
      <w:tr w:rsidR="007A602B" w:rsidRPr="002279BE" w:rsidTr="00615A51">
        <w:tc>
          <w:tcPr>
            <w:tcW w:w="2427" w:type="pct"/>
          </w:tcPr>
          <w:p w:rsidR="007A602B" w:rsidRPr="002279BE" w:rsidRDefault="007A602B" w:rsidP="00615A51">
            <w:pPr>
              <w:jc w:val="both"/>
              <w:rPr>
                <w:rFonts w:eastAsia="Calibri"/>
                <w:sz w:val="20"/>
                <w:lang w:val="fr-CA"/>
              </w:rPr>
            </w:pPr>
            <w:r w:rsidRPr="002279BE">
              <w:rPr>
                <w:rFonts w:eastAsia="Calibri"/>
                <w:sz w:val="20"/>
                <w:lang w:val="fr-CA"/>
              </w:rPr>
              <w:t>29 mars 2012</w:t>
            </w:r>
          </w:p>
          <w:p w:rsidR="007A602B" w:rsidRPr="002279BE" w:rsidRDefault="007A602B" w:rsidP="00615A51">
            <w:pPr>
              <w:jc w:val="both"/>
              <w:rPr>
                <w:rFonts w:eastAsia="Calibri"/>
                <w:sz w:val="20"/>
                <w:lang w:val="fr-CA"/>
              </w:rPr>
            </w:pPr>
            <w:r w:rsidRPr="002279BE">
              <w:rPr>
                <w:rFonts w:eastAsia="Calibri"/>
                <w:sz w:val="20"/>
                <w:lang w:val="fr-CA"/>
              </w:rPr>
              <w:t>Cour d’appel de la Saskatchewan</w:t>
            </w:r>
          </w:p>
          <w:p w:rsidR="007A602B" w:rsidRPr="002279BE" w:rsidRDefault="007A602B" w:rsidP="00615A51">
            <w:pPr>
              <w:jc w:val="both"/>
              <w:rPr>
                <w:rFonts w:eastAsia="Calibri"/>
                <w:sz w:val="20"/>
                <w:lang w:val="fr-CA"/>
              </w:rPr>
            </w:pPr>
            <w:r w:rsidRPr="002279BE">
              <w:rPr>
                <w:rFonts w:eastAsia="Calibri"/>
                <w:sz w:val="20"/>
                <w:lang w:val="fr-CA"/>
              </w:rPr>
              <w:t>(Juges Cameron, Gerwing et Jackson)</w:t>
            </w:r>
          </w:p>
          <w:p w:rsidR="007A602B" w:rsidRPr="002279BE" w:rsidRDefault="007A602B" w:rsidP="00615A51">
            <w:pPr>
              <w:jc w:val="both"/>
              <w:rPr>
                <w:rFonts w:eastAsia="Calibri"/>
                <w:sz w:val="20"/>
                <w:lang w:val="fr-CA"/>
              </w:rPr>
            </w:pPr>
            <w:r w:rsidRPr="002279BE">
              <w:rPr>
                <w:rFonts w:eastAsia="Calibri"/>
                <w:sz w:val="20"/>
                <w:lang w:val="fr-CA"/>
              </w:rPr>
              <w:t>2012  SKCA 43; CACR2054</w:t>
            </w:r>
          </w:p>
          <w:p w:rsidR="007A602B" w:rsidRPr="002279BE" w:rsidRDefault="007A602B" w:rsidP="00615A51">
            <w:pPr>
              <w:jc w:val="both"/>
              <w:rPr>
                <w:rFonts w:eastAsia="Calibri"/>
                <w:sz w:val="20"/>
                <w:lang w:val="fr-CA"/>
              </w:rPr>
            </w:pPr>
          </w:p>
        </w:tc>
        <w:tc>
          <w:tcPr>
            <w:tcW w:w="243" w:type="pct"/>
          </w:tcPr>
          <w:p w:rsidR="007A602B" w:rsidRPr="002279BE" w:rsidRDefault="007A602B" w:rsidP="00615A51">
            <w:pPr>
              <w:jc w:val="both"/>
              <w:rPr>
                <w:rFonts w:eastAsia="Calibri"/>
                <w:sz w:val="20"/>
                <w:lang w:val="fr-CA"/>
              </w:rPr>
            </w:pPr>
          </w:p>
        </w:tc>
        <w:tc>
          <w:tcPr>
            <w:tcW w:w="2330" w:type="pct"/>
          </w:tcPr>
          <w:p w:rsidR="007A602B" w:rsidRPr="002279BE" w:rsidRDefault="007A602B" w:rsidP="00615A51">
            <w:pPr>
              <w:jc w:val="both"/>
              <w:rPr>
                <w:rFonts w:eastAsia="Calibri"/>
                <w:sz w:val="20"/>
                <w:lang w:val="fr-CA"/>
              </w:rPr>
            </w:pPr>
            <w:r w:rsidRPr="002279BE">
              <w:rPr>
                <w:rFonts w:eastAsia="Calibri"/>
                <w:sz w:val="20"/>
                <w:lang w:val="fr-CA"/>
              </w:rPr>
              <w:t>Appel accueilli en partie</w:t>
            </w:r>
          </w:p>
          <w:p w:rsidR="007A602B" w:rsidRPr="002279BE" w:rsidRDefault="007A602B" w:rsidP="00615A51">
            <w:pPr>
              <w:jc w:val="both"/>
              <w:rPr>
                <w:rFonts w:eastAsia="Calibri"/>
                <w:sz w:val="20"/>
                <w:lang w:val="fr-CA"/>
              </w:rPr>
            </w:pPr>
          </w:p>
        </w:tc>
      </w:tr>
      <w:tr w:rsidR="007A602B" w:rsidRPr="002279BE" w:rsidTr="00615A51">
        <w:tc>
          <w:tcPr>
            <w:tcW w:w="2427" w:type="pct"/>
          </w:tcPr>
          <w:p w:rsidR="007A602B" w:rsidRPr="002279BE" w:rsidRDefault="007A602B" w:rsidP="00615A51">
            <w:pPr>
              <w:jc w:val="both"/>
              <w:rPr>
                <w:rFonts w:eastAsia="Calibri"/>
                <w:sz w:val="20"/>
                <w:lang w:val="fr-CA"/>
              </w:rPr>
            </w:pPr>
            <w:r w:rsidRPr="002279BE">
              <w:rPr>
                <w:rFonts w:eastAsia="Calibri"/>
                <w:sz w:val="20"/>
                <w:lang w:val="fr-CA"/>
              </w:rPr>
              <w:t>18 mai 2012</w:t>
            </w:r>
          </w:p>
          <w:p w:rsidR="007A602B" w:rsidRPr="002279BE" w:rsidRDefault="007A602B" w:rsidP="00615A51">
            <w:pPr>
              <w:jc w:val="both"/>
              <w:rPr>
                <w:rFonts w:eastAsia="Calibri"/>
                <w:sz w:val="20"/>
                <w:lang w:val="fr-CA"/>
              </w:rPr>
            </w:pPr>
            <w:r w:rsidRPr="002279BE">
              <w:rPr>
                <w:rFonts w:eastAsia="Calibri"/>
                <w:sz w:val="20"/>
                <w:lang w:val="fr-CA"/>
              </w:rPr>
              <w:t>Cour suprême du Canada</w:t>
            </w:r>
          </w:p>
        </w:tc>
        <w:tc>
          <w:tcPr>
            <w:tcW w:w="243" w:type="pct"/>
          </w:tcPr>
          <w:p w:rsidR="007A602B" w:rsidRPr="002279BE" w:rsidRDefault="007A602B" w:rsidP="00615A51">
            <w:pPr>
              <w:jc w:val="both"/>
              <w:rPr>
                <w:rFonts w:eastAsia="Calibri"/>
                <w:sz w:val="20"/>
                <w:lang w:val="fr-CA"/>
              </w:rPr>
            </w:pPr>
          </w:p>
        </w:tc>
        <w:tc>
          <w:tcPr>
            <w:tcW w:w="2330" w:type="pct"/>
          </w:tcPr>
          <w:p w:rsidR="007A602B" w:rsidRPr="002279BE" w:rsidRDefault="007A602B" w:rsidP="00615A51">
            <w:pPr>
              <w:jc w:val="both"/>
              <w:rPr>
                <w:rFonts w:eastAsia="Calibri"/>
                <w:sz w:val="20"/>
                <w:lang w:val="fr-CA"/>
              </w:rPr>
            </w:pPr>
            <w:r w:rsidRPr="002279BE">
              <w:rPr>
                <w:rFonts w:eastAsia="Calibri"/>
                <w:sz w:val="20"/>
                <w:lang w:val="fr-CA"/>
              </w:rPr>
              <w:t>Demande d’autorisation d’appel, déposée</w:t>
            </w:r>
          </w:p>
        </w:tc>
      </w:tr>
    </w:tbl>
    <w:p w:rsidR="00596881" w:rsidRDefault="00596881" w:rsidP="000E2959">
      <w:pPr>
        <w:rPr>
          <w:sz w:val="20"/>
          <w:szCs w:val="20"/>
        </w:rPr>
      </w:pPr>
    </w:p>
    <w:p w:rsidR="00596881" w:rsidRDefault="00237788" w:rsidP="000E2959">
      <w:pPr>
        <w:rPr>
          <w:sz w:val="20"/>
          <w:szCs w:val="20"/>
          <w:lang w:val="fr-CA"/>
        </w:rPr>
      </w:pPr>
      <w:r>
        <w:rPr>
          <w:sz w:val="20"/>
          <w:szCs w:val="20"/>
          <w:lang w:val="fr-CA"/>
        </w:rPr>
        <w:pict>
          <v:rect id="_x0000_i1045" style="width:2in;height:1pt" o:hrpct="0" o:hralign="center" o:hrstd="t" o:hrnoshade="t" o:hr="t" fillcolor="black [3213]" stroked="f"/>
        </w:pict>
      </w:r>
    </w:p>
    <w:p w:rsidR="00596881" w:rsidRDefault="00596881"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31E67" w:rsidRPr="00863FF4" w:rsidTr="001C2EF3">
        <w:trPr>
          <w:cantSplit/>
        </w:trPr>
        <w:tc>
          <w:tcPr>
            <w:tcW w:w="1458" w:type="dxa"/>
          </w:tcPr>
          <w:p w:rsidR="00431E67" w:rsidRPr="00863FF4" w:rsidRDefault="00431E67" w:rsidP="001C2EF3">
            <w:pPr>
              <w:rPr>
                <w:sz w:val="20"/>
                <w:szCs w:val="20"/>
              </w:rPr>
            </w:pPr>
            <w:r w:rsidRPr="00863FF4">
              <w:rPr>
                <w:rStyle w:val="SCCFileNumberChar"/>
                <w:sz w:val="20"/>
                <w:szCs w:val="20"/>
              </w:rPr>
              <w:t>35835</w:t>
            </w:r>
          </w:p>
          <w:p w:rsidR="00431E67" w:rsidRPr="00863FF4" w:rsidRDefault="00431E67" w:rsidP="001C2EF3">
            <w:pPr>
              <w:rPr>
                <w:b/>
                <w:sz w:val="20"/>
                <w:szCs w:val="20"/>
                <w:lang w:val="fr-CA"/>
              </w:rPr>
            </w:pPr>
          </w:p>
        </w:tc>
        <w:tc>
          <w:tcPr>
            <w:tcW w:w="8118" w:type="dxa"/>
          </w:tcPr>
          <w:p w:rsidR="00431E67" w:rsidRPr="00863FF4" w:rsidRDefault="00431E67" w:rsidP="001C2EF3">
            <w:pPr>
              <w:jc w:val="both"/>
              <w:rPr>
                <w:sz w:val="20"/>
                <w:szCs w:val="20"/>
              </w:rPr>
            </w:pPr>
            <w:r w:rsidRPr="00863FF4">
              <w:rPr>
                <w:rStyle w:val="SCCLsocChar"/>
                <w:sz w:val="20"/>
                <w:szCs w:val="20"/>
                <w:lang w:val="en-CA"/>
              </w:rPr>
              <w:t>Naseem Jamal v. Her Majesty the Queen in Right of Ontario as Represented by the Ministry of Community and Social Services (</w:t>
            </w:r>
            <w:r>
              <w:rPr>
                <w:rStyle w:val="SCCLsocChar"/>
                <w:sz w:val="20"/>
                <w:szCs w:val="20"/>
                <w:lang w:val="en-CA"/>
              </w:rPr>
              <w:t>“</w:t>
            </w:r>
            <w:r w:rsidRPr="00863FF4">
              <w:rPr>
                <w:rStyle w:val="SCCLsocChar"/>
                <w:sz w:val="20"/>
                <w:szCs w:val="20"/>
                <w:lang w:val="en-CA"/>
              </w:rPr>
              <w:t>HMQ</w:t>
            </w:r>
            <w:r>
              <w:rPr>
                <w:rStyle w:val="SCCLsocChar"/>
                <w:sz w:val="20"/>
                <w:szCs w:val="20"/>
                <w:lang w:val="en-CA"/>
              </w:rPr>
              <w:t>”</w:t>
            </w:r>
            <w:r w:rsidRPr="00863FF4">
              <w:rPr>
                <w:rStyle w:val="SCCLsocChar"/>
                <w:sz w:val="20"/>
                <w:szCs w:val="20"/>
                <w:lang w:val="en-CA"/>
              </w:rPr>
              <w:t>)</w:t>
            </w:r>
            <w:r w:rsidRPr="00863FF4">
              <w:rPr>
                <w:sz w:val="20"/>
                <w:szCs w:val="20"/>
              </w:rPr>
              <w:t xml:space="preserve"> (Ont.) (Civil) (By Leave)</w:t>
            </w:r>
          </w:p>
          <w:p w:rsidR="00431E67" w:rsidRPr="00863FF4" w:rsidRDefault="00431E67" w:rsidP="001C2EF3">
            <w:pPr>
              <w:jc w:val="both"/>
              <w:rPr>
                <w:sz w:val="20"/>
                <w:szCs w:val="20"/>
              </w:rPr>
            </w:pPr>
          </w:p>
        </w:tc>
      </w:tr>
      <w:tr w:rsidR="00431E67" w:rsidRPr="00863FF4" w:rsidTr="001C2EF3">
        <w:trPr>
          <w:cantSplit/>
        </w:trPr>
        <w:tc>
          <w:tcPr>
            <w:tcW w:w="1458" w:type="dxa"/>
          </w:tcPr>
          <w:p w:rsidR="00431E67" w:rsidRPr="00863FF4" w:rsidRDefault="00431E67" w:rsidP="001C2EF3">
            <w:pPr>
              <w:rPr>
                <w:sz w:val="20"/>
                <w:szCs w:val="20"/>
              </w:rPr>
            </w:pPr>
            <w:r w:rsidRPr="00863FF4">
              <w:rPr>
                <w:sz w:val="20"/>
                <w:szCs w:val="20"/>
              </w:rPr>
              <w:t>Coram :</w:t>
            </w:r>
          </w:p>
        </w:tc>
        <w:tc>
          <w:tcPr>
            <w:tcW w:w="8118" w:type="dxa"/>
          </w:tcPr>
          <w:p w:rsidR="00431E67" w:rsidRPr="00863FF4" w:rsidRDefault="00431E67" w:rsidP="001C2EF3">
            <w:pPr>
              <w:rPr>
                <w:sz w:val="20"/>
                <w:szCs w:val="20"/>
              </w:rPr>
            </w:pPr>
            <w:r w:rsidRPr="00863FF4">
              <w:rPr>
                <w:rStyle w:val="SCCCoramChar"/>
                <w:sz w:val="20"/>
                <w:szCs w:val="20"/>
                <w:lang w:val="en-CA"/>
              </w:rPr>
              <w:t>LeBel, Karakatsanis and Gascon JJ.</w:t>
            </w:r>
          </w:p>
          <w:p w:rsidR="00431E67" w:rsidRPr="00863FF4" w:rsidRDefault="00431E67" w:rsidP="001C2EF3">
            <w:pPr>
              <w:rPr>
                <w:sz w:val="20"/>
                <w:szCs w:val="20"/>
                <w:u w:val="single"/>
              </w:rPr>
            </w:pPr>
          </w:p>
        </w:tc>
      </w:tr>
      <w:tr w:rsidR="00431E67" w:rsidRPr="00237788" w:rsidTr="001C2EF3">
        <w:trPr>
          <w:cantSplit/>
        </w:trPr>
        <w:tc>
          <w:tcPr>
            <w:tcW w:w="9576" w:type="dxa"/>
            <w:gridSpan w:val="2"/>
          </w:tcPr>
          <w:p w:rsidR="00431E67" w:rsidRPr="00863FF4" w:rsidRDefault="00431E67" w:rsidP="001C2EF3">
            <w:pPr>
              <w:pStyle w:val="SCCShortJudgment"/>
              <w:rPr>
                <w:szCs w:val="20"/>
              </w:rPr>
            </w:pPr>
            <w:r w:rsidRPr="00863FF4">
              <w:rPr>
                <w:szCs w:val="20"/>
              </w:rPr>
              <w:t>The application for leave to appeal from the judgment of the Court of Appeal for Ontario, Number C56956, 2014 ONCA 47, dated January 15, 2014, is dismissed with costs.</w:t>
            </w:r>
          </w:p>
          <w:p w:rsidR="00431E67" w:rsidRPr="00863FF4" w:rsidRDefault="00431E67" w:rsidP="001C2EF3">
            <w:pPr>
              <w:pStyle w:val="SCCShortJudgment"/>
              <w:ind w:firstLine="0"/>
              <w:rPr>
                <w:szCs w:val="20"/>
              </w:rPr>
            </w:pPr>
          </w:p>
          <w:p w:rsidR="00431E67" w:rsidRPr="00863FF4" w:rsidRDefault="00431E67" w:rsidP="001C2EF3">
            <w:pPr>
              <w:pStyle w:val="SCCShortJudgment"/>
              <w:rPr>
                <w:szCs w:val="20"/>
                <w:lang w:val="fr-CA"/>
              </w:rPr>
            </w:pPr>
            <w:r w:rsidRPr="00863FF4">
              <w:rPr>
                <w:szCs w:val="20"/>
                <w:lang w:val="fr-CA"/>
              </w:rPr>
              <w:t>La demande d’autorisation d’appel de l’arrêt de la Cour d’appel de l’Ontario, numéro C56956, 2014 ONCA 47, daté du 15 janvier 2014, est rejetée avec dépens.</w:t>
            </w:r>
          </w:p>
        </w:tc>
      </w:tr>
    </w:tbl>
    <w:p w:rsidR="00596881" w:rsidRPr="00431E67" w:rsidRDefault="00596881" w:rsidP="00596881">
      <w:pPr>
        <w:rPr>
          <w:sz w:val="20"/>
          <w:szCs w:val="20"/>
          <w:lang w:val="fr-CA"/>
        </w:rPr>
      </w:pPr>
    </w:p>
    <w:p w:rsidR="00596881" w:rsidRPr="001B157C" w:rsidRDefault="00596881" w:rsidP="00596881">
      <w:pPr>
        <w:rPr>
          <w:sz w:val="20"/>
          <w:szCs w:val="20"/>
          <w:u w:val="single"/>
        </w:rPr>
      </w:pPr>
      <w:r w:rsidRPr="001B157C">
        <w:rPr>
          <w:sz w:val="20"/>
          <w:szCs w:val="20"/>
          <w:u w:val="single"/>
        </w:rPr>
        <w:t>CASE SUMMARY</w:t>
      </w:r>
    </w:p>
    <w:p w:rsidR="00596881" w:rsidRDefault="00596881" w:rsidP="0059688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602B" w:rsidRPr="002279BE" w:rsidTr="00615A51">
        <w:tc>
          <w:tcPr>
            <w:tcW w:w="5000" w:type="pct"/>
            <w:gridSpan w:val="3"/>
          </w:tcPr>
          <w:p w:rsidR="007A602B" w:rsidRPr="002279BE" w:rsidRDefault="007A602B" w:rsidP="00615A51">
            <w:pPr>
              <w:jc w:val="both"/>
              <w:rPr>
                <w:rFonts w:eastAsia="Calibri"/>
                <w:sz w:val="20"/>
              </w:rPr>
            </w:pPr>
            <w:r w:rsidRPr="002279BE">
              <w:rPr>
                <w:rFonts w:eastAsia="Calibri"/>
                <w:sz w:val="20"/>
              </w:rPr>
              <w:t>Limitation of actions – Civil procedure – Whether facts as pled disclose a reasonable cause of action – Abuse of process – Denial of fundamental justice or procedural fairness – Issue estoppel – Courts – Jurisdiction – Did the Court of Appeal err in not deferring to the GSB and/or in not accepting jurisdiction over the applicant’s claims – Negligence – Negligent misrepresentation – Fraudulent misrepresentation – Breach of promise.</w:t>
            </w:r>
          </w:p>
        </w:tc>
      </w:tr>
      <w:tr w:rsidR="007A602B" w:rsidRPr="002279BE" w:rsidTr="00615A51">
        <w:tc>
          <w:tcPr>
            <w:tcW w:w="5000" w:type="pct"/>
            <w:gridSpan w:val="3"/>
          </w:tcPr>
          <w:p w:rsidR="007A602B" w:rsidRPr="002279BE" w:rsidRDefault="007A602B" w:rsidP="00615A51">
            <w:pPr>
              <w:jc w:val="both"/>
              <w:rPr>
                <w:rFonts w:eastAsia="Calibri"/>
                <w:sz w:val="20"/>
              </w:rPr>
            </w:pPr>
          </w:p>
        </w:tc>
      </w:tr>
      <w:tr w:rsidR="007A602B" w:rsidRPr="002279BE" w:rsidTr="00615A51">
        <w:tc>
          <w:tcPr>
            <w:tcW w:w="5000" w:type="pct"/>
            <w:gridSpan w:val="3"/>
          </w:tcPr>
          <w:p w:rsidR="007A602B" w:rsidRPr="002279BE" w:rsidRDefault="007A602B" w:rsidP="00615A51">
            <w:pPr>
              <w:jc w:val="both"/>
              <w:rPr>
                <w:rFonts w:eastAsia="Calibri"/>
                <w:sz w:val="20"/>
              </w:rPr>
            </w:pPr>
            <w:r w:rsidRPr="002279BE">
              <w:rPr>
                <w:rFonts w:eastAsia="Calibri"/>
                <w:sz w:val="20"/>
              </w:rPr>
              <w:t xml:space="preserve">The applicant was a Crown employee and a member of the Ontario Public Sector Employees Union (“OPSEU”) from </w:t>
            </w:r>
            <w:r w:rsidRPr="002279BE">
              <w:rPr>
                <w:rFonts w:eastAsia="Calibri"/>
                <w:sz w:val="20"/>
              </w:rPr>
              <w:lastRenderedPageBreak/>
              <w:t>1977 to 2001.  She filed grievances in 2000 and 2001 under her collective agreement, which were resolved prior to the hearing at the Grievance Settlement Board (“GSB”).  Pursuant to a Memorandum of Settlement she resigned, received $110,000, and signed a full and final release in favour of the Crown.  Since the settlement the applicant has sought to set it aside on the basis that she was not properly informed of her rights of pension buy-back.  She has engaged unsuccessfully in proceedings against the OPSEU for its alleged breach of the duty of fair representation, against the respondent for alleged fraud and negligent misrepresentation, and to require the GSB to reopen her file and set aside the 2001 settlement.</w:t>
            </w:r>
          </w:p>
          <w:p w:rsidR="007A602B" w:rsidRPr="002279BE" w:rsidRDefault="007A602B" w:rsidP="00615A51">
            <w:pPr>
              <w:jc w:val="both"/>
              <w:rPr>
                <w:rFonts w:eastAsia="Calibri"/>
                <w:sz w:val="20"/>
              </w:rPr>
            </w:pPr>
          </w:p>
          <w:p w:rsidR="007A602B" w:rsidRPr="002279BE" w:rsidRDefault="007A602B" w:rsidP="00615A51">
            <w:pPr>
              <w:jc w:val="both"/>
              <w:rPr>
                <w:rFonts w:eastAsia="Calibri"/>
                <w:sz w:val="20"/>
              </w:rPr>
            </w:pPr>
            <w:r w:rsidRPr="002279BE">
              <w:rPr>
                <w:rFonts w:eastAsia="Calibri"/>
                <w:sz w:val="20"/>
              </w:rPr>
              <w:t xml:space="preserve">The Ontario Superior Court of Justice dismissed the action on the basis that:  (a) the claims were statute barred by the </w:t>
            </w:r>
            <w:r w:rsidRPr="002279BE">
              <w:rPr>
                <w:rFonts w:eastAsia="Calibri"/>
                <w:i/>
                <w:iCs/>
                <w:sz w:val="20"/>
              </w:rPr>
              <w:t>Limitations Act, 2002</w:t>
            </w:r>
            <w:r w:rsidRPr="002279BE">
              <w:rPr>
                <w:rFonts w:eastAsia="Calibri"/>
                <w:sz w:val="20"/>
              </w:rPr>
              <w:t>, S.O. 2002, c. 24, Sched. B; (b) the claims disclosed no reasonable cause of action; (c) the claims were an abuse of process, vexatious, or frivolous; and (d) the claims were outside the jurisdiction of the court and within the exclusive jurisdiction of the GSB.  The Ontario Court of Appeal dismissed the appeal.</w:t>
            </w:r>
          </w:p>
          <w:p w:rsidR="007A602B" w:rsidRPr="002279BE" w:rsidRDefault="007A602B" w:rsidP="00615A51">
            <w:pPr>
              <w:jc w:val="both"/>
              <w:rPr>
                <w:rFonts w:eastAsia="Calibri"/>
                <w:sz w:val="20"/>
              </w:rPr>
            </w:pPr>
          </w:p>
        </w:tc>
      </w:tr>
      <w:tr w:rsidR="007A602B" w:rsidRPr="002279BE" w:rsidTr="00615A51">
        <w:tc>
          <w:tcPr>
            <w:tcW w:w="2427" w:type="pct"/>
          </w:tcPr>
          <w:p w:rsidR="007A602B" w:rsidRPr="002279BE" w:rsidRDefault="007A602B" w:rsidP="00615A51">
            <w:pPr>
              <w:jc w:val="both"/>
              <w:rPr>
                <w:rFonts w:eastAsia="Calibri"/>
                <w:sz w:val="20"/>
              </w:rPr>
            </w:pPr>
            <w:r w:rsidRPr="002279BE">
              <w:rPr>
                <w:rFonts w:eastAsia="Calibri"/>
                <w:sz w:val="20"/>
              </w:rPr>
              <w:lastRenderedPageBreak/>
              <w:t>May 19, 2013</w:t>
            </w:r>
          </w:p>
          <w:p w:rsidR="007A602B" w:rsidRPr="002279BE" w:rsidRDefault="007A602B" w:rsidP="00615A51">
            <w:pPr>
              <w:jc w:val="both"/>
              <w:rPr>
                <w:rFonts w:eastAsia="Calibri"/>
                <w:sz w:val="20"/>
              </w:rPr>
            </w:pPr>
            <w:r w:rsidRPr="002279BE">
              <w:rPr>
                <w:rFonts w:eastAsia="Calibri"/>
                <w:sz w:val="20"/>
              </w:rPr>
              <w:t>Ontario Superior Court of Justice</w:t>
            </w:r>
          </w:p>
          <w:p w:rsidR="007A602B" w:rsidRPr="002279BE" w:rsidRDefault="007A602B" w:rsidP="00615A51">
            <w:pPr>
              <w:jc w:val="both"/>
              <w:rPr>
                <w:rFonts w:eastAsia="Calibri"/>
                <w:sz w:val="20"/>
              </w:rPr>
            </w:pPr>
            <w:r w:rsidRPr="002279BE">
              <w:rPr>
                <w:rFonts w:eastAsia="Calibri"/>
                <w:sz w:val="20"/>
              </w:rPr>
              <w:t>(Brown J.)</w:t>
            </w:r>
          </w:p>
          <w:p w:rsidR="007A602B" w:rsidRPr="002279BE" w:rsidRDefault="00237788" w:rsidP="00615A51">
            <w:pPr>
              <w:jc w:val="both"/>
              <w:rPr>
                <w:rFonts w:eastAsia="Calibri"/>
                <w:sz w:val="20"/>
              </w:rPr>
            </w:pPr>
            <w:hyperlink r:id="rId25" w:history="1">
              <w:r w:rsidR="007A602B" w:rsidRPr="002279BE">
                <w:rPr>
                  <w:rFonts w:eastAsia="Calibri"/>
                  <w:color w:val="0000FF"/>
                  <w:sz w:val="20"/>
                  <w:u w:val="single"/>
                </w:rPr>
                <w:t>2013 ONSC 1290</w:t>
              </w:r>
            </w:hyperlink>
          </w:p>
          <w:p w:rsidR="007A602B" w:rsidRPr="002279BE" w:rsidRDefault="007A602B" w:rsidP="00615A51">
            <w:pPr>
              <w:jc w:val="both"/>
              <w:rPr>
                <w:rFonts w:eastAsia="Calibri"/>
                <w:sz w:val="20"/>
              </w:rPr>
            </w:pPr>
          </w:p>
        </w:tc>
        <w:tc>
          <w:tcPr>
            <w:tcW w:w="243" w:type="pct"/>
          </w:tcPr>
          <w:p w:rsidR="007A602B" w:rsidRPr="002279BE" w:rsidRDefault="007A602B" w:rsidP="00615A51">
            <w:pPr>
              <w:jc w:val="both"/>
              <w:rPr>
                <w:rFonts w:eastAsia="Calibri"/>
                <w:sz w:val="20"/>
              </w:rPr>
            </w:pPr>
          </w:p>
        </w:tc>
        <w:tc>
          <w:tcPr>
            <w:tcW w:w="2330" w:type="pct"/>
          </w:tcPr>
          <w:p w:rsidR="007A602B" w:rsidRPr="002279BE" w:rsidRDefault="007A602B" w:rsidP="00615A51">
            <w:pPr>
              <w:jc w:val="both"/>
              <w:rPr>
                <w:rFonts w:eastAsia="Calibri"/>
                <w:sz w:val="20"/>
              </w:rPr>
            </w:pPr>
            <w:r w:rsidRPr="002279BE">
              <w:rPr>
                <w:rFonts w:eastAsia="Calibri"/>
                <w:sz w:val="20"/>
              </w:rPr>
              <w:t>Respondent’s motion for an order striking the Applicant’s Statement of Claim granted; Statement of Claim dismissed without leave to amend</w:t>
            </w:r>
          </w:p>
          <w:p w:rsidR="007A602B" w:rsidRPr="002279BE" w:rsidRDefault="007A602B" w:rsidP="00615A51">
            <w:pPr>
              <w:jc w:val="both"/>
              <w:rPr>
                <w:rFonts w:eastAsia="Calibri"/>
                <w:sz w:val="20"/>
              </w:rPr>
            </w:pPr>
          </w:p>
        </w:tc>
      </w:tr>
      <w:tr w:rsidR="007A602B" w:rsidRPr="002279BE" w:rsidTr="00615A51">
        <w:tc>
          <w:tcPr>
            <w:tcW w:w="2427" w:type="pct"/>
          </w:tcPr>
          <w:p w:rsidR="007A602B" w:rsidRPr="002279BE" w:rsidRDefault="007A602B" w:rsidP="00615A51">
            <w:pPr>
              <w:jc w:val="both"/>
              <w:rPr>
                <w:rFonts w:eastAsia="Calibri"/>
                <w:sz w:val="20"/>
              </w:rPr>
            </w:pPr>
            <w:r w:rsidRPr="002279BE">
              <w:rPr>
                <w:rFonts w:eastAsia="Calibri"/>
                <w:sz w:val="20"/>
              </w:rPr>
              <w:t>January 15, 2014</w:t>
            </w:r>
          </w:p>
          <w:p w:rsidR="007A602B" w:rsidRPr="002279BE" w:rsidRDefault="007A602B" w:rsidP="00615A51">
            <w:pPr>
              <w:jc w:val="both"/>
              <w:rPr>
                <w:rFonts w:eastAsia="Calibri"/>
                <w:sz w:val="20"/>
              </w:rPr>
            </w:pPr>
            <w:r w:rsidRPr="002279BE">
              <w:rPr>
                <w:rFonts w:eastAsia="Calibri"/>
                <w:sz w:val="20"/>
              </w:rPr>
              <w:t>Court of Appeal for Ontario</w:t>
            </w:r>
          </w:p>
          <w:p w:rsidR="007A602B" w:rsidRPr="002279BE" w:rsidRDefault="007A602B" w:rsidP="00615A51">
            <w:pPr>
              <w:jc w:val="both"/>
              <w:rPr>
                <w:rFonts w:eastAsia="Calibri"/>
                <w:sz w:val="20"/>
              </w:rPr>
            </w:pPr>
            <w:r w:rsidRPr="002279BE">
              <w:rPr>
                <w:rFonts w:eastAsia="Calibri"/>
                <w:sz w:val="20"/>
              </w:rPr>
              <w:t>(Weiler, Rouleau and Strathy JJ.A.)</w:t>
            </w:r>
          </w:p>
          <w:p w:rsidR="007A602B" w:rsidRPr="002279BE" w:rsidRDefault="00237788" w:rsidP="00615A51">
            <w:pPr>
              <w:jc w:val="both"/>
              <w:rPr>
                <w:rFonts w:eastAsia="Calibri"/>
                <w:sz w:val="20"/>
              </w:rPr>
            </w:pPr>
            <w:hyperlink r:id="rId26" w:history="1">
              <w:r w:rsidR="007A602B" w:rsidRPr="002279BE">
                <w:rPr>
                  <w:rFonts w:eastAsia="Calibri"/>
                  <w:color w:val="0000FF"/>
                  <w:sz w:val="20"/>
                  <w:u w:val="single"/>
                </w:rPr>
                <w:t>2014 ONCA 47</w:t>
              </w:r>
            </w:hyperlink>
          </w:p>
          <w:p w:rsidR="007A602B" w:rsidRPr="002279BE" w:rsidRDefault="007A602B" w:rsidP="00615A51">
            <w:pPr>
              <w:jc w:val="both"/>
              <w:rPr>
                <w:rFonts w:eastAsia="Calibri"/>
                <w:sz w:val="20"/>
              </w:rPr>
            </w:pPr>
          </w:p>
        </w:tc>
        <w:tc>
          <w:tcPr>
            <w:tcW w:w="243" w:type="pct"/>
          </w:tcPr>
          <w:p w:rsidR="007A602B" w:rsidRPr="002279BE" w:rsidRDefault="007A602B" w:rsidP="00615A51">
            <w:pPr>
              <w:jc w:val="both"/>
              <w:rPr>
                <w:rFonts w:eastAsia="Calibri"/>
                <w:sz w:val="20"/>
              </w:rPr>
            </w:pPr>
          </w:p>
        </w:tc>
        <w:tc>
          <w:tcPr>
            <w:tcW w:w="2330" w:type="pct"/>
          </w:tcPr>
          <w:p w:rsidR="007A602B" w:rsidRPr="002279BE" w:rsidRDefault="007A602B" w:rsidP="00615A51">
            <w:pPr>
              <w:jc w:val="both"/>
              <w:rPr>
                <w:rFonts w:eastAsia="Calibri"/>
                <w:sz w:val="20"/>
              </w:rPr>
            </w:pPr>
            <w:r w:rsidRPr="002279BE">
              <w:rPr>
                <w:rFonts w:eastAsia="Calibri"/>
                <w:sz w:val="20"/>
              </w:rPr>
              <w:t>Appeal dismissed</w:t>
            </w:r>
          </w:p>
          <w:p w:rsidR="007A602B" w:rsidRPr="002279BE" w:rsidRDefault="007A602B" w:rsidP="00615A51">
            <w:pPr>
              <w:jc w:val="both"/>
              <w:rPr>
                <w:rFonts w:eastAsia="Calibri"/>
                <w:sz w:val="20"/>
              </w:rPr>
            </w:pPr>
          </w:p>
        </w:tc>
      </w:tr>
      <w:tr w:rsidR="007A602B" w:rsidRPr="002279BE" w:rsidTr="00615A51">
        <w:tc>
          <w:tcPr>
            <w:tcW w:w="2427" w:type="pct"/>
          </w:tcPr>
          <w:p w:rsidR="007A602B" w:rsidRPr="002279BE" w:rsidRDefault="007A602B" w:rsidP="00615A51">
            <w:pPr>
              <w:jc w:val="both"/>
              <w:rPr>
                <w:rFonts w:eastAsia="Calibri"/>
                <w:sz w:val="20"/>
              </w:rPr>
            </w:pPr>
            <w:r w:rsidRPr="002279BE">
              <w:rPr>
                <w:rFonts w:eastAsia="Calibri"/>
                <w:sz w:val="20"/>
              </w:rPr>
              <w:t>March 17, 2014</w:t>
            </w:r>
          </w:p>
          <w:p w:rsidR="007A602B" w:rsidRPr="002279BE" w:rsidRDefault="007A602B" w:rsidP="00615A51">
            <w:pPr>
              <w:jc w:val="both"/>
              <w:rPr>
                <w:rFonts w:eastAsia="Calibri"/>
                <w:sz w:val="20"/>
              </w:rPr>
            </w:pPr>
            <w:r w:rsidRPr="002279BE">
              <w:rPr>
                <w:rFonts w:eastAsia="Calibri"/>
                <w:sz w:val="20"/>
              </w:rPr>
              <w:t>Supreme Court of Canada</w:t>
            </w:r>
          </w:p>
        </w:tc>
        <w:tc>
          <w:tcPr>
            <w:tcW w:w="243" w:type="pct"/>
          </w:tcPr>
          <w:p w:rsidR="007A602B" w:rsidRPr="002279BE" w:rsidRDefault="007A602B" w:rsidP="00615A51">
            <w:pPr>
              <w:jc w:val="both"/>
              <w:rPr>
                <w:rFonts w:eastAsia="Calibri"/>
                <w:sz w:val="20"/>
              </w:rPr>
            </w:pPr>
          </w:p>
        </w:tc>
        <w:tc>
          <w:tcPr>
            <w:tcW w:w="2330" w:type="pct"/>
          </w:tcPr>
          <w:p w:rsidR="007A602B" w:rsidRPr="002279BE" w:rsidRDefault="007A602B" w:rsidP="00615A51">
            <w:pPr>
              <w:jc w:val="both"/>
              <w:rPr>
                <w:rFonts w:eastAsia="Calibri"/>
                <w:sz w:val="20"/>
              </w:rPr>
            </w:pPr>
            <w:r w:rsidRPr="002279BE">
              <w:rPr>
                <w:rFonts w:eastAsia="Calibri"/>
                <w:sz w:val="20"/>
              </w:rPr>
              <w:t>Application for leave to appeal filed</w:t>
            </w:r>
          </w:p>
        </w:tc>
      </w:tr>
    </w:tbl>
    <w:p w:rsidR="00596881" w:rsidRDefault="00596881" w:rsidP="00596881">
      <w:pPr>
        <w:rPr>
          <w:sz w:val="20"/>
          <w:szCs w:val="20"/>
        </w:rPr>
      </w:pPr>
    </w:p>
    <w:p w:rsidR="00596881" w:rsidRPr="00C50A5C" w:rsidRDefault="00237788" w:rsidP="00596881">
      <w:pPr>
        <w:rPr>
          <w:sz w:val="20"/>
          <w:szCs w:val="20"/>
        </w:rPr>
      </w:pPr>
      <w:r>
        <w:rPr>
          <w:sz w:val="20"/>
          <w:szCs w:val="20"/>
          <w:lang w:val="fr-CA"/>
        </w:rPr>
        <w:pict>
          <v:rect id="_x0000_i1046" style="width:2in;height:1pt" o:hrpct="0" o:hralign="center" o:hrstd="t" o:hrnoshade="t" o:hr="t" fillcolor="black [3213]" stroked="f"/>
        </w:pict>
      </w:r>
    </w:p>
    <w:p w:rsidR="00596881" w:rsidRDefault="00596881" w:rsidP="00596881">
      <w:pPr>
        <w:rPr>
          <w:sz w:val="20"/>
          <w:szCs w:val="20"/>
        </w:rPr>
      </w:pPr>
    </w:p>
    <w:p w:rsidR="00596881" w:rsidRPr="001B157C" w:rsidRDefault="00596881" w:rsidP="00596881">
      <w:pPr>
        <w:rPr>
          <w:sz w:val="20"/>
          <w:szCs w:val="20"/>
          <w:u w:val="single"/>
          <w:lang w:val="fr-CA"/>
        </w:rPr>
      </w:pPr>
      <w:r w:rsidRPr="001B157C">
        <w:rPr>
          <w:sz w:val="20"/>
          <w:szCs w:val="20"/>
          <w:u w:val="single"/>
          <w:lang w:val="fr-CA"/>
        </w:rPr>
        <w:t>RÉSUMÉ DE L’AFFAIRE</w:t>
      </w:r>
    </w:p>
    <w:p w:rsidR="00596881" w:rsidRDefault="00596881" w:rsidP="0059688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602B" w:rsidRPr="00237788" w:rsidTr="00615A51">
        <w:tc>
          <w:tcPr>
            <w:tcW w:w="5000" w:type="pct"/>
            <w:gridSpan w:val="3"/>
          </w:tcPr>
          <w:p w:rsidR="007A602B" w:rsidRPr="002279BE" w:rsidRDefault="007A602B" w:rsidP="00615A51">
            <w:pPr>
              <w:jc w:val="both"/>
              <w:rPr>
                <w:rFonts w:eastAsia="Calibri"/>
                <w:sz w:val="20"/>
                <w:lang w:val="fr-CA"/>
              </w:rPr>
            </w:pPr>
            <w:r w:rsidRPr="002279BE">
              <w:rPr>
                <w:rFonts w:eastAsia="Calibri"/>
                <w:sz w:val="20"/>
                <w:lang w:val="fr-CA"/>
              </w:rPr>
              <w:t>Prescription – Procédure civile – Est-ce que les faits, tel qu’il a été plaidé, révèlent une cause d’action valable? – Abus de procédure – Négation du droit à la justice fondamentale ou à l’équité procédurale – Préclusion découlant d’une question déjà tranchée – Tribunaux – Compétence – Est-ce que la Cour d’appel a commis une erreur en ne s’en remettant pas à la CRG et/ou en ne s’attribuant pas la compétence à l’égard des réclamations de la demanderesse? – Négligence – Déclaration inexacte faite par négligence – Fausses représentations frauduleuses – Rupture de promesse.</w:t>
            </w:r>
          </w:p>
        </w:tc>
      </w:tr>
      <w:tr w:rsidR="007A602B" w:rsidRPr="00237788" w:rsidTr="00615A51">
        <w:tc>
          <w:tcPr>
            <w:tcW w:w="5000" w:type="pct"/>
            <w:gridSpan w:val="3"/>
          </w:tcPr>
          <w:p w:rsidR="007A602B" w:rsidRPr="002279BE" w:rsidRDefault="007A602B" w:rsidP="00615A51">
            <w:pPr>
              <w:jc w:val="both"/>
              <w:rPr>
                <w:rFonts w:eastAsia="Calibri"/>
                <w:sz w:val="20"/>
                <w:lang w:val="fr-CA"/>
              </w:rPr>
            </w:pPr>
          </w:p>
        </w:tc>
      </w:tr>
      <w:tr w:rsidR="007A602B" w:rsidRPr="002279BE" w:rsidTr="00615A51">
        <w:tc>
          <w:tcPr>
            <w:tcW w:w="5000" w:type="pct"/>
            <w:gridSpan w:val="3"/>
          </w:tcPr>
          <w:p w:rsidR="007A602B" w:rsidRPr="002279BE" w:rsidRDefault="007A602B" w:rsidP="00615A51">
            <w:pPr>
              <w:jc w:val="both"/>
              <w:rPr>
                <w:rFonts w:eastAsia="Calibri"/>
                <w:sz w:val="20"/>
                <w:lang w:val="fr-CA"/>
              </w:rPr>
            </w:pPr>
            <w:r w:rsidRPr="002279BE">
              <w:rPr>
                <w:rFonts w:eastAsia="Calibri"/>
                <w:sz w:val="20"/>
                <w:lang w:val="fr-CA"/>
              </w:rPr>
              <w:t xml:space="preserve">La demanderesse était une employée de la Couronne et membre du Syndicat des employés de la fonction publique de l’Ontario (SEFPO) de 1977 à 2001.  Elle a déposé des griefs en 2000 et 2001 en vertu de sa convention collective et ils ont été réglés avant l’audience devant la Commission de règlement des griefs (CRG).  Aux termes du mémoire d’entente, la demanderesse a démissionné, a reçu 110 000$ et a signé une quittance totale et définitive en faveur de la Couronne.  Depuis l’entente, la demanderesse a demandé l’annulation de l’entente pour le motif qu’elle n’a pas été bien informée de ses droits relatifs au rachat de droits de pension.  Elle a entamé, sans succès, des procédures contre le SEFPO pour un prétendu manquement au devoir de juste représentation, contre l’intimé pour de la prétendue fraude et une prétendue déclaration inexacte faite par négligence, et en vue d’obliger la CRG à rouvrir son dossier et à annuler l’entente de 2001. </w:t>
            </w:r>
          </w:p>
          <w:p w:rsidR="007A602B" w:rsidRPr="002279BE" w:rsidRDefault="007A602B" w:rsidP="00615A51">
            <w:pPr>
              <w:jc w:val="both"/>
              <w:rPr>
                <w:rFonts w:eastAsia="Calibri"/>
                <w:sz w:val="20"/>
                <w:lang w:val="fr-CA"/>
              </w:rPr>
            </w:pPr>
          </w:p>
          <w:p w:rsidR="007A602B" w:rsidRPr="002279BE" w:rsidRDefault="007A602B" w:rsidP="00615A51">
            <w:pPr>
              <w:jc w:val="both"/>
              <w:rPr>
                <w:rFonts w:eastAsia="Calibri"/>
                <w:sz w:val="20"/>
                <w:lang w:val="fr-CA"/>
              </w:rPr>
            </w:pPr>
            <w:r w:rsidRPr="002279BE">
              <w:rPr>
                <w:rFonts w:eastAsia="Calibri"/>
                <w:sz w:val="20"/>
                <w:lang w:val="fr-CA"/>
              </w:rPr>
              <w:t xml:space="preserve">La Cour supérieure de Justice de l’Ontario a rejeté l’action se fondant sur ce qui suit : (a) les demandes étaient prescrites en vertu de la </w:t>
            </w:r>
            <w:r w:rsidRPr="002279BE">
              <w:rPr>
                <w:rFonts w:eastAsia="Calibri"/>
                <w:i/>
                <w:iCs/>
                <w:sz w:val="20"/>
                <w:lang w:val="fr-CA"/>
              </w:rPr>
              <w:t>Loi de 2002 sur la prescription des actions</w:t>
            </w:r>
            <w:r w:rsidRPr="002279BE">
              <w:rPr>
                <w:rFonts w:eastAsia="Calibri"/>
                <w:iCs/>
                <w:sz w:val="20"/>
                <w:lang w:val="fr-CA"/>
              </w:rPr>
              <w:t>, 2002,</w:t>
            </w:r>
            <w:r w:rsidRPr="002279BE">
              <w:rPr>
                <w:rFonts w:eastAsia="Calibri"/>
                <w:sz w:val="20"/>
                <w:lang w:val="fr-CA"/>
              </w:rPr>
              <w:t xml:space="preserve"> c. 24, ann. B; (b) les faits ne révélaient pas de cause d’action valable; (c) les demandes étaient frivoles, vexatoires ou constituaient un abus de procédure; (d) la Cour n’avait pas compétence sur les demandes car elles étaient de la compétence exclusive de la CRG.  La Cour d’appel de l’Ontario a rejeté l’appel.</w:t>
            </w:r>
          </w:p>
          <w:p w:rsidR="007A602B" w:rsidRPr="002279BE" w:rsidRDefault="007A602B" w:rsidP="00615A51">
            <w:pPr>
              <w:jc w:val="both"/>
              <w:rPr>
                <w:rFonts w:eastAsia="Calibri"/>
                <w:sz w:val="20"/>
                <w:lang w:val="fr-CA"/>
              </w:rPr>
            </w:pPr>
          </w:p>
        </w:tc>
      </w:tr>
      <w:tr w:rsidR="007A602B" w:rsidRPr="00237788" w:rsidTr="00615A51">
        <w:tc>
          <w:tcPr>
            <w:tcW w:w="2427" w:type="pct"/>
          </w:tcPr>
          <w:p w:rsidR="007A602B" w:rsidRPr="002279BE" w:rsidRDefault="007A602B" w:rsidP="00615A51">
            <w:pPr>
              <w:jc w:val="both"/>
              <w:rPr>
                <w:rFonts w:eastAsia="Calibri"/>
                <w:sz w:val="20"/>
                <w:lang w:val="fr-CA"/>
              </w:rPr>
            </w:pPr>
            <w:r w:rsidRPr="002279BE">
              <w:rPr>
                <w:rFonts w:eastAsia="Calibri"/>
                <w:sz w:val="20"/>
                <w:lang w:val="fr-CA"/>
              </w:rPr>
              <w:lastRenderedPageBreak/>
              <w:t>19 mai 2013</w:t>
            </w:r>
          </w:p>
          <w:p w:rsidR="007A602B" w:rsidRPr="002279BE" w:rsidRDefault="007A602B" w:rsidP="00615A51">
            <w:pPr>
              <w:jc w:val="both"/>
              <w:rPr>
                <w:rFonts w:eastAsia="Calibri"/>
                <w:sz w:val="20"/>
                <w:lang w:val="fr-CA"/>
              </w:rPr>
            </w:pPr>
            <w:r w:rsidRPr="002279BE">
              <w:rPr>
                <w:rFonts w:eastAsia="Calibri"/>
                <w:sz w:val="20"/>
                <w:lang w:val="fr-CA"/>
              </w:rPr>
              <w:t xml:space="preserve">Cour supérieure de Justice de l’Ontario </w:t>
            </w:r>
          </w:p>
          <w:p w:rsidR="007A602B" w:rsidRPr="002279BE" w:rsidRDefault="007A602B" w:rsidP="00615A51">
            <w:pPr>
              <w:jc w:val="both"/>
              <w:rPr>
                <w:rFonts w:eastAsia="Calibri"/>
                <w:sz w:val="20"/>
                <w:lang w:val="fr-CA"/>
              </w:rPr>
            </w:pPr>
            <w:r w:rsidRPr="002279BE">
              <w:rPr>
                <w:rFonts w:eastAsia="Calibri"/>
                <w:sz w:val="20"/>
                <w:lang w:val="fr-CA"/>
              </w:rPr>
              <w:t>(Juge Brown)</w:t>
            </w:r>
          </w:p>
          <w:p w:rsidR="007A602B" w:rsidRPr="002279BE" w:rsidRDefault="00237788" w:rsidP="00615A51">
            <w:pPr>
              <w:jc w:val="both"/>
              <w:rPr>
                <w:rFonts w:eastAsia="Calibri"/>
                <w:sz w:val="20"/>
              </w:rPr>
            </w:pPr>
            <w:hyperlink r:id="rId27" w:history="1">
              <w:r w:rsidR="007A602B" w:rsidRPr="002279BE">
                <w:rPr>
                  <w:rFonts w:eastAsia="Calibri"/>
                  <w:color w:val="0000FF"/>
                  <w:sz w:val="20"/>
                  <w:u w:val="single"/>
                </w:rPr>
                <w:t>2013 ONSC 1290</w:t>
              </w:r>
            </w:hyperlink>
          </w:p>
          <w:p w:rsidR="007A602B" w:rsidRPr="002279BE" w:rsidRDefault="007A602B" w:rsidP="00615A51">
            <w:pPr>
              <w:jc w:val="both"/>
              <w:rPr>
                <w:rFonts w:eastAsia="Calibri"/>
                <w:sz w:val="20"/>
              </w:rPr>
            </w:pPr>
          </w:p>
        </w:tc>
        <w:tc>
          <w:tcPr>
            <w:tcW w:w="243" w:type="pct"/>
          </w:tcPr>
          <w:p w:rsidR="007A602B" w:rsidRPr="002279BE" w:rsidRDefault="007A602B" w:rsidP="00615A51">
            <w:pPr>
              <w:jc w:val="both"/>
              <w:rPr>
                <w:rFonts w:eastAsia="Calibri"/>
                <w:sz w:val="20"/>
              </w:rPr>
            </w:pPr>
          </w:p>
        </w:tc>
        <w:tc>
          <w:tcPr>
            <w:tcW w:w="2330" w:type="pct"/>
          </w:tcPr>
          <w:p w:rsidR="007A602B" w:rsidRPr="002279BE" w:rsidRDefault="007A602B" w:rsidP="00615A51">
            <w:pPr>
              <w:jc w:val="both"/>
              <w:rPr>
                <w:rFonts w:eastAsia="Calibri"/>
                <w:sz w:val="20"/>
                <w:lang w:val="fr-CA"/>
              </w:rPr>
            </w:pPr>
            <w:r w:rsidRPr="002279BE">
              <w:rPr>
                <w:rFonts w:eastAsia="Calibri"/>
                <w:sz w:val="20"/>
                <w:lang w:val="fr-CA"/>
              </w:rPr>
              <w:t>Requête de l’intimée en vue d’obtenir une ordonnance radiant la déclaration déposée par la demanderesse, accordée; Déclaration rejetée sans autorisation de modifier</w:t>
            </w:r>
          </w:p>
          <w:p w:rsidR="007A602B" w:rsidRPr="002279BE" w:rsidRDefault="007A602B" w:rsidP="00615A51">
            <w:pPr>
              <w:jc w:val="both"/>
              <w:rPr>
                <w:rFonts w:eastAsia="Calibri"/>
                <w:sz w:val="20"/>
                <w:lang w:val="fr-CA"/>
              </w:rPr>
            </w:pPr>
          </w:p>
        </w:tc>
      </w:tr>
      <w:tr w:rsidR="007A602B" w:rsidRPr="002279BE" w:rsidTr="00615A51">
        <w:tc>
          <w:tcPr>
            <w:tcW w:w="2427" w:type="pct"/>
          </w:tcPr>
          <w:p w:rsidR="007A602B" w:rsidRPr="002279BE" w:rsidRDefault="007A602B" w:rsidP="00615A51">
            <w:pPr>
              <w:jc w:val="both"/>
              <w:rPr>
                <w:rFonts w:eastAsia="Calibri"/>
                <w:sz w:val="20"/>
                <w:lang w:val="fr-CA"/>
              </w:rPr>
            </w:pPr>
            <w:r w:rsidRPr="002279BE">
              <w:rPr>
                <w:rFonts w:eastAsia="Calibri"/>
                <w:sz w:val="20"/>
                <w:lang w:val="fr-CA"/>
              </w:rPr>
              <w:t>15 janvier 2014</w:t>
            </w:r>
          </w:p>
          <w:p w:rsidR="007A602B" w:rsidRPr="002279BE" w:rsidRDefault="007A602B" w:rsidP="00615A51">
            <w:pPr>
              <w:jc w:val="both"/>
              <w:rPr>
                <w:rFonts w:eastAsia="Calibri"/>
                <w:sz w:val="20"/>
                <w:lang w:val="fr-CA"/>
              </w:rPr>
            </w:pPr>
            <w:r w:rsidRPr="002279BE">
              <w:rPr>
                <w:rFonts w:eastAsia="Calibri"/>
                <w:sz w:val="20"/>
                <w:lang w:val="fr-CA"/>
              </w:rPr>
              <w:t>Cour d’appel de l’Ontario</w:t>
            </w:r>
          </w:p>
          <w:p w:rsidR="007A602B" w:rsidRPr="002279BE" w:rsidRDefault="007A602B" w:rsidP="00615A51">
            <w:pPr>
              <w:jc w:val="both"/>
              <w:rPr>
                <w:rFonts w:eastAsia="Calibri"/>
                <w:sz w:val="20"/>
                <w:lang w:val="fr-CA"/>
              </w:rPr>
            </w:pPr>
            <w:r w:rsidRPr="002279BE">
              <w:rPr>
                <w:rFonts w:eastAsia="Calibri"/>
                <w:sz w:val="20"/>
                <w:lang w:val="fr-CA"/>
              </w:rPr>
              <w:t>(Juges Weiler, Rouleau et Strathy)</w:t>
            </w:r>
          </w:p>
          <w:p w:rsidR="007A602B" w:rsidRPr="002279BE" w:rsidRDefault="00237788" w:rsidP="00615A51">
            <w:pPr>
              <w:jc w:val="both"/>
              <w:rPr>
                <w:rFonts w:eastAsia="Calibri"/>
                <w:sz w:val="20"/>
              </w:rPr>
            </w:pPr>
            <w:hyperlink r:id="rId28" w:history="1">
              <w:r w:rsidR="007A602B" w:rsidRPr="002279BE">
                <w:rPr>
                  <w:rFonts w:eastAsia="Calibri"/>
                  <w:color w:val="0000FF"/>
                  <w:sz w:val="20"/>
                  <w:u w:val="single"/>
                </w:rPr>
                <w:t>2014 ONCA 47</w:t>
              </w:r>
            </w:hyperlink>
          </w:p>
          <w:p w:rsidR="007A602B" w:rsidRPr="002279BE" w:rsidRDefault="007A602B" w:rsidP="00615A51">
            <w:pPr>
              <w:jc w:val="both"/>
              <w:rPr>
                <w:rFonts w:eastAsia="Calibri"/>
                <w:sz w:val="20"/>
              </w:rPr>
            </w:pPr>
          </w:p>
        </w:tc>
        <w:tc>
          <w:tcPr>
            <w:tcW w:w="243" w:type="pct"/>
          </w:tcPr>
          <w:p w:rsidR="007A602B" w:rsidRPr="002279BE" w:rsidRDefault="007A602B" w:rsidP="00615A51">
            <w:pPr>
              <w:jc w:val="both"/>
              <w:rPr>
                <w:rFonts w:eastAsia="Calibri"/>
                <w:sz w:val="20"/>
              </w:rPr>
            </w:pPr>
          </w:p>
        </w:tc>
        <w:tc>
          <w:tcPr>
            <w:tcW w:w="2330" w:type="pct"/>
          </w:tcPr>
          <w:p w:rsidR="007A602B" w:rsidRPr="002279BE" w:rsidRDefault="007A602B" w:rsidP="00615A51">
            <w:pPr>
              <w:jc w:val="both"/>
              <w:rPr>
                <w:rFonts w:eastAsia="Calibri"/>
                <w:sz w:val="20"/>
              </w:rPr>
            </w:pPr>
            <w:r w:rsidRPr="002279BE">
              <w:rPr>
                <w:rFonts w:eastAsia="Calibri"/>
                <w:sz w:val="20"/>
              </w:rPr>
              <w:t>Appel rejeté</w:t>
            </w:r>
          </w:p>
          <w:p w:rsidR="007A602B" w:rsidRPr="002279BE" w:rsidRDefault="007A602B" w:rsidP="00615A51">
            <w:pPr>
              <w:jc w:val="both"/>
              <w:rPr>
                <w:rFonts w:eastAsia="Calibri"/>
                <w:sz w:val="20"/>
              </w:rPr>
            </w:pPr>
          </w:p>
        </w:tc>
      </w:tr>
      <w:tr w:rsidR="007A602B" w:rsidRPr="002279BE" w:rsidTr="00615A51">
        <w:tc>
          <w:tcPr>
            <w:tcW w:w="2427" w:type="pct"/>
          </w:tcPr>
          <w:p w:rsidR="007A602B" w:rsidRPr="002279BE" w:rsidRDefault="007A602B" w:rsidP="00615A51">
            <w:pPr>
              <w:jc w:val="both"/>
              <w:rPr>
                <w:rFonts w:eastAsia="Calibri"/>
                <w:sz w:val="20"/>
                <w:lang w:val="fr-CA"/>
              </w:rPr>
            </w:pPr>
            <w:r w:rsidRPr="002279BE">
              <w:rPr>
                <w:rFonts w:eastAsia="Calibri"/>
                <w:sz w:val="20"/>
                <w:lang w:val="fr-CA"/>
              </w:rPr>
              <w:t>17 mars 2014</w:t>
            </w:r>
          </w:p>
          <w:p w:rsidR="007A602B" w:rsidRPr="002279BE" w:rsidRDefault="007A602B" w:rsidP="00615A51">
            <w:pPr>
              <w:jc w:val="both"/>
              <w:rPr>
                <w:rFonts w:eastAsia="Calibri"/>
                <w:sz w:val="20"/>
                <w:lang w:val="fr-CA"/>
              </w:rPr>
            </w:pPr>
            <w:r w:rsidRPr="002279BE">
              <w:rPr>
                <w:rFonts w:eastAsia="Calibri"/>
                <w:sz w:val="20"/>
                <w:lang w:val="fr-CA"/>
              </w:rPr>
              <w:t>Cour suprême du Canada</w:t>
            </w:r>
          </w:p>
        </w:tc>
        <w:tc>
          <w:tcPr>
            <w:tcW w:w="243" w:type="pct"/>
          </w:tcPr>
          <w:p w:rsidR="007A602B" w:rsidRPr="002279BE" w:rsidRDefault="007A602B" w:rsidP="00615A51">
            <w:pPr>
              <w:jc w:val="both"/>
              <w:rPr>
                <w:rFonts w:eastAsia="Calibri"/>
                <w:sz w:val="20"/>
                <w:lang w:val="fr-CA"/>
              </w:rPr>
            </w:pPr>
          </w:p>
        </w:tc>
        <w:tc>
          <w:tcPr>
            <w:tcW w:w="2330" w:type="pct"/>
          </w:tcPr>
          <w:p w:rsidR="007A602B" w:rsidRPr="002279BE" w:rsidRDefault="007A602B" w:rsidP="00615A51">
            <w:pPr>
              <w:jc w:val="both"/>
              <w:rPr>
                <w:rFonts w:eastAsia="Calibri"/>
                <w:sz w:val="20"/>
              </w:rPr>
            </w:pPr>
            <w:r w:rsidRPr="002279BE">
              <w:rPr>
                <w:rFonts w:eastAsia="Calibri"/>
                <w:sz w:val="20"/>
              </w:rPr>
              <w:t xml:space="preserve">Demande d’autorisation d’appel déposée </w:t>
            </w:r>
          </w:p>
        </w:tc>
      </w:tr>
    </w:tbl>
    <w:p w:rsidR="00596881" w:rsidRDefault="00596881" w:rsidP="00596881">
      <w:pPr>
        <w:rPr>
          <w:sz w:val="20"/>
          <w:szCs w:val="20"/>
        </w:rPr>
      </w:pPr>
    </w:p>
    <w:p w:rsidR="00596881" w:rsidRDefault="00237788" w:rsidP="00596881">
      <w:pPr>
        <w:rPr>
          <w:sz w:val="20"/>
          <w:szCs w:val="20"/>
          <w:lang w:val="fr-CA"/>
        </w:rPr>
      </w:pPr>
      <w:r>
        <w:rPr>
          <w:sz w:val="20"/>
          <w:szCs w:val="20"/>
          <w:lang w:val="fr-CA"/>
        </w:rPr>
        <w:pict>
          <v:rect id="_x0000_i1047" style="width:2in;height:1pt" o:hrpct="0" o:hralign="center" o:hrstd="t" o:hrnoshade="t" o:hr="t" fillcolor="black [3213]" stroked="f"/>
        </w:pict>
      </w:r>
    </w:p>
    <w:p w:rsidR="00596881" w:rsidRDefault="00596881" w:rsidP="0059688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31E67" w:rsidRPr="00863FF4" w:rsidTr="001C2EF3">
        <w:trPr>
          <w:cantSplit/>
        </w:trPr>
        <w:tc>
          <w:tcPr>
            <w:tcW w:w="1458" w:type="dxa"/>
          </w:tcPr>
          <w:p w:rsidR="00431E67" w:rsidRPr="00863FF4" w:rsidRDefault="00431E67" w:rsidP="001C2EF3">
            <w:pPr>
              <w:rPr>
                <w:sz w:val="20"/>
                <w:szCs w:val="20"/>
              </w:rPr>
            </w:pPr>
            <w:r w:rsidRPr="00863FF4">
              <w:rPr>
                <w:rStyle w:val="SCCFileNumberChar"/>
                <w:sz w:val="20"/>
                <w:szCs w:val="20"/>
              </w:rPr>
              <w:t>35894</w:t>
            </w:r>
          </w:p>
          <w:p w:rsidR="00431E67" w:rsidRPr="00863FF4" w:rsidRDefault="00431E67" w:rsidP="001C2EF3">
            <w:pPr>
              <w:rPr>
                <w:b/>
                <w:sz w:val="20"/>
                <w:szCs w:val="20"/>
                <w:lang w:val="fr-CA"/>
              </w:rPr>
            </w:pPr>
          </w:p>
        </w:tc>
        <w:tc>
          <w:tcPr>
            <w:tcW w:w="8118" w:type="dxa"/>
          </w:tcPr>
          <w:p w:rsidR="00431E67" w:rsidRPr="00863FF4" w:rsidRDefault="00431E67" w:rsidP="001C2EF3">
            <w:pPr>
              <w:jc w:val="both"/>
              <w:rPr>
                <w:sz w:val="20"/>
                <w:szCs w:val="20"/>
                <w:lang w:val="fr-CA"/>
              </w:rPr>
            </w:pPr>
            <w:r w:rsidRPr="00863FF4">
              <w:rPr>
                <w:rStyle w:val="SCCLsocChar"/>
                <w:sz w:val="20"/>
                <w:szCs w:val="20"/>
              </w:rPr>
              <w:t>Groupe Hexagone, S.E.C. (anciennement Louisbourg SBC, société en commandite) c. Sa Majesté la Reine</w:t>
            </w:r>
            <w:r w:rsidRPr="00863FF4">
              <w:rPr>
                <w:sz w:val="20"/>
                <w:szCs w:val="20"/>
                <w:lang w:val="fr-CA"/>
              </w:rPr>
              <w:t xml:space="preserve"> (C.F.) (Civile) (Autorisation)</w:t>
            </w:r>
          </w:p>
          <w:p w:rsidR="00431E67" w:rsidRPr="00863FF4" w:rsidRDefault="00431E67" w:rsidP="001C2EF3">
            <w:pPr>
              <w:jc w:val="both"/>
              <w:rPr>
                <w:sz w:val="20"/>
                <w:szCs w:val="20"/>
                <w:lang w:val="fr-CA"/>
              </w:rPr>
            </w:pPr>
          </w:p>
        </w:tc>
      </w:tr>
      <w:tr w:rsidR="00431E67" w:rsidRPr="00237788" w:rsidTr="001C2EF3">
        <w:trPr>
          <w:cantSplit/>
        </w:trPr>
        <w:tc>
          <w:tcPr>
            <w:tcW w:w="1458" w:type="dxa"/>
          </w:tcPr>
          <w:p w:rsidR="00431E67" w:rsidRPr="00863FF4" w:rsidRDefault="00431E67" w:rsidP="001C2EF3">
            <w:pPr>
              <w:rPr>
                <w:sz w:val="20"/>
                <w:szCs w:val="20"/>
                <w:lang w:val="fr-CA"/>
              </w:rPr>
            </w:pPr>
            <w:r w:rsidRPr="00863FF4">
              <w:rPr>
                <w:sz w:val="20"/>
                <w:szCs w:val="20"/>
                <w:lang w:val="fr-CA"/>
              </w:rPr>
              <w:t>Coram :</w:t>
            </w:r>
          </w:p>
        </w:tc>
        <w:tc>
          <w:tcPr>
            <w:tcW w:w="8118" w:type="dxa"/>
          </w:tcPr>
          <w:p w:rsidR="00431E67" w:rsidRPr="00863FF4" w:rsidRDefault="00431E67" w:rsidP="001C2EF3">
            <w:pPr>
              <w:rPr>
                <w:sz w:val="20"/>
                <w:szCs w:val="20"/>
                <w:lang w:val="fr-CA"/>
              </w:rPr>
            </w:pPr>
            <w:r w:rsidRPr="00863FF4">
              <w:rPr>
                <w:rStyle w:val="SCCCoramChar"/>
                <w:sz w:val="20"/>
                <w:szCs w:val="20"/>
              </w:rPr>
              <w:t>Les juges LeBel, Karakatsanis et Gascon</w:t>
            </w:r>
          </w:p>
          <w:p w:rsidR="00431E67" w:rsidRPr="00863FF4" w:rsidRDefault="00431E67" w:rsidP="001C2EF3">
            <w:pPr>
              <w:rPr>
                <w:sz w:val="20"/>
                <w:szCs w:val="20"/>
                <w:u w:val="single"/>
                <w:lang w:val="fr-CA"/>
              </w:rPr>
            </w:pPr>
          </w:p>
        </w:tc>
      </w:tr>
      <w:tr w:rsidR="00431E67" w:rsidRPr="00863FF4" w:rsidTr="001C2EF3">
        <w:trPr>
          <w:cantSplit/>
        </w:trPr>
        <w:tc>
          <w:tcPr>
            <w:tcW w:w="9576" w:type="dxa"/>
            <w:gridSpan w:val="2"/>
          </w:tcPr>
          <w:p w:rsidR="00431E67" w:rsidRPr="00863FF4" w:rsidRDefault="00431E67" w:rsidP="001C2EF3">
            <w:pPr>
              <w:pStyle w:val="SCCShortJudgment"/>
              <w:rPr>
                <w:szCs w:val="20"/>
                <w:lang w:val="fr-CA"/>
              </w:rPr>
            </w:pPr>
            <w:r w:rsidRPr="00863FF4">
              <w:rPr>
                <w:szCs w:val="20"/>
                <w:lang w:val="fr-CA"/>
              </w:rPr>
              <w:t>La demande d’autorisation d’appel de l’arrêt de la Cour d’appel fédérale, numéro A-325-13, 2014 CAF 78, daté du 20 mars 2014, est rejetée avec dépens.</w:t>
            </w:r>
          </w:p>
          <w:p w:rsidR="00431E67" w:rsidRPr="00863FF4" w:rsidRDefault="00431E67" w:rsidP="001C2EF3">
            <w:pPr>
              <w:pStyle w:val="SCCShortJudgment"/>
              <w:ind w:firstLine="0"/>
              <w:rPr>
                <w:szCs w:val="20"/>
                <w:lang w:val="fr-CA"/>
              </w:rPr>
            </w:pPr>
          </w:p>
          <w:p w:rsidR="00431E67" w:rsidRPr="00863FF4" w:rsidRDefault="00431E67" w:rsidP="001C2EF3">
            <w:pPr>
              <w:pStyle w:val="SCCShortJudgment"/>
              <w:rPr>
                <w:szCs w:val="20"/>
              </w:rPr>
            </w:pPr>
            <w:r w:rsidRPr="00863FF4">
              <w:rPr>
                <w:szCs w:val="20"/>
              </w:rPr>
              <w:t>The application for leave to appeal from the judgment of the Federal Court of Appeal, Number A-325-13, 2014 FCA 78, dated March 20, 2014, is dismissed with costs.</w:t>
            </w:r>
          </w:p>
        </w:tc>
      </w:tr>
    </w:tbl>
    <w:p w:rsidR="00596881" w:rsidRDefault="00596881" w:rsidP="00596881">
      <w:pPr>
        <w:rPr>
          <w:sz w:val="20"/>
          <w:szCs w:val="20"/>
        </w:rPr>
      </w:pPr>
    </w:p>
    <w:p w:rsidR="00596881" w:rsidRPr="001B157C" w:rsidRDefault="00596881" w:rsidP="00596881">
      <w:pPr>
        <w:rPr>
          <w:sz w:val="20"/>
          <w:szCs w:val="20"/>
          <w:u w:val="single"/>
        </w:rPr>
      </w:pPr>
      <w:r w:rsidRPr="001B157C">
        <w:rPr>
          <w:sz w:val="20"/>
          <w:szCs w:val="20"/>
          <w:u w:val="single"/>
        </w:rPr>
        <w:t>CASE SUMMARY</w:t>
      </w:r>
    </w:p>
    <w:p w:rsidR="00596881" w:rsidRDefault="00596881" w:rsidP="0059688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602B" w:rsidRPr="002279BE" w:rsidTr="00615A51">
        <w:tc>
          <w:tcPr>
            <w:tcW w:w="5000" w:type="pct"/>
            <w:gridSpan w:val="3"/>
          </w:tcPr>
          <w:p w:rsidR="007A602B" w:rsidRPr="002279BE" w:rsidRDefault="007A602B" w:rsidP="00615A51">
            <w:pPr>
              <w:jc w:val="both"/>
              <w:rPr>
                <w:rFonts w:eastAsia="Calibri"/>
                <w:sz w:val="20"/>
              </w:rPr>
            </w:pPr>
            <w:r w:rsidRPr="002279BE">
              <w:rPr>
                <w:rFonts w:eastAsia="Calibri"/>
                <w:sz w:val="20"/>
              </w:rPr>
              <w:t>Taxation — Goods and services tax — Assessment — Objection — Time — Where extension of time sought to object to assessment, manner in which concept of inability to act under s. 304(5)(</w:t>
            </w:r>
            <w:r w:rsidRPr="002279BE">
              <w:rPr>
                <w:rFonts w:eastAsia="Calibri"/>
                <w:i/>
                <w:sz w:val="20"/>
              </w:rPr>
              <w:t>b</w:t>
            </w:r>
            <w:r w:rsidRPr="002279BE">
              <w:rPr>
                <w:rFonts w:eastAsia="Calibri"/>
                <w:sz w:val="20"/>
              </w:rPr>
              <w:t xml:space="preserve">)(i)(A) of </w:t>
            </w:r>
            <w:r w:rsidRPr="002279BE">
              <w:rPr>
                <w:rFonts w:eastAsia="Calibri"/>
                <w:i/>
                <w:sz w:val="20"/>
              </w:rPr>
              <w:t>Excise Tax Act</w:t>
            </w:r>
            <w:r w:rsidRPr="002279BE">
              <w:rPr>
                <w:rFonts w:eastAsia="Calibri"/>
                <w:sz w:val="20"/>
              </w:rPr>
              <w:t>, R.S.C. 1985, c. E-15, should be interpreted in light of presumption under s. 334(1) of that Act that notice of assessment received on day it was mailed — Minimum requirements that must be met by appellate court to overturn trial judge’s findings of fact on standard of palpable and overriding error.</w:t>
            </w:r>
          </w:p>
        </w:tc>
      </w:tr>
      <w:tr w:rsidR="007A602B" w:rsidRPr="002279BE" w:rsidTr="00615A51">
        <w:tc>
          <w:tcPr>
            <w:tcW w:w="5000" w:type="pct"/>
            <w:gridSpan w:val="3"/>
          </w:tcPr>
          <w:p w:rsidR="007A602B" w:rsidRPr="002279BE" w:rsidRDefault="007A602B" w:rsidP="00615A51">
            <w:pPr>
              <w:jc w:val="both"/>
              <w:rPr>
                <w:rFonts w:eastAsia="Calibri"/>
                <w:sz w:val="20"/>
              </w:rPr>
            </w:pPr>
          </w:p>
        </w:tc>
      </w:tr>
      <w:tr w:rsidR="007A602B" w:rsidRPr="002279BE" w:rsidTr="00615A51">
        <w:tc>
          <w:tcPr>
            <w:tcW w:w="5000" w:type="pct"/>
            <w:gridSpan w:val="3"/>
          </w:tcPr>
          <w:p w:rsidR="007A602B" w:rsidRPr="002279BE" w:rsidRDefault="007A602B" w:rsidP="00615A51">
            <w:pPr>
              <w:jc w:val="both"/>
              <w:rPr>
                <w:rFonts w:eastAsia="Calibri"/>
                <w:sz w:val="20"/>
              </w:rPr>
            </w:pPr>
            <w:r w:rsidRPr="002279BE">
              <w:rPr>
                <w:rFonts w:eastAsia="Calibri"/>
                <w:sz w:val="20"/>
              </w:rPr>
              <w:t xml:space="preserve">The applicant Groupe Hexagone applied for an extension of the time for filing a notice of objection against two goods and services tax assessments.  After Revenu Québec refused the application, the applicant applied to the Tax Court of Canada, arguing that it had met all the requirements of s. 304(5) of the </w:t>
            </w:r>
            <w:r w:rsidRPr="002279BE">
              <w:rPr>
                <w:rFonts w:eastAsia="Calibri"/>
                <w:i/>
                <w:sz w:val="20"/>
              </w:rPr>
              <w:t>Excise Tax Act</w:t>
            </w:r>
            <w:r w:rsidRPr="002279BE">
              <w:rPr>
                <w:rFonts w:eastAsia="Calibri"/>
                <w:sz w:val="20"/>
              </w:rPr>
              <w:t xml:space="preserve"> for obtaining an extension.  In particular, it alleged that it had been “unable to act or to give a mandate to act in [its] name” (s. 304(5)(</w:t>
            </w:r>
            <w:r w:rsidRPr="002279BE">
              <w:rPr>
                <w:rFonts w:eastAsia="Calibri"/>
                <w:i/>
                <w:sz w:val="20"/>
              </w:rPr>
              <w:t>b</w:t>
            </w:r>
            <w:r w:rsidRPr="002279BE">
              <w:rPr>
                <w:rFonts w:eastAsia="Calibri"/>
                <w:sz w:val="20"/>
              </w:rPr>
              <w:t>)(i)(A)) for the purpose of objecting to the assessments within the time allowed, since it had never received the notices of assessment.  The respondent submitted that she had proved that the notices of assessment had been mailed, so the applicant was deemed to have received them on the day they were mailed under s. 334(1). The applicant was therefore not unable to act or to give a mandate to act.  The respondent alleged that the testimony of a single representative of the applicant to the effect that he had not personally received the notices of assessment was insufficient to establish an inability to act.</w:t>
            </w:r>
          </w:p>
          <w:p w:rsidR="007A602B" w:rsidRPr="002279BE" w:rsidRDefault="007A602B" w:rsidP="00615A51">
            <w:pPr>
              <w:jc w:val="both"/>
              <w:rPr>
                <w:rFonts w:eastAsia="Calibri"/>
                <w:sz w:val="20"/>
              </w:rPr>
            </w:pPr>
          </w:p>
        </w:tc>
      </w:tr>
      <w:tr w:rsidR="007A602B" w:rsidRPr="002279BE" w:rsidTr="00615A51">
        <w:tc>
          <w:tcPr>
            <w:tcW w:w="2427" w:type="pct"/>
          </w:tcPr>
          <w:p w:rsidR="007A602B" w:rsidRPr="002279BE" w:rsidRDefault="007A602B" w:rsidP="00615A51">
            <w:pPr>
              <w:jc w:val="both"/>
              <w:rPr>
                <w:rFonts w:eastAsia="Calibri"/>
                <w:sz w:val="20"/>
              </w:rPr>
            </w:pPr>
            <w:r w:rsidRPr="002279BE">
              <w:rPr>
                <w:rFonts w:eastAsia="Calibri"/>
                <w:sz w:val="20"/>
              </w:rPr>
              <w:t>August 16, 2013</w:t>
            </w:r>
          </w:p>
          <w:p w:rsidR="007A602B" w:rsidRPr="002279BE" w:rsidRDefault="007A602B" w:rsidP="00615A51">
            <w:pPr>
              <w:jc w:val="both"/>
              <w:rPr>
                <w:rFonts w:eastAsia="Calibri"/>
                <w:sz w:val="20"/>
              </w:rPr>
            </w:pPr>
            <w:r w:rsidRPr="002279BE">
              <w:rPr>
                <w:rFonts w:eastAsia="Calibri"/>
                <w:sz w:val="20"/>
              </w:rPr>
              <w:t>Tax Court of Canada</w:t>
            </w:r>
          </w:p>
          <w:p w:rsidR="007A602B" w:rsidRPr="002279BE" w:rsidRDefault="007A602B" w:rsidP="00615A51">
            <w:pPr>
              <w:jc w:val="both"/>
              <w:rPr>
                <w:rFonts w:eastAsia="Calibri"/>
                <w:sz w:val="20"/>
              </w:rPr>
            </w:pPr>
            <w:r w:rsidRPr="002279BE">
              <w:rPr>
                <w:rFonts w:eastAsia="Calibri"/>
                <w:sz w:val="20"/>
              </w:rPr>
              <w:t>(Masse J.)</w:t>
            </w:r>
          </w:p>
          <w:p w:rsidR="007A602B" w:rsidRPr="002279BE" w:rsidRDefault="007A602B" w:rsidP="00615A51">
            <w:pPr>
              <w:jc w:val="both"/>
              <w:rPr>
                <w:rFonts w:eastAsia="Calibri"/>
                <w:sz w:val="20"/>
              </w:rPr>
            </w:pPr>
          </w:p>
        </w:tc>
        <w:tc>
          <w:tcPr>
            <w:tcW w:w="243" w:type="pct"/>
          </w:tcPr>
          <w:p w:rsidR="007A602B" w:rsidRPr="002279BE" w:rsidRDefault="007A602B" w:rsidP="00615A51">
            <w:pPr>
              <w:jc w:val="both"/>
              <w:rPr>
                <w:rFonts w:eastAsia="Calibri"/>
                <w:sz w:val="20"/>
              </w:rPr>
            </w:pPr>
          </w:p>
        </w:tc>
        <w:tc>
          <w:tcPr>
            <w:tcW w:w="2330" w:type="pct"/>
          </w:tcPr>
          <w:p w:rsidR="007A602B" w:rsidRPr="002279BE" w:rsidRDefault="007A602B" w:rsidP="00615A51">
            <w:pPr>
              <w:jc w:val="both"/>
              <w:rPr>
                <w:rFonts w:eastAsia="Calibri"/>
                <w:sz w:val="20"/>
              </w:rPr>
            </w:pPr>
            <w:r w:rsidRPr="002279BE">
              <w:rPr>
                <w:rFonts w:eastAsia="Calibri"/>
                <w:sz w:val="20"/>
              </w:rPr>
              <w:t>Application for extension of time concerning two notices of objection allowed</w:t>
            </w:r>
          </w:p>
        </w:tc>
      </w:tr>
      <w:tr w:rsidR="007A602B" w:rsidRPr="002279BE" w:rsidTr="00615A51">
        <w:tc>
          <w:tcPr>
            <w:tcW w:w="2427" w:type="pct"/>
          </w:tcPr>
          <w:p w:rsidR="007A602B" w:rsidRPr="002279BE" w:rsidRDefault="007A602B" w:rsidP="00615A51">
            <w:pPr>
              <w:jc w:val="both"/>
              <w:rPr>
                <w:rFonts w:eastAsia="Calibri"/>
                <w:sz w:val="20"/>
              </w:rPr>
            </w:pPr>
            <w:r w:rsidRPr="002279BE">
              <w:rPr>
                <w:rFonts w:eastAsia="Calibri"/>
                <w:sz w:val="20"/>
              </w:rPr>
              <w:lastRenderedPageBreak/>
              <w:t>March 20, 2014</w:t>
            </w:r>
          </w:p>
          <w:p w:rsidR="007A602B" w:rsidRPr="002279BE" w:rsidRDefault="007A602B" w:rsidP="00615A51">
            <w:pPr>
              <w:jc w:val="both"/>
              <w:rPr>
                <w:rFonts w:eastAsia="Calibri"/>
                <w:sz w:val="20"/>
              </w:rPr>
            </w:pPr>
            <w:r w:rsidRPr="002279BE">
              <w:rPr>
                <w:rFonts w:eastAsia="Calibri"/>
                <w:sz w:val="20"/>
              </w:rPr>
              <w:t>Federal Court of Appeal</w:t>
            </w:r>
          </w:p>
          <w:p w:rsidR="007A602B" w:rsidRPr="002279BE" w:rsidRDefault="007A602B" w:rsidP="00615A51">
            <w:pPr>
              <w:jc w:val="both"/>
              <w:rPr>
                <w:rFonts w:eastAsia="Calibri"/>
                <w:sz w:val="20"/>
              </w:rPr>
            </w:pPr>
            <w:r w:rsidRPr="002279BE">
              <w:rPr>
                <w:rFonts w:eastAsia="Calibri"/>
                <w:sz w:val="20"/>
              </w:rPr>
              <w:t>(Blais C.J. and Gauthier and Mainville JJ.A.)</w:t>
            </w:r>
          </w:p>
          <w:p w:rsidR="007A602B" w:rsidRPr="002279BE" w:rsidRDefault="00237788" w:rsidP="00615A51">
            <w:pPr>
              <w:jc w:val="both"/>
              <w:rPr>
                <w:rFonts w:eastAsia="Calibri"/>
                <w:sz w:val="20"/>
              </w:rPr>
            </w:pPr>
            <w:hyperlink r:id="rId29" w:history="1">
              <w:r w:rsidR="007A602B" w:rsidRPr="002279BE">
                <w:rPr>
                  <w:rFonts w:eastAsia="Calibri"/>
                  <w:color w:val="0000FF"/>
                  <w:sz w:val="20"/>
                  <w:u w:val="single"/>
                </w:rPr>
                <w:t>2014 FCA 78</w:t>
              </w:r>
            </w:hyperlink>
          </w:p>
          <w:p w:rsidR="007A602B" w:rsidRPr="002279BE" w:rsidRDefault="007A602B" w:rsidP="00615A51">
            <w:pPr>
              <w:jc w:val="both"/>
              <w:rPr>
                <w:rFonts w:eastAsia="Calibri"/>
                <w:sz w:val="20"/>
              </w:rPr>
            </w:pPr>
          </w:p>
        </w:tc>
        <w:tc>
          <w:tcPr>
            <w:tcW w:w="243" w:type="pct"/>
          </w:tcPr>
          <w:p w:rsidR="007A602B" w:rsidRPr="002279BE" w:rsidRDefault="007A602B" w:rsidP="00615A51">
            <w:pPr>
              <w:jc w:val="both"/>
              <w:rPr>
                <w:rFonts w:eastAsia="Calibri"/>
                <w:sz w:val="20"/>
              </w:rPr>
            </w:pPr>
          </w:p>
        </w:tc>
        <w:tc>
          <w:tcPr>
            <w:tcW w:w="2330" w:type="pct"/>
          </w:tcPr>
          <w:p w:rsidR="007A602B" w:rsidRPr="002279BE" w:rsidRDefault="007A602B" w:rsidP="00615A51">
            <w:pPr>
              <w:jc w:val="both"/>
              <w:rPr>
                <w:rFonts w:eastAsia="Calibri"/>
                <w:sz w:val="20"/>
              </w:rPr>
            </w:pPr>
            <w:r w:rsidRPr="002279BE">
              <w:rPr>
                <w:rFonts w:eastAsia="Calibri"/>
                <w:sz w:val="20"/>
              </w:rPr>
              <w:t>Appeal allowed and application for extension of time dismissed</w:t>
            </w:r>
          </w:p>
        </w:tc>
      </w:tr>
      <w:tr w:rsidR="007A602B" w:rsidRPr="002279BE" w:rsidTr="00615A51">
        <w:tc>
          <w:tcPr>
            <w:tcW w:w="2427" w:type="pct"/>
          </w:tcPr>
          <w:p w:rsidR="007A602B" w:rsidRPr="002279BE" w:rsidRDefault="007A602B" w:rsidP="00615A51">
            <w:pPr>
              <w:jc w:val="both"/>
              <w:rPr>
                <w:rFonts w:eastAsia="Calibri"/>
                <w:sz w:val="20"/>
              </w:rPr>
            </w:pPr>
            <w:r w:rsidRPr="002279BE">
              <w:rPr>
                <w:rFonts w:eastAsia="Calibri"/>
                <w:sz w:val="20"/>
              </w:rPr>
              <w:t>May 20, 2014</w:t>
            </w:r>
          </w:p>
          <w:p w:rsidR="007A602B" w:rsidRPr="002279BE" w:rsidRDefault="007A602B" w:rsidP="00615A51">
            <w:pPr>
              <w:jc w:val="both"/>
              <w:rPr>
                <w:rFonts w:eastAsia="Calibri"/>
                <w:sz w:val="20"/>
              </w:rPr>
            </w:pPr>
            <w:r w:rsidRPr="002279BE">
              <w:rPr>
                <w:rFonts w:eastAsia="Calibri"/>
                <w:sz w:val="20"/>
              </w:rPr>
              <w:t>Supreme Court of Canada</w:t>
            </w:r>
          </w:p>
        </w:tc>
        <w:tc>
          <w:tcPr>
            <w:tcW w:w="243" w:type="pct"/>
          </w:tcPr>
          <w:p w:rsidR="007A602B" w:rsidRPr="002279BE" w:rsidRDefault="007A602B" w:rsidP="00615A51">
            <w:pPr>
              <w:jc w:val="both"/>
              <w:rPr>
                <w:rFonts w:eastAsia="Calibri"/>
                <w:sz w:val="20"/>
              </w:rPr>
            </w:pPr>
          </w:p>
        </w:tc>
        <w:tc>
          <w:tcPr>
            <w:tcW w:w="2330" w:type="pct"/>
          </w:tcPr>
          <w:p w:rsidR="007A602B" w:rsidRPr="002279BE" w:rsidRDefault="007A602B" w:rsidP="00615A51">
            <w:pPr>
              <w:jc w:val="both"/>
              <w:rPr>
                <w:rFonts w:eastAsia="Calibri"/>
                <w:sz w:val="20"/>
              </w:rPr>
            </w:pPr>
            <w:r w:rsidRPr="002279BE">
              <w:rPr>
                <w:rFonts w:eastAsia="Calibri"/>
                <w:sz w:val="20"/>
              </w:rPr>
              <w:t>Application for leave to appeal filed</w:t>
            </w:r>
          </w:p>
        </w:tc>
      </w:tr>
    </w:tbl>
    <w:p w:rsidR="00596881" w:rsidRDefault="00596881" w:rsidP="00596881">
      <w:pPr>
        <w:rPr>
          <w:sz w:val="20"/>
          <w:szCs w:val="20"/>
        </w:rPr>
      </w:pPr>
    </w:p>
    <w:p w:rsidR="00596881" w:rsidRPr="00C50A5C" w:rsidRDefault="00237788" w:rsidP="00596881">
      <w:pPr>
        <w:rPr>
          <w:sz w:val="20"/>
          <w:szCs w:val="20"/>
        </w:rPr>
      </w:pPr>
      <w:r>
        <w:rPr>
          <w:sz w:val="20"/>
          <w:szCs w:val="20"/>
          <w:lang w:val="fr-CA"/>
        </w:rPr>
        <w:pict>
          <v:rect id="_x0000_i1048" style="width:2in;height:1pt" o:hrpct="0" o:hralign="center" o:hrstd="t" o:hrnoshade="t" o:hr="t" fillcolor="black [3213]" stroked="f"/>
        </w:pict>
      </w:r>
    </w:p>
    <w:p w:rsidR="00596881" w:rsidRDefault="00596881" w:rsidP="00596881">
      <w:pPr>
        <w:rPr>
          <w:sz w:val="20"/>
          <w:szCs w:val="20"/>
        </w:rPr>
      </w:pPr>
    </w:p>
    <w:p w:rsidR="00596881" w:rsidRPr="001B157C" w:rsidRDefault="00596881" w:rsidP="00596881">
      <w:pPr>
        <w:rPr>
          <w:sz w:val="20"/>
          <w:szCs w:val="20"/>
          <w:u w:val="single"/>
          <w:lang w:val="fr-CA"/>
        </w:rPr>
      </w:pPr>
      <w:r w:rsidRPr="001B157C">
        <w:rPr>
          <w:sz w:val="20"/>
          <w:szCs w:val="20"/>
          <w:u w:val="single"/>
          <w:lang w:val="fr-CA"/>
        </w:rPr>
        <w:t>RÉSUMÉ DE L’AFFAIRE</w:t>
      </w:r>
    </w:p>
    <w:p w:rsidR="00596881" w:rsidRDefault="00596881" w:rsidP="0059688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602B" w:rsidRPr="00237788" w:rsidTr="00615A51">
        <w:tc>
          <w:tcPr>
            <w:tcW w:w="5000" w:type="pct"/>
            <w:gridSpan w:val="3"/>
          </w:tcPr>
          <w:p w:rsidR="007A602B" w:rsidRPr="002279BE" w:rsidRDefault="007A602B" w:rsidP="00615A51">
            <w:pPr>
              <w:jc w:val="both"/>
              <w:rPr>
                <w:rFonts w:eastAsia="Calibri"/>
                <w:sz w:val="20"/>
                <w:lang w:val="fr-CA"/>
              </w:rPr>
            </w:pPr>
            <w:r w:rsidRPr="002279BE">
              <w:rPr>
                <w:rFonts w:eastAsia="Calibri"/>
                <w:sz w:val="20"/>
                <w:lang w:val="fr-CA"/>
              </w:rPr>
              <w:t xml:space="preserve">Droit fiscal — Taxe sur les produits et services — Cotisation — Opposition — Délais — Comment le concept d’impossibilité d’agir au sens de l’art. 304(5)b)(i) de la </w:t>
            </w:r>
            <w:r w:rsidRPr="002279BE">
              <w:rPr>
                <w:rFonts w:eastAsia="Calibri"/>
                <w:i/>
                <w:sz w:val="20"/>
                <w:lang w:val="fr-CA"/>
              </w:rPr>
              <w:t>Loi sur la taxe d’accise</w:t>
            </w:r>
            <w:r w:rsidRPr="002279BE">
              <w:rPr>
                <w:rFonts w:eastAsia="Calibri"/>
                <w:sz w:val="20"/>
                <w:lang w:val="fr-CA"/>
              </w:rPr>
              <w:t>, L.R.C. 1985, ch. E-15, en matière de prorogation de délai d’opposition à une cotisation doit-il être interprété en regard de la présomption de réception d’un avis de cotisation à la date de sa mise à la poste en application de l’art. 334(1) de cette loi? — Quelles sont les exigences minimales que doit respecter une Cour d’appel pour écarter les conclusions de fait d’un juge de première instance en application de la norme d’erreur manifeste et dominante?</w:t>
            </w:r>
          </w:p>
        </w:tc>
      </w:tr>
      <w:tr w:rsidR="007A602B" w:rsidRPr="00237788" w:rsidTr="00615A51">
        <w:tc>
          <w:tcPr>
            <w:tcW w:w="5000" w:type="pct"/>
            <w:gridSpan w:val="3"/>
          </w:tcPr>
          <w:p w:rsidR="007A602B" w:rsidRPr="002279BE" w:rsidRDefault="007A602B" w:rsidP="00615A51">
            <w:pPr>
              <w:jc w:val="both"/>
              <w:rPr>
                <w:rFonts w:eastAsia="Calibri"/>
                <w:sz w:val="20"/>
                <w:lang w:val="fr-CA"/>
              </w:rPr>
            </w:pPr>
          </w:p>
        </w:tc>
      </w:tr>
      <w:tr w:rsidR="007A602B" w:rsidRPr="00237788" w:rsidTr="00615A51">
        <w:tc>
          <w:tcPr>
            <w:tcW w:w="5000" w:type="pct"/>
            <w:gridSpan w:val="3"/>
          </w:tcPr>
          <w:p w:rsidR="007A602B" w:rsidRPr="002279BE" w:rsidRDefault="007A602B" w:rsidP="00615A51">
            <w:pPr>
              <w:jc w:val="both"/>
              <w:rPr>
                <w:rFonts w:eastAsia="Calibri"/>
                <w:sz w:val="20"/>
                <w:lang w:val="fr-CA"/>
              </w:rPr>
            </w:pPr>
            <w:r w:rsidRPr="002279BE">
              <w:rPr>
                <w:rFonts w:eastAsia="Calibri"/>
                <w:sz w:val="20"/>
                <w:lang w:val="fr-CA"/>
              </w:rPr>
              <w:t xml:space="preserve">La demanderesse Groupe Hexagone a présenté une demande de prorogation de délai pour produire un avis d’opposition à l’encontre de deux cotisations de taxe sur les produits et services.  Suite au rejet de la demande par Revenu Québec, la demanderesse s’est adressée à la Cour canadienne de l’impôt en prétendant qu’elle a rempli toutes les conditions de l’art. 304(5) de la </w:t>
            </w:r>
            <w:r w:rsidRPr="002279BE">
              <w:rPr>
                <w:rFonts w:eastAsia="Calibri"/>
                <w:i/>
                <w:sz w:val="20"/>
                <w:lang w:val="fr-CA"/>
              </w:rPr>
              <w:t>Loi sur la taxe d’accise</w:t>
            </w:r>
            <w:r w:rsidRPr="002279BE">
              <w:rPr>
                <w:rFonts w:eastAsia="Calibri"/>
                <w:sz w:val="20"/>
                <w:lang w:val="fr-CA"/>
              </w:rPr>
              <w:t xml:space="preserve"> pour obtenir une prorogation.  Plus particulièrement, elle allègue qu’ « elle n’a pu ni agir ni mandater quelqu’un pour agir en son nom » (art. 304(5)b)(i)) en vue de s’opposer aux cotisations dans le délai imparti puisqu’elle n’a jamais reçu les avis de cotisation.  L’intimée soumet qu’elle a fait la preuve de la mise à la poste des avis de cotisation et donc la demanderesse est réputée les avoir reçus à la date de leur mise à la poste en application de l’art. 334(1).  Elle n’était donc pas dans l’impossibilité d’agir ou de mandater quelqu’un pour agir.  L’intimée allègue que le témoignage d’un seul représentant de la demanderesse voulant qu’il n’ait pas personnellement reçu les avis de cotisation est insuffisant pour établir une impossibilité d’agir.</w:t>
            </w:r>
          </w:p>
          <w:p w:rsidR="007A602B" w:rsidRPr="002279BE" w:rsidRDefault="007A602B" w:rsidP="00615A51">
            <w:pPr>
              <w:jc w:val="both"/>
              <w:rPr>
                <w:rFonts w:eastAsia="Calibri"/>
                <w:sz w:val="20"/>
                <w:lang w:val="fr-CA"/>
              </w:rPr>
            </w:pPr>
          </w:p>
        </w:tc>
      </w:tr>
      <w:tr w:rsidR="007A602B" w:rsidRPr="00237788" w:rsidTr="00615A51">
        <w:tc>
          <w:tcPr>
            <w:tcW w:w="2427" w:type="pct"/>
          </w:tcPr>
          <w:p w:rsidR="007A602B" w:rsidRPr="002279BE" w:rsidRDefault="007A602B" w:rsidP="00615A51">
            <w:pPr>
              <w:jc w:val="both"/>
              <w:rPr>
                <w:rFonts w:eastAsia="Calibri"/>
                <w:sz w:val="20"/>
                <w:lang w:val="fr-CA"/>
              </w:rPr>
            </w:pPr>
            <w:r w:rsidRPr="002279BE">
              <w:rPr>
                <w:rFonts w:eastAsia="Calibri"/>
                <w:sz w:val="20"/>
                <w:lang w:val="fr-CA"/>
              </w:rPr>
              <w:t>Le 16 août 2013</w:t>
            </w:r>
          </w:p>
          <w:p w:rsidR="007A602B" w:rsidRPr="002279BE" w:rsidRDefault="007A602B" w:rsidP="00615A51">
            <w:pPr>
              <w:jc w:val="both"/>
              <w:rPr>
                <w:rFonts w:eastAsia="Calibri"/>
                <w:sz w:val="20"/>
                <w:lang w:val="fr-CA"/>
              </w:rPr>
            </w:pPr>
            <w:r w:rsidRPr="002279BE">
              <w:rPr>
                <w:rFonts w:eastAsia="Calibri"/>
                <w:sz w:val="20"/>
                <w:lang w:val="fr-CA"/>
              </w:rPr>
              <w:t>Cour canadienne de l’impôt</w:t>
            </w:r>
          </w:p>
          <w:p w:rsidR="007A602B" w:rsidRPr="002279BE" w:rsidRDefault="007A602B" w:rsidP="00615A51">
            <w:pPr>
              <w:jc w:val="both"/>
              <w:rPr>
                <w:rFonts w:eastAsia="Calibri"/>
                <w:sz w:val="20"/>
                <w:lang w:val="fr-CA"/>
              </w:rPr>
            </w:pPr>
            <w:r w:rsidRPr="002279BE">
              <w:rPr>
                <w:rFonts w:eastAsia="Calibri"/>
                <w:sz w:val="20"/>
                <w:lang w:val="fr-CA"/>
              </w:rPr>
              <w:t>(Le juge Masse)</w:t>
            </w:r>
          </w:p>
          <w:p w:rsidR="007A602B" w:rsidRPr="002279BE" w:rsidRDefault="007A602B" w:rsidP="00615A51">
            <w:pPr>
              <w:jc w:val="both"/>
              <w:rPr>
                <w:rFonts w:eastAsia="Calibri"/>
                <w:sz w:val="20"/>
              </w:rPr>
            </w:pPr>
          </w:p>
        </w:tc>
        <w:tc>
          <w:tcPr>
            <w:tcW w:w="243" w:type="pct"/>
          </w:tcPr>
          <w:p w:rsidR="007A602B" w:rsidRPr="002279BE" w:rsidRDefault="007A602B" w:rsidP="00615A51">
            <w:pPr>
              <w:jc w:val="both"/>
              <w:rPr>
                <w:rFonts w:eastAsia="Calibri"/>
                <w:sz w:val="20"/>
              </w:rPr>
            </w:pPr>
          </w:p>
        </w:tc>
        <w:tc>
          <w:tcPr>
            <w:tcW w:w="2330" w:type="pct"/>
          </w:tcPr>
          <w:p w:rsidR="007A602B" w:rsidRPr="002279BE" w:rsidRDefault="007A602B" w:rsidP="00615A51">
            <w:pPr>
              <w:jc w:val="both"/>
              <w:rPr>
                <w:rFonts w:eastAsia="Calibri"/>
                <w:sz w:val="20"/>
                <w:lang w:val="fr-CA"/>
              </w:rPr>
            </w:pPr>
            <w:r w:rsidRPr="002279BE">
              <w:rPr>
                <w:rFonts w:eastAsia="Calibri"/>
                <w:sz w:val="20"/>
                <w:lang w:val="fr-CA"/>
              </w:rPr>
              <w:t>Demande de prorogation de délai relative à deux avis d’opposition accordée</w:t>
            </w:r>
          </w:p>
        </w:tc>
      </w:tr>
      <w:tr w:rsidR="007A602B" w:rsidRPr="00237788" w:rsidTr="00615A51">
        <w:tc>
          <w:tcPr>
            <w:tcW w:w="2427" w:type="pct"/>
          </w:tcPr>
          <w:p w:rsidR="007A602B" w:rsidRPr="002279BE" w:rsidRDefault="007A602B" w:rsidP="00615A51">
            <w:pPr>
              <w:jc w:val="both"/>
              <w:rPr>
                <w:rFonts w:eastAsia="Calibri"/>
                <w:sz w:val="20"/>
                <w:lang w:val="fr-CA"/>
              </w:rPr>
            </w:pPr>
            <w:r w:rsidRPr="002279BE">
              <w:rPr>
                <w:rFonts w:eastAsia="Calibri"/>
                <w:sz w:val="20"/>
                <w:lang w:val="fr-CA"/>
              </w:rPr>
              <w:t>Le 20 mars 2014</w:t>
            </w:r>
          </w:p>
          <w:p w:rsidR="007A602B" w:rsidRPr="002279BE" w:rsidRDefault="007A602B" w:rsidP="00615A51">
            <w:pPr>
              <w:jc w:val="both"/>
              <w:rPr>
                <w:rFonts w:eastAsia="Calibri"/>
                <w:sz w:val="20"/>
                <w:lang w:val="fr-CA"/>
              </w:rPr>
            </w:pPr>
            <w:r w:rsidRPr="002279BE">
              <w:rPr>
                <w:rFonts w:eastAsia="Calibri"/>
                <w:sz w:val="20"/>
                <w:lang w:val="fr-CA"/>
              </w:rPr>
              <w:t>Cour d’appel fédérale</w:t>
            </w:r>
          </w:p>
          <w:p w:rsidR="007A602B" w:rsidRPr="002279BE" w:rsidRDefault="007A602B" w:rsidP="00615A51">
            <w:pPr>
              <w:jc w:val="both"/>
              <w:rPr>
                <w:rFonts w:eastAsia="Calibri"/>
                <w:sz w:val="20"/>
                <w:lang w:val="fr-CA"/>
              </w:rPr>
            </w:pPr>
            <w:r w:rsidRPr="002279BE">
              <w:rPr>
                <w:rFonts w:eastAsia="Calibri"/>
                <w:sz w:val="20"/>
                <w:lang w:val="fr-CA"/>
              </w:rPr>
              <w:t>(Le juge en chef Blais et les juges Gauthier et Mainville)</w:t>
            </w:r>
          </w:p>
          <w:p w:rsidR="007A602B" w:rsidRPr="002279BE" w:rsidRDefault="00237788" w:rsidP="00615A51">
            <w:pPr>
              <w:jc w:val="both"/>
              <w:rPr>
                <w:rFonts w:eastAsia="Calibri"/>
                <w:sz w:val="20"/>
                <w:lang w:val="fr-CA"/>
              </w:rPr>
            </w:pPr>
            <w:hyperlink r:id="rId30" w:history="1">
              <w:r w:rsidR="007A602B" w:rsidRPr="002279BE">
                <w:rPr>
                  <w:rFonts w:eastAsia="Calibri"/>
                  <w:color w:val="0000FF"/>
                  <w:sz w:val="20"/>
                  <w:u w:val="single"/>
                  <w:lang w:val="fr-CA"/>
                </w:rPr>
                <w:t>2014 CAF 78</w:t>
              </w:r>
            </w:hyperlink>
          </w:p>
          <w:p w:rsidR="007A602B" w:rsidRPr="002279BE" w:rsidRDefault="007A602B" w:rsidP="00615A51">
            <w:pPr>
              <w:jc w:val="both"/>
              <w:rPr>
                <w:rFonts w:eastAsia="Calibri"/>
                <w:sz w:val="20"/>
                <w:lang w:val="fr-CA"/>
              </w:rPr>
            </w:pPr>
          </w:p>
        </w:tc>
        <w:tc>
          <w:tcPr>
            <w:tcW w:w="243" w:type="pct"/>
          </w:tcPr>
          <w:p w:rsidR="007A602B" w:rsidRPr="002279BE" w:rsidRDefault="007A602B" w:rsidP="00615A51">
            <w:pPr>
              <w:jc w:val="both"/>
              <w:rPr>
                <w:rFonts w:eastAsia="Calibri"/>
                <w:sz w:val="20"/>
                <w:lang w:val="fr-CA"/>
              </w:rPr>
            </w:pPr>
          </w:p>
        </w:tc>
        <w:tc>
          <w:tcPr>
            <w:tcW w:w="2330" w:type="pct"/>
          </w:tcPr>
          <w:p w:rsidR="007A602B" w:rsidRPr="002279BE" w:rsidRDefault="007A602B" w:rsidP="00615A51">
            <w:pPr>
              <w:jc w:val="both"/>
              <w:rPr>
                <w:rFonts w:eastAsia="Calibri"/>
                <w:sz w:val="20"/>
                <w:lang w:val="fr-CA"/>
              </w:rPr>
            </w:pPr>
            <w:r w:rsidRPr="002279BE">
              <w:rPr>
                <w:rFonts w:eastAsia="Calibri"/>
                <w:sz w:val="20"/>
                <w:lang w:val="fr-CA"/>
              </w:rPr>
              <w:t>Appel accueilli et demande de prorogation de délai rejetée</w:t>
            </w:r>
          </w:p>
        </w:tc>
      </w:tr>
      <w:tr w:rsidR="007A602B" w:rsidRPr="002279BE" w:rsidTr="00615A51">
        <w:tc>
          <w:tcPr>
            <w:tcW w:w="2427" w:type="pct"/>
          </w:tcPr>
          <w:p w:rsidR="007A602B" w:rsidRPr="002279BE" w:rsidRDefault="007A602B" w:rsidP="00615A51">
            <w:pPr>
              <w:jc w:val="both"/>
              <w:rPr>
                <w:rFonts w:eastAsia="Calibri"/>
                <w:sz w:val="20"/>
                <w:lang w:val="fr-CA"/>
              </w:rPr>
            </w:pPr>
            <w:r w:rsidRPr="002279BE">
              <w:rPr>
                <w:rFonts w:eastAsia="Calibri"/>
                <w:sz w:val="20"/>
                <w:lang w:val="fr-CA"/>
              </w:rPr>
              <w:t>Le 20 mai 2014</w:t>
            </w:r>
          </w:p>
          <w:p w:rsidR="007A602B" w:rsidRPr="002279BE" w:rsidRDefault="007A602B" w:rsidP="00615A51">
            <w:pPr>
              <w:jc w:val="both"/>
              <w:rPr>
                <w:rFonts w:eastAsia="Calibri"/>
                <w:sz w:val="20"/>
                <w:lang w:val="fr-CA"/>
              </w:rPr>
            </w:pPr>
            <w:r w:rsidRPr="002279BE">
              <w:rPr>
                <w:rFonts w:eastAsia="Calibri"/>
                <w:sz w:val="20"/>
                <w:lang w:val="fr-CA"/>
              </w:rPr>
              <w:t>Cour suprême du Canada</w:t>
            </w:r>
          </w:p>
        </w:tc>
        <w:tc>
          <w:tcPr>
            <w:tcW w:w="243" w:type="pct"/>
          </w:tcPr>
          <w:p w:rsidR="007A602B" w:rsidRPr="002279BE" w:rsidRDefault="007A602B" w:rsidP="00615A51">
            <w:pPr>
              <w:jc w:val="both"/>
              <w:rPr>
                <w:rFonts w:eastAsia="Calibri"/>
                <w:sz w:val="20"/>
                <w:lang w:val="fr-CA"/>
              </w:rPr>
            </w:pPr>
          </w:p>
        </w:tc>
        <w:tc>
          <w:tcPr>
            <w:tcW w:w="2330" w:type="pct"/>
          </w:tcPr>
          <w:p w:rsidR="007A602B" w:rsidRPr="002279BE" w:rsidRDefault="007A602B" w:rsidP="00615A51">
            <w:pPr>
              <w:jc w:val="both"/>
              <w:rPr>
                <w:rFonts w:eastAsia="Calibri"/>
                <w:sz w:val="20"/>
                <w:lang w:val="fr-CA"/>
              </w:rPr>
            </w:pPr>
            <w:r w:rsidRPr="002279BE">
              <w:rPr>
                <w:rFonts w:eastAsia="Calibri"/>
                <w:sz w:val="20"/>
                <w:lang w:val="fr-CA"/>
              </w:rPr>
              <w:t>Demande d’autorisation d’appel déposée</w:t>
            </w:r>
          </w:p>
        </w:tc>
      </w:tr>
    </w:tbl>
    <w:p w:rsidR="00596881" w:rsidRDefault="00596881" w:rsidP="00596881">
      <w:pPr>
        <w:rPr>
          <w:sz w:val="20"/>
          <w:szCs w:val="20"/>
        </w:rPr>
      </w:pPr>
    </w:p>
    <w:p w:rsidR="00596881" w:rsidRDefault="00237788" w:rsidP="00596881">
      <w:pPr>
        <w:rPr>
          <w:sz w:val="20"/>
          <w:szCs w:val="20"/>
          <w:lang w:val="fr-CA"/>
        </w:rPr>
      </w:pPr>
      <w:r>
        <w:rPr>
          <w:sz w:val="20"/>
          <w:szCs w:val="20"/>
          <w:lang w:val="fr-CA"/>
        </w:rPr>
        <w:pict>
          <v:rect id="_x0000_i1049" style="width:2in;height:1pt" o:hrpct="0" o:hralign="center" o:hrstd="t" o:hrnoshade="t" o:hr="t" fillcolor="black [3213]" stroked="f"/>
        </w:pict>
      </w:r>
    </w:p>
    <w:p w:rsidR="00596881" w:rsidRDefault="00596881" w:rsidP="00596881">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31E67" w:rsidRPr="00237788" w:rsidTr="001C2EF3">
        <w:trPr>
          <w:cantSplit/>
        </w:trPr>
        <w:tc>
          <w:tcPr>
            <w:tcW w:w="1458" w:type="dxa"/>
          </w:tcPr>
          <w:p w:rsidR="00431E67" w:rsidRPr="00863FF4" w:rsidRDefault="00431E67" w:rsidP="001C2EF3">
            <w:pPr>
              <w:rPr>
                <w:sz w:val="20"/>
                <w:szCs w:val="20"/>
              </w:rPr>
            </w:pPr>
            <w:r w:rsidRPr="00863FF4">
              <w:rPr>
                <w:rStyle w:val="SCCFileNumberChar"/>
                <w:sz w:val="20"/>
                <w:szCs w:val="20"/>
              </w:rPr>
              <w:t>36005</w:t>
            </w:r>
          </w:p>
          <w:p w:rsidR="00431E67" w:rsidRPr="00863FF4" w:rsidRDefault="00431E67" w:rsidP="001C2EF3">
            <w:pPr>
              <w:rPr>
                <w:b/>
                <w:sz w:val="20"/>
                <w:szCs w:val="20"/>
                <w:lang w:val="fr-CA"/>
              </w:rPr>
            </w:pPr>
          </w:p>
        </w:tc>
        <w:tc>
          <w:tcPr>
            <w:tcW w:w="8118" w:type="dxa"/>
          </w:tcPr>
          <w:p w:rsidR="00431E67" w:rsidRPr="00863FF4" w:rsidRDefault="00431E67" w:rsidP="001C2EF3">
            <w:pPr>
              <w:rPr>
                <w:sz w:val="20"/>
                <w:szCs w:val="20"/>
                <w:lang w:val="fr-CA"/>
              </w:rPr>
            </w:pPr>
            <w:r w:rsidRPr="00863FF4">
              <w:rPr>
                <w:rStyle w:val="SCCLsocChar"/>
                <w:sz w:val="20"/>
                <w:szCs w:val="20"/>
              </w:rPr>
              <w:t>Stephen Goldman c. Jacques Houle</w:t>
            </w:r>
            <w:r w:rsidRPr="00863FF4">
              <w:rPr>
                <w:sz w:val="20"/>
                <w:szCs w:val="20"/>
                <w:lang w:val="fr-CA"/>
              </w:rPr>
              <w:t xml:space="preserve"> (Qc) (Civile) (Autorisation)</w:t>
            </w:r>
          </w:p>
          <w:p w:rsidR="00431E67" w:rsidRPr="00863FF4" w:rsidRDefault="00431E67" w:rsidP="001C2EF3">
            <w:pPr>
              <w:rPr>
                <w:sz w:val="20"/>
                <w:szCs w:val="20"/>
                <w:lang w:val="fr-CA"/>
              </w:rPr>
            </w:pPr>
          </w:p>
        </w:tc>
      </w:tr>
      <w:tr w:rsidR="00431E67" w:rsidRPr="00237788" w:rsidTr="001C2EF3">
        <w:trPr>
          <w:cantSplit/>
        </w:trPr>
        <w:tc>
          <w:tcPr>
            <w:tcW w:w="1458" w:type="dxa"/>
          </w:tcPr>
          <w:p w:rsidR="00431E67" w:rsidRPr="00863FF4" w:rsidRDefault="00431E67" w:rsidP="001C2EF3">
            <w:pPr>
              <w:rPr>
                <w:sz w:val="20"/>
                <w:szCs w:val="20"/>
              </w:rPr>
            </w:pPr>
            <w:r w:rsidRPr="00863FF4">
              <w:rPr>
                <w:sz w:val="20"/>
                <w:szCs w:val="20"/>
              </w:rPr>
              <w:t>Coram :</w:t>
            </w:r>
          </w:p>
        </w:tc>
        <w:tc>
          <w:tcPr>
            <w:tcW w:w="8118" w:type="dxa"/>
          </w:tcPr>
          <w:p w:rsidR="00431E67" w:rsidRPr="00863FF4" w:rsidRDefault="00431E67" w:rsidP="001C2EF3">
            <w:pPr>
              <w:rPr>
                <w:sz w:val="20"/>
                <w:szCs w:val="20"/>
                <w:lang w:val="fr-CA"/>
              </w:rPr>
            </w:pPr>
            <w:r w:rsidRPr="00863FF4">
              <w:rPr>
                <w:rStyle w:val="SCCCoramChar"/>
                <w:sz w:val="20"/>
                <w:szCs w:val="20"/>
              </w:rPr>
              <w:t>Les juges LeBel, Karakatsanis et Gascon</w:t>
            </w:r>
          </w:p>
          <w:p w:rsidR="00431E67" w:rsidRPr="00863FF4" w:rsidRDefault="00431E67" w:rsidP="001C2EF3">
            <w:pPr>
              <w:rPr>
                <w:sz w:val="20"/>
                <w:szCs w:val="20"/>
                <w:u w:val="single"/>
                <w:lang w:val="fr-CA"/>
              </w:rPr>
            </w:pPr>
          </w:p>
        </w:tc>
      </w:tr>
      <w:tr w:rsidR="00431E67" w:rsidRPr="00863FF4" w:rsidTr="001C2EF3">
        <w:trPr>
          <w:cantSplit/>
        </w:trPr>
        <w:tc>
          <w:tcPr>
            <w:tcW w:w="9576" w:type="dxa"/>
            <w:gridSpan w:val="2"/>
          </w:tcPr>
          <w:p w:rsidR="00431E67" w:rsidRPr="00863FF4" w:rsidRDefault="00431E67" w:rsidP="001C2EF3">
            <w:pPr>
              <w:pStyle w:val="SCCShortJudgment"/>
              <w:rPr>
                <w:szCs w:val="20"/>
                <w:lang w:val="fr-CA"/>
              </w:rPr>
            </w:pPr>
            <w:r w:rsidRPr="00863FF4">
              <w:rPr>
                <w:szCs w:val="20"/>
                <w:lang w:val="fr-CA"/>
              </w:rPr>
              <w:lastRenderedPageBreak/>
              <w:t>La requête en prorogation du délai de signification de la demande d’autorisation d’appel est accueillie. La demande d’autorisation d’appel du jugement du Tribunal des Professions, numéro 500-07-000815-138, 2014 QCTP 65, daté du 13 mai 2014, est rejetée, faute de compétence, et ce, sans dépens.</w:t>
            </w:r>
          </w:p>
          <w:p w:rsidR="00431E67" w:rsidRPr="00863FF4" w:rsidRDefault="00431E67" w:rsidP="001C2EF3">
            <w:pPr>
              <w:pStyle w:val="SCCShortJudgment"/>
              <w:ind w:firstLine="0"/>
              <w:rPr>
                <w:szCs w:val="20"/>
                <w:lang w:val="fr-CA"/>
              </w:rPr>
            </w:pPr>
          </w:p>
          <w:p w:rsidR="00431E67" w:rsidRPr="00863FF4" w:rsidRDefault="00431E67" w:rsidP="001C2EF3">
            <w:pPr>
              <w:pStyle w:val="SCCShortJudgment"/>
              <w:rPr>
                <w:szCs w:val="20"/>
              </w:rPr>
            </w:pPr>
            <w:r w:rsidRPr="00863FF4">
              <w:rPr>
                <w:szCs w:val="20"/>
              </w:rPr>
              <w:t>The motion for an extension of time to serve the application for leave to appeal is granted. The application for leave to appeal from the judgment of the Tribunal des Professions, Number 500-07-000815-138, 2014 QCTP 65, dated May 13, 2014, is dismissed for want of jurisdiction, without costs.</w:t>
            </w:r>
          </w:p>
        </w:tc>
      </w:tr>
    </w:tbl>
    <w:p w:rsidR="00596881" w:rsidRDefault="00596881" w:rsidP="00596881">
      <w:pPr>
        <w:rPr>
          <w:sz w:val="20"/>
          <w:szCs w:val="20"/>
        </w:rPr>
      </w:pPr>
    </w:p>
    <w:p w:rsidR="00596881" w:rsidRPr="001B157C" w:rsidRDefault="00596881" w:rsidP="00596881">
      <w:pPr>
        <w:rPr>
          <w:sz w:val="20"/>
          <w:szCs w:val="20"/>
          <w:u w:val="single"/>
        </w:rPr>
      </w:pPr>
      <w:r w:rsidRPr="001B157C">
        <w:rPr>
          <w:sz w:val="20"/>
          <w:szCs w:val="20"/>
          <w:u w:val="single"/>
        </w:rPr>
        <w:t>CASE SUMMARY</w:t>
      </w:r>
    </w:p>
    <w:p w:rsidR="00596881" w:rsidRDefault="00596881" w:rsidP="0059688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602B" w:rsidRPr="002279BE" w:rsidTr="00615A51">
        <w:tc>
          <w:tcPr>
            <w:tcW w:w="5000" w:type="pct"/>
            <w:gridSpan w:val="3"/>
          </w:tcPr>
          <w:p w:rsidR="007A602B" w:rsidRPr="002279BE" w:rsidRDefault="007A602B" w:rsidP="00615A51">
            <w:pPr>
              <w:jc w:val="both"/>
              <w:rPr>
                <w:rFonts w:eastAsia="Calibri"/>
                <w:sz w:val="20"/>
              </w:rPr>
            </w:pPr>
            <w:r w:rsidRPr="002279BE">
              <w:rPr>
                <w:rFonts w:eastAsia="Calibri"/>
                <w:sz w:val="20"/>
              </w:rPr>
              <w:t xml:space="preserve">Law of professions – Lawyers – Discipline – Executive director of Barreau du Québec mistakenly publishing notice of disbarment – Disciplinary complaint filed against executive director – Whether notice of disbarment published in exercise of executive director’s functions – Whether executive director could raise defence of honest mistake – Whether s. 116, para. 4 of </w:t>
            </w:r>
            <w:r w:rsidRPr="002279BE">
              <w:rPr>
                <w:rFonts w:eastAsia="Calibri"/>
                <w:i/>
                <w:sz w:val="20"/>
              </w:rPr>
              <w:t>Professional Code</w:t>
            </w:r>
            <w:r w:rsidRPr="002279BE">
              <w:rPr>
                <w:rFonts w:eastAsia="Calibri"/>
                <w:sz w:val="20"/>
              </w:rPr>
              <w:t>, CQLR, c. C</w:t>
            </w:r>
            <w:r w:rsidRPr="002279BE">
              <w:rPr>
                <w:rFonts w:eastAsia="Calibri"/>
                <w:sz w:val="20"/>
              </w:rPr>
              <w:noBreakHyphen/>
              <w:t>26, is of immediate application and whether it violates rule of law – Whether Supreme Court of Canada has jurisdiction to hear appeal from decision of Professions Tribunal.</w:t>
            </w:r>
          </w:p>
        </w:tc>
      </w:tr>
      <w:tr w:rsidR="007A602B" w:rsidRPr="002279BE" w:rsidTr="00615A51">
        <w:tc>
          <w:tcPr>
            <w:tcW w:w="5000" w:type="pct"/>
            <w:gridSpan w:val="3"/>
          </w:tcPr>
          <w:p w:rsidR="007A602B" w:rsidRPr="002279BE" w:rsidRDefault="007A602B" w:rsidP="00615A51">
            <w:pPr>
              <w:jc w:val="both"/>
              <w:rPr>
                <w:rFonts w:eastAsia="Calibri"/>
                <w:sz w:val="20"/>
              </w:rPr>
            </w:pPr>
          </w:p>
        </w:tc>
      </w:tr>
      <w:tr w:rsidR="007A602B" w:rsidRPr="002279BE" w:rsidTr="00615A51">
        <w:tc>
          <w:tcPr>
            <w:tcW w:w="5000" w:type="pct"/>
            <w:gridSpan w:val="3"/>
          </w:tcPr>
          <w:p w:rsidR="007A602B" w:rsidRDefault="007A602B" w:rsidP="00615A51">
            <w:pPr>
              <w:jc w:val="both"/>
              <w:rPr>
                <w:rFonts w:eastAsia="Calibri"/>
                <w:sz w:val="20"/>
              </w:rPr>
            </w:pPr>
            <w:r w:rsidRPr="002279BE">
              <w:rPr>
                <w:rFonts w:eastAsia="Calibri"/>
                <w:sz w:val="20"/>
              </w:rPr>
              <w:t xml:space="preserve">On February 15, 2006, further to a decision of the applications committee of the Barreau du Québec, the respondent Jacques Houle, then the executive director of the Barreau du Québec, published a notice of disbarment against the applicant Mr. Goldman. The notice wrongly stated that the disbarment was enforceable notwithstanding an appeal.  Mr. Goldman appealed the decision to the Professions Tribunal and then, after realizing his mistake, Mr. Houle corrected the notice of disbarment on March 9, 2006.  In 2007, the Professions Tribunal dismissed Mr. Goldman’s appeal.  Mr. Goldman subsequently brought proceedings against the Barreau du Québec seeking damages for the publication of the notice, but he was unsuccessful.  In 2012, he filed a disciplinary complaint against Mr. Houle with the disciplinary committee of the Barreau du Québec. </w:t>
            </w:r>
          </w:p>
          <w:p w:rsidR="00ED7546" w:rsidRPr="002279BE" w:rsidRDefault="00ED7546" w:rsidP="00615A51">
            <w:pPr>
              <w:jc w:val="both"/>
              <w:rPr>
                <w:rFonts w:eastAsia="Calibri"/>
                <w:sz w:val="20"/>
              </w:rPr>
            </w:pPr>
          </w:p>
          <w:p w:rsidR="007A602B" w:rsidRPr="002279BE" w:rsidRDefault="007A602B" w:rsidP="00615A51">
            <w:pPr>
              <w:jc w:val="both"/>
              <w:rPr>
                <w:rFonts w:eastAsia="Calibri"/>
                <w:sz w:val="20"/>
              </w:rPr>
            </w:pPr>
            <w:r w:rsidRPr="002279BE">
              <w:rPr>
                <w:rFonts w:eastAsia="Calibri"/>
                <w:sz w:val="20"/>
              </w:rPr>
              <w:t xml:space="preserve">The disciplinary committee dismissed the complaint.  It found that Mr. Houle was acting in the exercise of his functions when he published the notice of disbarment and that he therefore enjoyed the immunity recognized both by s. 116, para. 4 of the </w:t>
            </w:r>
            <w:r w:rsidRPr="002279BE">
              <w:rPr>
                <w:rFonts w:eastAsia="Calibri"/>
                <w:i/>
                <w:sz w:val="20"/>
              </w:rPr>
              <w:t>Professional Code</w:t>
            </w:r>
            <w:r w:rsidRPr="002279BE">
              <w:rPr>
                <w:rFonts w:eastAsia="Calibri"/>
                <w:sz w:val="20"/>
              </w:rPr>
              <w:t xml:space="preserve"> and by the case law.  As well, in the committee’s opinion, Mr. Houle’s mistake did not give rise to any breach of professional ethics.  The Professions Tribunal dismissed the appeal from that decision.</w:t>
            </w:r>
          </w:p>
          <w:p w:rsidR="007A602B" w:rsidRPr="002279BE" w:rsidRDefault="007A602B" w:rsidP="00615A51">
            <w:pPr>
              <w:jc w:val="both"/>
              <w:rPr>
                <w:rFonts w:eastAsia="Calibri"/>
                <w:sz w:val="20"/>
              </w:rPr>
            </w:pPr>
          </w:p>
        </w:tc>
      </w:tr>
      <w:tr w:rsidR="007A602B" w:rsidRPr="002279BE" w:rsidTr="00615A51">
        <w:tc>
          <w:tcPr>
            <w:tcW w:w="2427" w:type="pct"/>
          </w:tcPr>
          <w:p w:rsidR="007A602B" w:rsidRPr="002279BE" w:rsidRDefault="007A602B" w:rsidP="00615A51">
            <w:pPr>
              <w:jc w:val="both"/>
              <w:rPr>
                <w:rFonts w:eastAsia="Calibri"/>
                <w:sz w:val="20"/>
              </w:rPr>
            </w:pPr>
            <w:r w:rsidRPr="002279BE">
              <w:rPr>
                <w:rFonts w:eastAsia="Calibri"/>
                <w:sz w:val="20"/>
              </w:rPr>
              <w:t>April 22, 2013</w:t>
            </w:r>
          </w:p>
          <w:p w:rsidR="007A602B" w:rsidRPr="002279BE" w:rsidRDefault="007A602B" w:rsidP="00615A51">
            <w:pPr>
              <w:jc w:val="both"/>
              <w:rPr>
                <w:rFonts w:eastAsia="Calibri"/>
                <w:sz w:val="20"/>
              </w:rPr>
            </w:pPr>
            <w:r w:rsidRPr="002279BE">
              <w:rPr>
                <w:rFonts w:eastAsia="Calibri"/>
                <w:sz w:val="20"/>
              </w:rPr>
              <w:t>Disciplinary council of the Barreau du Québec</w:t>
            </w:r>
          </w:p>
          <w:p w:rsidR="007A602B" w:rsidRPr="002279BE" w:rsidRDefault="007A602B" w:rsidP="00615A51">
            <w:pPr>
              <w:jc w:val="both"/>
              <w:rPr>
                <w:rFonts w:eastAsia="Calibri"/>
                <w:sz w:val="20"/>
              </w:rPr>
            </w:pPr>
            <w:r w:rsidRPr="002279BE">
              <w:rPr>
                <w:rFonts w:eastAsia="Calibri"/>
                <w:sz w:val="20"/>
              </w:rPr>
              <w:t>(Chair Lamoureux and Members Leblanc and St-Aubin)</w:t>
            </w:r>
          </w:p>
          <w:p w:rsidR="007A602B" w:rsidRPr="002279BE" w:rsidRDefault="007A602B" w:rsidP="00615A51">
            <w:pPr>
              <w:jc w:val="both"/>
              <w:rPr>
                <w:rFonts w:eastAsia="Calibri"/>
                <w:sz w:val="20"/>
              </w:rPr>
            </w:pPr>
            <w:r w:rsidRPr="002279BE">
              <w:rPr>
                <w:rFonts w:eastAsia="Calibri"/>
                <w:sz w:val="20"/>
              </w:rPr>
              <w:t>2013 QCCDBQ 033</w:t>
            </w:r>
          </w:p>
          <w:p w:rsidR="007A602B" w:rsidRPr="002279BE" w:rsidRDefault="007A602B" w:rsidP="00615A51">
            <w:pPr>
              <w:jc w:val="both"/>
              <w:rPr>
                <w:rFonts w:eastAsia="Calibri"/>
                <w:sz w:val="20"/>
              </w:rPr>
            </w:pPr>
          </w:p>
        </w:tc>
        <w:tc>
          <w:tcPr>
            <w:tcW w:w="243" w:type="pct"/>
          </w:tcPr>
          <w:p w:rsidR="007A602B" w:rsidRPr="002279BE" w:rsidRDefault="007A602B" w:rsidP="00615A51">
            <w:pPr>
              <w:jc w:val="both"/>
              <w:rPr>
                <w:rFonts w:eastAsia="Calibri"/>
                <w:sz w:val="20"/>
              </w:rPr>
            </w:pPr>
          </w:p>
        </w:tc>
        <w:tc>
          <w:tcPr>
            <w:tcW w:w="2330" w:type="pct"/>
          </w:tcPr>
          <w:p w:rsidR="007A602B" w:rsidRPr="002279BE" w:rsidRDefault="007A602B" w:rsidP="00615A51">
            <w:pPr>
              <w:jc w:val="both"/>
              <w:rPr>
                <w:rFonts w:eastAsia="Calibri"/>
                <w:sz w:val="20"/>
              </w:rPr>
            </w:pPr>
            <w:r w:rsidRPr="002279BE">
              <w:rPr>
                <w:rFonts w:eastAsia="Calibri"/>
                <w:sz w:val="20"/>
              </w:rPr>
              <w:t>Motion to dismiss disciplinary complaint allowed</w:t>
            </w:r>
          </w:p>
          <w:p w:rsidR="007A602B" w:rsidRPr="002279BE" w:rsidRDefault="007A602B" w:rsidP="00615A51">
            <w:pPr>
              <w:jc w:val="both"/>
              <w:rPr>
                <w:rFonts w:eastAsia="Calibri"/>
                <w:sz w:val="20"/>
              </w:rPr>
            </w:pPr>
          </w:p>
        </w:tc>
      </w:tr>
      <w:tr w:rsidR="007A602B" w:rsidRPr="002279BE" w:rsidTr="00615A51">
        <w:tc>
          <w:tcPr>
            <w:tcW w:w="2427" w:type="pct"/>
          </w:tcPr>
          <w:p w:rsidR="007A602B" w:rsidRPr="002279BE" w:rsidRDefault="007A602B" w:rsidP="00615A51">
            <w:pPr>
              <w:jc w:val="both"/>
              <w:rPr>
                <w:rFonts w:eastAsia="Calibri"/>
                <w:sz w:val="20"/>
              </w:rPr>
            </w:pPr>
            <w:r w:rsidRPr="002279BE">
              <w:rPr>
                <w:rFonts w:eastAsia="Calibri"/>
                <w:sz w:val="20"/>
              </w:rPr>
              <w:t>May 13, 2014</w:t>
            </w:r>
          </w:p>
          <w:p w:rsidR="007A602B" w:rsidRPr="002279BE" w:rsidRDefault="007A602B" w:rsidP="00615A51">
            <w:pPr>
              <w:jc w:val="both"/>
              <w:rPr>
                <w:rFonts w:eastAsia="Calibri"/>
                <w:sz w:val="20"/>
              </w:rPr>
            </w:pPr>
            <w:r w:rsidRPr="002279BE">
              <w:rPr>
                <w:rFonts w:eastAsia="Calibri"/>
                <w:sz w:val="20"/>
              </w:rPr>
              <w:t>Professions Tribunal</w:t>
            </w:r>
          </w:p>
          <w:p w:rsidR="007A602B" w:rsidRPr="002279BE" w:rsidRDefault="007A602B" w:rsidP="00615A51">
            <w:pPr>
              <w:jc w:val="both"/>
              <w:rPr>
                <w:rFonts w:eastAsia="Calibri"/>
                <w:sz w:val="20"/>
              </w:rPr>
            </w:pPr>
            <w:r w:rsidRPr="002279BE">
              <w:rPr>
                <w:rFonts w:eastAsia="Calibri"/>
                <w:sz w:val="20"/>
              </w:rPr>
              <w:t>(Judges Paquet, Lemoine and Tremblay)</w:t>
            </w:r>
          </w:p>
          <w:p w:rsidR="007A602B" w:rsidRPr="002279BE" w:rsidRDefault="00237788" w:rsidP="00615A51">
            <w:pPr>
              <w:jc w:val="both"/>
              <w:rPr>
                <w:rFonts w:eastAsia="Calibri"/>
                <w:sz w:val="20"/>
              </w:rPr>
            </w:pPr>
            <w:hyperlink r:id="rId31" w:history="1">
              <w:r w:rsidR="007A602B" w:rsidRPr="002279BE">
                <w:rPr>
                  <w:rFonts w:eastAsia="Calibri"/>
                  <w:color w:val="0000FF"/>
                  <w:sz w:val="20"/>
                  <w:u w:val="single"/>
                </w:rPr>
                <w:t>2014 QCTP 65</w:t>
              </w:r>
            </w:hyperlink>
            <w:r w:rsidR="007A602B" w:rsidRPr="002279BE">
              <w:rPr>
                <w:rFonts w:eastAsia="Calibri"/>
                <w:sz w:val="20"/>
              </w:rPr>
              <w:t>; 500-07-000815-138</w:t>
            </w:r>
          </w:p>
          <w:p w:rsidR="007A602B" w:rsidRPr="002279BE" w:rsidRDefault="007A602B" w:rsidP="00615A51">
            <w:pPr>
              <w:jc w:val="both"/>
              <w:rPr>
                <w:rFonts w:eastAsia="Calibri"/>
                <w:sz w:val="20"/>
              </w:rPr>
            </w:pPr>
          </w:p>
        </w:tc>
        <w:tc>
          <w:tcPr>
            <w:tcW w:w="243" w:type="pct"/>
          </w:tcPr>
          <w:p w:rsidR="007A602B" w:rsidRPr="002279BE" w:rsidRDefault="007A602B" w:rsidP="00615A51">
            <w:pPr>
              <w:jc w:val="both"/>
              <w:rPr>
                <w:rFonts w:eastAsia="Calibri"/>
                <w:sz w:val="20"/>
              </w:rPr>
            </w:pPr>
          </w:p>
        </w:tc>
        <w:tc>
          <w:tcPr>
            <w:tcW w:w="2330" w:type="pct"/>
          </w:tcPr>
          <w:p w:rsidR="007A602B" w:rsidRPr="002279BE" w:rsidRDefault="007A602B" w:rsidP="00615A51">
            <w:pPr>
              <w:jc w:val="both"/>
              <w:rPr>
                <w:rFonts w:eastAsia="Calibri"/>
                <w:sz w:val="20"/>
              </w:rPr>
            </w:pPr>
            <w:r w:rsidRPr="002279BE">
              <w:rPr>
                <w:rFonts w:eastAsia="Calibri"/>
                <w:sz w:val="20"/>
              </w:rPr>
              <w:t>Appeal dismissed</w:t>
            </w:r>
          </w:p>
          <w:p w:rsidR="007A602B" w:rsidRPr="002279BE" w:rsidRDefault="007A602B" w:rsidP="00615A51">
            <w:pPr>
              <w:jc w:val="both"/>
              <w:rPr>
                <w:rFonts w:eastAsia="Calibri"/>
                <w:sz w:val="20"/>
              </w:rPr>
            </w:pPr>
          </w:p>
        </w:tc>
      </w:tr>
      <w:tr w:rsidR="007A602B" w:rsidRPr="002279BE" w:rsidTr="00615A51">
        <w:tc>
          <w:tcPr>
            <w:tcW w:w="2427" w:type="pct"/>
          </w:tcPr>
          <w:p w:rsidR="007A602B" w:rsidRPr="002279BE" w:rsidRDefault="007A602B" w:rsidP="00615A51">
            <w:pPr>
              <w:jc w:val="both"/>
              <w:rPr>
                <w:rFonts w:eastAsia="Calibri"/>
                <w:sz w:val="20"/>
              </w:rPr>
            </w:pPr>
            <w:r w:rsidRPr="002279BE">
              <w:rPr>
                <w:rFonts w:eastAsia="Calibri"/>
                <w:sz w:val="20"/>
              </w:rPr>
              <w:t>August 12, 2014</w:t>
            </w:r>
          </w:p>
          <w:p w:rsidR="007A602B" w:rsidRPr="002279BE" w:rsidRDefault="007A602B" w:rsidP="00615A51">
            <w:pPr>
              <w:jc w:val="both"/>
              <w:rPr>
                <w:rFonts w:eastAsia="Calibri"/>
                <w:sz w:val="20"/>
              </w:rPr>
            </w:pPr>
            <w:r w:rsidRPr="002279BE">
              <w:rPr>
                <w:rFonts w:eastAsia="Calibri"/>
                <w:sz w:val="20"/>
              </w:rPr>
              <w:t>Supreme Court of Canada</w:t>
            </w:r>
          </w:p>
        </w:tc>
        <w:tc>
          <w:tcPr>
            <w:tcW w:w="243" w:type="pct"/>
          </w:tcPr>
          <w:p w:rsidR="007A602B" w:rsidRPr="002279BE" w:rsidRDefault="007A602B" w:rsidP="00615A51">
            <w:pPr>
              <w:jc w:val="both"/>
              <w:rPr>
                <w:rFonts w:eastAsia="Calibri"/>
                <w:sz w:val="20"/>
              </w:rPr>
            </w:pPr>
          </w:p>
        </w:tc>
        <w:tc>
          <w:tcPr>
            <w:tcW w:w="2330" w:type="pct"/>
          </w:tcPr>
          <w:p w:rsidR="007A602B" w:rsidRPr="002279BE" w:rsidRDefault="007A602B" w:rsidP="00615A51">
            <w:pPr>
              <w:jc w:val="both"/>
              <w:rPr>
                <w:rFonts w:eastAsia="Calibri"/>
                <w:sz w:val="20"/>
              </w:rPr>
            </w:pPr>
            <w:r w:rsidRPr="002279BE">
              <w:rPr>
                <w:rFonts w:eastAsia="Calibri"/>
                <w:sz w:val="20"/>
              </w:rPr>
              <w:t>Motion to extend time to serve application for leave to appeal and application for leave to appeal filed</w:t>
            </w:r>
          </w:p>
        </w:tc>
      </w:tr>
    </w:tbl>
    <w:p w:rsidR="00596881" w:rsidRDefault="00596881" w:rsidP="00596881">
      <w:pPr>
        <w:rPr>
          <w:sz w:val="20"/>
          <w:szCs w:val="20"/>
        </w:rPr>
      </w:pPr>
    </w:p>
    <w:p w:rsidR="00596881" w:rsidRPr="00C50A5C" w:rsidRDefault="00237788" w:rsidP="00596881">
      <w:pPr>
        <w:rPr>
          <w:sz w:val="20"/>
          <w:szCs w:val="20"/>
        </w:rPr>
      </w:pPr>
      <w:r>
        <w:rPr>
          <w:sz w:val="20"/>
          <w:szCs w:val="20"/>
          <w:lang w:val="fr-CA"/>
        </w:rPr>
        <w:pict>
          <v:rect id="_x0000_i1050" style="width:2in;height:1pt" o:hrpct="0" o:hralign="center" o:hrstd="t" o:hrnoshade="t" o:hr="t" fillcolor="black [3213]" stroked="f"/>
        </w:pict>
      </w:r>
    </w:p>
    <w:p w:rsidR="00596881" w:rsidRDefault="00596881" w:rsidP="00596881">
      <w:pPr>
        <w:rPr>
          <w:sz w:val="20"/>
          <w:szCs w:val="20"/>
        </w:rPr>
      </w:pPr>
    </w:p>
    <w:p w:rsidR="00596881" w:rsidRPr="001B157C" w:rsidRDefault="00596881" w:rsidP="00596881">
      <w:pPr>
        <w:rPr>
          <w:sz w:val="20"/>
          <w:szCs w:val="20"/>
          <w:u w:val="single"/>
          <w:lang w:val="fr-CA"/>
        </w:rPr>
      </w:pPr>
      <w:r w:rsidRPr="001B157C">
        <w:rPr>
          <w:sz w:val="20"/>
          <w:szCs w:val="20"/>
          <w:u w:val="single"/>
          <w:lang w:val="fr-CA"/>
        </w:rPr>
        <w:t>RÉSUMÉ DE L’AFFAIRE</w:t>
      </w:r>
    </w:p>
    <w:p w:rsidR="00596881" w:rsidRDefault="00596881" w:rsidP="0059688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7A602B" w:rsidRPr="00237788" w:rsidTr="00615A51">
        <w:tc>
          <w:tcPr>
            <w:tcW w:w="5000" w:type="pct"/>
            <w:gridSpan w:val="3"/>
          </w:tcPr>
          <w:p w:rsidR="007A602B" w:rsidRPr="002279BE" w:rsidRDefault="007A602B" w:rsidP="00615A51">
            <w:pPr>
              <w:jc w:val="both"/>
              <w:rPr>
                <w:rFonts w:eastAsia="Calibri"/>
                <w:sz w:val="20"/>
                <w:lang w:val="fr-CA"/>
              </w:rPr>
            </w:pPr>
            <w:r w:rsidRPr="002279BE">
              <w:rPr>
                <w:rFonts w:eastAsia="Calibri"/>
                <w:sz w:val="20"/>
                <w:lang w:val="fr-CA"/>
              </w:rPr>
              <w:t xml:space="preserve">Droit des professions – Avocats – Discipline – Avis de radiation publié par erreur par le Directeur général du Barreau du Québec – Plainte disciplinaire déposée contre le Directeur général – La publication de l’avis de radiation a-t-elle été faite dans l’exercice des fonctions du Directeur général? – Ce dernier pouvait-il invoquer en défense l’erreur </w:t>
            </w:r>
            <w:r w:rsidRPr="002279BE">
              <w:rPr>
                <w:rFonts w:eastAsia="Calibri"/>
                <w:sz w:val="20"/>
                <w:lang w:val="fr-CA"/>
              </w:rPr>
              <w:lastRenderedPageBreak/>
              <w:t xml:space="preserve">commise de bonne foi? – L’alinéa 116(4) du </w:t>
            </w:r>
            <w:r w:rsidRPr="002279BE">
              <w:rPr>
                <w:rFonts w:eastAsia="Calibri"/>
                <w:i/>
                <w:sz w:val="20"/>
                <w:lang w:val="fr-CA"/>
              </w:rPr>
              <w:t>Code des professions</w:t>
            </w:r>
            <w:r w:rsidRPr="002279BE">
              <w:rPr>
                <w:rFonts w:eastAsia="Calibri"/>
                <w:sz w:val="20"/>
                <w:lang w:val="fr-CA"/>
              </w:rPr>
              <w:t>, RLRQ, ch. C-26, est-il d’application immédiate et viole-t-il le principe de la primauté du droit? – La Cour suprême du Canada a-t-elle compétence pour entendre un appel d’une décision du Tribunal des professions?</w:t>
            </w:r>
          </w:p>
        </w:tc>
      </w:tr>
      <w:tr w:rsidR="007A602B" w:rsidRPr="00237788" w:rsidTr="00615A51">
        <w:tc>
          <w:tcPr>
            <w:tcW w:w="5000" w:type="pct"/>
            <w:gridSpan w:val="3"/>
          </w:tcPr>
          <w:p w:rsidR="007A602B" w:rsidRPr="002279BE" w:rsidRDefault="007A602B" w:rsidP="00615A51">
            <w:pPr>
              <w:jc w:val="both"/>
              <w:rPr>
                <w:rFonts w:eastAsia="Calibri"/>
                <w:sz w:val="20"/>
                <w:lang w:val="fr-CA"/>
              </w:rPr>
            </w:pPr>
          </w:p>
        </w:tc>
      </w:tr>
      <w:tr w:rsidR="007A602B" w:rsidRPr="002279BE" w:rsidTr="00615A51">
        <w:tc>
          <w:tcPr>
            <w:tcW w:w="5000" w:type="pct"/>
            <w:gridSpan w:val="3"/>
          </w:tcPr>
          <w:p w:rsidR="007A602B" w:rsidRPr="002279BE" w:rsidRDefault="007A602B" w:rsidP="00615A51">
            <w:pPr>
              <w:jc w:val="both"/>
              <w:rPr>
                <w:rFonts w:eastAsia="Calibri"/>
                <w:sz w:val="20"/>
                <w:lang w:val="fr-CA"/>
              </w:rPr>
            </w:pPr>
            <w:r w:rsidRPr="002279BE">
              <w:rPr>
                <w:rFonts w:eastAsia="Calibri"/>
                <w:sz w:val="20"/>
                <w:lang w:val="fr-CA"/>
              </w:rPr>
              <w:t>Le 15 février 2006, à la suite d’une décision du Comité des requêtes du Barreau du Québec, l’intimé Jacques Houle, alors Directeur général du Barreau du Québec, publie un avis de radiation à l’encontre du demandeur, M. Goldman.  L’avis indique erronément que la radiation est exécutoire nonobstant appel.  M. Goldman porte la décision en appel devant le Tribunal des professions, puis le 9 mars 2006, après avoir réalisé son erreur, M</w:t>
            </w:r>
            <w:r w:rsidRPr="002279BE">
              <w:rPr>
                <w:rFonts w:eastAsia="Calibri"/>
                <w:sz w:val="20"/>
                <w:vertAlign w:val="superscript"/>
                <w:lang w:val="fr-CA"/>
              </w:rPr>
              <w:t>e</w:t>
            </w:r>
            <w:r w:rsidRPr="002279BE">
              <w:rPr>
                <w:rFonts w:eastAsia="Calibri"/>
                <w:sz w:val="20"/>
                <w:lang w:val="fr-CA"/>
              </w:rPr>
              <w:t> Houle corrige l’avis de radiation.  En 2007, le Tribunal des professions rejette l’appel de M. Goldman.  Par la suite, M. Goldman entreprend des procédures en dommages-intérêts contre le Barreau du Québec relativement à la publication de l’avis, mais en vain.  En 2012, il dépose une plainte disciplinaire contre M</w:t>
            </w:r>
            <w:r w:rsidRPr="002279BE">
              <w:rPr>
                <w:rFonts w:eastAsia="Calibri"/>
                <w:sz w:val="20"/>
                <w:vertAlign w:val="superscript"/>
                <w:lang w:val="fr-CA"/>
              </w:rPr>
              <w:t>e</w:t>
            </w:r>
            <w:r w:rsidRPr="002279BE">
              <w:rPr>
                <w:rFonts w:eastAsia="Calibri"/>
                <w:sz w:val="20"/>
                <w:lang w:val="fr-CA"/>
              </w:rPr>
              <w:t> Houle devant le Comité de discipline du Barreau du Québec.</w:t>
            </w:r>
          </w:p>
          <w:p w:rsidR="007A602B" w:rsidRPr="002279BE" w:rsidRDefault="007A602B" w:rsidP="00615A51">
            <w:pPr>
              <w:jc w:val="both"/>
              <w:rPr>
                <w:rFonts w:eastAsia="Calibri"/>
                <w:sz w:val="20"/>
                <w:lang w:val="fr-CA"/>
              </w:rPr>
            </w:pPr>
          </w:p>
          <w:p w:rsidR="007A602B" w:rsidRPr="002279BE" w:rsidRDefault="007A602B" w:rsidP="00615A51">
            <w:pPr>
              <w:jc w:val="both"/>
              <w:rPr>
                <w:rFonts w:eastAsia="Calibri"/>
                <w:sz w:val="20"/>
                <w:lang w:val="fr-CA"/>
              </w:rPr>
            </w:pPr>
            <w:r w:rsidRPr="002279BE">
              <w:rPr>
                <w:rFonts w:eastAsia="Calibri"/>
                <w:sz w:val="20"/>
                <w:lang w:val="fr-CA"/>
              </w:rPr>
              <w:t>Le Comité de discipline rejette la plainte.  Il estime qu’au moment où M</w:t>
            </w:r>
            <w:r w:rsidRPr="002279BE">
              <w:rPr>
                <w:rFonts w:eastAsia="Calibri"/>
                <w:sz w:val="20"/>
                <w:vertAlign w:val="superscript"/>
                <w:lang w:val="fr-CA"/>
              </w:rPr>
              <w:t>e</w:t>
            </w:r>
            <w:r w:rsidRPr="002279BE">
              <w:rPr>
                <w:rFonts w:eastAsia="Calibri"/>
                <w:sz w:val="20"/>
                <w:lang w:val="fr-CA"/>
              </w:rPr>
              <w:t xml:space="preserve"> Houle a publié l’avis de radiation, il agissait dans l’exercice de ses fonctions et, en conséquence, jouissait d’une immunité reconnue tant par l’al. 116(4) du </w:t>
            </w:r>
            <w:r w:rsidRPr="002279BE">
              <w:rPr>
                <w:rFonts w:eastAsia="Calibri"/>
                <w:i/>
                <w:sz w:val="20"/>
                <w:lang w:val="fr-CA"/>
              </w:rPr>
              <w:t>Code des professions</w:t>
            </w:r>
            <w:r w:rsidRPr="002279BE">
              <w:rPr>
                <w:rFonts w:eastAsia="Calibri"/>
                <w:sz w:val="20"/>
                <w:lang w:val="fr-CA"/>
              </w:rPr>
              <w:t xml:space="preserve"> que par la jurisprudence.  De plus, selon le Comité, l’erreur commise par M</w:t>
            </w:r>
            <w:r w:rsidRPr="002279BE">
              <w:rPr>
                <w:rFonts w:eastAsia="Calibri"/>
                <w:sz w:val="20"/>
                <w:vertAlign w:val="superscript"/>
                <w:lang w:val="fr-CA"/>
              </w:rPr>
              <w:t>e</w:t>
            </w:r>
            <w:r w:rsidRPr="002279BE">
              <w:rPr>
                <w:rFonts w:eastAsia="Calibri"/>
                <w:sz w:val="20"/>
                <w:lang w:val="fr-CA"/>
              </w:rPr>
              <w:t xml:space="preserve"> Houle n’engendrait aucune faute déontologique. Le Tribunal des professions rejette l’appel de cette décision.</w:t>
            </w:r>
          </w:p>
          <w:p w:rsidR="007A602B" w:rsidRPr="002279BE" w:rsidRDefault="007A602B" w:rsidP="00615A51">
            <w:pPr>
              <w:jc w:val="both"/>
              <w:rPr>
                <w:rFonts w:eastAsia="Calibri"/>
                <w:sz w:val="20"/>
                <w:lang w:val="fr-CA"/>
              </w:rPr>
            </w:pPr>
          </w:p>
        </w:tc>
      </w:tr>
      <w:tr w:rsidR="007A602B" w:rsidRPr="00237788" w:rsidTr="00615A51">
        <w:tc>
          <w:tcPr>
            <w:tcW w:w="2427" w:type="pct"/>
          </w:tcPr>
          <w:p w:rsidR="007A602B" w:rsidRPr="002279BE" w:rsidRDefault="007A602B" w:rsidP="00615A51">
            <w:pPr>
              <w:jc w:val="both"/>
              <w:rPr>
                <w:rFonts w:eastAsia="Calibri"/>
                <w:sz w:val="20"/>
                <w:lang w:val="fr-CA"/>
              </w:rPr>
            </w:pPr>
            <w:r w:rsidRPr="002279BE">
              <w:rPr>
                <w:rFonts w:eastAsia="Calibri"/>
                <w:sz w:val="20"/>
                <w:lang w:val="fr-CA"/>
              </w:rPr>
              <w:t>Le 22 avril 2013</w:t>
            </w:r>
          </w:p>
          <w:p w:rsidR="007A602B" w:rsidRPr="002279BE" w:rsidRDefault="007A602B" w:rsidP="00615A51">
            <w:pPr>
              <w:jc w:val="both"/>
              <w:rPr>
                <w:rFonts w:eastAsia="Calibri"/>
                <w:sz w:val="20"/>
                <w:lang w:val="fr-CA"/>
              </w:rPr>
            </w:pPr>
            <w:r w:rsidRPr="002279BE">
              <w:rPr>
                <w:rFonts w:eastAsia="Calibri"/>
                <w:sz w:val="20"/>
                <w:lang w:val="fr-CA"/>
              </w:rPr>
              <w:t>Conseil de discipline du Barreau du Québec</w:t>
            </w:r>
          </w:p>
          <w:p w:rsidR="007A602B" w:rsidRPr="002279BE" w:rsidRDefault="007A602B" w:rsidP="00615A51">
            <w:pPr>
              <w:jc w:val="both"/>
              <w:rPr>
                <w:rFonts w:eastAsia="Calibri"/>
                <w:sz w:val="20"/>
                <w:lang w:val="fr-CA"/>
              </w:rPr>
            </w:pPr>
            <w:r w:rsidRPr="002279BE">
              <w:rPr>
                <w:rFonts w:eastAsia="Calibri"/>
                <w:sz w:val="20"/>
                <w:lang w:val="fr-CA"/>
              </w:rPr>
              <w:t>(Le président Lamoureux et les membres Leblanc et St-Aubin)</w:t>
            </w:r>
          </w:p>
          <w:p w:rsidR="007A602B" w:rsidRPr="002279BE" w:rsidRDefault="007A602B" w:rsidP="00615A51">
            <w:pPr>
              <w:jc w:val="both"/>
              <w:rPr>
                <w:rFonts w:eastAsia="Calibri"/>
                <w:sz w:val="20"/>
                <w:lang w:val="fr-CA"/>
              </w:rPr>
            </w:pPr>
            <w:r w:rsidRPr="002279BE">
              <w:rPr>
                <w:rFonts w:eastAsia="Calibri"/>
                <w:sz w:val="20"/>
                <w:lang w:val="fr-CA"/>
              </w:rPr>
              <w:t>2013 QCCDBQ 033</w:t>
            </w:r>
          </w:p>
          <w:p w:rsidR="007A602B" w:rsidRPr="002279BE" w:rsidRDefault="007A602B" w:rsidP="00615A51">
            <w:pPr>
              <w:jc w:val="both"/>
              <w:rPr>
                <w:rFonts w:eastAsia="Calibri"/>
                <w:sz w:val="20"/>
                <w:lang w:val="fr-CA"/>
              </w:rPr>
            </w:pPr>
          </w:p>
        </w:tc>
        <w:tc>
          <w:tcPr>
            <w:tcW w:w="243" w:type="pct"/>
          </w:tcPr>
          <w:p w:rsidR="007A602B" w:rsidRPr="002279BE" w:rsidRDefault="007A602B" w:rsidP="00615A51">
            <w:pPr>
              <w:jc w:val="both"/>
              <w:rPr>
                <w:rFonts w:eastAsia="Calibri"/>
                <w:sz w:val="20"/>
                <w:lang w:val="fr-CA"/>
              </w:rPr>
            </w:pPr>
          </w:p>
        </w:tc>
        <w:tc>
          <w:tcPr>
            <w:tcW w:w="2330" w:type="pct"/>
          </w:tcPr>
          <w:p w:rsidR="007A602B" w:rsidRPr="002279BE" w:rsidRDefault="007A602B" w:rsidP="00615A51">
            <w:pPr>
              <w:jc w:val="both"/>
              <w:rPr>
                <w:rFonts w:eastAsia="Calibri"/>
                <w:sz w:val="20"/>
                <w:lang w:val="fr-CA"/>
              </w:rPr>
            </w:pPr>
            <w:r w:rsidRPr="002279BE">
              <w:rPr>
                <w:rFonts w:eastAsia="Calibri"/>
                <w:sz w:val="20"/>
                <w:lang w:val="fr-CA"/>
              </w:rPr>
              <w:t>Requête en irrecevabilité et en rejet d’une plainte disciplinaire accueillie</w:t>
            </w:r>
          </w:p>
          <w:p w:rsidR="007A602B" w:rsidRPr="002279BE" w:rsidRDefault="007A602B" w:rsidP="00615A51">
            <w:pPr>
              <w:jc w:val="both"/>
              <w:rPr>
                <w:rFonts w:eastAsia="Calibri"/>
                <w:sz w:val="20"/>
                <w:lang w:val="fr-CA"/>
              </w:rPr>
            </w:pPr>
          </w:p>
        </w:tc>
      </w:tr>
      <w:tr w:rsidR="007A602B" w:rsidRPr="002279BE" w:rsidTr="00615A51">
        <w:tc>
          <w:tcPr>
            <w:tcW w:w="2427" w:type="pct"/>
          </w:tcPr>
          <w:p w:rsidR="007A602B" w:rsidRPr="002279BE" w:rsidRDefault="007A602B" w:rsidP="00615A51">
            <w:pPr>
              <w:jc w:val="both"/>
              <w:rPr>
                <w:rFonts w:eastAsia="Calibri"/>
                <w:sz w:val="20"/>
                <w:lang w:val="fr-CA"/>
              </w:rPr>
            </w:pPr>
            <w:r w:rsidRPr="002279BE">
              <w:rPr>
                <w:rFonts w:eastAsia="Calibri"/>
                <w:sz w:val="20"/>
                <w:lang w:val="fr-CA"/>
              </w:rPr>
              <w:t>Le 13 mai 2014</w:t>
            </w:r>
          </w:p>
          <w:p w:rsidR="007A602B" w:rsidRPr="002279BE" w:rsidRDefault="007A602B" w:rsidP="00615A51">
            <w:pPr>
              <w:jc w:val="both"/>
              <w:rPr>
                <w:rFonts w:eastAsia="Calibri"/>
                <w:sz w:val="20"/>
                <w:lang w:val="fr-CA"/>
              </w:rPr>
            </w:pPr>
            <w:r w:rsidRPr="002279BE">
              <w:rPr>
                <w:rFonts w:eastAsia="Calibri"/>
                <w:sz w:val="20"/>
                <w:lang w:val="fr-CA"/>
              </w:rPr>
              <w:t>Tribunal des professions</w:t>
            </w:r>
          </w:p>
          <w:p w:rsidR="007A602B" w:rsidRPr="002279BE" w:rsidRDefault="007A602B" w:rsidP="00615A51">
            <w:pPr>
              <w:jc w:val="both"/>
              <w:rPr>
                <w:rFonts w:eastAsia="Calibri"/>
                <w:sz w:val="20"/>
                <w:lang w:val="fr-CA"/>
              </w:rPr>
            </w:pPr>
            <w:r w:rsidRPr="002279BE">
              <w:rPr>
                <w:rFonts w:eastAsia="Calibri"/>
                <w:sz w:val="20"/>
                <w:lang w:val="fr-CA"/>
              </w:rPr>
              <w:t>(Les juges Paquet, Lemoine et Tremblay)</w:t>
            </w:r>
          </w:p>
          <w:p w:rsidR="007A602B" w:rsidRPr="002279BE" w:rsidRDefault="00237788" w:rsidP="00615A51">
            <w:pPr>
              <w:jc w:val="both"/>
              <w:rPr>
                <w:rFonts w:eastAsia="Calibri"/>
                <w:sz w:val="20"/>
                <w:lang w:val="fr-CA"/>
              </w:rPr>
            </w:pPr>
            <w:hyperlink r:id="rId32" w:history="1">
              <w:r w:rsidR="007A602B" w:rsidRPr="002279BE">
                <w:rPr>
                  <w:rFonts w:eastAsia="Calibri"/>
                  <w:color w:val="0000FF"/>
                  <w:sz w:val="20"/>
                  <w:u w:val="single"/>
                  <w:lang w:val="fr-CA"/>
                </w:rPr>
                <w:t>2014 QCTP 65</w:t>
              </w:r>
            </w:hyperlink>
            <w:r w:rsidR="007A602B" w:rsidRPr="002279BE">
              <w:rPr>
                <w:rFonts w:eastAsia="Calibri"/>
                <w:sz w:val="20"/>
                <w:lang w:val="fr-CA"/>
              </w:rPr>
              <w:t>; 500-07-000815-138</w:t>
            </w:r>
          </w:p>
          <w:p w:rsidR="007A602B" w:rsidRPr="002279BE" w:rsidRDefault="007A602B" w:rsidP="00615A51">
            <w:pPr>
              <w:jc w:val="both"/>
              <w:rPr>
                <w:rFonts w:eastAsia="Calibri"/>
                <w:sz w:val="20"/>
                <w:lang w:val="fr-CA"/>
              </w:rPr>
            </w:pPr>
          </w:p>
        </w:tc>
        <w:tc>
          <w:tcPr>
            <w:tcW w:w="243" w:type="pct"/>
          </w:tcPr>
          <w:p w:rsidR="007A602B" w:rsidRPr="002279BE" w:rsidRDefault="007A602B" w:rsidP="00615A51">
            <w:pPr>
              <w:jc w:val="both"/>
              <w:rPr>
                <w:rFonts w:eastAsia="Calibri"/>
                <w:sz w:val="20"/>
                <w:lang w:val="fr-CA"/>
              </w:rPr>
            </w:pPr>
          </w:p>
        </w:tc>
        <w:tc>
          <w:tcPr>
            <w:tcW w:w="2330" w:type="pct"/>
          </w:tcPr>
          <w:p w:rsidR="007A602B" w:rsidRPr="002279BE" w:rsidRDefault="007A602B" w:rsidP="00615A51">
            <w:pPr>
              <w:jc w:val="both"/>
              <w:rPr>
                <w:rFonts w:eastAsia="Calibri"/>
                <w:sz w:val="20"/>
                <w:lang w:val="fr-CA"/>
              </w:rPr>
            </w:pPr>
            <w:r w:rsidRPr="002279BE">
              <w:rPr>
                <w:rFonts w:eastAsia="Calibri"/>
                <w:sz w:val="20"/>
                <w:lang w:val="fr-CA"/>
              </w:rPr>
              <w:t>Appel rejeté</w:t>
            </w:r>
          </w:p>
          <w:p w:rsidR="007A602B" w:rsidRPr="002279BE" w:rsidRDefault="007A602B" w:rsidP="00615A51">
            <w:pPr>
              <w:jc w:val="both"/>
              <w:rPr>
                <w:rFonts w:eastAsia="Calibri"/>
                <w:sz w:val="20"/>
                <w:lang w:val="fr-CA"/>
              </w:rPr>
            </w:pPr>
          </w:p>
        </w:tc>
      </w:tr>
      <w:tr w:rsidR="007A602B" w:rsidRPr="00237788" w:rsidTr="00615A51">
        <w:tc>
          <w:tcPr>
            <w:tcW w:w="2427" w:type="pct"/>
          </w:tcPr>
          <w:p w:rsidR="007A602B" w:rsidRPr="002279BE" w:rsidRDefault="007A602B" w:rsidP="00615A51">
            <w:pPr>
              <w:jc w:val="both"/>
              <w:rPr>
                <w:rFonts w:eastAsia="Calibri"/>
                <w:sz w:val="20"/>
                <w:lang w:val="fr-CA"/>
              </w:rPr>
            </w:pPr>
            <w:r w:rsidRPr="002279BE">
              <w:rPr>
                <w:rFonts w:eastAsia="Calibri"/>
                <w:sz w:val="20"/>
                <w:lang w:val="fr-CA"/>
              </w:rPr>
              <w:t>Le 12 août 2014</w:t>
            </w:r>
          </w:p>
          <w:p w:rsidR="007A602B" w:rsidRPr="002279BE" w:rsidRDefault="007A602B" w:rsidP="00615A51">
            <w:pPr>
              <w:jc w:val="both"/>
              <w:rPr>
                <w:rFonts w:eastAsia="Calibri"/>
                <w:sz w:val="20"/>
                <w:lang w:val="fr-CA"/>
              </w:rPr>
            </w:pPr>
            <w:r w:rsidRPr="002279BE">
              <w:rPr>
                <w:rFonts w:eastAsia="Calibri"/>
                <w:sz w:val="20"/>
                <w:lang w:val="fr-CA"/>
              </w:rPr>
              <w:t>Cour suprême du Canada</w:t>
            </w:r>
          </w:p>
        </w:tc>
        <w:tc>
          <w:tcPr>
            <w:tcW w:w="243" w:type="pct"/>
          </w:tcPr>
          <w:p w:rsidR="007A602B" w:rsidRPr="002279BE" w:rsidRDefault="007A602B" w:rsidP="00615A51">
            <w:pPr>
              <w:jc w:val="both"/>
              <w:rPr>
                <w:rFonts w:eastAsia="Calibri"/>
                <w:sz w:val="20"/>
                <w:lang w:val="fr-CA"/>
              </w:rPr>
            </w:pPr>
          </w:p>
        </w:tc>
        <w:tc>
          <w:tcPr>
            <w:tcW w:w="2330" w:type="pct"/>
          </w:tcPr>
          <w:p w:rsidR="007A602B" w:rsidRPr="002279BE" w:rsidRDefault="007A602B" w:rsidP="00615A51">
            <w:pPr>
              <w:jc w:val="both"/>
              <w:rPr>
                <w:rFonts w:eastAsia="Calibri"/>
                <w:sz w:val="20"/>
                <w:lang w:val="fr-CA"/>
              </w:rPr>
            </w:pPr>
            <w:r w:rsidRPr="002279BE">
              <w:rPr>
                <w:rFonts w:eastAsia="Calibri"/>
                <w:sz w:val="20"/>
                <w:lang w:val="fr-CA"/>
              </w:rPr>
              <w:t>Requête en prorogation du délai de signification d’une demande d’autorisation d’appel et demande d’autorisation d’appel déposées</w:t>
            </w:r>
          </w:p>
        </w:tc>
      </w:tr>
    </w:tbl>
    <w:p w:rsidR="00596881" w:rsidRPr="007A602B" w:rsidRDefault="00596881" w:rsidP="00596881">
      <w:pPr>
        <w:rPr>
          <w:sz w:val="20"/>
          <w:szCs w:val="20"/>
          <w:lang w:val="fr-CA"/>
        </w:rPr>
      </w:pPr>
    </w:p>
    <w:p w:rsidR="00596881" w:rsidRDefault="00237788" w:rsidP="00596881">
      <w:pPr>
        <w:rPr>
          <w:sz w:val="20"/>
          <w:szCs w:val="20"/>
          <w:lang w:val="fr-CA"/>
        </w:rPr>
      </w:pPr>
      <w:r>
        <w:rPr>
          <w:sz w:val="20"/>
          <w:szCs w:val="20"/>
          <w:lang w:val="fr-CA"/>
        </w:rPr>
        <w:pict>
          <v:rect id="_x0000_i1051" style="width:2in;height:1pt" o:hrpct="0" o:hralign="center" o:hrstd="t" o:hrnoshade="t" o:hr="t" fillcolor="black [3213]" stroked="f"/>
        </w:pict>
      </w:r>
    </w:p>
    <w:p w:rsidR="00596881" w:rsidRDefault="00596881" w:rsidP="00596881">
      <w:pPr>
        <w:rPr>
          <w:sz w:val="20"/>
          <w:szCs w:val="20"/>
          <w:lang w:val="fr-CA"/>
        </w:rPr>
      </w:pPr>
    </w:p>
    <w:p w:rsidR="00596881" w:rsidRDefault="00596881"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615A51" w:rsidRPr="00615A51" w:rsidRDefault="00615A51" w:rsidP="00615A51">
      <w:pPr>
        <w:tabs>
          <w:tab w:val="left" w:pos="-1440"/>
          <w:tab w:val="left" w:pos="-720"/>
        </w:tabs>
        <w:jc w:val="both"/>
        <w:rPr>
          <w:rFonts w:eastAsia="Times New Roman" w:cs="Times New Roman"/>
          <w:sz w:val="20"/>
          <w:szCs w:val="20"/>
          <w:lang w:val="fr-CA" w:eastAsia="en-CA"/>
        </w:rPr>
      </w:pPr>
      <w:r w:rsidRPr="00615A51">
        <w:rPr>
          <w:rFonts w:eastAsia="Times New Roman" w:cs="Times New Roman"/>
          <w:sz w:val="20"/>
          <w:szCs w:val="20"/>
          <w:lang w:val="fr-CA" w:eastAsia="en-CA"/>
        </w:rPr>
        <w:t>02.10.2014</w:t>
      </w:r>
    </w:p>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615A51" w:rsidP="00615A51">
      <w:pPr>
        <w:tabs>
          <w:tab w:val="left" w:pos="-1440"/>
          <w:tab w:val="left" w:pos="-720"/>
        </w:tabs>
        <w:jc w:val="both"/>
        <w:rPr>
          <w:rFonts w:eastAsia="Times New Roman" w:cs="Times New Roman"/>
          <w:sz w:val="20"/>
          <w:szCs w:val="20"/>
          <w:lang w:eastAsia="en-CA"/>
        </w:rPr>
      </w:pPr>
      <w:r w:rsidRPr="00615A51">
        <w:rPr>
          <w:rFonts w:eastAsia="Times New Roman" w:cs="Times New Roman"/>
          <w:sz w:val="20"/>
          <w:szCs w:val="20"/>
          <w:lang w:val="fr-CA" w:eastAsia="en-CA"/>
        </w:rPr>
        <w:t xml:space="preserve">Before / Devant:   </w:t>
      </w:r>
      <w:r w:rsidRPr="00615A51">
        <w:rPr>
          <w:rFonts w:eastAsia="Times New Roman" w:cs="Times New Roman"/>
          <w:sz w:val="20"/>
          <w:szCs w:val="20"/>
          <w:lang w:eastAsia="en-CA"/>
        </w:rPr>
        <w:t>THE REGISTRAR / LE REGISTRAIRE</w:t>
      </w:r>
    </w:p>
    <w:p w:rsidR="00615A51" w:rsidRPr="00615A51" w:rsidRDefault="00615A51" w:rsidP="00615A51">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15A51" w:rsidRPr="00615A51" w:rsidTr="00615A51">
        <w:trPr>
          <w:trHeight w:val="151"/>
        </w:trPr>
        <w:tc>
          <w:tcPr>
            <w:tcW w:w="4338" w:type="dxa"/>
          </w:tcPr>
          <w:p w:rsidR="00615A51" w:rsidRPr="00615A51" w:rsidRDefault="00004B8E" w:rsidP="00615A51">
            <w:pPr>
              <w:tabs>
                <w:tab w:val="left" w:pos="-1440"/>
                <w:tab w:val="left" w:pos="-720"/>
              </w:tabs>
              <w:jc w:val="both"/>
              <w:rPr>
                <w:lang w:val="fr-CA"/>
              </w:rPr>
            </w:pPr>
            <w:r w:rsidRPr="00615A51">
              <w:rPr>
                <w:lang w:val="en-US"/>
              </w:rPr>
              <w:fldChar w:fldCharType="begin"/>
            </w:r>
            <w:r w:rsidR="00615A51" w:rsidRPr="00615A51">
              <w:rPr>
                <w:lang w:val="fr-CA"/>
              </w:rPr>
              <w:instrText xml:space="preserve"> SEQ CHAPTER \h \r 1</w:instrText>
            </w:r>
            <w:r w:rsidRPr="00615A51">
              <w:rPr>
                <w:lang w:val="en-US"/>
              </w:rPr>
              <w:fldChar w:fldCharType="end"/>
            </w:r>
            <w:r w:rsidR="00615A51" w:rsidRPr="00615A51">
              <w:rPr>
                <w:b/>
                <w:bCs/>
                <w:lang w:val="fr-CA"/>
              </w:rPr>
              <w:t>Miscellaneous motion</w:t>
            </w:r>
          </w:p>
          <w:p w:rsidR="00615A51" w:rsidRPr="00615A51" w:rsidRDefault="00004B8E" w:rsidP="00615A51">
            <w:pPr>
              <w:tabs>
                <w:tab w:val="left" w:pos="-1440"/>
                <w:tab w:val="left" w:pos="-720"/>
              </w:tabs>
              <w:jc w:val="both"/>
              <w:rPr>
                <w:lang w:val="fr-CA"/>
              </w:rPr>
            </w:pPr>
            <w:r w:rsidRPr="00615A51">
              <w:rPr>
                <w:lang w:val="en-US"/>
              </w:rPr>
              <w:fldChar w:fldCharType="begin"/>
            </w:r>
            <w:r w:rsidR="00615A51" w:rsidRPr="00615A51">
              <w:rPr>
                <w:lang w:val="fr-CA"/>
              </w:rPr>
              <w:instrText xml:space="preserve"> SEQ CHAPTER \h \r 1</w:instrText>
            </w:r>
            <w:r w:rsidRPr="00615A51">
              <w:rPr>
                <w:lang w:val="en-US"/>
              </w:rPr>
              <w:fldChar w:fldCharType="end"/>
            </w:r>
          </w:p>
        </w:tc>
        <w:tc>
          <w:tcPr>
            <w:tcW w:w="1170" w:type="dxa"/>
          </w:tcPr>
          <w:p w:rsidR="00615A51" w:rsidRPr="00615A51" w:rsidRDefault="00615A51" w:rsidP="00615A51">
            <w:pPr>
              <w:jc w:val="both"/>
              <w:rPr>
                <w:lang w:val="fr-CA"/>
              </w:rPr>
            </w:pPr>
          </w:p>
          <w:p w:rsidR="00615A51" w:rsidRPr="00615A51" w:rsidRDefault="00615A51" w:rsidP="00615A51">
            <w:pPr>
              <w:jc w:val="both"/>
              <w:rPr>
                <w:lang w:val="fr-CA"/>
              </w:rPr>
            </w:pPr>
          </w:p>
        </w:tc>
        <w:tc>
          <w:tcPr>
            <w:tcW w:w="4327" w:type="dxa"/>
          </w:tcPr>
          <w:p w:rsidR="00615A51" w:rsidRPr="00615A51" w:rsidRDefault="00004B8E" w:rsidP="00615A51">
            <w:pPr>
              <w:jc w:val="both"/>
              <w:rPr>
                <w:b/>
                <w:lang w:val="fr-CA"/>
              </w:rPr>
            </w:pPr>
            <w:r w:rsidRPr="00615A51">
              <w:rPr>
                <w:lang w:val="en-US"/>
              </w:rPr>
              <w:fldChar w:fldCharType="begin"/>
            </w:r>
            <w:r w:rsidR="00615A51" w:rsidRPr="00615A51">
              <w:rPr>
                <w:lang w:val="fr-CA"/>
              </w:rPr>
              <w:instrText xml:space="preserve"> SEQ CHAPTER \h \r 1</w:instrText>
            </w:r>
            <w:r w:rsidRPr="00615A51">
              <w:rPr>
                <w:lang w:val="en-US"/>
              </w:rPr>
              <w:fldChar w:fldCharType="end"/>
            </w:r>
            <w:r w:rsidR="00615A51" w:rsidRPr="00615A51">
              <w:rPr>
                <w:b/>
                <w:bCs/>
                <w:lang w:val="fr-CA"/>
              </w:rPr>
              <w:t>Requête diverse</w:t>
            </w:r>
          </w:p>
          <w:p w:rsidR="00615A51" w:rsidRPr="00615A51" w:rsidRDefault="00004B8E" w:rsidP="00615A51">
            <w:pPr>
              <w:jc w:val="both"/>
              <w:rPr>
                <w:b/>
                <w:lang w:val="fr-CA"/>
              </w:rPr>
            </w:pPr>
            <w:r w:rsidRPr="00615A51">
              <w:rPr>
                <w:b/>
                <w:lang w:val="en-US"/>
              </w:rPr>
              <w:fldChar w:fldCharType="begin"/>
            </w:r>
            <w:r w:rsidR="00615A51" w:rsidRPr="00615A51">
              <w:rPr>
                <w:b/>
                <w:lang w:val="fr-CA"/>
              </w:rPr>
              <w:instrText xml:space="preserve"> SEQ CHAPTER \h \r 1</w:instrText>
            </w:r>
            <w:r w:rsidRPr="00615A51">
              <w:rPr>
                <w:b/>
                <w:lang w:val="en-US"/>
              </w:rPr>
              <w:fldChar w:fldCharType="end"/>
            </w:r>
            <w:r w:rsidRPr="00615A51">
              <w:rPr>
                <w:b/>
                <w:lang w:val="en-US"/>
              </w:rPr>
              <w:fldChar w:fldCharType="begin"/>
            </w:r>
            <w:r w:rsidR="00615A51" w:rsidRPr="00615A51">
              <w:rPr>
                <w:b/>
                <w:lang w:val="fr-CA"/>
              </w:rPr>
              <w:instrText xml:space="preserve"> SEQ CHAPTER \h \r 1</w:instrText>
            </w:r>
            <w:r w:rsidRPr="00615A51">
              <w:rPr>
                <w:b/>
                <w:lang w:val="en-US"/>
              </w:rPr>
              <w:fldChar w:fldCharType="end"/>
            </w:r>
          </w:p>
        </w:tc>
      </w:tr>
      <w:tr w:rsidR="00615A51" w:rsidRPr="00615A51" w:rsidTr="00615A51">
        <w:trPr>
          <w:trHeight w:val="150"/>
        </w:trPr>
        <w:tc>
          <w:tcPr>
            <w:tcW w:w="4338" w:type="dxa"/>
          </w:tcPr>
          <w:p w:rsidR="00615A51" w:rsidRPr="00615A51" w:rsidRDefault="00615A51" w:rsidP="00615A51">
            <w:pPr>
              <w:tabs>
                <w:tab w:val="left" w:pos="-1440"/>
                <w:tab w:val="left" w:pos="-720"/>
              </w:tabs>
              <w:jc w:val="both"/>
            </w:pPr>
            <w:r w:rsidRPr="00615A51">
              <w:t>Colleen Peciukaitis</w:t>
            </w:r>
          </w:p>
          <w:p w:rsidR="00615A51" w:rsidRPr="00615A51" w:rsidRDefault="00615A51" w:rsidP="00615A51">
            <w:pPr>
              <w:tabs>
                <w:tab w:val="left" w:pos="-1440"/>
                <w:tab w:val="left" w:pos="-720"/>
              </w:tabs>
              <w:jc w:val="both"/>
            </w:pPr>
          </w:p>
          <w:p w:rsidR="00615A51" w:rsidRPr="00615A51" w:rsidRDefault="00615A51" w:rsidP="00615A51">
            <w:pPr>
              <w:tabs>
                <w:tab w:val="left" w:pos="-1440"/>
                <w:tab w:val="left" w:pos="-720"/>
              </w:tabs>
              <w:jc w:val="both"/>
            </w:pPr>
            <w:r w:rsidRPr="00615A51">
              <w:tab/>
              <w:t>v. (35882)</w:t>
            </w:r>
          </w:p>
          <w:p w:rsidR="00615A51" w:rsidRPr="00615A51" w:rsidRDefault="00615A51" w:rsidP="00615A51">
            <w:pPr>
              <w:tabs>
                <w:tab w:val="left" w:pos="-1440"/>
                <w:tab w:val="left" w:pos="-720"/>
              </w:tabs>
              <w:jc w:val="both"/>
            </w:pPr>
          </w:p>
          <w:p w:rsidR="00615A51" w:rsidRPr="00615A51" w:rsidRDefault="00615A51" w:rsidP="00615A51">
            <w:pPr>
              <w:tabs>
                <w:tab w:val="left" w:pos="-1440"/>
                <w:tab w:val="left" w:pos="-720"/>
              </w:tabs>
              <w:jc w:val="both"/>
            </w:pPr>
            <w:r w:rsidRPr="00615A51">
              <w:t>Forest Harbour Ratepayers Incorporated (Ont.)</w:t>
            </w:r>
          </w:p>
        </w:tc>
        <w:tc>
          <w:tcPr>
            <w:tcW w:w="1170" w:type="dxa"/>
          </w:tcPr>
          <w:p w:rsidR="00615A51" w:rsidRPr="00615A51" w:rsidRDefault="00615A51" w:rsidP="00615A51">
            <w:pPr>
              <w:jc w:val="both"/>
            </w:pPr>
          </w:p>
        </w:tc>
        <w:tc>
          <w:tcPr>
            <w:tcW w:w="4327" w:type="dxa"/>
          </w:tcPr>
          <w:p w:rsidR="00615A51" w:rsidRPr="00615A51" w:rsidRDefault="00615A51" w:rsidP="00615A51">
            <w:pPr>
              <w:jc w:val="both"/>
            </w:pPr>
          </w:p>
        </w:tc>
      </w:tr>
    </w:tbl>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615A51" w:rsidP="00615A51">
      <w:pPr>
        <w:tabs>
          <w:tab w:val="left" w:pos="-1440"/>
          <w:tab w:val="left" w:pos="-720"/>
        </w:tabs>
        <w:jc w:val="both"/>
        <w:rPr>
          <w:rFonts w:eastAsia="Times New Roman" w:cs="Times New Roman"/>
          <w:sz w:val="20"/>
          <w:szCs w:val="20"/>
          <w:lang w:eastAsia="en-CA"/>
        </w:rPr>
      </w:pPr>
      <w:r w:rsidRPr="00615A51">
        <w:rPr>
          <w:rFonts w:eastAsia="Times New Roman" w:cs="Times New Roman"/>
          <w:b/>
          <w:sz w:val="20"/>
          <w:szCs w:val="20"/>
          <w:lang w:eastAsia="en-CA"/>
        </w:rPr>
        <w:t>GRANTED / ACCORDÉE</w:t>
      </w:r>
    </w:p>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615A51" w:rsidP="00615A51">
      <w:pPr>
        <w:jc w:val="both"/>
        <w:rPr>
          <w:rFonts w:eastAsia="Times New Roman" w:cs="Times New Roman"/>
          <w:sz w:val="20"/>
          <w:szCs w:val="20"/>
          <w:lang w:val="en-US" w:eastAsia="en-CA"/>
        </w:rPr>
      </w:pPr>
      <w:r w:rsidRPr="00615A51">
        <w:rPr>
          <w:rFonts w:eastAsia="Times New Roman" w:cs="Times New Roman"/>
          <w:b/>
          <w:sz w:val="20"/>
          <w:szCs w:val="20"/>
          <w:lang w:val="en-US" w:eastAsia="en-CA"/>
        </w:rPr>
        <w:t>UPON APPLICATION</w:t>
      </w:r>
      <w:r w:rsidRPr="00615A51">
        <w:rPr>
          <w:rFonts w:eastAsia="Times New Roman" w:cs="Times New Roman"/>
          <w:sz w:val="20"/>
          <w:szCs w:val="20"/>
          <w:lang w:val="en-US" w:eastAsia="en-CA"/>
        </w:rPr>
        <w:t xml:space="preserve"> </w:t>
      </w:r>
      <w:r w:rsidR="00004B8E" w:rsidRPr="00615A51">
        <w:rPr>
          <w:rFonts w:eastAsia="Times New Roman" w:cs="Times New Roman"/>
          <w:sz w:val="20"/>
          <w:szCs w:val="20"/>
          <w:lang w:val="en-US" w:eastAsia="en-CA"/>
        </w:rPr>
        <w:fldChar w:fldCharType="begin"/>
      </w:r>
      <w:r w:rsidRPr="00615A51">
        <w:rPr>
          <w:rFonts w:eastAsia="Times New Roman" w:cs="Times New Roman"/>
          <w:sz w:val="20"/>
          <w:szCs w:val="20"/>
          <w:lang w:val="en-US" w:eastAsia="en-CA"/>
        </w:rPr>
        <w:instrText xml:space="preserve"> SEQ CHAPTER \h \r 1</w:instrText>
      </w:r>
      <w:r w:rsidR="00004B8E" w:rsidRPr="00615A51">
        <w:rPr>
          <w:rFonts w:eastAsia="Times New Roman" w:cs="Times New Roman"/>
          <w:sz w:val="20"/>
          <w:szCs w:val="20"/>
          <w:lang w:val="en-US" w:eastAsia="en-CA"/>
        </w:rPr>
        <w:fldChar w:fldCharType="end"/>
      </w:r>
      <w:r w:rsidRPr="00615A51">
        <w:rPr>
          <w:rFonts w:eastAsia="Times New Roman" w:cs="Times New Roman"/>
          <w:sz w:val="20"/>
          <w:szCs w:val="20"/>
          <w:lang w:val="en-US" w:eastAsia="en-CA"/>
        </w:rPr>
        <w:t>by the applicant pursuant to the provisions of Rule 32(2) for an Order to file additional material in support of the application for leave to appeal;</w:t>
      </w:r>
    </w:p>
    <w:p w:rsidR="00615A51" w:rsidRPr="00615A51" w:rsidRDefault="00615A51" w:rsidP="00615A51">
      <w:pPr>
        <w:jc w:val="both"/>
        <w:rPr>
          <w:rFonts w:eastAsia="Times New Roman" w:cs="Times New Roman"/>
          <w:sz w:val="20"/>
          <w:szCs w:val="20"/>
          <w:lang w:val="en-US" w:eastAsia="en-CA"/>
        </w:rPr>
      </w:pPr>
    </w:p>
    <w:p w:rsidR="00615A51" w:rsidRPr="00615A51" w:rsidRDefault="00004B8E" w:rsidP="00615A51">
      <w:pPr>
        <w:jc w:val="both"/>
        <w:rPr>
          <w:rFonts w:eastAsia="Times New Roman" w:cs="Times New Roman"/>
          <w:sz w:val="20"/>
          <w:szCs w:val="20"/>
          <w:lang w:val="en-US" w:eastAsia="en-CA"/>
        </w:rPr>
      </w:pPr>
      <w:r w:rsidRPr="00615A51">
        <w:rPr>
          <w:rFonts w:eastAsia="Times New Roman" w:cs="Times New Roman"/>
          <w:sz w:val="20"/>
          <w:szCs w:val="20"/>
          <w:lang w:val="en-US" w:eastAsia="en-CA"/>
        </w:rPr>
        <w:fldChar w:fldCharType="begin"/>
      </w:r>
      <w:r w:rsidR="00615A51" w:rsidRPr="00615A51">
        <w:rPr>
          <w:rFonts w:eastAsia="Times New Roman" w:cs="Times New Roman"/>
          <w:sz w:val="20"/>
          <w:szCs w:val="20"/>
          <w:lang w:val="en-US" w:eastAsia="en-CA"/>
        </w:rPr>
        <w:instrText xml:space="preserve"> SEQ CHAPTER \h \r 1</w:instrText>
      </w:r>
      <w:r w:rsidRPr="00615A51">
        <w:rPr>
          <w:rFonts w:eastAsia="Times New Roman" w:cs="Times New Roman"/>
          <w:sz w:val="20"/>
          <w:szCs w:val="20"/>
          <w:lang w:val="en-US" w:eastAsia="en-CA"/>
        </w:rPr>
        <w:fldChar w:fldCharType="end"/>
      </w:r>
      <w:r w:rsidR="00615A51" w:rsidRPr="00615A51">
        <w:rPr>
          <w:rFonts w:eastAsia="Times New Roman" w:cs="Times New Roman"/>
          <w:b/>
          <w:bCs/>
          <w:sz w:val="20"/>
          <w:szCs w:val="20"/>
          <w:lang w:val="en-US" w:eastAsia="en-CA"/>
        </w:rPr>
        <w:t>AND HAVING READ</w:t>
      </w:r>
      <w:r w:rsidR="00615A51" w:rsidRPr="00615A51">
        <w:rPr>
          <w:rFonts w:eastAsia="Times New Roman" w:cs="Times New Roman"/>
          <w:sz w:val="20"/>
          <w:szCs w:val="20"/>
          <w:lang w:val="en-US" w:eastAsia="en-CA"/>
        </w:rPr>
        <w:t xml:space="preserve"> the material filed;</w:t>
      </w:r>
    </w:p>
    <w:p w:rsidR="00615A51" w:rsidRPr="00615A51" w:rsidRDefault="00615A51" w:rsidP="00615A51">
      <w:pPr>
        <w:jc w:val="both"/>
        <w:rPr>
          <w:rFonts w:eastAsia="Times New Roman" w:cs="Times New Roman"/>
          <w:sz w:val="20"/>
          <w:szCs w:val="20"/>
          <w:lang w:val="en-US" w:eastAsia="en-CA"/>
        </w:rPr>
      </w:pPr>
      <w:r w:rsidRPr="00615A51">
        <w:rPr>
          <w:rFonts w:eastAsia="Times New Roman" w:cs="Times New Roman"/>
          <w:sz w:val="20"/>
          <w:szCs w:val="20"/>
          <w:lang w:val="en-US" w:eastAsia="en-CA"/>
        </w:rPr>
        <w:t xml:space="preserve"> </w:t>
      </w:r>
    </w:p>
    <w:p w:rsidR="00615A51" w:rsidRPr="00615A51" w:rsidRDefault="00615A51" w:rsidP="00615A51">
      <w:pPr>
        <w:jc w:val="both"/>
        <w:rPr>
          <w:rFonts w:eastAsia="Times New Roman" w:cs="Times New Roman"/>
          <w:b/>
          <w:sz w:val="20"/>
          <w:szCs w:val="20"/>
          <w:lang w:val="en-US" w:eastAsia="en-CA"/>
        </w:rPr>
      </w:pPr>
      <w:r w:rsidRPr="00615A51">
        <w:rPr>
          <w:rFonts w:eastAsia="Times New Roman" w:cs="Times New Roman"/>
          <w:b/>
          <w:sz w:val="20"/>
          <w:szCs w:val="20"/>
          <w:lang w:val="en-US" w:eastAsia="en-CA"/>
        </w:rPr>
        <w:t>IT IS HEREBY ORDERED THAT:</w:t>
      </w:r>
    </w:p>
    <w:p w:rsidR="00615A51" w:rsidRPr="00615A51" w:rsidRDefault="00615A51" w:rsidP="00615A51">
      <w:pPr>
        <w:ind w:left="360"/>
        <w:contextualSpacing/>
        <w:jc w:val="both"/>
        <w:rPr>
          <w:sz w:val="20"/>
          <w:szCs w:val="20"/>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sz w:val="20"/>
          <w:szCs w:val="20"/>
          <w:lang w:val="fr-CA" w:eastAsia="en-CA"/>
        </w:rPr>
        <w:t>The motion is granted.</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b/>
          <w:sz w:val="20"/>
          <w:szCs w:val="20"/>
          <w:lang w:val="fr-CA" w:eastAsia="en-CA"/>
        </w:rPr>
        <w:t>À LA SUITE DE LA REQUÊTE</w:t>
      </w:r>
      <w:r w:rsidRPr="00615A51">
        <w:rPr>
          <w:rFonts w:eastAsia="Times New Roman" w:cs="Times New Roman"/>
          <w:sz w:val="20"/>
          <w:szCs w:val="20"/>
          <w:lang w:val="fr-CA" w:eastAsia="en-CA"/>
        </w:rPr>
        <w:t xml:space="preserve"> du demandeur présentée en application du par. 32(2) des Règles et sollicitant la permission de soumettre des documents supplémentaires au soutien de la demande d’autorisation d’appel;</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b/>
          <w:sz w:val="20"/>
          <w:szCs w:val="20"/>
          <w:lang w:val="fr-CA" w:eastAsia="en-CA"/>
        </w:rPr>
        <w:t>ET APRÈS EXAMEN</w:t>
      </w:r>
      <w:r w:rsidRPr="00615A51">
        <w:rPr>
          <w:rFonts w:eastAsia="Times New Roman" w:cs="Times New Roman"/>
          <w:sz w:val="20"/>
          <w:szCs w:val="20"/>
          <w:lang w:val="fr-CA" w:eastAsia="en-CA"/>
        </w:rPr>
        <w:t xml:space="preserve"> des documents déposés;</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b/>
          <w:sz w:val="20"/>
          <w:szCs w:val="20"/>
          <w:lang w:val="fr-CA" w:eastAsia="en-CA"/>
        </w:rPr>
      </w:pPr>
      <w:r w:rsidRPr="00615A51">
        <w:rPr>
          <w:rFonts w:eastAsia="Times New Roman" w:cs="Times New Roman"/>
          <w:b/>
          <w:sz w:val="20"/>
          <w:szCs w:val="20"/>
          <w:lang w:val="fr-CA" w:eastAsia="en-CA"/>
        </w:rPr>
        <w:t>IL EST ORDONNÉ CE QUI SUIT :</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sz w:val="20"/>
          <w:szCs w:val="20"/>
          <w:lang w:val="fr-CA" w:eastAsia="en-CA"/>
        </w:rPr>
        <w:t>La requête est accueillie.</w:t>
      </w:r>
    </w:p>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237788" w:rsidP="00615A5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615A51" w:rsidP="00615A51">
      <w:pPr>
        <w:tabs>
          <w:tab w:val="left" w:pos="-1440"/>
          <w:tab w:val="left" w:pos="-720"/>
        </w:tabs>
        <w:jc w:val="both"/>
        <w:rPr>
          <w:rFonts w:eastAsia="Times New Roman" w:cs="Times New Roman"/>
          <w:sz w:val="20"/>
          <w:szCs w:val="20"/>
          <w:lang w:val="fr-CA" w:eastAsia="en-CA"/>
        </w:rPr>
      </w:pPr>
      <w:r w:rsidRPr="00615A51">
        <w:rPr>
          <w:rFonts w:eastAsia="Times New Roman" w:cs="Times New Roman"/>
          <w:sz w:val="20"/>
          <w:szCs w:val="20"/>
          <w:lang w:val="fr-CA" w:eastAsia="en-CA"/>
        </w:rPr>
        <w:t>03.10.2014</w:t>
      </w:r>
    </w:p>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615A51" w:rsidP="00615A51">
      <w:pPr>
        <w:tabs>
          <w:tab w:val="left" w:pos="-1440"/>
          <w:tab w:val="left" w:pos="-720"/>
        </w:tabs>
        <w:jc w:val="both"/>
        <w:rPr>
          <w:rFonts w:eastAsia="Times New Roman" w:cs="Times New Roman"/>
          <w:sz w:val="20"/>
          <w:szCs w:val="20"/>
          <w:lang w:eastAsia="en-CA"/>
        </w:rPr>
      </w:pPr>
      <w:r w:rsidRPr="00615A51">
        <w:rPr>
          <w:rFonts w:eastAsia="Times New Roman" w:cs="Times New Roman"/>
          <w:sz w:val="20"/>
          <w:szCs w:val="20"/>
          <w:lang w:val="fr-CA" w:eastAsia="en-CA"/>
        </w:rPr>
        <w:t xml:space="preserve">Before / Devant:   </w:t>
      </w:r>
      <w:r w:rsidRPr="00615A51">
        <w:rPr>
          <w:rFonts w:eastAsia="Times New Roman" w:cs="Times New Roman"/>
          <w:sz w:val="20"/>
          <w:szCs w:val="20"/>
          <w:lang w:eastAsia="en-CA"/>
        </w:rPr>
        <w:t>THE REGISTRAR / LE REGISTRAIRE</w:t>
      </w:r>
    </w:p>
    <w:p w:rsidR="00615A51" w:rsidRPr="00615A51" w:rsidRDefault="00615A51" w:rsidP="00615A51">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15A51" w:rsidRPr="00615A51" w:rsidTr="00615A51">
        <w:trPr>
          <w:trHeight w:val="151"/>
        </w:trPr>
        <w:tc>
          <w:tcPr>
            <w:tcW w:w="4338" w:type="dxa"/>
          </w:tcPr>
          <w:p w:rsidR="00615A51" w:rsidRPr="00615A51" w:rsidRDefault="00004B8E" w:rsidP="00615A51">
            <w:pPr>
              <w:tabs>
                <w:tab w:val="left" w:pos="-1440"/>
                <w:tab w:val="left" w:pos="-720"/>
              </w:tabs>
              <w:jc w:val="both"/>
              <w:rPr>
                <w:lang w:val="fr-CA"/>
              </w:rPr>
            </w:pPr>
            <w:r w:rsidRPr="00615A51">
              <w:rPr>
                <w:lang w:val="en-US"/>
              </w:rPr>
              <w:fldChar w:fldCharType="begin"/>
            </w:r>
            <w:r w:rsidR="00615A51" w:rsidRPr="00615A51">
              <w:rPr>
                <w:lang w:val="fr-CA"/>
              </w:rPr>
              <w:instrText xml:space="preserve"> SEQ CHAPTER \h \r 1</w:instrText>
            </w:r>
            <w:r w:rsidRPr="00615A51">
              <w:rPr>
                <w:lang w:val="en-US"/>
              </w:rPr>
              <w:fldChar w:fldCharType="end"/>
            </w:r>
            <w:r w:rsidR="00615A51" w:rsidRPr="00615A51">
              <w:rPr>
                <w:b/>
                <w:bCs/>
                <w:lang w:val="fr-CA"/>
              </w:rPr>
              <w:t>Miscellaneous motion</w:t>
            </w:r>
          </w:p>
          <w:p w:rsidR="00615A51" w:rsidRPr="00615A51" w:rsidRDefault="00004B8E" w:rsidP="00615A51">
            <w:pPr>
              <w:tabs>
                <w:tab w:val="left" w:pos="-1440"/>
                <w:tab w:val="left" w:pos="-720"/>
              </w:tabs>
              <w:jc w:val="both"/>
              <w:rPr>
                <w:lang w:val="fr-CA"/>
              </w:rPr>
            </w:pPr>
            <w:r w:rsidRPr="00615A51">
              <w:rPr>
                <w:lang w:val="en-US"/>
              </w:rPr>
              <w:fldChar w:fldCharType="begin"/>
            </w:r>
            <w:r w:rsidR="00615A51" w:rsidRPr="00615A51">
              <w:rPr>
                <w:lang w:val="fr-CA"/>
              </w:rPr>
              <w:instrText xml:space="preserve"> SEQ CHAPTER \h \r 1</w:instrText>
            </w:r>
            <w:r w:rsidRPr="00615A51">
              <w:rPr>
                <w:lang w:val="en-US"/>
              </w:rPr>
              <w:fldChar w:fldCharType="end"/>
            </w:r>
          </w:p>
        </w:tc>
        <w:tc>
          <w:tcPr>
            <w:tcW w:w="1170" w:type="dxa"/>
          </w:tcPr>
          <w:p w:rsidR="00615A51" w:rsidRPr="00615A51" w:rsidRDefault="00615A51" w:rsidP="00615A51">
            <w:pPr>
              <w:jc w:val="both"/>
              <w:rPr>
                <w:lang w:val="fr-CA"/>
              </w:rPr>
            </w:pPr>
          </w:p>
          <w:p w:rsidR="00615A51" w:rsidRPr="00615A51" w:rsidRDefault="00615A51" w:rsidP="00615A51">
            <w:pPr>
              <w:jc w:val="both"/>
              <w:rPr>
                <w:lang w:val="fr-CA"/>
              </w:rPr>
            </w:pPr>
          </w:p>
        </w:tc>
        <w:tc>
          <w:tcPr>
            <w:tcW w:w="4327" w:type="dxa"/>
          </w:tcPr>
          <w:p w:rsidR="00615A51" w:rsidRPr="00615A51" w:rsidRDefault="00004B8E" w:rsidP="00615A51">
            <w:pPr>
              <w:jc w:val="both"/>
              <w:rPr>
                <w:b/>
                <w:lang w:val="fr-CA"/>
              </w:rPr>
            </w:pPr>
            <w:r w:rsidRPr="00615A51">
              <w:rPr>
                <w:lang w:val="en-US"/>
              </w:rPr>
              <w:fldChar w:fldCharType="begin"/>
            </w:r>
            <w:r w:rsidR="00615A51" w:rsidRPr="00615A51">
              <w:rPr>
                <w:lang w:val="fr-CA"/>
              </w:rPr>
              <w:instrText xml:space="preserve"> SEQ CHAPTER \h \r 1</w:instrText>
            </w:r>
            <w:r w:rsidRPr="00615A51">
              <w:rPr>
                <w:lang w:val="en-US"/>
              </w:rPr>
              <w:fldChar w:fldCharType="end"/>
            </w:r>
            <w:r w:rsidR="00615A51" w:rsidRPr="00615A51">
              <w:rPr>
                <w:b/>
                <w:bCs/>
                <w:lang w:val="fr-CA"/>
              </w:rPr>
              <w:t>Requête diverse</w:t>
            </w:r>
          </w:p>
          <w:p w:rsidR="00615A51" w:rsidRPr="00615A51" w:rsidRDefault="00004B8E" w:rsidP="00615A51">
            <w:pPr>
              <w:jc w:val="both"/>
              <w:rPr>
                <w:b/>
                <w:lang w:val="fr-CA"/>
              </w:rPr>
            </w:pPr>
            <w:r w:rsidRPr="00615A51">
              <w:rPr>
                <w:b/>
                <w:lang w:val="en-US"/>
              </w:rPr>
              <w:fldChar w:fldCharType="begin"/>
            </w:r>
            <w:r w:rsidR="00615A51" w:rsidRPr="00615A51">
              <w:rPr>
                <w:b/>
                <w:lang w:val="fr-CA"/>
              </w:rPr>
              <w:instrText xml:space="preserve"> SEQ CHAPTER \h \r 1</w:instrText>
            </w:r>
            <w:r w:rsidRPr="00615A51">
              <w:rPr>
                <w:b/>
                <w:lang w:val="en-US"/>
              </w:rPr>
              <w:fldChar w:fldCharType="end"/>
            </w:r>
            <w:r w:rsidRPr="00615A51">
              <w:rPr>
                <w:b/>
                <w:lang w:val="en-US"/>
              </w:rPr>
              <w:fldChar w:fldCharType="begin"/>
            </w:r>
            <w:r w:rsidR="00615A51" w:rsidRPr="00615A51">
              <w:rPr>
                <w:b/>
                <w:lang w:val="fr-CA"/>
              </w:rPr>
              <w:instrText xml:space="preserve"> SEQ CHAPTER \h \r 1</w:instrText>
            </w:r>
            <w:r w:rsidRPr="00615A51">
              <w:rPr>
                <w:b/>
                <w:lang w:val="en-US"/>
              </w:rPr>
              <w:fldChar w:fldCharType="end"/>
            </w:r>
          </w:p>
        </w:tc>
      </w:tr>
      <w:tr w:rsidR="00615A51" w:rsidRPr="00615A51" w:rsidTr="00615A51">
        <w:trPr>
          <w:trHeight w:val="150"/>
        </w:trPr>
        <w:tc>
          <w:tcPr>
            <w:tcW w:w="4338" w:type="dxa"/>
          </w:tcPr>
          <w:p w:rsidR="00615A51" w:rsidRPr="00615A51" w:rsidRDefault="00615A51" w:rsidP="00615A51">
            <w:pPr>
              <w:tabs>
                <w:tab w:val="left" w:pos="-1440"/>
                <w:tab w:val="left" w:pos="-720"/>
              </w:tabs>
              <w:jc w:val="both"/>
            </w:pPr>
            <w:r w:rsidRPr="00615A51">
              <w:t>Z</w:t>
            </w:r>
          </w:p>
          <w:p w:rsidR="00615A51" w:rsidRPr="00615A51" w:rsidRDefault="00615A51" w:rsidP="00615A51">
            <w:pPr>
              <w:tabs>
                <w:tab w:val="left" w:pos="-1440"/>
                <w:tab w:val="left" w:pos="-720"/>
              </w:tabs>
              <w:jc w:val="both"/>
            </w:pPr>
          </w:p>
          <w:p w:rsidR="00615A51" w:rsidRPr="00615A51" w:rsidRDefault="00615A51" w:rsidP="00615A51">
            <w:pPr>
              <w:tabs>
                <w:tab w:val="left" w:pos="-1440"/>
                <w:tab w:val="left" w:pos="-720"/>
              </w:tabs>
              <w:jc w:val="both"/>
            </w:pPr>
            <w:r w:rsidRPr="00615A51">
              <w:tab/>
              <w:t>v. (35938)</w:t>
            </w:r>
          </w:p>
          <w:p w:rsidR="00615A51" w:rsidRPr="00615A51" w:rsidRDefault="00615A51" w:rsidP="00615A51">
            <w:pPr>
              <w:tabs>
                <w:tab w:val="left" w:pos="-1440"/>
                <w:tab w:val="left" w:pos="-720"/>
              </w:tabs>
              <w:jc w:val="both"/>
            </w:pPr>
          </w:p>
          <w:p w:rsidR="00615A51" w:rsidRPr="00615A51" w:rsidRDefault="00615A51" w:rsidP="00615A51">
            <w:pPr>
              <w:tabs>
                <w:tab w:val="left" w:pos="-1440"/>
                <w:tab w:val="left" w:pos="-720"/>
              </w:tabs>
              <w:jc w:val="both"/>
            </w:pPr>
            <w:r w:rsidRPr="00615A51">
              <w:t>Her Majesty the Queen et al. (Crim.) (B.C.)</w:t>
            </w:r>
          </w:p>
        </w:tc>
        <w:tc>
          <w:tcPr>
            <w:tcW w:w="1170" w:type="dxa"/>
          </w:tcPr>
          <w:p w:rsidR="00615A51" w:rsidRPr="00615A51" w:rsidRDefault="00615A51" w:rsidP="00615A51">
            <w:pPr>
              <w:jc w:val="both"/>
            </w:pPr>
          </w:p>
        </w:tc>
        <w:tc>
          <w:tcPr>
            <w:tcW w:w="4327" w:type="dxa"/>
          </w:tcPr>
          <w:p w:rsidR="00615A51" w:rsidRPr="00615A51" w:rsidRDefault="00615A51" w:rsidP="00615A51">
            <w:pPr>
              <w:jc w:val="both"/>
            </w:pPr>
          </w:p>
        </w:tc>
      </w:tr>
    </w:tbl>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615A51" w:rsidP="00615A51">
      <w:pPr>
        <w:tabs>
          <w:tab w:val="left" w:pos="-1440"/>
          <w:tab w:val="left" w:pos="-720"/>
        </w:tabs>
        <w:jc w:val="both"/>
        <w:rPr>
          <w:rFonts w:eastAsia="Times New Roman" w:cs="Times New Roman"/>
          <w:sz w:val="20"/>
          <w:szCs w:val="20"/>
          <w:lang w:val="en-US" w:eastAsia="en-CA"/>
        </w:rPr>
      </w:pPr>
      <w:r w:rsidRPr="00615A51">
        <w:rPr>
          <w:rFonts w:eastAsia="Times New Roman" w:cs="Times New Roman"/>
          <w:b/>
          <w:sz w:val="20"/>
          <w:szCs w:val="20"/>
          <w:lang w:val="en-US" w:eastAsia="en-CA"/>
        </w:rPr>
        <w:t>GRANTED / ACCORDÉE</w:t>
      </w:r>
    </w:p>
    <w:p w:rsidR="00615A51" w:rsidRPr="00615A51" w:rsidRDefault="00615A51" w:rsidP="00615A51">
      <w:pPr>
        <w:tabs>
          <w:tab w:val="left" w:pos="-1440"/>
          <w:tab w:val="left" w:pos="-720"/>
        </w:tabs>
        <w:jc w:val="both"/>
        <w:rPr>
          <w:rFonts w:eastAsia="Times New Roman" w:cs="Times New Roman"/>
          <w:sz w:val="20"/>
          <w:szCs w:val="20"/>
          <w:lang w:val="en-US" w:eastAsia="en-CA"/>
        </w:rPr>
      </w:pPr>
    </w:p>
    <w:p w:rsidR="00615A51" w:rsidRPr="00615A51" w:rsidRDefault="00615A51" w:rsidP="00615A51">
      <w:pPr>
        <w:jc w:val="both"/>
        <w:rPr>
          <w:rFonts w:eastAsia="Times New Roman" w:cs="Times New Roman"/>
          <w:sz w:val="20"/>
          <w:szCs w:val="20"/>
          <w:lang w:val="en-US" w:eastAsia="en-CA"/>
        </w:rPr>
      </w:pPr>
      <w:r w:rsidRPr="00615A51">
        <w:rPr>
          <w:rFonts w:eastAsia="Times New Roman" w:cs="Times New Roman"/>
          <w:b/>
          <w:sz w:val="20"/>
          <w:szCs w:val="20"/>
          <w:lang w:val="en-US" w:eastAsia="en-CA"/>
        </w:rPr>
        <w:t>UPON APPLICATION</w:t>
      </w:r>
      <w:r w:rsidRPr="00615A51">
        <w:rPr>
          <w:rFonts w:eastAsia="Times New Roman" w:cs="Times New Roman"/>
          <w:sz w:val="20"/>
          <w:szCs w:val="20"/>
          <w:lang w:val="en-US" w:eastAsia="en-CA"/>
        </w:rPr>
        <w:t xml:space="preserve"> </w:t>
      </w:r>
      <w:r w:rsidR="00004B8E" w:rsidRPr="00615A51">
        <w:rPr>
          <w:rFonts w:eastAsia="Times New Roman" w:cs="Times New Roman"/>
          <w:sz w:val="20"/>
          <w:szCs w:val="20"/>
          <w:lang w:val="en-US" w:eastAsia="en-CA"/>
        </w:rPr>
        <w:fldChar w:fldCharType="begin"/>
      </w:r>
      <w:r w:rsidRPr="00615A51">
        <w:rPr>
          <w:rFonts w:eastAsia="Times New Roman" w:cs="Times New Roman"/>
          <w:sz w:val="20"/>
          <w:szCs w:val="20"/>
          <w:lang w:val="en-US" w:eastAsia="en-CA"/>
        </w:rPr>
        <w:instrText xml:space="preserve"> SEQ CHAPTER \h \r 1</w:instrText>
      </w:r>
      <w:r w:rsidR="00004B8E" w:rsidRPr="00615A51">
        <w:rPr>
          <w:rFonts w:eastAsia="Times New Roman" w:cs="Times New Roman"/>
          <w:sz w:val="20"/>
          <w:szCs w:val="20"/>
          <w:lang w:val="en-US" w:eastAsia="en-CA"/>
        </w:rPr>
        <w:fldChar w:fldCharType="end"/>
      </w:r>
      <w:r w:rsidRPr="00615A51">
        <w:rPr>
          <w:rFonts w:eastAsia="Times New Roman" w:cs="Times New Roman"/>
          <w:sz w:val="20"/>
          <w:szCs w:val="20"/>
          <w:lang w:val="en-US" w:eastAsia="en-CA"/>
        </w:rPr>
        <w:t>on behalf of the applicant pursuant to the provisions of Rule 32(2) for an Order to file additional material, namely, a motion for a stay of proceedings;</w:t>
      </w:r>
    </w:p>
    <w:p w:rsidR="00615A51" w:rsidRPr="00615A51" w:rsidRDefault="00615A51" w:rsidP="00615A51">
      <w:pPr>
        <w:rPr>
          <w:rFonts w:eastAsia="Times New Roman" w:cs="Times New Roman"/>
          <w:sz w:val="20"/>
          <w:szCs w:val="20"/>
          <w:lang w:val="en-US" w:eastAsia="en-CA"/>
        </w:rPr>
      </w:pPr>
      <w:r w:rsidRPr="00615A51">
        <w:rPr>
          <w:rFonts w:eastAsia="Times New Roman" w:cs="Times New Roman"/>
          <w:sz w:val="20"/>
          <w:szCs w:val="20"/>
          <w:lang w:val="en-US" w:eastAsia="en-CA"/>
        </w:rPr>
        <w:br w:type="page"/>
      </w:r>
    </w:p>
    <w:p w:rsidR="00615A51" w:rsidRPr="00615A51" w:rsidRDefault="00004B8E" w:rsidP="00615A51">
      <w:pPr>
        <w:jc w:val="both"/>
        <w:rPr>
          <w:rFonts w:eastAsia="Times New Roman" w:cs="Times New Roman"/>
          <w:sz w:val="20"/>
          <w:szCs w:val="20"/>
          <w:lang w:val="en-US" w:eastAsia="en-CA"/>
        </w:rPr>
      </w:pPr>
      <w:r w:rsidRPr="00615A51">
        <w:rPr>
          <w:rFonts w:eastAsia="Times New Roman" w:cs="Times New Roman"/>
          <w:sz w:val="20"/>
          <w:szCs w:val="20"/>
          <w:lang w:val="en-US" w:eastAsia="en-CA"/>
        </w:rPr>
        <w:lastRenderedPageBreak/>
        <w:fldChar w:fldCharType="begin"/>
      </w:r>
      <w:r w:rsidR="00615A51" w:rsidRPr="00615A51">
        <w:rPr>
          <w:rFonts w:eastAsia="Times New Roman" w:cs="Times New Roman"/>
          <w:sz w:val="20"/>
          <w:szCs w:val="20"/>
          <w:lang w:val="en-US" w:eastAsia="en-CA"/>
        </w:rPr>
        <w:instrText xml:space="preserve"> SEQ CHAPTER \h \r 1</w:instrText>
      </w:r>
      <w:r w:rsidRPr="00615A51">
        <w:rPr>
          <w:rFonts w:eastAsia="Times New Roman" w:cs="Times New Roman"/>
          <w:sz w:val="20"/>
          <w:szCs w:val="20"/>
          <w:lang w:val="en-US" w:eastAsia="en-CA"/>
        </w:rPr>
        <w:fldChar w:fldCharType="end"/>
      </w:r>
      <w:r w:rsidR="00615A51" w:rsidRPr="00615A51">
        <w:rPr>
          <w:rFonts w:eastAsia="Times New Roman" w:cs="Times New Roman"/>
          <w:b/>
          <w:bCs/>
          <w:sz w:val="20"/>
          <w:szCs w:val="20"/>
          <w:lang w:val="en-US" w:eastAsia="en-CA"/>
        </w:rPr>
        <w:t>AND HAVING READ</w:t>
      </w:r>
      <w:r w:rsidR="00615A51" w:rsidRPr="00615A51">
        <w:rPr>
          <w:rFonts w:eastAsia="Times New Roman" w:cs="Times New Roman"/>
          <w:sz w:val="20"/>
          <w:szCs w:val="20"/>
          <w:lang w:val="en-US" w:eastAsia="en-CA"/>
        </w:rPr>
        <w:t xml:space="preserve"> the material filed;</w:t>
      </w:r>
    </w:p>
    <w:p w:rsidR="00615A51" w:rsidRPr="00615A51" w:rsidRDefault="00615A51" w:rsidP="00615A51">
      <w:pPr>
        <w:jc w:val="both"/>
        <w:rPr>
          <w:rFonts w:eastAsia="Times New Roman" w:cs="Times New Roman"/>
          <w:sz w:val="20"/>
          <w:szCs w:val="20"/>
          <w:lang w:val="en-US" w:eastAsia="en-CA"/>
        </w:rPr>
      </w:pPr>
    </w:p>
    <w:p w:rsidR="00615A51" w:rsidRPr="00615A51" w:rsidRDefault="00615A51" w:rsidP="00615A51">
      <w:pPr>
        <w:jc w:val="both"/>
        <w:rPr>
          <w:rFonts w:eastAsia="Times New Roman" w:cs="Times New Roman"/>
          <w:b/>
          <w:sz w:val="20"/>
          <w:szCs w:val="20"/>
          <w:lang w:val="en-US" w:eastAsia="en-CA"/>
        </w:rPr>
      </w:pPr>
      <w:r w:rsidRPr="00615A51">
        <w:rPr>
          <w:rFonts w:eastAsia="Times New Roman" w:cs="Times New Roman"/>
          <w:b/>
          <w:sz w:val="20"/>
          <w:szCs w:val="20"/>
          <w:lang w:val="en-US" w:eastAsia="en-CA"/>
        </w:rPr>
        <w:t>IT IS HEREBY ORDERED THAT:</w:t>
      </w:r>
    </w:p>
    <w:p w:rsidR="00615A51" w:rsidRPr="00615A51" w:rsidRDefault="00615A51" w:rsidP="00615A51">
      <w:pPr>
        <w:ind w:left="360"/>
        <w:contextualSpacing/>
        <w:jc w:val="both"/>
        <w:rPr>
          <w:sz w:val="20"/>
          <w:szCs w:val="20"/>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sz w:val="20"/>
          <w:szCs w:val="20"/>
          <w:lang w:val="fr-CA" w:eastAsia="en-CA"/>
        </w:rPr>
        <w:t>The motion is granted.</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b/>
          <w:sz w:val="20"/>
          <w:szCs w:val="20"/>
          <w:lang w:val="fr-CA" w:eastAsia="en-CA"/>
        </w:rPr>
        <w:t>À LA SUITE DE LA REQUÊTE</w:t>
      </w:r>
      <w:r w:rsidRPr="00615A51">
        <w:rPr>
          <w:rFonts w:eastAsia="Times New Roman" w:cs="Times New Roman"/>
          <w:sz w:val="20"/>
          <w:szCs w:val="20"/>
          <w:lang w:val="fr-CA" w:eastAsia="en-CA"/>
        </w:rPr>
        <w:t xml:space="preserve"> présentée au nom du demandeur en application du par. 32(2) des Règles et sollicitant la permission de soumettre des documents supplémentaires, à savoir, un requête en arrêt des procédures;</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b/>
          <w:sz w:val="20"/>
          <w:szCs w:val="20"/>
          <w:lang w:val="fr-CA" w:eastAsia="en-CA"/>
        </w:rPr>
        <w:t>ET APRÈS EXAMEN</w:t>
      </w:r>
      <w:r w:rsidRPr="00615A51">
        <w:rPr>
          <w:rFonts w:eastAsia="Times New Roman" w:cs="Times New Roman"/>
          <w:sz w:val="20"/>
          <w:szCs w:val="20"/>
          <w:lang w:val="fr-CA" w:eastAsia="en-CA"/>
        </w:rPr>
        <w:t xml:space="preserve"> des documents déposés;</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b/>
          <w:sz w:val="20"/>
          <w:szCs w:val="20"/>
          <w:lang w:val="fr-CA" w:eastAsia="en-CA"/>
        </w:rPr>
      </w:pPr>
      <w:r w:rsidRPr="00615A51">
        <w:rPr>
          <w:rFonts w:eastAsia="Times New Roman" w:cs="Times New Roman"/>
          <w:b/>
          <w:sz w:val="20"/>
          <w:szCs w:val="20"/>
          <w:lang w:val="fr-CA" w:eastAsia="en-CA"/>
        </w:rPr>
        <w:t>IL EST ORDONNÉ CE QUI SUIT :</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sz w:val="20"/>
          <w:szCs w:val="20"/>
          <w:lang w:val="fr-CA" w:eastAsia="en-CA"/>
        </w:rPr>
        <w:t>La requête est accueillie.</w:t>
      </w:r>
    </w:p>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237788" w:rsidP="00615A5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615A51" w:rsidP="00615A51">
      <w:pPr>
        <w:tabs>
          <w:tab w:val="left" w:pos="-1440"/>
          <w:tab w:val="left" w:pos="-720"/>
        </w:tabs>
        <w:jc w:val="both"/>
        <w:rPr>
          <w:rFonts w:eastAsia="Times New Roman" w:cs="Times New Roman"/>
          <w:sz w:val="20"/>
          <w:szCs w:val="20"/>
          <w:lang w:val="fr-CA" w:eastAsia="en-CA"/>
        </w:rPr>
      </w:pPr>
      <w:r w:rsidRPr="00615A51">
        <w:rPr>
          <w:rFonts w:eastAsia="Times New Roman" w:cs="Times New Roman"/>
          <w:sz w:val="20"/>
          <w:szCs w:val="20"/>
          <w:lang w:val="fr-CA" w:eastAsia="en-CA"/>
        </w:rPr>
        <w:t>06.10.2014</w:t>
      </w:r>
    </w:p>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615A51" w:rsidP="00615A51">
      <w:pPr>
        <w:tabs>
          <w:tab w:val="left" w:pos="-1440"/>
          <w:tab w:val="left" w:pos="-720"/>
        </w:tabs>
        <w:jc w:val="both"/>
        <w:rPr>
          <w:rFonts w:eastAsia="Times New Roman" w:cs="Times New Roman"/>
          <w:sz w:val="20"/>
          <w:szCs w:val="20"/>
          <w:lang w:val="fr-CA" w:eastAsia="en-CA"/>
        </w:rPr>
      </w:pPr>
      <w:r w:rsidRPr="00615A51">
        <w:rPr>
          <w:rFonts w:eastAsia="Times New Roman" w:cs="Times New Roman"/>
          <w:sz w:val="20"/>
          <w:szCs w:val="20"/>
          <w:lang w:val="fr-CA" w:eastAsia="en-CA"/>
        </w:rPr>
        <w:t>Before / Devant :   THE CHIEF JUSTICE / LA JUGE EN CHEF</w:t>
      </w:r>
    </w:p>
    <w:p w:rsidR="00615A51" w:rsidRPr="00615A51" w:rsidRDefault="00615A51" w:rsidP="00615A5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15A51" w:rsidRPr="00237788" w:rsidTr="00615A51">
        <w:tc>
          <w:tcPr>
            <w:tcW w:w="4338" w:type="dxa"/>
          </w:tcPr>
          <w:p w:rsidR="00615A51" w:rsidRPr="00615A51" w:rsidRDefault="00004B8E" w:rsidP="00615A51">
            <w:pPr>
              <w:tabs>
                <w:tab w:val="left" w:pos="-1440"/>
                <w:tab w:val="left" w:pos="-720"/>
              </w:tabs>
              <w:jc w:val="both"/>
              <w:rPr>
                <w:b/>
              </w:rPr>
            </w:pPr>
            <w:r w:rsidRPr="00615A51">
              <w:rPr>
                <w:szCs w:val="24"/>
                <w:lang w:val="en-US"/>
              </w:rPr>
              <w:fldChar w:fldCharType="begin"/>
            </w:r>
            <w:r w:rsidR="00615A51" w:rsidRPr="00615A51">
              <w:rPr>
                <w:szCs w:val="24"/>
                <w:lang w:val="en-US"/>
              </w:rPr>
              <w:instrText xml:space="preserve"> SEQ CHAPTER \h \r 1</w:instrText>
            </w:r>
            <w:r w:rsidRPr="00615A51">
              <w:rPr>
                <w:szCs w:val="24"/>
                <w:lang w:val="en-US"/>
              </w:rPr>
              <w:fldChar w:fldCharType="end"/>
            </w:r>
            <w:r w:rsidR="00615A51" w:rsidRPr="00615A51">
              <w:rPr>
                <w:b/>
                <w:bCs/>
                <w:lang w:val="en-US"/>
              </w:rPr>
              <w:t xml:space="preserve">Order appointing </w:t>
            </w:r>
            <w:r w:rsidR="00615A51" w:rsidRPr="00615A51">
              <w:rPr>
                <w:b/>
                <w:bCs/>
                <w:i/>
                <w:iCs/>
                <w:lang w:val="en-US"/>
              </w:rPr>
              <w:t>amicus curiae</w:t>
            </w:r>
          </w:p>
        </w:tc>
        <w:tc>
          <w:tcPr>
            <w:tcW w:w="1170" w:type="dxa"/>
          </w:tcPr>
          <w:p w:rsidR="00615A51" w:rsidRPr="00615A51" w:rsidRDefault="00615A51" w:rsidP="00615A51">
            <w:pPr>
              <w:tabs>
                <w:tab w:val="left" w:pos="-1440"/>
                <w:tab w:val="left" w:pos="-720"/>
              </w:tabs>
              <w:jc w:val="both"/>
            </w:pPr>
          </w:p>
          <w:p w:rsidR="00615A51" w:rsidRPr="00615A51" w:rsidRDefault="00615A51" w:rsidP="00615A51">
            <w:pPr>
              <w:tabs>
                <w:tab w:val="left" w:pos="-1440"/>
                <w:tab w:val="left" w:pos="-720"/>
              </w:tabs>
              <w:jc w:val="both"/>
            </w:pPr>
          </w:p>
        </w:tc>
        <w:tc>
          <w:tcPr>
            <w:tcW w:w="4327" w:type="dxa"/>
          </w:tcPr>
          <w:p w:rsidR="00615A51" w:rsidRPr="00615A51" w:rsidRDefault="00004B8E" w:rsidP="00615A51">
            <w:pPr>
              <w:tabs>
                <w:tab w:val="left" w:pos="-1440"/>
                <w:tab w:val="left" w:pos="-720"/>
              </w:tabs>
              <w:jc w:val="both"/>
              <w:rPr>
                <w:lang w:val="fr-CA"/>
              </w:rPr>
            </w:pPr>
            <w:r w:rsidRPr="00615A51">
              <w:rPr>
                <w:szCs w:val="24"/>
                <w:lang w:val="en-US"/>
              </w:rPr>
              <w:fldChar w:fldCharType="begin"/>
            </w:r>
            <w:r w:rsidR="00615A51" w:rsidRPr="00615A51">
              <w:rPr>
                <w:szCs w:val="24"/>
                <w:lang w:val="fr-CA"/>
              </w:rPr>
              <w:instrText xml:space="preserve"> SEQ CHAPTER \h \r 1</w:instrText>
            </w:r>
            <w:r w:rsidRPr="00615A51">
              <w:rPr>
                <w:szCs w:val="24"/>
                <w:lang w:val="en-US"/>
              </w:rPr>
              <w:fldChar w:fldCharType="end"/>
            </w:r>
            <w:r w:rsidR="00615A51" w:rsidRPr="00615A51">
              <w:rPr>
                <w:b/>
                <w:bCs/>
                <w:lang w:val="fr-CA"/>
              </w:rPr>
              <w:t xml:space="preserve">Ordonnance nommant un </w:t>
            </w:r>
            <w:r w:rsidR="00615A51" w:rsidRPr="00615A51">
              <w:rPr>
                <w:b/>
                <w:bCs/>
                <w:i/>
                <w:iCs/>
                <w:lang w:val="fr-CA"/>
              </w:rPr>
              <w:t>amicus curiae</w:t>
            </w:r>
            <w:r w:rsidR="00615A51" w:rsidRPr="00615A51">
              <w:rPr>
                <w:lang w:val="fr-CA"/>
              </w:rPr>
              <w:t xml:space="preserve"> </w:t>
            </w:r>
            <w:r w:rsidRPr="00615A51">
              <w:rPr>
                <w:lang w:val="en-US"/>
              </w:rPr>
              <w:fldChar w:fldCharType="begin"/>
            </w:r>
            <w:r w:rsidR="00615A51" w:rsidRPr="00615A51">
              <w:rPr>
                <w:lang w:val="fr-CA"/>
              </w:rPr>
              <w:instrText xml:space="preserve"> SEQ CHAPTER \h \r 1</w:instrText>
            </w:r>
            <w:r w:rsidRPr="00615A51">
              <w:rPr>
                <w:lang w:val="en-US"/>
              </w:rPr>
              <w:fldChar w:fldCharType="end"/>
            </w:r>
            <w:r w:rsidRPr="00615A51">
              <w:rPr>
                <w:lang w:val="en-US"/>
              </w:rPr>
              <w:fldChar w:fldCharType="begin"/>
            </w:r>
            <w:r w:rsidR="00615A51" w:rsidRPr="00615A51">
              <w:rPr>
                <w:lang w:val="fr-CA"/>
              </w:rPr>
              <w:instrText xml:space="preserve"> SEQ CHAPTER \h \r 1</w:instrText>
            </w:r>
            <w:r w:rsidRPr="00615A51">
              <w:rPr>
                <w:lang w:val="en-US"/>
              </w:rPr>
              <w:fldChar w:fldCharType="end"/>
            </w:r>
            <w:r w:rsidRPr="00615A51">
              <w:rPr>
                <w:lang w:val="en-US"/>
              </w:rPr>
              <w:fldChar w:fldCharType="begin"/>
            </w:r>
            <w:r w:rsidR="00615A51" w:rsidRPr="00615A51">
              <w:rPr>
                <w:lang w:val="fr-CA"/>
              </w:rPr>
              <w:instrText xml:space="preserve"> SEQ CHAPTER \h \r 1</w:instrText>
            </w:r>
            <w:r w:rsidRPr="00615A51">
              <w:rPr>
                <w:lang w:val="en-US"/>
              </w:rPr>
              <w:fldChar w:fldCharType="end"/>
            </w:r>
            <w:r w:rsidRPr="00615A51">
              <w:rPr>
                <w:lang w:val="en-US"/>
              </w:rPr>
              <w:fldChar w:fldCharType="begin"/>
            </w:r>
            <w:r w:rsidR="00615A51" w:rsidRPr="00615A51">
              <w:rPr>
                <w:lang w:val="fr-CA"/>
              </w:rPr>
              <w:instrText xml:space="preserve"> SEQ CHAPTER \h \r 1</w:instrText>
            </w:r>
            <w:r w:rsidRPr="00615A51">
              <w:rPr>
                <w:lang w:val="en-US"/>
              </w:rPr>
              <w:fldChar w:fldCharType="end"/>
            </w:r>
          </w:p>
        </w:tc>
      </w:tr>
      <w:tr w:rsidR="00615A51" w:rsidRPr="00615A51" w:rsidTr="00615A51">
        <w:tc>
          <w:tcPr>
            <w:tcW w:w="4338" w:type="dxa"/>
          </w:tcPr>
          <w:p w:rsidR="00615A51" w:rsidRPr="00615A51" w:rsidRDefault="00615A51" w:rsidP="00615A51">
            <w:pPr>
              <w:tabs>
                <w:tab w:val="left" w:pos="-1440"/>
                <w:tab w:val="left" w:pos="-720"/>
              </w:tabs>
              <w:jc w:val="both"/>
            </w:pPr>
            <w:r w:rsidRPr="00615A51">
              <w:t>Her Majesty the Queen</w:t>
            </w:r>
          </w:p>
          <w:p w:rsidR="00615A51" w:rsidRPr="00615A51" w:rsidRDefault="00615A51" w:rsidP="00615A51">
            <w:pPr>
              <w:tabs>
                <w:tab w:val="left" w:pos="-1440"/>
                <w:tab w:val="left" w:pos="-720"/>
              </w:tabs>
              <w:jc w:val="both"/>
            </w:pPr>
          </w:p>
          <w:p w:rsidR="00615A51" w:rsidRPr="00615A51" w:rsidRDefault="00615A51" w:rsidP="00615A51">
            <w:pPr>
              <w:tabs>
                <w:tab w:val="left" w:pos="-1440"/>
                <w:tab w:val="left" w:pos="-720"/>
              </w:tabs>
              <w:jc w:val="both"/>
            </w:pPr>
            <w:r w:rsidRPr="00615A51">
              <w:tab/>
              <w:t>v. (35971)</w:t>
            </w:r>
          </w:p>
          <w:p w:rsidR="00615A51" w:rsidRPr="00615A51" w:rsidRDefault="00615A51" w:rsidP="00615A51">
            <w:pPr>
              <w:tabs>
                <w:tab w:val="left" w:pos="-1440"/>
                <w:tab w:val="left" w:pos="-720"/>
              </w:tabs>
              <w:jc w:val="both"/>
            </w:pPr>
          </w:p>
          <w:p w:rsidR="00615A51" w:rsidRPr="00615A51" w:rsidRDefault="00615A51" w:rsidP="00615A51">
            <w:pPr>
              <w:tabs>
                <w:tab w:val="left" w:pos="-1440"/>
                <w:tab w:val="left" w:pos="-720"/>
              </w:tabs>
              <w:jc w:val="both"/>
              <w:rPr>
                <w:lang w:val="fr-CA"/>
              </w:rPr>
            </w:pPr>
            <w:r w:rsidRPr="00615A51">
              <w:rPr>
                <w:lang w:val="fr-CA"/>
              </w:rPr>
              <w:t>Andrew Simpson et al. (Crim.) (Que.)</w:t>
            </w:r>
          </w:p>
        </w:tc>
        <w:tc>
          <w:tcPr>
            <w:tcW w:w="1170" w:type="dxa"/>
          </w:tcPr>
          <w:p w:rsidR="00615A51" w:rsidRPr="00615A51" w:rsidRDefault="00615A51" w:rsidP="00615A51">
            <w:pPr>
              <w:tabs>
                <w:tab w:val="left" w:pos="-1440"/>
                <w:tab w:val="left" w:pos="-720"/>
              </w:tabs>
              <w:jc w:val="both"/>
              <w:rPr>
                <w:lang w:val="fr-CA"/>
              </w:rPr>
            </w:pPr>
          </w:p>
        </w:tc>
        <w:tc>
          <w:tcPr>
            <w:tcW w:w="4327" w:type="dxa"/>
          </w:tcPr>
          <w:p w:rsidR="00615A51" w:rsidRPr="00615A51" w:rsidRDefault="00615A51" w:rsidP="00615A51">
            <w:pPr>
              <w:tabs>
                <w:tab w:val="left" w:pos="-1440"/>
                <w:tab w:val="left" w:pos="-720"/>
              </w:tabs>
              <w:jc w:val="both"/>
              <w:rPr>
                <w:lang w:val="fr-CA"/>
              </w:rPr>
            </w:pPr>
          </w:p>
        </w:tc>
      </w:tr>
    </w:tbl>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615A51" w:rsidP="00615A51">
      <w:pPr>
        <w:tabs>
          <w:tab w:val="left" w:pos="-1440"/>
          <w:tab w:val="left" w:pos="-720"/>
        </w:tabs>
        <w:jc w:val="both"/>
        <w:rPr>
          <w:rFonts w:eastAsia="Times New Roman" w:cs="Times New Roman"/>
          <w:sz w:val="20"/>
          <w:szCs w:val="20"/>
          <w:lang w:eastAsia="en-CA"/>
        </w:rPr>
      </w:pPr>
      <w:r w:rsidRPr="00615A51">
        <w:rPr>
          <w:rFonts w:eastAsia="Times New Roman" w:cs="Times New Roman"/>
          <w:b/>
          <w:sz w:val="20"/>
          <w:szCs w:val="20"/>
          <w:lang w:eastAsia="en-CA"/>
        </w:rPr>
        <w:t>GRANTED / ACCORDÉE</w:t>
      </w:r>
    </w:p>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615A51" w:rsidP="00615A51">
      <w:pPr>
        <w:jc w:val="both"/>
        <w:rPr>
          <w:rFonts w:eastAsia="Times New Roman" w:cs="Times New Roman"/>
          <w:sz w:val="20"/>
          <w:szCs w:val="20"/>
          <w:lang w:val="en-US" w:eastAsia="en-CA"/>
        </w:rPr>
      </w:pPr>
      <w:r w:rsidRPr="00615A51">
        <w:rPr>
          <w:rFonts w:eastAsia="Times New Roman" w:cs="Times New Roman"/>
          <w:sz w:val="20"/>
          <w:szCs w:val="20"/>
          <w:lang w:val="en-US" w:eastAsia="en-CA"/>
        </w:rPr>
        <w:t xml:space="preserve">Given that the respondents have advised the Court that they will not be represented by counsel in this appeal, Mr. Walid Hijazi is accordingly appointed as </w:t>
      </w:r>
      <w:r w:rsidRPr="00615A51">
        <w:rPr>
          <w:rFonts w:eastAsia="Times New Roman" w:cs="Times New Roman"/>
          <w:i/>
          <w:iCs/>
          <w:sz w:val="20"/>
          <w:szCs w:val="20"/>
          <w:lang w:val="en-US" w:eastAsia="en-CA"/>
        </w:rPr>
        <w:t>amicus curiae</w:t>
      </w:r>
      <w:r w:rsidRPr="00615A51">
        <w:rPr>
          <w:rFonts w:eastAsia="Times New Roman" w:cs="Times New Roman"/>
          <w:sz w:val="20"/>
          <w:szCs w:val="20"/>
          <w:lang w:val="en-US" w:eastAsia="en-CA"/>
        </w:rPr>
        <w:t xml:space="preserve"> to assist the Court by filing a factum of no more than 40 pages and a book of authorities on or before December 12, 2014, and by making oral submissions at the hearing of the appeal. </w:t>
      </w:r>
    </w:p>
    <w:p w:rsidR="00615A51" w:rsidRPr="00615A51" w:rsidRDefault="00615A51" w:rsidP="00615A51">
      <w:pPr>
        <w:jc w:val="both"/>
        <w:rPr>
          <w:rFonts w:eastAsia="Times New Roman" w:cs="Times New Roman"/>
          <w:sz w:val="20"/>
          <w:szCs w:val="20"/>
          <w:lang w:val="en-US" w:eastAsia="en-CA"/>
        </w:rPr>
      </w:pPr>
    </w:p>
    <w:p w:rsidR="00615A51" w:rsidRPr="00615A51" w:rsidRDefault="00615A51" w:rsidP="00615A51">
      <w:pPr>
        <w:jc w:val="both"/>
        <w:rPr>
          <w:rFonts w:eastAsia="Times New Roman" w:cs="Times New Roman"/>
          <w:sz w:val="20"/>
          <w:szCs w:val="20"/>
          <w:lang w:val="en-US" w:eastAsia="en-CA"/>
        </w:rPr>
      </w:pPr>
      <w:r w:rsidRPr="00615A51">
        <w:rPr>
          <w:rFonts w:eastAsia="Times New Roman" w:cs="Times New Roman"/>
          <w:sz w:val="20"/>
          <w:szCs w:val="20"/>
          <w:lang w:val="en-US" w:eastAsia="en-CA"/>
        </w:rPr>
        <w:t xml:space="preserve">The reasonable fees and disbursements of Mr. Hijazi shall be paid, on consent, by the Attorney General of Quebec. </w:t>
      </w:r>
    </w:p>
    <w:p w:rsidR="00615A51" w:rsidRPr="00615A51" w:rsidRDefault="00615A51" w:rsidP="00615A51">
      <w:pPr>
        <w:spacing w:line="233" w:lineRule="auto"/>
        <w:jc w:val="both"/>
        <w:rPr>
          <w:rFonts w:eastAsia="Times New Roman" w:cs="Times New Roman"/>
          <w:sz w:val="20"/>
          <w:szCs w:val="20"/>
          <w:lang w:val="en-US" w:eastAsia="en-CA"/>
        </w:rPr>
      </w:pPr>
    </w:p>
    <w:p w:rsidR="00615A51" w:rsidRPr="00615A51" w:rsidRDefault="00615A51" w:rsidP="00615A51">
      <w:pPr>
        <w:spacing w:line="233" w:lineRule="auto"/>
        <w:jc w:val="both"/>
        <w:rPr>
          <w:rFonts w:eastAsia="Times New Roman" w:cs="Times New Roman"/>
          <w:b/>
          <w:sz w:val="20"/>
          <w:szCs w:val="20"/>
          <w:lang w:val="fr-CA" w:eastAsia="en-CA"/>
        </w:rPr>
      </w:pPr>
      <w:r w:rsidRPr="00615A51">
        <w:rPr>
          <w:rFonts w:eastAsia="Times New Roman" w:cs="Times New Roman"/>
          <w:b/>
          <w:sz w:val="20"/>
          <w:szCs w:val="20"/>
          <w:lang w:val="fr-CA" w:eastAsia="en-CA"/>
        </w:rPr>
        <w:t>IL EST ORDONNÉ CE QUI SUIT :</w:t>
      </w:r>
    </w:p>
    <w:p w:rsidR="00615A51" w:rsidRPr="00615A51" w:rsidRDefault="00615A51" w:rsidP="00615A51">
      <w:pPr>
        <w:spacing w:line="233" w:lineRule="auto"/>
        <w:jc w:val="both"/>
        <w:rPr>
          <w:rFonts w:eastAsia="Times New Roman" w:cs="Times New Roman"/>
          <w:sz w:val="20"/>
          <w:szCs w:val="20"/>
          <w:lang w:val="fr-CA" w:eastAsia="en-CA"/>
        </w:rPr>
      </w:pPr>
    </w:p>
    <w:p w:rsidR="00615A51" w:rsidRPr="00615A51" w:rsidRDefault="00615A51" w:rsidP="00615A51">
      <w:pPr>
        <w:spacing w:line="233" w:lineRule="auto"/>
        <w:jc w:val="both"/>
        <w:rPr>
          <w:rFonts w:eastAsia="Times New Roman" w:cs="Times New Roman"/>
          <w:sz w:val="20"/>
          <w:szCs w:val="20"/>
          <w:lang w:val="fr-CA" w:eastAsia="en-CA"/>
        </w:rPr>
      </w:pPr>
      <w:r w:rsidRPr="00615A51">
        <w:rPr>
          <w:rFonts w:eastAsia="Times New Roman" w:cs="Times New Roman"/>
          <w:sz w:val="20"/>
          <w:szCs w:val="20"/>
          <w:lang w:val="fr-CA" w:eastAsia="en-CA"/>
        </w:rPr>
        <w:t>Puisque les intimés ont informé la Cour qu’ils ne seront pas représentés par avocats dans le présent appel, M</w:t>
      </w:r>
      <w:r w:rsidRPr="00615A51">
        <w:rPr>
          <w:rFonts w:eastAsia="Times New Roman" w:cs="Times New Roman"/>
          <w:sz w:val="20"/>
          <w:szCs w:val="20"/>
          <w:vertAlign w:val="superscript"/>
          <w:lang w:val="fr-CA" w:eastAsia="en-CA"/>
        </w:rPr>
        <w:t xml:space="preserve">e </w:t>
      </w:r>
      <w:r w:rsidRPr="00615A51">
        <w:rPr>
          <w:rFonts w:eastAsia="Times New Roman" w:cs="Times New Roman"/>
          <w:sz w:val="20"/>
          <w:szCs w:val="20"/>
          <w:lang w:val="fr-CA" w:eastAsia="en-CA"/>
        </w:rPr>
        <w:t xml:space="preserve">Walid Hijazi est nommé </w:t>
      </w:r>
      <w:r w:rsidRPr="00615A51">
        <w:rPr>
          <w:rFonts w:eastAsia="Times New Roman" w:cs="Times New Roman"/>
          <w:i/>
          <w:sz w:val="20"/>
          <w:szCs w:val="20"/>
          <w:lang w:val="fr-CA" w:eastAsia="en-CA"/>
        </w:rPr>
        <w:t>amicus curiae</w:t>
      </w:r>
      <w:r w:rsidRPr="00615A51">
        <w:rPr>
          <w:rFonts w:eastAsia="Times New Roman" w:cs="Times New Roman"/>
          <w:sz w:val="20"/>
          <w:szCs w:val="20"/>
          <w:lang w:val="fr-CA" w:eastAsia="en-CA"/>
        </w:rPr>
        <w:t xml:space="preserve"> afin d’aider la Cour en déposant un mémoire d’au plus 40 pages ainsi qu’un recueil de sources au plus tard le 12 décembre 2014, et en présentant une plaidoirie orale durant l’audition du pourvoi.</w:t>
      </w:r>
    </w:p>
    <w:p w:rsidR="00615A51" w:rsidRPr="00615A51" w:rsidRDefault="00615A51" w:rsidP="00615A51">
      <w:pPr>
        <w:spacing w:line="233" w:lineRule="auto"/>
        <w:jc w:val="both"/>
        <w:rPr>
          <w:rFonts w:eastAsia="Times New Roman" w:cs="Times New Roman"/>
          <w:sz w:val="20"/>
          <w:szCs w:val="20"/>
          <w:lang w:val="fr-CA" w:eastAsia="en-CA"/>
        </w:rPr>
      </w:pPr>
    </w:p>
    <w:p w:rsidR="00615A51" w:rsidRPr="00615A51" w:rsidRDefault="00615A51" w:rsidP="00615A51">
      <w:pPr>
        <w:spacing w:line="233" w:lineRule="auto"/>
        <w:jc w:val="both"/>
        <w:rPr>
          <w:rFonts w:eastAsia="Times New Roman" w:cs="Times New Roman"/>
          <w:sz w:val="20"/>
          <w:szCs w:val="20"/>
          <w:lang w:val="fr-CA" w:eastAsia="en-CA"/>
        </w:rPr>
      </w:pPr>
      <w:r w:rsidRPr="00615A51">
        <w:rPr>
          <w:rFonts w:eastAsia="Times New Roman" w:cs="Times New Roman"/>
          <w:sz w:val="20"/>
          <w:szCs w:val="20"/>
          <w:lang w:val="fr-CA" w:eastAsia="en-CA"/>
        </w:rPr>
        <w:t>Les honoraires et débours raisonnables de M</w:t>
      </w:r>
      <w:r w:rsidRPr="00615A51">
        <w:rPr>
          <w:rFonts w:eastAsia="Times New Roman" w:cs="Times New Roman"/>
          <w:sz w:val="20"/>
          <w:szCs w:val="20"/>
          <w:vertAlign w:val="superscript"/>
          <w:lang w:val="fr-CA" w:eastAsia="en-CA"/>
        </w:rPr>
        <w:t>e</w:t>
      </w:r>
      <w:r w:rsidRPr="00615A51">
        <w:rPr>
          <w:rFonts w:eastAsia="Times New Roman" w:cs="Times New Roman"/>
          <w:sz w:val="20"/>
          <w:szCs w:val="20"/>
          <w:lang w:val="fr-CA" w:eastAsia="en-CA"/>
        </w:rPr>
        <w:t xml:space="preserve"> Hijazi seront payés, sur consentement, par le Procureur général du Québec.</w:t>
      </w:r>
    </w:p>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237788" w:rsidP="00615A51">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615A51" w:rsidRDefault="00615A51">
      <w:pPr>
        <w:rPr>
          <w:rFonts w:eastAsia="Times New Roman" w:cs="Times New Roman"/>
          <w:sz w:val="20"/>
          <w:szCs w:val="20"/>
          <w:lang w:val="fr-CA" w:eastAsia="en-CA"/>
        </w:rPr>
      </w:pPr>
      <w:r>
        <w:rPr>
          <w:rFonts w:eastAsia="Times New Roman" w:cs="Times New Roman"/>
          <w:sz w:val="20"/>
          <w:szCs w:val="20"/>
          <w:lang w:val="fr-CA" w:eastAsia="en-CA"/>
        </w:rPr>
        <w:br w:type="page"/>
      </w:r>
    </w:p>
    <w:p w:rsidR="00615A51" w:rsidRPr="00615A51" w:rsidRDefault="00615A51" w:rsidP="00615A51">
      <w:pPr>
        <w:tabs>
          <w:tab w:val="left" w:pos="-1440"/>
          <w:tab w:val="left" w:pos="-720"/>
        </w:tabs>
        <w:jc w:val="both"/>
        <w:rPr>
          <w:rFonts w:eastAsia="Times New Roman" w:cs="Times New Roman"/>
          <w:sz w:val="20"/>
          <w:szCs w:val="20"/>
          <w:lang w:val="fr-CA" w:eastAsia="en-CA"/>
        </w:rPr>
      </w:pPr>
      <w:r w:rsidRPr="00615A51">
        <w:rPr>
          <w:rFonts w:eastAsia="Times New Roman" w:cs="Times New Roman"/>
          <w:sz w:val="20"/>
          <w:szCs w:val="20"/>
          <w:lang w:val="fr-CA" w:eastAsia="en-CA"/>
        </w:rPr>
        <w:lastRenderedPageBreak/>
        <w:t>07.10.2014</w:t>
      </w:r>
    </w:p>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615A51" w:rsidP="00615A51">
      <w:pPr>
        <w:tabs>
          <w:tab w:val="left" w:pos="-1440"/>
          <w:tab w:val="left" w:pos="-720"/>
        </w:tabs>
        <w:jc w:val="both"/>
        <w:rPr>
          <w:rFonts w:eastAsia="Times New Roman" w:cs="Times New Roman"/>
          <w:sz w:val="20"/>
          <w:szCs w:val="20"/>
          <w:lang w:val="fr-CA" w:eastAsia="en-CA"/>
        </w:rPr>
      </w:pPr>
      <w:r w:rsidRPr="00615A51">
        <w:rPr>
          <w:rFonts w:eastAsia="Times New Roman" w:cs="Times New Roman"/>
          <w:sz w:val="20"/>
          <w:szCs w:val="20"/>
          <w:lang w:val="fr-CA" w:eastAsia="en-CA"/>
        </w:rPr>
        <w:t>Before / Devant :   KARAKATSANIS J. / LA JUGE KARAKATSANIS</w:t>
      </w:r>
    </w:p>
    <w:p w:rsidR="00615A51" w:rsidRPr="00615A51" w:rsidRDefault="00615A51" w:rsidP="00615A51">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15A51" w:rsidRPr="00615A51" w:rsidTr="00615A51">
        <w:trPr>
          <w:trHeight w:val="151"/>
        </w:trPr>
        <w:tc>
          <w:tcPr>
            <w:tcW w:w="4338" w:type="dxa"/>
          </w:tcPr>
          <w:p w:rsidR="00615A51" w:rsidRPr="00615A51" w:rsidRDefault="00004B8E" w:rsidP="00615A51">
            <w:pPr>
              <w:tabs>
                <w:tab w:val="left" w:pos="-1440"/>
                <w:tab w:val="left" w:pos="-720"/>
              </w:tabs>
              <w:jc w:val="both"/>
              <w:rPr>
                <w:lang w:val="fr-CA"/>
              </w:rPr>
            </w:pPr>
            <w:r w:rsidRPr="00615A51">
              <w:rPr>
                <w:lang w:val="en-US"/>
              </w:rPr>
              <w:fldChar w:fldCharType="begin"/>
            </w:r>
            <w:r w:rsidR="00615A51" w:rsidRPr="00615A51">
              <w:rPr>
                <w:lang w:val="fr-CA"/>
              </w:rPr>
              <w:instrText xml:space="preserve"> SEQ CHAPTER \h \r 1</w:instrText>
            </w:r>
            <w:r w:rsidRPr="00615A51">
              <w:rPr>
                <w:lang w:val="en-US"/>
              </w:rPr>
              <w:fldChar w:fldCharType="end"/>
            </w:r>
            <w:r w:rsidR="00615A51" w:rsidRPr="00615A51">
              <w:rPr>
                <w:b/>
                <w:bCs/>
                <w:lang w:val="fr-CA"/>
              </w:rPr>
              <w:t>Miscellaneous motion</w:t>
            </w:r>
          </w:p>
          <w:p w:rsidR="00615A51" w:rsidRPr="00615A51" w:rsidRDefault="00004B8E" w:rsidP="00615A51">
            <w:pPr>
              <w:tabs>
                <w:tab w:val="left" w:pos="-1440"/>
                <w:tab w:val="left" w:pos="-720"/>
              </w:tabs>
              <w:jc w:val="both"/>
              <w:rPr>
                <w:lang w:val="fr-CA"/>
              </w:rPr>
            </w:pPr>
            <w:r w:rsidRPr="00615A51">
              <w:rPr>
                <w:lang w:val="en-US"/>
              </w:rPr>
              <w:fldChar w:fldCharType="begin"/>
            </w:r>
            <w:r w:rsidR="00615A51" w:rsidRPr="00615A51">
              <w:rPr>
                <w:lang w:val="fr-CA"/>
              </w:rPr>
              <w:instrText xml:space="preserve"> SEQ CHAPTER \h \r 1</w:instrText>
            </w:r>
            <w:r w:rsidRPr="00615A51">
              <w:rPr>
                <w:lang w:val="en-US"/>
              </w:rPr>
              <w:fldChar w:fldCharType="end"/>
            </w:r>
          </w:p>
        </w:tc>
        <w:tc>
          <w:tcPr>
            <w:tcW w:w="1170" w:type="dxa"/>
          </w:tcPr>
          <w:p w:rsidR="00615A51" w:rsidRPr="00615A51" w:rsidRDefault="00615A51" w:rsidP="00615A51">
            <w:pPr>
              <w:jc w:val="both"/>
              <w:rPr>
                <w:lang w:val="fr-CA"/>
              </w:rPr>
            </w:pPr>
          </w:p>
          <w:p w:rsidR="00615A51" w:rsidRPr="00615A51" w:rsidRDefault="00615A51" w:rsidP="00615A51">
            <w:pPr>
              <w:jc w:val="both"/>
              <w:rPr>
                <w:lang w:val="fr-CA"/>
              </w:rPr>
            </w:pPr>
          </w:p>
        </w:tc>
        <w:tc>
          <w:tcPr>
            <w:tcW w:w="4327" w:type="dxa"/>
          </w:tcPr>
          <w:p w:rsidR="00615A51" w:rsidRPr="00615A51" w:rsidRDefault="00004B8E" w:rsidP="00615A51">
            <w:pPr>
              <w:jc w:val="both"/>
              <w:rPr>
                <w:b/>
                <w:lang w:val="fr-CA"/>
              </w:rPr>
            </w:pPr>
            <w:r w:rsidRPr="00615A51">
              <w:rPr>
                <w:lang w:val="en-US"/>
              </w:rPr>
              <w:fldChar w:fldCharType="begin"/>
            </w:r>
            <w:r w:rsidR="00615A51" w:rsidRPr="00615A51">
              <w:rPr>
                <w:lang w:val="fr-CA"/>
              </w:rPr>
              <w:instrText xml:space="preserve"> SEQ CHAPTER \h \r 1</w:instrText>
            </w:r>
            <w:r w:rsidRPr="00615A51">
              <w:rPr>
                <w:lang w:val="en-US"/>
              </w:rPr>
              <w:fldChar w:fldCharType="end"/>
            </w:r>
            <w:r w:rsidR="00615A51" w:rsidRPr="00615A51">
              <w:rPr>
                <w:b/>
                <w:bCs/>
                <w:lang w:val="fr-CA"/>
              </w:rPr>
              <w:t>Requête diverse</w:t>
            </w:r>
          </w:p>
          <w:p w:rsidR="00615A51" w:rsidRPr="00615A51" w:rsidRDefault="00004B8E" w:rsidP="00615A51">
            <w:pPr>
              <w:jc w:val="both"/>
              <w:rPr>
                <w:b/>
                <w:lang w:val="fr-CA"/>
              </w:rPr>
            </w:pPr>
            <w:r w:rsidRPr="00615A51">
              <w:rPr>
                <w:b/>
                <w:lang w:val="en-US"/>
              </w:rPr>
              <w:fldChar w:fldCharType="begin"/>
            </w:r>
            <w:r w:rsidR="00615A51" w:rsidRPr="00615A51">
              <w:rPr>
                <w:b/>
                <w:lang w:val="fr-CA"/>
              </w:rPr>
              <w:instrText xml:space="preserve"> SEQ CHAPTER \h \r 1</w:instrText>
            </w:r>
            <w:r w:rsidRPr="00615A51">
              <w:rPr>
                <w:b/>
                <w:lang w:val="en-US"/>
              </w:rPr>
              <w:fldChar w:fldCharType="end"/>
            </w:r>
            <w:r w:rsidRPr="00615A51">
              <w:rPr>
                <w:b/>
                <w:lang w:val="en-US"/>
              </w:rPr>
              <w:fldChar w:fldCharType="begin"/>
            </w:r>
            <w:r w:rsidR="00615A51" w:rsidRPr="00615A51">
              <w:rPr>
                <w:b/>
                <w:lang w:val="fr-CA"/>
              </w:rPr>
              <w:instrText xml:space="preserve"> SEQ CHAPTER \h \r 1</w:instrText>
            </w:r>
            <w:r w:rsidRPr="00615A51">
              <w:rPr>
                <w:b/>
                <w:lang w:val="en-US"/>
              </w:rPr>
              <w:fldChar w:fldCharType="end"/>
            </w:r>
          </w:p>
        </w:tc>
      </w:tr>
      <w:tr w:rsidR="00615A51" w:rsidRPr="00615A51" w:rsidTr="00615A51">
        <w:trPr>
          <w:trHeight w:val="150"/>
        </w:trPr>
        <w:tc>
          <w:tcPr>
            <w:tcW w:w="4338" w:type="dxa"/>
          </w:tcPr>
          <w:p w:rsidR="00615A51" w:rsidRPr="00615A51" w:rsidRDefault="00615A51" w:rsidP="00615A51">
            <w:pPr>
              <w:tabs>
                <w:tab w:val="left" w:pos="-1440"/>
                <w:tab w:val="left" w:pos="-720"/>
              </w:tabs>
              <w:jc w:val="both"/>
            </w:pPr>
            <w:r w:rsidRPr="00615A51">
              <w:t>Wanda Cummings</w:t>
            </w:r>
          </w:p>
          <w:p w:rsidR="00615A51" w:rsidRPr="00615A51" w:rsidRDefault="00615A51" w:rsidP="00615A51">
            <w:pPr>
              <w:tabs>
                <w:tab w:val="left" w:pos="-1440"/>
                <w:tab w:val="left" w:pos="-720"/>
              </w:tabs>
              <w:jc w:val="both"/>
            </w:pPr>
          </w:p>
          <w:p w:rsidR="00615A51" w:rsidRPr="00615A51" w:rsidRDefault="00615A51" w:rsidP="00615A51">
            <w:pPr>
              <w:tabs>
                <w:tab w:val="left" w:pos="-1440"/>
                <w:tab w:val="left" w:pos="-720"/>
              </w:tabs>
              <w:jc w:val="both"/>
            </w:pPr>
            <w:r w:rsidRPr="00615A51">
              <w:tab/>
              <w:t>v. (36004)</w:t>
            </w:r>
          </w:p>
          <w:p w:rsidR="00615A51" w:rsidRPr="00615A51" w:rsidRDefault="00615A51" w:rsidP="00615A51">
            <w:pPr>
              <w:tabs>
                <w:tab w:val="left" w:pos="-1440"/>
                <w:tab w:val="left" w:pos="-720"/>
              </w:tabs>
              <w:jc w:val="both"/>
            </w:pPr>
          </w:p>
          <w:p w:rsidR="00615A51" w:rsidRPr="00615A51" w:rsidRDefault="00615A51" w:rsidP="00615A51">
            <w:pPr>
              <w:tabs>
                <w:tab w:val="left" w:pos="-1440"/>
                <w:tab w:val="left" w:pos="-720"/>
              </w:tabs>
              <w:jc w:val="both"/>
            </w:pPr>
            <w:r w:rsidRPr="00615A51">
              <w:t>Her Majesty the Queen et al. (N.S.)</w:t>
            </w:r>
          </w:p>
        </w:tc>
        <w:tc>
          <w:tcPr>
            <w:tcW w:w="1170" w:type="dxa"/>
          </w:tcPr>
          <w:p w:rsidR="00615A51" w:rsidRPr="00615A51" w:rsidRDefault="00615A51" w:rsidP="00615A51">
            <w:pPr>
              <w:jc w:val="both"/>
            </w:pPr>
          </w:p>
        </w:tc>
        <w:tc>
          <w:tcPr>
            <w:tcW w:w="4327" w:type="dxa"/>
          </w:tcPr>
          <w:p w:rsidR="00615A51" w:rsidRPr="00615A51" w:rsidRDefault="00615A51" w:rsidP="00615A51">
            <w:pPr>
              <w:jc w:val="both"/>
            </w:pPr>
          </w:p>
        </w:tc>
      </w:tr>
    </w:tbl>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615A51" w:rsidP="00615A51">
      <w:pPr>
        <w:tabs>
          <w:tab w:val="left" w:pos="-1440"/>
          <w:tab w:val="left" w:pos="-720"/>
        </w:tabs>
        <w:jc w:val="both"/>
        <w:rPr>
          <w:rFonts w:eastAsia="Times New Roman" w:cs="Times New Roman"/>
          <w:sz w:val="20"/>
          <w:szCs w:val="20"/>
          <w:lang w:val="fr-CA" w:eastAsia="en-CA"/>
        </w:rPr>
      </w:pPr>
      <w:r w:rsidRPr="00615A51">
        <w:rPr>
          <w:rFonts w:eastAsia="Times New Roman" w:cs="Times New Roman"/>
          <w:b/>
          <w:sz w:val="20"/>
          <w:szCs w:val="20"/>
          <w:lang w:val="fr-CA" w:eastAsia="en-CA"/>
        </w:rPr>
        <w:t>DISMISSED / REJETÉE</w:t>
      </w:r>
    </w:p>
    <w:p w:rsidR="00615A51" w:rsidRPr="00615A51" w:rsidRDefault="00615A51" w:rsidP="00615A51">
      <w:pPr>
        <w:tabs>
          <w:tab w:val="left" w:pos="-1440"/>
          <w:tab w:val="left" w:pos="-720"/>
        </w:tabs>
        <w:jc w:val="both"/>
        <w:rPr>
          <w:rFonts w:eastAsia="Times New Roman" w:cs="Times New Roman"/>
          <w:sz w:val="20"/>
          <w:szCs w:val="20"/>
          <w:lang w:val="en-US" w:eastAsia="en-CA"/>
        </w:rPr>
      </w:pPr>
    </w:p>
    <w:p w:rsidR="00615A51" w:rsidRPr="00615A51" w:rsidRDefault="00615A51" w:rsidP="00615A51">
      <w:pPr>
        <w:jc w:val="both"/>
        <w:rPr>
          <w:rFonts w:eastAsia="Times New Roman" w:cs="Times New Roman"/>
          <w:sz w:val="20"/>
          <w:szCs w:val="20"/>
          <w:lang w:val="en-US" w:eastAsia="en-CA"/>
        </w:rPr>
      </w:pPr>
      <w:r w:rsidRPr="00615A51">
        <w:rPr>
          <w:rFonts w:eastAsia="Times New Roman" w:cs="Times New Roman"/>
          <w:b/>
          <w:sz w:val="20"/>
          <w:szCs w:val="20"/>
          <w:lang w:val="en-US" w:eastAsia="en-CA"/>
        </w:rPr>
        <w:t>UPON APPLICATION</w:t>
      </w:r>
      <w:r w:rsidRPr="00615A51">
        <w:rPr>
          <w:rFonts w:eastAsia="Times New Roman" w:cs="Times New Roman"/>
          <w:sz w:val="20"/>
          <w:szCs w:val="20"/>
          <w:lang w:val="en-US" w:eastAsia="en-CA"/>
        </w:rPr>
        <w:t xml:space="preserve"> by the applicant pursuant to Rule 78(1) of the </w:t>
      </w:r>
      <w:r w:rsidRPr="00615A51">
        <w:rPr>
          <w:rFonts w:eastAsia="Times New Roman" w:cs="Times New Roman"/>
          <w:i/>
          <w:sz w:val="20"/>
          <w:szCs w:val="20"/>
          <w:lang w:val="en-US" w:eastAsia="en-CA"/>
        </w:rPr>
        <w:t>Rules of the Supreme Court of Canada</w:t>
      </w:r>
      <w:r w:rsidRPr="00615A51">
        <w:rPr>
          <w:rFonts w:eastAsia="Times New Roman" w:cs="Times New Roman"/>
          <w:sz w:val="20"/>
          <w:szCs w:val="20"/>
          <w:lang w:val="en-US" w:eastAsia="en-CA"/>
        </w:rPr>
        <w:t xml:space="preserve"> for an order allowing the filing of the applicant’s Notice of Appeal;</w:t>
      </w:r>
    </w:p>
    <w:p w:rsidR="00615A51" w:rsidRPr="00615A51" w:rsidRDefault="00615A51" w:rsidP="00615A51">
      <w:pPr>
        <w:jc w:val="both"/>
        <w:rPr>
          <w:rFonts w:eastAsia="Times New Roman" w:cs="Times New Roman"/>
          <w:sz w:val="20"/>
          <w:szCs w:val="20"/>
          <w:lang w:val="en-US" w:eastAsia="en-CA"/>
        </w:rPr>
      </w:pPr>
    </w:p>
    <w:p w:rsidR="00615A51" w:rsidRPr="00615A51" w:rsidRDefault="00615A51" w:rsidP="00615A51">
      <w:pPr>
        <w:jc w:val="both"/>
        <w:rPr>
          <w:rFonts w:eastAsia="Times New Roman" w:cs="Times New Roman"/>
          <w:sz w:val="20"/>
          <w:szCs w:val="20"/>
          <w:lang w:val="en-US" w:eastAsia="en-CA"/>
        </w:rPr>
      </w:pPr>
      <w:r w:rsidRPr="00615A51">
        <w:rPr>
          <w:rFonts w:eastAsia="Times New Roman" w:cs="Times New Roman"/>
          <w:b/>
          <w:sz w:val="20"/>
          <w:szCs w:val="20"/>
          <w:lang w:val="en-US" w:eastAsia="en-CA"/>
        </w:rPr>
        <w:t>AND THE MATERIAL FILED</w:t>
      </w:r>
      <w:r w:rsidRPr="00615A51">
        <w:rPr>
          <w:rFonts w:eastAsia="Times New Roman" w:cs="Times New Roman"/>
          <w:sz w:val="20"/>
          <w:szCs w:val="20"/>
          <w:lang w:val="en-US" w:eastAsia="en-CA"/>
        </w:rPr>
        <w:t xml:space="preserve"> having been read;</w:t>
      </w:r>
    </w:p>
    <w:p w:rsidR="00615A51" w:rsidRPr="00615A51" w:rsidRDefault="00615A51" w:rsidP="00615A51">
      <w:pPr>
        <w:jc w:val="both"/>
        <w:rPr>
          <w:rFonts w:eastAsia="Times New Roman" w:cs="Times New Roman"/>
          <w:sz w:val="20"/>
          <w:szCs w:val="20"/>
          <w:lang w:val="en-US" w:eastAsia="en-CA"/>
        </w:rPr>
      </w:pPr>
    </w:p>
    <w:p w:rsidR="00615A51" w:rsidRPr="00615A51" w:rsidRDefault="00615A51" w:rsidP="00615A51">
      <w:pPr>
        <w:jc w:val="both"/>
        <w:rPr>
          <w:rFonts w:eastAsia="Times New Roman" w:cs="Times New Roman"/>
          <w:b/>
          <w:sz w:val="20"/>
          <w:szCs w:val="20"/>
          <w:lang w:val="en-US" w:eastAsia="en-CA"/>
        </w:rPr>
      </w:pPr>
      <w:r w:rsidRPr="00615A51">
        <w:rPr>
          <w:rFonts w:eastAsia="Times New Roman" w:cs="Times New Roman"/>
          <w:b/>
          <w:sz w:val="20"/>
          <w:szCs w:val="20"/>
          <w:lang w:val="en-US" w:eastAsia="en-CA"/>
        </w:rPr>
        <w:t>IT IS HEREBY ORDERED THAT:</w:t>
      </w:r>
    </w:p>
    <w:p w:rsidR="00615A51" w:rsidRPr="00615A51" w:rsidRDefault="00615A51" w:rsidP="00615A51">
      <w:pPr>
        <w:jc w:val="both"/>
        <w:rPr>
          <w:rFonts w:eastAsia="Times New Roman" w:cs="Times New Roman"/>
          <w:sz w:val="20"/>
          <w:szCs w:val="20"/>
          <w:lang w:val="en-US" w:eastAsia="en-CA"/>
        </w:rPr>
      </w:pPr>
    </w:p>
    <w:p w:rsidR="00615A51" w:rsidRPr="00615A51" w:rsidRDefault="00615A51" w:rsidP="00615A51">
      <w:pPr>
        <w:jc w:val="both"/>
        <w:rPr>
          <w:rFonts w:eastAsia="Times New Roman" w:cs="Times New Roman"/>
          <w:sz w:val="20"/>
          <w:szCs w:val="20"/>
          <w:lang w:val="en-US" w:eastAsia="en-CA"/>
        </w:rPr>
      </w:pPr>
      <w:r w:rsidRPr="00615A51">
        <w:rPr>
          <w:rFonts w:eastAsia="Times New Roman" w:cs="Times New Roman"/>
          <w:sz w:val="20"/>
          <w:szCs w:val="20"/>
          <w:lang w:val="en-US" w:eastAsia="en-CA"/>
        </w:rPr>
        <w:t xml:space="preserve">The motion is dismissed. </w:t>
      </w:r>
    </w:p>
    <w:p w:rsidR="00615A51" w:rsidRPr="00615A51" w:rsidRDefault="00615A51" w:rsidP="00615A51">
      <w:pPr>
        <w:jc w:val="both"/>
        <w:rPr>
          <w:rFonts w:eastAsia="Times New Roman" w:cs="Times New Roman"/>
          <w:sz w:val="20"/>
          <w:szCs w:val="20"/>
          <w:lang w:val="en-US" w:eastAsia="en-CA"/>
        </w:rPr>
      </w:pPr>
    </w:p>
    <w:p w:rsidR="00615A51" w:rsidRPr="00615A51" w:rsidRDefault="00615A51" w:rsidP="00615A51">
      <w:pPr>
        <w:jc w:val="both"/>
        <w:rPr>
          <w:rFonts w:eastAsia="Times New Roman" w:cs="Times New Roman"/>
          <w:sz w:val="20"/>
          <w:szCs w:val="20"/>
          <w:lang w:val="en-US" w:eastAsia="en-CA"/>
        </w:rPr>
      </w:pPr>
      <w:r w:rsidRPr="00615A51">
        <w:rPr>
          <w:rFonts w:eastAsia="Times New Roman" w:cs="Times New Roman"/>
          <w:sz w:val="20"/>
          <w:szCs w:val="20"/>
          <w:lang w:val="en-US" w:eastAsia="en-CA"/>
        </w:rPr>
        <w:t xml:space="preserve">The applicant may bring an application for leave to appeal in accordance with the </w:t>
      </w:r>
      <w:r w:rsidRPr="00615A51">
        <w:rPr>
          <w:rFonts w:eastAsia="Times New Roman" w:cs="Times New Roman"/>
          <w:i/>
          <w:sz w:val="20"/>
          <w:szCs w:val="20"/>
          <w:lang w:val="en-US" w:eastAsia="en-CA"/>
        </w:rPr>
        <w:t>Rules of the Supreme Court of Canada</w:t>
      </w:r>
      <w:r w:rsidRPr="00615A51">
        <w:rPr>
          <w:rFonts w:eastAsia="Times New Roman" w:cs="Times New Roman"/>
          <w:sz w:val="20"/>
          <w:szCs w:val="20"/>
          <w:lang w:val="en-US" w:eastAsia="en-CA"/>
        </w:rPr>
        <w:t>, by serving and filing a notice of application for leave to appeal in Form 25 on or before December 8, 2014. The Registrar will provide the applicant with direction as to the supporting material.</w:t>
      </w:r>
    </w:p>
    <w:p w:rsidR="00615A51" w:rsidRPr="00615A51" w:rsidRDefault="00615A51" w:rsidP="00615A51">
      <w:pPr>
        <w:jc w:val="both"/>
        <w:rPr>
          <w:rFonts w:eastAsia="Times New Roman" w:cs="Times New Roman"/>
          <w:sz w:val="20"/>
          <w:szCs w:val="20"/>
          <w:lang w:val="en-US" w:eastAsia="en-CA"/>
        </w:rPr>
      </w:pPr>
    </w:p>
    <w:p w:rsidR="00615A51" w:rsidRPr="00615A51" w:rsidRDefault="00615A51" w:rsidP="00615A51">
      <w:pPr>
        <w:jc w:val="both"/>
        <w:rPr>
          <w:rFonts w:eastAsia="Times New Roman" w:cs="Times New Roman"/>
          <w:sz w:val="20"/>
          <w:szCs w:val="20"/>
          <w:lang w:val="en-US" w:eastAsia="en-CA"/>
        </w:rPr>
      </w:pPr>
    </w:p>
    <w:p w:rsidR="00615A51" w:rsidRPr="00615A51" w:rsidRDefault="00615A51" w:rsidP="00615A51">
      <w:pPr>
        <w:jc w:val="both"/>
        <w:rPr>
          <w:rFonts w:eastAsia="Times New Roman" w:cs="Times New Roman"/>
          <w:sz w:val="20"/>
          <w:szCs w:val="20"/>
          <w:lang w:val="en-US"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b/>
          <w:sz w:val="20"/>
          <w:szCs w:val="20"/>
          <w:lang w:val="fr-CA" w:eastAsia="en-CA"/>
        </w:rPr>
        <w:t>À LA SUITE DE LA REQUÊTE</w:t>
      </w:r>
      <w:r w:rsidRPr="00615A51">
        <w:rPr>
          <w:rFonts w:eastAsia="Times New Roman" w:cs="Times New Roman"/>
          <w:sz w:val="20"/>
          <w:szCs w:val="20"/>
          <w:lang w:val="fr-CA" w:eastAsia="en-CA"/>
        </w:rPr>
        <w:t xml:space="preserve"> de la demanderesse présentée en vertu du par. 78(1) des </w:t>
      </w:r>
      <w:r w:rsidRPr="00615A51">
        <w:rPr>
          <w:rFonts w:eastAsia="Times New Roman" w:cs="Times New Roman"/>
          <w:i/>
          <w:sz w:val="20"/>
          <w:szCs w:val="20"/>
          <w:lang w:val="fr-CA" w:eastAsia="en-CA"/>
        </w:rPr>
        <w:t>Règles de la Cour suprême du Canada</w:t>
      </w:r>
      <w:r w:rsidRPr="00615A51">
        <w:rPr>
          <w:rFonts w:eastAsia="Times New Roman" w:cs="Times New Roman"/>
          <w:sz w:val="20"/>
          <w:szCs w:val="20"/>
          <w:lang w:val="fr-CA" w:eastAsia="en-CA"/>
        </w:rPr>
        <w:t xml:space="preserve"> pour qu’elle soit autorisée à déposer l’avis d’appel de la demanderesse;</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b/>
          <w:sz w:val="20"/>
          <w:szCs w:val="20"/>
          <w:lang w:val="fr-CA" w:eastAsia="en-CA"/>
        </w:rPr>
        <w:t>ET APRÈS EXAMEN</w:t>
      </w:r>
      <w:r w:rsidRPr="00615A51">
        <w:rPr>
          <w:rFonts w:eastAsia="Times New Roman" w:cs="Times New Roman"/>
          <w:sz w:val="20"/>
          <w:szCs w:val="20"/>
          <w:lang w:val="fr-CA" w:eastAsia="en-CA"/>
        </w:rPr>
        <w:t xml:space="preserve"> des documents déposés;</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b/>
          <w:sz w:val="20"/>
          <w:szCs w:val="20"/>
          <w:lang w:val="fr-CA" w:eastAsia="en-CA"/>
        </w:rPr>
      </w:pPr>
      <w:r w:rsidRPr="00615A51">
        <w:rPr>
          <w:rFonts w:eastAsia="Times New Roman" w:cs="Times New Roman"/>
          <w:b/>
          <w:sz w:val="20"/>
          <w:szCs w:val="20"/>
          <w:lang w:val="fr-CA" w:eastAsia="en-CA"/>
        </w:rPr>
        <w:t>IL EST ORDONNÉ CE QUI SUIT :</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sz w:val="20"/>
          <w:szCs w:val="20"/>
          <w:lang w:val="fr-CA" w:eastAsia="en-CA"/>
        </w:rPr>
        <w:t>La requête est rejetée.</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sz w:val="20"/>
          <w:szCs w:val="20"/>
          <w:lang w:val="fr-CA" w:eastAsia="en-CA"/>
        </w:rPr>
        <w:t xml:space="preserve">La demanderesse peut présenter une demande d’autorisation d’appel conformément aux </w:t>
      </w:r>
      <w:r w:rsidRPr="00615A51">
        <w:rPr>
          <w:rFonts w:eastAsia="Times New Roman" w:cs="Times New Roman"/>
          <w:i/>
          <w:sz w:val="20"/>
          <w:szCs w:val="20"/>
          <w:lang w:val="fr-CA" w:eastAsia="en-CA"/>
        </w:rPr>
        <w:t>Règles de la Cour suprême du Canada</w:t>
      </w:r>
      <w:r w:rsidRPr="00615A51">
        <w:rPr>
          <w:rFonts w:eastAsia="Times New Roman" w:cs="Times New Roman"/>
          <w:sz w:val="20"/>
          <w:szCs w:val="20"/>
          <w:lang w:val="fr-CA" w:eastAsia="en-CA"/>
        </w:rPr>
        <w:t>, en signifiant et en déposant un avis de demande d’autorisation d’appel, soit un formulaire 25, au plus tard le 8 décembre 2014. Le registraire donnera des directives à la demanderesse quant aux documents à l’appui.</w:t>
      </w:r>
    </w:p>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237788" w:rsidP="00615A5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615A51" w:rsidP="00615A51">
      <w:pPr>
        <w:tabs>
          <w:tab w:val="left" w:pos="-1440"/>
          <w:tab w:val="left" w:pos="-720"/>
        </w:tabs>
        <w:jc w:val="both"/>
        <w:rPr>
          <w:rFonts w:eastAsia="Times New Roman" w:cs="Times New Roman"/>
          <w:sz w:val="20"/>
          <w:szCs w:val="20"/>
          <w:lang w:val="fr-CA" w:eastAsia="en-CA"/>
        </w:rPr>
      </w:pPr>
      <w:r w:rsidRPr="00615A51">
        <w:rPr>
          <w:rFonts w:eastAsia="Times New Roman" w:cs="Times New Roman"/>
          <w:sz w:val="20"/>
          <w:szCs w:val="20"/>
          <w:lang w:val="fr-CA" w:eastAsia="en-CA"/>
        </w:rPr>
        <w:t>09.10.2014</w:t>
      </w:r>
    </w:p>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615A51" w:rsidP="00615A51">
      <w:pPr>
        <w:tabs>
          <w:tab w:val="left" w:pos="-1440"/>
          <w:tab w:val="left" w:pos="-720"/>
        </w:tabs>
        <w:jc w:val="both"/>
        <w:rPr>
          <w:rFonts w:eastAsia="Times New Roman" w:cs="Times New Roman"/>
          <w:sz w:val="20"/>
          <w:szCs w:val="20"/>
          <w:lang w:val="fr-CA" w:eastAsia="en-CA"/>
        </w:rPr>
      </w:pPr>
      <w:r w:rsidRPr="00615A51">
        <w:rPr>
          <w:rFonts w:eastAsia="Times New Roman" w:cs="Times New Roman"/>
          <w:sz w:val="20"/>
          <w:szCs w:val="20"/>
          <w:lang w:val="fr-CA" w:eastAsia="en-CA"/>
        </w:rPr>
        <w:t>Before / Devant :   KARAKATSANIS J. / LA JUGE KARAKATSANIS</w:t>
      </w:r>
    </w:p>
    <w:p w:rsidR="00615A51" w:rsidRPr="00615A51" w:rsidRDefault="00615A51" w:rsidP="00615A5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15A51" w:rsidRPr="00237788" w:rsidTr="00615A51">
        <w:tc>
          <w:tcPr>
            <w:tcW w:w="4338" w:type="dxa"/>
          </w:tcPr>
          <w:p w:rsidR="00615A51" w:rsidRPr="00615A51" w:rsidRDefault="00004B8E" w:rsidP="00615A51">
            <w:pPr>
              <w:tabs>
                <w:tab w:val="left" w:pos="-1440"/>
                <w:tab w:val="left" w:pos="-720"/>
              </w:tabs>
              <w:jc w:val="both"/>
              <w:rPr>
                <w:b/>
              </w:rPr>
            </w:pPr>
            <w:r w:rsidRPr="00615A51">
              <w:rPr>
                <w:szCs w:val="24"/>
                <w:lang w:val="en-US"/>
              </w:rPr>
              <w:fldChar w:fldCharType="begin"/>
            </w:r>
            <w:r w:rsidR="00615A51" w:rsidRPr="00615A51">
              <w:rPr>
                <w:szCs w:val="24"/>
                <w:lang w:val="en-US"/>
              </w:rPr>
              <w:instrText xml:space="preserve"> SEQ CHAPTER \h \r 1</w:instrText>
            </w:r>
            <w:r w:rsidRPr="00615A51">
              <w:rPr>
                <w:szCs w:val="24"/>
                <w:lang w:val="en-US"/>
              </w:rPr>
              <w:fldChar w:fldCharType="end"/>
            </w:r>
            <w:r w:rsidR="00615A51" w:rsidRPr="00615A51">
              <w:rPr>
                <w:b/>
                <w:bCs/>
                <w:lang w:val="en-US"/>
              </w:rPr>
              <w:t>Motion to extend time</w:t>
            </w:r>
          </w:p>
        </w:tc>
        <w:tc>
          <w:tcPr>
            <w:tcW w:w="1170" w:type="dxa"/>
          </w:tcPr>
          <w:p w:rsidR="00615A51" w:rsidRPr="00615A51" w:rsidRDefault="00615A51" w:rsidP="00615A51">
            <w:pPr>
              <w:tabs>
                <w:tab w:val="left" w:pos="-1440"/>
                <w:tab w:val="left" w:pos="-720"/>
              </w:tabs>
              <w:jc w:val="both"/>
            </w:pPr>
          </w:p>
          <w:p w:rsidR="00615A51" w:rsidRPr="00615A51" w:rsidRDefault="00615A51" w:rsidP="00615A51">
            <w:pPr>
              <w:tabs>
                <w:tab w:val="left" w:pos="-1440"/>
                <w:tab w:val="left" w:pos="-720"/>
              </w:tabs>
              <w:jc w:val="both"/>
            </w:pPr>
          </w:p>
        </w:tc>
        <w:tc>
          <w:tcPr>
            <w:tcW w:w="4327" w:type="dxa"/>
          </w:tcPr>
          <w:p w:rsidR="00615A51" w:rsidRPr="00615A51" w:rsidRDefault="00615A51" w:rsidP="00615A51">
            <w:pPr>
              <w:tabs>
                <w:tab w:val="left" w:pos="-1440"/>
                <w:tab w:val="left" w:pos="-720"/>
              </w:tabs>
              <w:jc w:val="both"/>
              <w:rPr>
                <w:lang w:val="fr-CA"/>
              </w:rPr>
            </w:pPr>
            <w:r w:rsidRPr="00615A51">
              <w:rPr>
                <w:b/>
                <w:bCs/>
                <w:color w:val="000000"/>
                <w:lang w:val="fr-CA"/>
              </w:rPr>
              <w:t>Requête en prorogation de délai</w:t>
            </w:r>
            <w:r w:rsidRPr="00615A51">
              <w:rPr>
                <w:szCs w:val="24"/>
                <w:lang w:val="fr-CA"/>
              </w:rPr>
              <w:t xml:space="preserve"> </w:t>
            </w:r>
            <w:r w:rsidR="00004B8E" w:rsidRPr="00615A51">
              <w:rPr>
                <w:szCs w:val="24"/>
                <w:lang w:val="en-US"/>
              </w:rPr>
              <w:fldChar w:fldCharType="begin"/>
            </w:r>
            <w:r w:rsidRPr="00615A51">
              <w:rPr>
                <w:szCs w:val="24"/>
                <w:lang w:val="fr-CA"/>
              </w:rPr>
              <w:instrText xml:space="preserve"> SEQ CHAPTER \h \r 1</w:instrText>
            </w:r>
            <w:r w:rsidR="00004B8E" w:rsidRPr="00615A51">
              <w:rPr>
                <w:szCs w:val="24"/>
                <w:lang w:val="en-US"/>
              </w:rPr>
              <w:fldChar w:fldCharType="end"/>
            </w:r>
            <w:r w:rsidR="00004B8E" w:rsidRPr="00615A51">
              <w:rPr>
                <w:szCs w:val="24"/>
                <w:lang w:val="en-US"/>
              </w:rPr>
              <w:fldChar w:fldCharType="begin"/>
            </w:r>
            <w:r w:rsidRPr="00615A51">
              <w:rPr>
                <w:szCs w:val="24"/>
                <w:lang w:val="fr-CA"/>
              </w:rPr>
              <w:instrText xml:space="preserve"> SEQ CHAPTER \h \r 1</w:instrText>
            </w:r>
            <w:r w:rsidR="00004B8E" w:rsidRPr="00615A51">
              <w:rPr>
                <w:szCs w:val="24"/>
                <w:lang w:val="en-US"/>
              </w:rPr>
              <w:fldChar w:fldCharType="end"/>
            </w:r>
          </w:p>
        </w:tc>
      </w:tr>
      <w:tr w:rsidR="00615A51" w:rsidRPr="00615A51" w:rsidTr="00615A51">
        <w:tc>
          <w:tcPr>
            <w:tcW w:w="4338" w:type="dxa"/>
          </w:tcPr>
          <w:p w:rsidR="00615A51" w:rsidRPr="00615A51" w:rsidRDefault="00615A51" w:rsidP="00615A51">
            <w:pPr>
              <w:tabs>
                <w:tab w:val="left" w:pos="-1440"/>
                <w:tab w:val="left" w:pos="-720"/>
              </w:tabs>
              <w:jc w:val="both"/>
              <w:rPr>
                <w:lang w:val="fr-CA"/>
              </w:rPr>
            </w:pPr>
            <w:r w:rsidRPr="00615A51">
              <w:rPr>
                <w:lang w:val="fr-CA"/>
              </w:rPr>
              <w:t>David Caplin</w:t>
            </w:r>
          </w:p>
          <w:p w:rsidR="00615A51" w:rsidRPr="00615A51" w:rsidRDefault="00615A51" w:rsidP="00615A51">
            <w:pPr>
              <w:tabs>
                <w:tab w:val="left" w:pos="-1440"/>
                <w:tab w:val="left" w:pos="-720"/>
              </w:tabs>
              <w:jc w:val="both"/>
              <w:rPr>
                <w:lang w:val="fr-CA"/>
              </w:rPr>
            </w:pPr>
          </w:p>
          <w:p w:rsidR="00615A51" w:rsidRPr="00615A51" w:rsidRDefault="00615A51" w:rsidP="00615A51">
            <w:pPr>
              <w:tabs>
                <w:tab w:val="left" w:pos="-1440"/>
                <w:tab w:val="left" w:pos="-720"/>
              </w:tabs>
              <w:jc w:val="both"/>
              <w:rPr>
                <w:lang w:val="fr-CA"/>
              </w:rPr>
            </w:pPr>
            <w:r w:rsidRPr="00615A51">
              <w:rPr>
                <w:lang w:val="fr-CA"/>
              </w:rPr>
              <w:tab/>
              <w:t>c. (35527)</w:t>
            </w:r>
          </w:p>
          <w:p w:rsidR="00615A51" w:rsidRPr="00615A51" w:rsidRDefault="00615A51" w:rsidP="00615A51">
            <w:pPr>
              <w:tabs>
                <w:tab w:val="left" w:pos="-1440"/>
                <w:tab w:val="left" w:pos="-720"/>
              </w:tabs>
              <w:jc w:val="both"/>
              <w:rPr>
                <w:lang w:val="fr-CA"/>
              </w:rPr>
            </w:pPr>
          </w:p>
          <w:p w:rsidR="00615A51" w:rsidRPr="00615A51" w:rsidRDefault="00615A51" w:rsidP="00615A51">
            <w:pPr>
              <w:tabs>
                <w:tab w:val="left" w:pos="-1440"/>
                <w:tab w:val="left" w:pos="-720"/>
              </w:tabs>
              <w:jc w:val="both"/>
              <w:rPr>
                <w:lang w:val="fr-CA"/>
              </w:rPr>
            </w:pPr>
            <w:r w:rsidRPr="00615A51">
              <w:rPr>
                <w:lang w:val="fr-CA"/>
              </w:rPr>
              <w:t>Ministre de la justice du Canada (Crim.) (Qc)</w:t>
            </w:r>
          </w:p>
        </w:tc>
        <w:tc>
          <w:tcPr>
            <w:tcW w:w="1170" w:type="dxa"/>
          </w:tcPr>
          <w:p w:rsidR="00615A51" w:rsidRPr="00615A51" w:rsidRDefault="00615A51" w:rsidP="00615A51">
            <w:pPr>
              <w:tabs>
                <w:tab w:val="left" w:pos="-1440"/>
                <w:tab w:val="left" w:pos="-720"/>
              </w:tabs>
              <w:jc w:val="both"/>
              <w:rPr>
                <w:lang w:val="fr-CA"/>
              </w:rPr>
            </w:pPr>
          </w:p>
        </w:tc>
        <w:tc>
          <w:tcPr>
            <w:tcW w:w="4327" w:type="dxa"/>
          </w:tcPr>
          <w:p w:rsidR="00615A51" w:rsidRPr="00615A51" w:rsidRDefault="00615A51" w:rsidP="00615A51">
            <w:pPr>
              <w:tabs>
                <w:tab w:val="left" w:pos="-1440"/>
                <w:tab w:val="left" w:pos="-720"/>
              </w:tabs>
              <w:jc w:val="both"/>
              <w:rPr>
                <w:lang w:val="fr-CA"/>
              </w:rPr>
            </w:pPr>
          </w:p>
        </w:tc>
      </w:tr>
    </w:tbl>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615A51" w:rsidP="00615A51">
      <w:pPr>
        <w:tabs>
          <w:tab w:val="left" w:pos="-1440"/>
          <w:tab w:val="left" w:pos="-720"/>
        </w:tabs>
        <w:jc w:val="both"/>
        <w:rPr>
          <w:rFonts w:eastAsia="Times New Roman" w:cs="Times New Roman"/>
          <w:b/>
          <w:sz w:val="20"/>
          <w:szCs w:val="20"/>
          <w:lang w:eastAsia="en-CA"/>
        </w:rPr>
      </w:pPr>
      <w:r w:rsidRPr="00615A51">
        <w:rPr>
          <w:rFonts w:eastAsia="Times New Roman" w:cs="Times New Roman"/>
          <w:b/>
          <w:sz w:val="20"/>
          <w:szCs w:val="20"/>
          <w:lang w:eastAsia="en-CA"/>
        </w:rPr>
        <w:t>GRANTED / ACCORDÉE</w:t>
      </w:r>
    </w:p>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615A51" w:rsidP="00615A51">
      <w:pPr>
        <w:jc w:val="both"/>
        <w:rPr>
          <w:rFonts w:eastAsia="Times New Roman" w:cs="Times New Roman"/>
          <w:sz w:val="20"/>
          <w:szCs w:val="20"/>
          <w:lang w:eastAsia="en-CA"/>
        </w:rPr>
      </w:pPr>
      <w:r w:rsidRPr="00615A51">
        <w:rPr>
          <w:rFonts w:eastAsia="Times New Roman" w:cs="Times New Roman"/>
          <w:b/>
          <w:sz w:val="20"/>
          <w:szCs w:val="20"/>
          <w:lang w:eastAsia="en-CA"/>
        </w:rPr>
        <w:t>UPON APPLICATION</w:t>
      </w:r>
      <w:r w:rsidRPr="00615A51">
        <w:rPr>
          <w:rFonts w:eastAsia="Times New Roman" w:cs="Times New Roman"/>
          <w:sz w:val="20"/>
          <w:szCs w:val="20"/>
          <w:lang w:eastAsia="en-CA"/>
        </w:rPr>
        <w:t xml:space="preserve"> by the appellant for an order extending the time within which to serve and file his factum, record and book of authorities to October 10, 2014;</w:t>
      </w:r>
    </w:p>
    <w:p w:rsidR="00615A51" w:rsidRPr="00615A51" w:rsidRDefault="00615A51" w:rsidP="00615A51">
      <w:pPr>
        <w:jc w:val="both"/>
        <w:rPr>
          <w:rFonts w:eastAsia="Times New Roman" w:cs="Times New Roman"/>
          <w:sz w:val="20"/>
          <w:szCs w:val="20"/>
          <w:lang w:eastAsia="en-CA"/>
        </w:rPr>
      </w:pPr>
    </w:p>
    <w:p w:rsidR="00615A51" w:rsidRPr="00615A51" w:rsidRDefault="00615A51" w:rsidP="00615A51">
      <w:pPr>
        <w:jc w:val="both"/>
        <w:rPr>
          <w:rFonts w:eastAsia="Times New Roman" w:cs="Times New Roman"/>
          <w:sz w:val="20"/>
          <w:szCs w:val="20"/>
          <w:lang w:eastAsia="en-CA"/>
        </w:rPr>
      </w:pPr>
      <w:r w:rsidRPr="00615A51">
        <w:rPr>
          <w:rFonts w:eastAsia="Times New Roman" w:cs="Times New Roman"/>
          <w:b/>
          <w:sz w:val="20"/>
          <w:szCs w:val="20"/>
          <w:lang w:eastAsia="en-CA"/>
        </w:rPr>
        <w:t>IT IS HEREBY ORDERED THAT</w:t>
      </w:r>
      <w:r w:rsidRPr="00615A51">
        <w:rPr>
          <w:rFonts w:eastAsia="Times New Roman" w:cs="Times New Roman"/>
          <w:sz w:val="20"/>
          <w:szCs w:val="20"/>
          <w:lang w:eastAsia="en-CA"/>
        </w:rPr>
        <w:t xml:space="preserve"> the motion is granted. The appellant shall serve and file his factum, record and book of authorities no later than October 10, 2014.</w:t>
      </w:r>
    </w:p>
    <w:p w:rsidR="00615A51" w:rsidRPr="00615A51" w:rsidRDefault="00615A51" w:rsidP="00615A51">
      <w:pPr>
        <w:jc w:val="both"/>
        <w:rPr>
          <w:rFonts w:eastAsia="Times New Roman" w:cs="Times New Roman"/>
          <w:sz w:val="20"/>
          <w:szCs w:val="20"/>
          <w:lang w:eastAsia="en-CA"/>
        </w:rPr>
      </w:pPr>
    </w:p>
    <w:p w:rsidR="00615A51" w:rsidRPr="00615A51" w:rsidRDefault="00615A51" w:rsidP="00615A51">
      <w:pPr>
        <w:jc w:val="both"/>
        <w:rPr>
          <w:rFonts w:eastAsia="Times New Roman" w:cs="Times New Roman"/>
          <w:sz w:val="20"/>
          <w:szCs w:val="20"/>
          <w:lang w:eastAsia="en-CA"/>
        </w:rPr>
      </w:pPr>
      <w:r w:rsidRPr="00615A51">
        <w:rPr>
          <w:rFonts w:eastAsia="Times New Roman" w:cs="Times New Roman"/>
          <w:b/>
          <w:sz w:val="20"/>
          <w:szCs w:val="20"/>
          <w:lang w:eastAsia="en-CA"/>
        </w:rPr>
        <w:t xml:space="preserve">IT IS FURTHER ORDERED THAT </w:t>
      </w:r>
      <w:r w:rsidRPr="00615A51">
        <w:rPr>
          <w:rFonts w:eastAsia="Times New Roman" w:cs="Times New Roman"/>
          <w:sz w:val="20"/>
          <w:szCs w:val="20"/>
          <w:lang w:eastAsia="en-CA"/>
        </w:rPr>
        <w:t xml:space="preserve">the respondent’s record, factum and book of authorities shall be served and filed no later than December 5, 2014. </w:t>
      </w:r>
    </w:p>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b/>
          <w:sz w:val="20"/>
          <w:szCs w:val="20"/>
          <w:lang w:val="fr-CA" w:eastAsia="en-CA"/>
        </w:rPr>
        <w:t>À LA SUITE DE LA DEMANDE</w:t>
      </w:r>
      <w:r w:rsidRPr="00615A51">
        <w:rPr>
          <w:rFonts w:eastAsia="Times New Roman" w:cs="Times New Roman"/>
          <w:sz w:val="20"/>
          <w:szCs w:val="20"/>
          <w:lang w:val="fr-CA" w:eastAsia="en-CA"/>
        </w:rPr>
        <w:t xml:space="preserve"> présentée par l’appelant pour obtenir une ordonnance prorogeant au 10 octobre 2014, le délai pour signifier et déposer son mémoire, dossier et recueil de sources;</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b/>
          <w:sz w:val="20"/>
          <w:szCs w:val="20"/>
          <w:lang w:val="fr-CA" w:eastAsia="en-CA"/>
        </w:rPr>
        <w:t xml:space="preserve">IL EST ORDONNÉ QUE </w:t>
      </w:r>
      <w:r w:rsidRPr="00615A51">
        <w:rPr>
          <w:rFonts w:eastAsia="Times New Roman" w:cs="Times New Roman"/>
          <w:sz w:val="20"/>
          <w:szCs w:val="20"/>
          <w:lang w:val="fr-CA" w:eastAsia="en-CA"/>
        </w:rPr>
        <w:t>la requête est accueillie. L’appelant devra signifier et déposer son mémoire, dossier et recueil de sources au plus tard le 10 octobre 2014.</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b/>
          <w:sz w:val="20"/>
          <w:szCs w:val="20"/>
          <w:lang w:val="fr-CA" w:eastAsia="en-CA"/>
        </w:rPr>
        <w:t>IL EST EN OUTRE ORDONNÉ QUE</w:t>
      </w:r>
      <w:r w:rsidRPr="00615A51">
        <w:rPr>
          <w:rFonts w:eastAsia="Times New Roman" w:cs="Times New Roman"/>
          <w:sz w:val="20"/>
          <w:szCs w:val="20"/>
          <w:lang w:val="fr-CA" w:eastAsia="en-CA"/>
        </w:rPr>
        <w:t xml:space="preserve"> les dossiers, mémoire et recueil de sources de l’intimé soient signifiés et déposés au plus tard le 5 décembre 2014. </w:t>
      </w:r>
    </w:p>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237788" w:rsidP="00615A5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615A51" w:rsidP="00615A51">
      <w:pPr>
        <w:tabs>
          <w:tab w:val="left" w:pos="-1440"/>
          <w:tab w:val="left" w:pos="-720"/>
        </w:tabs>
        <w:jc w:val="both"/>
        <w:rPr>
          <w:rFonts w:eastAsia="Times New Roman" w:cs="Times New Roman"/>
          <w:sz w:val="20"/>
          <w:szCs w:val="20"/>
          <w:lang w:val="fr-CA" w:eastAsia="en-CA"/>
        </w:rPr>
      </w:pPr>
      <w:r w:rsidRPr="00615A51">
        <w:rPr>
          <w:rFonts w:eastAsia="Times New Roman" w:cs="Times New Roman"/>
          <w:sz w:val="20"/>
          <w:szCs w:val="20"/>
          <w:lang w:val="fr-CA" w:eastAsia="en-CA"/>
        </w:rPr>
        <w:t>09.10.2014</w:t>
      </w:r>
    </w:p>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615A51" w:rsidP="00615A51">
      <w:pPr>
        <w:tabs>
          <w:tab w:val="left" w:pos="-1440"/>
          <w:tab w:val="left" w:pos="-720"/>
        </w:tabs>
        <w:jc w:val="both"/>
        <w:rPr>
          <w:rFonts w:eastAsia="Times New Roman" w:cs="Times New Roman"/>
          <w:sz w:val="20"/>
          <w:szCs w:val="20"/>
          <w:lang w:val="fr-CA" w:eastAsia="en-CA"/>
        </w:rPr>
      </w:pPr>
      <w:r w:rsidRPr="00615A51">
        <w:rPr>
          <w:rFonts w:eastAsia="Times New Roman" w:cs="Times New Roman"/>
          <w:sz w:val="20"/>
          <w:szCs w:val="20"/>
          <w:lang w:val="fr-CA" w:eastAsia="en-CA"/>
        </w:rPr>
        <w:t>Before / Devant :   KARAKATSANIS J. / LA JUGE KARAKATSANIS</w:t>
      </w:r>
    </w:p>
    <w:p w:rsidR="00615A51" w:rsidRPr="00615A51" w:rsidRDefault="00615A51" w:rsidP="00615A51">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15A51" w:rsidRPr="00237788" w:rsidTr="00615A51">
        <w:tc>
          <w:tcPr>
            <w:tcW w:w="4338" w:type="dxa"/>
          </w:tcPr>
          <w:p w:rsidR="00615A51" w:rsidRPr="00615A51" w:rsidRDefault="00004B8E" w:rsidP="00615A51">
            <w:pPr>
              <w:tabs>
                <w:tab w:val="left" w:pos="-1440"/>
                <w:tab w:val="left" w:pos="-720"/>
              </w:tabs>
              <w:jc w:val="both"/>
              <w:rPr>
                <w:b/>
              </w:rPr>
            </w:pPr>
            <w:r w:rsidRPr="00615A51">
              <w:rPr>
                <w:szCs w:val="24"/>
                <w:lang w:val="en-US"/>
              </w:rPr>
              <w:fldChar w:fldCharType="begin"/>
            </w:r>
            <w:r w:rsidR="00615A51" w:rsidRPr="00615A51">
              <w:rPr>
                <w:szCs w:val="24"/>
                <w:lang w:val="en-US"/>
              </w:rPr>
              <w:instrText xml:space="preserve"> SEQ CHAPTER \h \r 1</w:instrText>
            </w:r>
            <w:r w:rsidRPr="00615A51">
              <w:rPr>
                <w:szCs w:val="24"/>
                <w:lang w:val="en-US"/>
              </w:rPr>
              <w:fldChar w:fldCharType="end"/>
            </w:r>
            <w:r w:rsidR="00615A51" w:rsidRPr="00615A51">
              <w:rPr>
                <w:b/>
                <w:bCs/>
                <w:lang w:val="en-US"/>
              </w:rPr>
              <w:t>Motion to extend time</w:t>
            </w:r>
          </w:p>
        </w:tc>
        <w:tc>
          <w:tcPr>
            <w:tcW w:w="1170" w:type="dxa"/>
          </w:tcPr>
          <w:p w:rsidR="00615A51" w:rsidRPr="00615A51" w:rsidRDefault="00615A51" w:rsidP="00615A51">
            <w:pPr>
              <w:tabs>
                <w:tab w:val="left" w:pos="-1440"/>
                <w:tab w:val="left" w:pos="-720"/>
              </w:tabs>
              <w:jc w:val="both"/>
            </w:pPr>
          </w:p>
          <w:p w:rsidR="00615A51" w:rsidRPr="00615A51" w:rsidRDefault="00615A51" w:rsidP="00615A51">
            <w:pPr>
              <w:tabs>
                <w:tab w:val="left" w:pos="-1440"/>
                <w:tab w:val="left" w:pos="-720"/>
              </w:tabs>
              <w:jc w:val="both"/>
            </w:pPr>
          </w:p>
        </w:tc>
        <w:tc>
          <w:tcPr>
            <w:tcW w:w="4327" w:type="dxa"/>
          </w:tcPr>
          <w:p w:rsidR="00615A51" w:rsidRPr="00615A51" w:rsidRDefault="00615A51" w:rsidP="00615A51">
            <w:pPr>
              <w:tabs>
                <w:tab w:val="left" w:pos="-1440"/>
                <w:tab w:val="left" w:pos="-720"/>
              </w:tabs>
              <w:jc w:val="both"/>
              <w:rPr>
                <w:lang w:val="fr-CA"/>
              </w:rPr>
            </w:pPr>
            <w:r w:rsidRPr="00615A51">
              <w:rPr>
                <w:b/>
                <w:bCs/>
                <w:color w:val="000000"/>
                <w:lang w:val="fr-CA"/>
              </w:rPr>
              <w:t>Requête en prorogation de délai</w:t>
            </w:r>
            <w:r w:rsidRPr="00615A51">
              <w:rPr>
                <w:szCs w:val="24"/>
                <w:lang w:val="fr-CA"/>
              </w:rPr>
              <w:t xml:space="preserve"> </w:t>
            </w:r>
            <w:r w:rsidR="00004B8E" w:rsidRPr="00615A51">
              <w:rPr>
                <w:szCs w:val="24"/>
                <w:lang w:val="en-US"/>
              </w:rPr>
              <w:fldChar w:fldCharType="begin"/>
            </w:r>
            <w:r w:rsidRPr="00615A51">
              <w:rPr>
                <w:szCs w:val="24"/>
                <w:lang w:val="fr-CA"/>
              </w:rPr>
              <w:instrText xml:space="preserve"> SEQ CHAPTER \h \r 1</w:instrText>
            </w:r>
            <w:r w:rsidR="00004B8E" w:rsidRPr="00615A51">
              <w:rPr>
                <w:szCs w:val="24"/>
                <w:lang w:val="en-US"/>
              </w:rPr>
              <w:fldChar w:fldCharType="end"/>
            </w:r>
            <w:r w:rsidR="00004B8E" w:rsidRPr="00615A51">
              <w:rPr>
                <w:szCs w:val="24"/>
                <w:lang w:val="en-US"/>
              </w:rPr>
              <w:fldChar w:fldCharType="begin"/>
            </w:r>
            <w:r w:rsidRPr="00615A51">
              <w:rPr>
                <w:szCs w:val="24"/>
                <w:lang w:val="fr-CA"/>
              </w:rPr>
              <w:instrText xml:space="preserve"> SEQ CHAPTER \h \r 1</w:instrText>
            </w:r>
            <w:r w:rsidR="00004B8E" w:rsidRPr="00615A51">
              <w:rPr>
                <w:szCs w:val="24"/>
                <w:lang w:val="en-US"/>
              </w:rPr>
              <w:fldChar w:fldCharType="end"/>
            </w:r>
          </w:p>
        </w:tc>
      </w:tr>
      <w:tr w:rsidR="00615A51" w:rsidRPr="00615A51" w:rsidTr="00615A51">
        <w:tc>
          <w:tcPr>
            <w:tcW w:w="4338" w:type="dxa"/>
          </w:tcPr>
          <w:p w:rsidR="00615A51" w:rsidRPr="00615A51" w:rsidRDefault="00615A51" w:rsidP="00615A51">
            <w:pPr>
              <w:tabs>
                <w:tab w:val="left" w:pos="-1440"/>
                <w:tab w:val="left" w:pos="-720"/>
              </w:tabs>
              <w:jc w:val="both"/>
              <w:rPr>
                <w:lang w:val="fr-CA"/>
              </w:rPr>
            </w:pPr>
            <w:r w:rsidRPr="00615A51">
              <w:rPr>
                <w:lang w:val="fr-CA"/>
              </w:rPr>
              <w:t>Gaetan Dinelle</w:t>
            </w:r>
          </w:p>
          <w:p w:rsidR="00615A51" w:rsidRPr="00615A51" w:rsidRDefault="00615A51" w:rsidP="00615A51">
            <w:pPr>
              <w:tabs>
                <w:tab w:val="left" w:pos="-1440"/>
                <w:tab w:val="left" w:pos="-720"/>
              </w:tabs>
              <w:jc w:val="both"/>
              <w:rPr>
                <w:lang w:val="fr-CA"/>
              </w:rPr>
            </w:pPr>
          </w:p>
          <w:p w:rsidR="00615A51" w:rsidRPr="00615A51" w:rsidRDefault="00615A51" w:rsidP="00615A51">
            <w:pPr>
              <w:tabs>
                <w:tab w:val="left" w:pos="-1440"/>
                <w:tab w:val="left" w:pos="-720"/>
              </w:tabs>
              <w:jc w:val="both"/>
              <w:rPr>
                <w:lang w:val="fr-CA"/>
              </w:rPr>
            </w:pPr>
            <w:r w:rsidRPr="00615A51">
              <w:rPr>
                <w:lang w:val="fr-CA"/>
              </w:rPr>
              <w:tab/>
              <w:t>v. (36078)</w:t>
            </w:r>
          </w:p>
          <w:p w:rsidR="00615A51" w:rsidRPr="00615A51" w:rsidRDefault="00615A51" w:rsidP="00615A51">
            <w:pPr>
              <w:tabs>
                <w:tab w:val="left" w:pos="-1440"/>
                <w:tab w:val="left" w:pos="-720"/>
              </w:tabs>
              <w:jc w:val="both"/>
              <w:rPr>
                <w:lang w:val="fr-CA"/>
              </w:rPr>
            </w:pPr>
          </w:p>
          <w:p w:rsidR="00615A51" w:rsidRPr="00615A51" w:rsidRDefault="00615A51" w:rsidP="00615A51">
            <w:pPr>
              <w:tabs>
                <w:tab w:val="left" w:pos="-1440"/>
                <w:tab w:val="left" w:pos="-720"/>
              </w:tabs>
              <w:jc w:val="both"/>
              <w:rPr>
                <w:lang w:val="fr-CA"/>
              </w:rPr>
            </w:pPr>
            <w:r w:rsidRPr="00615A51">
              <w:rPr>
                <w:lang w:val="fr-CA"/>
              </w:rPr>
              <w:t>Minister of Justice (Ont.)</w:t>
            </w:r>
          </w:p>
        </w:tc>
        <w:tc>
          <w:tcPr>
            <w:tcW w:w="1170" w:type="dxa"/>
          </w:tcPr>
          <w:p w:rsidR="00615A51" w:rsidRPr="00615A51" w:rsidRDefault="00615A51" w:rsidP="00615A51">
            <w:pPr>
              <w:tabs>
                <w:tab w:val="left" w:pos="-1440"/>
                <w:tab w:val="left" w:pos="-720"/>
              </w:tabs>
              <w:jc w:val="both"/>
              <w:rPr>
                <w:lang w:val="fr-CA"/>
              </w:rPr>
            </w:pPr>
          </w:p>
        </w:tc>
        <w:tc>
          <w:tcPr>
            <w:tcW w:w="4327" w:type="dxa"/>
          </w:tcPr>
          <w:p w:rsidR="00615A51" w:rsidRPr="00615A51" w:rsidRDefault="00615A51" w:rsidP="00615A51">
            <w:pPr>
              <w:tabs>
                <w:tab w:val="left" w:pos="-1440"/>
                <w:tab w:val="left" w:pos="-720"/>
              </w:tabs>
              <w:jc w:val="both"/>
              <w:rPr>
                <w:lang w:val="fr-CA"/>
              </w:rPr>
            </w:pPr>
          </w:p>
        </w:tc>
      </w:tr>
    </w:tbl>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615A51" w:rsidP="00615A51">
      <w:pPr>
        <w:tabs>
          <w:tab w:val="left" w:pos="-1440"/>
          <w:tab w:val="left" w:pos="-720"/>
        </w:tabs>
        <w:jc w:val="both"/>
        <w:rPr>
          <w:rFonts w:eastAsia="Times New Roman" w:cs="Times New Roman"/>
          <w:b/>
          <w:sz w:val="20"/>
          <w:szCs w:val="20"/>
          <w:lang w:eastAsia="en-CA"/>
        </w:rPr>
      </w:pPr>
      <w:r w:rsidRPr="00615A51">
        <w:rPr>
          <w:rFonts w:eastAsia="Times New Roman" w:cs="Times New Roman"/>
          <w:b/>
          <w:sz w:val="20"/>
          <w:szCs w:val="20"/>
          <w:lang w:eastAsia="en-CA"/>
        </w:rPr>
        <w:t>GRANTED / ACCORDÉE</w:t>
      </w:r>
    </w:p>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615A51" w:rsidP="00615A51">
      <w:pPr>
        <w:spacing w:line="233" w:lineRule="auto"/>
        <w:jc w:val="both"/>
        <w:rPr>
          <w:rFonts w:eastAsia="Times New Roman" w:cs="Times New Roman"/>
          <w:sz w:val="20"/>
          <w:szCs w:val="20"/>
          <w:lang w:val="en-US" w:eastAsia="en-CA"/>
        </w:rPr>
      </w:pPr>
      <w:r w:rsidRPr="00615A51">
        <w:rPr>
          <w:rFonts w:eastAsia="Times New Roman" w:cs="Times New Roman"/>
          <w:b/>
          <w:sz w:val="20"/>
          <w:szCs w:val="20"/>
          <w:lang w:val="en-US" w:eastAsia="en-CA"/>
        </w:rPr>
        <w:t>UPON APPLICATION</w:t>
      </w:r>
      <w:r w:rsidRPr="00615A51">
        <w:rPr>
          <w:rFonts w:eastAsia="Times New Roman" w:cs="Times New Roman"/>
          <w:sz w:val="20"/>
          <w:szCs w:val="20"/>
          <w:lang w:val="en-US" w:eastAsia="en-CA"/>
        </w:rPr>
        <w:t xml:space="preserve"> by the Applicant to a judge for an Order extending the time within which the Applicant must serve and file his complete Application for Leave to Appeal in respect of the endorsement of the Ontario Court of Appeal dated July 9, 2014 (Kingston: file no. 57737);</w:t>
      </w:r>
    </w:p>
    <w:p w:rsidR="00615A51" w:rsidRPr="00615A51" w:rsidRDefault="00615A51" w:rsidP="00615A51">
      <w:pPr>
        <w:spacing w:line="233" w:lineRule="auto"/>
        <w:jc w:val="both"/>
        <w:rPr>
          <w:rFonts w:eastAsia="Times New Roman" w:cs="Times New Roman"/>
          <w:b/>
          <w:bCs/>
          <w:sz w:val="20"/>
          <w:szCs w:val="20"/>
          <w:lang w:val="en-US" w:eastAsia="en-CA"/>
        </w:rPr>
      </w:pPr>
    </w:p>
    <w:p w:rsidR="00615A51" w:rsidRPr="00615A51" w:rsidRDefault="00615A51" w:rsidP="00615A51">
      <w:pPr>
        <w:spacing w:line="233" w:lineRule="auto"/>
        <w:jc w:val="both"/>
        <w:rPr>
          <w:rFonts w:eastAsia="Times New Roman" w:cs="Times New Roman"/>
          <w:sz w:val="20"/>
          <w:szCs w:val="20"/>
          <w:lang w:val="en-US" w:eastAsia="en-CA"/>
        </w:rPr>
      </w:pPr>
      <w:r w:rsidRPr="00615A51">
        <w:rPr>
          <w:rFonts w:eastAsia="Times New Roman" w:cs="Times New Roman"/>
          <w:b/>
          <w:bCs/>
          <w:sz w:val="20"/>
          <w:szCs w:val="20"/>
          <w:lang w:val="en-US" w:eastAsia="en-CA"/>
        </w:rPr>
        <w:t>AND THE MATERIAL FILED</w:t>
      </w:r>
      <w:r w:rsidRPr="00615A51">
        <w:rPr>
          <w:rFonts w:eastAsia="Times New Roman" w:cs="Times New Roman"/>
          <w:sz w:val="20"/>
          <w:szCs w:val="20"/>
          <w:lang w:val="en-US" w:eastAsia="en-CA"/>
        </w:rPr>
        <w:t xml:space="preserve"> having been read;</w:t>
      </w:r>
    </w:p>
    <w:p w:rsidR="00615A51" w:rsidRPr="00615A51" w:rsidRDefault="00615A51" w:rsidP="00615A51">
      <w:pPr>
        <w:spacing w:line="233" w:lineRule="auto"/>
        <w:jc w:val="both"/>
        <w:rPr>
          <w:rFonts w:eastAsia="Times New Roman" w:cs="Times New Roman"/>
          <w:sz w:val="20"/>
          <w:szCs w:val="20"/>
          <w:lang w:val="en-US" w:eastAsia="en-CA"/>
        </w:rPr>
      </w:pPr>
    </w:p>
    <w:p w:rsidR="00615A51" w:rsidRPr="00615A51" w:rsidRDefault="00615A51" w:rsidP="00615A51">
      <w:pPr>
        <w:spacing w:line="233" w:lineRule="auto"/>
        <w:jc w:val="both"/>
        <w:rPr>
          <w:rFonts w:eastAsia="Times New Roman" w:cs="Times New Roman"/>
          <w:b/>
          <w:bCs/>
          <w:sz w:val="20"/>
          <w:szCs w:val="20"/>
          <w:lang w:val="en-US" w:eastAsia="en-CA"/>
        </w:rPr>
      </w:pPr>
      <w:r w:rsidRPr="00615A51">
        <w:rPr>
          <w:rFonts w:eastAsia="Times New Roman" w:cs="Times New Roman"/>
          <w:b/>
          <w:bCs/>
          <w:sz w:val="20"/>
          <w:szCs w:val="20"/>
          <w:lang w:val="en-US" w:eastAsia="en-CA"/>
        </w:rPr>
        <w:t>IT IS HEREBY ORDERED THAT:</w:t>
      </w:r>
    </w:p>
    <w:p w:rsidR="00615A51" w:rsidRPr="00615A51" w:rsidRDefault="00615A51" w:rsidP="00615A51">
      <w:pPr>
        <w:spacing w:line="233" w:lineRule="auto"/>
        <w:jc w:val="both"/>
        <w:rPr>
          <w:rFonts w:eastAsia="Times New Roman" w:cs="Times New Roman"/>
          <w:b/>
          <w:bCs/>
          <w:sz w:val="20"/>
          <w:szCs w:val="20"/>
          <w:lang w:val="en-US" w:eastAsia="en-CA"/>
        </w:rPr>
      </w:pPr>
    </w:p>
    <w:p w:rsidR="00615A51" w:rsidRPr="00615A51" w:rsidRDefault="00615A51" w:rsidP="00615A51">
      <w:pPr>
        <w:jc w:val="both"/>
        <w:rPr>
          <w:rFonts w:eastAsia="Times New Roman" w:cs="Times New Roman"/>
          <w:sz w:val="20"/>
          <w:szCs w:val="20"/>
          <w:lang w:val="en-US" w:eastAsia="en-CA"/>
        </w:rPr>
      </w:pPr>
      <w:r w:rsidRPr="00615A51">
        <w:rPr>
          <w:rFonts w:eastAsia="Times New Roman" w:cs="Times New Roman"/>
          <w:sz w:val="20"/>
          <w:szCs w:val="20"/>
          <w:lang w:val="en-US" w:eastAsia="en-CA"/>
        </w:rPr>
        <w:t>The motion is granted. The time within which the Applicant must serve and file his complete Application for Leave to Appeal is extended by sixty (60) days from the date of this order.</w:t>
      </w:r>
    </w:p>
    <w:p w:rsidR="00615A51" w:rsidRPr="00615A51" w:rsidRDefault="00615A51" w:rsidP="00615A51">
      <w:pPr>
        <w:spacing w:line="233" w:lineRule="auto"/>
        <w:jc w:val="both"/>
        <w:rPr>
          <w:rFonts w:eastAsia="Times New Roman" w:cs="Times New Roman"/>
          <w:sz w:val="20"/>
          <w:szCs w:val="20"/>
          <w:lang w:val="en-US" w:eastAsia="en-CA"/>
        </w:rPr>
      </w:pPr>
    </w:p>
    <w:p w:rsidR="00615A51" w:rsidRPr="00615A51" w:rsidRDefault="00615A51" w:rsidP="00615A51">
      <w:pPr>
        <w:spacing w:line="233" w:lineRule="auto"/>
        <w:jc w:val="both"/>
        <w:rPr>
          <w:rFonts w:eastAsia="Times New Roman" w:cs="Times New Roman"/>
          <w:sz w:val="20"/>
          <w:szCs w:val="20"/>
          <w:lang w:val="en-US" w:eastAsia="en-CA"/>
        </w:rPr>
      </w:pPr>
    </w:p>
    <w:p w:rsidR="00615A51" w:rsidRPr="00615A51" w:rsidRDefault="00615A51" w:rsidP="00615A51">
      <w:pPr>
        <w:spacing w:line="233" w:lineRule="auto"/>
        <w:jc w:val="both"/>
        <w:rPr>
          <w:rFonts w:eastAsia="Times New Roman" w:cs="Times New Roman"/>
          <w:sz w:val="20"/>
          <w:szCs w:val="20"/>
          <w:lang w:val="en-US" w:eastAsia="en-CA"/>
        </w:rPr>
      </w:pPr>
    </w:p>
    <w:p w:rsidR="00615A51" w:rsidRPr="00615A51" w:rsidRDefault="00615A51" w:rsidP="00615A51">
      <w:pPr>
        <w:spacing w:line="233" w:lineRule="auto"/>
        <w:jc w:val="both"/>
        <w:rPr>
          <w:rFonts w:eastAsia="Times New Roman" w:cs="Times New Roman"/>
          <w:sz w:val="20"/>
          <w:szCs w:val="20"/>
          <w:lang w:val="fr-CA" w:eastAsia="en-CA"/>
        </w:rPr>
      </w:pPr>
      <w:r w:rsidRPr="00615A51">
        <w:rPr>
          <w:rFonts w:eastAsia="Times New Roman" w:cs="Times New Roman"/>
          <w:b/>
          <w:sz w:val="20"/>
          <w:szCs w:val="20"/>
          <w:lang w:val="fr-CA" w:eastAsia="en-CA"/>
        </w:rPr>
        <w:t>À LA SUITE DE LA REQUÊTE</w:t>
      </w:r>
      <w:r w:rsidRPr="00615A51">
        <w:rPr>
          <w:rFonts w:eastAsia="Times New Roman" w:cs="Times New Roman"/>
          <w:sz w:val="20"/>
          <w:szCs w:val="20"/>
          <w:lang w:val="fr-CA" w:eastAsia="en-CA"/>
        </w:rPr>
        <w:t xml:space="preserve"> du demandeur pour qu’un juge ordonne la prorogation du délai pour signifier et déposer sa demande complète d’autorisation d’appel conformément au certificat de la Cour d’appel de l’Ontario daté du 9 juillet 2014 (Kingston : dossier n</w:t>
      </w:r>
      <w:r w:rsidRPr="00615A51">
        <w:rPr>
          <w:rFonts w:eastAsia="Times New Roman" w:cs="Times New Roman"/>
          <w:sz w:val="20"/>
          <w:szCs w:val="20"/>
          <w:vertAlign w:val="superscript"/>
          <w:lang w:val="fr-CA" w:eastAsia="en-CA"/>
        </w:rPr>
        <w:t>o</w:t>
      </w:r>
      <w:r w:rsidRPr="00615A51">
        <w:rPr>
          <w:rFonts w:eastAsia="Times New Roman" w:cs="Times New Roman"/>
          <w:sz w:val="20"/>
          <w:szCs w:val="20"/>
          <w:lang w:val="fr-CA" w:eastAsia="en-CA"/>
        </w:rPr>
        <w:t> 57737);</w:t>
      </w:r>
    </w:p>
    <w:p w:rsidR="00615A51" w:rsidRPr="00615A51" w:rsidRDefault="00615A51" w:rsidP="00615A51">
      <w:pPr>
        <w:spacing w:line="233" w:lineRule="auto"/>
        <w:jc w:val="both"/>
        <w:rPr>
          <w:rFonts w:eastAsia="Times New Roman" w:cs="Times New Roman"/>
          <w:sz w:val="20"/>
          <w:szCs w:val="20"/>
          <w:lang w:val="fr-CA" w:eastAsia="en-CA"/>
        </w:rPr>
      </w:pPr>
    </w:p>
    <w:p w:rsidR="00615A51" w:rsidRPr="00615A51" w:rsidRDefault="00615A51" w:rsidP="00615A51">
      <w:pPr>
        <w:spacing w:line="233" w:lineRule="auto"/>
        <w:jc w:val="both"/>
        <w:rPr>
          <w:rFonts w:eastAsia="Times New Roman" w:cs="Times New Roman"/>
          <w:sz w:val="20"/>
          <w:szCs w:val="20"/>
          <w:lang w:val="fr-CA" w:eastAsia="en-CA"/>
        </w:rPr>
      </w:pPr>
      <w:r w:rsidRPr="00615A51">
        <w:rPr>
          <w:rFonts w:eastAsia="Times New Roman" w:cs="Times New Roman"/>
          <w:b/>
          <w:sz w:val="20"/>
          <w:szCs w:val="20"/>
          <w:lang w:val="fr-CA" w:eastAsia="en-CA"/>
        </w:rPr>
        <w:lastRenderedPageBreak/>
        <w:t>ET APRÈS EXAMEN</w:t>
      </w:r>
      <w:r w:rsidRPr="00615A51">
        <w:rPr>
          <w:rFonts w:eastAsia="Times New Roman" w:cs="Times New Roman"/>
          <w:sz w:val="20"/>
          <w:szCs w:val="20"/>
          <w:lang w:val="fr-CA" w:eastAsia="en-CA"/>
        </w:rPr>
        <w:t xml:space="preserve"> des documents déposés;</w:t>
      </w:r>
    </w:p>
    <w:p w:rsidR="00615A51" w:rsidRPr="00615A51" w:rsidRDefault="00615A51" w:rsidP="00615A51">
      <w:pPr>
        <w:spacing w:line="233" w:lineRule="auto"/>
        <w:jc w:val="both"/>
        <w:rPr>
          <w:rFonts w:eastAsia="Times New Roman" w:cs="Times New Roman"/>
          <w:sz w:val="20"/>
          <w:szCs w:val="20"/>
          <w:lang w:val="fr-CA" w:eastAsia="en-CA"/>
        </w:rPr>
      </w:pPr>
    </w:p>
    <w:p w:rsidR="00615A51" w:rsidRPr="00615A51" w:rsidRDefault="00615A51" w:rsidP="00615A51">
      <w:pPr>
        <w:spacing w:line="233" w:lineRule="auto"/>
        <w:jc w:val="both"/>
        <w:rPr>
          <w:rFonts w:eastAsia="Times New Roman" w:cs="Times New Roman"/>
          <w:b/>
          <w:sz w:val="20"/>
          <w:szCs w:val="20"/>
          <w:lang w:val="fr-CA" w:eastAsia="en-CA"/>
        </w:rPr>
      </w:pPr>
      <w:r w:rsidRPr="00615A51">
        <w:rPr>
          <w:rFonts w:eastAsia="Times New Roman" w:cs="Times New Roman"/>
          <w:b/>
          <w:sz w:val="20"/>
          <w:szCs w:val="20"/>
          <w:lang w:val="fr-CA" w:eastAsia="en-CA"/>
        </w:rPr>
        <w:t>IL EST ORDONNÉ CE QUI SUIT :</w:t>
      </w:r>
    </w:p>
    <w:p w:rsidR="00615A51" w:rsidRPr="00615A51" w:rsidRDefault="00615A51" w:rsidP="00615A51">
      <w:pPr>
        <w:spacing w:line="233" w:lineRule="auto"/>
        <w:jc w:val="both"/>
        <w:rPr>
          <w:rFonts w:eastAsia="Times New Roman" w:cs="Times New Roman"/>
          <w:sz w:val="20"/>
          <w:szCs w:val="20"/>
          <w:lang w:val="fr-CA" w:eastAsia="en-CA"/>
        </w:rPr>
      </w:pPr>
    </w:p>
    <w:p w:rsidR="00615A51" w:rsidRPr="00615A51" w:rsidRDefault="00615A51" w:rsidP="00615A51">
      <w:pPr>
        <w:spacing w:line="233" w:lineRule="auto"/>
        <w:jc w:val="both"/>
        <w:rPr>
          <w:rFonts w:eastAsia="Times New Roman" w:cs="Times New Roman"/>
          <w:sz w:val="20"/>
          <w:szCs w:val="20"/>
          <w:lang w:val="fr-CA" w:eastAsia="en-CA"/>
        </w:rPr>
      </w:pPr>
      <w:r w:rsidRPr="00615A51">
        <w:rPr>
          <w:rFonts w:eastAsia="Times New Roman" w:cs="Times New Roman"/>
          <w:sz w:val="20"/>
          <w:szCs w:val="20"/>
          <w:lang w:val="fr-CA" w:eastAsia="en-CA"/>
        </w:rPr>
        <w:t>La requête est accueillie. Le demandeur devra signifier et déposer sa demande complète d’autorisation d’appel dans les 60 jours de la présente ordonnance.</w:t>
      </w:r>
    </w:p>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237788" w:rsidP="00615A51">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615A51" w:rsidP="00615A51">
      <w:pPr>
        <w:tabs>
          <w:tab w:val="left" w:pos="-1440"/>
          <w:tab w:val="left" w:pos="-720"/>
        </w:tabs>
        <w:jc w:val="both"/>
        <w:rPr>
          <w:rFonts w:eastAsia="Times New Roman" w:cs="Times New Roman"/>
          <w:sz w:val="20"/>
          <w:szCs w:val="20"/>
          <w:lang w:val="fr-CA" w:eastAsia="en-CA"/>
        </w:rPr>
      </w:pPr>
      <w:r w:rsidRPr="00615A51">
        <w:rPr>
          <w:rFonts w:eastAsia="Times New Roman" w:cs="Times New Roman"/>
          <w:sz w:val="20"/>
          <w:szCs w:val="20"/>
          <w:lang w:val="fr-CA" w:eastAsia="en-CA"/>
        </w:rPr>
        <w:t>09.10.2014</w:t>
      </w:r>
    </w:p>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615A51" w:rsidP="00615A51">
      <w:pPr>
        <w:tabs>
          <w:tab w:val="left" w:pos="-1440"/>
          <w:tab w:val="left" w:pos="-720"/>
        </w:tabs>
        <w:jc w:val="both"/>
        <w:rPr>
          <w:rFonts w:eastAsia="Times New Roman" w:cs="Times New Roman"/>
          <w:sz w:val="20"/>
          <w:szCs w:val="20"/>
          <w:lang w:val="fr-CA" w:eastAsia="en-CA"/>
        </w:rPr>
      </w:pPr>
      <w:r w:rsidRPr="00615A51">
        <w:rPr>
          <w:rFonts w:eastAsia="Times New Roman" w:cs="Times New Roman"/>
          <w:sz w:val="20"/>
          <w:szCs w:val="20"/>
          <w:lang w:val="fr-CA" w:eastAsia="en-CA"/>
        </w:rPr>
        <w:t>Before / Devant :   KARAKATSANIS J. / LA JUGE KARAKATSANIS</w:t>
      </w:r>
    </w:p>
    <w:p w:rsidR="00615A51" w:rsidRPr="00615A51" w:rsidRDefault="00615A51" w:rsidP="00615A51">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615A51" w:rsidRPr="00237788" w:rsidTr="00615A51">
        <w:tc>
          <w:tcPr>
            <w:tcW w:w="4338" w:type="dxa"/>
          </w:tcPr>
          <w:p w:rsidR="00615A51" w:rsidRPr="00615A51" w:rsidRDefault="00004B8E" w:rsidP="00615A51">
            <w:pPr>
              <w:tabs>
                <w:tab w:val="left" w:pos="-1440"/>
                <w:tab w:val="left" w:pos="-720"/>
              </w:tabs>
              <w:jc w:val="both"/>
              <w:rPr>
                <w:b/>
              </w:rPr>
            </w:pPr>
            <w:r w:rsidRPr="00615A51">
              <w:rPr>
                <w:szCs w:val="24"/>
                <w:lang w:val="en-US"/>
              </w:rPr>
              <w:fldChar w:fldCharType="begin"/>
            </w:r>
            <w:r w:rsidR="00615A51" w:rsidRPr="00615A51">
              <w:rPr>
                <w:szCs w:val="24"/>
                <w:lang w:val="en-US"/>
              </w:rPr>
              <w:instrText xml:space="preserve"> SEQ CHAPTER \h \r 1</w:instrText>
            </w:r>
            <w:r w:rsidRPr="00615A51">
              <w:rPr>
                <w:szCs w:val="24"/>
                <w:lang w:val="en-US"/>
              </w:rPr>
              <w:fldChar w:fldCharType="end"/>
            </w:r>
            <w:r w:rsidR="00615A51" w:rsidRPr="00615A51">
              <w:rPr>
                <w:b/>
                <w:bCs/>
                <w:lang w:val="en-US"/>
              </w:rPr>
              <w:t xml:space="preserve">Motion to </w:t>
            </w:r>
            <w:r w:rsidR="00615A51" w:rsidRPr="00615A51">
              <w:rPr>
                <w:b/>
                <w:bCs/>
                <w:lang w:val="en-GB"/>
              </w:rPr>
              <w:t>to appoint counsel</w:t>
            </w:r>
          </w:p>
        </w:tc>
        <w:tc>
          <w:tcPr>
            <w:tcW w:w="1170" w:type="dxa"/>
          </w:tcPr>
          <w:p w:rsidR="00615A51" w:rsidRPr="00615A51" w:rsidRDefault="00615A51" w:rsidP="00615A51">
            <w:pPr>
              <w:tabs>
                <w:tab w:val="left" w:pos="-1440"/>
                <w:tab w:val="left" w:pos="-720"/>
              </w:tabs>
              <w:jc w:val="both"/>
            </w:pPr>
          </w:p>
          <w:p w:rsidR="00615A51" w:rsidRPr="00615A51" w:rsidRDefault="00615A51" w:rsidP="00615A51">
            <w:pPr>
              <w:tabs>
                <w:tab w:val="left" w:pos="-1440"/>
                <w:tab w:val="left" w:pos="-720"/>
              </w:tabs>
              <w:jc w:val="both"/>
            </w:pPr>
          </w:p>
        </w:tc>
        <w:tc>
          <w:tcPr>
            <w:tcW w:w="4327" w:type="dxa"/>
          </w:tcPr>
          <w:p w:rsidR="00615A51" w:rsidRPr="00615A51" w:rsidRDefault="00004B8E" w:rsidP="00615A51">
            <w:pPr>
              <w:tabs>
                <w:tab w:val="left" w:pos="-1440"/>
                <w:tab w:val="left" w:pos="-720"/>
              </w:tabs>
              <w:jc w:val="both"/>
              <w:rPr>
                <w:lang w:val="fr-CA"/>
              </w:rPr>
            </w:pPr>
            <w:r w:rsidRPr="00615A51">
              <w:rPr>
                <w:szCs w:val="24"/>
                <w:lang w:val="en-US"/>
              </w:rPr>
              <w:fldChar w:fldCharType="begin"/>
            </w:r>
            <w:r w:rsidR="00615A51" w:rsidRPr="00615A51">
              <w:rPr>
                <w:szCs w:val="24"/>
                <w:lang w:val="fr-CA"/>
              </w:rPr>
              <w:instrText xml:space="preserve"> SEQ CHAPTER \h \r 1</w:instrText>
            </w:r>
            <w:r w:rsidRPr="00615A51">
              <w:rPr>
                <w:szCs w:val="24"/>
                <w:lang w:val="en-US"/>
              </w:rPr>
              <w:fldChar w:fldCharType="end"/>
            </w:r>
            <w:r w:rsidR="00615A51" w:rsidRPr="00615A51">
              <w:rPr>
                <w:b/>
                <w:bCs/>
                <w:lang w:val="fr-CA"/>
              </w:rPr>
              <w:t xml:space="preserve">Requête en désignation d’un avocat </w:t>
            </w:r>
            <w:r w:rsidRPr="00615A51">
              <w:rPr>
                <w:szCs w:val="24"/>
                <w:lang w:val="en-US"/>
              </w:rPr>
              <w:fldChar w:fldCharType="begin"/>
            </w:r>
            <w:r w:rsidR="00615A51" w:rsidRPr="00615A51">
              <w:rPr>
                <w:szCs w:val="24"/>
                <w:lang w:val="fr-CA"/>
              </w:rPr>
              <w:instrText xml:space="preserve"> SEQ CHAPTER \h \r 1</w:instrText>
            </w:r>
            <w:r w:rsidRPr="00615A51">
              <w:rPr>
                <w:szCs w:val="24"/>
                <w:lang w:val="en-US"/>
              </w:rPr>
              <w:fldChar w:fldCharType="end"/>
            </w:r>
          </w:p>
        </w:tc>
      </w:tr>
      <w:tr w:rsidR="00615A51" w:rsidRPr="00615A51" w:rsidTr="00615A51">
        <w:tc>
          <w:tcPr>
            <w:tcW w:w="4338" w:type="dxa"/>
          </w:tcPr>
          <w:p w:rsidR="00615A51" w:rsidRPr="00615A51" w:rsidRDefault="00615A51" w:rsidP="00615A51">
            <w:pPr>
              <w:tabs>
                <w:tab w:val="left" w:pos="-1440"/>
                <w:tab w:val="left" w:pos="-720"/>
              </w:tabs>
              <w:jc w:val="both"/>
            </w:pPr>
            <w:r w:rsidRPr="00615A51">
              <w:t>Natasha Kaye Healy</w:t>
            </w:r>
          </w:p>
          <w:p w:rsidR="00615A51" w:rsidRPr="00615A51" w:rsidRDefault="00615A51" w:rsidP="00615A51">
            <w:pPr>
              <w:tabs>
                <w:tab w:val="left" w:pos="-1440"/>
                <w:tab w:val="left" w:pos="-720"/>
              </w:tabs>
              <w:jc w:val="both"/>
            </w:pPr>
          </w:p>
          <w:p w:rsidR="00615A51" w:rsidRPr="00615A51" w:rsidRDefault="00615A51" w:rsidP="00615A51">
            <w:pPr>
              <w:tabs>
                <w:tab w:val="left" w:pos="-1440"/>
                <w:tab w:val="left" w:pos="-720"/>
              </w:tabs>
              <w:jc w:val="both"/>
            </w:pPr>
            <w:r w:rsidRPr="00615A51">
              <w:tab/>
              <w:t>v. (35907)</w:t>
            </w:r>
          </w:p>
          <w:p w:rsidR="00615A51" w:rsidRPr="00615A51" w:rsidRDefault="00615A51" w:rsidP="00615A51">
            <w:pPr>
              <w:tabs>
                <w:tab w:val="left" w:pos="-1440"/>
                <w:tab w:val="left" w:pos="-720"/>
              </w:tabs>
              <w:jc w:val="both"/>
            </w:pPr>
          </w:p>
          <w:p w:rsidR="00615A51" w:rsidRPr="00615A51" w:rsidRDefault="00615A51" w:rsidP="00615A51">
            <w:pPr>
              <w:tabs>
                <w:tab w:val="left" w:pos="-1440"/>
                <w:tab w:val="left" w:pos="-720"/>
              </w:tabs>
              <w:jc w:val="both"/>
            </w:pPr>
            <w:r w:rsidRPr="00615A51">
              <w:t>Her Majesty the Queen (Crim.) (B.C.)</w:t>
            </w:r>
          </w:p>
        </w:tc>
        <w:tc>
          <w:tcPr>
            <w:tcW w:w="1170" w:type="dxa"/>
          </w:tcPr>
          <w:p w:rsidR="00615A51" w:rsidRPr="00615A51" w:rsidRDefault="00615A51" w:rsidP="00615A51">
            <w:pPr>
              <w:tabs>
                <w:tab w:val="left" w:pos="-1440"/>
                <w:tab w:val="left" w:pos="-720"/>
              </w:tabs>
              <w:jc w:val="both"/>
            </w:pPr>
          </w:p>
        </w:tc>
        <w:tc>
          <w:tcPr>
            <w:tcW w:w="4327" w:type="dxa"/>
          </w:tcPr>
          <w:p w:rsidR="00615A51" w:rsidRPr="00615A51" w:rsidRDefault="00615A51" w:rsidP="00615A51">
            <w:pPr>
              <w:tabs>
                <w:tab w:val="left" w:pos="-1440"/>
                <w:tab w:val="left" w:pos="-720"/>
              </w:tabs>
              <w:jc w:val="both"/>
            </w:pPr>
          </w:p>
        </w:tc>
      </w:tr>
    </w:tbl>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615A51" w:rsidP="00615A51">
      <w:pPr>
        <w:tabs>
          <w:tab w:val="left" w:pos="-1440"/>
          <w:tab w:val="left" w:pos="-720"/>
        </w:tabs>
        <w:jc w:val="both"/>
        <w:rPr>
          <w:rFonts w:eastAsia="Times New Roman" w:cs="Times New Roman"/>
          <w:sz w:val="20"/>
          <w:szCs w:val="20"/>
          <w:lang w:eastAsia="en-CA"/>
        </w:rPr>
      </w:pPr>
      <w:r w:rsidRPr="00615A51">
        <w:rPr>
          <w:rFonts w:eastAsia="Times New Roman" w:cs="Times New Roman"/>
          <w:b/>
          <w:sz w:val="20"/>
          <w:szCs w:val="20"/>
          <w:lang w:eastAsia="en-CA"/>
        </w:rPr>
        <w:t>DISMISSED / REJETÉE</w:t>
      </w:r>
    </w:p>
    <w:p w:rsidR="00615A51" w:rsidRPr="00615A51" w:rsidRDefault="00615A51" w:rsidP="00615A51">
      <w:pPr>
        <w:tabs>
          <w:tab w:val="left" w:pos="-1440"/>
          <w:tab w:val="left" w:pos="-720"/>
        </w:tabs>
        <w:jc w:val="both"/>
        <w:rPr>
          <w:rFonts w:eastAsia="Times New Roman" w:cs="Times New Roman"/>
          <w:sz w:val="20"/>
          <w:szCs w:val="20"/>
          <w:lang w:eastAsia="en-CA"/>
        </w:rPr>
      </w:pPr>
    </w:p>
    <w:p w:rsidR="00615A51" w:rsidRPr="00615A51" w:rsidRDefault="00615A51" w:rsidP="00615A51">
      <w:pPr>
        <w:jc w:val="both"/>
        <w:rPr>
          <w:rFonts w:eastAsia="Times New Roman" w:cs="Times New Roman"/>
          <w:sz w:val="20"/>
          <w:szCs w:val="20"/>
          <w:lang w:eastAsia="en-CA"/>
        </w:rPr>
      </w:pPr>
      <w:r w:rsidRPr="00615A51">
        <w:rPr>
          <w:rFonts w:eastAsia="Times New Roman" w:cs="Times New Roman"/>
          <w:b/>
          <w:bCs/>
          <w:sz w:val="20"/>
          <w:szCs w:val="20"/>
          <w:lang w:eastAsia="en-CA"/>
        </w:rPr>
        <w:t>UPON APPLICATION</w:t>
      </w:r>
      <w:r w:rsidRPr="00615A51">
        <w:rPr>
          <w:rFonts w:eastAsia="Times New Roman" w:cs="Times New Roman"/>
          <w:sz w:val="20"/>
          <w:szCs w:val="20"/>
          <w:lang w:eastAsia="en-CA"/>
        </w:rPr>
        <w:t xml:space="preserve"> by the applicant for an order appointing</w:t>
      </w:r>
      <w:r w:rsidRPr="00615A51">
        <w:rPr>
          <w:rFonts w:eastAsia="PMingLiU" w:cs="Times New Roman"/>
          <w:sz w:val="20"/>
          <w:szCs w:val="20"/>
          <w:lang w:val="en-GB" w:eastAsia="en-CA"/>
        </w:rPr>
        <w:t xml:space="preserve"> Mr. Daniel F. Henderson </w:t>
      </w:r>
      <w:r w:rsidRPr="00615A51">
        <w:rPr>
          <w:rFonts w:eastAsia="Times New Roman" w:cs="Times New Roman"/>
          <w:sz w:val="20"/>
          <w:szCs w:val="20"/>
          <w:lang w:eastAsia="en-CA"/>
        </w:rPr>
        <w:t>as counsel for the oral argument for leave to appeal and the preparation thereof, and for the appeal if leave is granted;</w:t>
      </w:r>
    </w:p>
    <w:p w:rsidR="00615A51" w:rsidRPr="00615A51" w:rsidRDefault="00615A51" w:rsidP="00615A51">
      <w:pPr>
        <w:jc w:val="both"/>
        <w:rPr>
          <w:rFonts w:eastAsia="Times New Roman" w:cs="Times New Roman"/>
          <w:sz w:val="20"/>
          <w:szCs w:val="20"/>
          <w:lang w:eastAsia="en-CA"/>
        </w:rPr>
      </w:pPr>
    </w:p>
    <w:p w:rsidR="00615A51" w:rsidRPr="00615A51" w:rsidRDefault="00615A51" w:rsidP="00615A51">
      <w:pPr>
        <w:jc w:val="both"/>
        <w:rPr>
          <w:rFonts w:eastAsia="Times New Roman" w:cs="Times New Roman"/>
          <w:sz w:val="20"/>
          <w:szCs w:val="20"/>
          <w:lang w:eastAsia="en-CA"/>
        </w:rPr>
      </w:pPr>
      <w:r w:rsidRPr="00615A51">
        <w:rPr>
          <w:rFonts w:eastAsia="Times New Roman" w:cs="Times New Roman"/>
          <w:b/>
          <w:sz w:val="20"/>
          <w:szCs w:val="20"/>
          <w:lang w:eastAsia="en-CA"/>
        </w:rPr>
        <w:t>AND HAVING READ</w:t>
      </w:r>
      <w:r w:rsidRPr="00615A51">
        <w:rPr>
          <w:rFonts w:eastAsia="Times New Roman" w:cs="Times New Roman"/>
          <w:sz w:val="20"/>
          <w:szCs w:val="20"/>
          <w:lang w:eastAsia="en-CA"/>
        </w:rPr>
        <w:t xml:space="preserve"> the material filed;</w:t>
      </w:r>
    </w:p>
    <w:p w:rsidR="00615A51" w:rsidRPr="00615A51" w:rsidRDefault="00615A51" w:rsidP="00615A51">
      <w:pPr>
        <w:jc w:val="both"/>
        <w:rPr>
          <w:rFonts w:eastAsia="Times New Roman" w:cs="Times New Roman"/>
          <w:sz w:val="20"/>
          <w:szCs w:val="20"/>
          <w:lang w:eastAsia="en-CA"/>
        </w:rPr>
      </w:pPr>
    </w:p>
    <w:p w:rsidR="00615A51" w:rsidRPr="00615A51" w:rsidRDefault="00615A51" w:rsidP="00615A51">
      <w:pPr>
        <w:jc w:val="both"/>
        <w:rPr>
          <w:rFonts w:eastAsia="Times New Roman" w:cs="Times New Roman"/>
          <w:sz w:val="20"/>
          <w:szCs w:val="20"/>
          <w:lang w:eastAsia="en-CA"/>
        </w:rPr>
      </w:pPr>
      <w:r w:rsidRPr="00615A51">
        <w:rPr>
          <w:rFonts w:eastAsia="Times New Roman" w:cs="Times New Roman"/>
          <w:b/>
          <w:sz w:val="20"/>
          <w:szCs w:val="20"/>
          <w:lang w:eastAsia="en-CA"/>
        </w:rPr>
        <w:t>IT IS HEREBY ORDERED THAT</w:t>
      </w:r>
      <w:r w:rsidRPr="00615A51">
        <w:rPr>
          <w:rFonts w:eastAsia="Times New Roman" w:cs="Times New Roman"/>
          <w:sz w:val="20"/>
          <w:szCs w:val="20"/>
          <w:lang w:eastAsia="en-CA"/>
        </w:rPr>
        <w:t xml:space="preserve">: </w:t>
      </w:r>
    </w:p>
    <w:p w:rsidR="00615A51" w:rsidRPr="00615A51" w:rsidRDefault="00615A51" w:rsidP="00615A51">
      <w:pPr>
        <w:jc w:val="both"/>
        <w:rPr>
          <w:rFonts w:eastAsia="Times New Roman" w:cs="Times New Roman"/>
          <w:sz w:val="20"/>
          <w:szCs w:val="20"/>
          <w:lang w:eastAsia="en-CA"/>
        </w:rPr>
      </w:pPr>
    </w:p>
    <w:p w:rsidR="00615A51" w:rsidRPr="00615A51" w:rsidRDefault="00615A51" w:rsidP="00615A51">
      <w:pPr>
        <w:jc w:val="both"/>
        <w:rPr>
          <w:rFonts w:eastAsia="Times New Roman" w:cs="Times New Roman"/>
          <w:sz w:val="20"/>
          <w:szCs w:val="20"/>
          <w:lang w:eastAsia="en-CA"/>
        </w:rPr>
      </w:pPr>
      <w:r w:rsidRPr="00615A51">
        <w:rPr>
          <w:rFonts w:eastAsia="Times New Roman" w:cs="Times New Roman"/>
          <w:sz w:val="20"/>
          <w:szCs w:val="20"/>
          <w:lang w:eastAsia="en-CA"/>
        </w:rPr>
        <w:t>The motion is dismissed</w:t>
      </w:r>
      <w:r w:rsidRPr="00615A51">
        <w:rPr>
          <w:rFonts w:eastAsia="Times New Roman" w:cs="Times New Roman"/>
          <w:sz w:val="20"/>
          <w:szCs w:val="20"/>
          <w:lang w:val="en-US" w:eastAsia="en-CA"/>
        </w:rPr>
        <w:t xml:space="preserve"> </w:t>
      </w:r>
      <w:r w:rsidRPr="00615A51">
        <w:rPr>
          <w:rFonts w:eastAsia="Times New Roman" w:cs="Times New Roman"/>
          <w:sz w:val="20"/>
          <w:szCs w:val="20"/>
          <w:lang w:eastAsia="en-CA"/>
        </w:rPr>
        <w:t>without prejudice to the applicant filing another motion if leave to appeal is granted.</w:t>
      </w:r>
    </w:p>
    <w:p w:rsidR="00615A51" w:rsidRPr="00615A51" w:rsidRDefault="00615A51" w:rsidP="00615A51">
      <w:pPr>
        <w:jc w:val="both"/>
        <w:rPr>
          <w:rFonts w:eastAsia="Times New Roman" w:cs="Times New Roman"/>
          <w:sz w:val="20"/>
          <w:szCs w:val="20"/>
          <w:lang w:eastAsia="en-CA"/>
        </w:rPr>
      </w:pPr>
    </w:p>
    <w:p w:rsidR="00615A51" w:rsidRPr="00615A51" w:rsidRDefault="00615A51" w:rsidP="00615A51">
      <w:pPr>
        <w:jc w:val="both"/>
        <w:rPr>
          <w:rFonts w:eastAsia="Times New Roman" w:cs="Times New Roman"/>
          <w:sz w:val="20"/>
          <w:szCs w:val="20"/>
          <w:lang w:eastAsia="en-CA"/>
        </w:rPr>
      </w:pPr>
    </w:p>
    <w:p w:rsidR="00615A51" w:rsidRPr="00615A51" w:rsidRDefault="00615A51" w:rsidP="00615A51">
      <w:pPr>
        <w:jc w:val="both"/>
        <w:rPr>
          <w:rFonts w:eastAsia="Times New Roman" w:cs="Times New Roman"/>
          <w:sz w:val="20"/>
          <w:szCs w:val="20"/>
          <w:lang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b/>
          <w:sz w:val="20"/>
          <w:szCs w:val="20"/>
          <w:lang w:val="fr-CA" w:eastAsia="en-CA"/>
        </w:rPr>
        <w:t>À LA SUITE DE LA REQUÊTE</w:t>
      </w:r>
      <w:r w:rsidRPr="00615A51">
        <w:rPr>
          <w:rFonts w:eastAsia="Times New Roman" w:cs="Times New Roman"/>
          <w:sz w:val="20"/>
          <w:szCs w:val="20"/>
          <w:lang w:val="fr-CA" w:eastAsia="en-CA"/>
        </w:rPr>
        <w:t xml:space="preserve"> de la demanderesse pour que M</w:t>
      </w:r>
      <w:r w:rsidRPr="00615A51">
        <w:rPr>
          <w:rFonts w:eastAsia="Times New Roman" w:cs="Times New Roman"/>
          <w:sz w:val="20"/>
          <w:szCs w:val="20"/>
          <w:vertAlign w:val="superscript"/>
          <w:lang w:val="fr-CA" w:eastAsia="en-CA"/>
        </w:rPr>
        <w:t xml:space="preserve">e </w:t>
      </w:r>
      <w:r w:rsidRPr="00615A51">
        <w:rPr>
          <w:rFonts w:eastAsia="Times New Roman" w:cs="Times New Roman"/>
          <w:sz w:val="20"/>
          <w:szCs w:val="20"/>
          <w:lang w:val="fr-CA" w:eastAsia="en-CA"/>
        </w:rPr>
        <w:t>Daniel F. Henderson soit nommé avocat aux fins de la plaidoirie relative à la demande d’autorisation d’appel et pour la préparation de celle-ci de même que pour l’appel si l’autorisation d’interjeter appel est accordée;</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b/>
          <w:sz w:val="20"/>
          <w:szCs w:val="20"/>
          <w:lang w:val="fr-CA" w:eastAsia="en-CA"/>
        </w:rPr>
        <w:t>ET APRÈS EXAMEN</w:t>
      </w:r>
      <w:r w:rsidRPr="00615A51">
        <w:rPr>
          <w:rFonts w:eastAsia="Times New Roman" w:cs="Times New Roman"/>
          <w:sz w:val="20"/>
          <w:szCs w:val="20"/>
          <w:lang w:val="fr-CA" w:eastAsia="en-CA"/>
        </w:rPr>
        <w:t xml:space="preserve"> des documents déposés;</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b/>
          <w:sz w:val="20"/>
          <w:szCs w:val="20"/>
          <w:lang w:val="fr-CA" w:eastAsia="en-CA"/>
        </w:rPr>
      </w:pPr>
      <w:r w:rsidRPr="00615A51">
        <w:rPr>
          <w:rFonts w:eastAsia="Times New Roman" w:cs="Times New Roman"/>
          <w:b/>
          <w:sz w:val="20"/>
          <w:szCs w:val="20"/>
          <w:lang w:val="fr-CA" w:eastAsia="en-CA"/>
        </w:rPr>
        <w:t>IL EST ORDONNÉ CE QUI SUIT :</w:t>
      </w:r>
    </w:p>
    <w:p w:rsidR="00615A51" w:rsidRPr="00615A51" w:rsidRDefault="00615A51" w:rsidP="00615A51">
      <w:pPr>
        <w:jc w:val="both"/>
        <w:rPr>
          <w:rFonts w:eastAsia="Times New Roman" w:cs="Times New Roman"/>
          <w:sz w:val="20"/>
          <w:szCs w:val="20"/>
          <w:lang w:val="fr-CA" w:eastAsia="en-CA"/>
        </w:rPr>
      </w:pPr>
    </w:p>
    <w:p w:rsidR="00615A51" w:rsidRPr="00615A51" w:rsidRDefault="00615A51" w:rsidP="00615A51">
      <w:pPr>
        <w:jc w:val="both"/>
        <w:rPr>
          <w:rFonts w:eastAsia="Times New Roman" w:cs="Times New Roman"/>
          <w:sz w:val="20"/>
          <w:szCs w:val="20"/>
          <w:lang w:val="fr-CA" w:eastAsia="en-CA"/>
        </w:rPr>
      </w:pPr>
      <w:r w:rsidRPr="00615A51">
        <w:rPr>
          <w:rFonts w:eastAsia="Times New Roman" w:cs="Times New Roman"/>
          <w:sz w:val="20"/>
          <w:szCs w:val="20"/>
          <w:lang w:val="fr-CA" w:eastAsia="en-CA"/>
        </w:rPr>
        <w:t>La requête est rejetée sous réserve de la présentation d’une autre requête par la demanderesse si l’autorisation d’interjeter appel est accordée.</w:t>
      </w:r>
    </w:p>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615A51" w:rsidRPr="00615A51" w:rsidRDefault="00237788" w:rsidP="00615A51">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615A51" w:rsidRPr="00615A51" w:rsidRDefault="00615A51" w:rsidP="00615A51">
      <w:pPr>
        <w:tabs>
          <w:tab w:val="left" w:pos="-1440"/>
          <w:tab w:val="left" w:pos="-720"/>
        </w:tabs>
        <w:jc w:val="both"/>
        <w:rPr>
          <w:rFonts w:eastAsia="Times New Roman" w:cs="Times New Roman"/>
          <w:sz w:val="20"/>
          <w:szCs w:val="20"/>
          <w:lang w:val="fr-CA" w:eastAsia="en-CA"/>
        </w:rPr>
      </w:pPr>
    </w:p>
    <w:p w:rsidR="00457003" w:rsidRDefault="00457003" w:rsidP="00183454">
      <w:pPr>
        <w:tabs>
          <w:tab w:val="left" w:pos="-1440"/>
          <w:tab w:val="left" w:pos="-720"/>
        </w:tabs>
        <w:jc w:val="both"/>
        <w:rPr>
          <w:rFonts w:eastAsia="Times New Roman" w:cs="Times New Roman"/>
          <w:sz w:val="20"/>
          <w:szCs w:val="20"/>
          <w:lang w:val="fr-CA" w:eastAsia="en-CA"/>
        </w:rPr>
      </w:pPr>
    </w:p>
    <w:p w:rsidR="00457003" w:rsidRDefault="00457003" w:rsidP="00183454">
      <w:pPr>
        <w:tabs>
          <w:tab w:val="left" w:pos="-1440"/>
          <w:tab w:val="left" w:pos="-720"/>
        </w:tabs>
        <w:jc w:val="both"/>
        <w:rPr>
          <w:rFonts w:eastAsia="Times New Roman" w:cs="Times New Roman"/>
          <w:sz w:val="20"/>
          <w:szCs w:val="20"/>
          <w:lang w:val="fr-CA" w:eastAsia="en-CA"/>
        </w:rPr>
      </w:pPr>
    </w:p>
    <w:p w:rsidR="0010587F" w:rsidRPr="003B3977" w:rsidRDefault="0010587F" w:rsidP="0010587F">
      <w:pPr>
        <w:tabs>
          <w:tab w:val="left" w:pos="-1440"/>
          <w:tab w:val="left" w:pos="-720"/>
        </w:tabs>
        <w:jc w:val="both"/>
        <w:rPr>
          <w:sz w:val="20"/>
          <w:szCs w:val="20"/>
          <w:lang w:val="fr-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237788"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EC4319" w:rsidRPr="008802EB" w:rsidRDefault="00EC4319" w:rsidP="00EC4319">
      <w:pPr>
        <w:widowControl w:val="0"/>
        <w:rPr>
          <w:sz w:val="20"/>
          <w:szCs w:val="20"/>
        </w:rPr>
      </w:pPr>
      <w:r>
        <w:rPr>
          <w:sz w:val="20"/>
          <w:szCs w:val="20"/>
        </w:rPr>
        <w:t>1</w:t>
      </w:r>
      <w:r w:rsidRPr="008802EB">
        <w:rPr>
          <w:sz w:val="20"/>
          <w:szCs w:val="20"/>
        </w:rPr>
        <w:t>0.10.2014</w:t>
      </w:r>
    </w:p>
    <w:p w:rsidR="00EC4319" w:rsidRPr="008802EB" w:rsidRDefault="00EC4319" w:rsidP="00EC4319">
      <w:pPr>
        <w:widowControl w:val="0"/>
        <w:rPr>
          <w:sz w:val="20"/>
          <w:szCs w:val="20"/>
        </w:rPr>
      </w:pPr>
    </w:p>
    <w:p w:rsidR="00EC4319" w:rsidRDefault="00EC4319" w:rsidP="00EC4319">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 xml:space="preserve">Abella, </w:t>
      </w:r>
      <w:r w:rsidRPr="00C50A5C">
        <w:rPr>
          <w:sz w:val="20"/>
          <w:szCs w:val="20"/>
          <w:u w:val="single"/>
        </w:rPr>
        <w:t>Rothstein</w:t>
      </w:r>
      <w:r>
        <w:rPr>
          <w:sz w:val="20"/>
          <w:szCs w:val="20"/>
          <w:u w:val="single"/>
        </w:rPr>
        <w:t xml:space="preserve">, Cromwell, Moldaver et Karakatsanis </w:t>
      </w:r>
      <w:r w:rsidRPr="00C50A5C">
        <w:rPr>
          <w:sz w:val="20"/>
          <w:szCs w:val="20"/>
          <w:u w:val="single"/>
        </w:rPr>
        <w:t>JJ.</w:t>
      </w:r>
      <w:r w:rsidRPr="00C50A5C">
        <w:rPr>
          <w:sz w:val="20"/>
          <w:szCs w:val="20"/>
        </w:rPr>
        <w:t xml:space="preserve"> </w:t>
      </w:r>
    </w:p>
    <w:p w:rsidR="00EC4319" w:rsidRPr="008802EB" w:rsidRDefault="00EC4319" w:rsidP="00EC4319">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C4319" w:rsidRPr="008802EB" w:rsidTr="0066350E">
        <w:tc>
          <w:tcPr>
            <w:tcW w:w="4380" w:type="dxa"/>
            <w:tcMar>
              <w:left w:w="0" w:type="dxa"/>
              <w:right w:w="0" w:type="dxa"/>
            </w:tcMar>
          </w:tcPr>
          <w:p w:rsidR="0066350E" w:rsidRDefault="0066350E" w:rsidP="0066350E">
            <w:pPr>
              <w:rPr>
                <w:rFonts w:eastAsia="Calibri"/>
                <w:b/>
                <w:iCs/>
                <w:sz w:val="20"/>
                <w:szCs w:val="20"/>
              </w:rPr>
            </w:pPr>
            <w:r w:rsidRPr="00BE2D23">
              <w:rPr>
                <w:rFonts w:eastAsia="Calibri"/>
                <w:b/>
                <w:iCs/>
                <w:sz w:val="20"/>
                <w:szCs w:val="20"/>
              </w:rPr>
              <w:t xml:space="preserve">Samir Mohamed </w:t>
            </w:r>
          </w:p>
          <w:p w:rsidR="0066350E" w:rsidRDefault="0066350E" w:rsidP="0066350E">
            <w:pPr>
              <w:rPr>
                <w:rFonts w:eastAsia="Calibri"/>
                <w:b/>
                <w:iCs/>
                <w:sz w:val="20"/>
                <w:szCs w:val="20"/>
              </w:rPr>
            </w:pPr>
          </w:p>
          <w:p w:rsidR="0066350E" w:rsidRPr="00BE2D23" w:rsidRDefault="0066350E" w:rsidP="0066350E">
            <w:pPr>
              <w:rPr>
                <w:rFonts w:eastAsia="Calibri"/>
                <w:iCs/>
                <w:sz w:val="20"/>
                <w:szCs w:val="20"/>
              </w:rPr>
            </w:pPr>
            <w:r>
              <w:rPr>
                <w:rFonts w:eastAsia="Calibri"/>
                <w:b/>
                <w:iCs/>
                <w:sz w:val="20"/>
                <w:szCs w:val="20"/>
              </w:rPr>
              <w:tab/>
            </w:r>
            <w:r w:rsidRPr="00BE2D23">
              <w:rPr>
                <w:rFonts w:eastAsia="Calibri"/>
                <w:b/>
                <w:iCs/>
                <w:sz w:val="20"/>
                <w:szCs w:val="20"/>
              </w:rPr>
              <w:t xml:space="preserve">v. </w:t>
            </w:r>
            <w:r w:rsidRPr="00BE2D23">
              <w:rPr>
                <w:rFonts w:eastAsia="Calibri"/>
                <w:iCs/>
                <w:sz w:val="20"/>
                <w:szCs w:val="20"/>
              </w:rPr>
              <w:t>(</w:t>
            </w:r>
            <w:hyperlink r:id="rId45" w:history="1">
              <w:r w:rsidRPr="00BE2D23">
                <w:rPr>
                  <w:rStyle w:val="Hyperlink"/>
                  <w:rFonts w:eastAsia="Calibri"/>
                  <w:iCs/>
                  <w:sz w:val="20"/>
                  <w:szCs w:val="20"/>
                </w:rPr>
                <w:t>35644</w:t>
              </w:r>
            </w:hyperlink>
            <w:r w:rsidRPr="00BE2D23">
              <w:rPr>
                <w:rFonts w:eastAsia="Calibri"/>
                <w:iCs/>
                <w:sz w:val="20"/>
                <w:szCs w:val="20"/>
              </w:rPr>
              <w:t>)</w:t>
            </w:r>
          </w:p>
          <w:p w:rsidR="00EC4319" w:rsidRDefault="00EC4319" w:rsidP="0066350E">
            <w:pPr>
              <w:rPr>
                <w:rFonts w:eastAsia="Calibri"/>
                <w:b/>
                <w:iCs/>
                <w:sz w:val="20"/>
                <w:szCs w:val="20"/>
              </w:rPr>
            </w:pPr>
          </w:p>
          <w:p w:rsidR="00EC4319" w:rsidRPr="008802EB" w:rsidRDefault="0066350E" w:rsidP="0066350E">
            <w:pPr>
              <w:rPr>
                <w:sz w:val="20"/>
                <w:szCs w:val="20"/>
              </w:rPr>
            </w:pPr>
            <w:r w:rsidRPr="00BE2D23">
              <w:rPr>
                <w:rFonts w:eastAsia="Calibri"/>
                <w:b/>
                <w:iCs/>
                <w:sz w:val="20"/>
                <w:szCs w:val="20"/>
              </w:rPr>
              <w:t xml:space="preserve">Her Majesty the Queen </w:t>
            </w:r>
            <w:r w:rsidRPr="0066350E">
              <w:rPr>
                <w:rFonts w:eastAsia="Calibri"/>
                <w:b/>
                <w:iCs/>
                <w:sz w:val="20"/>
                <w:szCs w:val="20"/>
              </w:rPr>
              <w:t>(Alta.) (Criminal) (As of Right)</w:t>
            </w:r>
          </w:p>
        </w:tc>
        <w:tc>
          <w:tcPr>
            <w:tcW w:w="720" w:type="dxa"/>
            <w:tcMar>
              <w:left w:w="0" w:type="dxa"/>
              <w:right w:w="0" w:type="dxa"/>
            </w:tcMar>
          </w:tcPr>
          <w:p w:rsidR="00EC4319" w:rsidRPr="008802EB" w:rsidRDefault="00EC4319" w:rsidP="0066350E">
            <w:pPr>
              <w:widowControl w:val="0"/>
              <w:jc w:val="center"/>
              <w:rPr>
                <w:sz w:val="20"/>
                <w:szCs w:val="20"/>
              </w:rPr>
            </w:pPr>
          </w:p>
        </w:tc>
        <w:tc>
          <w:tcPr>
            <w:tcW w:w="4380" w:type="dxa"/>
            <w:tcMar>
              <w:left w:w="0" w:type="dxa"/>
              <w:right w:w="0" w:type="dxa"/>
            </w:tcMar>
          </w:tcPr>
          <w:p w:rsidR="003427B8" w:rsidRPr="00E35040" w:rsidRDefault="003427B8" w:rsidP="003427B8">
            <w:pPr>
              <w:jc w:val="both"/>
              <w:rPr>
                <w:sz w:val="20"/>
                <w:szCs w:val="20"/>
              </w:rPr>
            </w:pPr>
            <w:r w:rsidRPr="00E35040">
              <w:rPr>
                <w:sz w:val="20"/>
                <w:szCs w:val="20"/>
              </w:rPr>
              <w:t>Shawn Beaver</w:t>
            </w:r>
            <w:r>
              <w:rPr>
                <w:sz w:val="20"/>
                <w:szCs w:val="20"/>
              </w:rPr>
              <w:t xml:space="preserve"> and </w:t>
            </w:r>
            <w:r w:rsidRPr="00E35040">
              <w:rPr>
                <w:sz w:val="20"/>
                <w:szCs w:val="20"/>
              </w:rPr>
              <w:t>Alexandra Seaman</w:t>
            </w:r>
            <w:r>
              <w:rPr>
                <w:sz w:val="20"/>
                <w:szCs w:val="20"/>
              </w:rPr>
              <w:t xml:space="preserve"> f</w:t>
            </w:r>
            <w:r w:rsidRPr="00E35040">
              <w:rPr>
                <w:sz w:val="20"/>
                <w:szCs w:val="20"/>
              </w:rPr>
              <w:t xml:space="preserve">or the </w:t>
            </w:r>
            <w:r>
              <w:rPr>
                <w:sz w:val="20"/>
                <w:szCs w:val="20"/>
              </w:rPr>
              <w:t>a</w:t>
            </w:r>
            <w:r w:rsidRPr="00E35040">
              <w:rPr>
                <w:sz w:val="20"/>
                <w:szCs w:val="20"/>
              </w:rPr>
              <w:t>ppellant</w:t>
            </w:r>
            <w:r>
              <w:rPr>
                <w:sz w:val="20"/>
                <w:szCs w:val="20"/>
              </w:rPr>
              <w:t>.</w:t>
            </w:r>
          </w:p>
          <w:p w:rsidR="003427B8" w:rsidRPr="00E35040" w:rsidRDefault="003427B8" w:rsidP="003427B8">
            <w:pPr>
              <w:jc w:val="both"/>
              <w:rPr>
                <w:sz w:val="20"/>
                <w:szCs w:val="20"/>
              </w:rPr>
            </w:pPr>
          </w:p>
          <w:p w:rsidR="00EC4319" w:rsidRPr="008802EB" w:rsidRDefault="003427B8" w:rsidP="003427B8">
            <w:pPr>
              <w:widowControl w:val="0"/>
              <w:jc w:val="both"/>
              <w:rPr>
                <w:sz w:val="20"/>
                <w:szCs w:val="20"/>
              </w:rPr>
            </w:pPr>
            <w:r w:rsidRPr="00E35040">
              <w:rPr>
                <w:sz w:val="20"/>
                <w:szCs w:val="20"/>
              </w:rPr>
              <w:t>James C. Martin</w:t>
            </w:r>
            <w:r>
              <w:rPr>
                <w:sz w:val="20"/>
                <w:szCs w:val="20"/>
              </w:rPr>
              <w:t xml:space="preserve"> and </w:t>
            </w:r>
            <w:r w:rsidRPr="00E35040">
              <w:rPr>
                <w:sz w:val="20"/>
                <w:szCs w:val="20"/>
              </w:rPr>
              <w:t>Louise M. Proulx</w:t>
            </w:r>
            <w:r>
              <w:rPr>
                <w:sz w:val="20"/>
                <w:szCs w:val="20"/>
              </w:rPr>
              <w:t xml:space="preserve"> f</w:t>
            </w:r>
            <w:r w:rsidRPr="00E35040">
              <w:rPr>
                <w:sz w:val="20"/>
                <w:szCs w:val="20"/>
              </w:rPr>
              <w:t xml:space="preserve">or the </w:t>
            </w:r>
            <w:r>
              <w:rPr>
                <w:sz w:val="20"/>
                <w:szCs w:val="20"/>
              </w:rPr>
              <w:t>r</w:t>
            </w:r>
            <w:r w:rsidRPr="00E35040">
              <w:rPr>
                <w:sz w:val="20"/>
                <w:szCs w:val="20"/>
              </w:rPr>
              <w:t>espondent.</w:t>
            </w:r>
          </w:p>
        </w:tc>
      </w:tr>
    </w:tbl>
    <w:p w:rsidR="00EC4319" w:rsidRPr="008802EB" w:rsidRDefault="00EC4319" w:rsidP="00EC4319">
      <w:pPr>
        <w:widowControl w:val="0"/>
        <w:rPr>
          <w:sz w:val="20"/>
          <w:szCs w:val="20"/>
        </w:rPr>
      </w:pPr>
    </w:p>
    <w:p w:rsidR="0066350E" w:rsidRPr="00E829A1" w:rsidRDefault="0066350E" w:rsidP="0066350E">
      <w:pPr>
        <w:rPr>
          <w:rFonts w:eastAsia="Calibri" w:cs="Times New Roman"/>
          <w:b/>
          <w:bCs/>
          <w:sz w:val="20"/>
          <w:szCs w:val="20"/>
          <w:lang w:val="fr-CA"/>
        </w:rPr>
      </w:pPr>
      <w:r w:rsidRPr="00E829A1">
        <w:rPr>
          <w:rFonts w:eastAsia="Calibri" w:cs="Times New Roman"/>
          <w:b/>
          <w:bCs/>
          <w:sz w:val="20"/>
          <w:szCs w:val="20"/>
          <w:lang w:val="fr-CA"/>
        </w:rPr>
        <w:t>201</w:t>
      </w:r>
      <w:r>
        <w:rPr>
          <w:rFonts w:eastAsia="Calibri" w:cs="Times New Roman"/>
          <w:b/>
          <w:bCs/>
          <w:sz w:val="20"/>
          <w:szCs w:val="20"/>
          <w:lang w:val="fr-CA"/>
        </w:rPr>
        <w:t>4</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Pr>
          <w:rFonts w:eastAsia="Calibri" w:cs="Times New Roman"/>
          <w:b/>
          <w:bCs/>
          <w:sz w:val="20"/>
          <w:szCs w:val="20"/>
        </w:rPr>
        <w:t>63</w:t>
      </w:r>
      <w:r w:rsidRPr="00E829A1">
        <w:rPr>
          <w:rFonts w:eastAsia="Calibri" w:cs="Times New Roman"/>
          <w:b/>
          <w:bCs/>
          <w:sz w:val="20"/>
          <w:szCs w:val="20"/>
          <w:lang w:val="fr-CA"/>
        </w:rPr>
        <w:t xml:space="preserve"> / 201</w:t>
      </w:r>
      <w:r>
        <w:rPr>
          <w:rFonts w:eastAsia="Calibri" w:cs="Times New Roman"/>
          <w:b/>
          <w:bCs/>
          <w:sz w:val="20"/>
          <w:szCs w:val="20"/>
          <w:lang w:val="fr-CA"/>
        </w:rPr>
        <w:t>4</w:t>
      </w:r>
      <w:r w:rsidRPr="00E829A1">
        <w:rPr>
          <w:rFonts w:eastAsia="Calibri" w:cs="Times New Roman"/>
          <w:b/>
          <w:bCs/>
          <w:sz w:val="20"/>
          <w:szCs w:val="20"/>
          <w:lang w:val="fr-CA"/>
        </w:rPr>
        <w:t xml:space="preserve"> CSC </w:t>
      </w:r>
      <w:r>
        <w:rPr>
          <w:rFonts w:eastAsia="Calibri" w:cs="Times New Roman"/>
          <w:b/>
          <w:bCs/>
          <w:sz w:val="20"/>
          <w:szCs w:val="20"/>
          <w:lang w:val="fr-CA"/>
        </w:rPr>
        <w:t>63</w:t>
      </w:r>
    </w:p>
    <w:p w:rsidR="0066350E" w:rsidRPr="005E31A3" w:rsidRDefault="0066350E" w:rsidP="0066350E">
      <w:pPr>
        <w:widowControl w:val="0"/>
        <w:rPr>
          <w:sz w:val="20"/>
          <w:szCs w:val="20"/>
        </w:rPr>
      </w:pPr>
    </w:p>
    <w:p w:rsidR="0066350E" w:rsidRPr="0085476B" w:rsidRDefault="0066350E" w:rsidP="0066350E">
      <w:pPr>
        <w:widowControl w:val="0"/>
        <w:rPr>
          <w:sz w:val="20"/>
          <w:szCs w:val="20"/>
        </w:rPr>
      </w:pPr>
      <w:r>
        <w:rPr>
          <w:b/>
          <w:sz w:val="20"/>
          <w:szCs w:val="20"/>
        </w:rPr>
        <w:t>DISMISS</w:t>
      </w:r>
      <w:r w:rsidRPr="0085476B">
        <w:rPr>
          <w:b/>
          <w:sz w:val="20"/>
          <w:szCs w:val="20"/>
        </w:rPr>
        <w:t xml:space="preserve">ED / </w:t>
      </w:r>
      <w:r>
        <w:rPr>
          <w:b/>
          <w:sz w:val="20"/>
          <w:szCs w:val="20"/>
        </w:rPr>
        <w:t>REJETÉ</w:t>
      </w:r>
    </w:p>
    <w:p w:rsidR="0066350E" w:rsidRPr="005E31A3" w:rsidRDefault="0066350E" w:rsidP="0066350E">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6350E" w:rsidRPr="00B1010D" w:rsidTr="0066350E">
        <w:tc>
          <w:tcPr>
            <w:tcW w:w="4380" w:type="dxa"/>
            <w:tcMar>
              <w:left w:w="0" w:type="dxa"/>
              <w:right w:w="0" w:type="dxa"/>
            </w:tcMar>
          </w:tcPr>
          <w:p w:rsidR="0066350E" w:rsidRPr="00CC4D84" w:rsidRDefault="0066350E" w:rsidP="0066350E">
            <w:pPr>
              <w:widowControl w:val="0"/>
              <w:jc w:val="both"/>
              <w:rPr>
                <w:b/>
                <w:sz w:val="20"/>
                <w:szCs w:val="20"/>
                <w:u w:val="single"/>
              </w:rPr>
            </w:pPr>
            <w:r>
              <w:rPr>
                <w:b/>
                <w:sz w:val="20"/>
                <w:szCs w:val="20"/>
                <w:u w:val="single"/>
              </w:rPr>
              <w:t>JUDGMENT</w:t>
            </w:r>
            <w:r w:rsidRPr="00CC4D84">
              <w:rPr>
                <w:b/>
                <w:sz w:val="20"/>
                <w:szCs w:val="20"/>
                <w:u w:val="single"/>
              </w:rPr>
              <w:t>:</w:t>
            </w:r>
          </w:p>
          <w:p w:rsidR="0066350E" w:rsidRPr="001A663B" w:rsidRDefault="0066350E" w:rsidP="0066350E">
            <w:pPr>
              <w:widowControl w:val="0"/>
              <w:jc w:val="both"/>
              <w:rPr>
                <w:b/>
                <w:sz w:val="20"/>
                <w:szCs w:val="20"/>
              </w:rPr>
            </w:pPr>
          </w:p>
          <w:p w:rsidR="00BB18FF" w:rsidRPr="00FC6C91" w:rsidRDefault="00BB18FF" w:rsidP="00BB18FF">
            <w:pPr>
              <w:jc w:val="both"/>
              <w:rPr>
                <w:sz w:val="20"/>
                <w:szCs w:val="20"/>
              </w:rPr>
            </w:pPr>
            <w:r w:rsidRPr="00FC6C91">
              <w:rPr>
                <w:sz w:val="20"/>
                <w:szCs w:val="20"/>
              </w:rPr>
              <w:t>The appeal from the judgment of the Court of Appeal of Alberta (Calgary), Number 1201-0093-A, 2013 ABCA 406, dated November 26, 2013, was heard on October 10, 2014, and the Court on that day delivered the following judgment orally:</w:t>
            </w:r>
          </w:p>
          <w:p w:rsidR="00BB18FF" w:rsidRPr="00FC6C91" w:rsidRDefault="00BB18FF" w:rsidP="00BB18FF">
            <w:pPr>
              <w:jc w:val="center"/>
              <w:rPr>
                <w:sz w:val="20"/>
                <w:szCs w:val="20"/>
              </w:rPr>
            </w:pPr>
          </w:p>
          <w:p w:rsidR="00BB18FF" w:rsidRPr="00FC6C91" w:rsidRDefault="00BB18FF" w:rsidP="00BB18FF">
            <w:pPr>
              <w:jc w:val="center"/>
              <w:rPr>
                <w:sz w:val="20"/>
                <w:szCs w:val="20"/>
              </w:rPr>
            </w:pPr>
          </w:p>
          <w:p w:rsidR="00BB18FF" w:rsidRPr="00FC6C91" w:rsidRDefault="00BB18FF" w:rsidP="00BB18FF">
            <w:pPr>
              <w:jc w:val="both"/>
              <w:rPr>
                <w:sz w:val="20"/>
                <w:szCs w:val="20"/>
                <w:lang w:val="en-US"/>
              </w:rPr>
            </w:pPr>
            <w:r w:rsidRPr="00FC6C91">
              <w:rPr>
                <w:smallCaps/>
                <w:sz w:val="20"/>
                <w:szCs w:val="20"/>
              </w:rPr>
              <w:t>Cromwell J.</w:t>
            </w:r>
            <w:r w:rsidRPr="00FC6C91">
              <w:rPr>
                <w:sz w:val="20"/>
                <w:szCs w:val="20"/>
              </w:rPr>
              <w:t xml:space="preserve"> </w:t>
            </w:r>
            <w:r w:rsidRPr="00FC6C91">
              <w:rPr>
                <w:rFonts w:cs="Times New Roman"/>
                <w:sz w:val="20"/>
                <w:szCs w:val="20"/>
              </w:rPr>
              <w:t>―</w:t>
            </w:r>
            <w:r w:rsidRPr="00FC6C91">
              <w:rPr>
                <w:sz w:val="20"/>
                <w:szCs w:val="20"/>
              </w:rPr>
              <w:t xml:space="preserve"> </w:t>
            </w:r>
            <w:r w:rsidRPr="00FC6C91">
              <w:rPr>
                <w:sz w:val="20"/>
                <w:szCs w:val="20"/>
                <w:lang w:val="en-US"/>
              </w:rPr>
              <w:t>This appeal as of right comes to us on the dissent of Berger J.A. in the Alberta Court of Appeal. The question is whether the trial judge’s failure to identify a s. 8 breach in addition to the admitted breach of s. 10(b) justifies considering the trial judge’s s. 24(2) analysis afresh on appeal.</w:t>
            </w:r>
          </w:p>
          <w:p w:rsidR="00BB18FF" w:rsidRPr="00FC6C91" w:rsidRDefault="00BB18FF" w:rsidP="00BB18FF">
            <w:pPr>
              <w:jc w:val="both"/>
              <w:rPr>
                <w:sz w:val="20"/>
                <w:szCs w:val="20"/>
                <w:lang w:val="en-US"/>
              </w:rPr>
            </w:pPr>
          </w:p>
          <w:p w:rsidR="00BB18FF" w:rsidRDefault="00BB18FF" w:rsidP="00BB18FF">
            <w:pPr>
              <w:jc w:val="both"/>
              <w:rPr>
                <w:sz w:val="20"/>
                <w:szCs w:val="20"/>
                <w:lang w:val="en-US"/>
              </w:rPr>
            </w:pPr>
          </w:p>
          <w:p w:rsidR="00BB18FF" w:rsidRPr="00FC6C91" w:rsidRDefault="00BB18FF" w:rsidP="00BB18FF">
            <w:pPr>
              <w:jc w:val="both"/>
              <w:rPr>
                <w:sz w:val="20"/>
                <w:szCs w:val="20"/>
                <w:lang w:val="en-US"/>
              </w:rPr>
            </w:pPr>
          </w:p>
          <w:p w:rsidR="00BB18FF" w:rsidRPr="00FC6C91" w:rsidRDefault="00BB18FF" w:rsidP="00BB18FF">
            <w:pPr>
              <w:jc w:val="both"/>
              <w:rPr>
                <w:sz w:val="20"/>
                <w:szCs w:val="20"/>
                <w:lang w:val="en-US"/>
              </w:rPr>
            </w:pPr>
            <w:r w:rsidRPr="00FC6C91">
              <w:rPr>
                <w:sz w:val="20"/>
                <w:szCs w:val="20"/>
                <w:lang w:val="en-US"/>
              </w:rPr>
              <w:t xml:space="preserve">In our view it does not.  Assuming, without deciding, that there was a s. 8 breach on these facts, it is clear that the trial judge conducted her s. 24(2) analysis on the basis that the 10(b) breach resulted in the appellant producing the joint and lump of marihuana. As she put it, “While [the police officer] gave evidence that she would have arrested Mr. Mohamed if he had not got out of the car at her request, and I have found that she had grounds to do so, it is not a certainty that the exhibits of marihuana would have been discovered otherwise.  </w:t>
            </w:r>
            <w:r w:rsidRPr="00FC6C91">
              <w:rPr>
                <w:sz w:val="20"/>
                <w:szCs w:val="20"/>
                <w:u w:val="single"/>
                <w:lang w:val="en-US"/>
              </w:rPr>
              <w:t>The production of the joint and the lump of marihuana were clearly as a result of [the officer’s] prompting of Mr. Mohamed</w:t>
            </w:r>
            <w:r w:rsidRPr="00FC6C91">
              <w:rPr>
                <w:sz w:val="20"/>
                <w:szCs w:val="20"/>
                <w:lang w:val="en-US"/>
              </w:rPr>
              <w:t>” (emphasis added). It is thus clear that the trial judge’s s. 24(2) analysis would not have been different had she found an independent s. 8 breach.</w:t>
            </w:r>
          </w:p>
          <w:p w:rsidR="00BB18FF" w:rsidRPr="00FC6C91" w:rsidRDefault="00BB18FF" w:rsidP="00BB18FF">
            <w:pPr>
              <w:jc w:val="both"/>
              <w:rPr>
                <w:sz w:val="20"/>
                <w:szCs w:val="20"/>
                <w:lang w:val="en-US"/>
              </w:rPr>
            </w:pPr>
          </w:p>
          <w:p w:rsidR="00BB18FF" w:rsidRPr="00FC6C91" w:rsidRDefault="00BB18FF" w:rsidP="00BB18FF">
            <w:pPr>
              <w:jc w:val="both"/>
              <w:rPr>
                <w:sz w:val="20"/>
                <w:szCs w:val="20"/>
                <w:lang w:val="en-US"/>
              </w:rPr>
            </w:pPr>
          </w:p>
          <w:p w:rsidR="00BB18FF" w:rsidRPr="00FC6C91" w:rsidRDefault="00BB18FF" w:rsidP="00BB18FF">
            <w:pPr>
              <w:jc w:val="both"/>
              <w:rPr>
                <w:sz w:val="20"/>
                <w:szCs w:val="20"/>
                <w:lang w:val="en-US"/>
              </w:rPr>
            </w:pPr>
          </w:p>
          <w:p w:rsidR="00BB18FF" w:rsidRPr="00FC6C91" w:rsidRDefault="00BB18FF" w:rsidP="00BB18FF">
            <w:pPr>
              <w:jc w:val="both"/>
              <w:rPr>
                <w:sz w:val="20"/>
                <w:szCs w:val="20"/>
                <w:lang w:val="en-US"/>
              </w:rPr>
            </w:pPr>
          </w:p>
          <w:p w:rsidR="00BB18FF" w:rsidRPr="00FC6C91" w:rsidRDefault="00BB18FF" w:rsidP="00BB18FF">
            <w:pPr>
              <w:jc w:val="both"/>
              <w:rPr>
                <w:sz w:val="20"/>
                <w:szCs w:val="20"/>
                <w:lang w:val="en-US"/>
              </w:rPr>
            </w:pPr>
            <w:r w:rsidRPr="00FC6C91">
              <w:rPr>
                <w:sz w:val="20"/>
                <w:szCs w:val="20"/>
                <w:lang w:val="en-US"/>
              </w:rPr>
              <w:lastRenderedPageBreak/>
              <w:t>In light of that conclusion, our view is that there is no basis to interfere on appeal with the trial judge’s weighing of the various factors under the s. 24(2) analysis.</w:t>
            </w:r>
          </w:p>
          <w:p w:rsidR="00BB18FF" w:rsidRPr="00FC6C91" w:rsidRDefault="00BB18FF" w:rsidP="00BB18FF">
            <w:pPr>
              <w:jc w:val="both"/>
              <w:rPr>
                <w:sz w:val="20"/>
                <w:szCs w:val="20"/>
                <w:lang w:val="en-US"/>
              </w:rPr>
            </w:pPr>
          </w:p>
          <w:p w:rsidR="0066350E" w:rsidRPr="00C1697B" w:rsidRDefault="00BB18FF" w:rsidP="00BB18FF">
            <w:pPr>
              <w:jc w:val="both"/>
              <w:rPr>
                <w:b/>
                <w:sz w:val="20"/>
                <w:szCs w:val="20"/>
              </w:rPr>
            </w:pPr>
            <w:r w:rsidRPr="00FC6C91">
              <w:rPr>
                <w:sz w:val="20"/>
                <w:szCs w:val="20"/>
                <w:lang w:val="en-US"/>
              </w:rPr>
              <w:t>The appeal is dismissed.</w:t>
            </w:r>
          </w:p>
        </w:tc>
        <w:tc>
          <w:tcPr>
            <w:tcW w:w="720" w:type="dxa"/>
            <w:tcMar>
              <w:left w:w="0" w:type="dxa"/>
              <w:right w:w="0" w:type="dxa"/>
            </w:tcMar>
          </w:tcPr>
          <w:p w:rsidR="0066350E" w:rsidRPr="00C1697B" w:rsidRDefault="0066350E" w:rsidP="0066350E">
            <w:pPr>
              <w:widowControl w:val="0"/>
              <w:jc w:val="center"/>
              <w:rPr>
                <w:sz w:val="20"/>
                <w:szCs w:val="20"/>
              </w:rPr>
            </w:pPr>
          </w:p>
        </w:tc>
        <w:tc>
          <w:tcPr>
            <w:tcW w:w="4380" w:type="dxa"/>
            <w:tcMar>
              <w:left w:w="0" w:type="dxa"/>
              <w:right w:w="0" w:type="dxa"/>
            </w:tcMar>
          </w:tcPr>
          <w:p w:rsidR="0066350E" w:rsidRPr="00CC4D84" w:rsidRDefault="0066350E" w:rsidP="0066350E">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66350E" w:rsidRPr="00C1697B" w:rsidRDefault="0066350E" w:rsidP="0066350E">
            <w:pPr>
              <w:widowControl w:val="0"/>
              <w:jc w:val="both"/>
              <w:rPr>
                <w:sz w:val="20"/>
                <w:szCs w:val="20"/>
                <w:lang w:val="fr-CA"/>
              </w:rPr>
            </w:pPr>
          </w:p>
          <w:p w:rsidR="00BB18FF" w:rsidRPr="00FC6C91" w:rsidRDefault="00BB18FF" w:rsidP="00BB18FF">
            <w:pPr>
              <w:jc w:val="both"/>
              <w:rPr>
                <w:sz w:val="20"/>
                <w:szCs w:val="20"/>
                <w:lang w:val="fr-CA"/>
              </w:rPr>
            </w:pPr>
            <w:r w:rsidRPr="00FC6C91">
              <w:rPr>
                <w:sz w:val="20"/>
                <w:szCs w:val="20"/>
                <w:lang w:val="fr-CA"/>
              </w:rPr>
              <w:t>L’appel interjeté contre l’arrêt de la Cour d'appel de l’Alberta (Calgary), numéro 1201-0093-A, 2013 ABCA 406, en date du 26 novembre 2013, a été entendu le 10 octobre 2014, et la Cour a prononcé oralement le même jour le jugement suivant :</w:t>
            </w:r>
          </w:p>
          <w:p w:rsidR="00BB18FF" w:rsidRPr="00FC6C91" w:rsidRDefault="00BB18FF" w:rsidP="00BB18FF">
            <w:pPr>
              <w:jc w:val="both"/>
              <w:rPr>
                <w:sz w:val="20"/>
                <w:szCs w:val="20"/>
                <w:lang w:val="fr-CA"/>
              </w:rPr>
            </w:pPr>
          </w:p>
          <w:p w:rsidR="00BB18FF" w:rsidRPr="00FC6C91" w:rsidRDefault="00BB18FF" w:rsidP="00BB18FF">
            <w:pPr>
              <w:jc w:val="both"/>
              <w:rPr>
                <w:sz w:val="20"/>
                <w:szCs w:val="20"/>
                <w:lang w:val="fr-CA"/>
              </w:rPr>
            </w:pPr>
            <w:r w:rsidRPr="00FC6C91">
              <w:rPr>
                <w:sz w:val="20"/>
                <w:szCs w:val="20"/>
                <w:lang w:val="fr-CA"/>
              </w:rPr>
              <w:t>[</w:t>
            </w:r>
            <w:r w:rsidRPr="00FC6C91">
              <w:rPr>
                <w:smallCaps/>
                <w:sz w:val="20"/>
                <w:szCs w:val="20"/>
                <w:lang w:val="fr-CA"/>
              </w:rPr>
              <w:t>traduction</w:t>
            </w:r>
            <w:r w:rsidRPr="00FC6C91">
              <w:rPr>
                <w:sz w:val="20"/>
                <w:szCs w:val="20"/>
                <w:lang w:val="fr-CA"/>
              </w:rPr>
              <w:t>]</w:t>
            </w:r>
          </w:p>
          <w:p w:rsidR="00BB18FF" w:rsidRPr="00FC6C91" w:rsidRDefault="00BB18FF" w:rsidP="00BB18FF">
            <w:pPr>
              <w:jc w:val="both"/>
              <w:rPr>
                <w:sz w:val="20"/>
                <w:szCs w:val="20"/>
                <w:lang w:val="fr-CA"/>
              </w:rPr>
            </w:pPr>
            <w:r w:rsidRPr="00FC6C91">
              <w:rPr>
                <w:smallCaps/>
                <w:sz w:val="20"/>
                <w:szCs w:val="20"/>
                <w:lang w:val="fr-CA"/>
              </w:rPr>
              <w:t>Le juge Cromwell</w:t>
            </w:r>
            <w:r w:rsidRPr="00FC6C91">
              <w:rPr>
                <w:sz w:val="20"/>
                <w:szCs w:val="20"/>
                <w:lang w:val="fr-CA"/>
              </w:rPr>
              <w:t xml:space="preserve"> </w:t>
            </w:r>
            <w:r w:rsidRPr="00FC6C91">
              <w:rPr>
                <w:rFonts w:cs="Times New Roman"/>
                <w:sz w:val="20"/>
                <w:szCs w:val="20"/>
                <w:lang w:val="fr-CA"/>
              </w:rPr>
              <w:t>―</w:t>
            </w:r>
            <w:r w:rsidRPr="00FC6C91">
              <w:rPr>
                <w:sz w:val="20"/>
                <w:szCs w:val="20"/>
                <w:lang w:val="fr-CA"/>
              </w:rPr>
              <w:t xml:space="preserve"> L’appel de plein droit prend appui sur la dissidence du juge Berger, de la Cour d’appel de l’Alberta.  La question en litige est la suivante. L’omission de la juge du procès de relever une atteinte au droit garanti à l’art. 8 en plus de l’atteinte reconnue au droit prévu à l’al. 10</w:t>
            </w:r>
            <w:r w:rsidRPr="00FC6C91">
              <w:rPr>
                <w:i/>
                <w:sz w:val="20"/>
                <w:szCs w:val="20"/>
                <w:lang w:val="fr-CA"/>
              </w:rPr>
              <w:t>b</w:t>
            </w:r>
            <w:r w:rsidRPr="00FC6C91">
              <w:rPr>
                <w:sz w:val="20"/>
                <w:szCs w:val="20"/>
                <w:lang w:val="fr-CA"/>
              </w:rPr>
              <w:t>) justifie</w:t>
            </w:r>
            <w:r w:rsidRPr="00FC6C91">
              <w:rPr>
                <w:sz w:val="20"/>
                <w:szCs w:val="20"/>
                <w:lang w:val="fr-CA"/>
              </w:rPr>
              <w:noBreakHyphen/>
              <w:t>t</w:t>
            </w:r>
            <w:r w:rsidRPr="00FC6C91">
              <w:rPr>
                <w:sz w:val="20"/>
                <w:szCs w:val="20"/>
                <w:lang w:val="fr-CA"/>
              </w:rPr>
              <w:noBreakHyphen/>
              <w:t>elle le réexamen en appel de l’analyse de la juge fondée sur le par. 24(2)?</w:t>
            </w:r>
          </w:p>
          <w:p w:rsidR="00BB18FF" w:rsidRPr="00FC6C91" w:rsidRDefault="00BB18FF" w:rsidP="00BB18FF">
            <w:pPr>
              <w:jc w:val="both"/>
              <w:rPr>
                <w:sz w:val="20"/>
                <w:szCs w:val="20"/>
                <w:lang w:val="fr-CA"/>
              </w:rPr>
            </w:pPr>
          </w:p>
          <w:p w:rsidR="00BB18FF" w:rsidRPr="00FC6C91" w:rsidRDefault="00BB18FF" w:rsidP="00BB18FF">
            <w:pPr>
              <w:jc w:val="both"/>
              <w:rPr>
                <w:sz w:val="20"/>
                <w:szCs w:val="20"/>
                <w:lang w:val="fr-CA"/>
              </w:rPr>
            </w:pPr>
            <w:r w:rsidRPr="00FC6C91">
              <w:rPr>
                <w:sz w:val="20"/>
                <w:szCs w:val="20"/>
                <w:lang w:val="fr-CA"/>
              </w:rPr>
              <w:t xml:space="preserve">Nous estimons que ce n’est pas le cas.  À supposer </w:t>
            </w:r>
            <w:r w:rsidRPr="00FC6C91">
              <w:rPr>
                <w:rFonts w:cs="Times New Roman"/>
                <w:sz w:val="20"/>
                <w:szCs w:val="20"/>
                <w:lang w:val="fr-CA"/>
              </w:rPr>
              <w:t>—</w:t>
            </w:r>
            <w:r w:rsidRPr="00FC6C91">
              <w:rPr>
                <w:sz w:val="20"/>
                <w:szCs w:val="20"/>
                <w:lang w:val="fr-CA"/>
              </w:rPr>
              <w:t xml:space="preserve"> sans statuer en ce sens </w:t>
            </w:r>
            <w:r w:rsidRPr="00FC6C91">
              <w:rPr>
                <w:rFonts w:cs="Times New Roman"/>
                <w:sz w:val="20"/>
                <w:szCs w:val="20"/>
                <w:lang w:val="fr-CA"/>
              </w:rPr>
              <w:t>—</w:t>
            </w:r>
            <w:r w:rsidRPr="00FC6C91">
              <w:rPr>
                <w:sz w:val="20"/>
                <w:szCs w:val="20"/>
                <w:lang w:val="fr-CA"/>
              </w:rPr>
              <w:t xml:space="preserve"> que les faits établissaient une atteinte au droit garanti par l’art. 8, la juge du procès a manifestement effectué l’analyse relative à l’application du par. 24(2) en tenant pour acquis que la remise du joint et du sachet de marihuana avait résulté de l’atteinte au droit prévu à l’al. 10</w:t>
            </w:r>
            <w:r w:rsidRPr="00FC6C91">
              <w:rPr>
                <w:i/>
                <w:sz w:val="20"/>
                <w:szCs w:val="20"/>
                <w:lang w:val="fr-CA"/>
              </w:rPr>
              <w:t>b</w:t>
            </w:r>
            <w:r w:rsidRPr="00FC6C91">
              <w:rPr>
                <w:sz w:val="20"/>
                <w:szCs w:val="20"/>
                <w:lang w:val="fr-CA"/>
              </w:rPr>
              <w:t>). À son avis, [</w:t>
            </w:r>
            <w:r w:rsidRPr="00FC6C91">
              <w:rPr>
                <w:smallCaps/>
                <w:sz w:val="20"/>
                <w:szCs w:val="20"/>
                <w:lang w:val="fr-CA"/>
              </w:rPr>
              <w:t>traduction</w:t>
            </w:r>
            <w:r w:rsidRPr="00FC6C91">
              <w:rPr>
                <w:sz w:val="20"/>
                <w:szCs w:val="20"/>
                <w:lang w:val="fr-CA"/>
              </w:rPr>
              <w:t xml:space="preserve">] « [m]ême si [la policière] a témoigné qu’elle aurait mis M. Mohamed en état d’arrestation s’il n’était pas sorti de son véhicule lorsqu’elle le lui a demandé, et j’estime qu’elle aurait eu des motifs de le faire, il n’est pas certain que la marihuana aurait quand même été découverte.  </w:t>
            </w:r>
            <w:r w:rsidRPr="00FC6C91">
              <w:rPr>
                <w:sz w:val="20"/>
                <w:szCs w:val="20"/>
                <w:u w:val="single"/>
                <w:lang w:val="fr-CA"/>
              </w:rPr>
              <w:t>La remise du joint et du sachet de marihuana a clairement résulté de l’insistance de [l’agente] auprès de M. Mohamed</w:t>
            </w:r>
            <w:r w:rsidRPr="00FC6C91">
              <w:rPr>
                <w:sz w:val="20"/>
                <w:szCs w:val="20"/>
                <w:lang w:val="fr-CA"/>
              </w:rPr>
              <w:t> » (je souligne).  Il appert donc clairement que l’analyse relative au par. 24(2) n’aurait pas été différente si la juge du procès avait conclu par ailleurs à l’atteinte au droit garanti à l’art. 8.</w:t>
            </w:r>
          </w:p>
          <w:p w:rsidR="00BB18FF" w:rsidRPr="00FC6C91" w:rsidRDefault="00BB18FF" w:rsidP="00BB18FF">
            <w:pPr>
              <w:jc w:val="both"/>
              <w:rPr>
                <w:sz w:val="20"/>
                <w:szCs w:val="20"/>
                <w:lang w:val="fr-CA"/>
              </w:rPr>
            </w:pPr>
          </w:p>
          <w:p w:rsidR="00BB18FF" w:rsidRPr="00FC6C91" w:rsidRDefault="00BB18FF" w:rsidP="00BB18FF">
            <w:pPr>
              <w:jc w:val="both"/>
              <w:rPr>
                <w:sz w:val="20"/>
                <w:szCs w:val="20"/>
                <w:lang w:val="fr-CA"/>
              </w:rPr>
            </w:pPr>
            <w:r w:rsidRPr="00FC6C91">
              <w:rPr>
                <w:sz w:val="20"/>
                <w:szCs w:val="20"/>
                <w:lang w:val="fr-CA"/>
              </w:rPr>
              <w:lastRenderedPageBreak/>
              <w:t xml:space="preserve">Au vu de cette conclusion, nous ne voyons aucun motif de modifier en appel la pondération, par la juge du procès, des différents éléments pris en compte pour l’application du par. 24(2). </w:t>
            </w:r>
          </w:p>
          <w:p w:rsidR="00BB18FF" w:rsidRPr="00FC6C91" w:rsidRDefault="00BB18FF" w:rsidP="00BB18FF">
            <w:pPr>
              <w:jc w:val="both"/>
              <w:rPr>
                <w:sz w:val="20"/>
                <w:szCs w:val="20"/>
                <w:lang w:val="fr-CA"/>
              </w:rPr>
            </w:pPr>
          </w:p>
          <w:p w:rsidR="0066350E" w:rsidRPr="00C1697B" w:rsidRDefault="00BB18FF" w:rsidP="00BB18FF">
            <w:pPr>
              <w:jc w:val="both"/>
              <w:rPr>
                <w:sz w:val="20"/>
                <w:szCs w:val="20"/>
                <w:lang w:val="fr-CA"/>
              </w:rPr>
            </w:pPr>
            <w:r w:rsidRPr="00FC6C91">
              <w:rPr>
                <w:sz w:val="20"/>
                <w:szCs w:val="20"/>
                <w:lang w:val="fr-CA"/>
              </w:rPr>
              <w:t>Le pourvoi est rejeté.</w:t>
            </w:r>
          </w:p>
        </w:tc>
      </w:tr>
    </w:tbl>
    <w:p w:rsidR="0066350E" w:rsidRPr="005E31A3" w:rsidRDefault="0066350E" w:rsidP="0066350E">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C4319" w:rsidRPr="00237788" w:rsidTr="0066350E">
        <w:tc>
          <w:tcPr>
            <w:tcW w:w="4380" w:type="dxa"/>
            <w:tcMar>
              <w:left w:w="0" w:type="dxa"/>
              <w:right w:w="0" w:type="dxa"/>
            </w:tcMar>
          </w:tcPr>
          <w:p w:rsidR="00EC4319" w:rsidRPr="00CC4D84" w:rsidRDefault="00EC4319" w:rsidP="0066350E">
            <w:pPr>
              <w:widowControl w:val="0"/>
              <w:jc w:val="both"/>
              <w:rPr>
                <w:b/>
                <w:sz w:val="20"/>
                <w:szCs w:val="20"/>
                <w:u w:val="single"/>
              </w:rPr>
            </w:pPr>
            <w:r w:rsidRPr="00CC4D84">
              <w:rPr>
                <w:b/>
                <w:sz w:val="20"/>
                <w:szCs w:val="20"/>
                <w:u w:val="single"/>
              </w:rPr>
              <w:t>Nature of the case:</w:t>
            </w:r>
          </w:p>
          <w:p w:rsidR="00EC4319" w:rsidRPr="001A663B" w:rsidRDefault="00EC4319" w:rsidP="0066350E">
            <w:pPr>
              <w:widowControl w:val="0"/>
              <w:jc w:val="both"/>
              <w:rPr>
                <w:b/>
                <w:sz w:val="20"/>
                <w:szCs w:val="20"/>
              </w:rPr>
            </w:pPr>
          </w:p>
          <w:p w:rsidR="00EC4319" w:rsidRPr="00C1697B" w:rsidRDefault="00EC4319" w:rsidP="0066350E">
            <w:pPr>
              <w:widowControl w:val="0"/>
              <w:jc w:val="both"/>
              <w:rPr>
                <w:b/>
                <w:sz w:val="20"/>
                <w:szCs w:val="20"/>
              </w:rPr>
            </w:pPr>
            <w:r w:rsidRPr="00D67EC8">
              <w:rPr>
                <w:i/>
                <w:sz w:val="20"/>
                <w:szCs w:val="20"/>
              </w:rPr>
              <w:t>Charter of Rights</w:t>
            </w:r>
            <w:r w:rsidRPr="00D67EC8">
              <w:rPr>
                <w:sz w:val="20"/>
                <w:szCs w:val="20"/>
              </w:rPr>
              <w:t xml:space="preserve"> - Criminal law - Search and seizure - Cautions - Whether the trial judge erred in finding that the appellant’s s. 10(</w:t>
            </w:r>
            <w:r w:rsidRPr="00D67EC8">
              <w:rPr>
                <w:i/>
                <w:sz w:val="20"/>
                <w:szCs w:val="20"/>
              </w:rPr>
              <w:t>b</w:t>
            </w:r>
            <w:r w:rsidRPr="00D67EC8">
              <w:rPr>
                <w:sz w:val="20"/>
                <w:szCs w:val="20"/>
              </w:rPr>
              <w:t xml:space="preserve">) </w:t>
            </w:r>
            <w:r w:rsidRPr="00D67EC8">
              <w:rPr>
                <w:i/>
                <w:sz w:val="20"/>
                <w:szCs w:val="20"/>
              </w:rPr>
              <w:t>Charter</w:t>
            </w:r>
            <w:r w:rsidRPr="00D67EC8">
              <w:rPr>
                <w:sz w:val="20"/>
                <w:szCs w:val="20"/>
              </w:rPr>
              <w:t xml:space="preserve"> rights were not violated - Whether the trial judge erred in finding that the appellant’s s. 8 </w:t>
            </w:r>
            <w:r w:rsidRPr="00D67EC8">
              <w:rPr>
                <w:i/>
                <w:sz w:val="20"/>
                <w:szCs w:val="20"/>
              </w:rPr>
              <w:t>Charter</w:t>
            </w:r>
            <w:r w:rsidRPr="00D67EC8">
              <w:rPr>
                <w:sz w:val="20"/>
                <w:szCs w:val="20"/>
              </w:rPr>
              <w:t xml:space="preserve"> rights were not violated - Whether the evidence should have been excluded pursuant to s. 24(2) of the </w:t>
            </w:r>
            <w:r w:rsidRPr="00D67EC8">
              <w:rPr>
                <w:i/>
                <w:sz w:val="20"/>
                <w:szCs w:val="20"/>
              </w:rPr>
              <w:t>Charter</w:t>
            </w:r>
            <w:r w:rsidRPr="00D67EC8">
              <w:rPr>
                <w:sz w:val="20"/>
                <w:szCs w:val="20"/>
              </w:rPr>
              <w:t xml:space="preserve">. </w:t>
            </w:r>
          </w:p>
        </w:tc>
        <w:tc>
          <w:tcPr>
            <w:tcW w:w="720" w:type="dxa"/>
            <w:tcMar>
              <w:left w:w="0" w:type="dxa"/>
              <w:right w:w="0" w:type="dxa"/>
            </w:tcMar>
          </w:tcPr>
          <w:p w:rsidR="00EC4319" w:rsidRPr="00C1697B" w:rsidRDefault="00EC4319" w:rsidP="0066350E">
            <w:pPr>
              <w:widowControl w:val="0"/>
              <w:jc w:val="center"/>
              <w:rPr>
                <w:sz w:val="20"/>
                <w:szCs w:val="20"/>
              </w:rPr>
            </w:pPr>
          </w:p>
        </w:tc>
        <w:tc>
          <w:tcPr>
            <w:tcW w:w="4380" w:type="dxa"/>
            <w:tcMar>
              <w:left w:w="0" w:type="dxa"/>
              <w:right w:w="0" w:type="dxa"/>
            </w:tcMar>
          </w:tcPr>
          <w:p w:rsidR="00EC4319" w:rsidRPr="00CC4D84" w:rsidRDefault="00EC4319" w:rsidP="0066350E">
            <w:pPr>
              <w:widowControl w:val="0"/>
              <w:jc w:val="both"/>
              <w:rPr>
                <w:b/>
                <w:sz w:val="20"/>
                <w:szCs w:val="20"/>
                <w:u w:val="single"/>
                <w:lang w:val="fr-CA"/>
              </w:rPr>
            </w:pPr>
            <w:r w:rsidRPr="00CC4D84">
              <w:rPr>
                <w:b/>
                <w:sz w:val="20"/>
                <w:szCs w:val="20"/>
                <w:u w:val="single"/>
                <w:lang w:val="fr-CA"/>
              </w:rPr>
              <w:t>Nature de la cause :</w:t>
            </w:r>
          </w:p>
          <w:p w:rsidR="00EC4319" w:rsidRPr="00C1697B" w:rsidRDefault="00EC4319" w:rsidP="0066350E">
            <w:pPr>
              <w:widowControl w:val="0"/>
              <w:jc w:val="both"/>
              <w:rPr>
                <w:sz w:val="20"/>
                <w:szCs w:val="20"/>
                <w:lang w:val="fr-CA"/>
              </w:rPr>
            </w:pPr>
          </w:p>
          <w:p w:rsidR="00EC4319" w:rsidRPr="00C1697B" w:rsidRDefault="00EC4319" w:rsidP="0066350E">
            <w:pPr>
              <w:widowControl w:val="0"/>
              <w:jc w:val="both"/>
              <w:rPr>
                <w:sz w:val="20"/>
                <w:szCs w:val="20"/>
                <w:lang w:val="fr-CA"/>
              </w:rPr>
            </w:pPr>
            <w:r w:rsidRPr="002D614F">
              <w:rPr>
                <w:i/>
                <w:sz w:val="20"/>
                <w:szCs w:val="20"/>
                <w:lang w:val="fr-CA"/>
              </w:rPr>
              <w:t xml:space="preserve">Charte des droits </w:t>
            </w:r>
            <w:r w:rsidRPr="002D614F">
              <w:rPr>
                <w:sz w:val="20"/>
                <w:szCs w:val="20"/>
                <w:lang w:val="fr-CA"/>
              </w:rPr>
              <w:t>- Droit criminel - Fouilles et perquisitions - Mises en garde - Le juge du procès a-t-il eu tort de conclure que les droits de l’appelant garantis par l’al. 10</w:t>
            </w:r>
            <w:r w:rsidRPr="002D614F">
              <w:rPr>
                <w:i/>
                <w:sz w:val="20"/>
                <w:szCs w:val="20"/>
                <w:lang w:val="fr-CA"/>
              </w:rPr>
              <w:t>b</w:t>
            </w:r>
            <w:r w:rsidRPr="002D614F">
              <w:rPr>
                <w:sz w:val="20"/>
                <w:szCs w:val="20"/>
                <w:lang w:val="fr-CA"/>
              </w:rPr>
              <w:t xml:space="preserve">) de la </w:t>
            </w:r>
            <w:r w:rsidRPr="002D614F">
              <w:rPr>
                <w:i/>
                <w:sz w:val="20"/>
                <w:szCs w:val="20"/>
                <w:lang w:val="fr-CA"/>
              </w:rPr>
              <w:t>Charte</w:t>
            </w:r>
            <w:r w:rsidRPr="002D614F">
              <w:rPr>
                <w:sz w:val="20"/>
                <w:szCs w:val="20"/>
                <w:lang w:val="fr-CA"/>
              </w:rPr>
              <w:t xml:space="preserve"> n’avaient pas été violés? - Le juge du procès a-t-il eu tort de conclure que les droits de l’appelant garantis par l’art. 8 de la </w:t>
            </w:r>
            <w:r w:rsidRPr="002D614F">
              <w:rPr>
                <w:i/>
                <w:sz w:val="20"/>
                <w:szCs w:val="20"/>
                <w:lang w:val="fr-CA"/>
              </w:rPr>
              <w:t>Charte</w:t>
            </w:r>
            <w:r w:rsidRPr="002D614F">
              <w:rPr>
                <w:sz w:val="20"/>
                <w:szCs w:val="20"/>
                <w:lang w:val="fr-CA"/>
              </w:rPr>
              <w:t xml:space="preserve"> n’avaient pas été violés? - Les éléments de preuve auraient-ils dû être exclus en application du par. 24(2) de la </w:t>
            </w:r>
            <w:r w:rsidRPr="002D614F">
              <w:rPr>
                <w:i/>
                <w:sz w:val="20"/>
                <w:szCs w:val="20"/>
                <w:lang w:val="fr-CA"/>
              </w:rPr>
              <w:t>Charte</w:t>
            </w:r>
            <w:r w:rsidRPr="002D614F">
              <w:rPr>
                <w:sz w:val="20"/>
                <w:szCs w:val="20"/>
                <w:lang w:val="fr-CA"/>
              </w:rPr>
              <w:t xml:space="preserve">? </w:t>
            </w:r>
          </w:p>
        </w:tc>
      </w:tr>
    </w:tbl>
    <w:p w:rsidR="00EC4319" w:rsidRDefault="00EC4319" w:rsidP="00EC4319">
      <w:pPr>
        <w:widowControl w:val="0"/>
        <w:rPr>
          <w:sz w:val="20"/>
          <w:szCs w:val="20"/>
          <w:lang w:val="fr-CA"/>
        </w:rPr>
      </w:pPr>
    </w:p>
    <w:p w:rsidR="00EC4319" w:rsidRDefault="00237788" w:rsidP="00EC4319">
      <w:pPr>
        <w:widowControl w:val="0"/>
        <w:rPr>
          <w:sz w:val="20"/>
          <w:szCs w:val="20"/>
          <w:lang w:val="fr-CA"/>
        </w:rPr>
      </w:pPr>
      <w:r>
        <w:rPr>
          <w:sz w:val="20"/>
          <w:szCs w:val="20"/>
          <w:lang w:val="fr-CA"/>
        </w:rPr>
        <w:pict>
          <v:rect id="_x0000_i1063" style="width:2in;height:1pt" o:hrpct="0" o:hralign="center" o:hrstd="t" o:hrnoshade="t" o:hr="t" fillcolor="black [3213]" stroked="f"/>
        </w:pict>
      </w:r>
    </w:p>
    <w:p w:rsidR="00EC4319" w:rsidRDefault="00EC4319" w:rsidP="00EC4319">
      <w:pPr>
        <w:widowControl w:val="0"/>
        <w:rPr>
          <w:sz w:val="20"/>
          <w:szCs w:val="20"/>
          <w:lang w:val="fr-CA"/>
        </w:rPr>
      </w:pPr>
    </w:p>
    <w:p w:rsidR="00283746" w:rsidRPr="00283746" w:rsidRDefault="00283746" w:rsidP="00283746">
      <w:pPr>
        <w:widowControl w:val="0"/>
        <w:rPr>
          <w:sz w:val="20"/>
          <w:szCs w:val="20"/>
          <w:lang w:val="fr-CA"/>
        </w:rPr>
      </w:pPr>
      <w:r w:rsidRPr="00283746">
        <w:rPr>
          <w:sz w:val="20"/>
          <w:szCs w:val="20"/>
          <w:lang w:val="fr-CA"/>
        </w:rPr>
        <w:t>10.10.2014</w:t>
      </w:r>
    </w:p>
    <w:p w:rsidR="00283746" w:rsidRPr="00283746" w:rsidRDefault="00283746" w:rsidP="00283746">
      <w:pPr>
        <w:widowControl w:val="0"/>
        <w:rPr>
          <w:sz w:val="20"/>
          <w:szCs w:val="20"/>
          <w:lang w:val="fr-CA"/>
        </w:rPr>
      </w:pPr>
    </w:p>
    <w:p w:rsidR="00283746" w:rsidRPr="00457003" w:rsidRDefault="00283746" w:rsidP="00283746">
      <w:pPr>
        <w:widowControl w:val="0"/>
        <w:ind w:left="720" w:hanging="720"/>
        <w:rPr>
          <w:sz w:val="20"/>
          <w:szCs w:val="20"/>
          <w:lang w:val="fr-CA"/>
        </w:rPr>
      </w:pPr>
      <w:r w:rsidRPr="00457003">
        <w:rPr>
          <w:sz w:val="20"/>
          <w:szCs w:val="20"/>
          <w:lang w:val="fr-CA"/>
        </w:rPr>
        <w:t xml:space="preserve">Coram: </w:t>
      </w:r>
      <w:r w:rsidRPr="00457003">
        <w:rPr>
          <w:sz w:val="20"/>
          <w:szCs w:val="20"/>
          <w:lang w:val="fr-CA"/>
        </w:rPr>
        <w:tab/>
      </w:r>
      <w:r>
        <w:rPr>
          <w:sz w:val="20"/>
          <w:szCs w:val="20"/>
          <w:u w:val="single"/>
          <w:lang w:val="fr-CA"/>
        </w:rPr>
        <w:t>L</w:t>
      </w:r>
      <w:r w:rsidRPr="00457003">
        <w:rPr>
          <w:sz w:val="20"/>
          <w:szCs w:val="20"/>
          <w:u w:val="single"/>
          <w:lang w:val="fr-CA"/>
        </w:rPr>
        <w:t>es juges Abella, Rothstein, Cromwell, Moldaver et Karakatsanis</w:t>
      </w:r>
      <w:r w:rsidRPr="00457003">
        <w:rPr>
          <w:sz w:val="20"/>
          <w:szCs w:val="20"/>
          <w:lang w:val="fr-CA"/>
        </w:rPr>
        <w:t xml:space="preserve"> </w:t>
      </w:r>
    </w:p>
    <w:p w:rsidR="00283746" w:rsidRPr="00457003" w:rsidRDefault="00283746" w:rsidP="00283746">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83746" w:rsidRPr="00237788" w:rsidTr="00283746">
        <w:tc>
          <w:tcPr>
            <w:tcW w:w="4380" w:type="dxa"/>
            <w:tcMar>
              <w:left w:w="0" w:type="dxa"/>
              <w:right w:w="0" w:type="dxa"/>
            </w:tcMar>
          </w:tcPr>
          <w:p w:rsidR="00283746" w:rsidRPr="00283746" w:rsidRDefault="00283746" w:rsidP="00283746">
            <w:pPr>
              <w:rPr>
                <w:rFonts w:eastAsia="Calibri"/>
                <w:b/>
                <w:iCs/>
                <w:sz w:val="20"/>
                <w:szCs w:val="20"/>
                <w:lang w:val="fr-CA"/>
              </w:rPr>
            </w:pPr>
            <w:r w:rsidRPr="00283746">
              <w:rPr>
                <w:rFonts w:eastAsia="Calibri"/>
                <w:b/>
                <w:iCs/>
                <w:sz w:val="20"/>
                <w:szCs w:val="20"/>
                <w:lang w:val="fr-CA"/>
              </w:rPr>
              <w:t xml:space="preserve">Sa Majesté la Reine </w:t>
            </w:r>
          </w:p>
          <w:p w:rsidR="00283746" w:rsidRPr="00283746" w:rsidRDefault="00283746" w:rsidP="00283746">
            <w:pPr>
              <w:rPr>
                <w:rFonts w:eastAsia="Calibri"/>
                <w:b/>
                <w:iCs/>
                <w:sz w:val="20"/>
                <w:szCs w:val="20"/>
                <w:lang w:val="fr-CA"/>
              </w:rPr>
            </w:pPr>
          </w:p>
          <w:p w:rsidR="00283746" w:rsidRPr="00283746" w:rsidRDefault="00283746" w:rsidP="00283746">
            <w:pPr>
              <w:rPr>
                <w:rFonts w:eastAsia="Calibri"/>
                <w:b/>
                <w:iCs/>
                <w:sz w:val="20"/>
                <w:szCs w:val="20"/>
                <w:lang w:val="fr-CA"/>
              </w:rPr>
            </w:pPr>
            <w:r w:rsidRPr="00283746">
              <w:rPr>
                <w:rFonts w:eastAsia="Calibri"/>
                <w:b/>
                <w:iCs/>
                <w:sz w:val="20"/>
                <w:szCs w:val="20"/>
                <w:lang w:val="fr-CA"/>
              </w:rPr>
              <w:tab/>
              <w:t>c. (26646)</w:t>
            </w:r>
          </w:p>
          <w:p w:rsidR="00283746" w:rsidRPr="00283746" w:rsidRDefault="00283746" w:rsidP="00283746">
            <w:pPr>
              <w:rPr>
                <w:rFonts w:eastAsia="Calibri"/>
                <w:b/>
                <w:iCs/>
                <w:sz w:val="20"/>
                <w:szCs w:val="20"/>
                <w:lang w:val="fr-CA"/>
              </w:rPr>
            </w:pPr>
          </w:p>
          <w:p w:rsidR="00283746" w:rsidRPr="008802EB" w:rsidRDefault="00283746" w:rsidP="00283746">
            <w:pPr>
              <w:rPr>
                <w:rFonts w:eastAsia="Calibri"/>
                <w:b/>
                <w:iCs/>
                <w:sz w:val="20"/>
                <w:szCs w:val="20"/>
                <w:lang w:val="fr-CA"/>
              </w:rPr>
            </w:pPr>
            <w:r w:rsidRPr="00283746">
              <w:rPr>
                <w:rFonts w:eastAsia="Calibri"/>
                <w:b/>
                <w:iCs/>
                <w:sz w:val="20"/>
                <w:szCs w:val="20"/>
                <w:lang w:val="fr-CA"/>
              </w:rPr>
              <w:t>Daniel Jolivet</w:t>
            </w:r>
            <w:r w:rsidRPr="00283746">
              <w:rPr>
                <w:rFonts w:eastAsia="Calibri"/>
                <w:b/>
                <w:sz w:val="20"/>
                <w:szCs w:val="20"/>
                <w:lang w:val="fr-CA"/>
              </w:rPr>
              <w:t xml:space="preserve"> (Qc) (Criminelle) (De plein droit)</w:t>
            </w:r>
          </w:p>
        </w:tc>
        <w:tc>
          <w:tcPr>
            <w:tcW w:w="720" w:type="dxa"/>
            <w:tcMar>
              <w:left w:w="0" w:type="dxa"/>
              <w:right w:w="0" w:type="dxa"/>
            </w:tcMar>
          </w:tcPr>
          <w:p w:rsidR="00283746" w:rsidRPr="008802EB" w:rsidRDefault="00283746" w:rsidP="00283746">
            <w:pPr>
              <w:widowControl w:val="0"/>
              <w:jc w:val="center"/>
              <w:rPr>
                <w:sz w:val="20"/>
                <w:szCs w:val="20"/>
                <w:lang w:val="fr-CA"/>
              </w:rPr>
            </w:pPr>
          </w:p>
        </w:tc>
        <w:tc>
          <w:tcPr>
            <w:tcW w:w="4380" w:type="dxa"/>
            <w:tcMar>
              <w:left w:w="0" w:type="dxa"/>
              <w:right w:w="0" w:type="dxa"/>
            </w:tcMar>
          </w:tcPr>
          <w:p w:rsidR="00283746" w:rsidRPr="00F80321" w:rsidRDefault="00283746" w:rsidP="00283746">
            <w:pPr>
              <w:jc w:val="both"/>
              <w:rPr>
                <w:sz w:val="20"/>
                <w:szCs w:val="20"/>
                <w:lang w:val="fr-CA"/>
              </w:rPr>
            </w:pPr>
            <w:r w:rsidRPr="00F80321">
              <w:rPr>
                <w:sz w:val="20"/>
                <w:szCs w:val="20"/>
                <w:lang w:val="fr-CA"/>
              </w:rPr>
              <w:t>Lida Sara Nouraie</w:t>
            </w:r>
            <w:r>
              <w:rPr>
                <w:sz w:val="20"/>
                <w:szCs w:val="20"/>
                <w:lang w:val="fr-CA"/>
              </w:rPr>
              <w:t xml:space="preserve"> et </w:t>
            </w:r>
            <w:r w:rsidRPr="00F80321">
              <w:rPr>
                <w:sz w:val="20"/>
                <w:szCs w:val="20"/>
                <w:lang w:val="fr-CA"/>
              </w:rPr>
              <w:t>Nicholas St-Jacques</w:t>
            </w:r>
            <w:r>
              <w:rPr>
                <w:sz w:val="20"/>
                <w:szCs w:val="20"/>
                <w:lang w:val="fr-CA"/>
              </w:rPr>
              <w:t xml:space="preserve"> p</w:t>
            </w:r>
            <w:r w:rsidRPr="00F80321">
              <w:rPr>
                <w:sz w:val="20"/>
                <w:szCs w:val="20"/>
                <w:lang w:val="fr-CA"/>
              </w:rPr>
              <w:t>our l’intimé.</w:t>
            </w:r>
          </w:p>
          <w:p w:rsidR="00283746" w:rsidRPr="00F80321" w:rsidRDefault="00283746" w:rsidP="00283746">
            <w:pPr>
              <w:jc w:val="both"/>
              <w:rPr>
                <w:sz w:val="20"/>
                <w:szCs w:val="20"/>
                <w:lang w:val="fr-CA"/>
              </w:rPr>
            </w:pPr>
          </w:p>
          <w:p w:rsidR="00283746" w:rsidRPr="008802EB" w:rsidRDefault="00283746" w:rsidP="00283746">
            <w:pPr>
              <w:widowControl w:val="0"/>
              <w:jc w:val="both"/>
              <w:rPr>
                <w:sz w:val="20"/>
                <w:szCs w:val="20"/>
                <w:lang w:val="fr-CA"/>
              </w:rPr>
            </w:pPr>
            <w:r w:rsidRPr="00F80321">
              <w:rPr>
                <w:sz w:val="20"/>
                <w:szCs w:val="20"/>
                <w:lang w:val="fr-CA"/>
              </w:rPr>
              <w:t>Daniel Royer</w:t>
            </w:r>
            <w:r>
              <w:rPr>
                <w:sz w:val="20"/>
                <w:szCs w:val="20"/>
                <w:lang w:val="fr-CA"/>
              </w:rPr>
              <w:t xml:space="preserve"> et </w:t>
            </w:r>
            <w:r w:rsidRPr="00F80321">
              <w:rPr>
                <w:sz w:val="20"/>
                <w:szCs w:val="20"/>
                <w:lang w:val="fr-CA"/>
              </w:rPr>
              <w:t>Magalie Cimon</w:t>
            </w:r>
            <w:r>
              <w:rPr>
                <w:sz w:val="20"/>
                <w:szCs w:val="20"/>
                <w:lang w:val="fr-CA"/>
              </w:rPr>
              <w:t xml:space="preserve"> p</w:t>
            </w:r>
            <w:r w:rsidRPr="00F80321">
              <w:rPr>
                <w:sz w:val="20"/>
                <w:szCs w:val="20"/>
                <w:lang w:val="fr-CA"/>
              </w:rPr>
              <w:t>our l’appelante.</w:t>
            </w:r>
          </w:p>
        </w:tc>
      </w:tr>
    </w:tbl>
    <w:p w:rsidR="00283746" w:rsidRPr="008802EB" w:rsidRDefault="00283746" w:rsidP="00283746">
      <w:pPr>
        <w:widowControl w:val="0"/>
        <w:rPr>
          <w:sz w:val="20"/>
          <w:szCs w:val="20"/>
          <w:lang w:val="fr-CA"/>
        </w:rPr>
      </w:pPr>
    </w:p>
    <w:p w:rsidR="00283746" w:rsidRPr="0085476B" w:rsidRDefault="00283746" w:rsidP="00283746">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283746" w:rsidRDefault="00283746" w:rsidP="00283746"/>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83746" w:rsidRPr="00237788" w:rsidTr="00283746">
        <w:tc>
          <w:tcPr>
            <w:tcW w:w="4380" w:type="dxa"/>
            <w:tcMar>
              <w:left w:w="0" w:type="dxa"/>
              <w:right w:w="0" w:type="dxa"/>
            </w:tcMar>
          </w:tcPr>
          <w:p w:rsidR="00283746" w:rsidRPr="00CC4D84" w:rsidRDefault="00283746" w:rsidP="00283746">
            <w:pPr>
              <w:widowControl w:val="0"/>
              <w:jc w:val="both"/>
              <w:rPr>
                <w:b/>
                <w:sz w:val="20"/>
                <w:szCs w:val="20"/>
                <w:u w:val="single"/>
              </w:rPr>
            </w:pPr>
            <w:r w:rsidRPr="00CC4D84">
              <w:rPr>
                <w:b/>
                <w:sz w:val="20"/>
                <w:szCs w:val="20"/>
                <w:u w:val="single"/>
              </w:rPr>
              <w:t>Nature of the case:</w:t>
            </w:r>
          </w:p>
          <w:p w:rsidR="00283746" w:rsidRPr="001A663B" w:rsidRDefault="00283746" w:rsidP="00283746">
            <w:pPr>
              <w:widowControl w:val="0"/>
              <w:jc w:val="both"/>
              <w:rPr>
                <w:b/>
                <w:sz w:val="20"/>
                <w:szCs w:val="20"/>
              </w:rPr>
            </w:pPr>
          </w:p>
          <w:p w:rsidR="00283746" w:rsidRPr="00C1697B" w:rsidRDefault="00283746" w:rsidP="00283746">
            <w:pPr>
              <w:tabs>
                <w:tab w:val="left" w:pos="4320"/>
              </w:tabs>
              <w:jc w:val="both"/>
              <w:rPr>
                <w:b/>
                <w:sz w:val="20"/>
                <w:szCs w:val="20"/>
              </w:rPr>
            </w:pPr>
            <w:r w:rsidRPr="008157F4">
              <w:rPr>
                <w:rFonts w:cs="Times New Roman"/>
                <w:sz w:val="20"/>
                <w:szCs w:val="20"/>
              </w:rPr>
              <w:t>Criminal Law - Evidence - Section 686(1)(</w:t>
            </w:r>
            <w:r w:rsidRPr="008157F4">
              <w:rPr>
                <w:rFonts w:cs="Times New Roman"/>
                <w:i/>
                <w:iCs/>
                <w:sz w:val="20"/>
                <w:szCs w:val="20"/>
              </w:rPr>
              <w:t>b</w:t>
            </w:r>
            <w:r w:rsidRPr="008157F4">
              <w:rPr>
                <w:rFonts w:cs="Times New Roman"/>
                <w:sz w:val="20"/>
                <w:szCs w:val="20"/>
              </w:rPr>
              <w:t xml:space="preserve">)(iii) of the </w:t>
            </w:r>
            <w:r w:rsidRPr="008157F4">
              <w:rPr>
                <w:rFonts w:cs="Times New Roman"/>
                <w:i/>
                <w:iCs/>
                <w:sz w:val="20"/>
                <w:szCs w:val="20"/>
              </w:rPr>
              <w:t>Criminal Code</w:t>
            </w:r>
            <w:r w:rsidRPr="008157F4">
              <w:rPr>
                <w:rFonts w:cs="Times New Roman"/>
                <w:sz w:val="20"/>
                <w:szCs w:val="20"/>
              </w:rPr>
              <w:t xml:space="preserve"> - Crown failing to call certain witnesses - Late disclosure of evidence - Investigation into the circumstances surrounding the jurors’ walk around the Palais de Justice during the deliberations.</w:t>
            </w:r>
          </w:p>
        </w:tc>
        <w:tc>
          <w:tcPr>
            <w:tcW w:w="720" w:type="dxa"/>
            <w:tcMar>
              <w:left w:w="0" w:type="dxa"/>
              <w:right w:w="0" w:type="dxa"/>
            </w:tcMar>
          </w:tcPr>
          <w:p w:rsidR="00283746" w:rsidRPr="00C1697B" w:rsidRDefault="00283746" w:rsidP="00283746">
            <w:pPr>
              <w:widowControl w:val="0"/>
              <w:jc w:val="center"/>
              <w:rPr>
                <w:sz w:val="20"/>
                <w:szCs w:val="20"/>
              </w:rPr>
            </w:pPr>
          </w:p>
        </w:tc>
        <w:tc>
          <w:tcPr>
            <w:tcW w:w="4380" w:type="dxa"/>
            <w:tcMar>
              <w:left w:w="0" w:type="dxa"/>
              <w:right w:w="0" w:type="dxa"/>
            </w:tcMar>
          </w:tcPr>
          <w:p w:rsidR="00283746" w:rsidRPr="00CC4D84" w:rsidRDefault="00283746" w:rsidP="00283746">
            <w:pPr>
              <w:widowControl w:val="0"/>
              <w:jc w:val="both"/>
              <w:rPr>
                <w:b/>
                <w:sz w:val="20"/>
                <w:szCs w:val="20"/>
                <w:u w:val="single"/>
                <w:lang w:val="fr-CA"/>
              </w:rPr>
            </w:pPr>
            <w:r w:rsidRPr="00CC4D84">
              <w:rPr>
                <w:b/>
                <w:sz w:val="20"/>
                <w:szCs w:val="20"/>
                <w:u w:val="single"/>
                <w:lang w:val="fr-CA"/>
              </w:rPr>
              <w:t>Nature de la cause :</w:t>
            </w:r>
          </w:p>
          <w:p w:rsidR="00283746" w:rsidRPr="00C1697B" w:rsidRDefault="00283746" w:rsidP="00283746">
            <w:pPr>
              <w:widowControl w:val="0"/>
              <w:jc w:val="both"/>
              <w:rPr>
                <w:sz w:val="20"/>
                <w:szCs w:val="20"/>
                <w:lang w:val="fr-CA"/>
              </w:rPr>
            </w:pPr>
          </w:p>
          <w:p w:rsidR="00283746" w:rsidRPr="00C1697B" w:rsidRDefault="00283746" w:rsidP="00283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A11B1">
              <w:rPr>
                <w:sz w:val="20"/>
                <w:szCs w:val="20"/>
                <w:lang w:val="fr-CA"/>
              </w:rPr>
              <w:t xml:space="preserve">Droit criminel </w:t>
            </w:r>
            <w:r w:rsidRPr="004A11B1">
              <w:rPr>
                <w:sz w:val="20"/>
                <w:szCs w:val="20"/>
                <w:lang w:val="fr-CA"/>
              </w:rPr>
              <w:noBreakHyphen/>
              <w:t xml:space="preserve"> Preuve - Article 686(1)b)iii) du </w:t>
            </w:r>
            <w:r w:rsidRPr="004A11B1">
              <w:rPr>
                <w:i/>
                <w:iCs/>
                <w:sz w:val="20"/>
                <w:szCs w:val="20"/>
                <w:lang w:val="fr-CA"/>
              </w:rPr>
              <w:t>Code criminel</w:t>
            </w:r>
            <w:r w:rsidRPr="004A11B1">
              <w:rPr>
                <w:sz w:val="20"/>
                <w:szCs w:val="20"/>
                <w:lang w:val="fr-CA"/>
              </w:rPr>
              <w:t xml:space="preserve"> </w:t>
            </w:r>
            <w:r w:rsidRPr="004A11B1">
              <w:rPr>
                <w:sz w:val="20"/>
                <w:szCs w:val="20"/>
                <w:lang w:val="fr-CA"/>
              </w:rPr>
              <w:noBreakHyphen/>
              <w:t xml:space="preserve"> Défaut par la Couronne de faire témoigner certains témoins - Communication tardive de la preuve - Enquête sur les événements ayant entouré la marche des jurés aux environs du Palais de justice lors des délibérations</w:t>
            </w:r>
            <w:r w:rsidRPr="004A11B1">
              <w:rPr>
                <w:rFonts w:ascii="Arial" w:hAnsi="Arial" w:cs="Arial"/>
                <w:sz w:val="20"/>
                <w:szCs w:val="20"/>
                <w:lang w:val="fr-CA"/>
              </w:rPr>
              <w:t>.</w:t>
            </w:r>
          </w:p>
        </w:tc>
      </w:tr>
    </w:tbl>
    <w:p w:rsidR="00283746" w:rsidRDefault="00283746" w:rsidP="00283746">
      <w:pPr>
        <w:widowControl w:val="0"/>
        <w:rPr>
          <w:sz w:val="20"/>
          <w:szCs w:val="20"/>
          <w:lang w:val="fr-CA"/>
        </w:rPr>
      </w:pPr>
    </w:p>
    <w:p w:rsidR="00283746" w:rsidRDefault="00237788" w:rsidP="00283746">
      <w:pPr>
        <w:widowControl w:val="0"/>
        <w:rPr>
          <w:sz w:val="20"/>
          <w:szCs w:val="20"/>
        </w:rPr>
      </w:pPr>
      <w:r>
        <w:rPr>
          <w:sz w:val="20"/>
          <w:szCs w:val="20"/>
          <w:lang w:val="fr-CA"/>
        </w:rPr>
        <w:pict>
          <v:rect id="_x0000_i1064" style="width:2in;height:1pt" o:hrpct="0" o:hralign="center" o:hrstd="t" o:hrnoshade="t" o:hr="t" fillcolor="black [3213]" stroked="f"/>
        </w:pict>
      </w:r>
    </w:p>
    <w:p w:rsidR="00283746" w:rsidRPr="008802EB" w:rsidRDefault="00283746" w:rsidP="00283746">
      <w:pPr>
        <w:widowControl w:val="0"/>
        <w:rPr>
          <w:sz w:val="20"/>
          <w:szCs w:val="20"/>
        </w:rPr>
      </w:pPr>
    </w:p>
    <w:p w:rsidR="00EC4319" w:rsidRPr="00F36628" w:rsidRDefault="00EC4319" w:rsidP="00EC4319">
      <w:pPr>
        <w:widowControl w:val="0"/>
        <w:rPr>
          <w:sz w:val="20"/>
          <w:szCs w:val="20"/>
          <w:lang w:val="fr-CA"/>
        </w:rPr>
      </w:pPr>
      <w:r w:rsidRPr="00F36628">
        <w:rPr>
          <w:sz w:val="20"/>
          <w:szCs w:val="20"/>
          <w:lang w:val="fr-CA"/>
        </w:rPr>
        <w:t>1</w:t>
      </w:r>
      <w:r w:rsidR="00457003" w:rsidRPr="00F36628">
        <w:rPr>
          <w:sz w:val="20"/>
          <w:szCs w:val="20"/>
          <w:lang w:val="fr-CA"/>
        </w:rPr>
        <w:t>4</w:t>
      </w:r>
      <w:r w:rsidRPr="00F36628">
        <w:rPr>
          <w:sz w:val="20"/>
          <w:szCs w:val="20"/>
          <w:lang w:val="fr-CA"/>
        </w:rPr>
        <w:t>.10.2014</w:t>
      </w:r>
    </w:p>
    <w:p w:rsidR="00EC4319" w:rsidRPr="00F36628" w:rsidRDefault="00EC4319" w:rsidP="00EC4319">
      <w:pPr>
        <w:widowControl w:val="0"/>
        <w:rPr>
          <w:sz w:val="20"/>
          <w:szCs w:val="20"/>
          <w:lang w:val="fr-CA"/>
        </w:rPr>
      </w:pPr>
    </w:p>
    <w:p w:rsidR="00CE1123" w:rsidRPr="00E75133" w:rsidRDefault="00CE1123" w:rsidP="00CE1123">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Pr="00E75133">
        <w:rPr>
          <w:sz w:val="20"/>
          <w:szCs w:val="20"/>
          <w:u w:val="single"/>
          <w:lang w:val="fr-CA"/>
        </w:rPr>
        <w:t xml:space="preserve">La juge en chef McLachlin et les juges LeBel, Abella, Rothstein, </w:t>
      </w:r>
      <w:r>
        <w:rPr>
          <w:sz w:val="20"/>
          <w:szCs w:val="20"/>
          <w:u w:val="single"/>
          <w:lang w:val="fr-CA"/>
        </w:rPr>
        <w:t xml:space="preserve">Cromwell, </w:t>
      </w:r>
      <w:r w:rsidRPr="00E75133">
        <w:rPr>
          <w:sz w:val="20"/>
          <w:szCs w:val="20"/>
          <w:u w:val="single"/>
          <w:lang w:val="fr-CA"/>
        </w:rPr>
        <w:t>Moldaver, Karakatsanis</w:t>
      </w:r>
      <w:r>
        <w:rPr>
          <w:sz w:val="20"/>
          <w:szCs w:val="20"/>
          <w:u w:val="single"/>
          <w:lang w:val="fr-CA"/>
        </w:rPr>
        <w:t>, Wagner</w:t>
      </w:r>
      <w:r w:rsidRPr="00E75133">
        <w:rPr>
          <w:sz w:val="20"/>
          <w:szCs w:val="20"/>
          <w:u w:val="single"/>
          <w:lang w:val="fr-CA"/>
        </w:rPr>
        <w:t xml:space="preserve"> et </w:t>
      </w:r>
      <w:r>
        <w:rPr>
          <w:sz w:val="20"/>
          <w:szCs w:val="20"/>
          <w:u w:val="single"/>
          <w:lang w:val="fr-CA"/>
        </w:rPr>
        <w:t>G</w:t>
      </w:r>
      <w:r w:rsidRPr="00E75133">
        <w:rPr>
          <w:sz w:val="20"/>
          <w:szCs w:val="20"/>
          <w:u w:val="single"/>
          <w:lang w:val="fr-CA"/>
        </w:rPr>
        <w:t>a</w:t>
      </w:r>
      <w:r>
        <w:rPr>
          <w:sz w:val="20"/>
          <w:szCs w:val="20"/>
          <w:u w:val="single"/>
          <w:lang w:val="fr-CA"/>
        </w:rPr>
        <w:t>sco</w:t>
      </w:r>
      <w:r w:rsidRPr="00E75133">
        <w:rPr>
          <w:sz w:val="20"/>
          <w:szCs w:val="20"/>
          <w:u w:val="single"/>
          <w:lang w:val="fr-CA"/>
        </w:rPr>
        <w:t>n</w:t>
      </w:r>
    </w:p>
    <w:p w:rsidR="00EC4319" w:rsidRPr="00F36628" w:rsidRDefault="00EC4319" w:rsidP="00EC4319">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C4319" w:rsidRPr="00237788" w:rsidTr="0066350E">
        <w:tc>
          <w:tcPr>
            <w:tcW w:w="4380" w:type="dxa"/>
            <w:tcMar>
              <w:left w:w="0" w:type="dxa"/>
              <w:right w:w="0" w:type="dxa"/>
            </w:tcMar>
          </w:tcPr>
          <w:p w:rsidR="001C5072" w:rsidRDefault="001C5072" w:rsidP="0066350E">
            <w:pPr>
              <w:rPr>
                <w:rFonts w:eastAsia="Calibri"/>
                <w:b/>
                <w:iCs/>
                <w:sz w:val="20"/>
                <w:szCs w:val="20"/>
                <w:lang w:val="fr-CA"/>
              </w:rPr>
            </w:pPr>
            <w:r w:rsidRPr="006860F9">
              <w:rPr>
                <w:rFonts w:eastAsia="Calibri"/>
                <w:b/>
                <w:iCs/>
                <w:sz w:val="20"/>
                <w:szCs w:val="20"/>
                <w:lang w:val="fr-CA"/>
              </w:rPr>
              <w:t xml:space="preserve">Mouvement laïque québécois et autre </w:t>
            </w:r>
          </w:p>
          <w:p w:rsidR="001C5072" w:rsidRDefault="001C5072" w:rsidP="0066350E">
            <w:pPr>
              <w:rPr>
                <w:rFonts w:eastAsia="Calibri"/>
                <w:b/>
                <w:iCs/>
                <w:sz w:val="20"/>
                <w:szCs w:val="20"/>
                <w:lang w:val="fr-CA"/>
              </w:rPr>
            </w:pPr>
          </w:p>
          <w:p w:rsidR="001C5072" w:rsidRDefault="00CB189A" w:rsidP="0066350E">
            <w:pPr>
              <w:rPr>
                <w:rFonts w:eastAsia="Calibri"/>
                <w:b/>
                <w:iCs/>
                <w:sz w:val="20"/>
                <w:szCs w:val="20"/>
                <w:lang w:val="fr-CA"/>
              </w:rPr>
            </w:pPr>
            <w:r>
              <w:rPr>
                <w:rFonts w:eastAsia="Calibri"/>
                <w:b/>
                <w:iCs/>
                <w:sz w:val="20"/>
                <w:szCs w:val="20"/>
                <w:lang w:val="fr-CA"/>
              </w:rPr>
              <w:tab/>
            </w:r>
            <w:r w:rsidR="001C5072" w:rsidRPr="006860F9">
              <w:rPr>
                <w:rFonts w:eastAsia="Calibri"/>
                <w:b/>
                <w:iCs/>
                <w:sz w:val="20"/>
                <w:szCs w:val="20"/>
                <w:lang w:val="fr-CA"/>
              </w:rPr>
              <w:t xml:space="preserve">c. </w:t>
            </w:r>
            <w:r w:rsidR="001C5072" w:rsidRPr="006860F9">
              <w:rPr>
                <w:rFonts w:eastAsia="Calibri"/>
                <w:iCs/>
                <w:sz w:val="20"/>
                <w:szCs w:val="20"/>
                <w:lang w:val="fr-CA"/>
              </w:rPr>
              <w:t>(</w:t>
            </w:r>
            <w:hyperlink r:id="rId46" w:history="1">
              <w:r w:rsidR="001C5072" w:rsidRPr="006860F9">
                <w:rPr>
                  <w:rStyle w:val="Hyperlink"/>
                  <w:rFonts w:eastAsia="Calibri"/>
                  <w:iCs/>
                  <w:sz w:val="20"/>
                  <w:szCs w:val="20"/>
                  <w:lang w:val="fr-CA"/>
                </w:rPr>
                <w:t>35496</w:t>
              </w:r>
            </w:hyperlink>
            <w:r w:rsidR="001C5072" w:rsidRPr="006860F9">
              <w:rPr>
                <w:rFonts w:eastAsia="Calibri"/>
                <w:iCs/>
                <w:sz w:val="20"/>
                <w:szCs w:val="20"/>
                <w:lang w:val="fr-CA"/>
              </w:rPr>
              <w:t>)</w:t>
            </w:r>
          </w:p>
          <w:p w:rsidR="001C5072" w:rsidRDefault="001C5072" w:rsidP="0066350E">
            <w:pPr>
              <w:rPr>
                <w:rFonts w:eastAsia="Calibri"/>
                <w:b/>
                <w:iCs/>
                <w:sz w:val="20"/>
                <w:szCs w:val="20"/>
                <w:lang w:val="fr-CA"/>
              </w:rPr>
            </w:pPr>
          </w:p>
          <w:p w:rsidR="00EC4319" w:rsidRPr="008802EB" w:rsidRDefault="001C5072" w:rsidP="00CB189A">
            <w:pPr>
              <w:rPr>
                <w:sz w:val="20"/>
                <w:szCs w:val="20"/>
                <w:lang w:val="fr-CA"/>
              </w:rPr>
            </w:pPr>
            <w:r w:rsidRPr="006860F9">
              <w:rPr>
                <w:rFonts w:eastAsia="Calibri"/>
                <w:b/>
                <w:iCs/>
                <w:sz w:val="20"/>
                <w:szCs w:val="20"/>
                <w:lang w:val="fr-CA"/>
              </w:rPr>
              <w:t>Ville de Saguenay et autre</w:t>
            </w:r>
            <w:r w:rsidRPr="006860F9">
              <w:rPr>
                <w:rFonts w:eastAsia="Calibri"/>
                <w:iCs/>
                <w:sz w:val="20"/>
                <w:szCs w:val="20"/>
                <w:lang w:val="fr-CA"/>
              </w:rPr>
              <w:t xml:space="preserve"> </w:t>
            </w:r>
            <w:r w:rsidRPr="00CB189A">
              <w:rPr>
                <w:rFonts w:eastAsia="Calibri"/>
                <w:b/>
                <w:iCs/>
                <w:sz w:val="20"/>
                <w:szCs w:val="20"/>
                <w:lang w:val="fr-CA"/>
              </w:rPr>
              <w:t xml:space="preserve">(Qc) (Civile) </w:t>
            </w:r>
            <w:r w:rsidRPr="00CB189A">
              <w:rPr>
                <w:rFonts w:eastAsia="Calibri"/>
                <w:b/>
                <w:iCs/>
                <w:sz w:val="20"/>
                <w:szCs w:val="20"/>
                <w:lang w:val="fr-CA"/>
              </w:rPr>
              <w:lastRenderedPageBreak/>
              <w:t>(Autorisation)</w:t>
            </w:r>
            <w:r w:rsidRPr="006860F9">
              <w:rPr>
                <w:rFonts w:eastAsia="Calibri"/>
                <w:iCs/>
                <w:sz w:val="20"/>
                <w:szCs w:val="20"/>
                <w:lang w:val="fr-CA"/>
              </w:rPr>
              <w:t xml:space="preserve"> </w:t>
            </w:r>
          </w:p>
        </w:tc>
        <w:tc>
          <w:tcPr>
            <w:tcW w:w="720" w:type="dxa"/>
            <w:tcMar>
              <w:left w:w="0" w:type="dxa"/>
              <w:right w:w="0" w:type="dxa"/>
            </w:tcMar>
          </w:tcPr>
          <w:p w:rsidR="00EC4319" w:rsidRPr="008802EB" w:rsidRDefault="00EC4319" w:rsidP="0066350E">
            <w:pPr>
              <w:widowControl w:val="0"/>
              <w:jc w:val="center"/>
              <w:rPr>
                <w:sz w:val="20"/>
                <w:szCs w:val="20"/>
                <w:lang w:val="fr-CA"/>
              </w:rPr>
            </w:pPr>
          </w:p>
        </w:tc>
        <w:tc>
          <w:tcPr>
            <w:tcW w:w="4380" w:type="dxa"/>
            <w:tcMar>
              <w:left w:w="0" w:type="dxa"/>
              <w:right w:w="0" w:type="dxa"/>
            </w:tcMar>
          </w:tcPr>
          <w:p w:rsidR="000F6286" w:rsidRPr="00CD2BCF" w:rsidRDefault="000F6286" w:rsidP="000F6286">
            <w:pPr>
              <w:jc w:val="both"/>
              <w:rPr>
                <w:sz w:val="20"/>
                <w:szCs w:val="20"/>
                <w:lang w:val="fr-CA"/>
              </w:rPr>
            </w:pPr>
            <w:r w:rsidRPr="00CD2BCF">
              <w:rPr>
                <w:sz w:val="20"/>
                <w:szCs w:val="20"/>
                <w:lang w:val="fr-CA"/>
              </w:rPr>
              <w:t>Luc Alarie</w:t>
            </w:r>
            <w:r>
              <w:rPr>
                <w:sz w:val="20"/>
                <w:szCs w:val="20"/>
                <w:lang w:val="fr-CA"/>
              </w:rPr>
              <w:t xml:space="preserve"> p</w:t>
            </w:r>
            <w:r w:rsidRPr="00CD2BCF">
              <w:rPr>
                <w:sz w:val="20"/>
                <w:szCs w:val="20"/>
                <w:lang w:val="fr-CA"/>
              </w:rPr>
              <w:t>our les appelants.</w:t>
            </w:r>
          </w:p>
          <w:p w:rsidR="000F6286" w:rsidRPr="00CD2BCF" w:rsidRDefault="000F6286" w:rsidP="000F6286">
            <w:pPr>
              <w:jc w:val="both"/>
              <w:rPr>
                <w:sz w:val="20"/>
                <w:szCs w:val="20"/>
                <w:lang w:val="fr-CA"/>
              </w:rPr>
            </w:pPr>
          </w:p>
          <w:p w:rsidR="000F6286" w:rsidRPr="00CD2BCF" w:rsidRDefault="000F6286" w:rsidP="000F6286">
            <w:pPr>
              <w:jc w:val="both"/>
              <w:rPr>
                <w:sz w:val="20"/>
                <w:szCs w:val="20"/>
              </w:rPr>
            </w:pPr>
            <w:r w:rsidRPr="00CD2BCF">
              <w:rPr>
                <w:sz w:val="20"/>
                <w:szCs w:val="20"/>
              </w:rPr>
              <w:t xml:space="preserve">Tim Dickson </w:t>
            </w:r>
            <w:r>
              <w:rPr>
                <w:sz w:val="20"/>
                <w:szCs w:val="20"/>
              </w:rPr>
              <w:t xml:space="preserve">and </w:t>
            </w:r>
            <w:r w:rsidRPr="00CD2BCF">
              <w:rPr>
                <w:sz w:val="20"/>
                <w:szCs w:val="20"/>
              </w:rPr>
              <w:t>Alexander Boland</w:t>
            </w:r>
            <w:r>
              <w:rPr>
                <w:sz w:val="20"/>
                <w:szCs w:val="20"/>
              </w:rPr>
              <w:t xml:space="preserve"> f</w:t>
            </w:r>
            <w:r w:rsidRPr="00CD2BCF">
              <w:rPr>
                <w:sz w:val="20"/>
                <w:szCs w:val="20"/>
              </w:rPr>
              <w:t xml:space="preserve">or the </w:t>
            </w:r>
            <w:r>
              <w:rPr>
                <w:sz w:val="20"/>
                <w:szCs w:val="20"/>
              </w:rPr>
              <w:t>i</w:t>
            </w:r>
            <w:r w:rsidRPr="00CD2BCF">
              <w:rPr>
                <w:sz w:val="20"/>
                <w:szCs w:val="20"/>
              </w:rPr>
              <w:t>ntervener</w:t>
            </w:r>
            <w:r>
              <w:rPr>
                <w:sz w:val="20"/>
                <w:szCs w:val="20"/>
              </w:rPr>
              <w:t xml:space="preserve"> </w:t>
            </w:r>
            <w:r w:rsidRPr="00CD2BCF">
              <w:rPr>
                <w:sz w:val="20"/>
                <w:szCs w:val="20"/>
              </w:rPr>
              <w:t>Canadian Secular Alliance.</w:t>
            </w:r>
          </w:p>
          <w:p w:rsidR="000F6286" w:rsidRPr="00CD2BCF" w:rsidRDefault="000F6286" w:rsidP="000F6286">
            <w:pPr>
              <w:jc w:val="both"/>
              <w:rPr>
                <w:sz w:val="20"/>
                <w:szCs w:val="20"/>
              </w:rPr>
            </w:pPr>
          </w:p>
          <w:p w:rsidR="000F6286" w:rsidRPr="00CD2BCF" w:rsidRDefault="000F6286" w:rsidP="000F6286">
            <w:pPr>
              <w:jc w:val="both"/>
              <w:rPr>
                <w:sz w:val="20"/>
                <w:szCs w:val="20"/>
              </w:rPr>
            </w:pPr>
            <w:r w:rsidRPr="00CD2BCF">
              <w:rPr>
                <w:sz w:val="20"/>
                <w:szCs w:val="20"/>
              </w:rPr>
              <w:lastRenderedPageBreak/>
              <w:t>Kristian Brabander</w:t>
            </w:r>
            <w:r>
              <w:rPr>
                <w:sz w:val="20"/>
                <w:szCs w:val="20"/>
              </w:rPr>
              <w:t xml:space="preserve"> and </w:t>
            </w:r>
            <w:r w:rsidRPr="00CD2BCF">
              <w:rPr>
                <w:sz w:val="20"/>
                <w:szCs w:val="20"/>
              </w:rPr>
              <w:t>Elisa Clavier</w:t>
            </w:r>
            <w:r>
              <w:rPr>
                <w:sz w:val="20"/>
                <w:szCs w:val="20"/>
              </w:rPr>
              <w:t xml:space="preserve"> f</w:t>
            </w:r>
            <w:r w:rsidRPr="00CD2BCF">
              <w:rPr>
                <w:sz w:val="20"/>
                <w:szCs w:val="20"/>
              </w:rPr>
              <w:t xml:space="preserve">or the </w:t>
            </w:r>
            <w:r>
              <w:rPr>
                <w:sz w:val="20"/>
                <w:szCs w:val="20"/>
              </w:rPr>
              <w:t>i</w:t>
            </w:r>
            <w:r w:rsidRPr="00CD2BCF">
              <w:rPr>
                <w:sz w:val="20"/>
                <w:szCs w:val="20"/>
              </w:rPr>
              <w:t>ntervener</w:t>
            </w:r>
            <w:r>
              <w:rPr>
                <w:sz w:val="20"/>
                <w:szCs w:val="20"/>
              </w:rPr>
              <w:t xml:space="preserve"> </w:t>
            </w:r>
            <w:r w:rsidRPr="00CD2BCF">
              <w:rPr>
                <w:sz w:val="20"/>
                <w:szCs w:val="20"/>
              </w:rPr>
              <w:t>Canadian Civil Liberties Associationé</w:t>
            </w:r>
          </w:p>
          <w:p w:rsidR="000F6286" w:rsidRPr="00CD2BCF" w:rsidRDefault="000F6286" w:rsidP="000F6286">
            <w:pPr>
              <w:jc w:val="both"/>
              <w:rPr>
                <w:sz w:val="20"/>
                <w:szCs w:val="20"/>
              </w:rPr>
            </w:pPr>
          </w:p>
          <w:p w:rsidR="000F6286" w:rsidRDefault="000F6286" w:rsidP="000F6286">
            <w:pPr>
              <w:jc w:val="both"/>
              <w:rPr>
                <w:sz w:val="20"/>
                <w:szCs w:val="20"/>
                <w:lang w:val="fr-CA"/>
              </w:rPr>
            </w:pPr>
            <w:r w:rsidRPr="00CD2BCF">
              <w:rPr>
                <w:sz w:val="20"/>
                <w:szCs w:val="20"/>
                <w:lang w:val="fr-CA"/>
              </w:rPr>
              <w:t>Richard Bergeron</w:t>
            </w:r>
            <w:r>
              <w:rPr>
                <w:sz w:val="20"/>
                <w:szCs w:val="20"/>
                <w:lang w:val="fr-CA"/>
              </w:rPr>
              <w:t xml:space="preserve">, </w:t>
            </w:r>
            <w:r w:rsidRPr="00CD2BCF">
              <w:rPr>
                <w:sz w:val="20"/>
                <w:szCs w:val="20"/>
                <w:lang w:val="fr-CA"/>
              </w:rPr>
              <w:t>Arnaud Gosselin-Brisson</w:t>
            </w:r>
            <w:r>
              <w:rPr>
                <w:sz w:val="20"/>
                <w:szCs w:val="20"/>
                <w:lang w:val="fr-CA"/>
              </w:rPr>
              <w:t xml:space="preserve"> et </w:t>
            </w:r>
            <w:r w:rsidRPr="00CD2BCF">
              <w:rPr>
                <w:sz w:val="20"/>
                <w:szCs w:val="20"/>
                <w:lang w:val="fr-CA"/>
              </w:rPr>
              <w:t>Laurence Dubois</w:t>
            </w:r>
            <w:r>
              <w:rPr>
                <w:sz w:val="20"/>
                <w:szCs w:val="20"/>
                <w:lang w:val="fr-CA"/>
              </w:rPr>
              <w:t xml:space="preserve"> p</w:t>
            </w:r>
            <w:r w:rsidRPr="00CD2BCF">
              <w:rPr>
                <w:sz w:val="20"/>
                <w:szCs w:val="20"/>
                <w:lang w:val="fr-CA"/>
              </w:rPr>
              <w:t>our les intimés</w:t>
            </w:r>
            <w:r>
              <w:rPr>
                <w:sz w:val="20"/>
                <w:szCs w:val="20"/>
                <w:lang w:val="fr-CA"/>
              </w:rPr>
              <w:t>.</w:t>
            </w:r>
          </w:p>
          <w:p w:rsidR="000F6286" w:rsidRDefault="000F6286" w:rsidP="000F6286">
            <w:pPr>
              <w:jc w:val="both"/>
              <w:rPr>
                <w:sz w:val="20"/>
                <w:szCs w:val="20"/>
                <w:lang w:val="fr-CA"/>
              </w:rPr>
            </w:pPr>
          </w:p>
          <w:p w:rsidR="000F6286" w:rsidRPr="00CD2BCF" w:rsidRDefault="000F6286" w:rsidP="000F6286">
            <w:pPr>
              <w:jc w:val="both"/>
              <w:rPr>
                <w:sz w:val="20"/>
                <w:szCs w:val="20"/>
              </w:rPr>
            </w:pPr>
            <w:r w:rsidRPr="00CD2BCF">
              <w:rPr>
                <w:sz w:val="20"/>
                <w:szCs w:val="20"/>
              </w:rPr>
              <w:t>Alberto Polizogopoulos</w:t>
            </w:r>
            <w:r>
              <w:rPr>
                <w:sz w:val="20"/>
                <w:szCs w:val="20"/>
              </w:rPr>
              <w:t xml:space="preserve"> et </w:t>
            </w:r>
            <w:r w:rsidRPr="00CD2BCF">
              <w:rPr>
                <w:sz w:val="20"/>
                <w:szCs w:val="20"/>
              </w:rPr>
              <w:t>Stefan Cyr</w:t>
            </w:r>
            <w:r>
              <w:rPr>
                <w:sz w:val="20"/>
                <w:szCs w:val="20"/>
              </w:rPr>
              <w:t xml:space="preserve"> f</w:t>
            </w:r>
            <w:r w:rsidRPr="00CD2BCF">
              <w:rPr>
                <w:sz w:val="20"/>
                <w:szCs w:val="20"/>
              </w:rPr>
              <w:t xml:space="preserve">or the </w:t>
            </w:r>
            <w:r>
              <w:rPr>
                <w:sz w:val="20"/>
                <w:szCs w:val="20"/>
              </w:rPr>
              <w:t>i</w:t>
            </w:r>
            <w:r w:rsidRPr="00CD2BCF">
              <w:rPr>
                <w:sz w:val="20"/>
                <w:szCs w:val="20"/>
              </w:rPr>
              <w:t>ntervener</w:t>
            </w:r>
            <w:r>
              <w:rPr>
                <w:sz w:val="20"/>
                <w:szCs w:val="20"/>
              </w:rPr>
              <w:t xml:space="preserve"> </w:t>
            </w:r>
            <w:r w:rsidRPr="00CD2BCF">
              <w:rPr>
                <w:sz w:val="20"/>
                <w:szCs w:val="20"/>
              </w:rPr>
              <w:t>Evangelical Fellowship of Canada</w:t>
            </w:r>
            <w:r>
              <w:rPr>
                <w:sz w:val="20"/>
                <w:szCs w:val="20"/>
              </w:rPr>
              <w:t>.</w:t>
            </w:r>
          </w:p>
          <w:p w:rsidR="000F6286" w:rsidRPr="00CD2BCF" w:rsidRDefault="000F6286" w:rsidP="000F6286">
            <w:pPr>
              <w:jc w:val="both"/>
              <w:rPr>
                <w:sz w:val="20"/>
                <w:szCs w:val="20"/>
              </w:rPr>
            </w:pPr>
          </w:p>
          <w:p w:rsidR="000F6286" w:rsidRPr="00CD2BCF" w:rsidRDefault="000F6286" w:rsidP="000F6286">
            <w:pPr>
              <w:jc w:val="both"/>
              <w:rPr>
                <w:sz w:val="20"/>
                <w:szCs w:val="20"/>
              </w:rPr>
            </w:pPr>
            <w:r w:rsidRPr="00CD2BCF">
              <w:rPr>
                <w:sz w:val="20"/>
                <w:szCs w:val="20"/>
              </w:rPr>
              <w:t>Ranjan K. Agarwal</w:t>
            </w:r>
            <w:r>
              <w:rPr>
                <w:sz w:val="20"/>
                <w:szCs w:val="20"/>
              </w:rPr>
              <w:t xml:space="preserve">, </w:t>
            </w:r>
            <w:r w:rsidRPr="00CD2BCF">
              <w:rPr>
                <w:sz w:val="20"/>
                <w:szCs w:val="20"/>
              </w:rPr>
              <w:t>Robert W. Staley</w:t>
            </w:r>
            <w:r>
              <w:rPr>
                <w:sz w:val="20"/>
                <w:szCs w:val="20"/>
              </w:rPr>
              <w:t xml:space="preserve">, </w:t>
            </w:r>
            <w:r w:rsidRPr="00CD2BCF">
              <w:rPr>
                <w:sz w:val="20"/>
                <w:szCs w:val="20"/>
              </w:rPr>
              <w:t>Jack R. Maslen</w:t>
            </w:r>
            <w:r>
              <w:rPr>
                <w:sz w:val="20"/>
                <w:szCs w:val="20"/>
              </w:rPr>
              <w:t xml:space="preserve"> and </w:t>
            </w:r>
            <w:r w:rsidRPr="00CD2BCF">
              <w:rPr>
                <w:sz w:val="20"/>
                <w:szCs w:val="20"/>
              </w:rPr>
              <w:t>Philip H. Horgan</w:t>
            </w:r>
            <w:r>
              <w:rPr>
                <w:sz w:val="20"/>
                <w:szCs w:val="20"/>
              </w:rPr>
              <w:t xml:space="preserve"> f</w:t>
            </w:r>
            <w:r w:rsidRPr="00CD2BCF">
              <w:rPr>
                <w:sz w:val="20"/>
                <w:szCs w:val="20"/>
              </w:rPr>
              <w:t xml:space="preserve">or the </w:t>
            </w:r>
            <w:r>
              <w:rPr>
                <w:sz w:val="20"/>
                <w:szCs w:val="20"/>
              </w:rPr>
              <w:t>i</w:t>
            </w:r>
            <w:r w:rsidRPr="00CD2BCF">
              <w:rPr>
                <w:sz w:val="20"/>
                <w:szCs w:val="20"/>
              </w:rPr>
              <w:t>nterveners</w:t>
            </w:r>
            <w:r>
              <w:rPr>
                <w:sz w:val="20"/>
                <w:szCs w:val="20"/>
              </w:rPr>
              <w:t xml:space="preserve"> </w:t>
            </w:r>
            <w:r w:rsidRPr="00CD2BCF">
              <w:rPr>
                <w:sz w:val="20"/>
                <w:szCs w:val="20"/>
              </w:rPr>
              <w:t>Catholic Civil Rights League et al.</w:t>
            </w:r>
          </w:p>
          <w:p w:rsidR="000F6286" w:rsidRPr="00CD2BCF" w:rsidRDefault="000F6286" w:rsidP="000F6286">
            <w:pPr>
              <w:jc w:val="both"/>
              <w:rPr>
                <w:sz w:val="20"/>
                <w:szCs w:val="20"/>
              </w:rPr>
            </w:pPr>
          </w:p>
          <w:p w:rsidR="00EC4319" w:rsidRPr="000F6286" w:rsidRDefault="000F6286" w:rsidP="000F6286">
            <w:pPr>
              <w:widowControl w:val="0"/>
              <w:jc w:val="both"/>
              <w:rPr>
                <w:sz w:val="20"/>
                <w:szCs w:val="20"/>
                <w:lang w:val="fr-CA"/>
              </w:rPr>
            </w:pPr>
            <w:r w:rsidRPr="00CD2BCF">
              <w:rPr>
                <w:sz w:val="20"/>
                <w:szCs w:val="20"/>
                <w:lang w:val="fr-CA"/>
              </w:rPr>
              <w:t xml:space="preserve">Soumission écrite seulement </w:t>
            </w:r>
            <w:r>
              <w:rPr>
                <w:sz w:val="20"/>
                <w:szCs w:val="20"/>
                <w:lang w:val="fr-CA"/>
              </w:rPr>
              <w:t xml:space="preserve">par </w:t>
            </w:r>
            <w:r w:rsidRPr="00CD2BCF">
              <w:rPr>
                <w:sz w:val="20"/>
                <w:szCs w:val="20"/>
                <w:lang w:val="fr-CA"/>
              </w:rPr>
              <w:t>Louise Cadieux</w:t>
            </w:r>
            <w:r>
              <w:rPr>
                <w:sz w:val="20"/>
                <w:szCs w:val="20"/>
                <w:lang w:val="fr-CA"/>
              </w:rPr>
              <w:t xml:space="preserve"> p</w:t>
            </w:r>
            <w:r w:rsidRPr="00CD2BCF">
              <w:rPr>
                <w:sz w:val="20"/>
                <w:szCs w:val="20"/>
                <w:lang w:val="fr-CA"/>
              </w:rPr>
              <w:t>our l’intervenant</w:t>
            </w:r>
            <w:r>
              <w:rPr>
                <w:sz w:val="20"/>
                <w:szCs w:val="20"/>
                <w:lang w:val="fr-CA"/>
              </w:rPr>
              <w:t xml:space="preserve"> </w:t>
            </w:r>
            <w:r w:rsidRPr="00CD2BCF">
              <w:rPr>
                <w:sz w:val="20"/>
                <w:szCs w:val="20"/>
                <w:lang w:val="fr-CA"/>
              </w:rPr>
              <w:t>Tribunal des droits de la personne</w:t>
            </w:r>
            <w:r>
              <w:rPr>
                <w:sz w:val="20"/>
                <w:szCs w:val="20"/>
                <w:lang w:val="fr-CA"/>
              </w:rPr>
              <w:t>.</w:t>
            </w:r>
          </w:p>
        </w:tc>
      </w:tr>
    </w:tbl>
    <w:p w:rsidR="00EC4319" w:rsidRPr="000F6286" w:rsidRDefault="00EC4319" w:rsidP="00EC4319">
      <w:pPr>
        <w:widowControl w:val="0"/>
        <w:rPr>
          <w:sz w:val="20"/>
          <w:szCs w:val="20"/>
          <w:lang w:val="fr-CA"/>
        </w:rPr>
      </w:pPr>
    </w:p>
    <w:p w:rsidR="00EC4319" w:rsidRPr="0085476B" w:rsidRDefault="00EC4319" w:rsidP="00EC4319">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EC4319" w:rsidRDefault="00EC4319" w:rsidP="00EC4319"/>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EC4319" w:rsidRPr="00237788" w:rsidTr="0066350E">
        <w:tc>
          <w:tcPr>
            <w:tcW w:w="4380" w:type="dxa"/>
            <w:tcMar>
              <w:left w:w="0" w:type="dxa"/>
              <w:right w:w="0" w:type="dxa"/>
            </w:tcMar>
          </w:tcPr>
          <w:p w:rsidR="00EC4319" w:rsidRPr="00CC4D84" w:rsidRDefault="00EC4319" w:rsidP="0066350E">
            <w:pPr>
              <w:widowControl w:val="0"/>
              <w:jc w:val="both"/>
              <w:rPr>
                <w:b/>
                <w:sz w:val="20"/>
                <w:szCs w:val="20"/>
                <w:u w:val="single"/>
              </w:rPr>
            </w:pPr>
            <w:r w:rsidRPr="00CC4D84">
              <w:rPr>
                <w:b/>
                <w:sz w:val="20"/>
                <w:szCs w:val="20"/>
                <w:u w:val="single"/>
              </w:rPr>
              <w:t>Nature of the case:</w:t>
            </w:r>
          </w:p>
          <w:p w:rsidR="00EC4319" w:rsidRPr="001A663B" w:rsidRDefault="00EC4319" w:rsidP="0066350E">
            <w:pPr>
              <w:widowControl w:val="0"/>
              <w:jc w:val="both"/>
              <w:rPr>
                <w:b/>
                <w:sz w:val="20"/>
                <w:szCs w:val="20"/>
              </w:rPr>
            </w:pPr>
          </w:p>
          <w:p w:rsidR="00EC4319" w:rsidRPr="00C1697B" w:rsidRDefault="00A54194" w:rsidP="0066350E">
            <w:pPr>
              <w:tabs>
                <w:tab w:val="left" w:pos="4320"/>
              </w:tabs>
              <w:jc w:val="both"/>
              <w:rPr>
                <w:b/>
                <w:sz w:val="20"/>
                <w:szCs w:val="20"/>
              </w:rPr>
            </w:pPr>
            <w:r w:rsidRPr="00410718">
              <w:rPr>
                <w:sz w:val="20"/>
                <w:szCs w:val="20"/>
              </w:rPr>
              <w:t>Human rights - Freedom of religion - Municipal by-law providing for recitation of prayer before start of municipal council’s public meetings - Whether Court of Appeal applied proper standard of review to decision of Human Rights Tribunal with regard to issues relating to expert evidence, adverse effect on freedom of conscience, religious nature of prayer, Tribunal’s jurisdiction to deal with issue of religious symbols, discriminatory effect of religious symbols, discriminatory nature of municipal by-law, prejudice and orders for redress and compensation - Whether Court of Appeal misapplied rules governing presentation of evidence of discrimination - Whether Tribunal’s decision on issue of extrajudicial costs wrong.</w:t>
            </w:r>
          </w:p>
        </w:tc>
        <w:tc>
          <w:tcPr>
            <w:tcW w:w="720" w:type="dxa"/>
            <w:tcMar>
              <w:left w:w="0" w:type="dxa"/>
              <w:right w:w="0" w:type="dxa"/>
            </w:tcMar>
          </w:tcPr>
          <w:p w:rsidR="00EC4319" w:rsidRPr="00C1697B" w:rsidRDefault="00EC4319" w:rsidP="0066350E">
            <w:pPr>
              <w:widowControl w:val="0"/>
              <w:jc w:val="center"/>
              <w:rPr>
                <w:sz w:val="20"/>
                <w:szCs w:val="20"/>
              </w:rPr>
            </w:pPr>
          </w:p>
        </w:tc>
        <w:tc>
          <w:tcPr>
            <w:tcW w:w="4380" w:type="dxa"/>
            <w:tcMar>
              <w:left w:w="0" w:type="dxa"/>
              <w:right w:w="0" w:type="dxa"/>
            </w:tcMar>
          </w:tcPr>
          <w:p w:rsidR="00EC4319" w:rsidRPr="00CC4D84" w:rsidRDefault="00EC4319" w:rsidP="0066350E">
            <w:pPr>
              <w:widowControl w:val="0"/>
              <w:jc w:val="both"/>
              <w:rPr>
                <w:b/>
                <w:sz w:val="20"/>
                <w:szCs w:val="20"/>
                <w:u w:val="single"/>
                <w:lang w:val="fr-CA"/>
              </w:rPr>
            </w:pPr>
            <w:r w:rsidRPr="00CC4D84">
              <w:rPr>
                <w:b/>
                <w:sz w:val="20"/>
                <w:szCs w:val="20"/>
                <w:u w:val="single"/>
                <w:lang w:val="fr-CA"/>
              </w:rPr>
              <w:t>Nature de la cause :</w:t>
            </w:r>
          </w:p>
          <w:p w:rsidR="00EC4319" w:rsidRPr="00C1697B" w:rsidRDefault="00EC4319" w:rsidP="0066350E">
            <w:pPr>
              <w:widowControl w:val="0"/>
              <w:jc w:val="both"/>
              <w:rPr>
                <w:sz w:val="20"/>
                <w:szCs w:val="20"/>
                <w:lang w:val="fr-CA"/>
              </w:rPr>
            </w:pPr>
          </w:p>
          <w:p w:rsidR="00EC4319" w:rsidRPr="00C1697B" w:rsidRDefault="00A54194" w:rsidP="00663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402811">
              <w:rPr>
                <w:sz w:val="20"/>
                <w:szCs w:val="20"/>
                <w:lang w:val="fr-CA"/>
              </w:rPr>
              <w:t>Droits de la personne - Liberté de religion - Règlement municipal prescrivant la récitation d’une prière avant le début des séances publiques du conseil municipal - La Cour d’appel a-t-elle appliqué la bonne norme de contrôle à la décision du Tribunal des droits de la personne eu égard aux questions portant sur la preuve d’expert, l’effet préjudiciable à la liberté de conscience, le caractère religieux de la prière, la compétence du Tribunal d’être saisi de la question des symboles religieux, l’effet discriminatoire des symboles religieux, le caractère discriminatoire du règlement municipal, le préjudice et les ordonnances de redressement et de réparation? - A-t-elle mal appliqué les règles d’administration de la preuve en matière de discrimination? - La décision du Tribunal sur la question des frais extrajudiciaires est-elle erronée?</w:t>
            </w:r>
          </w:p>
        </w:tc>
      </w:tr>
    </w:tbl>
    <w:p w:rsidR="00EC4319" w:rsidRDefault="00EC4319" w:rsidP="00EC4319">
      <w:pPr>
        <w:widowControl w:val="0"/>
        <w:rPr>
          <w:sz w:val="20"/>
          <w:szCs w:val="20"/>
          <w:lang w:val="fr-CA"/>
        </w:rPr>
      </w:pPr>
    </w:p>
    <w:p w:rsidR="00EC4319" w:rsidRDefault="00237788" w:rsidP="00EC4319">
      <w:pPr>
        <w:widowControl w:val="0"/>
        <w:rPr>
          <w:sz w:val="20"/>
          <w:szCs w:val="20"/>
        </w:rPr>
      </w:pPr>
      <w:r>
        <w:rPr>
          <w:sz w:val="20"/>
          <w:szCs w:val="20"/>
          <w:lang w:val="fr-CA"/>
        </w:rPr>
        <w:pict>
          <v:rect id="_x0000_i1065" style="width:2in;height:1pt" o:hrpct="0" o:hralign="center" o:hrstd="t" o:hrnoshade="t" o:hr="t" fillcolor="black [3213]" stroked="f"/>
        </w:pict>
      </w:r>
    </w:p>
    <w:p w:rsidR="00EC4319" w:rsidRPr="008802EB" w:rsidRDefault="00EC4319" w:rsidP="00EC4319">
      <w:pPr>
        <w:widowControl w:val="0"/>
        <w:rPr>
          <w:sz w:val="20"/>
          <w:szCs w:val="20"/>
        </w:rPr>
      </w:pPr>
    </w:p>
    <w:p w:rsidR="00CF0368" w:rsidRPr="008802EB" w:rsidRDefault="00CF0368" w:rsidP="00CF0368">
      <w:pPr>
        <w:widowControl w:val="0"/>
        <w:rPr>
          <w:sz w:val="20"/>
          <w:szCs w:val="20"/>
        </w:rPr>
      </w:pPr>
      <w:r>
        <w:rPr>
          <w:sz w:val="20"/>
          <w:szCs w:val="20"/>
        </w:rPr>
        <w:t>15</w:t>
      </w:r>
      <w:r w:rsidRPr="008802EB">
        <w:rPr>
          <w:sz w:val="20"/>
          <w:szCs w:val="20"/>
        </w:rPr>
        <w:t>.10.2014</w:t>
      </w:r>
    </w:p>
    <w:p w:rsidR="00CF0368" w:rsidRDefault="00CF0368" w:rsidP="00CF0368">
      <w:pPr>
        <w:widowControl w:val="0"/>
        <w:rPr>
          <w:sz w:val="20"/>
          <w:szCs w:val="20"/>
        </w:rPr>
      </w:pPr>
    </w:p>
    <w:p w:rsidR="00CE1123" w:rsidRPr="00194239" w:rsidRDefault="00CE1123" w:rsidP="00CE1123">
      <w:pPr>
        <w:widowControl w:val="0"/>
        <w:ind w:left="720" w:hanging="720"/>
        <w:rPr>
          <w:rFonts w:eastAsia="Calibri" w:cs="Times New Roman"/>
          <w:sz w:val="20"/>
          <w:szCs w:val="20"/>
          <w:u w:val="single"/>
        </w:rPr>
      </w:pPr>
      <w:r w:rsidRPr="00194239">
        <w:rPr>
          <w:rFonts w:eastAsia="Calibri" w:cs="Times New Roman"/>
          <w:sz w:val="20"/>
          <w:szCs w:val="20"/>
        </w:rPr>
        <w:t xml:space="preserve">Coram: </w:t>
      </w:r>
      <w:r w:rsidRPr="00194239">
        <w:rPr>
          <w:rFonts w:eastAsia="Calibri" w:cs="Times New Roman"/>
          <w:sz w:val="20"/>
          <w:szCs w:val="20"/>
        </w:rPr>
        <w:tab/>
      </w:r>
      <w:r w:rsidRPr="00194239">
        <w:rPr>
          <w:rFonts w:eastAsia="Calibri" w:cs="Times New Roman"/>
          <w:sz w:val="20"/>
          <w:szCs w:val="20"/>
          <w:u w:val="single"/>
        </w:rPr>
        <w:t xml:space="preserve">McLachlin C.J. and </w:t>
      </w:r>
      <w:r>
        <w:rPr>
          <w:sz w:val="20"/>
          <w:szCs w:val="20"/>
          <w:u w:val="single"/>
        </w:rPr>
        <w:t xml:space="preserve">Lebel, </w:t>
      </w:r>
      <w:r w:rsidRPr="00194239">
        <w:rPr>
          <w:rFonts w:eastAsia="Calibri" w:cs="Times New Roman"/>
          <w:sz w:val="20"/>
          <w:szCs w:val="20"/>
          <w:u w:val="single"/>
        </w:rPr>
        <w:t xml:space="preserve">Abella, </w:t>
      </w:r>
      <w:r>
        <w:rPr>
          <w:sz w:val="20"/>
          <w:szCs w:val="20"/>
          <w:u w:val="single"/>
        </w:rPr>
        <w:t xml:space="preserve">Rothstein, </w:t>
      </w:r>
      <w:r w:rsidRPr="00194239">
        <w:rPr>
          <w:rFonts w:eastAsia="Calibri" w:cs="Times New Roman"/>
          <w:sz w:val="20"/>
          <w:szCs w:val="20"/>
          <w:u w:val="single"/>
        </w:rPr>
        <w:t>Cromwell, Moldaver, Karakatsanis, Wagner and Gascon JJ.</w:t>
      </w:r>
    </w:p>
    <w:p w:rsidR="00CF0368" w:rsidRPr="008802EB" w:rsidRDefault="00CF0368" w:rsidP="00CF0368">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F0368" w:rsidRPr="008802EB" w:rsidTr="00CF0368">
        <w:tc>
          <w:tcPr>
            <w:tcW w:w="4380" w:type="dxa"/>
            <w:tcMar>
              <w:left w:w="0" w:type="dxa"/>
              <w:right w:w="0" w:type="dxa"/>
            </w:tcMar>
          </w:tcPr>
          <w:p w:rsidR="001C2EF3" w:rsidRPr="00C07506" w:rsidRDefault="001C2EF3" w:rsidP="001C2EF3">
            <w:pPr>
              <w:rPr>
                <w:rFonts w:eastAsia="Calibri"/>
                <w:b/>
                <w:iCs/>
                <w:sz w:val="20"/>
                <w:szCs w:val="20"/>
                <w:lang w:val="fr-CA"/>
              </w:rPr>
            </w:pPr>
            <w:r w:rsidRPr="00C07506">
              <w:rPr>
                <w:rFonts w:eastAsia="Calibri"/>
                <w:b/>
                <w:iCs/>
                <w:sz w:val="20"/>
                <w:szCs w:val="20"/>
                <w:lang w:val="fr-CA"/>
              </w:rPr>
              <w:t xml:space="preserve">Lee Carter et al. </w:t>
            </w:r>
          </w:p>
          <w:p w:rsidR="001C2EF3" w:rsidRPr="00C07506" w:rsidRDefault="001C2EF3" w:rsidP="001C2EF3">
            <w:pPr>
              <w:rPr>
                <w:rFonts w:eastAsia="Calibri"/>
                <w:b/>
                <w:iCs/>
                <w:sz w:val="20"/>
                <w:szCs w:val="20"/>
                <w:lang w:val="fr-CA"/>
              </w:rPr>
            </w:pPr>
          </w:p>
          <w:p w:rsidR="001C2EF3" w:rsidRPr="00C07506" w:rsidRDefault="001C2EF3" w:rsidP="001C2EF3">
            <w:pPr>
              <w:rPr>
                <w:rFonts w:eastAsia="Calibri"/>
                <w:b/>
                <w:iCs/>
                <w:sz w:val="20"/>
                <w:szCs w:val="20"/>
                <w:lang w:val="fr-CA"/>
              </w:rPr>
            </w:pPr>
            <w:r w:rsidRPr="00C07506">
              <w:rPr>
                <w:rFonts w:eastAsia="Calibri"/>
                <w:b/>
                <w:iCs/>
                <w:sz w:val="20"/>
                <w:szCs w:val="20"/>
                <w:lang w:val="fr-CA"/>
              </w:rPr>
              <w:tab/>
              <w:t xml:space="preserve">v. </w:t>
            </w:r>
            <w:r w:rsidRPr="00C07506">
              <w:rPr>
                <w:rFonts w:eastAsia="Calibri"/>
                <w:iCs/>
                <w:sz w:val="20"/>
                <w:szCs w:val="20"/>
                <w:lang w:val="fr-CA"/>
              </w:rPr>
              <w:t>(</w:t>
            </w:r>
            <w:hyperlink r:id="rId47" w:history="1">
              <w:r w:rsidRPr="00C07506">
                <w:rPr>
                  <w:rStyle w:val="Hyperlink"/>
                  <w:rFonts w:eastAsia="Calibri"/>
                  <w:iCs/>
                  <w:sz w:val="20"/>
                  <w:szCs w:val="20"/>
                  <w:lang w:val="fr-CA"/>
                </w:rPr>
                <w:t>35591</w:t>
              </w:r>
            </w:hyperlink>
            <w:r w:rsidRPr="00C07506">
              <w:rPr>
                <w:rFonts w:eastAsia="Calibri"/>
                <w:iCs/>
                <w:sz w:val="20"/>
                <w:szCs w:val="20"/>
                <w:lang w:val="fr-CA"/>
              </w:rPr>
              <w:t>)</w:t>
            </w:r>
          </w:p>
          <w:p w:rsidR="001C2EF3" w:rsidRPr="00C07506" w:rsidRDefault="001C2EF3" w:rsidP="001C2EF3">
            <w:pPr>
              <w:rPr>
                <w:rFonts w:eastAsia="Calibri"/>
                <w:b/>
                <w:iCs/>
                <w:sz w:val="20"/>
                <w:szCs w:val="20"/>
                <w:lang w:val="fr-CA"/>
              </w:rPr>
            </w:pPr>
          </w:p>
          <w:p w:rsidR="00CF0368" w:rsidRPr="008802EB" w:rsidRDefault="001C2EF3" w:rsidP="001C2EF3">
            <w:pPr>
              <w:rPr>
                <w:sz w:val="20"/>
                <w:szCs w:val="20"/>
              </w:rPr>
            </w:pPr>
            <w:r w:rsidRPr="0020628B">
              <w:rPr>
                <w:rFonts w:eastAsia="Calibri"/>
                <w:b/>
                <w:iCs/>
                <w:sz w:val="20"/>
                <w:szCs w:val="20"/>
              </w:rPr>
              <w:t>Attorney General of Canada et al.</w:t>
            </w:r>
            <w:r w:rsidRPr="001C2EF3">
              <w:rPr>
                <w:rFonts w:eastAsia="Calibri"/>
                <w:b/>
                <w:iCs/>
                <w:sz w:val="20"/>
                <w:szCs w:val="20"/>
              </w:rPr>
              <w:t xml:space="preserve"> (B.C.) (Civil) (By Leave)</w:t>
            </w:r>
            <w:r w:rsidRPr="0020628B">
              <w:rPr>
                <w:rFonts w:eastAsia="Calibri"/>
                <w:iCs/>
                <w:sz w:val="20"/>
                <w:szCs w:val="20"/>
              </w:rPr>
              <w:t xml:space="preserve"> </w:t>
            </w:r>
          </w:p>
        </w:tc>
        <w:tc>
          <w:tcPr>
            <w:tcW w:w="720" w:type="dxa"/>
            <w:tcMar>
              <w:left w:w="0" w:type="dxa"/>
              <w:right w:w="0" w:type="dxa"/>
            </w:tcMar>
          </w:tcPr>
          <w:p w:rsidR="00CF0368" w:rsidRPr="008802EB" w:rsidRDefault="00CF0368" w:rsidP="00CF0368">
            <w:pPr>
              <w:widowControl w:val="0"/>
              <w:jc w:val="center"/>
              <w:rPr>
                <w:sz w:val="20"/>
                <w:szCs w:val="20"/>
              </w:rPr>
            </w:pPr>
          </w:p>
        </w:tc>
        <w:tc>
          <w:tcPr>
            <w:tcW w:w="4380" w:type="dxa"/>
            <w:tcMar>
              <w:left w:w="0" w:type="dxa"/>
              <w:right w:w="0" w:type="dxa"/>
            </w:tcMar>
          </w:tcPr>
          <w:p w:rsidR="00CF0EF3" w:rsidRDefault="00CF0EF3" w:rsidP="00CF0EF3">
            <w:pPr>
              <w:pStyle w:val="SCCLsocParty"/>
              <w:jc w:val="both"/>
              <w:rPr>
                <w:b w:val="0"/>
                <w:sz w:val="20"/>
                <w:szCs w:val="20"/>
              </w:rPr>
            </w:pPr>
            <w:r w:rsidRPr="005C2AE0">
              <w:rPr>
                <w:b w:val="0"/>
                <w:sz w:val="20"/>
                <w:szCs w:val="20"/>
              </w:rPr>
              <w:t>Joseph J. Arvay, Q.C. Sheila M. Tucker</w:t>
            </w:r>
            <w:r>
              <w:rPr>
                <w:b w:val="0"/>
                <w:sz w:val="20"/>
                <w:szCs w:val="20"/>
              </w:rPr>
              <w:t xml:space="preserve"> and </w:t>
            </w:r>
            <w:r w:rsidRPr="005C2AE0">
              <w:rPr>
                <w:b w:val="0"/>
                <w:sz w:val="20"/>
                <w:szCs w:val="20"/>
              </w:rPr>
              <w:t>Alison M. Latimer</w:t>
            </w:r>
            <w:r>
              <w:rPr>
                <w:b w:val="0"/>
                <w:sz w:val="20"/>
                <w:szCs w:val="20"/>
              </w:rPr>
              <w:t xml:space="preserve"> f</w:t>
            </w:r>
            <w:r w:rsidRPr="005C2AE0">
              <w:rPr>
                <w:b w:val="0"/>
                <w:sz w:val="20"/>
                <w:szCs w:val="20"/>
              </w:rPr>
              <w:t xml:space="preserve">or the </w:t>
            </w:r>
            <w:r>
              <w:rPr>
                <w:b w:val="0"/>
                <w:sz w:val="20"/>
                <w:szCs w:val="20"/>
              </w:rPr>
              <w:t>a</w:t>
            </w:r>
            <w:r w:rsidRPr="005C2AE0">
              <w:rPr>
                <w:b w:val="0"/>
                <w:sz w:val="20"/>
                <w:szCs w:val="20"/>
              </w:rPr>
              <w:t>ppellants</w:t>
            </w:r>
            <w:r>
              <w:rPr>
                <w:b w:val="0"/>
                <w:sz w:val="20"/>
                <w:szCs w:val="20"/>
              </w:rPr>
              <w:t>.</w:t>
            </w:r>
          </w:p>
          <w:p w:rsidR="00CF0EF3" w:rsidRDefault="00CF0EF3" w:rsidP="00CF0EF3">
            <w:pPr>
              <w:pStyle w:val="SCCLsocParty"/>
              <w:jc w:val="both"/>
              <w:rPr>
                <w:b w:val="0"/>
                <w:sz w:val="20"/>
                <w:szCs w:val="20"/>
              </w:rPr>
            </w:pPr>
          </w:p>
          <w:p w:rsidR="00CF0EF3" w:rsidRPr="005C2AE0" w:rsidRDefault="00CF0EF3" w:rsidP="00CF0EF3">
            <w:pPr>
              <w:jc w:val="both"/>
              <w:rPr>
                <w:sz w:val="20"/>
                <w:szCs w:val="20"/>
                <w:lang w:val="fr-CA"/>
              </w:rPr>
            </w:pPr>
            <w:r w:rsidRPr="005C2AE0">
              <w:rPr>
                <w:sz w:val="20"/>
                <w:szCs w:val="20"/>
                <w:lang w:val="fr-CA"/>
              </w:rPr>
              <w:t>Jean-Yves Bernard</w:t>
            </w:r>
            <w:r>
              <w:rPr>
                <w:sz w:val="20"/>
                <w:szCs w:val="20"/>
                <w:lang w:val="fr-CA"/>
              </w:rPr>
              <w:t xml:space="preserve"> et </w:t>
            </w:r>
            <w:r w:rsidRPr="005C2AE0">
              <w:rPr>
                <w:sz w:val="20"/>
                <w:szCs w:val="20"/>
                <w:lang w:val="fr-CA"/>
              </w:rPr>
              <w:t>Sylvain Leboeuf</w:t>
            </w:r>
            <w:r>
              <w:rPr>
                <w:sz w:val="20"/>
                <w:szCs w:val="20"/>
                <w:lang w:val="fr-CA"/>
              </w:rPr>
              <w:t xml:space="preserve"> p</w:t>
            </w:r>
            <w:r w:rsidRPr="005C2AE0">
              <w:rPr>
                <w:sz w:val="20"/>
                <w:szCs w:val="20"/>
                <w:lang w:val="fr-CA"/>
              </w:rPr>
              <w:t>our l’intervenant</w:t>
            </w:r>
            <w:r>
              <w:rPr>
                <w:sz w:val="20"/>
                <w:szCs w:val="20"/>
                <w:lang w:val="fr-CA"/>
              </w:rPr>
              <w:t xml:space="preserve"> </w:t>
            </w:r>
            <w:r w:rsidRPr="005C2AE0">
              <w:rPr>
                <w:sz w:val="20"/>
                <w:szCs w:val="20"/>
                <w:lang w:val="fr-CA"/>
              </w:rPr>
              <w:t>Procureur général du Québec</w:t>
            </w:r>
            <w:r>
              <w:rPr>
                <w:sz w:val="20"/>
                <w:szCs w:val="20"/>
                <w:lang w:val="fr-CA"/>
              </w:rPr>
              <w:t>.</w:t>
            </w:r>
          </w:p>
          <w:p w:rsidR="00CF0EF3" w:rsidRPr="005C2AE0" w:rsidRDefault="00CF0EF3" w:rsidP="00CF0EF3">
            <w:pPr>
              <w:jc w:val="both"/>
              <w:rPr>
                <w:sz w:val="20"/>
                <w:szCs w:val="20"/>
                <w:lang w:val="fr-CA"/>
              </w:rPr>
            </w:pPr>
          </w:p>
          <w:p w:rsidR="00CF0EF3" w:rsidRPr="005C2AE0" w:rsidRDefault="00CF0EF3" w:rsidP="00CF0EF3">
            <w:pPr>
              <w:jc w:val="both"/>
              <w:rPr>
                <w:sz w:val="20"/>
                <w:szCs w:val="20"/>
                <w:lang w:val="en-US"/>
              </w:rPr>
            </w:pPr>
            <w:r w:rsidRPr="005C2AE0">
              <w:rPr>
                <w:sz w:val="20"/>
                <w:szCs w:val="20"/>
                <w:lang w:val="en-US"/>
              </w:rPr>
              <w:t>Christopher D. Bredt</w:t>
            </w:r>
            <w:r>
              <w:rPr>
                <w:sz w:val="20"/>
                <w:szCs w:val="20"/>
                <w:lang w:val="en-US"/>
              </w:rPr>
              <w:t xml:space="preserve"> and </w:t>
            </w:r>
            <w:r w:rsidRPr="005C2AE0">
              <w:rPr>
                <w:sz w:val="20"/>
                <w:szCs w:val="20"/>
                <w:lang w:val="en-US"/>
              </w:rPr>
              <w:t>Margot Finley</w:t>
            </w:r>
            <w:r>
              <w:rPr>
                <w:sz w:val="20"/>
                <w:szCs w:val="20"/>
                <w:lang w:val="en-US"/>
              </w:rPr>
              <w:t xml:space="preserve"> f</w:t>
            </w:r>
            <w:r w:rsidRPr="005C2AE0">
              <w:rPr>
                <w:sz w:val="20"/>
                <w:szCs w:val="20"/>
                <w:lang w:val="en-US"/>
              </w:rPr>
              <w:t xml:space="preserve">or the </w:t>
            </w:r>
            <w:r>
              <w:rPr>
                <w:sz w:val="20"/>
                <w:szCs w:val="20"/>
                <w:lang w:val="en-US"/>
              </w:rPr>
              <w:t>i</w:t>
            </w:r>
            <w:r w:rsidRPr="005C2AE0">
              <w:rPr>
                <w:sz w:val="20"/>
                <w:szCs w:val="20"/>
                <w:lang w:val="en-US"/>
              </w:rPr>
              <w:t>ntervener</w:t>
            </w:r>
            <w:r>
              <w:rPr>
                <w:sz w:val="20"/>
                <w:szCs w:val="20"/>
                <w:lang w:val="en-US"/>
              </w:rPr>
              <w:t xml:space="preserve"> </w:t>
            </w:r>
            <w:r w:rsidRPr="005C2AE0">
              <w:rPr>
                <w:sz w:val="20"/>
                <w:szCs w:val="20"/>
                <w:lang w:val="en-US"/>
              </w:rPr>
              <w:t>Canadian Civil Liberties Association</w:t>
            </w:r>
            <w:r>
              <w:rPr>
                <w:sz w:val="20"/>
                <w:szCs w:val="20"/>
                <w:lang w:val="en-US"/>
              </w:rPr>
              <w:t>.</w:t>
            </w:r>
          </w:p>
          <w:p w:rsidR="00CF0EF3" w:rsidRPr="005C2AE0" w:rsidRDefault="00CF0EF3" w:rsidP="00CF0EF3">
            <w:pPr>
              <w:jc w:val="both"/>
              <w:rPr>
                <w:sz w:val="20"/>
                <w:szCs w:val="20"/>
              </w:rPr>
            </w:pPr>
          </w:p>
          <w:p w:rsidR="00CF0EF3" w:rsidRDefault="00CF0EF3" w:rsidP="00CF0EF3">
            <w:pPr>
              <w:jc w:val="both"/>
              <w:rPr>
                <w:sz w:val="20"/>
                <w:szCs w:val="20"/>
              </w:rPr>
            </w:pPr>
            <w:r w:rsidRPr="005C2AE0">
              <w:rPr>
                <w:sz w:val="20"/>
                <w:szCs w:val="20"/>
                <w:lang w:val="en-US"/>
              </w:rPr>
              <w:t>Angus M. Gunn, Q.C.</w:t>
            </w:r>
            <w:r>
              <w:rPr>
                <w:sz w:val="20"/>
                <w:szCs w:val="20"/>
                <w:lang w:val="en-US"/>
              </w:rPr>
              <w:t xml:space="preserve"> and </w:t>
            </w:r>
            <w:r w:rsidRPr="005C2AE0">
              <w:rPr>
                <w:sz w:val="20"/>
                <w:szCs w:val="20"/>
              </w:rPr>
              <w:t>Duncan A.W. Ault</w:t>
            </w:r>
            <w:r>
              <w:rPr>
                <w:sz w:val="20"/>
                <w:szCs w:val="20"/>
              </w:rPr>
              <w:t xml:space="preserve"> f</w:t>
            </w:r>
            <w:r w:rsidRPr="005C2AE0">
              <w:rPr>
                <w:sz w:val="20"/>
                <w:szCs w:val="20"/>
              </w:rPr>
              <w:t xml:space="preserve">or the </w:t>
            </w:r>
            <w:r>
              <w:rPr>
                <w:sz w:val="20"/>
                <w:szCs w:val="20"/>
              </w:rPr>
              <w:lastRenderedPageBreak/>
              <w:t>i</w:t>
            </w:r>
            <w:r w:rsidRPr="005C2AE0">
              <w:rPr>
                <w:sz w:val="20"/>
                <w:szCs w:val="20"/>
              </w:rPr>
              <w:t>ntervener</w:t>
            </w:r>
            <w:r>
              <w:rPr>
                <w:sz w:val="20"/>
                <w:szCs w:val="20"/>
              </w:rPr>
              <w:t xml:space="preserve"> </w:t>
            </w:r>
            <w:r w:rsidRPr="005C2AE0">
              <w:rPr>
                <w:sz w:val="20"/>
                <w:szCs w:val="20"/>
              </w:rPr>
              <w:t>Alliance of People With Disabilities Who Are Supportive of Legal Assisted Dying Society</w:t>
            </w:r>
            <w:r>
              <w:rPr>
                <w:sz w:val="20"/>
                <w:szCs w:val="20"/>
              </w:rPr>
              <w:t>.</w:t>
            </w:r>
          </w:p>
          <w:p w:rsidR="00CF0EF3" w:rsidRPr="005C2AE0" w:rsidRDefault="00CF0EF3" w:rsidP="00CF0EF3">
            <w:pPr>
              <w:jc w:val="both"/>
              <w:rPr>
                <w:sz w:val="20"/>
                <w:szCs w:val="20"/>
              </w:rPr>
            </w:pPr>
          </w:p>
          <w:p w:rsidR="00CF0EF3" w:rsidRPr="005C2AE0" w:rsidRDefault="00CF0EF3" w:rsidP="00CF0EF3">
            <w:pPr>
              <w:jc w:val="both"/>
              <w:rPr>
                <w:sz w:val="20"/>
                <w:szCs w:val="20"/>
              </w:rPr>
            </w:pPr>
            <w:r w:rsidRPr="005C2AE0">
              <w:rPr>
                <w:sz w:val="20"/>
                <w:szCs w:val="20"/>
              </w:rPr>
              <w:t xml:space="preserve">Tim Dickson </w:t>
            </w:r>
            <w:r>
              <w:rPr>
                <w:sz w:val="20"/>
                <w:szCs w:val="20"/>
              </w:rPr>
              <w:t xml:space="preserve">and </w:t>
            </w:r>
            <w:r w:rsidRPr="005C2AE0">
              <w:rPr>
                <w:sz w:val="20"/>
                <w:szCs w:val="20"/>
              </w:rPr>
              <w:t>Ryan J. M. Androsoff</w:t>
            </w:r>
            <w:r>
              <w:rPr>
                <w:sz w:val="20"/>
                <w:szCs w:val="20"/>
              </w:rPr>
              <w:t xml:space="preserve"> f</w:t>
            </w:r>
            <w:r w:rsidRPr="005C2AE0">
              <w:rPr>
                <w:sz w:val="20"/>
                <w:szCs w:val="20"/>
              </w:rPr>
              <w:t xml:space="preserve">or the </w:t>
            </w:r>
            <w:r>
              <w:rPr>
                <w:sz w:val="20"/>
                <w:szCs w:val="20"/>
              </w:rPr>
              <w:t>i</w:t>
            </w:r>
            <w:r w:rsidRPr="005C2AE0">
              <w:rPr>
                <w:sz w:val="20"/>
                <w:szCs w:val="20"/>
              </w:rPr>
              <w:t>ntervener</w:t>
            </w:r>
            <w:r>
              <w:rPr>
                <w:sz w:val="20"/>
                <w:szCs w:val="20"/>
              </w:rPr>
              <w:t xml:space="preserve"> </w:t>
            </w:r>
            <w:r w:rsidRPr="005C2AE0">
              <w:rPr>
                <w:sz w:val="20"/>
                <w:szCs w:val="20"/>
              </w:rPr>
              <w:t>Canadian Unitarian Council</w:t>
            </w:r>
            <w:r>
              <w:rPr>
                <w:sz w:val="20"/>
                <w:szCs w:val="20"/>
              </w:rPr>
              <w:t>.</w:t>
            </w:r>
          </w:p>
          <w:p w:rsidR="00CF0EF3" w:rsidRPr="005C2AE0" w:rsidRDefault="00CF0EF3" w:rsidP="00CF0EF3">
            <w:pPr>
              <w:jc w:val="both"/>
              <w:rPr>
                <w:sz w:val="20"/>
                <w:szCs w:val="20"/>
              </w:rPr>
            </w:pPr>
          </w:p>
          <w:p w:rsidR="00CF0EF3" w:rsidRPr="005C2AE0" w:rsidRDefault="00CF0EF3" w:rsidP="00CF0EF3">
            <w:pPr>
              <w:jc w:val="both"/>
              <w:rPr>
                <w:sz w:val="20"/>
                <w:szCs w:val="20"/>
              </w:rPr>
            </w:pPr>
            <w:r w:rsidRPr="005C2AE0">
              <w:rPr>
                <w:sz w:val="20"/>
                <w:szCs w:val="20"/>
              </w:rPr>
              <w:t xml:space="preserve">Jason B. Gratl </w:t>
            </w:r>
            <w:r>
              <w:rPr>
                <w:sz w:val="20"/>
                <w:szCs w:val="20"/>
              </w:rPr>
              <w:t>f</w:t>
            </w:r>
            <w:r w:rsidRPr="005C2AE0">
              <w:rPr>
                <w:sz w:val="20"/>
                <w:szCs w:val="20"/>
              </w:rPr>
              <w:t xml:space="preserve">or the </w:t>
            </w:r>
            <w:r>
              <w:rPr>
                <w:sz w:val="20"/>
                <w:szCs w:val="20"/>
              </w:rPr>
              <w:t>i</w:t>
            </w:r>
            <w:r w:rsidRPr="005C2AE0">
              <w:rPr>
                <w:sz w:val="20"/>
                <w:szCs w:val="20"/>
              </w:rPr>
              <w:t>nterveners</w:t>
            </w:r>
            <w:r>
              <w:rPr>
                <w:sz w:val="20"/>
                <w:szCs w:val="20"/>
              </w:rPr>
              <w:t xml:space="preserve"> </w:t>
            </w:r>
            <w:r w:rsidRPr="005C2AE0">
              <w:rPr>
                <w:sz w:val="20"/>
                <w:szCs w:val="20"/>
              </w:rPr>
              <w:t>Farewell Foundation For The Right To Die</w:t>
            </w:r>
            <w:r>
              <w:rPr>
                <w:sz w:val="20"/>
                <w:szCs w:val="20"/>
              </w:rPr>
              <w:t xml:space="preserve"> </w:t>
            </w:r>
            <w:r w:rsidRPr="005C2AE0">
              <w:rPr>
                <w:sz w:val="20"/>
                <w:szCs w:val="20"/>
                <w:lang w:val="en-US"/>
              </w:rPr>
              <w:t>et al.</w:t>
            </w:r>
          </w:p>
          <w:p w:rsidR="00CF0EF3" w:rsidRPr="005C2AE0" w:rsidRDefault="00CF0EF3" w:rsidP="00CF0EF3">
            <w:pPr>
              <w:jc w:val="both"/>
              <w:rPr>
                <w:sz w:val="20"/>
                <w:szCs w:val="20"/>
              </w:rPr>
            </w:pPr>
          </w:p>
          <w:p w:rsidR="00CF0EF3" w:rsidRPr="005C2AE0" w:rsidRDefault="00CF0EF3" w:rsidP="00CF0EF3">
            <w:pPr>
              <w:jc w:val="both"/>
              <w:rPr>
                <w:sz w:val="20"/>
                <w:szCs w:val="20"/>
              </w:rPr>
            </w:pPr>
            <w:r w:rsidRPr="005C2AE0">
              <w:rPr>
                <w:sz w:val="20"/>
                <w:szCs w:val="20"/>
              </w:rPr>
              <w:t>Written submission only</w:t>
            </w:r>
            <w:r>
              <w:rPr>
                <w:sz w:val="20"/>
                <w:szCs w:val="20"/>
              </w:rPr>
              <w:t xml:space="preserve"> f</w:t>
            </w:r>
            <w:r w:rsidRPr="005C2AE0">
              <w:rPr>
                <w:sz w:val="20"/>
                <w:szCs w:val="20"/>
              </w:rPr>
              <w:t xml:space="preserve">or the </w:t>
            </w:r>
            <w:r>
              <w:rPr>
                <w:sz w:val="20"/>
                <w:szCs w:val="20"/>
              </w:rPr>
              <w:t>i</w:t>
            </w:r>
            <w:r w:rsidRPr="005C2AE0">
              <w:rPr>
                <w:sz w:val="20"/>
                <w:szCs w:val="20"/>
              </w:rPr>
              <w:t>nterveners</w:t>
            </w:r>
            <w:r>
              <w:rPr>
                <w:sz w:val="20"/>
                <w:szCs w:val="20"/>
              </w:rPr>
              <w:t xml:space="preserve"> </w:t>
            </w:r>
            <w:r w:rsidRPr="005C2AE0">
              <w:rPr>
                <w:sz w:val="20"/>
                <w:szCs w:val="20"/>
              </w:rPr>
              <w:t xml:space="preserve">Canadian HIV/AIDS Legal Network (the 'Legal Network'') et al. </w:t>
            </w:r>
          </w:p>
          <w:p w:rsidR="00CF0EF3" w:rsidRPr="005C2AE0" w:rsidRDefault="00CF0EF3" w:rsidP="00CF0EF3">
            <w:pPr>
              <w:jc w:val="both"/>
              <w:rPr>
                <w:sz w:val="20"/>
                <w:szCs w:val="20"/>
              </w:rPr>
            </w:pPr>
          </w:p>
          <w:p w:rsidR="00CF0EF3" w:rsidRPr="005C2AE0" w:rsidRDefault="00CF0EF3" w:rsidP="00CF0EF3">
            <w:pPr>
              <w:jc w:val="both"/>
              <w:rPr>
                <w:sz w:val="20"/>
                <w:szCs w:val="20"/>
              </w:rPr>
            </w:pPr>
            <w:r w:rsidRPr="005C2AE0">
              <w:rPr>
                <w:sz w:val="20"/>
                <w:szCs w:val="20"/>
              </w:rPr>
              <w:t xml:space="preserve">Written submission only </w:t>
            </w:r>
            <w:r>
              <w:rPr>
                <w:sz w:val="20"/>
                <w:szCs w:val="20"/>
              </w:rPr>
              <w:t>f</w:t>
            </w:r>
            <w:r w:rsidRPr="005C2AE0">
              <w:rPr>
                <w:sz w:val="20"/>
                <w:szCs w:val="20"/>
              </w:rPr>
              <w:t xml:space="preserve">or the </w:t>
            </w:r>
            <w:r>
              <w:rPr>
                <w:sz w:val="20"/>
                <w:szCs w:val="20"/>
              </w:rPr>
              <w:t>i</w:t>
            </w:r>
            <w:r w:rsidRPr="005C2AE0">
              <w:rPr>
                <w:sz w:val="20"/>
                <w:szCs w:val="20"/>
              </w:rPr>
              <w:t>ntervener</w:t>
            </w:r>
            <w:r>
              <w:rPr>
                <w:sz w:val="20"/>
                <w:szCs w:val="20"/>
              </w:rPr>
              <w:t xml:space="preserve"> </w:t>
            </w:r>
            <w:r w:rsidRPr="005C2AE0">
              <w:rPr>
                <w:sz w:val="20"/>
                <w:szCs w:val="20"/>
              </w:rPr>
              <w:t>Dying with Dignity</w:t>
            </w:r>
            <w:r>
              <w:rPr>
                <w:sz w:val="20"/>
                <w:szCs w:val="20"/>
              </w:rPr>
              <w:t>.</w:t>
            </w:r>
          </w:p>
          <w:p w:rsidR="00CF0EF3" w:rsidRPr="005C2AE0" w:rsidRDefault="00CF0EF3" w:rsidP="00CF0EF3">
            <w:pPr>
              <w:jc w:val="both"/>
              <w:rPr>
                <w:sz w:val="20"/>
                <w:szCs w:val="20"/>
              </w:rPr>
            </w:pPr>
          </w:p>
          <w:p w:rsidR="00CF0EF3" w:rsidRDefault="00CF0EF3" w:rsidP="00CF0EF3">
            <w:pPr>
              <w:jc w:val="both"/>
              <w:rPr>
                <w:sz w:val="20"/>
                <w:szCs w:val="20"/>
              </w:rPr>
            </w:pPr>
            <w:r w:rsidRPr="005C2AE0">
              <w:rPr>
                <w:sz w:val="20"/>
                <w:szCs w:val="20"/>
              </w:rPr>
              <w:t>Written submission only</w:t>
            </w:r>
            <w:r>
              <w:rPr>
                <w:sz w:val="20"/>
                <w:szCs w:val="20"/>
              </w:rPr>
              <w:t xml:space="preserve"> f</w:t>
            </w:r>
            <w:r w:rsidRPr="005C2AE0">
              <w:rPr>
                <w:sz w:val="20"/>
                <w:szCs w:val="20"/>
              </w:rPr>
              <w:t xml:space="preserve">or the </w:t>
            </w:r>
            <w:r>
              <w:rPr>
                <w:sz w:val="20"/>
                <w:szCs w:val="20"/>
              </w:rPr>
              <w:t>i</w:t>
            </w:r>
            <w:r w:rsidRPr="005C2AE0">
              <w:rPr>
                <w:sz w:val="20"/>
                <w:szCs w:val="20"/>
              </w:rPr>
              <w:t>ntervener</w:t>
            </w:r>
            <w:r>
              <w:rPr>
                <w:sz w:val="20"/>
                <w:szCs w:val="20"/>
              </w:rPr>
              <w:t xml:space="preserve"> </w:t>
            </w:r>
            <w:r w:rsidRPr="005C2AE0">
              <w:rPr>
                <w:sz w:val="20"/>
                <w:szCs w:val="20"/>
              </w:rPr>
              <w:t>Criminal Lawyers</w:t>
            </w:r>
            <w:r>
              <w:rPr>
                <w:sz w:val="20"/>
                <w:szCs w:val="20"/>
              </w:rPr>
              <w:t>’</w:t>
            </w:r>
            <w:r w:rsidRPr="005C2AE0">
              <w:rPr>
                <w:sz w:val="20"/>
                <w:szCs w:val="20"/>
              </w:rPr>
              <w:t xml:space="preserve"> </w:t>
            </w:r>
            <w:r>
              <w:rPr>
                <w:sz w:val="20"/>
                <w:szCs w:val="20"/>
              </w:rPr>
              <w:t>A</w:t>
            </w:r>
            <w:r w:rsidRPr="005C2AE0">
              <w:rPr>
                <w:sz w:val="20"/>
                <w:szCs w:val="20"/>
              </w:rPr>
              <w:t>ssociation (Ontario)</w:t>
            </w:r>
            <w:r>
              <w:rPr>
                <w:sz w:val="20"/>
                <w:szCs w:val="20"/>
              </w:rPr>
              <w:t>.</w:t>
            </w:r>
          </w:p>
          <w:p w:rsidR="00CF0EF3" w:rsidRDefault="00CF0EF3" w:rsidP="00CF0EF3">
            <w:pPr>
              <w:jc w:val="both"/>
              <w:rPr>
                <w:sz w:val="20"/>
                <w:szCs w:val="20"/>
              </w:rPr>
            </w:pPr>
          </w:p>
          <w:p w:rsidR="00CF0EF3" w:rsidRPr="005C2AE0" w:rsidRDefault="00CF0EF3" w:rsidP="00CF0EF3">
            <w:pPr>
              <w:jc w:val="both"/>
              <w:rPr>
                <w:sz w:val="20"/>
                <w:szCs w:val="20"/>
              </w:rPr>
            </w:pPr>
            <w:r w:rsidRPr="005C2AE0">
              <w:rPr>
                <w:sz w:val="20"/>
                <w:szCs w:val="20"/>
              </w:rPr>
              <w:t>Harry Underwood</w:t>
            </w:r>
            <w:r>
              <w:rPr>
                <w:sz w:val="20"/>
                <w:szCs w:val="20"/>
              </w:rPr>
              <w:t xml:space="preserve"> and </w:t>
            </w:r>
            <w:r w:rsidRPr="005C2AE0">
              <w:rPr>
                <w:sz w:val="20"/>
                <w:szCs w:val="20"/>
              </w:rPr>
              <w:t>Jessica Prince</w:t>
            </w:r>
            <w:r>
              <w:rPr>
                <w:sz w:val="20"/>
                <w:szCs w:val="20"/>
              </w:rPr>
              <w:t xml:space="preserve"> f</w:t>
            </w:r>
            <w:r w:rsidRPr="005C2AE0">
              <w:rPr>
                <w:sz w:val="20"/>
                <w:szCs w:val="20"/>
              </w:rPr>
              <w:t xml:space="preserve">or the </w:t>
            </w:r>
            <w:r>
              <w:rPr>
                <w:sz w:val="20"/>
                <w:szCs w:val="20"/>
              </w:rPr>
              <w:t>i</w:t>
            </w:r>
            <w:r w:rsidRPr="005C2AE0">
              <w:rPr>
                <w:sz w:val="20"/>
                <w:szCs w:val="20"/>
              </w:rPr>
              <w:t>ntervener</w:t>
            </w:r>
            <w:r>
              <w:rPr>
                <w:sz w:val="20"/>
                <w:szCs w:val="20"/>
              </w:rPr>
              <w:t xml:space="preserve"> </w:t>
            </w:r>
            <w:r w:rsidRPr="005C2AE0">
              <w:rPr>
                <w:sz w:val="20"/>
                <w:szCs w:val="20"/>
              </w:rPr>
              <w:t>Canadian Medical Association</w:t>
            </w:r>
            <w:r>
              <w:rPr>
                <w:sz w:val="20"/>
                <w:szCs w:val="20"/>
              </w:rPr>
              <w:t>.</w:t>
            </w:r>
          </w:p>
          <w:p w:rsidR="00CF0EF3" w:rsidRPr="005C2AE0" w:rsidRDefault="00CF0EF3" w:rsidP="00CF0EF3">
            <w:pPr>
              <w:jc w:val="both"/>
              <w:rPr>
                <w:sz w:val="20"/>
                <w:szCs w:val="20"/>
              </w:rPr>
            </w:pPr>
          </w:p>
          <w:p w:rsidR="00CF0EF3" w:rsidRPr="005C2AE0" w:rsidRDefault="00CF0EF3" w:rsidP="00CF0EF3">
            <w:pPr>
              <w:jc w:val="both"/>
              <w:rPr>
                <w:sz w:val="20"/>
                <w:szCs w:val="20"/>
              </w:rPr>
            </w:pPr>
            <w:r w:rsidRPr="005C2AE0">
              <w:rPr>
                <w:sz w:val="20"/>
                <w:szCs w:val="20"/>
              </w:rPr>
              <w:t>Robert J. Frater</w:t>
            </w:r>
            <w:r>
              <w:rPr>
                <w:sz w:val="20"/>
                <w:szCs w:val="20"/>
              </w:rPr>
              <w:t xml:space="preserve"> and </w:t>
            </w:r>
            <w:r w:rsidRPr="005C2AE0">
              <w:rPr>
                <w:sz w:val="20"/>
                <w:szCs w:val="20"/>
              </w:rPr>
              <w:t>Donnaree Nygard</w:t>
            </w:r>
            <w:r>
              <w:rPr>
                <w:sz w:val="20"/>
                <w:szCs w:val="20"/>
              </w:rPr>
              <w:t xml:space="preserve"> f</w:t>
            </w:r>
            <w:r w:rsidRPr="005C2AE0">
              <w:rPr>
                <w:sz w:val="20"/>
                <w:szCs w:val="20"/>
              </w:rPr>
              <w:t xml:space="preserve">or the </w:t>
            </w:r>
            <w:r>
              <w:rPr>
                <w:sz w:val="20"/>
                <w:szCs w:val="20"/>
              </w:rPr>
              <w:t>r</w:t>
            </w:r>
            <w:r w:rsidRPr="005C2AE0">
              <w:rPr>
                <w:sz w:val="20"/>
                <w:szCs w:val="20"/>
              </w:rPr>
              <w:t>espondent</w:t>
            </w:r>
            <w:r>
              <w:rPr>
                <w:sz w:val="20"/>
                <w:szCs w:val="20"/>
              </w:rPr>
              <w:t xml:space="preserve"> </w:t>
            </w:r>
            <w:r w:rsidRPr="005C2AE0">
              <w:rPr>
                <w:sz w:val="20"/>
                <w:szCs w:val="20"/>
              </w:rPr>
              <w:t>Attorney General of Canada</w:t>
            </w:r>
            <w:r>
              <w:rPr>
                <w:sz w:val="20"/>
                <w:szCs w:val="20"/>
              </w:rPr>
              <w:t>.</w:t>
            </w:r>
          </w:p>
          <w:p w:rsidR="00CF0EF3" w:rsidRPr="005C2AE0" w:rsidRDefault="00CF0EF3" w:rsidP="00CF0EF3">
            <w:pPr>
              <w:jc w:val="both"/>
              <w:rPr>
                <w:sz w:val="20"/>
                <w:szCs w:val="20"/>
              </w:rPr>
            </w:pPr>
          </w:p>
          <w:p w:rsidR="00CF0EF3" w:rsidRPr="005C2AE0" w:rsidRDefault="00CF0EF3" w:rsidP="00CF0EF3">
            <w:pPr>
              <w:jc w:val="both"/>
              <w:rPr>
                <w:sz w:val="20"/>
                <w:szCs w:val="20"/>
              </w:rPr>
            </w:pPr>
            <w:r w:rsidRPr="005C2AE0">
              <w:rPr>
                <w:sz w:val="20"/>
                <w:szCs w:val="20"/>
              </w:rPr>
              <w:t>S. Zachary Green</w:t>
            </w:r>
            <w:r>
              <w:rPr>
                <w:sz w:val="20"/>
                <w:szCs w:val="20"/>
              </w:rPr>
              <w:t xml:space="preserve"> f</w:t>
            </w:r>
            <w:r w:rsidRPr="005C2AE0">
              <w:rPr>
                <w:sz w:val="20"/>
                <w:szCs w:val="20"/>
              </w:rPr>
              <w:t xml:space="preserve">or the </w:t>
            </w:r>
            <w:r>
              <w:rPr>
                <w:sz w:val="20"/>
                <w:szCs w:val="20"/>
              </w:rPr>
              <w:t>i</w:t>
            </w:r>
            <w:r w:rsidRPr="005C2AE0">
              <w:rPr>
                <w:sz w:val="20"/>
                <w:szCs w:val="20"/>
              </w:rPr>
              <w:t>ntervener</w:t>
            </w:r>
            <w:r>
              <w:rPr>
                <w:sz w:val="20"/>
                <w:szCs w:val="20"/>
              </w:rPr>
              <w:t xml:space="preserve"> </w:t>
            </w:r>
            <w:r w:rsidRPr="005C2AE0">
              <w:rPr>
                <w:sz w:val="20"/>
                <w:szCs w:val="20"/>
              </w:rPr>
              <w:t>Attorney General of Ontario</w:t>
            </w:r>
            <w:r>
              <w:rPr>
                <w:sz w:val="20"/>
                <w:szCs w:val="20"/>
              </w:rPr>
              <w:t>.</w:t>
            </w:r>
          </w:p>
          <w:p w:rsidR="00CF0EF3" w:rsidRPr="005C2AE0" w:rsidRDefault="00CF0EF3" w:rsidP="00CF0EF3">
            <w:pPr>
              <w:jc w:val="both"/>
              <w:rPr>
                <w:sz w:val="20"/>
                <w:szCs w:val="20"/>
              </w:rPr>
            </w:pPr>
          </w:p>
          <w:p w:rsidR="00CF0EF3" w:rsidRPr="005C2AE0" w:rsidRDefault="00CF0EF3" w:rsidP="00CF0EF3">
            <w:pPr>
              <w:jc w:val="both"/>
              <w:rPr>
                <w:sz w:val="20"/>
                <w:szCs w:val="20"/>
              </w:rPr>
            </w:pPr>
            <w:r w:rsidRPr="005C2AE0">
              <w:rPr>
                <w:sz w:val="20"/>
                <w:szCs w:val="20"/>
              </w:rPr>
              <w:t>Bryant Mackey</w:t>
            </w:r>
            <w:r>
              <w:rPr>
                <w:sz w:val="20"/>
                <w:szCs w:val="20"/>
              </w:rPr>
              <w:t xml:space="preserve"> f</w:t>
            </w:r>
            <w:r w:rsidRPr="005C2AE0">
              <w:rPr>
                <w:sz w:val="20"/>
                <w:szCs w:val="20"/>
              </w:rPr>
              <w:t xml:space="preserve">or the </w:t>
            </w:r>
            <w:r>
              <w:rPr>
                <w:sz w:val="20"/>
                <w:szCs w:val="20"/>
              </w:rPr>
              <w:t>r</w:t>
            </w:r>
            <w:r w:rsidRPr="005C2AE0">
              <w:rPr>
                <w:sz w:val="20"/>
                <w:szCs w:val="20"/>
              </w:rPr>
              <w:t>espondent Attorney General of British Columbia</w:t>
            </w:r>
            <w:r>
              <w:rPr>
                <w:sz w:val="20"/>
                <w:szCs w:val="20"/>
              </w:rPr>
              <w:t>.</w:t>
            </w:r>
          </w:p>
          <w:p w:rsidR="00CF0EF3" w:rsidRPr="005C2AE0" w:rsidRDefault="00CF0EF3" w:rsidP="00CF0EF3">
            <w:pPr>
              <w:jc w:val="both"/>
              <w:rPr>
                <w:sz w:val="20"/>
                <w:szCs w:val="20"/>
              </w:rPr>
            </w:pPr>
          </w:p>
          <w:p w:rsidR="00CF0EF3" w:rsidRPr="005C2AE0" w:rsidRDefault="00CF0EF3" w:rsidP="00CF0EF3">
            <w:pPr>
              <w:jc w:val="both"/>
              <w:rPr>
                <w:sz w:val="20"/>
                <w:szCs w:val="20"/>
              </w:rPr>
            </w:pPr>
            <w:r w:rsidRPr="005C2AE0">
              <w:rPr>
                <w:sz w:val="20"/>
                <w:szCs w:val="20"/>
              </w:rPr>
              <w:t>David Baker</w:t>
            </w:r>
            <w:r>
              <w:rPr>
                <w:sz w:val="20"/>
                <w:szCs w:val="20"/>
              </w:rPr>
              <w:t xml:space="preserve"> and </w:t>
            </w:r>
            <w:r w:rsidRPr="005C2AE0">
              <w:rPr>
                <w:sz w:val="20"/>
                <w:szCs w:val="20"/>
              </w:rPr>
              <w:t>Emily Shepard</w:t>
            </w:r>
            <w:r>
              <w:rPr>
                <w:sz w:val="20"/>
                <w:szCs w:val="20"/>
              </w:rPr>
              <w:t xml:space="preserve"> f</w:t>
            </w:r>
            <w:r w:rsidRPr="005C2AE0">
              <w:rPr>
                <w:sz w:val="20"/>
                <w:szCs w:val="20"/>
              </w:rPr>
              <w:t xml:space="preserve">or the </w:t>
            </w:r>
            <w:r>
              <w:rPr>
                <w:sz w:val="20"/>
                <w:szCs w:val="20"/>
              </w:rPr>
              <w:t>i</w:t>
            </w:r>
            <w:r w:rsidRPr="005C2AE0">
              <w:rPr>
                <w:sz w:val="20"/>
                <w:szCs w:val="20"/>
              </w:rPr>
              <w:t>nterveners</w:t>
            </w:r>
            <w:r>
              <w:rPr>
                <w:sz w:val="20"/>
                <w:szCs w:val="20"/>
              </w:rPr>
              <w:t xml:space="preserve"> </w:t>
            </w:r>
            <w:r w:rsidRPr="005C2AE0">
              <w:rPr>
                <w:sz w:val="20"/>
                <w:szCs w:val="20"/>
              </w:rPr>
              <w:t>Council of Canadians with Disabilities et al.</w:t>
            </w:r>
          </w:p>
          <w:p w:rsidR="00CF0EF3" w:rsidRPr="005C2AE0" w:rsidRDefault="00CF0EF3" w:rsidP="00CF0EF3">
            <w:pPr>
              <w:jc w:val="both"/>
              <w:rPr>
                <w:sz w:val="20"/>
                <w:szCs w:val="20"/>
              </w:rPr>
            </w:pPr>
          </w:p>
          <w:p w:rsidR="00CF0EF3" w:rsidRPr="007831F2" w:rsidRDefault="00CF0EF3" w:rsidP="00CF0EF3">
            <w:pPr>
              <w:jc w:val="both"/>
              <w:rPr>
                <w:sz w:val="20"/>
                <w:szCs w:val="20"/>
              </w:rPr>
            </w:pPr>
            <w:r w:rsidRPr="005C2AE0">
              <w:rPr>
                <w:sz w:val="20"/>
                <w:szCs w:val="20"/>
              </w:rPr>
              <w:t xml:space="preserve">Geoffrey Trotter </w:t>
            </w:r>
            <w:r>
              <w:rPr>
                <w:sz w:val="20"/>
                <w:szCs w:val="20"/>
              </w:rPr>
              <w:t>f</w:t>
            </w:r>
            <w:r w:rsidRPr="005C2AE0">
              <w:rPr>
                <w:sz w:val="20"/>
                <w:szCs w:val="20"/>
              </w:rPr>
              <w:t xml:space="preserve">or the </w:t>
            </w:r>
            <w:r>
              <w:rPr>
                <w:sz w:val="20"/>
                <w:szCs w:val="20"/>
              </w:rPr>
              <w:t>i</w:t>
            </w:r>
            <w:r w:rsidRPr="005C2AE0">
              <w:rPr>
                <w:sz w:val="20"/>
                <w:szCs w:val="20"/>
              </w:rPr>
              <w:t>ntervener</w:t>
            </w:r>
            <w:r>
              <w:rPr>
                <w:sz w:val="20"/>
                <w:szCs w:val="20"/>
              </w:rPr>
              <w:t xml:space="preserve"> </w:t>
            </w:r>
            <w:r w:rsidRPr="007831F2">
              <w:rPr>
                <w:sz w:val="20"/>
                <w:szCs w:val="20"/>
              </w:rPr>
              <w:t>Evangelical Fellowship of Canada</w:t>
            </w:r>
          </w:p>
          <w:p w:rsidR="00CF0EF3" w:rsidRPr="007831F2" w:rsidRDefault="00CF0EF3" w:rsidP="00CF0EF3">
            <w:pPr>
              <w:jc w:val="both"/>
              <w:rPr>
                <w:sz w:val="20"/>
                <w:szCs w:val="20"/>
              </w:rPr>
            </w:pPr>
          </w:p>
          <w:p w:rsidR="00CF0EF3" w:rsidRPr="005C2AE0" w:rsidRDefault="00CF0EF3" w:rsidP="00CF0EF3">
            <w:pPr>
              <w:jc w:val="both"/>
              <w:rPr>
                <w:sz w:val="20"/>
                <w:szCs w:val="20"/>
                <w:lang w:val="fr-CA"/>
              </w:rPr>
            </w:pPr>
            <w:r w:rsidRPr="005C2AE0">
              <w:rPr>
                <w:sz w:val="20"/>
                <w:szCs w:val="20"/>
                <w:lang w:val="fr-CA"/>
              </w:rPr>
              <w:t>Pierre Bienvenu</w:t>
            </w:r>
            <w:r>
              <w:rPr>
                <w:sz w:val="20"/>
                <w:szCs w:val="20"/>
                <w:lang w:val="fr-CA"/>
              </w:rPr>
              <w:t xml:space="preserve">, </w:t>
            </w:r>
            <w:r w:rsidRPr="005C2AE0">
              <w:rPr>
                <w:sz w:val="20"/>
                <w:szCs w:val="20"/>
                <w:lang w:val="fr-CA"/>
              </w:rPr>
              <w:t>Andres C. Garin</w:t>
            </w:r>
            <w:r>
              <w:rPr>
                <w:sz w:val="20"/>
                <w:szCs w:val="20"/>
                <w:lang w:val="fr-CA"/>
              </w:rPr>
              <w:t xml:space="preserve"> et </w:t>
            </w:r>
            <w:r w:rsidRPr="007831F2">
              <w:rPr>
                <w:sz w:val="20"/>
                <w:szCs w:val="20"/>
                <w:lang w:val="fr-CA"/>
              </w:rPr>
              <w:t>Vincent Rochette p</w:t>
            </w:r>
            <w:r w:rsidRPr="005C2AE0">
              <w:rPr>
                <w:sz w:val="20"/>
                <w:szCs w:val="20"/>
                <w:lang w:val="fr-CA"/>
              </w:rPr>
              <w:t>our l’intervenant</w:t>
            </w:r>
            <w:r>
              <w:rPr>
                <w:sz w:val="20"/>
                <w:szCs w:val="20"/>
                <w:lang w:val="fr-CA"/>
              </w:rPr>
              <w:t xml:space="preserve"> </w:t>
            </w:r>
            <w:r w:rsidRPr="005C2AE0">
              <w:rPr>
                <w:sz w:val="20"/>
                <w:szCs w:val="20"/>
                <w:lang w:val="fr-CA"/>
              </w:rPr>
              <w:t>Collectif des médecins contre l</w:t>
            </w:r>
            <w:r>
              <w:rPr>
                <w:sz w:val="20"/>
                <w:szCs w:val="20"/>
                <w:lang w:val="fr-CA"/>
              </w:rPr>
              <w:t>’</w:t>
            </w:r>
            <w:r w:rsidRPr="005C2AE0">
              <w:rPr>
                <w:sz w:val="20"/>
                <w:szCs w:val="20"/>
                <w:lang w:val="fr-CA"/>
              </w:rPr>
              <w:t>euthanasie</w:t>
            </w:r>
          </w:p>
          <w:p w:rsidR="00CF0EF3" w:rsidRPr="007831F2" w:rsidRDefault="00CF0EF3" w:rsidP="00CF0EF3">
            <w:pPr>
              <w:jc w:val="both"/>
              <w:rPr>
                <w:sz w:val="20"/>
                <w:szCs w:val="20"/>
                <w:lang w:val="fr-CA"/>
              </w:rPr>
            </w:pPr>
          </w:p>
          <w:p w:rsidR="00CF0EF3" w:rsidRPr="007831F2" w:rsidRDefault="00CF0EF3" w:rsidP="00CF0EF3">
            <w:pPr>
              <w:jc w:val="both"/>
              <w:rPr>
                <w:sz w:val="20"/>
                <w:szCs w:val="20"/>
                <w:lang w:val="fr-CA"/>
              </w:rPr>
            </w:pPr>
          </w:p>
          <w:p w:rsidR="00CF0EF3" w:rsidRPr="005C2AE0" w:rsidRDefault="00CF0EF3" w:rsidP="00CF0EF3">
            <w:pPr>
              <w:jc w:val="both"/>
              <w:rPr>
                <w:sz w:val="20"/>
                <w:szCs w:val="20"/>
              </w:rPr>
            </w:pPr>
            <w:r w:rsidRPr="005C2AE0">
              <w:rPr>
                <w:sz w:val="20"/>
                <w:szCs w:val="20"/>
                <w:lang w:val="en-US"/>
              </w:rPr>
              <w:t>Robert W. Staley</w:t>
            </w:r>
            <w:r>
              <w:rPr>
                <w:sz w:val="20"/>
                <w:szCs w:val="20"/>
                <w:lang w:val="en-US"/>
              </w:rPr>
              <w:t xml:space="preserve">, </w:t>
            </w:r>
            <w:r w:rsidRPr="005C2AE0">
              <w:rPr>
                <w:sz w:val="20"/>
                <w:szCs w:val="20"/>
              </w:rPr>
              <w:t>Ranjan K. Agarwal</w:t>
            </w:r>
            <w:r>
              <w:rPr>
                <w:sz w:val="20"/>
                <w:szCs w:val="20"/>
              </w:rPr>
              <w:t xml:space="preserve">, </w:t>
            </w:r>
            <w:r w:rsidRPr="005C2AE0">
              <w:rPr>
                <w:sz w:val="20"/>
                <w:szCs w:val="20"/>
              </w:rPr>
              <w:t>Jack R. Maslen</w:t>
            </w:r>
            <w:r>
              <w:rPr>
                <w:sz w:val="20"/>
                <w:szCs w:val="20"/>
              </w:rPr>
              <w:t xml:space="preserve"> and </w:t>
            </w:r>
            <w:r w:rsidRPr="005C2AE0">
              <w:rPr>
                <w:sz w:val="20"/>
                <w:szCs w:val="20"/>
              </w:rPr>
              <w:t>Philip H. Horgan</w:t>
            </w:r>
            <w:r w:rsidRPr="005C2AE0">
              <w:rPr>
                <w:sz w:val="20"/>
                <w:szCs w:val="20"/>
                <w:lang w:val="en-US"/>
              </w:rPr>
              <w:t xml:space="preserve"> </w:t>
            </w:r>
            <w:r>
              <w:rPr>
                <w:sz w:val="20"/>
                <w:szCs w:val="20"/>
                <w:lang w:val="en-US"/>
              </w:rPr>
              <w:t>f</w:t>
            </w:r>
            <w:r w:rsidRPr="005C2AE0">
              <w:rPr>
                <w:sz w:val="20"/>
                <w:szCs w:val="20"/>
                <w:lang w:val="en-US"/>
              </w:rPr>
              <w:t xml:space="preserve">or the </w:t>
            </w:r>
            <w:r>
              <w:rPr>
                <w:sz w:val="20"/>
                <w:szCs w:val="20"/>
                <w:lang w:val="en-US"/>
              </w:rPr>
              <w:t>i</w:t>
            </w:r>
            <w:r w:rsidRPr="005C2AE0">
              <w:rPr>
                <w:sz w:val="20"/>
                <w:szCs w:val="20"/>
                <w:lang w:val="en-US"/>
              </w:rPr>
              <w:t>nterveners</w:t>
            </w:r>
            <w:r>
              <w:rPr>
                <w:sz w:val="20"/>
                <w:szCs w:val="20"/>
                <w:lang w:val="en-US"/>
              </w:rPr>
              <w:t xml:space="preserve"> </w:t>
            </w:r>
            <w:r w:rsidRPr="005C2AE0">
              <w:rPr>
                <w:sz w:val="20"/>
                <w:szCs w:val="20"/>
              </w:rPr>
              <w:t xml:space="preserve">Catholic Civil Rights League et al. </w:t>
            </w:r>
          </w:p>
          <w:p w:rsidR="00CF0EF3" w:rsidRPr="005C2AE0" w:rsidRDefault="00CF0EF3" w:rsidP="00CF0EF3">
            <w:pPr>
              <w:jc w:val="both"/>
              <w:rPr>
                <w:sz w:val="20"/>
                <w:szCs w:val="20"/>
              </w:rPr>
            </w:pPr>
          </w:p>
          <w:p w:rsidR="00CF0EF3" w:rsidRPr="005C2AE0" w:rsidRDefault="00CF0EF3" w:rsidP="00CF0EF3">
            <w:pPr>
              <w:jc w:val="both"/>
              <w:rPr>
                <w:sz w:val="20"/>
                <w:szCs w:val="20"/>
              </w:rPr>
            </w:pPr>
            <w:r w:rsidRPr="005C2AE0">
              <w:rPr>
                <w:sz w:val="20"/>
                <w:szCs w:val="20"/>
              </w:rPr>
              <w:t xml:space="preserve">Written submission only </w:t>
            </w:r>
            <w:r>
              <w:rPr>
                <w:sz w:val="20"/>
                <w:szCs w:val="20"/>
              </w:rPr>
              <w:t xml:space="preserve">by </w:t>
            </w:r>
            <w:r w:rsidRPr="005C2AE0">
              <w:rPr>
                <w:sz w:val="20"/>
                <w:szCs w:val="20"/>
              </w:rPr>
              <w:t>Gerald D. Chipeur, Q.C.</w:t>
            </w:r>
            <w:r>
              <w:rPr>
                <w:sz w:val="20"/>
                <w:szCs w:val="20"/>
              </w:rPr>
              <w:t xml:space="preserve"> f</w:t>
            </w:r>
            <w:r w:rsidRPr="005C2AE0">
              <w:rPr>
                <w:sz w:val="20"/>
                <w:szCs w:val="20"/>
              </w:rPr>
              <w:t>or the ntervener Christian Legal Fellowship</w:t>
            </w:r>
            <w:r>
              <w:rPr>
                <w:sz w:val="20"/>
                <w:szCs w:val="20"/>
              </w:rPr>
              <w:t>.</w:t>
            </w:r>
          </w:p>
          <w:p w:rsidR="00CF0EF3" w:rsidRPr="005C2AE0" w:rsidRDefault="00CF0EF3" w:rsidP="00CF0EF3">
            <w:pPr>
              <w:jc w:val="both"/>
              <w:rPr>
                <w:sz w:val="20"/>
                <w:szCs w:val="20"/>
              </w:rPr>
            </w:pPr>
          </w:p>
          <w:p w:rsidR="00CF0EF3" w:rsidRPr="005C2AE0" w:rsidRDefault="00CF0EF3" w:rsidP="00CF0EF3">
            <w:pPr>
              <w:jc w:val="both"/>
              <w:rPr>
                <w:sz w:val="20"/>
                <w:szCs w:val="20"/>
              </w:rPr>
            </w:pPr>
            <w:r w:rsidRPr="005C2AE0">
              <w:rPr>
                <w:sz w:val="20"/>
                <w:szCs w:val="20"/>
              </w:rPr>
              <w:t xml:space="preserve">Written submission only </w:t>
            </w:r>
            <w:r>
              <w:rPr>
                <w:sz w:val="20"/>
                <w:szCs w:val="20"/>
              </w:rPr>
              <w:t xml:space="preserve">by </w:t>
            </w:r>
            <w:r w:rsidRPr="005C2AE0">
              <w:rPr>
                <w:sz w:val="20"/>
                <w:szCs w:val="20"/>
              </w:rPr>
              <w:t xml:space="preserve">André Schutten </w:t>
            </w:r>
            <w:r>
              <w:rPr>
                <w:sz w:val="20"/>
                <w:szCs w:val="20"/>
              </w:rPr>
              <w:t>f</w:t>
            </w:r>
            <w:r w:rsidRPr="005C2AE0">
              <w:rPr>
                <w:sz w:val="20"/>
                <w:szCs w:val="20"/>
              </w:rPr>
              <w:t xml:space="preserve">or the </w:t>
            </w:r>
            <w:r>
              <w:rPr>
                <w:sz w:val="20"/>
                <w:szCs w:val="20"/>
              </w:rPr>
              <w:t>i</w:t>
            </w:r>
            <w:r w:rsidRPr="005C2AE0">
              <w:rPr>
                <w:sz w:val="20"/>
                <w:szCs w:val="20"/>
              </w:rPr>
              <w:t>ntervener Association for Reformed Political Action Canada</w:t>
            </w:r>
            <w:r>
              <w:rPr>
                <w:sz w:val="20"/>
                <w:szCs w:val="20"/>
              </w:rPr>
              <w:t>.</w:t>
            </w:r>
          </w:p>
          <w:p w:rsidR="00CF0EF3" w:rsidRPr="005C2AE0" w:rsidRDefault="00CF0EF3" w:rsidP="00CF0EF3">
            <w:pPr>
              <w:jc w:val="both"/>
              <w:rPr>
                <w:sz w:val="20"/>
                <w:szCs w:val="20"/>
              </w:rPr>
            </w:pPr>
          </w:p>
          <w:p w:rsidR="00CF0EF3" w:rsidRPr="005C2AE0" w:rsidRDefault="00CF0EF3" w:rsidP="00CF0EF3">
            <w:pPr>
              <w:jc w:val="both"/>
              <w:rPr>
                <w:sz w:val="20"/>
                <w:szCs w:val="20"/>
              </w:rPr>
            </w:pPr>
            <w:r w:rsidRPr="005C2AE0">
              <w:rPr>
                <w:sz w:val="20"/>
                <w:szCs w:val="20"/>
              </w:rPr>
              <w:t>Written submission only</w:t>
            </w:r>
            <w:r>
              <w:rPr>
                <w:sz w:val="20"/>
                <w:szCs w:val="20"/>
              </w:rPr>
              <w:t xml:space="preserve"> by </w:t>
            </w:r>
            <w:r w:rsidRPr="005C2AE0">
              <w:rPr>
                <w:sz w:val="20"/>
                <w:szCs w:val="20"/>
              </w:rPr>
              <w:t xml:space="preserve">Albertos Polizogopoulos </w:t>
            </w:r>
            <w:r>
              <w:rPr>
                <w:sz w:val="20"/>
                <w:szCs w:val="20"/>
              </w:rPr>
              <w:t>f</w:t>
            </w:r>
            <w:r w:rsidRPr="005C2AE0">
              <w:rPr>
                <w:sz w:val="20"/>
                <w:szCs w:val="20"/>
              </w:rPr>
              <w:t xml:space="preserve">or the </w:t>
            </w:r>
            <w:r>
              <w:rPr>
                <w:sz w:val="20"/>
                <w:szCs w:val="20"/>
              </w:rPr>
              <w:t>i</w:t>
            </w:r>
            <w:r w:rsidRPr="005C2AE0">
              <w:rPr>
                <w:sz w:val="20"/>
                <w:szCs w:val="20"/>
              </w:rPr>
              <w:t>nterveners</w:t>
            </w:r>
            <w:r>
              <w:rPr>
                <w:sz w:val="20"/>
                <w:szCs w:val="20"/>
              </w:rPr>
              <w:t xml:space="preserve"> C</w:t>
            </w:r>
            <w:r w:rsidRPr="005C2AE0">
              <w:rPr>
                <w:sz w:val="20"/>
                <w:szCs w:val="20"/>
              </w:rPr>
              <w:t xml:space="preserve">hristian Medical and Dental </w:t>
            </w:r>
            <w:r w:rsidRPr="005C2AE0">
              <w:rPr>
                <w:sz w:val="20"/>
                <w:szCs w:val="20"/>
              </w:rPr>
              <w:lastRenderedPageBreak/>
              <w:t xml:space="preserve">Society of Canada et al. </w:t>
            </w:r>
          </w:p>
          <w:p w:rsidR="00CF0EF3" w:rsidRPr="005C2AE0" w:rsidRDefault="00CF0EF3" w:rsidP="00CF0EF3">
            <w:pPr>
              <w:jc w:val="both"/>
              <w:rPr>
                <w:sz w:val="20"/>
                <w:szCs w:val="20"/>
              </w:rPr>
            </w:pPr>
          </w:p>
          <w:p w:rsidR="00CF0EF3" w:rsidRPr="005C2AE0" w:rsidRDefault="00CF0EF3" w:rsidP="00CF0EF3">
            <w:pPr>
              <w:jc w:val="both"/>
              <w:rPr>
                <w:sz w:val="20"/>
                <w:szCs w:val="20"/>
              </w:rPr>
            </w:pPr>
            <w:r w:rsidRPr="005C2AE0">
              <w:rPr>
                <w:sz w:val="20"/>
                <w:szCs w:val="20"/>
              </w:rPr>
              <w:t xml:space="preserve">Written submission only </w:t>
            </w:r>
            <w:r>
              <w:rPr>
                <w:sz w:val="20"/>
                <w:szCs w:val="20"/>
              </w:rPr>
              <w:t xml:space="preserve">by </w:t>
            </w:r>
            <w:r w:rsidRPr="005C2AE0">
              <w:rPr>
                <w:sz w:val="20"/>
                <w:szCs w:val="20"/>
              </w:rPr>
              <w:t>Albertos Polizogopoulos</w:t>
            </w:r>
            <w:r>
              <w:rPr>
                <w:sz w:val="20"/>
                <w:szCs w:val="20"/>
              </w:rPr>
              <w:t xml:space="preserve"> and </w:t>
            </w:r>
            <w:r w:rsidRPr="005C2AE0">
              <w:rPr>
                <w:sz w:val="20"/>
                <w:szCs w:val="20"/>
              </w:rPr>
              <w:t>Russell Gibson</w:t>
            </w:r>
            <w:r>
              <w:rPr>
                <w:sz w:val="20"/>
                <w:szCs w:val="20"/>
              </w:rPr>
              <w:t xml:space="preserve"> f</w:t>
            </w:r>
            <w:r w:rsidRPr="005C2AE0">
              <w:rPr>
                <w:sz w:val="20"/>
                <w:szCs w:val="20"/>
              </w:rPr>
              <w:t xml:space="preserve">or the </w:t>
            </w:r>
            <w:r>
              <w:rPr>
                <w:sz w:val="20"/>
                <w:szCs w:val="20"/>
              </w:rPr>
              <w:t>i</w:t>
            </w:r>
            <w:r w:rsidRPr="005C2AE0">
              <w:rPr>
                <w:sz w:val="20"/>
                <w:szCs w:val="20"/>
              </w:rPr>
              <w:t>ntervener</w:t>
            </w:r>
            <w:r>
              <w:rPr>
                <w:sz w:val="20"/>
                <w:szCs w:val="20"/>
              </w:rPr>
              <w:t xml:space="preserve"> </w:t>
            </w:r>
            <w:r w:rsidRPr="005C2AE0">
              <w:rPr>
                <w:sz w:val="20"/>
                <w:szCs w:val="20"/>
              </w:rPr>
              <w:t>Catholic Health Alliance of Canada</w:t>
            </w:r>
            <w:r>
              <w:rPr>
                <w:sz w:val="20"/>
                <w:szCs w:val="20"/>
              </w:rPr>
              <w:t>.</w:t>
            </w:r>
          </w:p>
          <w:p w:rsidR="00CF0EF3" w:rsidRPr="005C2AE0" w:rsidRDefault="00CF0EF3" w:rsidP="00CF0EF3">
            <w:pPr>
              <w:jc w:val="both"/>
              <w:rPr>
                <w:sz w:val="20"/>
                <w:szCs w:val="20"/>
              </w:rPr>
            </w:pPr>
          </w:p>
          <w:p w:rsidR="00CF0368" w:rsidRPr="008802EB" w:rsidRDefault="00CF0EF3" w:rsidP="00CF0EF3">
            <w:pPr>
              <w:widowControl w:val="0"/>
              <w:jc w:val="both"/>
              <w:rPr>
                <w:sz w:val="20"/>
                <w:szCs w:val="20"/>
              </w:rPr>
            </w:pPr>
            <w:r w:rsidRPr="005C2AE0">
              <w:rPr>
                <w:sz w:val="20"/>
                <w:szCs w:val="20"/>
              </w:rPr>
              <w:t xml:space="preserve">Written submission only </w:t>
            </w:r>
            <w:r>
              <w:rPr>
                <w:sz w:val="20"/>
                <w:szCs w:val="20"/>
              </w:rPr>
              <w:t xml:space="preserve">by </w:t>
            </w:r>
            <w:r w:rsidRPr="005C2AE0">
              <w:rPr>
                <w:sz w:val="20"/>
                <w:szCs w:val="20"/>
              </w:rPr>
              <w:t xml:space="preserve">Hugh Scher </w:t>
            </w:r>
            <w:r>
              <w:rPr>
                <w:sz w:val="20"/>
                <w:szCs w:val="20"/>
              </w:rPr>
              <w:t>f</w:t>
            </w:r>
            <w:r w:rsidRPr="005C2AE0">
              <w:rPr>
                <w:sz w:val="20"/>
                <w:szCs w:val="20"/>
              </w:rPr>
              <w:t xml:space="preserve">or the </w:t>
            </w:r>
            <w:r>
              <w:rPr>
                <w:sz w:val="20"/>
                <w:szCs w:val="20"/>
              </w:rPr>
              <w:t>i</w:t>
            </w:r>
            <w:r w:rsidRPr="005C2AE0">
              <w:rPr>
                <w:sz w:val="20"/>
                <w:szCs w:val="20"/>
              </w:rPr>
              <w:t>nterveners</w:t>
            </w:r>
            <w:r>
              <w:rPr>
                <w:sz w:val="20"/>
                <w:szCs w:val="20"/>
              </w:rPr>
              <w:t xml:space="preserve"> </w:t>
            </w:r>
            <w:r w:rsidRPr="007831F2">
              <w:rPr>
                <w:sz w:val="20"/>
                <w:szCs w:val="20"/>
              </w:rPr>
              <w:t>Euthanasia Prevention Coalition et al.</w:t>
            </w:r>
          </w:p>
        </w:tc>
      </w:tr>
    </w:tbl>
    <w:p w:rsidR="00CF0368" w:rsidRPr="008802EB" w:rsidRDefault="00CF0368" w:rsidP="00CF0368">
      <w:pPr>
        <w:widowControl w:val="0"/>
        <w:rPr>
          <w:sz w:val="20"/>
          <w:szCs w:val="20"/>
        </w:rPr>
      </w:pPr>
    </w:p>
    <w:p w:rsidR="00CF0368" w:rsidRPr="0085476B" w:rsidRDefault="00CF0368" w:rsidP="00CF0368">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CF0368" w:rsidRDefault="00CF0368" w:rsidP="00CF0368"/>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F0368" w:rsidRPr="00B1010D" w:rsidTr="00CF0368">
        <w:tc>
          <w:tcPr>
            <w:tcW w:w="4380" w:type="dxa"/>
            <w:tcMar>
              <w:left w:w="0" w:type="dxa"/>
              <w:right w:w="0" w:type="dxa"/>
            </w:tcMar>
          </w:tcPr>
          <w:p w:rsidR="00CF0368" w:rsidRPr="00CC4D84" w:rsidRDefault="00CF0368" w:rsidP="00CF0368">
            <w:pPr>
              <w:widowControl w:val="0"/>
              <w:jc w:val="both"/>
              <w:rPr>
                <w:b/>
                <w:sz w:val="20"/>
                <w:szCs w:val="20"/>
                <w:u w:val="single"/>
              </w:rPr>
            </w:pPr>
            <w:r w:rsidRPr="00CC4D84">
              <w:rPr>
                <w:b/>
                <w:sz w:val="20"/>
                <w:szCs w:val="20"/>
                <w:u w:val="single"/>
              </w:rPr>
              <w:t>Nature of the case:</w:t>
            </w:r>
          </w:p>
          <w:p w:rsidR="00CF0368" w:rsidRPr="001A663B" w:rsidRDefault="00CF0368" w:rsidP="00CF0368">
            <w:pPr>
              <w:widowControl w:val="0"/>
              <w:jc w:val="both"/>
              <w:rPr>
                <w:b/>
                <w:sz w:val="20"/>
                <w:szCs w:val="20"/>
              </w:rPr>
            </w:pPr>
          </w:p>
          <w:p w:rsidR="00CF0368" w:rsidRPr="00C1697B" w:rsidRDefault="00A54194" w:rsidP="00CF0368">
            <w:pPr>
              <w:tabs>
                <w:tab w:val="left" w:pos="4320"/>
              </w:tabs>
              <w:jc w:val="both"/>
              <w:rPr>
                <w:b/>
                <w:sz w:val="20"/>
                <w:szCs w:val="20"/>
              </w:rPr>
            </w:pPr>
            <w:r w:rsidRPr="00901220">
              <w:rPr>
                <w:i/>
                <w:sz w:val="20"/>
                <w:szCs w:val="20"/>
              </w:rPr>
              <w:t>Charter of Rights</w:t>
            </w:r>
            <w:r w:rsidRPr="00901220">
              <w:rPr>
                <w:sz w:val="20"/>
                <w:szCs w:val="20"/>
              </w:rPr>
              <w:t xml:space="preserve"> </w:t>
            </w:r>
            <w:r w:rsidRPr="00901220">
              <w:rPr>
                <w:rFonts w:eastAsia="MS Mincho"/>
                <w:sz w:val="20"/>
                <w:szCs w:val="20"/>
              </w:rPr>
              <w:t xml:space="preserve">- </w:t>
            </w:r>
            <w:r w:rsidRPr="00901220">
              <w:rPr>
                <w:sz w:val="20"/>
                <w:szCs w:val="20"/>
              </w:rPr>
              <w:t xml:space="preserve">Right to life </w:t>
            </w:r>
            <w:r w:rsidRPr="00901220">
              <w:rPr>
                <w:rFonts w:eastAsia="MS Mincho"/>
                <w:sz w:val="20"/>
                <w:szCs w:val="20"/>
              </w:rPr>
              <w:t xml:space="preserve">- </w:t>
            </w:r>
            <w:r w:rsidRPr="00901220">
              <w:rPr>
                <w:sz w:val="20"/>
                <w:szCs w:val="20"/>
              </w:rPr>
              <w:t xml:space="preserve">Equality </w:t>
            </w:r>
            <w:r w:rsidRPr="00901220">
              <w:rPr>
                <w:rFonts w:eastAsia="MS Mincho"/>
                <w:sz w:val="20"/>
                <w:szCs w:val="20"/>
              </w:rPr>
              <w:t xml:space="preserve">- </w:t>
            </w:r>
            <w:r w:rsidRPr="00901220">
              <w:rPr>
                <w:sz w:val="20"/>
                <w:szCs w:val="20"/>
              </w:rPr>
              <w:t xml:space="preserve">Fundamental justice </w:t>
            </w:r>
            <w:r w:rsidRPr="00901220">
              <w:rPr>
                <w:rFonts w:eastAsia="MS Mincho"/>
                <w:sz w:val="20"/>
                <w:szCs w:val="20"/>
              </w:rPr>
              <w:t>-</w:t>
            </w:r>
            <w:r w:rsidRPr="00901220">
              <w:rPr>
                <w:sz w:val="20"/>
                <w:szCs w:val="20"/>
              </w:rPr>
              <w:t xml:space="preserve"> Terminally ill patients seeking assistance to commit suicide </w:t>
            </w:r>
            <w:r w:rsidRPr="00901220">
              <w:rPr>
                <w:rFonts w:eastAsia="MS Mincho"/>
                <w:sz w:val="20"/>
                <w:szCs w:val="20"/>
              </w:rPr>
              <w:t>-</w:t>
            </w:r>
            <w:r w:rsidRPr="00901220">
              <w:rPr>
                <w:sz w:val="20"/>
                <w:szCs w:val="20"/>
              </w:rPr>
              <w:t xml:space="preserve"> Whether trial judge erred in distinguishing </w:t>
            </w:r>
            <w:r w:rsidRPr="00901220">
              <w:rPr>
                <w:i/>
                <w:sz w:val="20"/>
                <w:szCs w:val="20"/>
              </w:rPr>
              <w:t>Rodriguez v. British Columbia (Attorney General)</w:t>
            </w:r>
            <w:r w:rsidRPr="00901220">
              <w:rPr>
                <w:sz w:val="20"/>
                <w:szCs w:val="20"/>
              </w:rPr>
              <w:t xml:space="preserve">, [1993] 3 S.C.R. 519 - How does </w:t>
            </w:r>
            <w:r w:rsidRPr="00901220">
              <w:rPr>
                <w:i/>
                <w:sz w:val="20"/>
                <w:szCs w:val="20"/>
              </w:rPr>
              <w:t>stare decisis</w:t>
            </w:r>
            <w:r w:rsidRPr="00901220">
              <w:rPr>
                <w:sz w:val="20"/>
                <w:szCs w:val="20"/>
              </w:rPr>
              <w:t xml:space="preserve"> doctrine apply? - </w:t>
            </w:r>
            <w:r w:rsidRPr="00901220">
              <w:rPr>
                <w:bCs/>
                <w:sz w:val="20"/>
                <w:szCs w:val="20"/>
              </w:rPr>
              <w:t xml:space="preserve">Are ss. 14, 21, 22, 222 and 241 of the </w:t>
            </w:r>
            <w:r w:rsidRPr="00901220">
              <w:rPr>
                <w:bCs/>
                <w:i/>
                <w:sz w:val="20"/>
                <w:szCs w:val="20"/>
              </w:rPr>
              <w:t>Criminal Code</w:t>
            </w:r>
            <w:r w:rsidRPr="00901220">
              <w:rPr>
                <w:bCs/>
                <w:sz w:val="20"/>
                <w:szCs w:val="20"/>
              </w:rPr>
              <w:t xml:space="preserve"> constitutionally inapplicable to physician-assisted death by reason of interjurisdictional immunity doctrine?</w:t>
            </w:r>
            <w:r w:rsidRPr="00901220">
              <w:rPr>
                <w:sz w:val="20"/>
                <w:szCs w:val="20"/>
              </w:rPr>
              <w:t xml:space="preserve"> - </w:t>
            </w:r>
            <w:r w:rsidRPr="00901220">
              <w:rPr>
                <w:bCs/>
                <w:sz w:val="20"/>
                <w:szCs w:val="20"/>
              </w:rPr>
              <w:t xml:space="preserve">Do ss. 14, 21, 22, 222 and 241 of the </w:t>
            </w:r>
            <w:r w:rsidRPr="00901220">
              <w:rPr>
                <w:bCs/>
                <w:i/>
                <w:sz w:val="20"/>
                <w:szCs w:val="20"/>
              </w:rPr>
              <w:t>Criminal Code</w:t>
            </w:r>
            <w:r w:rsidRPr="00901220">
              <w:rPr>
                <w:bCs/>
                <w:sz w:val="20"/>
                <w:szCs w:val="20"/>
              </w:rPr>
              <w:t xml:space="preserve"> infringe either s. 7 or 15 of </w:t>
            </w:r>
            <w:r w:rsidRPr="00901220">
              <w:rPr>
                <w:bCs/>
                <w:i/>
                <w:sz w:val="20"/>
                <w:szCs w:val="20"/>
              </w:rPr>
              <w:t>Charter</w:t>
            </w:r>
            <w:r w:rsidRPr="00901220">
              <w:rPr>
                <w:bCs/>
                <w:sz w:val="20"/>
                <w:szCs w:val="20"/>
              </w:rPr>
              <w:t xml:space="preserve">? </w:t>
            </w:r>
            <w:r w:rsidRPr="00901220">
              <w:rPr>
                <w:rFonts w:eastAsia="MS Mincho"/>
                <w:sz w:val="20"/>
                <w:szCs w:val="20"/>
              </w:rPr>
              <w:t xml:space="preserve">- </w:t>
            </w:r>
            <w:r w:rsidRPr="00901220">
              <w:rPr>
                <w:bCs/>
                <w:sz w:val="20"/>
                <w:szCs w:val="20"/>
              </w:rPr>
              <w:t xml:space="preserve">If so, is infringement reasonable limit prescribed by law as can be demonstrably justified in free and democratic society under s. 1 of </w:t>
            </w:r>
            <w:r w:rsidRPr="00901220">
              <w:rPr>
                <w:bCs/>
                <w:i/>
                <w:sz w:val="20"/>
                <w:szCs w:val="20"/>
              </w:rPr>
              <w:t>Charter</w:t>
            </w:r>
            <w:r w:rsidRPr="00901220">
              <w:rPr>
                <w:bCs/>
                <w:sz w:val="20"/>
                <w:szCs w:val="20"/>
              </w:rPr>
              <w:t xml:space="preserve">? </w:t>
            </w:r>
            <w:r w:rsidRPr="00901220">
              <w:rPr>
                <w:sz w:val="20"/>
                <w:szCs w:val="20"/>
              </w:rPr>
              <w:t xml:space="preserve">- What remedy is appropriate? - What is appropriate framework of analysis for costs in such public interest litigation? </w:t>
            </w:r>
            <w:r w:rsidRPr="00901220">
              <w:rPr>
                <w:rFonts w:eastAsia="MS Mincho"/>
                <w:sz w:val="20"/>
                <w:szCs w:val="20"/>
              </w:rPr>
              <w:t>-</w:t>
            </w:r>
            <w:r w:rsidRPr="00901220">
              <w:rPr>
                <w:sz w:val="20"/>
                <w:szCs w:val="20"/>
              </w:rPr>
              <w:t xml:space="preserve"> </w:t>
            </w:r>
            <w:r w:rsidRPr="00901220">
              <w:rPr>
                <w:i/>
                <w:sz w:val="20"/>
                <w:szCs w:val="20"/>
              </w:rPr>
              <w:t>Criminal Code</w:t>
            </w:r>
            <w:r w:rsidRPr="00901220">
              <w:rPr>
                <w:sz w:val="20"/>
                <w:szCs w:val="20"/>
              </w:rPr>
              <w:t>, R.S.C., 1985, c. C</w:t>
            </w:r>
            <w:r w:rsidRPr="00901220">
              <w:rPr>
                <w:rFonts w:eastAsia="MS Mincho" w:hAnsi="MS Mincho"/>
                <w:sz w:val="20"/>
                <w:szCs w:val="20"/>
              </w:rPr>
              <w:t>‑</w:t>
            </w:r>
            <w:r w:rsidRPr="00901220">
              <w:rPr>
                <w:sz w:val="20"/>
                <w:szCs w:val="20"/>
              </w:rPr>
              <w:t>46, s. 241(b).</w:t>
            </w:r>
          </w:p>
        </w:tc>
        <w:tc>
          <w:tcPr>
            <w:tcW w:w="720" w:type="dxa"/>
            <w:tcMar>
              <w:left w:w="0" w:type="dxa"/>
              <w:right w:w="0" w:type="dxa"/>
            </w:tcMar>
          </w:tcPr>
          <w:p w:rsidR="00CF0368" w:rsidRPr="00C1697B" w:rsidRDefault="00CF0368" w:rsidP="00CF0368">
            <w:pPr>
              <w:widowControl w:val="0"/>
              <w:jc w:val="center"/>
              <w:rPr>
                <w:sz w:val="20"/>
                <w:szCs w:val="20"/>
              </w:rPr>
            </w:pPr>
          </w:p>
        </w:tc>
        <w:tc>
          <w:tcPr>
            <w:tcW w:w="4380" w:type="dxa"/>
            <w:tcMar>
              <w:left w:w="0" w:type="dxa"/>
              <w:right w:w="0" w:type="dxa"/>
            </w:tcMar>
          </w:tcPr>
          <w:p w:rsidR="00CF0368" w:rsidRPr="00CC4D84" w:rsidRDefault="00CF0368" w:rsidP="00CF0368">
            <w:pPr>
              <w:widowControl w:val="0"/>
              <w:jc w:val="both"/>
              <w:rPr>
                <w:b/>
                <w:sz w:val="20"/>
                <w:szCs w:val="20"/>
                <w:u w:val="single"/>
                <w:lang w:val="fr-CA"/>
              </w:rPr>
            </w:pPr>
            <w:r w:rsidRPr="00CC4D84">
              <w:rPr>
                <w:b/>
                <w:sz w:val="20"/>
                <w:szCs w:val="20"/>
                <w:u w:val="single"/>
                <w:lang w:val="fr-CA"/>
              </w:rPr>
              <w:t>Nature de la cause :</w:t>
            </w:r>
          </w:p>
          <w:p w:rsidR="00CF0368" w:rsidRPr="00C1697B" w:rsidRDefault="00CF0368" w:rsidP="00CF0368">
            <w:pPr>
              <w:widowControl w:val="0"/>
              <w:jc w:val="both"/>
              <w:rPr>
                <w:sz w:val="20"/>
                <w:szCs w:val="20"/>
                <w:lang w:val="fr-CA"/>
              </w:rPr>
            </w:pPr>
          </w:p>
          <w:p w:rsidR="00CF0368" w:rsidRPr="00C1697B" w:rsidRDefault="00A54194" w:rsidP="00CF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8C530F">
              <w:rPr>
                <w:i/>
                <w:sz w:val="20"/>
                <w:szCs w:val="20"/>
                <w:lang w:val="fr-CA"/>
              </w:rPr>
              <w:t>Charte des droits</w:t>
            </w:r>
            <w:r w:rsidRPr="008C530F">
              <w:rPr>
                <w:sz w:val="20"/>
                <w:szCs w:val="20"/>
                <w:lang w:val="fr-CA"/>
              </w:rPr>
              <w:t xml:space="preserve"> </w:t>
            </w:r>
            <w:r w:rsidRPr="008C530F">
              <w:rPr>
                <w:rFonts w:eastAsia="MS Mincho"/>
                <w:sz w:val="20"/>
                <w:szCs w:val="20"/>
                <w:lang w:val="fr-CA"/>
              </w:rPr>
              <w:t>- Droit à la vie - Égalité</w:t>
            </w:r>
            <w:r w:rsidRPr="008C530F">
              <w:rPr>
                <w:sz w:val="20"/>
                <w:szCs w:val="20"/>
                <w:lang w:val="fr-CA"/>
              </w:rPr>
              <w:t xml:space="preserve"> </w:t>
            </w:r>
            <w:r w:rsidRPr="008C530F">
              <w:rPr>
                <w:rFonts w:eastAsia="MS Mincho"/>
                <w:sz w:val="20"/>
                <w:szCs w:val="20"/>
                <w:lang w:val="fr-CA"/>
              </w:rPr>
              <w:t>- Justice fo</w:t>
            </w:r>
            <w:r w:rsidRPr="008C530F">
              <w:rPr>
                <w:sz w:val="20"/>
                <w:szCs w:val="20"/>
                <w:lang w:val="fr-CA"/>
              </w:rPr>
              <w:t xml:space="preserve">ndamentale </w:t>
            </w:r>
            <w:r w:rsidRPr="008C530F">
              <w:rPr>
                <w:rFonts w:eastAsia="MS Mincho"/>
                <w:sz w:val="20"/>
                <w:szCs w:val="20"/>
                <w:lang w:val="fr-CA"/>
              </w:rPr>
              <w:t>-</w:t>
            </w:r>
            <w:r w:rsidRPr="008C530F">
              <w:rPr>
                <w:sz w:val="20"/>
                <w:szCs w:val="20"/>
                <w:lang w:val="fr-CA"/>
              </w:rPr>
              <w:t xml:space="preserve"> Des patients en phase terminale demandent qu’on les aide à se donner la mort </w:t>
            </w:r>
            <w:r w:rsidRPr="008C530F">
              <w:rPr>
                <w:rFonts w:eastAsia="MS Mincho"/>
                <w:sz w:val="20"/>
                <w:szCs w:val="20"/>
                <w:lang w:val="fr-CA"/>
              </w:rPr>
              <w:t>-</w:t>
            </w:r>
            <w:r w:rsidRPr="008C530F">
              <w:rPr>
                <w:sz w:val="20"/>
                <w:szCs w:val="20"/>
                <w:lang w:val="fr-CA"/>
              </w:rPr>
              <w:t xml:space="preserve"> Le juge de première instance a-t-il eu tort de faire une distinction avec l’arrêt </w:t>
            </w:r>
            <w:r w:rsidRPr="008C530F">
              <w:rPr>
                <w:i/>
                <w:sz w:val="20"/>
                <w:szCs w:val="20"/>
                <w:lang w:val="fr-CA"/>
              </w:rPr>
              <w:t>Rodriguez c. Colombie-Britannique (Procureur général)</w:t>
            </w:r>
            <w:r w:rsidRPr="008C530F">
              <w:rPr>
                <w:sz w:val="20"/>
                <w:szCs w:val="20"/>
                <w:lang w:val="fr-CA"/>
              </w:rPr>
              <w:t xml:space="preserve">, [1993] 3 R.C.S. 519? - De quelle manière la règle du </w:t>
            </w:r>
            <w:r w:rsidRPr="008C530F">
              <w:rPr>
                <w:i/>
                <w:sz w:val="20"/>
                <w:szCs w:val="20"/>
                <w:lang w:val="fr-CA"/>
              </w:rPr>
              <w:t>stare decisis</w:t>
            </w:r>
            <w:r w:rsidRPr="008C530F">
              <w:rPr>
                <w:sz w:val="20"/>
                <w:szCs w:val="20"/>
                <w:lang w:val="fr-CA"/>
              </w:rPr>
              <w:t xml:space="preserve"> s’applique-t-elle? - Les art. </w:t>
            </w:r>
            <w:r w:rsidRPr="008C530F">
              <w:rPr>
                <w:bCs/>
                <w:sz w:val="20"/>
                <w:szCs w:val="20"/>
                <w:lang w:val="fr-CA"/>
              </w:rPr>
              <w:t xml:space="preserve">14, 21, 22, 222 et 241 du </w:t>
            </w:r>
            <w:r w:rsidRPr="008C530F">
              <w:rPr>
                <w:bCs/>
                <w:i/>
                <w:sz w:val="20"/>
                <w:szCs w:val="20"/>
                <w:lang w:val="fr-CA"/>
              </w:rPr>
              <w:t>Code criminel</w:t>
            </w:r>
            <w:r w:rsidRPr="008C530F">
              <w:rPr>
                <w:bCs/>
                <w:sz w:val="20"/>
                <w:szCs w:val="20"/>
                <w:lang w:val="fr-CA"/>
              </w:rPr>
              <w:t xml:space="preserve"> sont-ils constitutionnellement inapplicables à l’aide médicale à la mort en raison de la doctrine de l’exclusivité des compétences? </w:t>
            </w:r>
            <w:r w:rsidRPr="008C530F">
              <w:rPr>
                <w:sz w:val="20"/>
                <w:szCs w:val="20"/>
                <w:lang w:val="fr-CA"/>
              </w:rPr>
              <w:t>- Les art. </w:t>
            </w:r>
            <w:r w:rsidRPr="008C530F">
              <w:rPr>
                <w:bCs/>
                <w:sz w:val="20"/>
                <w:szCs w:val="20"/>
                <w:lang w:val="fr-CA"/>
              </w:rPr>
              <w:t xml:space="preserve">14, 21, 22, 222 et 241 du </w:t>
            </w:r>
            <w:r w:rsidRPr="008C530F">
              <w:rPr>
                <w:bCs/>
                <w:i/>
                <w:sz w:val="20"/>
                <w:szCs w:val="20"/>
                <w:lang w:val="fr-CA"/>
              </w:rPr>
              <w:t>Code criminel</w:t>
            </w:r>
            <w:r w:rsidRPr="008C530F">
              <w:rPr>
                <w:bCs/>
                <w:sz w:val="20"/>
                <w:szCs w:val="20"/>
                <w:lang w:val="fr-CA"/>
              </w:rPr>
              <w:t xml:space="preserve"> violent-ils les art. 7 ou 15 de la </w:t>
            </w:r>
            <w:r w:rsidRPr="008C530F">
              <w:rPr>
                <w:bCs/>
                <w:i/>
                <w:sz w:val="20"/>
                <w:szCs w:val="20"/>
                <w:lang w:val="fr-CA"/>
              </w:rPr>
              <w:t>Charte</w:t>
            </w:r>
            <w:r w:rsidRPr="008C530F">
              <w:rPr>
                <w:bCs/>
                <w:sz w:val="20"/>
                <w:szCs w:val="20"/>
                <w:lang w:val="fr-CA"/>
              </w:rPr>
              <w:t xml:space="preserve">? </w:t>
            </w:r>
            <w:r w:rsidRPr="008C530F">
              <w:rPr>
                <w:rFonts w:eastAsia="MS Mincho"/>
                <w:sz w:val="20"/>
                <w:szCs w:val="20"/>
                <w:lang w:val="fr-CA"/>
              </w:rPr>
              <w:t xml:space="preserve">- Dans l’affirmative, s’agit-il d’une limite raisonnable prescrite par une règle de droit et dont la justification peut se démontrer dans le cadre d’une société libre et démocratique au sens de l’article premier de la </w:t>
            </w:r>
            <w:r w:rsidRPr="008C530F">
              <w:rPr>
                <w:bCs/>
                <w:i/>
                <w:sz w:val="20"/>
                <w:szCs w:val="20"/>
                <w:lang w:val="fr-CA"/>
              </w:rPr>
              <w:t>Charte</w:t>
            </w:r>
            <w:r w:rsidRPr="008C530F">
              <w:rPr>
                <w:bCs/>
                <w:sz w:val="20"/>
                <w:szCs w:val="20"/>
                <w:lang w:val="fr-CA"/>
              </w:rPr>
              <w:t xml:space="preserve">? </w:t>
            </w:r>
            <w:r w:rsidRPr="008C530F">
              <w:rPr>
                <w:sz w:val="20"/>
                <w:szCs w:val="20"/>
                <w:lang w:val="fr-CA"/>
              </w:rPr>
              <w:t xml:space="preserve">- Quelle est la réparation convenable? - Quel est le cadre d’analyse approprié pour décider des dépens dans ce litige d’intérêt public? </w:t>
            </w:r>
            <w:r w:rsidRPr="008C530F">
              <w:rPr>
                <w:i/>
                <w:sz w:val="20"/>
                <w:szCs w:val="20"/>
                <w:lang w:val="fr-CA"/>
              </w:rPr>
              <w:t>Code criminel</w:t>
            </w:r>
            <w:r w:rsidRPr="008C530F">
              <w:rPr>
                <w:sz w:val="20"/>
                <w:szCs w:val="20"/>
                <w:lang w:val="fr-CA"/>
              </w:rPr>
              <w:t>, L.R.C. 1985, ch. C</w:t>
            </w:r>
            <w:r w:rsidRPr="008C530F">
              <w:rPr>
                <w:rFonts w:eastAsia="MS Mincho" w:hAnsi="MS Mincho"/>
                <w:sz w:val="20"/>
                <w:szCs w:val="20"/>
                <w:lang w:val="fr-CA"/>
              </w:rPr>
              <w:t>‑</w:t>
            </w:r>
            <w:r w:rsidRPr="008C530F">
              <w:rPr>
                <w:sz w:val="20"/>
                <w:szCs w:val="20"/>
                <w:lang w:val="fr-CA"/>
              </w:rPr>
              <w:t>46, art. 241</w:t>
            </w:r>
            <w:r w:rsidRPr="008C530F">
              <w:rPr>
                <w:i/>
                <w:sz w:val="20"/>
                <w:szCs w:val="20"/>
                <w:lang w:val="fr-CA"/>
              </w:rPr>
              <w:t>b</w:t>
            </w:r>
            <w:r w:rsidRPr="008C530F">
              <w:rPr>
                <w:sz w:val="20"/>
                <w:szCs w:val="20"/>
                <w:lang w:val="fr-CA"/>
              </w:rPr>
              <w:t>).</w:t>
            </w:r>
          </w:p>
        </w:tc>
      </w:tr>
    </w:tbl>
    <w:p w:rsidR="00CF0368" w:rsidRDefault="00CF0368" w:rsidP="00CF0368">
      <w:pPr>
        <w:widowControl w:val="0"/>
        <w:rPr>
          <w:sz w:val="20"/>
          <w:szCs w:val="20"/>
          <w:lang w:val="fr-CA"/>
        </w:rPr>
      </w:pPr>
    </w:p>
    <w:p w:rsidR="00CF0368" w:rsidRDefault="00237788" w:rsidP="00CF0368">
      <w:pPr>
        <w:widowControl w:val="0"/>
        <w:rPr>
          <w:sz w:val="20"/>
          <w:szCs w:val="20"/>
        </w:rPr>
      </w:pPr>
      <w:r>
        <w:rPr>
          <w:sz w:val="20"/>
          <w:szCs w:val="20"/>
          <w:lang w:val="fr-CA"/>
        </w:rPr>
        <w:pict>
          <v:rect id="_x0000_i1066" style="width:2in;height:1pt" o:hrpct="0" o:hralign="center" o:hrstd="t" o:hrnoshade="t" o:hr="t" fillcolor="black [3213]" stroked="f"/>
        </w:pict>
      </w:r>
    </w:p>
    <w:p w:rsidR="00CF0368" w:rsidRPr="008802EB" w:rsidRDefault="00CF0368" w:rsidP="00CF0368">
      <w:pPr>
        <w:widowControl w:val="0"/>
        <w:rPr>
          <w:sz w:val="20"/>
          <w:szCs w:val="20"/>
        </w:rPr>
      </w:pPr>
    </w:p>
    <w:p w:rsidR="00CF0368" w:rsidRPr="008802EB" w:rsidRDefault="00CF0368" w:rsidP="00CF0368">
      <w:pPr>
        <w:widowControl w:val="0"/>
        <w:rPr>
          <w:sz w:val="20"/>
          <w:szCs w:val="20"/>
        </w:rPr>
      </w:pPr>
      <w:r>
        <w:rPr>
          <w:sz w:val="20"/>
          <w:szCs w:val="20"/>
        </w:rPr>
        <w:t>16</w:t>
      </w:r>
      <w:r w:rsidRPr="008802EB">
        <w:rPr>
          <w:sz w:val="20"/>
          <w:szCs w:val="20"/>
        </w:rPr>
        <w:t>.10.2014</w:t>
      </w:r>
    </w:p>
    <w:p w:rsidR="00CF0368" w:rsidRPr="008802EB" w:rsidRDefault="00CF0368" w:rsidP="00CF0368">
      <w:pPr>
        <w:widowControl w:val="0"/>
        <w:rPr>
          <w:sz w:val="20"/>
          <w:szCs w:val="20"/>
        </w:rPr>
      </w:pPr>
    </w:p>
    <w:p w:rsidR="00CF0368" w:rsidRDefault="00CF0368" w:rsidP="00CF0368">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Abella, Cromwell, Moldaver</w:t>
      </w:r>
      <w:r w:rsidR="00CE1123">
        <w:rPr>
          <w:sz w:val="20"/>
          <w:szCs w:val="20"/>
          <w:u w:val="single"/>
        </w:rPr>
        <w:t>, Wagner and</w:t>
      </w:r>
      <w:r>
        <w:rPr>
          <w:sz w:val="20"/>
          <w:szCs w:val="20"/>
          <w:u w:val="single"/>
        </w:rPr>
        <w:t xml:space="preserve"> </w:t>
      </w:r>
      <w:r w:rsidR="00CE1123">
        <w:rPr>
          <w:sz w:val="20"/>
          <w:szCs w:val="20"/>
          <w:u w:val="single"/>
        </w:rPr>
        <w:t>G</w:t>
      </w:r>
      <w:r>
        <w:rPr>
          <w:sz w:val="20"/>
          <w:szCs w:val="20"/>
          <w:u w:val="single"/>
        </w:rPr>
        <w:t>a</w:t>
      </w:r>
      <w:r w:rsidR="00CE1123">
        <w:rPr>
          <w:sz w:val="20"/>
          <w:szCs w:val="20"/>
          <w:u w:val="single"/>
        </w:rPr>
        <w:t>sco</w:t>
      </w:r>
      <w:r>
        <w:rPr>
          <w:sz w:val="20"/>
          <w:szCs w:val="20"/>
          <w:u w:val="single"/>
        </w:rPr>
        <w:t xml:space="preserve">n </w:t>
      </w:r>
      <w:r w:rsidRPr="00C50A5C">
        <w:rPr>
          <w:sz w:val="20"/>
          <w:szCs w:val="20"/>
          <w:u w:val="single"/>
        </w:rPr>
        <w:t>JJ.</w:t>
      </w:r>
      <w:r w:rsidRPr="00C50A5C">
        <w:rPr>
          <w:sz w:val="20"/>
          <w:szCs w:val="20"/>
        </w:rPr>
        <w:t xml:space="preserve"> </w:t>
      </w:r>
    </w:p>
    <w:p w:rsidR="00CF0368" w:rsidRPr="008802EB" w:rsidRDefault="00CF0368" w:rsidP="00CF0368">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F0368" w:rsidRPr="008802EB" w:rsidTr="00CF0368">
        <w:tc>
          <w:tcPr>
            <w:tcW w:w="4380" w:type="dxa"/>
            <w:tcMar>
              <w:left w:w="0" w:type="dxa"/>
              <w:right w:w="0" w:type="dxa"/>
            </w:tcMar>
          </w:tcPr>
          <w:p w:rsidR="00C07506" w:rsidRDefault="00C07506" w:rsidP="00C07506">
            <w:pPr>
              <w:rPr>
                <w:rFonts w:eastAsia="Calibri"/>
                <w:b/>
                <w:iCs/>
                <w:sz w:val="20"/>
                <w:szCs w:val="20"/>
              </w:rPr>
            </w:pPr>
            <w:r w:rsidRPr="009541B9">
              <w:rPr>
                <w:rFonts w:eastAsia="Calibri"/>
                <w:b/>
                <w:iCs/>
                <w:sz w:val="20"/>
                <w:szCs w:val="20"/>
              </w:rPr>
              <w:t xml:space="preserve">Her Majesty the Queen </w:t>
            </w:r>
          </w:p>
          <w:p w:rsidR="00C07506" w:rsidRDefault="00C07506" w:rsidP="00C07506">
            <w:pPr>
              <w:rPr>
                <w:rFonts w:eastAsia="Calibri"/>
                <w:b/>
                <w:iCs/>
                <w:sz w:val="20"/>
                <w:szCs w:val="20"/>
              </w:rPr>
            </w:pPr>
          </w:p>
          <w:p w:rsidR="00C07506" w:rsidRDefault="00C07506" w:rsidP="00C07506">
            <w:pPr>
              <w:rPr>
                <w:rFonts w:eastAsia="Calibri"/>
                <w:b/>
                <w:iCs/>
                <w:sz w:val="20"/>
                <w:szCs w:val="20"/>
              </w:rPr>
            </w:pPr>
            <w:r>
              <w:rPr>
                <w:rFonts w:eastAsia="Calibri"/>
                <w:b/>
                <w:iCs/>
                <w:sz w:val="20"/>
                <w:szCs w:val="20"/>
              </w:rPr>
              <w:tab/>
            </w:r>
            <w:r w:rsidRPr="009541B9">
              <w:rPr>
                <w:rFonts w:eastAsia="Calibri"/>
                <w:b/>
                <w:iCs/>
                <w:sz w:val="20"/>
                <w:szCs w:val="20"/>
              </w:rPr>
              <w:t xml:space="preserve">v. </w:t>
            </w:r>
            <w:r w:rsidRPr="009541B9">
              <w:rPr>
                <w:rFonts w:eastAsia="Calibri"/>
                <w:iCs/>
                <w:sz w:val="20"/>
                <w:szCs w:val="20"/>
              </w:rPr>
              <w:t>(</w:t>
            </w:r>
            <w:hyperlink r:id="rId48" w:history="1">
              <w:r w:rsidRPr="009541B9">
                <w:rPr>
                  <w:rStyle w:val="Hyperlink"/>
                  <w:rFonts w:eastAsia="Calibri"/>
                  <w:iCs/>
                  <w:sz w:val="20"/>
                  <w:szCs w:val="20"/>
                </w:rPr>
                <w:t>35690</w:t>
              </w:r>
            </w:hyperlink>
            <w:r w:rsidRPr="009541B9">
              <w:rPr>
                <w:rFonts w:eastAsia="Calibri"/>
                <w:iCs/>
                <w:sz w:val="20"/>
                <w:szCs w:val="20"/>
              </w:rPr>
              <w:t>)</w:t>
            </w:r>
          </w:p>
          <w:p w:rsidR="00C07506" w:rsidRDefault="00C07506" w:rsidP="00C07506">
            <w:pPr>
              <w:rPr>
                <w:rFonts w:eastAsia="Calibri"/>
                <w:b/>
                <w:iCs/>
                <w:sz w:val="20"/>
                <w:szCs w:val="20"/>
              </w:rPr>
            </w:pPr>
          </w:p>
          <w:p w:rsidR="00CF0368" w:rsidRPr="008802EB" w:rsidRDefault="00C07506" w:rsidP="00C07506">
            <w:pPr>
              <w:rPr>
                <w:sz w:val="20"/>
                <w:szCs w:val="20"/>
              </w:rPr>
            </w:pPr>
            <w:r w:rsidRPr="009541B9">
              <w:rPr>
                <w:rFonts w:eastAsia="Calibri"/>
                <w:b/>
                <w:iCs/>
                <w:sz w:val="20"/>
                <w:szCs w:val="20"/>
              </w:rPr>
              <w:t xml:space="preserve">Sebastien Bouchard </w:t>
            </w:r>
            <w:r w:rsidRPr="00C07506">
              <w:rPr>
                <w:rFonts w:eastAsia="Calibri"/>
                <w:b/>
                <w:iCs/>
                <w:sz w:val="20"/>
                <w:szCs w:val="20"/>
              </w:rPr>
              <w:t>(Ont.) (Criminal) (As of Right)</w:t>
            </w:r>
            <w:r w:rsidRPr="009541B9">
              <w:rPr>
                <w:rFonts w:eastAsia="Calibri"/>
                <w:iCs/>
                <w:sz w:val="20"/>
                <w:szCs w:val="20"/>
              </w:rPr>
              <w:t xml:space="preserve"> </w:t>
            </w:r>
          </w:p>
        </w:tc>
        <w:tc>
          <w:tcPr>
            <w:tcW w:w="720" w:type="dxa"/>
            <w:tcMar>
              <w:left w:w="0" w:type="dxa"/>
              <w:right w:w="0" w:type="dxa"/>
            </w:tcMar>
          </w:tcPr>
          <w:p w:rsidR="00CF0368" w:rsidRPr="008802EB" w:rsidRDefault="00CF0368" w:rsidP="00CF0368">
            <w:pPr>
              <w:widowControl w:val="0"/>
              <w:jc w:val="center"/>
              <w:rPr>
                <w:sz w:val="20"/>
                <w:szCs w:val="20"/>
              </w:rPr>
            </w:pPr>
          </w:p>
        </w:tc>
        <w:tc>
          <w:tcPr>
            <w:tcW w:w="4380" w:type="dxa"/>
            <w:tcMar>
              <w:left w:w="0" w:type="dxa"/>
              <w:right w:w="0" w:type="dxa"/>
            </w:tcMar>
          </w:tcPr>
          <w:p w:rsidR="00C07506" w:rsidRPr="006E4D00" w:rsidRDefault="00C07506" w:rsidP="00C07506">
            <w:pPr>
              <w:jc w:val="both"/>
              <w:rPr>
                <w:sz w:val="20"/>
                <w:szCs w:val="20"/>
              </w:rPr>
            </w:pPr>
            <w:r w:rsidRPr="006E4D00">
              <w:rPr>
                <w:sz w:val="20"/>
                <w:szCs w:val="20"/>
              </w:rPr>
              <w:t>Benita Wassenaar</w:t>
            </w:r>
            <w:r>
              <w:rPr>
                <w:sz w:val="20"/>
                <w:szCs w:val="20"/>
              </w:rPr>
              <w:t xml:space="preserve"> f</w:t>
            </w:r>
            <w:r w:rsidRPr="006E4D00">
              <w:rPr>
                <w:sz w:val="20"/>
                <w:szCs w:val="20"/>
              </w:rPr>
              <w:t xml:space="preserve">or the </w:t>
            </w:r>
            <w:r>
              <w:rPr>
                <w:sz w:val="20"/>
                <w:szCs w:val="20"/>
              </w:rPr>
              <w:t>a</w:t>
            </w:r>
            <w:r w:rsidRPr="006E4D00">
              <w:rPr>
                <w:sz w:val="20"/>
                <w:szCs w:val="20"/>
              </w:rPr>
              <w:t>ppellant.</w:t>
            </w:r>
          </w:p>
          <w:p w:rsidR="00C07506" w:rsidRPr="006E4D00" w:rsidRDefault="00C07506" w:rsidP="00C07506">
            <w:pPr>
              <w:jc w:val="both"/>
              <w:rPr>
                <w:sz w:val="20"/>
                <w:szCs w:val="20"/>
              </w:rPr>
            </w:pPr>
          </w:p>
          <w:p w:rsidR="00CF0368" w:rsidRPr="008802EB" w:rsidRDefault="00C07506" w:rsidP="00C07506">
            <w:pPr>
              <w:widowControl w:val="0"/>
              <w:jc w:val="both"/>
              <w:rPr>
                <w:sz w:val="20"/>
                <w:szCs w:val="20"/>
              </w:rPr>
            </w:pPr>
            <w:r w:rsidRPr="006E4D00">
              <w:rPr>
                <w:sz w:val="20"/>
                <w:szCs w:val="20"/>
              </w:rPr>
              <w:t>Howard L. Krongold</w:t>
            </w:r>
            <w:r>
              <w:rPr>
                <w:sz w:val="20"/>
                <w:szCs w:val="20"/>
              </w:rPr>
              <w:t xml:space="preserve"> f</w:t>
            </w:r>
            <w:r w:rsidRPr="006E4D00">
              <w:rPr>
                <w:sz w:val="20"/>
                <w:szCs w:val="20"/>
              </w:rPr>
              <w:t xml:space="preserve">or the </w:t>
            </w:r>
            <w:r>
              <w:rPr>
                <w:sz w:val="20"/>
                <w:szCs w:val="20"/>
              </w:rPr>
              <w:t>r</w:t>
            </w:r>
            <w:r w:rsidRPr="006E4D00">
              <w:rPr>
                <w:sz w:val="20"/>
                <w:szCs w:val="20"/>
              </w:rPr>
              <w:t>espondent.</w:t>
            </w:r>
          </w:p>
        </w:tc>
      </w:tr>
    </w:tbl>
    <w:p w:rsidR="00CF0368" w:rsidRPr="008802EB" w:rsidRDefault="00CF0368" w:rsidP="00CF0368">
      <w:pPr>
        <w:widowControl w:val="0"/>
        <w:rPr>
          <w:sz w:val="20"/>
          <w:szCs w:val="20"/>
        </w:rPr>
      </w:pPr>
    </w:p>
    <w:p w:rsidR="00C07506" w:rsidRPr="009541B9" w:rsidRDefault="00C07506" w:rsidP="00C07506">
      <w:pPr>
        <w:rPr>
          <w:rFonts w:eastAsia="Calibri"/>
          <w:b/>
          <w:iCs/>
          <w:sz w:val="20"/>
          <w:szCs w:val="20"/>
        </w:rPr>
      </w:pPr>
      <w:r w:rsidRPr="009541B9">
        <w:rPr>
          <w:rFonts w:eastAsia="Calibri"/>
          <w:b/>
          <w:iCs/>
          <w:sz w:val="20"/>
          <w:szCs w:val="20"/>
        </w:rPr>
        <w:t>2014 SCC 64 / 2014 CSC 64</w:t>
      </w:r>
    </w:p>
    <w:p w:rsidR="00C07506" w:rsidRPr="00C07506" w:rsidRDefault="00C07506" w:rsidP="00C07506">
      <w:pPr>
        <w:widowControl w:val="0"/>
        <w:tabs>
          <w:tab w:val="left" w:pos="720"/>
          <w:tab w:val="left" w:pos="1440"/>
          <w:tab w:val="left" w:pos="2851"/>
          <w:tab w:val="left" w:pos="4320"/>
          <w:tab w:val="left" w:pos="10224"/>
          <w:tab w:val="left" w:pos="11376"/>
        </w:tabs>
        <w:rPr>
          <w:sz w:val="20"/>
          <w:szCs w:val="20"/>
        </w:rPr>
      </w:pPr>
    </w:p>
    <w:p w:rsidR="00C07506" w:rsidRPr="009541B9" w:rsidRDefault="00C07506" w:rsidP="00C07506">
      <w:pPr>
        <w:widowControl w:val="0"/>
        <w:tabs>
          <w:tab w:val="left" w:pos="720"/>
          <w:tab w:val="left" w:pos="1440"/>
          <w:tab w:val="left" w:pos="2851"/>
          <w:tab w:val="left" w:pos="4320"/>
          <w:tab w:val="left" w:pos="10224"/>
          <w:tab w:val="left" w:pos="11376"/>
        </w:tabs>
        <w:rPr>
          <w:b/>
          <w:sz w:val="20"/>
          <w:szCs w:val="20"/>
        </w:rPr>
      </w:pPr>
      <w:r w:rsidRPr="009541B9">
        <w:rPr>
          <w:b/>
          <w:sz w:val="20"/>
          <w:szCs w:val="20"/>
        </w:rPr>
        <w:t>DISMISSED / REJETÉ</w:t>
      </w:r>
    </w:p>
    <w:p w:rsidR="00505BD2" w:rsidRDefault="00505BD2">
      <w: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F0368" w:rsidRPr="00237788" w:rsidTr="00CF0368">
        <w:tc>
          <w:tcPr>
            <w:tcW w:w="4380" w:type="dxa"/>
            <w:tcMar>
              <w:left w:w="0" w:type="dxa"/>
              <w:right w:w="0" w:type="dxa"/>
            </w:tcMar>
          </w:tcPr>
          <w:p w:rsidR="00CF0368" w:rsidRPr="00CC4D84" w:rsidRDefault="00CF0368" w:rsidP="00CF0368">
            <w:pPr>
              <w:widowControl w:val="0"/>
              <w:jc w:val="both"/>
              <w:rPr>
                <w:b/>
                <w:sz w:val="20"/>
                <w:szCs w:val="20"/>
                <w:u w:val="single"/>
              </w:rPr>
            </w:pPr>
            <w:r w:rsidRPr="00CC4D84">
              <w:rPr>
                <w:b/>
                <w:sz w:val="20"/>
                <w:szCs w:val="20"/>
                <w:u w:val="single"/>
              </w:rPr>
              <w:lastRenderedPageBreak/>
              <w:t>Nature of the case:</w:t>
            </w:r>
          </w:p>
          <w:p w:rsidR="00CF0368" w:rsidRPr="001A663B" w:rsidRDefault="00CF0368" w:rsidP="00CF0368">
            <w:pPr>
              <w:widowControl w:val="0"/>
              <w:jc w:val="both"/>
              <w:rPr>
                <w:b/>
                <w:sz w:val="20"/>
                <w:szCs w:val="20"/>
              </w:rPr>
            </w:pPr>
          </w:p>
          <w:p w:rsidR="00CF0368" w:rsidRPr="00C1697B" w:rsidRDefault="00A54194" w:rsidP="00CF0368">
            <w:pPr>
              <w:tabs>
                <w:tab w:val="left" w:pos="4320"/>
              </w:tabs>
              <w:jc w:val="both"/>
              <w:rPr>
                <w:b/>
                <w:sz w:val="20"/>
                <w:szCs w:val="20"/>
              </w:rPr>
            </w:pPr>
            <w:r w:rsidRPr="002A45C5">
              <w:rPr>
                <w:sz w:val="20"/>
                <w:szCs w:val="20"/>
              </w:rPr>
              <w:t>Criminal law - Defences - Provocation - Charge to the jury - Whether the trial judge misdirected the jury as to the application of the statutory defence of provocation to the evidence relevant to the respondent’s state of mind for the purpose of determining whether the Crown had established the requisite intent for murder.</w:t>
            </w:r>
          </w:p>
        </w:tc>
        <w:tc>
          <w:tcPr>
            <w:tcW w:w="720" w:type="dxa"/>
            <w:tcMar>
              <w:left w:w="0" w:type="dxa"/>
              <w:right w:w="0" w:type="dxa"/>
            </w:tcMar>
          </w:tcPr>
          <w:p w:rsidR="00CF0368" w:rsidRPr="00C1697B" w:rsidRDefault="00CF0368" w:rsidP="00CF0368">
            <w:pPr>
              <w:widowControl w:val="0"/>
              <w:jc w:val="center"/>
              <w:rPr>
                <w:sz w:val="20"/>
                <w:szCs w:val="20"/>
              </w:rPr>
            </w:pPr>
          </w:p>
        </w:tc>
        <w:tc>
          <w:tcPr>
            <w:tcW w:w="4380" w:type="dxa"/>
            <w:tcMar>
              <w:left w:w="0" w:type="dxa"/>
              <w:right w:w="0" w:type="dxa"/>
            </w:tcMar>
          </w:tcPr>
          <w:p w:rsidR="00CF0368" w:rsidRPr="00CC4D84" w:rsidRDefault="00CF0368" w:rsidP="00CF0368">
            <w:pPr>
              <w:widowControl w:val="0"/>
              <w:jc w:val="both"/>
              <w:rPr>
                <w:b/>
                <w:sz w:val="20"/>
                <w:szCs w:val="20"/>
                <w:u w:val="single"/>
                <w:lang w:val="fr-CA"/>
              </w:rPr>
            </w:pPr>
            <w:r w:rsidRPr="00CC4D84">
              <w:rPr>
                <w:b/>
                <w:sz w:val="20"/>
                <w:szCs w:val="20"/>
                <w:u w:val="single"/>
                <w:lang w:val="fr-CA"/>
              </w:rPr>
              <w:t>Nature de la cause :</w:t>
            </w:r>
          </w:p>
          <w:p w:rsidR="00CF0368" w:rsidRPr="00C1697B" w:rsidRDefault="00CF0368" w:rsidP="00CF0368">
            <w:pPr>
              <w:widowControl w:val="0"/>
              <w:jc w:val="both"/>
              <w:rPr>
                <w:sz w:val="20"/>
                <w:szCs w:val="20"/>
                <w:lang w:val="fr-CA"/>
              </w:rPr>
            </w:pPr>
          </w:p>
          <w:p w:rsidR="00CF0368" w:rsidRPr="00C1697B" w:rsidRDefault="00A54194" w:rsidP="00CF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A072BA">
              <w:rPr>
                <w:sz w:val="20"/>
                <w:szCs w:val="20"/>
                <w:lang w:val="fr-CA"/>
              </w:rPr>
              <w:t>Droit criminel - Moyens de défense - Provocation - Exposé au jury - Le juge du procès a-t-il donné des directives erronées au jury quant à savoir si la défense de provocation prévue par la loi s’applique à la preuve relative à l’état d’esprit de l’intimé lorsqu’il s’agit de déterminer si le ministère public a établi que l’accusé avait l’intention requise pour commettre le meurtre?</w:t>
            </w:r>
          </w:p>
        </w:tc>
      </w:tr>
    </w:tbl>
    <w:p w:rsidR="00CF0368" w:rsidRDefault="00CF0368" w:rsidP="00CF0368">
      <w:pPr>
        <w:widowControl w:val="0"/>
        <w:rPr>
          <w:sz w:val="20"/>
          <w:szCs w:val="20"/>
          <w:lang w:val="fr-CA"/>
        </w:rPr>
      </w:pPr>
    </w:p>
    <w:p w:rsidR="00CF0368" w:rsidRDefault="00237788" w:rsidP="00CF0368">
      <w:pPr>
        <w:widowControl w:val="0"/>
        <w:rPr>
          <w:sz w:val="20"/>
          <w:szCs w:val="20"/>
        </w:rPr>
      </w:pPr>
      <w:r>
        <w:rPr>
          <w:sz w:val="20"/>
          <w:szCs w:val="20"/>
          <w:lang w:val="fr-CA"/>
        </w:rPr>
        <w:pict>
          <v:rect id="_x0000_i1067" style="width:2in;height:1pt" o:hrpct="0" o:hralign="center" o:hrstd="t" o:hrnoshade="t" o:hr="t" fillcolor="black [3213]" stroked="f"/>
        </w:pict>
      </w:r>
    </w:p>
    <w:p w:rsidR="00CF0368" w:rsidRPr="008802EB" w:rsidRDefault="00CF0368" w:rsidP="00CF0368">
      <w:pPr>
        <w:widowControl w:val="0"/>
        <w:rPr>
          <w:sz w:val="20"/>
          <w:szCs w:val="20"/>
        </w:rPr>
      </w:pPr>
    </w:p>
    <w:p w:rsidR="00CF0368" w:rsidRPr="008802EB" w:rsidRDefault="00CF0368" w:rsidP="00CF0368">
      <w:pPr>
        <w:widowControl w:val="0"/>
        <w:rPr>
          <w:sz w:val="20"/>
          <w:szCs w:val="20"/>
        </w:rPr>
      </w:pPr>
      <w:r>
        <w:rPr>
          <w:sz w:val="20"/>
          <w:szCs w:val="20"/>
        </w:rPr>
        <w:t>16</w:t>
      </w:r>
      <w:r w:rsidRPr="008802EB">
        <w:rPr>
          <w:sz w:val="20"/>
          <w:szCs w:val="20"/>
        </w:rPr>
        <w:t>.10.2014</w:t>
      </w:r>
    </w:p>
    <w:p w:rsidR="00CF0368" w:rsidRPr="008802EB" w:rsidRDefault="00CF0368" w:rsidP="00CF0368">
      <w:pPr>
        <w:widowControl w:val="0"/>
        <w:rPr>
          <w:sz w:val="20"/>
          <w:szCs w:val="20"/>
        </w:rPr>
      </w:pPr>
    </w:p>
    <w:p w:rsidR="00CE1123" w:rsidRDefault="00CE1123" w:rsidP="00CE1123">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 xml:space="preserve">Abella, Cromwell, Moldaver, Wagner and Gascon </w:t>
      </w:r>
      <w:r w:rsidRPr="00C50A5C">
        <w:rPr>
          <w:sz w:val="20"/>
          <w:szCs w:val="20"/>
          <w:u w:val="single"/>
        </w:rPr>
        <w:t>JJ.</w:t>
      </w:r>
      <w:r w:rsidRPr="00C50A5C">
        <w:rPr>
          <w:sz w:val="20"/>
          <w:szCs w:val="20"/>
        </w:rPr>
        <w:t xml:space="preserve"> </w:t>
      </w:r>
    </w:p>
    <w:p w:rsidR="00CF0368" w:rsidRPr="008802EB" w:rsidRDefault="00CF0368" w:rsidP="00CF0368">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F0368" w:rsidRPr="008802EB" w:rsidTr="00CF0368">
        <w:tc>
          <w:tcPr>
            <w:tcW w:w="4380" w:type="dxa"/>
            <w:tcMar>
              <w:left w:w="0" w:type="dxa"/>
              <w:right w:w="0" w:type="dxa"/>
            </w:tcMar>
          </w:tcPr>
          <w:p w:rsidR="00C07506" w:rsidRDefault="00C07506" w:rsidP="00C07506">
            <w:pPr>
              <w:rPr>
                <w:rFonts w:eastAsia="Calibri"/>
                <w:b/>
                <w:iCs/>
                <w:sz w:val="20"/>
                <w:szCs w:val="20"/>
              </w:rPr>
            </w:pPr>
            <w:r w:rsidRPr="009541B9">
              <w:rPr>
                <w:rFonts w:eastAsia="Calibri"/>
                <w:b/>
                <w:iCs/>
                <w:sz w:val="20"/>
                <w:szCs w:val="20"/>
              </w:rPr>
              <w:t xml:space="preserve">Vernon Lepine </w:t>
            </w:r>
          </w:p>
          <w:p w:rsidR="00C07506" w:rsidRDefault="00C07506" w:rsidP="00C07506">
            <w:pPr>
              <w:rPr>
                <w:rFonts w:eastAsia="Calibri"/>
                <w:b/>
                <w:iCs/>
                <w:sz w:val="20"/>
                <w:szCs w:val="20"/>
              </w:rPr>
            </w:pPr>
          </w:p>
          <w:p w:rsidR="00C07506" w:rsidRDefault="00C07506" w:rsidP="00C07506">
            <w:pPr>
              <w:rPr>
                <w:rFonts w:eastAsia="Calibri"/>
                <w:iCs/>
                <w:sz w:val="20"/>
                <w:szCs w:val="20"/>
              </w:rPr>
            </w:pPr>
            <w:r>
              <w:rPr>
                <w:rFonts w:eastAsia="Calibri"/>
                <w:b/>
                <w:iCs/>
                <w:sz w:val="20"/>
                <w:szCs w:val="20"/>
              </w:rPr>
              <w:tab/>
            </w:r>
            <w:r w:rsidRPr="009541B9">
              <w:rPr>
                <w:rFonts w:eastAsia="Calibri"/>
                <w:b/>
                <w:iCs/>
                <w:sz w:val="20"/>
                <w:szCs w:val="20"/>
              </w:rPr>
              <w:t xml:space="preserve">v. </w:t>
            </w:r>
            <w:r w:rsidRPr="009541B9">
              <w:rPr>
                <w:rFonts w:eastAsia="Calibri"/>
                <w:iCs/>
                <w:sz w:val="20"/>
                <w:szCs w:val="20"/>
              </w:rPr>
              <w:t>(</w:t>
            </w:r>
            <w:hyperlink r:id="rId49" w:history="1">
              <w:r w:rsidRPr="009541B9">
                <w:rPr>
                  <w:rStyle w:val="Hyperlink"/>
                  <w:rFonts w:eastAsia="Calibri"/>
                  <w:iCs/>
                  <w:sz w:val="20"/>
                  <w:szCs w:val="20"/>
                </w:rPr>
                <w:t>35665</w:t>
              </w:r>
            </w:hyperlink>
            <w:r w:rsidRPr="009541B9">
              <w:rPr>
                <w:rFonts w:eastAsia="Calibri"/>
                <w:iCs/>
                <w:sz w:val="20"/>
                <w:szCs w:val="20"/>
              </w:rPr>
              <w:t>)</w:t>
            </w:r>
          </w:p>
          <w:p w:rsidR="00C07506" w:rsidRDefault="00C07506" w:rsidP="00C07506">
            <w:pPr>
              <w:rPr>
                <w:rFonts w:eastAsia="Calibri"/>
                <w:b/>
                <w:iCs/>
                <w:sz w:val="20"/>
                <w:szCs w:val="20"/>
              </w:rPr>
            </w:pPr>
          </w:p>
          <w:p w:rsidR="00CF0368" w:rsidRPr="008802EB" w:rsidRDefault="00C07506" w:rsidP="00C07506">
            <w:pPr>
              <w:rPr>
                <w:sz w:val="20"/>
                <w:szCs w:val="20"/>
              </w:rPr>
            </w:pPr>
            <w:r w:rsidRPr="009541B9">
              <w:rPr>
                <w:rFonts w:eastAsia="Calibri"/>
                <w:b/>
                <w:iCs/>
                <w:sz w:val="20"/>
                <w:szCs w:val="20"/>
              </w:rPr>
              <w:t>Her Majesty the Queen</w:t>
            </w:r>
            <w:r w:rsidRPr="009541B9">
              <w:rPr>
                <w:rFonts w:eastAsia="Calibri"/>
                <w:iCs/>
                <w:sz w:val="20"/>
                <w:szCs w:val="20"/>
              </w:rPr>
              <w:t xml:space="preserve"> </w:t>
            </w:r>
            <w:r w:rsidRPr="00C07506">
              <w:rPr>
                <w:rFonts w:eastAsia="Calibri"/>
                <w:b/>
                <w:iCs/>
                <w:sz w:val="20"/>
                <w:szCs w:val="20"/>
              </w:rPr>
              <w:t>(N.W.T.) (Criminal) (As of Right)</w:t>
            </w:r>
            <w:r w:rsidRPr="009541B9">
              <w:rPr>
                <w:rFonts w:eastAsia="Calibri"/>
                <w:iCs/>
                <w:sz w:val="20"/>
                <w:szCs w:val="20"/>
              </w:rPr>
              <w:t xml:space="preserve"> </w:t>
            </w:r>
          </w:p>
        </w:tc>
        <w:tc>
          <w:tcPr>
            <w:tcW w:w="720" w:type="dxa"/>
            <w:tcMar>
              <w:left w:w="0" w:type="dxa"/>
              <w:right w:w="0" w:type="dxa"/>
            </w:tcMar>
          </w:tcPr>
          <w:p w:rsidR="00CF0368" w:rsidRPr="008802EB" w:rsidRDefault="00CF0368" w:rsidP="00CF0368">
            <w:pPr>
              <w:widowControl w:val="0"/>
              <w:jc w:val="center"/>
              <w:rPr>
                <w:sz w:val="20"/>
                <w:szCs w:val="20"/>
              </w:rPr>
            </w:pPr>
          </w:p>
        </w:tc>
        <w:tc>
          <w:tcPr>
            <w:tcW w:w="4380" w:type="dxa"/>
            <w:tcMar>
              <w:left w:w="0" w:type="dxa"/>
              <w:right w:w="0" w:type="dxa"/>
            </w:tcMar>
          </w:tcPr>
          <w:p w:rsidR="00505BD2" w:rsidRPr="00F576A2" w:rsidRDefault="00505BD2" w:rsidP="00505BD2">
            <w:pPr>
              <w:jc w:val="both"/>
              <w:rPr>
                <w:sz w:val="20"/>
                <w:szCs w:val="20"/>
              </w:rPr>
            </w:pPr>
            <w:r w:rsidRPr="00F576A2">
              <w:rPr>
                <w:sz w:val="20"/>
                <w:szCs w:val="20"/>
              </w:rPr>
              <w:t>Adam Y. Karbani</w:t>
            </w:r>
            <w:r w:rsidRPr="00F576A2">
              <w:rPr>
                <w:sz w:val="20"/>
                <w:szCs w:val="20"/>
              </w:rPr>
              <w:tab/>
            </w:r>
            <w:r>
              <w:rPr>
                <w:sz w:val="20"/>
                <w:szCs w:val="20"/>
              </w:rPr>
              <w:t xml:space="preserve"> f</w:t>
            </w:r>
            <w:r w:rsidRPr="00F576A2">
              <w:rPr>
                <w:sz w:val="20"/>
                <w:szCs w:val="20"/>
              </w:rPr>
              <w:t xml:space="preserve">or the </w:t>
            </w:r>
            <w:r>
              <w:rPr>
                <w:sz w:val="20"/>
                <w:szCs w:val="20"/>
              </w:rPr>
              <w:t>a</w:t>
            </w:r>
            <w:r w:rsidRPr="00F576A2">
              <w:rPr>
                <w:sz w:val="20"/>
                <w:szCs w:val="20"/>
              </w:rPr>
              <w:t>ppellant.</w:t>
            </w:r>
          </w:p>
          <w:p w:rsidR="00505BD2" w:rsidRPr="00F576A2" w:rsidRDefault="00505BD2" w:rsidP="00505BD2">
            <w:pPr>
              <w:jc w:val="both"/>
              <w:rPr>
                <w:sz w:val="20"/>
                <w:szCs w:val="20"/>
              </w:rPr>
            </w:pPr>
          </w:p>
          <w:p w:rsidR="00CF0368" w:rsidRPr="008802EB" w:rsidRDefault="00505BD2" w:rsidP="00505BD2">
            <w:pPr>
              <w:widowControl w:val="0"/>
              <w:jc w:val="both"/>
              <w:rPr>
                <w:sz w:val="20"/>
                <w:szCs w:val="20"/>
              </w:rPr>
            </w:pPr>
            <w:r w:rsidRPr="00F576A2">
              <w:rPr>
                <w:sz w:val="20"/>
                <w:szCs w:val="20"/>
              </w:rPr>
              <w:t>Nicholas E. Devlin</w:t>
            </w:r>
            <w:r>
              <w:rPr>
                <w:sz w:val="20"/>
                <w:szCs w:val="20"/>
              </w:rPr>
              <w:t xml:space="preserve"> and </w:t>
            </w:r>
            <w:r w:rsidRPr="00F576A2">
              <w:rPr>
                <w:sz w:val="20"/>
                <w:szCs w:val="20"/>
              </w:rPr>
              <w:t>Blair MacPherson</w:t>
            </w:r>
            <w:r>
              <w:rPr>
                <w:sz w:val="20"/>
                <w:szCs w:val="20"/>
              </w:rPr>
              <w:t xml:space="preserve"> f</w:t>
            </w:r>
            <w:r w:rsidRPr="00F576A2">
              <w:rPr>
                <w:sz w:val="20"/>
                <w:szCs w:val="20"/>
              </w:rPr>
              <w:t xml:space="preserve">or the </w:t>
            </w:r>
            <w:r>
              <w:rPr>
                <w:sz w:val="20"/>
                <w:szCs w:val="20"/>
              </w:rPr>
              <w:t>r</w:t>
            </w:r>
            <w:r w:rsidRPr="00F576A2">
              <w:rPr>
                <w:sz w:val="20"/>
                <w:szCs w:val="20"/>
              </w:rPr>
              <w:t>espondent</w:t>
            </w:r>
            <w:r>
              <w:rPr>
                <w:sz w:val="20"/>
                <w:szCs w:val="20"/>
              </w:rPr>
              <w:t>.</w:t>
            </w:r>
          </w:p>
        </w:tc>
      </w:tr>
    </w:tbl>
    <w:p w:rsidR="00CF0368" w:rsidRPr="008802EB" w:rsidRDefault="00CF0368" w:rsidP="00CF0368">
      <w:pPr>
        <w:widowControl w:val="0"/>
        <w:rPr>
          <w:sz w:val="20"/>
          <w:szCs w:val="20"/>
        </w:rPr>
      </w:pPr>
    </w:p>
    <w:p w:rsidR="00C07506" w:rsidRPr="009541B9" w:rsidRDefault="00C07506" w:rsidP="00C07506">
      <w:pPr>
        <w:rPr>
          <w:rFonts w:eastAsia="Calibri"/>
          <w:b/>
          <w:iCs/>
          <w:sz w:val="20"/>
          <w:szCs w:val="20"/>
        </w:rPr>
      </w:pPr>
      <w:r w:rsidRPr="009541B9">
        <w:rPr>
          <w:rFonts w:eastAsia="Calibri"/>
          <w:b/>
          <w:iCs/>
          <w:sz w:val="20"/>
          <w:szCs w:val="20"/>
        </w:rPr>
        <w:t>2014 SCC 65 / 2014 CSC 65</w:t>
      </w:r>
    </w:p>
    <w:p w:rsidR="00C07506" w:rsidRPr="00C07506" w:rsidRDefault="00C07506" w:rsidP="00C07506">
      <w:pPr>
        <w:widowControl w:val="0"/>
        <w:tabs>
          <w:tab w:val="left" w:pos="720"/>
          <w:tab w:val="left" w:pos="1440"/>
          <w:tab w:val="left" w:pos="2851"/>
          <w:tab w:val="left" w:pos="4320"/>
          <w:tab w:val="left" w:pos="10224"/>
          <w:tab w:val="left" w:pos="11376"/>
        </w:tabs>
        <w:rPr>
          <w:sz w:val="20"/>
          <w:szCs w:val="20"/>
        </w:rPr>
      </w:pPr>
    </w:p>
    <w:p w:rsidR="00C07506" w:rsidRPr="009541B9" w:rsidRDefault="00C07506" w:rsidP="00C07506">
      <w:pPr>
        <w:widowControl w:val="0"/>
        <w:tabs>
          <w:tab w:val="left" w:pos="720"/>
          <w:tab w:val="left" w:pos="1440"/>
          <w:tab w:val="left" w:pos="2851"/>
          <w:tab w:val="left" w:pos="4320"/>
          <w:tab w:val="left" w:pos="10224"/>
          <w:tab w:val="left" w:pos="11376"/>
        </w:tabs>
        <w:rPr>
          <w:b/>
          <w:sz w:val="20"/>
          <w:szCs w:val="20"/>
        </w:rPr>
      </w:pPr>
      <w:r w:rsidRPr="009541B9">
        <w:rPr>
          <w:b/>
          <w:sz w:val="20"/>
          <w:szCs w:val="20"/>
        </w:rPr>
        <w:t>DISMISSED / REJETÉ</w:t>
      </w:r>
    </w:p>
    <w:p w:rsidR="00CF0368" w:rsidRDefault="00CF0368" w:rsidP="00CF0368"/>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F0368" w:rsidRPr="00237788" w:rsidTr="00CF0368">
        <w:tc>
          <w:tcPr>
            <w:tcW w:w="4380" w:type="dxa"/>
            <w:tcMar>
              <w:left w:w="0" w:type="dxa"/>
              <w:right w:w="0" w:type="dxa"/>
            </w:tcMar>
          </w:tcPr>
          <w:p w:rsidR="00CF0368" w:rsidRPr="00CC4D84" w:rsidRDefault="00CF0368" w:rsidP="00CF0368">
            <w:pPr>
              <w:widowControl w:val="0"/>
              <w:jc w:val="both"/>
              <w:rPr>
                <w:b/>
                <w:sz w:val="20"/>
                <w:szCs w:val="20"/>
                <w:u w:val="single"/>
              </w:rPr>
            </w:pPr>
            <w:r w:rsidRPr="00CC4D84">
              <w:rPr>
                <w:b/>
                <w:sz w:val="20"/>
                <w:szCs w:val="20"/>
                <w:u w:val="single"/>
              </w:rPr>
              <w:t>Nature of the case:</w:t>
            </w:r>
          </w:p>
          <w:p w:rsidR="00CF0368" w:rsidRPr="001A663B" w:rsidRDefault="00CF0368" w:rsidP="00CF0368">
            <w:pPr>
              <w:widowControl w:val="0"/>
              <w:jc w:val="both"/>
              <w:rPr>
                <w:b/>
                <w:sz w:val="20"/>
                <w:szCs w:val="20"/>
              </w:rPr>
            </w:pPr>
          </w:p>
          <w:p w:rsidR="00A54194" w:rsidRPr="001A2931" w:rsidRDefault="00A54194" w:rsidP="00A54194">
            <w:pPr>
              <w:widowControl w:val="0"/>
              <w:jc w:val="both"/>
              <w:rPr>
                <w:smallCaps/>
                <w:sz w:val="20"/>
                <w:szCs w:val="20"/>
              </w:rPr>
            </w:pPr>
            <w:r w:rsidRPr="001A2931">
              <w:rPr>
                <w:smallCaps/>
                <w:sz w:val="20"/>
                <w:szCs w:val="20"/>
              </w:rPr>
              <w:t>(Publication Ban in Case)</w:t>
            </w:r>
          </w:p>
          <w:p w:rsidR="00A54194" w:rsidRDefault="00A54194" w:rsidP="00A54194">
            <w:pPr>
              <w:widowControl w:val="0"/>
              <w:jc w:val="both"/>
              <w:rPr>
                <w:sz w:val="20"/>
                <w:szCs w:val="20"/>
              </w:rPr>
            </w:pPr>
          </w:p>
          <w:p w:rsidR="00A1791A" w:rsidRPr="001A2931" w:rsidRDefault="00A1791A" w:rsidP="00A54194">
            <w:pPr>
              <w:widowControl w:val="0"/>
              <w:jc w:val="both"/>
              <w:rPr>
                <w:sz w:val="20"/>
                <w:szCs w:val="20"/>
              </w:rPr>
            </w:pPr>
          </w:p>
          <w:p w:rsidR="00CF0368" w:rsidRPr="00C1697B" w:rsidRDefault="00A54194" w:rsidP="00A54194">
            <w:pPr>
              <w:tabs>
                <w:tab w:val="left" w:pos="4320"/>
              </w:tabs>
              <w:jc w:val="both"/>
              <w:rPr>
                <w:b/>
                <w:sz w:val="20"/>
                <w:szCs w:val="20"/>
              </w:rPr>
            </w:pPr>
            <w:r w:rsidRPr="001A2931">
              <w:rPr>
                <w:sz w:val="20"/>
                <w:szCs w:val="20"/>
              </w:rPr>
              <w:t xml:space="preserve">Criminal law - Trial - Jury questions - Charge to jury - Whether the Court of Appeal erred in law by ruling that a verdict is safe where a trial judge fails to provide a response to a question posed by a jury post-evidence but prior to final addresses by counsel and the final charge - Whether the Court of Appeal erred in law by ruling that a standard </w:t>
            </w:r>
            <w:r w:rsidRPr="001A2931">
              <w:rPr>
                <w:i/>
                <w:sz w:val="20"/>
                <w:szCs w:val="20"/>
              </w:rPr>
              <w:t>R. v. W.(D.)</w:t>
            </w:r>
            <w:r w:rsidRPr="001A2931">
              <w:rPr>
                <w:sz w:val="20"/>
                <w:szCs w:val="20"/>
              </w:rPr>
              <w:t>, [1991] 1 S.C.R. 742, instruction in the final charge is sufficient to answer a question posed by a jury post-evidence but prior to final addresses by counsel and the final charge.</w:t>
            </w:r>
          </w:p>
        </w:tc>
        <w:tc>
          <w:tcPr>
            <w:tcW w:w="720" w:type="dxa"/>
            <w:tcMar>
              <w:left w:w="0" w:type="dxa"/>
              <w:right w:w="0" w:type="dxa"/>
            </w:tcMar>
          </w:tcPr>
          <w:p w:rsidR="00CF0368" w:rsidRPr="00C1697B" w:rsidRDefault="00CF0368" w:rsidP="00CF0368">
            <w:pPr>
              <w:widowControl w:val="0"/>
              <w:jc w:val="center"/>
              <w:rPr>
                <w:sz w:val="20"/>
                <w:szCs w:val="20"/>
              </w:rPr>
            </w:pPr>
          </w:p>
        </w:tc>
        <w:tc>
          <w:tcPr>
            <w:tcW w:w="4380" w:type="dxa"/>
            <w:tcMar>
              <w:left w:w="0" w:type="dxa"/>
              <w:right w:w="0" w:type="dxa"/>
            </w:tcMar>
          </w:tcPr>
          <w:p w:rsidR="00CF0368" w:rsidRPr="00CC4D84" w:rsidRDefault="00CF0368" w:rsidP="00CF0368">
            <w:pPr>
              <w:widowControl w:val="0"/>
              <w:jc w:val="both"/>
              <w:rPr>
                <w:b/>
                <w:sz w:val="20"/>
                <w:szCs w:val="20"/>
                <w:u w:val="single"/>
                <w:lang w:val="fr-CA"/>
              </w:rPr>
            </w:pPr>
            <w:r w:rsidRPr="00CC4D84">
              <w:rPr>
                <w:b/>
                <w:sz w:val="20"/>
                <w:szCs w:val="20"/>
                <w:u w:val="single"/>
                <w:lang w:val="fr-CA"/>
              </w:rPr>
              <w:t>Nature de la cause :</w:t>
            </w:r>
          </w:p>
          <w:p w:rsidR="00CF0368" w:rsidRPr="00C1697B" w:rsidRDefault="00CF0368" w:rsidP="00CF0368">
            <w:pPr>
              <w:widowControl w:val="0"/>
              <w:jc w:val="both"/>
              <w:rPr>
                <w:sz w:val="20"/>
                <w:szCs w:val="20"/>
                <w:lang w:val="fr-CA"/>
              </w:rPr>
            </w:pPr>
          </w:p>
          <w:p w:rsidR="00A54194" w:rsidRPr="00BA7581" w:rsidRDefault="00A54194" w:rsidP="00A54194">
            <w:pPr>
              <w:widowControl w:val="0"/>
              <w:jc w:val="both"/>
              <w:rPr>
                <w:smallCaps/>
                <w:sz w:val="20"/>
                <w:szCs w:val="20"/>
                <w:lang w:val="fr-CA"/>
              </w:rPr>
            </w:pPr>
            <w:r w:rsidRPr="00BA7581">
              <w:rPr>
                <w:smallCaps/>
                <w:sz w:val="20"/>
                <w:szCs w:val="20"/>
                <w:lang w:val="fr-CA"/>
              </w:rPr>
              <w:t>(</w:t>
            </w:r>
            <w:r>
              <w:rPr>
                <w:smallCaps/>
                <w:sz w:val="20"/>
                <w:lang w:val="fr-CA"/>
              </w:rPr>
              <w:t>O</w:t>
            </w:r>
            <w:r w:rsidRPr="00BA7581">
              <w:rPr>
                <w:smallCaps/>
                <w:sz w:val="20"/>
                <w:szCs w:val="20"/>
                <w:lang w:val="fr-CA"/>
              </w:rPr>
              <w:t>rdonnance de non-publication dans le dossier)</w:t>
            </w:r>
          </w:p>
          <w:p w:rsidR="00A54194" w:rsidRPr="00BA7581" w:rsidRDefault="00A54194" w:rsidP="00A54194">
            <w:pPr>
              <w:widowControl w:val="0"/>
              <w:jc w:val="both"/>
              <w:rPr>
                <w:sz w:val="20"/>
                <w:szCs w:val="20"/>
                <w:lang w:val="fr-CA"/>
              </w:rPr>
            </w:pPr>
          </w:p>
          <w:p w:rsidR="00CF0368" w:rsidRPr="00C1697B" w:rsidRDefault="00A54194" w:rsidP="00A541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lang w:val="fr-CA"/>
              </w:rPr>
            </w:pPr>
            <w:r w:rsidRPr="00BA7581">
              <w:rPr>
                <w:sz w:val="20"/>
                <w:szCs w:val="20"/>
                <w:lang w:val="fr-CA"/>
              </w:rPr>
              <w:t xml:space="preserve">Droit criminel - Procès - Questions du jury - Exposé au jury - La Cour d’appel a-t-elle commis une erreur de droit en statuant qu’un verdict est sûr dans un cas où le juge du procès omet de répondre à une question posée par le jury après la clôture de la preuve mais avant les plaidoiries finales des avocats et avant l’exposé final? - La Cour d’appel a-t-elle commis une erreur de droit en statuant qu’une directive habituelle donnée conformément à l’arrêt </w:t>
            </w:r>
            <w:r w:rsidRPr="00BA7581">
              <w:rPr>
                <w:i/>
                <w:sz w:val="20"/>
                <w:szCs w:val="20"/>
                <w:lang w:val="fr-CA"/>
              </w:rPr>
              <w:t>R. c. W.(D.)</w:t>
            </w:r>
            <w:r w:rsidRPr="00BA7581">
              <w:rPr>
                <w:sz w:val="20"/>
                <w:szCs w:val="20"/>
                <w:lang w:val="fr-CA"/>
              </w:rPr>
              <w:t>, [1991] 1 R.C.S. 742 dans l’exposé final est suffisante pour répondre à une question posée par un jury après la clôture de la preuve mais avant les plaidoiries finales des avocats et avant l’exposé final?</w:t>
            </w:r>
          </w:p>
        </w:tc>
      </w:tr>
    </w:tbl>
    <w:p w:rsidR="00CF0368" w:rsidRDefault="00CF0368" w:rsidP="00CF0368">
      <w:pPr>
        <w:widowControl w:val="0"/>
        <w:rPr>
          <w:sz w:val="20"/>
          <w:szCs w:val="20"/>
          <w:lang w:val="fr-CA"/>
        </w:rPr>
      </w:pPr>
    </w:p>
    <w:p w:rsidR="00CF0368" w:rsidRDefault="00237788" w:rsidP="00CF0368">
      <w:pPr>
        <w:widowControl w:val="0"/>
        <w:rPr>
          <w:sz w:val="20"/>
          <w:szCs w:val="20"/>
        </w:rPr>
      </w:pPr>
      <w:r>
        <w:rPr>
          <w:sz w:val="20"/>
          <w:szCs w:val="20"/>
          <w:lang w:val="fr-CA"/>
        </w:rPr>
        <w:pict>
          <v:rect id="_x0000_i1068" style="width:2in;height:1pt" o:hrpct="0" o:hralign="center" o:hrstd="t" o:hrnoshade="t" o:hr="t" fillcolor="black [3213]" stroked="f"/>
        </w:pict>
      </w:r>
    </w:p>
    <w:p w:rsidR="00CF0368" w:rsidRPr="008802EB" w:rsidRDefault="00CF0368" w:rsidP="00CF0368">
      <w:pPr>
        <w:widowControl w:val="0"/>
        <w:rPr>
          <w:sz w:val="20"/>
          <w:szCs w:val="20"/>
        </w:rPr>
      </w:pPr>
    </w:p>
    <w:p w:rsidR="00EC4319" w:rsidRDefault="00EC4319" w:rsidP="007C47C2">
      <w:pPr>
        <w:widowControl w:val="0"/>
        <w:rPr>
          <w:sz w:val="20"/>
          <w:szCs w:val="20"/>
          <w:lang w:val="fr-CA"/>
        </w:rPr>
      </w:pPr>
    </w:p>
    <w:p w:rsidR="002A27D1" w:rsidRDefault="002A27D1" w:rsidP="002A27D1">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23778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B274D8" w:rsidP="0052229C">
      <w:pPr>
        <w:rPr>
          <w:b/>
          <w:sz w:val="20"/>
          <w:szCs w:val="20"/>
          <w:lang w:val="fr-CA"/>
        </w:rPr>
      </w:pPr>
      <w:r>
        <w:rPr>
          <w:b/>
          <w:sz w:val="20"/>
          <w:szCs w:val="20"/>
          <w:lang w:val="fr-CA"/>
        </w:rPr>
        <w:t>OCTOBE</w:t>
      </w:r>
      <w:r w:rsidR="0052229C" w:rsidRPr="00C42C54">
        <w:rPr>
          <w:b/>
          <w:sz w:val="20"/>
          <w:szCs w:val="20"/>
          <w:lang w:val="fr-CA"/>
        </w:rPr>
        <w:t>R 1</w:t>
      </w:r>
      <w:r>
        <w:rPr>
          <w:b/>
          <w:sz w:val="20"/>
          <w:szCs w:val="20"/>
          <w:lang w:val="fr-CA"/>
        </w:rPr>
        <w:t>7</w:t>
      </w:r>
      <w:r w:rsidR="0052229C" w:rsidRPr="00C42C54">
        <w:rPr>
          <w:b/>
          <w:sz w:val="20"/>
          <w:szCs w:val="20"/>
          <w:lang w:val="fr-CA"/>
        </w:rPr>
        <w:t>, 2014 / LE 1</w:t>
      </w:r>
      <w:r>
        <w:rPr>
          <w:b/>
          <w:sz w:val="20"/>
          <w:szCs w:val="20"/>
          <w:lang w:val="fr-CA"/>
        </w:rPr>
        <w:t>7</w:t>
      </w:r>
      <w:r w:rsidR="0052229C" w:rsidRPr="00C42C54">
        <w:rPr>
          <w:b/>
          <w:sz w:val="20"/>
          <w:szCs w:val="20"/>
          <w:lang w:val="fr-CA"/>
        </w:rPr>
        <w:t xml:space="preserve"> </w:t>
      </w:r>
      <w:r>
        <w:rPr>
          <w:b/>
          <w:sz w:val="20"/>
          <w:szCs w:val="20"/>
          <w:lang w:val="fr-CA"/>
        </w:rPr>
        <w:t>OCTOB</w:t>
      </w:r>
      <w:r w:rsidR="0052229C" w:rsidRPr="00C42C54">
        <w:rPr>
          <w:b/>
          <w:sz w:val="20"/>
          <w:szCs w:val="20"/>
          <w:lang w:val="fr-CA"/>
        </w:rPr>
        <w:t>R</w:t>
      </w:r>
      <w:r>
        <w:rPr>
          <w:b/>
          <w:sz w:val="20"/>
          <w:szCs w:val="20"/>
          <w:lang w:val="fr-CA"/>
        </w:rPr>
        <w:t>E</w:t>
      </w:r>
      <w:r w:rsidR="0052229C" w:rsidRPr="00C42C54">
        <w:rPr>
          <w:b/>
          <w:sz w:val="20"/>
          <w:szCs w:val="20"/>
          <w:lang w:val="fr-CA"/>
        </w:rPr>
        <w:t xml:space="preserve"> 2014</w:t>
      </w:r>
    </w:p>
    <w:p w:rsidR="0052229C" w:rsidRDefault="0052229C" w:rsidP="0052229C">
      <w:pPr>
        <w:rPr>
          <w:sz w:val="20"/>
          <w:szCs w:val="20"/>
          <w:lang w:val="fr-CA"/>
        </w:rPr>
      </w:pPr>
    </w:p>
    <w:p w:rsidR="00E50A36" w:rsidRPr="002006F9" w:rsidRDefault="00E50A36" w:rsidP="00E50A36">
      <w:pPr>
        <w:ind w:left="1440" w:hanging="1440"/>
        <w:jc w:val="both"/>
        <w:rPr>
          <w:sz w:val="20"/>
          <w:lang w:val="fr-CA"/>
        </w:rPr>
      </w:pPr>
      <w:r w:rsidRPr="005C722A">
        <w:rPr>
          <w:b/>
          <w:sz w:val="20"/>
        </w:rPr>
        <w:fldChar w:fldCharType="begin"/>
      </w:r>
      <w:r w:rsidRPr="002006F9">
        <w:rPr>
          <w:b/>
          <w:sz w:val="20"/>
          <w:lang w:val="fr-CA"/>
        </w:rPr>
        <w:instrText xml:space="preserve"> SEQ CHAPTER \h \r 1</w:instrText>
      </w:r>
      <w:r w:rsidRPr="005C722A">
        <w:rPr>
          <w:b/>
          <w:sz w:val="20"/>
        </w:rPr>
        <w:fldChar w:fldCharType="end"/>
      </w:r>
      <w:r w:rsidRPr="002006F9">
        <w:rPr>
          <w:b/>
          <w:sz w:val="20"/>
          <w:lang w:val="fr-CA"/>
        </w:rPr>
        <w:t>35226</w:t>
      </w:r>
      <w:r w:rsidRPr="002006F9">
        <w:rPr>
          <w:sz w:val="20"/>
          <w:lang w:val="fr-CA"/>
        </w:rPr>
        <w:tab/>
      </w:r>
      <w:r w:rsidRPr="002006F9">
        <w:rPr>
          <w:b/>
          <w:sz w:val="20"/>
          <w:u w:val="single"/>
          <w:lang w:val="fr-CA"/>
        </w:rPr>
        <w:t>Pétrolière Impériale c. Simon Jacques, Marcel Lafontaine, Association pour la protection automobile, procureur général du Québec et</w:t>
      </w:r>
      <w:r>
        <w:rPr>
          <w:b/>
          <w:sz w:val="20"/>
          <w:u w:val="single"/>
          <w:lang w:val="fr-CA"/>
        </w:rPr>
        <w:t xml:space="preserve"> </w:t>
      </w:r>
      <w:r w:rsidRPr="002006F9">
        <w:rPr>
          <w:b/>
          <w:sz w:val="20"/>
          <w:u w:val="single"/>
          <w:lang w:val="fr-CA"/>
        </w:rPr>
        <w:t xml:space="preserve">directeur des poursuites pénales du Canada – </w:t>
      </w:r>
      <w:r>
        <w:rPr>
          <w:b/>
          <w:sz w:val="20"/>
          <w:u w:val="single"/>
          <w:lang w:val="fr-CA"/>
        </w:rPr>
        <w:t>et</w:t>
      </w:r>
      <w:r w:rsidRPr="002006F9">
        <w:rPr>
          <w:b/>
          <w:sz w:val="20"/>
          <w:u w:val="single"/>
          <w:lang w:val="fr-CA"/>
        </w:rPr>
        <w:t xml:space="preserve"> – Procureur général de l’Ontario, Couche-Tard inc., Alimentation Couche-Tard inc., Dépan-Escompte Couche-Tard inc., Céline Bonin, Richard Bédard, Carole Aubut, Ultramar ltée, Luc Forget, Jacques Ouellet, Pétroles Therrien inc., Distributions Pétrolières Therrien inc., Pétroles Irving inc./Opérations pétroles Irving ltée, Groupe Pétrolier Olco inc., Coop fédérée, Robert Murphy, Gary Neiderer, 9142-0935 Québec inc., 9131-4716 Québec inc., Groupe Denis Mongeau inc., France Benoît, Richard Michaud, Luc Couturier, Guy Angers, Philippe Gosselin &amp; Associés ltée, André Bilodeau, Carol Lehoux, Claude Bédard, Stéphane Grant, Pétroles Cadrin Inc., Daniel Drouin, Pétroles Global inc./Global Fuels inc., Pétroles Global (Québec) inc./Global Fuels (Quebec) inc., Provigo Distribution inc., Christian Payette, Pierre Bourassa, Daniel Leblond, Dépanneur Magog-Orford inc., 2944-4841 Québec inc., Société coopérative agricole des Bois-Francs, Gestion Astral inc., Lise Delisle, 134553 Canada inc., Garage Luc Fecteau et fils inc., Station-Service Jacques Blais inc., 9029-6815 Québec inc., Garage Jacques Robert inc., Gérald Groulx Station Service inc., Services Autogarde D.D. inc., 9010-1460 Québec inc., Armand Pouliot, Julie Roberge, Station-Service Pouliot et Roberge s.e.n.c., 9038-6095 Québec inc., 9083-0670 Québec inc., Gestion Ghislain Lallier inc., 2429-7822 Québec inc., 2627-3458 Québec inc., 9098-0111 Québec inc., 2311-5959 Québec inc., Gaz-O-Pneus inc., C. Lagrandeur et fils inc., Universy Galt Service inc., Valérie Houde, Sylvie Fréchette, Robert Beaurivage, 9011-4653 Québec inc., Pétroles Remay inc., Variétés Jean-Yves Plourde inc. et</w:t>
      </w:r>
      <w:r>
        <w:rPr>
          <w:b/>
          <w:sz w:val="20"/>
          <w:u w:val="single"/>
          <w:lang w:val="fr-CA"/>
        </w:rPr>
        <w:t xml:space="preserve"> </w:t>
      </w:r>
      <w:r w:rsidRPr="002006F9">
        <w:rPr>
          <w:b/>
          <w:sz w:val="20"/>
          <w:u w:val="single"/>
          <w:lang w:val="fr-CA"/>
        </w:rPr>
        <w:t>9016-8360 Québec inc.</w:t>
      </w:r>
      <w:r w:rsidRPr="002006F9">
        <w:rPr>
          <w:b/>
          <w:sz w:val="20"/>
          <w:lang w:val="fr-CA"/>
        </w:rPr>
        <w:t xml:space="preserve"> </w:t>
      </w:r>
      <w:r w:rsidRPr="002006F9">
        <w:rPr>
          <w:iCs/>
          <w:sz w:val="20"/>
          <w:lang w:val="fr-CA"/>
        </w:rPr>
        <w:t>(Q</w:t>
      </w:r>
      <w:r>
        <w:rPr>
          <w:iCs/>
          <w:sz w:val="20"/>
          <w:lang w:val="fr-CA"/>
        </w:rPr>
        <w:t>c</w:t>
      </w:r>
      <w:r w:rsidRPr="002006F9">
        <w:rPr>
          <w:iCs/>
          <w:sz w:val="20"/>
          <w:lang w:val="fr-CA"/>
        </w:rPr>
        <w:t>)</w:t>
      </w:r>
    </w:p>
    <w:p w:rsidR="00E50A36" w:rsidRPr="002006F9" w:rsidRDefault="00E50A36" w:rsidP="00E50A36">
      <w:pPr>
        <w:tabs>
          <w:tab w:val="left" w:pos="1440"/>
          <w:tab w:val="left" w:pos="2160"/>
          <w:tab w:val="left" w:pos="2880"/>
          <w:tab w:val="left" w:pos="3600"/>
          <w:tab w:val="left" w:pos="4320"/>
          <w:tab w:val="left" w:pos="5040"/>
          <w:tab w:val="left" w:pos="5760"/>
          <w:tab w:val="left" w:pos="6480"/>
          <w:tab w:val="left" w:pos="7200"/>
        </w:tabs>
        <w:ind w:left="1440"/>
        <w:jc w:val="both"/>
        <w:rPr>
          <w:b/>
          <w:sz w:val="20"/>
          <w:lang w:val="fr-CA"/>
        </w:rPr>
      </w:pPr>
      <w:r w:rsidRPr="002006F9">
        <w:rPr>
          <w:b/>
          <w:sz w:val="20"/>
          <w:lang w:val="fr-CA"/>
        </w:rPr>
        <w:t>2014 SCC 66 / 2014 CSC 66</w:t>
      </w:r>
    </w:p>
    <w:p w:rsidR="00E50A36" w:rsidRPr="002006F9" w:rsidRDefault="00E50A36" w:rsidP="00E50A36">
      <w:pPr>
        <w:ind w:left="1440" w:hanging="1440"/>
        <w:rPr>
          <w:sz w:val="20"/>
          <w:lang w:val="fr-CA"/>
        </w:rPr>
      </w:pPr>
    </w:p>
    <w:p w:rsidR="00E50A36" w:rsidRPr="002006F9" w:rsidRDefault="00E50A36" w:rsidP="00E50A36">
      <w:pPr>
        <w:ind w:left="1440" w:hanging="1440"/>
        <w:rPr>
          <w:sz w:val="20"/>
          <w:u w:val="single"/>
          <w:lang w:val="fr-CA"/>
        </w:rPr>
      </w:pPr>
      <w:r w:rsidRPr="002006F9">
        <w:rPr>
          <w:sz w:val="20"/>
          <w:lang w:val="fr-CA"/>
        </w:rPr>
        <w:t>Coram:</w:t>
      </w:r>
      <w:r w:rsidRPr="002006F9">
        <w:rPr>
          <w:sz w:val="20"/>
          <w:lang w:val="fr-CA"/>
        </w:rPr>
        <w:tab/>
      </w:r>
      <w:r w:rsidRPr="002006F9">
        <w:rPr>
          <w:sz w:val="20"/>
          <w:u w:val="single"/>
          <w:lang w:val="fr-CA"/>
        </w:rPr>
        <w:t>La juge en chef McLachlin et les juges LeBel, Abella, Rothstein, Cromwell, Moldaver et Wagner</w:t>
      </w:r>
    </w:p>
    <w:p w:rsidR="00E50A36" w:rsidRPr="002006F9" w:rsidRDefault="00E50A36" w:rsidP="00E50A36">
      <w:pPr>
        <w:ind w:left="1440" w:hanging="1440"/>
        <w:jc w:val="both"/>
        <w:rPr>
          <w:sz w:val="20"/>
          <w:u w:val="single"/>
          <w:lang w:val="fr-CA"/>
        </w:rPr>
      </w:pPr>
    </w:p>
    <w:p w:rsidR="00E50A36" w:rsidRPr="002006F9" w:rsidRDefault="00E50A36" w:rsidP="00E50A36">
      <w:pPr>
        <w:jc w:val="both"/>
        <w:rPr>
          <w:rFonts w:eastAsia="Calibri"/>
          <w:sz w:val="20"/>
        </w:rPr>
      </w:pPr>
      <w:r w:rsidRPr="002006F9">
        <w:rPr>
          <w:rFonts w:eastAsia="Calibri"/>
          <w:sz w:val="20"/>
          <w:lang w:val="fr-CA"/>
        </w:rPr>
        <w:t xml:space="preserve">L’appel interjeté contre l’arrêt de la Cour d’appel du Québec (Québec), numéro 200-09-007781-120, 2012 QCCA 2265, en date du 17 décembre 2012, entendu le 24 avril 2014, est rejeté avec dépens. </w:t>
      </w:r>
      <w:r w:rsidRPr="002006F9">
        <w:rPr>
          <w:rFonts w:eastAsia="Calibri"/>
          <w:sz w:val="20"/>
        </w:rPr>
        <w:t>La juge Abella est dissidente.</w:t>
      </w:r>
    </w:p>
    <w:p w:rsidR="00E50A36" w:rsidRPr="002006F9" w:rsidRDefault="00E50A36" w:rsidP="00E50A36">
      <w:pPr>
        <w:jc w:val="both"/>
        <w:rPr>
          <w:rFonts w:eastAsia="Calibri"/>
          <w:sz w:val="20"/>
        </w:rPr>
      </w:pPr>
    </w:p>
    <w:p w:rsidR="00E50A36" w:rsidRPr="002006F9" w:rsidRDefault="00E50A36" w:rsidP="00E50A36">
      <w:pPr>
        <w:jc w:val="both"/>
        <w:rPr>
          <w:rFonts w:eastAsia="Calibri"/>
          <w:sz w:val="20"/>
          <w:lang w:val="fr-CA"/>
        </w:rPr>
      </w:pPr>
      <w:r w:rsidRPr="002006F9">
        <w:rPr>
          <w:rFonts w:eastAsia="Calibri"/>
          <w:sz w:val="20"/>
        </w:rPr>
        <w:t xml:space="preserve">The appeal from the judgment </w:t>
      </w:r>
      <w:bookmarkStart w:id="2" w:name="BM_1_"/>
      <w:bookmarkEnd w:id="2"/>
      <w:r w:rsidRPr="002006F9">
        <w:rPr>
          <w:rFonts w:eastAsia="Calibri"/>
          <w:sz w:val="20"/>
        </w:rPr>
        <w:t xml:space="preserve">of the Court of Appeal of Quebec (Québec), Number 200-09-007781-120, 2012 QCCA 2265,  dated December 17, 2012, heard on April 24, 2014, is dismissed with costs. </w:t>
      </w:r>
      <w:r w:rsidRPr="002006F9">
        <w:rPr>
          <w:rFonts w:eastAsia="Calibri"/>
          <w:sz w:val="20"/>
          <w:lang w:val="fr-CA"/>
        </w:rPr>
        <w:t>Abella J. is dissenting.</w:t>
      </w:r>
    </w:p>
    <w:p w:rsidR="00E50A36" w:rsidRPr="00CD0159" w:rsidRDefault="00E50A36" w:rsidP="00E50A36">
      <w:pPr>
        <w:widowControl w:val="0"/>
        <w:jc w:val="both"/>
        <w:outlineLvl w:val="0"/>
        <w:rPr>
          <w:sz w:val="20"/>
          <w:lang w:val="fr-CA"/>
        </w:rPr>
      </w:pPr>
    </w:p>
    <w:p w:rsidR="00E50A36" w:rsidRDefault="00237788" w:rsidP="00E50A36">
      <w:pPr>
        <w:widowControl w:val="0"/>
        <w:outlineLvl w:val="0"/>
        <w:rPr>
          <w:rFonts w:cs="Times New Roman"/>
          <w:b/>
          <w:sz w:val="20"/>
          <w:szCs w:val="20"/>
        </w:rPr>
      </w:pPr>
      <w:r>
        <w:rPr>
          <w:rFonts w:cs="Times New Roman"/>
          <w:b/>
          <w:sz w:val="20"/>
          <w:szCs w:val="20"/>
        </w:rPr>
        <w:pict>
          <v:rect id="_x0000_i1071" style="width:144.3pt;height:1pt" o:hrpct="300" o:hralign="center" o:hrstd="t" o:hrnoshade="t" o:hr="t" fillcolor="black [3213]" stroked="f"/>
        </w:pict>
      </w:r>
    </w:p>
    <w:p w:rsidR="00E50A36" w:rsidRDefault="00E50A36" w:rsidP="00E50A36">
      <w:pPr>
        <w:widowControl w:val="0"/>
        <w:outlineLvl w:val="0"/>
        <w:rPr>
          <w:sz w:val="20"/>
          <w:lang w:val="fr-CA"/>
        </w:rPr>
      </w:pPr>
    </w:p>
    <w:p w:rsidR="00E50A36" w:rsidRPr="001A22F7" w:rsidRDefault="00E50A36" w:rsidP="00E50A36">
      <w:pPr>
        <w:ind w:left="1440" w:hanging="1440"/>
        <w:jc w:val="both"/>
        <w:rPr>
          <w:sz w:val="20"/>
          <w:lang w:val="fr-CA"/>
        </w:rPr>
      </w:pPr>
      <w:r w:rsidRPr="005C722A">
        <w:rPr>
          <w:b/>
          <w:sz w:val="20"/>
        </w:rPr>
        <w:fldChar w:fldCharType="begin"/>
      </w:r>
      <w:r w:rsidRPr="001A22F7">
        <w:rPr>
          <w:b/>
          <w:sz w:val="20"/>
          <w:lang w:val="fr-CA"/>
        </w:rPr>
        <w:instrText xml:space="preserve"> SEQ CHAPTER \h \r 1</w:instrText>
      </w:r>
      <w:r w:rsidRPr="005C722A">
        <w:rPr>
          <w:b/>
          <w:sz w:val="20"/>
        </w:rPr>
        <w:fldChar w:fldCharType="end"/>
      </w:r>
      <w:r w:rsidRPr="001A22F7">
        <w:rPr>
          <w:b/>
          <w:sz w:val="20"/>
          <w:lang w:val="fr-CA"/>
        </w:rPr>
        <w:t>35</w:t>
      </w:r>
      <w:r>
        <w:rPr>
          <w:b/>
          <w:sz w:val="20"/>
          <w:lang w:val="fr-CA"/>
        </w:rPr>
        <w:t>231</w:t>
      </w:r>
      <w:r w:rsidRPr="001A22F7">
        <w:rPr>
          <w:sz w:val="20"/>
          <w:lang w:val="fr-CA"/>
        </w:rPr>
        <w:tab/>
      </w:r>
      <w:r w:rsidRPr="002006F9">
        <w:rPr>
          <w:b/>
          <w:sz w:val="20"/>
          <w:u w:val="single"/>
          <w:lang w:val="fr-CA"/>
        </w:rPr>
        <w:t>Couche-Tard inc., Alimentation Couche-Tard inc., Dépan-Escompte Couche-Tard inc., Céline Bonin, Richard Bédard, Ultramar ltée, Pétroles Therrien inc., Distributions Pétrolières Therrien inc, Opérations pétroles Irving ltée, Groupe Pétrolier Olco inc., Coop fédérée, Robert Murphy, Gary Neiderer, 9142-0935 Québec inc., 9131-4716 Québec inc. et</w:t>
      </w:r>
      <w:r>
        <w:rPr>
          <w:b/>
          <w:sz w:val="20"/>
          <w:u w:val="single"/>
          <w:lang w:val="fr-CA"/>
        </w:rPr>
        <w:t xml:space="preserve"> </w:t>
      </w:r>
      <w:r w:rsidRPr="002006F9">
        <w:rPr>
          <w:b/>
          <w:sz w:val="20"/>
          <w:u w:val="single"/>
          <w:lang w:val="fr-CA"/>
        </w:rPr>
        <w:t>Groupe Denis Mongeau inc.</w:t>
      </w:r>
      <w:r>
        <w:rPr>
          <w:b/>
          <w:sz w:val="20"/>
          <w:u w:val="single"/>
          <w:lang w:val="fr-CA"/>
        </w:rPr>
        <w:t xml:space="preserve"> c</w:t>
      </w:r>
      <w:r w:rsidRPr="001A22F7">
        <w:rPr>
          <w:b/>
          <w:sz w:val="20"/>
          <w:u w:val="single"/>
          <w:lang w:val="fr-CA"/>
        </w:rPr>
        <w:t xml:space="preserve">. </w:t>
      </w:r>
      <w:r w:rsidRPr="002006F9">
        <w:rPr>
          <w:b/>
          <w:sz w:val="20"/>
          <w:u w:val="single"/>
          <w:lang w:val="fr-CA"/>
        </w:rPr>
        <w:t xml:space="preserve">Simon Jacques, Marcel Lafontaine, Association pour la protection automobile, procureur général du Québec, directeur des poursuites pénales du Canada, France Benoît, Richard Michaud, Luc Couturier, Guy Angers, Philippe Gosselin &amp; Associés ltée, André Bilodeau, Carol Lehoux, Claude Bédard, Stéphane Grant, Pétroles Cadrin inc., Daniel Drouin, Pétroles Global inc./Global Fuels Inc., Pétroles Global (Québec) inc./Global Fuels (Québec) Inc., Provigo Distribution inc., Christian Payette, Pierre Bourassa, Daniel Leblond, Dépanneur Magog-Orford inc., 2944-4841 Québec inc., Société coopérative agricole des Bois-Francs, Gestion Astral inc., Lise Delisle, 134553 Canada inc., Garage Luc Fecteau et fils inc., Station-Service Jacques Blais inc., 9029-6815 Québec inc, Garage Jacques Robert inc., Gérald Groulx Station-Service inc., Services Autogarde D.D. inc., 9010-1460 Québec inc., Armand Pouliot, Julie Roberge, Station-Service Pouliot et Roberge s.e.n.c., 9038-6095 Québec inc., 9083-0670 </w:t>
      </w:r>
      <w:r w:rsidRPr="002006F9">
        <w:rPr>
          <w:b/>
          <w:sz w:val="20"/>
          <w:u w:val="single"/>
          <w:lang w:val="fr-CA"/>
        </w:rPr>
        <w:lastRenderedPageBreak/>
        <w:t>Québec inc., Gestion Ghislain Lallier inc, 2627-3458 Québec inc., 2429-7822 Québec inc., Universy Galt Service inc., 9098-0111 Québec inc., 2311-5959 Québec inc., Gaz-O-Pneus inc., C. Lagrandeur et fils inc., Valérie Houde, Sylvie Fréchette, Robert Beaurivage, 9011-4653 Québec inc., Pétroles Remay inc., Variétés Jean-Yves Plourde inc., 9016-8360 Québec inc., Carole Aubut, Luc Forget et Jacques Ouellet</w:t>
      </w:r>
      <w:r w:rsidRPr="001A22F7">
        <w:rPr>
          <w:b/>
          <w:sz w:val="20"/>
          <w:u w:val="single"/>
          <w:lang w:val="fr-CA"/>
        </w:rPr>
        <w:t xml:space="preserve"> – </w:t>
      </w:r>
      <w:r>
        <w:rPr>
          <w:b/>
          <w:sz w:val="20"/>
          <w:u w:val="single"/>
          <w:lang w:val="fr-CA"/>
        </w:rPr>
        <w:t>et</w:t>
      </w:r>
      <w:r w:rsidRPr="001A22F7">
        <w:rPr>
          <w:b/>
          <w:sz w:val="20"/>
          <w:u w:val="single"/>
          <w:lang w:val="fr-CA"/>
        </w:rPr>
        <w:t xml:space="preserve"> – </w:t>
      </w:r>
      <w:r w:rsidRPr="00827314">
        <w:rPr>
          <w:b/>
          <w:sz w:val="20"/>
          <w:u w:val="single"/>
          <w:lang w:val="fr-CA"/>
        </w:rPr>
        <w:t>Procureur général de l’Ontario</w:t>
      </w:r>
      <w:r w:rsidRPr="001A22F7">
        <w:rPr>
          <w:b/>
          <w:sz w:val="20"/>
          <w:lang w:val="fr-CA"/>
        </w:rPr>
        <w:t xml:space="preserve"> </w:t>
      </w:r>
      <w:r w:rsidRPr="001A22F7">
        <w:rPr>
          <w:iCs/>
          <w:sz w:val="20"/>
          <w:lang w:val="fr-CA"/>
        </w:rPr>
        <w:t>(Q</w:t>
      </w:r>
      <w:r>
        <w:rPr>
          <w:iCs/>
          <w:sz w:val="20"/>
          <w:lang w:val="fr-CA"/>
        </w:rPr>
        <w:t>c</w:t>
      </w:r>
      <w:r w:rsidRPr="001A22F7">
        <w:rPr>
          <w:iCs/>
          <w:sz w:val="20"/>
          <w:lang w:val="fr-CA"/>
        </w:rPr>
        <w:t>)</w:t>
      </w:r>
    </w:p>
    <w:p w:rsidR="00E50A36" w:rsidRPr="00E50A36" w:rsidRDefault="00E50A36" w:rsidP="00E50A36">
      <w:pPr>
        <w:tabs>
          <w:tab w:val="left" w:pos="1440"/>
          <w:tab w:val="left" w:pos="2160"/>
          <w:tab w:val="left" w:pos="2880"/>
          <w:tab w:val="left" w:pos="3600"/>
          <w:tab w:val="left" w:pos="4320"/>
          <w:tab w:val="left" w:pos="5040"/>
          <w:tab w:val="left" w:pos="5760"/>
          <w:tab w:val="left" w:pos="6480"/>
          <w:tab w:val="left" w:pos="7200"/>
        </w:tabs>
        <w:ind w:left="1440"/>
        <w:jc w:val="both"/>
        <w:rPr>
          <w:b/>
          <w:sz w:val="20"/>
          <w:lang w:val="fr-CA"/>
        </w:rPr>
      </w:pPr>
      <w:r w:rsidRPr="00E50A36">
        <w:rPr>
          <w:b/>
          <w:sz w:val="20"/>
          <w:lang w:val="fr-CA"/>
        </w:rPr>
        <w:t>2014 SCC 66 / 2014 CSC 66</w:t>
      </w:r>
    </w:p>
    <w:p w:rsidR="00E50A36" w:rsidRPr="00E50A36" w:rsidRDefault="00E50A36" w:rsidP="00E50A36">
      <w:pPr>
        <w:ind w:left="1440" w:hanging="1440"/>
        <w:rPr>
          <w:sz w:val="20"/>
          <w:lang w:val="fr-CA"/>
        </w:rPr>
      </w:pPr>
    </w:p>
    <w:p w:rsidR="00E50A36" w:rsidRDefault="00E50A36" w:rsidP="00E50A36">
      <w:pPr>
        <w:ind w:left="1440" w:hanging="1440"/>
        <w:rPr>
          <w:sz w:val="20"/>
          <w:u w:val="single"/>
          <w:lang w:val="fr-CA"/>
        </w:rPr>
      </w:pPr>
      <w:r w:rsidRPr="002006F9">
        <w:rPr>
          <w:sz w:val="20"/>
          <w:lang w:val="fr-CA"/>
        </w:rPr>
        <w:t>Coram:</w:t>
      </w:r>
      <w:r w:rsidRPr="002006F9">
        <w:rPr>
          <w:sz w:val="20"/>
          <w:lang w:val="fr-CA"/>
        </w:rPr>
        <w:tab/>
      </w:r>
      <w:r w:rsidRPr="002006F9">
        <w:rPr>
          <w:sz w:val="20"/>
          <w:u w:val="single"/>
          <w:lang w:val="fr-CA"/>
        </w:rPr>
        <w:t>La juge en chef McLachlin et les juges LeBel, Abella, Rothstein, Cromwell, Moldaver et Wagner</w:t>
      </w:r>
    </w:p>
    <w:p w:rsidR="00E50A36" w:rsidRPr="00827314" w:rsidRDefault="00E50A36" w:rsidP="00E50A36">
      <w:pPr>
        <w:ind w:left="1440" w:hanging="1440"/>
        <w:jc w:val="both"/>
        <w:rPr>
          <w:sz w:val="20"/>
          <w:u w:val="single"/>
          <w:lang w:val="fr-CA"/>
        </w:rPr>
      </w:pPr>
    </w:p>
    <w:p w:rsidR="00E50A36" w:rsidRPr="00827314" w:rsidRDefault="00E50A36" w:rsidP="00E50A36">
      <w:pPr>
        <w:jc w:val="both"/>
        <w:rPr>
          <w:rFonts w:eastAsia="Calibri"/>
          <w:sz w:val="20"/>
        </w:rPr>
      </w:pPr>
      <w:r w:rsidRPr="00827314">
        <w:rPr>
          <w:rFonts w:eastAsia="Calibri"/>
          <w:sz w:val="20"/>
          <w:lang w:val="fr-CA"/>
        </w:rPr>
        <w:t xml:space="preserve">L’appel interjeté contre l’arrêt de la Cour d’appel du Québec (Québec), numéro 200-09-007782-128, 2012 QCCA 2266, en date du 17 décembre 2012, entendu le 24 avril 2014, est rejeté avec dépens. </w:t>
      </w:r>
      <w:r w:rsidRPr="00827314">
        <w:rPr>
          <w:rFonts w:eastAsia="Calibri"/>
          <w:sz w:val="20"/>
        </w:rPr>
        <w:t>La juge Abella est dissidente.</w:t>
      </w:r>
    </w:p>
    <w:p w:rsidR="00E50A36" w:rsidRPr="00827314" w:rsidRDefault="00E50A36" w:rsidP="00E50A36">
      <w:pPr>
        <w:jc w:val="both"/>
        <w:rPr>
          <w:rFonts w:eastAsia="Calibri"/>
          <w:sz w:val="20"/>
        </w:rPr>
      </w:pPr>
    </w:p>
    <w:p w:rsidR="00E50A36" w:rsidRPr="00827314" w:rsidRDefault="00E50A36" w:rsidP="00E50A36">
      <w:pPr>
        <w:jc w:val="both"/>
        <w:rPr>
          <w:rFonts w:eastAsia="Calibri"/>
          <w:sz w:val="20"/>
        </w:rPr>
      </w:pPr>
      <w:r w:rsidRPr="00827314">
        <w:rPr>
          <w:rFonts w:eastAsia="Calibri"/>
          <w:sz w:val="20"/>
        </w:rPr>
        <w:t>The appeal from the judgment of the Court of Appeal of Quebec (Québec), Number 200-09-007782-128, 2012 QCCA 2266,  dated December 17, 2012, heard on April 24, 2014, is dismissed with costs. Abella J. is dissenting.</w:t>
      </w:r>
    </w:p>
    <w:p w:rsidR="00E50A36" w:rsidRDefault="00E50A36" w:rsidP="0052229C">
      <w:pPr>
        <w:rPr>
          <w:sz w:val="20"/>
          <w:szCs w:val="20"/>
          <w:lang w:val="fr-CA"/>
        </w:rPr>
      </w:pPr>
    </w:p>
    <w:p w:rsidR="00D004FC" w:rsidRDefault="00237788" w:rsidP="00D004FC">
      <w:pPr>
        <w:jc w:val="both"/>
        <w:rPr>
          <w:rFonts w:cs="Times New Roman"/>
          <w:b/>
          <w:sz w:val="20"/>
          <w:szCs w:val="20"/>
        </w:rPr>
      </w:pPr>
      <w:r>
        <w:rPr>
          <w:rFonts w:cs="Times New Roman"/>
          <w:b/>
          <w:sz w:val="20"/>
          <w:szCs w:val="20"/>
        </w:rPr>
        <w:pict>
          <v:rect id="_x0000_i1072"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1A47E1" w:rsidRPr="00BE1381" w:rsidRDefault="001362C4" w:rsidP="001A47E1">
      <w:pPr>
        <w:jc w:val="both"/>
        <w:rPr>
          <w:sz w:val="20"/>
          <w:szCs w:val="20"/>
          <w:lang w:val="fr-CA"/>
        </w:rPr>
      </w:pPr>
      <w:r>
        <w:rPr>
          <w:i/>
          <w:sz w:val="20"/>
          <w:szCs w:val="20"/>
          <w:lang w:val="fr-CA"/>
        </w:rPr>
        <w:t xml:space="preserve">Pétrolière </w:t>
      </w:r>
      <w:r w:rsidR="001A47E1" w:rsidRPr="00BE1381">
        <w:rPr>
          <w:i/>
          <w:sz w:val="20"/>
          <w:szCs w:val="20"/>
          <w:lang w:val="fr-CA"/>
        </w:rPr>
        <w:t>Imp</w:t>
      </w:r>
      <w:r>
        <w:rPr>
          <w:i/>
          <w:sz w:val="20"/>
          <w:szCs w:val="20"/>
          <w:lang w:val="fr-CA"/>
        </w:rPr>
        <w:t>é</w:t>
      </w:r>
      <w:r w:rsidR="001A47E1" w:rsidRPr="00BE1381">
        <w:rPr>
          <w:i/>
          <w:sz w:val="20"/>
          <w:szCs w:val="20"/>
          <w:lang w:val="fr-CA"/>
        </w:rPr>
        <w:t>rial</w:t>
      </w:r>
      <w:r>
        <w:rPr>
          <w:i/>
          <w:sz w:val="20"/>
          <w:szCs w:val="20"/>
          <w:lang w:val="fr-CA"/>
        </w:rPr>
        <w:t>e</w:t>
      </w:r>
      <w:r w:rsidR="001A47E1" w:rsidRPr="00BE1381">
        <w:rPr>
          <w:i/>
          <w:sz w:val="20"/>
          <w:szCs w:val="20"/>
          <w:lang w:val="fr-CA"/>
        </w:rPr>
        <w:t xml:space="preserve"> c. Simon Jacques et autres</w:t>
      </w:r>
      <w:r w:rsidR="001A47E1" w:rsidRPr="00BE1381">
        <w:rPr>
          <w:sz w:val="20"/>
          <w:szCs w:val="20"/>
          <w:lang w:val="fr-CA"/>
        </w:rPr>
        <w:t xml:space="preserve"> (Qc) (</w:t>
      </w:r>
      <w:hyperlink r:id="rId62" w:history="1">
        <w:r w:rsidR="001A47E1" w:rsidRPr="00BE1381">
          <w:rPr>
            <w:rStyle w:val="Hyperlink"/>
            <w:sz w:val="20"/>
            <w:szCs w:val="20"/>
            <w:lang w:val="fr-CA"/>
          </w:rPr>
          <w:t>35226</w:t>
        </w:r>
      </w:hyperlink>
      <w:r w:rsidR="001A47E1" w:rsidRPr="00BE1381">
        <w:rPr>
          <w:sz w:val="20"/>
          <w:szCs w:val="20"/>
          <w:lang w:val="fr-CA"/>
        </w:rPr>
        <w:t>)</w:t>
      </w:r>
    </w:p>
    <w:p w:rsidR="003107C6" w:rsidRPr="00BE1381" w:rsidRDefault="003107C6" w:rsidP="003107C6">
      <w:pPr>
        <w:jc w:val="both"/>
        <w:rPr>
          <w:sz w:val="20"/>
          <w:szCs w:val="20"/>
          <w:lang w:val="fr-CA"/>
        </w:rPr>
      </w:pPr>
      <w:r w:rsidRPr="00BE1381">
        <w:rPr>
          <w:i/>
          <w:sz w:val="20"/>
          <w:szCs w:val="20"/>
          <w:lang w:val="fr-CA"/>
        </w:rPr>
        <w:t xml:space="preserve">Couche-Tard </w:t>
      </w:r>
      <w:r w:rsidR="001362C4">
        <w:rPr>
          <w:i/>
          <w:sz w:val="20"/>
          <w:szCs w:val="20"/>
          <w:lang w:val="fr-CA"/>
        </w:rPr>
        <w:t>i</w:t>
      </w:r>
      <w:r w:rsidRPr="00BE1381">
        <w:rPr>
          <w:i/>
          <w:sz w:val="20"/>
          <w:szCs w:val="20"/>
          <w:lang w:val="fr-CA"/>
        </w:rPr>
        <w:t xml:space="preserve">nc., Alimentation Couche-Tard </w:t>
      </w:r>
      <w:r w:rsidR="001362C4">
        <w:rPr>
          <w:i/>
          <w:sz w:val="20"/>
          <w:szCs w:val="20"/>
          <w:lang w:val="fr-CA"/>
        </w:rPr>
        <w:t>i</w:t>
      </w:r>
      <w:r w:rsidRPr="00BE1381">
        <w:rPr>
          <w:i/>
          <w:sz w:val="20"/>
          <w:szCs w:val="20"/>
          <w:lang w:val="fr-CA"/>
        </w:rPr>
        <w:t xml:space="preserve">nc., Dépan-Escompte Couche-Tard </w:t>
      </w:r>
      <w:r w:rsidR="001362C4">
        <w:rPr>
          <w:i/>
          <w:sz w:val="20"/>
          <w:szCs w:val="20"/>
          <w:lang w:val="fr-CA"/>
        </w:rPr>
        <w:t>i</w:t>
      </w:r>
      <w:r w:rsidRPr="00BE1381">
        <w:rPr>
          <w:i/>
          <w:sz w:val="20"/>
          <w:szCs w:val="20"/>
          <w:lang w:val="fr-CA"/>
        </w:rPr>
        <w:t xml:space="preserve">nc. et autres c. Simon Jacques et autres </w:t>
      </w:r>
      <w:r w:rsidRPr="00BE1381">
        <w:rPr>
          <w:sz w:val="20"/>
          <w:szCs w:val="20"/>
          <w:lang w:val="fr-CA"/>
        </w:rPr>
        <w:t>(Qc) (</w:t>
      </w:r>
      <w:hyperlink r:id="rId63" w:history="1">
        <w:r w:rsidRPr="00BE1381">
          <w:rPr>
            <w:rStyle w:val="Hyperlink"/>
            <w:sz w:val="20"/>
            <w:szCs w:val="20"/>
            <w:lang w:val="fr-CA"/>
          </w:rPr>
          <w:t>35231</w:t>
        </w:r>
      </w:hyperlink>
      <w:r w:rsidRPr="00BE1381">
        <w:rPr>
          <w:sz w:val="20"/>
          <w:szCs w:val="20"/>
          <w:lang w:val="fr-CA"/>
        </w:rPr>
        <w:t>)</w:t>
      </w:r>
    </w:p>
    <w:p w:rsidR="00CC38D9" w:rsidRPr="00CC38D9" w:rsidRDefault="00CC38D9" w:rsidP="00CC38D9">
      <w:pPr>
        <w:jc w:val="both"/>
        <w:rPr>
          <w:b/>
          <w:sz w:val="20"/>
          <w:szCs w:val="20"/>
          <w:lang w:val="fr-CA"/>
        </w:rPr>
      </w:pPr>
      <w:r w:rsidRPr="00CC38D9">
        <w:rPr>
          <w:b/>
          <w:sz w:val="20"/>
          <w:szCs w:val="20"/>
          <w:lang w:val="fr-CA"/>
        </w:rPr>
        <w:t xml:space="preserve">Indexed as:  </w:t>
      </w:r>
      <w:r w:rsidRPr="00CC38D9">
        <w:rPr>
          <w:rStyle w:val="SCCAppellantForIndexChar"/>
          <w:rFonts w:eastAsiaTheme="minorHAnsi"/>
          <w:sz w:val="20"/>
        </w:rPr>
        <w:t>Imperial Oil</w:t>
      </w:r>
      <w:r w:rsidRPr="00CC38D9">
        <w:rPr>
          <w:b/>
          <w:sz w:val="20"/>
          <w:szCs w:val="20"/>
          <w:lang w:val="fr-CA"/>
        </w:rPr>
        <w:t xml:space="preserve"> </w:t>
      </w:r>
      <w:r w:rsidRPr="00CC38D9">
        <w:rPr>
          <w:b/>
          <w:i/>
          <w:sz w:val="20"/>
          <w:szCs w:val="20"/>
          <w:lang w:val="fr-CA"/>
        </w:rPr>
        <w:t>v.</w:t>
      </w:r>
      <w:r w:rsidRPr="00CC38D9">
        <w:rPr>
          <w:b/>
          <w:sz w:val="20"/>
          <w:szCs w:val="20"/>
          <w:lang w:val="fr-CA"/>
        </w:rPr>
        <w:t xml:space="preserve"> </w:t>
      </w:r>
      <w:r w:rsidRPr="00CC38D9">
        <w:rPr>
          <w:rStyle w:val="SCCRespondentForIndexChar"/>
          <w:rFonts w:eastAsiaTheme="minorHAnsi"/>
          <w:sz w:val="20"/>
          <w:lang w:val="fr-CA"/>
        </w:rPr>
        <w:t xml:space="preserve">Jacques / </w:t>
      </w:r>
      <w:r w:rsidRPr="00790B4B">
        <w:rPr>
          <w:b/>
          <w:sz w:val="20"/>
          <w:szCs w:val="20"/>
          <w:lang w:val="fr-CA"/>
        </w:rPr>
        <w:t>Répertorié : </w:t>
      </w:r>
      <w:r w:rsidRPr="00790B4B">
        <w:rPr>
          <w:rStyle w:val="SCCAppellantForIndexChar"/>
          <w:rFonts w:eastAsiaTheme="minorHAnsi"/>
          <w:sz w:val="20"/>
        </w:rPr>
        <w:t>Pétrolière Impériale</w:t>
      </w:r>
      <w:r w:rsidRPr="00790B4B">
        <w:rPr>
          <w:b/>
          <w:sz w:val="20"/>
          <w:szCs w:val="20"/>
          <w:lang w:val="fr-CA"/>
        </w:rPr>
        <w:t xml:space="preserve"> </w:t>
      </w:r>
      <w:r w:rsidRPr="00790B4B">
        <w:rPr>
          <w:b/>
          <w:i/>
          <w:sz w:val="20"/>
          <w:szCs w:val="20"/>
          <w:lang w:val="fr-CA"/>
        </w:rPr>
        <w:t>c.</w:t>
      </w:r>
      <w:r w:rsidRPr="00790B4B">
        <w:rPr>
          <w:b/>
          <w:sz w:val="20"/>
          <w:szCs w:val="20"/>
          <w:lang w:val="fr-CA"/>
        </w:rPr>
        <w:t xml:space="preserve"> </w:t>
      </w:r>
      <w:r w:rsidRPr="00790B4B">
        <w:rPr>
          <w:rStyle w:val="SCCRespondentForIndexChar"/>
          <w:rFonts w:eastAsiaTheme="minorHAnsi"/>
          <w:sz w:val="20"/>
          <w:lang w:val="fr-CA"/>
        </w:rPr>
        <w:t>Jacques</w:t>
      </w:r>
    </w:p>
    <w:p w:rsidR="0052229C" w:rsidRPr="00615A51" w:rsidRDefault="0052229C" w:rsidP="0052229C">
      <w:pPr>
        <w:pStyle w:val="SCCSystemYear"/>
        <w:jc w:val="both"/>
        <w:rPr>
          <w:sz w:val="20"/>
        </w:rPr>
      </w:pPr>
      <w:r w:rsidRPr="00615A51">
        <w:rPr>
          <w:sz w:val="20"/>
        </w:rPr>
        <w:t>Neutral citation:  2014 SCC </w:t>
      </w:r>
      <w:r w:rsidR="00CC38D9">
        <w:rPr>
          <w:sz w:val="20"/>
        </w:rPr>
        <w:t>66</w:t>
      </w:r>
      <w:r w:rsidRPr="00615A51">
        <w:rPr>
          <w:sz w:val="20"/>
        </w:rPr>
        <w:t xml:space="preserve"> / Référence neutre : 2014 CSC </w:t>
      </w:r>
      <w:r w:rsidR="00CC38D9">
        <w:rPr>
          <w:sz w:val="20"/>
        </w:rPr>
        <w:t>66</w:t>
      </w:r>
    </w:p>
    <w:p w:rsidR="0052229C" w:rsidRPr="001A47E1" w:rsidRDefault="0052229C" w:rsidP="0052229C">
      <w:pPr>
        <w:rPr>
          <w:rFonts w:cs="Times New Roman"/>
          <w:sz w:val="20"/>
          <w:szCs w:val="20"/>
          <w:lang w:val="fr-CA"/>
        </w:rPr>
      </w:pPr>
      <w:r w:rsidRPr="001A47E1">
        <w:rPr>
          <w:rFonts w:cs="Times New Roman"/>
          <w:sz w:val="20"/>
          <w:szCs w:val="20"/>
          <w:lang w:val="fr-CA"/>
        </w:rPr>
        <w:t>Hearing:  April 24, 201</w:t>
      </w:r>
      <w:r w:rsidR="00CC38D9">
        <w:rPr>
          <w:rFonts w:cs="Times New Roman"/>
          <w:sz w:val="20"/>
          <w:szCs w:val="20"/>
          <w:lang w:val="fr-CA"/>
        </w:rPr>
        <w:t>4</w:t>
      </w:r>
      <w:r w:rsidRPr="001A47E1">
        <w:rPr>
          <w:rFonts w:cs="Times New Roman"/>
          <w:sz w:val="20"/>
          <w:szCs w:val="20"/>
          <w:lang w:val="fr-CA"/>
        </w:rPr>
        <w:t xml:space="preserve"> / Judgment:  </w:t>
      </w:r>
      <w:r w:rsidR="001A47E1" w:rsidRPr="001A47E1">
        <w:rPr>
          <w:rFonts w:cs="Times New Roman"/>
          <w:sz w:val="20"/>
          <w:szCs w:val="20"/>
          <w:lang w:val="fr-CA"/>
        </w:rPr>
        <w:t>Octobe</w:t>
      </w:r>
      <w:r w:rsidRPr="001A47E1">
        <w:rPr>
          <w:rFonts w:cs="Times New Roman"/>
          <w:sz w:val="20"/>
          <w:szCs w:val="20"/>
          <w:lang w:val="fr-CA"/>
        </w:rPr>
        <w:t>r 1</w:t>
      </w:r>
      <w:r w:rsidR="001A47E1" w:rsidRPr="001A47E1">
        <w:rPr>
          <w:rFonts w:cs="Times New Roman"/>
          <w:sz w:val="20"/>
          <w:szCs w:val="20"/>
          <w:lang w:val="fr-CA"/>
        </w:rPr>
        <w:t>7</w:t>
      </w:r>
      <w:r w:rsidRPr="001A47E1">
        <w:rPr>
          <w:rFonts w:cs="Times New Roman"/>
          <w:sz w:val="20"/>
          <w:szCs w:val="20"/>
          <w:lang w:val="fr-CA"/>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24</w:t>
      </w:r>
      <w:r w:rsidRPr="003B3977">
        <w:rPr>
          <w:rFonts w:cs="Times New Roman"/>
          <w:sz w:val="20"/>
          <w:szCs w:val="20"/>
          <w:lang w:val="fr-CA"/>
        </w:rPr>
        <w:t xml:space="preserve"> </w:t>
      </w:r>
      <w:r>
        <w:rPr>
          <w:rFonts w:cs="Times New Roman"/>
          <w:sz w:val="20"/>
          <w:szCs w:val="20"/>
          <w:lang w:val="fr-CA"/>
        </w:rPr>
        <w:t>av</w:t>
      </w:r>
      <w:r w:rsidRPr="003B3977">
        <w:rPr>
          <w:rFonts w:cs="Times New Roman"/>
          <w:sz w:val="20"/>
          <w:szCs w:val="20"/>
          <w:lang w:val="fr-CA"/>
        </w:rPr>
        <w:t>r</w:t>
      </w:r>
      <w:r>
        <w:rPr>
          <w:rFonts w:cs="Times New Roman"/>
          <w:sz w:val="20"/>
          <w:szCs w:val="20"/>
          <w:lang w:val="fr-CA"/>
        </w:rPr>
        <w:t>il</w:t>
      </w:r>
      <w:r w:rsidRPr="003B3977">
        <w:rPr>
          <w:rFonts w:cs="Times New Roman"/>
          <w:sz w:val="20"/>
          <w:szCs w:val="20"/>
          <w:lang w:val="fr-CA"/>
        </w:rPr>
        <w:t xml:space="preserve"> 201</w:t>
      </w:r>
      <w:r w:rsidR="00CC38D9">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1</w:t>
      </w:r>
      <w:r w:rsidR="001A47E1">
        <w:rPr>
          <w:rFonts w:cs="Times New Roman"/>
          <w:sz w:val="20"/>
          <w:szCs w:val="20"/>
          <w:lang w:val="fr-CA"/>
        </w:rPr>
        <w:t>7</w:t>
      </w:r>
      <w:r>
        <w:rPr>
          <w:rFonts w:cs="Times New Roman"/>
          <w:sz w:val="20"/>
          <w:szCs w:val="20"/>
          <w:lang w:val="fr-CA"/>
        </w:rPr>
        <w:t xml:space="preserve"> </w:t>
      </w:r>
      <w:r w:rsidR="001A47E1">
        <w:rPr>
          <w:rFonts w:cs="Times New Roman"/>
          <w:sz w:val="20"/>
          <w:szCs w:val="20"/>
          <w:lang w:val="fr-CA"/>
        </w:rPr>
        <w:t>octobre</w:t>
      </w:r>
      <w:r w:rsidRPr="003B3977">
        <w:rPr>
          <w:rFonts w:cs="Times New Roman"/>
          <w:sz w:val="20"/>
          <w:szCs w:val="20"/>
          <w:lang w:val="fr-CA"/>
        </w:rPr>
        <w:t xml:space="preserve"> 201</w:t>
      </w:r>
      <w:r>
        <w:rPr>
          <w:rFonts w:cs="Times New Roman"/>
          <w:sz w:val="20"/>
          <w:szCs w:val="20"/>
          <w:lang w:val="fr-CA"/>
        </w:rPr>
        <w:t>4</w:t>
      </w:r>
    </w:p>
    <w:p w:rsidR="005C6840" w:rsidRPr="003B3977" w:rsidRDefault="00237788" w:rsidP="005C6840">
      <w:pPr>
        <w:rPr>
          <w:rFonts w:cs="Times New Roman"/>
          <w:sz w:val="20"/>
          <w:szCs w:val="20"/>
          <w:lang w:val="fr-CA"/>
        </w:rPr>
      </w:pPr>
      <w:r>
        <w:rPr>
          <w:rFonts w:cs="Times New Roman"/>
          <w:i/>
          <w:sz w:val="20"/>
          <w:szCs w:val="20"/>
        </w:rPr>
        <w:pict>
          <v:rect id="_x0000_i1075"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CC38D9" w:rsidRPr="00790B4B" w:rsidRDefault="00CC38D9" w:rsidP="00CC38D9">
      <w:pPr>
        <w:jc w:val="both"/>
        <w:rPr>
          <w:sz w:val="20"/>
          <w:szCs w:val="20"/>
          <w:lang w:val="fr-CA"/>
        </w:rPr>
      </w:pPr>
      <w:r w:rsidRPr="00790B4B">
        <w:rPr>
          <w:sz w:val="20"/>
          <w:szCs w:val="20"/>
          <w:lang w:val="fr-CA"/>
        </w:rPr>
        <w:t>Présents : La juge en chef McLachlin et les juges LeBel, Abella, Rothstein, Cromwell, Moldaver et Wagner.</w:t>
      </w:r>
    </w:p>
    <w:p w:rsidR="00CC38D9" w:rsidRDefault="00CC38D9" w:rsidP="00CC38D9">
      <w:pPr>
        <w:jc w:val="both"/>
        <w:rPr>
          <w:smallCaps/>
          <w:sz w:val="20"/>
          <w:lang w:val="fr-CA"/>
        </w:rPr>
      </w:pPr>
    </w:p>
    <w:p w:rsidR="00CC38D9" w:rsidRPr="00790B4B" w:rsidRDefault="00CC38D9" w:rsidP="00CC38D9">
      <w:pPr>
        <w:pStyle w:val="SCCNormalDoubleSpacing"/>
        <w:spacing w:line="240" w:lineRule="auto"/>
        <w:rPr>
          <w:i/>
          <w:sz w:val="20"/>
          <w:lang w:val="fr-CA"/>
        </w:rPr>
      </w:pPr>
      <w:r w:rsidRPr="00790B4B">
        <w:rPr>
          <w:i/>
          <w:sz w:val="20"/>
          <w:lang w:val="fr-CA"/>
        </w:rPr>
        <w:tab/>
        <w:t>Preuve — Procédure civile — Communication de la preuve — Requête sollicitant la communication de documents déposée dans le cadre d’un recours collectif et demandant la communication par un tiers d’enregistrements de communications privées interceptées dans le cadre d’une enquête pénale — Défendeurs dans le recours collectif s’opposant à la communication au motif qu’il existe des immunités de divulgation de source légale et prétorienne — Une partie à un recours civil peut</w:t>
      </w:r>
      <w:r w:rsidRPr="00790B4B">
        <w:rPr>
          <w:i/>
          <w:sz w:val="20"/>
          <w:lang w:val="fr-CA"/>
        </w:rPr>
        <w:noBreakHyphen/>
        <w:t>elle demander que lui soient communiqués des enregistrements de conversations privées interceptées par l’État dans le cadre d’une enquête pénale? — Comment les modalités et les limites de la communication doivent</w:t>
      </w:r>
      <w:r w:rsidRPr="00790B4B">
        <w:rPr>
          <w:i/>
          <w:sz w:val="20"/>
          <w:lang w:val="fr-CA"/>
        </w:rPr>
        <w:noBreakHyphen/>
        <w:t>elles être établies? — Code de procédure civile, RLRQ, ch. C</w:t>
      </w:r>
      <w:r w:rsidRPr="00790B4B">
        <w:rPr>
          <w:i/>
          <w:sz w:val="20"/>
          <w:lang w:val="fr-CA"/>
        </w:rPr>
        <w:noBreakHyphen/>
        <w:t>25, art. 402 — Code criminel, L.R.C. 1985, ch. C</w:t>
      </w:r>
      <w:r w:rsidRPr="00790B4B">
        <w:rPr>
          <w:i/>
          <w:sz w:val="20"/>
          <w:lang w:val="fr-CA"/>
        </w:rPr>
        <w:noBreakHyphen/>
        <w:t>46, al. 193(2)(a) — Loi sur la concurrence, L.R.C. 1985, ch. C</w:t>
      </w:r>
      <w:r w:rsidRPr="00790B4B">
        <w:rPr>
          <w:i/>
          <w:sz w:val="20"/>
          <w:lang w:val="fr-CA"/>
        </w:rPr>
        <w:noBreakHyphen/>
        <w:t>34, art. 29, 36.</w:t>
      </w:r>
    </w:p>
    <w:p w:rsidR="00CC38D9" w:rsidRDefault="00CC38D9" w:rsidP="00CC38D9">
      <w:pPr>
        <w:pStyle w:val="SCCNormalDoubleSpacing"/>
        <w:spacing w:line="240" w:lineRule="auto"/>
        <w:rPr>
          <w:sz w:val="20"/>
          <w:lang w:val="fr-CA"/>
        </w:rPr>
      </w:pPr>
    </w:p>
    <w:p w:rsidR="00CC38D9" w:rsidRPr="00790B4B" w:rsidRDefault="00CC38D9" w:rsidP="00CC38D9">
      <w:pPr>
        <w:pStyle w:val="SCCNormalDoubleSpacing"/>
        <w:spacing w:line="240" w:lineRule="auto"/>
        <w:rPr>
          <w:sz w:val="20"/>
          <w:lang w:val="fr-CA"/>
        </w:rPr>
      </w:pPr>
      <w:r w:rsidRPr="00790B4B">
        <w:rPr>
          <w:sz w:val="20"/>
          <w:lang w:val="fr-CA"/>
        </w:rPr>
        <w:tab/>
        <w:t xml:space="preserve">Pour mener à bien l’enquête « Octane » sur des allégations de complot en vue de fixer les prix de l’essence à la pompe dans certaines régions du Québec, le Bureau de la concurrence du Canada obtient, en vertu de la Partie VI du </w:t>
      </w:r>
      <w:r w:rsidRPr="00790B4B">
        <w:rPr>
          <w:i/>
          <w:sz w:val="20"/>
          <w:lang w:val="fr-CA"/>
        </w:rPr>
        <w:t>Code criminel</w:t>
      </w:r>
      <w:r w:rsidRPr="00790B4B">
        <w:rPr>
          <w:sz w:val="20"/>
          <w:lang w:val="fr-CA"/>
        </w:rPr>
        <w:t xml:space="preserve">, des autorisations judiciaires qui lui permettent d’intercepter et d’enregistrer plus de 220 000 communications privées. L’enquête conduit au dépôt d’accusations contre 54 personnes, dont certains des appelants. Parallèlement aux procédures pénales, les intimés intentent un recours collectif reprochant à plusieurs personnes, dont les appelants, de s’être livrées à des activités anticoncurrentielles, en violation des devoirs imposés par les art. 1457 du </w:t>
      </w:r>
      <w:r w:rsidRPr="00790B4B">
        <w:rPr>
          <w:i/>
          <w:sz w:val="20"/>
          <w:lang w:val="fr-CA"/>
        </w:rPr>
        <w:t>Code civil du Québec</w:t>
      </w:r>
      <w:r w:rsidRPr="00790B4B">
        <w:rPr>
          <w:sz w:val="20"/>
          <w:lang w:val="fr-CA"/>
        </w:rPr>
        <w:t xml:space="preserve"> (« </w:t>
      </w:r>
      <w:r w:rsidRPr="00790B4B">
        <w:rPr>
          <w:i/>
          <w:sz w:val="20"/>
          <w:lang w:val="fr-CA"/>
        </w:rPr>
        <w:t>C.c.Q.</w:t>
      </w:r>
      <w:r w:rsidRPr="00790B4B">
        <w:rPr>
          <w:sz w:val="20"/>
          <w:lang w:val="fr-CA"/>
        </w:rPr>
        <w:t xml:space="preserve"> ») et 36 de la </w:t>
      </w:r>
      <w:r w:rsidRPr="00790B4B">
        <w:rPr>
          <w:i/>
          <w:sz w:val="20"/>
          <w:lang w:val="fr-CA"/>
        </w:rPr>
        <w:t>Loi sur la concurrence</w:t>
      </w:r>
      <w:r w:rsidRPr="00790B4B">
        <w:rPr>
          <w:sz w:val="20"/>
          <w:lang w:val="fr-CA"/>
        </w:rPr>
        <w:t xml:space="preserve">. Dans le but d’étayer leur recours, ils déposent, conformément à l’art. 402 du </w:t>
      </w:r>
      <w:r w:rsidRPr="00790B4B">
        <w:rPr>
          <w:i/>
          <w:sz w:val="20"/>
          <w:lang w:val="fr-CA"/>
        </w:rPr>
        <w:t>Code de procédure civile</w:t>
      </w:r>
      <w:r w:rsidRPr="00790B4B">
        <w:rPr>
          <w:sz w:val="20"/>
          <w:lang w:val="fr-CA"/>
        </w:rPr>
        <w:t xml:space="preserve"> (« </w:t>
      </w:r>
      <w:r w:rsidRPr="00790B4B">
        <w:rPr>
          <w:i/>
          <w:sz w:val="20"/>
          <w:lang w:val="fr-CA"/>
        </w:rPr>
        <w:t>C.p.c.</w:t>
      </w:r>
      <w:r w:rsidRPr="00790B4B">
        <w:rPr>
          <w:sz w:val="20"/>
          <w:lang w:val="fr-CA"/>
        </w:rPr>
        <w:t xml:space="preserve"> »), une requête sollicitant du Directeur des poursuites pénales du Canada et du Bureau de la concurrence la communication des enregistrements déjà communiqués aux accusés dans les procédures pénales parallèles. Les appelants s’opposent. </w:t>
      </w:r>
    </w:p>
    <w:p w:rsidR="00CC38D9" w:rsidRDefault="00CC38D9" w:rsidP="00CC38D9">
      <w:pPr>
        <w:pStyle w:val="SCCNormalDoubleSpacing"/>
        <w:spacing w:line="240" w:lineRule="auto"/>
        <w:rPr>
          <w:sz w:val="20"/>
          <w:lang w:val="fr-CA"/>
        </w:rPr>
      </w:pPr>
    </w:p>
    <w:p w:rsidR="00CC38D9" w:rsidRPr="00790B4B" w:rsidRDefault="00CC38D9" w:rsidP="00CC38D9">
      <w:pPr>
        <w:pStyle w:val="SCCNormalDoubleSpacing"/>
        <w:spacing w:line="240" w:lineRule="auto"/>
        <w:rPr>
          <w:sz w:val="20"/>
          <w:lang w:val="fr-CA"/>
        </w:rPr>
      </w:pPr>
      <w:r w:rsidRPr="00790B4B">
        <w:rPr>
          <w:sz w:val="20"/>
          <w:lang w:val="fr-CA"/>
        </w:rPr>
        <w:tab/>
        <w:t xml:space="preserve">D’avis que les éléments de preuve sollicités par les intimés sont pertinents et que ni la </w:t>
      </w:r>
      <w:r w:rsidRPr="00790B4B">
        <w:rPr>
          <w:i/>
          <w:sz w:val="20"/>
          <w:lang w:val="fr-CA"/>
        </w:rPr>
        <w:t>Loi sur la concurrence</w:t>
      </w:r>
      <w:r w:rsidRPr="00790B4B">
        <w:rPr>
          <w:sz w:val="20"/>
          <w:lang w:val="fr-CA"/>
        </w:rPr>
        <w:t xml:space="preserve"> ni le </w:t>
      </w:r>
      <w:r w:rsidRPr="00790B4B">
        <w:rPr>
          <w:i/>
          <w:sz w:val="20"/>
          <w:lang w:val="fr-CA"/>
        </w:rPr>
        <w:t>Code criminel</w:t>
      </w:r>
      <w:r w:rsidRPr="00790B4B">
        <w:rPr>
          <w:sz w:val="20"/>
          <w:lang w:val="fr-CA"/>
        </w:rPr>
        <w:t xml:space="preserve"> ne créent d’immunité de divulgation, la Cour supérieure accueille la requête. Afin d’encadrer le processus de communication des documents et l’étendue de celle</w:t>
      </w:r>
      <w:r w:rsidRPr="00790B4B">
        <w:rPr>
          <w:sz w:val="20"/>
          <w:lang w:val="fr-CA"/>
        </w:rPr>
        <w:noBreakHyphen/>
        <w:t>ci, elle ordonne au Directeur des poursuites pénales et au Bureau de la concurrence de communiquer uniquement aux avocats et experts participant aux procédures civiles les enregistrements demandés et de filtrer ceux</w:t>
      </w:r>
      <w:r w:rsidRPr="00790B4B">
        <w:rPr>
          <w:sz w:val="20"/>
          <w:lang w:val="fr-CA"/>
        </w:rPr>
        <w:noBreakHyphen/>
        <w:t>ci pour protéger la vie privée des tiers complètement étrangers au litige. La Cour d’appel refuse la permission d’appeler de cette décision.</w:t>
      </w:r>
    </w:p>
    <w:p w:rsidR="00CC38D9" w:rsidRDefault="00CC38D9" w:rsidP="00CC38D9">
      <w:pPr>
        <w:pStyle w:val="SCCNormalDoubleSpacing"/>
        <w:spacing w:line="240" w:lineRule="auto"/>
        <w:rPr>
          <w:sz w:val="20"/>
          <w:lang w:val="fr-CA"/>
        </w:rPr>
      </w:pPr>
    </w:p>
    <w:p w:rsidR="00CC38D9" w:rsidRPr="00790B4B" w:rsidRDefault="00CC38D9" w:rsidP="00CC38D9">
      <w:pPr>
        <w:pStyle w:val="SCCNormalDoubleSpacing"/>
        <w:spacing w:line="240" w:lineRule="auto"/>
        <w:rPr>
          <w:sz w:val="20"/>
          <w:lang w:val="fr-CA"/>
        </w:rPr>
      </w:pPr>
      <w:r w:rsidRPr="00790B4B">
        <w:rPr>
          <w:sz w:val="20"/>
          <w:lang w:val="fr-CA"/>
        </w:rPr>
        <w:tab/>
      </w:r>
      <w:r w:rsidRPr="00790B4B">
        <w:rPr>
          <w:i/>
          <w:sz w:val="20"/>
          <w:lang w:val="fr-CA"/>
        </w:rPr>
        <w:t>Arrêt</w:t>
      </w:r>
      <w:r w:rsidRPr="00790B4B">
        <w:rPr>
          <w:sz w:val="20"/>
          <w:lang w:val="fr-CA"/>
        </w:rPr>
        <w:t> : Les pourvois sont rejetés.</w:t>
      </w:r>
    </w:p>
    <w:p w:rsidR="00CC38D9" w:rsidRDefault="00CC38D9" w:rsidP="00CC38D9">
      <w:pPr>
        <w:pStyle w:val="SCCNormalDoubleSpacing"/>
        <w:spacing w:line="240" w:lineRule="auto"/>
        <w:rPr>
          <w:sz w:val="20"/>
          <w:lang w:val="fr-CA"/>
        </w:rPr>
      </w:pPr>
    </w:p>
    <w:p w:rsidR="00CC38D9" w:rsidRPr="00790B4B" w:rsidRDefault="00CC38D9" w:rsidP="00CC38D9">
      <w:pPr>
        <w:pStyle w:val="SCCNormalDoubleSpacing"/>
        <w:spacing w:line="240" w:lineRule="auto"/>
        <w:rPr>
          <w:sz w:val="20"/>
          <w:lang w:val="fr-CA"/>
        </w:rPr>
      </w:pPr>
      <w:r w:rsidRPr="00790B4B">
        <w:rPr>
          <w:sz w:val="20"/>
          <w:lang w:val="fr-CA"/>
        </w:rPr>
        <w:tab/>
      </w:r>
      <w:r w:rsidRPr="00790B4B">
        <w:rPr>
          <w:i/>
          <w:sz w:val="20"/>
          <w:lang w:val="fr-CA"/>
        </w:rPr>
        <w:t>Les</w:t>
      </w:r>
      <w:r w:rsidRPr="00790B4B">
        <w:rPr>
          <w:sz w:val="20"/>
          <w:lang w:val="fr-CA"/>
        </w:rPr>
        <w:t xml:space="preserve"> juges </w:t>
      </w:r>
      <w:r w:rsidRPr="00790B4B">
        <w:rPr>
          <w:b/>
          <w:sz w:val="20"/>
          <w:lang w:val="fr-CA"/>
        </w:rPr>
        <w:t>LeBel</w:t>
      </w:r>
      <w:r w:rsidRPr="00790B4B">
        <w:rPr>
          <w:sz w:val="20"/>
          <w:lang w:val="fr-CA"/>
        </w:rPr>
        <w:t xml:space="preserve">, Rothstein, Cromwell, Moldaver et </w:t>
      </w:r>
      <w:r w:rsidRPr="00790B4B">
        <w:rPr>
          <w:b/>
          <w:sz w:val="20"/>
          <w:lang w:val="fr-CA"/>
        </w:rPr>
        <w:t>Wagner</w:t>
      </w:r>
      <w:r w:rsidRPr="00790B4B">
        <w:rPr>
          <w:sz w:val="20"/>
          <w:lang w:val="fr-CA"/>
        </w:rPr>
        <w:t xml:space="preserve"> : Une partie à un recours civil peut demander que lui soient communiqués des enregistrements de conversations privées interceptées par l’État dans le cadre d’une enquête pénale. Bien que l’art. 29 de la </w:t>
      </w:r>
      <w:r w:rsidRPr="00790B4B">
        <w:rPr>
          <w:i/>
          <w:sz w:val="20"/>
          <w:lang w:val="fr-CA"/>
        </w:rPr>
        <w:t>Loi sur la concurrence</w:t>
      </w:r>
      <w:r w:rsidRPr="00790B4B">
        <w:rPr>
          <w:sz w:val="20"/>
          <w:lang w:val="fr-CA"/>
        </w:rPr>
        <w:t xml:space="preserve"> énonce la confidentialité du dossier d’enquête constitué par le Bureau de la concurrence, il n’interdit pas la communication des conversations privées interceptées en vertu de la partie VI du </w:t>
      </w:r>
      <w:r w:rsidRPr="00790B4B">
        <w:rPr>
          <w:i/>
          <w:sz w:val="20"/>
          <w:lang w:val="fr-CA"/>
        </w:rPr>
        <w:t>Code criminel</w:t>
      </w:r>
      <w:r w:rsidRPr="00790B4B">
        <w:rPr>
          <w:sz w:val="20"/>
          <w:lang w:val="fr-CA"/>
        </w:rPr>
        <w:t>, car celles</w:t>
      </w:r>
      <w:r w:rsidRPr="00790B4B">
        <w:rPr>
          <w:sz w:val="20"/>
          <w:lang w:val="fr-CA"/>
        </w:rPr>
        <w:noBreakHyphen/>
        <w:t>ci ne font pas partie des éléments mentionnés aux al. 29(1)</w:t>
      </w:r>
      <w:r w:rsidRPr="00790B4B">
        <w:rPr>
          <w:i/>
          <w:sz w:val="20"/>
          <w:lang w:val="fr-CA"/>
        </w:rPr>
        <w:t>a</w:t>
      </w:r>
      <w:r w:rsidRPr="00790B4B">
        <w:rPr>
          <w:sz w:val="20"/>
          <w:lang w:val="fr-CA"/>
        </w:rPr>
        <w:t xml:space="preserve">) à </w:t>
      </w:r>
      <w:r w:rsidRPr="00790B4B">
        <w:rPr>
          <w:i/>
          <w:sz w:val="20"/>
          <w:lang w:val="fr-CA"/>
        </w:rPr>
        <w:t>e</w:t>
      </w:r>
      <w:r w:rsidRPr="00790B4B">
        <w:rPr>
          <w:sz w:val="20"/>
          <w:lang w:val="fr-CA"/>
        </w:rPr>
        <w:t xml:space="preserve">). De plus, même si le par. 193(1) du </w:t>
      </w:r>
      <w:r w:rsidRPr="00790B4B">
        <w:rPr>
          <w:i/>
          <w:sz w:val="20"/>
          <w:lang w:val="fr-CA"/>
        </w:rPr>
        <w:t>Code criminel</w:t>
      </w:r>
      <w:r w:rsidRPr="00790B4B">
        <w:rPr>
          <w:sz w:val="20"/>
          <w:lang w:val="fr-CA"/>
        </w:rPr>
        <w:t xml:space="preserve"> établit le principe selon lequel il est illégal de divulguer ou d’utiliser une communication privée interceptée sans le consentement de son auteur ou du destinataire, des exemptions tempèrent cette interdiction générale. L’alinéa 193(2)</w:t>
      </w:r>
      <w:r w:rsidRPr="00790B4B">
        <w:rPr>
          <w:i/>
          <w:sz w:val="20"/>
          <w:lang w:val="fr-CA"/>
        </w:rPr>
        <w:t>a</w:t>
      </w:r>
      <w:r w:rsidRPr="00790B4B">
        <w:rPr>
          <w:sz w:val="20"/>
          <w:lang w:val="fr-CA"/>
        </w:rPr>
        <w:t>) dispose que l’infraction établie au par. 193(1) ne s’applique pas lorsqu’une divulgation est faite « au cours ou aux fins d’une déposition lors de poursuites civiles ». Rien dans le texte de cette disposition ne justifie de restreindre l’application de celle</w:t>
      </w:r>
      <w:r w:rsidRPr="00790B4B">
        <w:rPr>
          <w:sz w:val="20"/>
          <w:lang w:val="fr-CA"/>
        </w:rPr>
        <w:noBreakHyphen/>
        <w:t>ci au seul moment de la déposition. Les documents qui sont demandés durant la phase exploratoire de tout recours civil peuvent l’être « aux fins » de témoigner à l’audience. L’objet et le contexte de cette disposition n’admettent aucune autre conclusion. L’alinéa 193(2)</w:t>
      </w:r>
      <w:r w:rsidRPr="00790B4B">
        <w:rPr>
          <w:i/>
          <w:sz w:val="20"/>
          <w:lang w:val="fr-CA"/>
        </w:rPr>
        <w:t>a</w:t>
      </w:r>
      <w:r w:rsidRPr="00790B4B">
        <w:rPr>
          <w:sz w:val="20"/>
          <w:lang w:val="fr-CA"/>
        </w:rPr>
        <w:t xml:space="preserve">) n’est pas uniquement destiné à faciliter la lutte contre la criminalité, mais a pour objet d’assurer aux tribunaux qu’ils auront accès </w:t>
      </w:r>
      <w:r w:rsidRPr="00790B4B">
        <w:rPr>
          <w:sz w:val="20"/>
          <w:lang w:val="fr-CA"/>
        </w:rPr>
        <w:lastRenderedPageBreak/>
        <w:t>à toute l’information pertinente aux procédures dont ils sont saisis. De même, jurisprudence et doctrine appuient une interprétation large de l’al. 193(2)</w:t>
      </w:r>
      <w:r w:rsidRPr="00790B4B">
        <w:rPr>
          <w:i/>
          <w:sz w:val="20"/>
          <w:lang w:val="fr-CA"/>
        </w:rPr>
        <w:t>a</w:t>
      </w:r>
      <w:r w:rsidRPr="00790B4B">
        <w:rPr>
          <w:sz w:val="20"/>
          <w:lang w:val="fr-CA"/>
        </w:rPr>
        <w:t xml:space="preserve">). Enfin, l’admissibilité en preuve des enregistrements de communications privées est régie par le par. 24(2) de la </w:t>
      </w:r>
      <w:r w:rsidRPr="00790B4B">
        <w:rPr>
          <w:i/>
          <w:sz w:val="20"/>
          <w:lang w:val="fr-CA"/>
        </w:rPr>
        <w:t>Charte</w:t>
      </w:r>
      <w:r w:rsidRPr="00790B4B">
        <w:rPr>
          <w:sz w:val="20"/>
          <w:lang w:val="fr-CA"/>
        </w:rPr>
        <w:t xml:space="preserve"> et les différentes lois provinciales applicables. </w:t>
      </w:r>
    </w:p>
    <w:p w:rsidR="00CC38D9" w:rsidRDefault="00CC38D9" w:rsidP="00CC38D9">
      <w:pPr>
        <w:pStyle w:val="SCCNormalDoubleSpacing"/>
        <w:spacing w:line="240" w:lineRule="auto"/>
        <w:rPr>
          <w:sz w:val="20"/>
          <w:lang w:val="fr-CA"/>
        </w:rPr>
      </w:pPr>
    </w:p>
    <w:p w:rsidR="00CC38D9" w:rsidRPr="00790B4B" w:rsidRDefault="00CC38D9" w:rsidP="00CC38D9">
      <w:pPr>
        <w:pStyle w:val="SCCNormalDoubleSpacing"/>
        <w:spacing w:line="240" w:lineRule="auto"/>
        <w:rPr>
          <w:sz w:val="20"/>
          <w:lang w:val="fr-CA"/>
        </w:rPr>
      </w:pPr>
      <w:r w:rsidRPr="00790B4B">
        <w:rPr>
          <w:sz w:val="20"/>
          <w:lang w:val="fr-CA"/>
        </w:rPr>
        <w:tab/>
        <w:t xml:space="preserve">L’article 193 du </w:t>
      </w:r>
      <w:r w:rsidRPr="00790B4B">
        <w:rPr>
          <w:i/>
          <w:sz w:val="20"/>
          <w:lang w:val="fr-CA"/>
        </w:rPr>
        <w:t>Code criminel</w:t>
      </w:r>
      <w:r w:rsidRPr="00790B4B">
        <w:rPr>
          <w:sz w:val="20"/>
          <w:lang w:val="fr-CA"/>
        </w:rPr>
        <w:t xml:space="preserve"> ne crée pas de mécanisme de divulgation en soi ni un droit d’accès. Puisque la poursuite civile en l’espèce est intentée en vertu de l’art. 36 de la </w:t>
      </w:r>
      <w:r w:rsidRPr="00790B4B">
        <w:rPr>
          <w:i/>
          <w:sz w:val="20"/>
          <w:lang w:val="fr-CA"/>
        </w:rPr>
        <w:t>Loi sur la concurrence</w:t>
      </w:r>
      <w:r w:rsidRPr="00790B4B">
        <w:rPr>
          <w:sz w:val="20"/>
          <w:lang w:val="fr-CA"/>
        </w:rPr>
        <w:t xml:space="preserve"> et de l’art. 1457 </w:t>
      </w:r>
      <w:r w:rsidRPr="00790B4B">
        <w:rPr>
          <w:i/>
          <w:sz w:val="20"/>
          <w:lang w:val="fr-CA"/>
        </w:rPr>
        <w:t>C.c.Q.</w:t>
      </w:r>
      <w:r w:rsidRPr="00790B4B">
        <w:rPr>
          <w:sz w:val="20"/>
          <w:lang w:val="fr-CA"/>
        </w:rPr>
        <w:t xml:space="preserve">, c’est l’art. 402 </w:t>
      </w:r>
      <w:r w:rsidRPr="00790B4B">
        <w:rPr>
          <w:i/>
          <w:sz w:val="20"/>
          <w:lang w:val="fr-CA"/>
        </w:rPr>
        <w:t>C.p.c.</w:t>
      </w:r>
      <w:r w:rsidRPr="00790B4B">
        <w:rPr>
          <w:sz w:val="20"/>
          <w:lang w:val="fr-CA"/>
        </w:rPr>
        <w:t xml:space="preserve"> qui prévoit la procédure permettant d’accéder aux enregistrements. Le premier alinéa de l’art. 402 </w:t>
      </w:r>
      <w:r w:rsidRPr="00790B4B">
        <w:rPr>
          <w:i/>
          <w:sz w:val="20"/>
          <w:lang w:val="fr-CA"/>
        </w:rPr>
        <w:t>C.p.c.</w:t>
      </w:r>
      <w:r w:rsidRPr="00790B4B">
        <w:rPr>
          <w:sz w:val="20"/>
          <w:lang w:val="fr-CA"/>
        </w:rPr>
        <w:t xml:space="preserve"> habilite un juge à ordonner la communication de documents relatifs au litige qui se trouvent entre les mains d’un tiers. Le juge jouit d’une grande discrétion, mais favorisera généralement la communication. Il doit cependant refuser la communication en présence d’une immunité de divulgation de source légale ou prétorienne. Dans l’exercice de sa discrétion, le juge pourra considérer, entre autres, la pertinence des documents à l’égard du litige, le degré d’atteinte à la vie privée d’une partie ou d’un tiers au litige et l’importance de demeurer sensible au devoir de protéger la vie privée. Le concept de pertinence s’apprécie généralement de manière large au cours de la phase exploratoire de l’instance. L’impact de la communication sur les droits de personnes innocentes exige un examen attentif d’une requête en communication, mais ne justifie pas pour autant l’opposition à la communication en toutes circonstances. L’étendue de la protection du droit à la vie privée des personnes innocentes doit toujours être mesurée en fonction des divers intérêts en jeu. Enfin, en octroyant au juge le pouvoir de refuser d’accorder la communication s’il existe une barrière légale ou prétorienne à une telle communication, l’art. 402, al. 1 prévoit déjà que, au besoin, le principe de communication qu’il codifie cèderait devant un texte fédéral prohibitif applicable.</w:t>
      </w:r>
    </w:p>
    <w:p w:rsidR="00CC38D9" w:rsidRDefault="00CC38D9" w:rsidP="00CC38D9">
      <w:pPr>
        <w:pStyle w:val="SCCNormalDoubleSpacing"/>
        <w:spacing w:line="240" w:lineRule="auto"/>
        <w:rPr>
          <w:sz w:val="20"/>
          <w:lang w:val="fr-CA"/>
        </w:rPr>
      </w:pPr>
    </w:p>
    <w:p w:rsidR="00CC38D9" w:rsidRPr="00790B4B" w:rsidRDefault="00CC38D9" w:rsidP="00CC38D9">
      <w:pPr>
        <w:pStyle w:val="SCCNormalDoubleSpacing"/>
        <w:spacing w:line="240" w:lineRule="auto"/>
        <w:rPr>
          <w:sz w:val="20"/>
          <w:lang w:val="fr-CA"/>
        </w:rPr>
      </w:pPr>
      <w:r w:rsidRPr="00790B4B">
        <w:rPr>
          <w:sz w:val="20"/>
          <w:lang w:val="fr-CA"/>
        </w:rPr>
        <w:tab/>
        <w:t xml:space="preserve">Le juge jouit aussi d’une grande discrétion pour contrôler le processus de communication de la preuve durant la phase exploratoire de l’instance, pour en établir les modalités et en fixer les limites. Pour ce faire, il doit soupeser les intérêts en présence, en limitant les risques d’atteinte à la vie privée et en évitant de restreindre indûment l’accès aux documents pertinents, pour que les procédures demeurent équitables, que la recherche de la vérité ne soit pas entravée et que le déroulement de l’instance ne soit pas retardé de manière injustifiée. Dans les cas où les documents demandés sont le produit d’une enquête pénale, le juge devra aussi considérer l’impact de la communication sur le bon déroulement des procédures pénales et le droit des accusés concernés à un procès juste et équitable. Cependant, au cours de la phase exploratoire de l’instance, le droit au respect de la vie privée, le bon déroulement des procédures pénales et le droit à une défense pleine et entière sont, dans une certaine mesure, protégés par le devoir de confidentialité qui s’impose aux parties, à leurs avocats et à leurs experts. Le juge dispose néanmoins des pouvoirs nécessaires pour fixer d’autres modalités. Dans tous les cas, tout en respectant le principe de proportionnalité qui fait intrinsèquement partie de l’art. 402 </w:t>
      </w:r>
      <w:r w:rsidRPr="00790B4B">
        <w:rPr>
          <w:i/>
          <w:sz w:val="20"/>
          <w:lang w:val="fr-CA"/>
        </w:rPr>
        <w:t>C.p.c.</w:t>
      </w:r>
      <w:r w:rsidRPr="00790B4B">
        <w:rPr>
          <w:sz w:val="20"/>
          <w:lang w:val="fr-CA"/>
        </w:rPr>
        <w:t xml:space="preserve">, en plus d’être consacré à l’art. 4.2 </w:t>
      </w:r>
      <w:r w:rsidRPr="00790B4B">
        <w:rPr>
          <w:i/>
          <w:sz w:val="20"/>
          <w:lang w:val="fr-CA"/>
        </w:rPr>
        <w:t>C.p.c.</w:t>
      </w:r>
      <w:r w:rsidRPr="00790B4B">
        <w:rPr>
          <w:sz w:val="20"/>
          <w:lang w:val="fr-CA"/>
        </w:rPr>
        <w:t xml:space="preserve">, le juge doit considérer l’impact financier et administratif des modalités qu’il impose, de même que leur influence sur le déroulement général de l’instance. </w:t>
      </w:r>
    </w:p>
    <w:p w:rsidR="00CC38D9" w:rsidRDefault="00CC38D9" w:rsidP="00CC38D9">
      <w:pPr>
        <w:pStyle w:val="SCCNormalDoubleSpacing"/>
        <w:spacing w:line="240" w:lineRule="auto"/>
        <w:rPr>
          <w:sz w:val="20"/>
          <w:lang w:val="fr-CA"/>
        </w:rPr>
      </w:pPr>
    </w:p>
    <w:p w:rsidR="00CC38D9" w:rsidRPr="00790B4B" w:rsidRDefault="00CC38D9" w:rsidP="00CC38D9">
      <w:pPr>
        <w:pStyle w:val="SCCNormalDoubleSpacing"/>
        <w:spacing w:line="240" w:lineRule="auto"/>
        <w:rPr>
          <w:sz w:val="20"/>
          <w:lang w:val="fr-CA"/>
        </w:rPr>
      </w:pPr>
      <w:r w:rsidRPr="00790B4B">
        <w:rPr>
          <w:sz w:val="20"/>
          <w:lang w:val="fr-CA"/>
        </w:rPr>
        <w:tab/>
        <w:t xml:space="preserve">L’ordonnance de la Cour supérieure en l’espèce respecte ces principes. Il n’existe aucun obstacle factuel ou légal à la communication des documents que sollicitent les intimés en vertu de l’art. 402 </w:t>
      </w:r>
      <w:r w:rsidRPr="00790B4B">
        <w:rPr>
          <w:i/>
          <w:sz w:val="20"/>
          <w:lang w:val="fr-CA"/>
        </w:rPr>
        <w:t>C.p.c</w:t>
      </w:r>
      <w:r w:rsidRPr="00790B4B">
        <w:rPr>
          <w:sz w:val="20"/>
          <w:lang w:val="fr-CA"/>
        </w:rPr>
        <w:t xml:space="preserve">. Rien ne permet de remettre en question la conclusion de la Cour supérieure selon laquelle les éléments de preuve sollicités sont pertinents. De plus, la portée de l’ordonnance de communication est limitée de manière à protéger le droit à la vie privée de l’ensemble des personnes dont les conversations ont été interceptées. Ces limites assurent également que la communication ne constitue pas une entrave au bon déroulement des procédures pénales ou une atteinte au droit qu’ont les parties toujours accusées au pénal de subir un procès juste et équitable. Rien n’indique que l’ordonnance crée un fardeau financier et administratif excessif pour le tiers visé en l’espèce. </w:t>
      </w:r>
    </w:p>
    <w:p w:rsidR="00CC38D9" w:rsidRDefault="00CC38D9" w:rsidP="00CC38D9">
      <w:pPr>
        <w:pStyle w:val="SCCNormalDoubleSpacing"/>
        <w:spacing w:line="240" w:lineRule="auto"/>
        <w:rPr>
          <w:sz w:val="20"/>
          <w:lang w:val="fr-CA"/>
        </w:rPr>
      </w:pPr>
    </w:p>
    <w:p w:rsidR="00CC38D9" w:rsidRPr="00790B4B" w:rsidRDefault="00CC38D9" w:rsidP="00CC38D9">
      <w:pPr>
        <w:pStyle w:val="SCCNormalDoubleSpacing"/>
        <w:spacing w:line="240" w:lineRule="auto"/>
        <w:rPr>
          <w:sz w:val="20"/>
          <w:lang w:val="fr-CA"/>
        </w:rPr>
      </w:pPr>
      <w:r w:rsidRPr="00790B4B">
        <w:rPr>
          <w:sz w:val="20"/>
          <w:lang w:val="fr-CA"/>
        </w:rPr>
        <w:tab/>
      </w:r>
      <w:r w:rsidRPr="00790B4B">
        <w:rPr>
          <w:i/>
          <w:sz w:val="20"/>
          <w:lang w:val="fr-CA"/>
        </w:rPr>
        <w:t>La</w:t>
      </w:r>
      <w:r w:rsidRPr="00790B4B">
        <w:rPr>
          <w:sz w:val="20"/>
          <w:lang w:val="fr-CA"/>
        </w:rPr>
        <w:t xml:space="preserve"> juge en chef </w:t>
      </w:r>
      <w:r w:rsidRPr="00790B4B">
        <w:rPr>
          <w:b/>
          <w:sz w:val="20"/>
          <w:lang w:val="fr-CA"/>
        </w:rPr>
        <w:t>McLachlin</w:t>
      </w:r>
      <w:r w:rsidRPr="00790B4B">
        <w:rPr>
          <w:sz w:val="20"/>
          <w:lang w:val="fr-CA"/>
        </w:rPr>
        <w:t xml:space="preserve"> : En l’espèce, le pouvoir d’obtenir les communications privées interceptées découle uniquement de l’art. 402 du </w:t>
      </w:r>
      <w:r w:rsidRPr="00790B4B">
        <w:rPr>
          <w:i/>
          <w:sz w:val="20"/>
          <w:lang w:val="fr-CA"/>
        </w:rPr>
        <w:t>C.p.c.</w:t>
      </w:r>
      <w:r w:rsidRPr="00790B4B">
        <w:rPr>
          <w:sz w:val="20"/>
          <w:lang w:val="fr-CA"/>
        </w:rPr>
        <w:t>, et non de l’al. 193(2)</w:t>
      </w:r>
      <w:r w:rsidRPr="00790B4B">
        <w:rPr>
          <w:i/>
          <w:sz w:val="20"/>
          <w:lang w:val="fr-CA"/>
        </w:rPr>
        <w:t>a</w:t>
      </w:r>
      <w:r w:rsidRPr="00790B4B">
        <w:rPr>
          <w:sz w:val="20"/>
          <w:lang w:val="fr-CA"/>
        </w:rPr>
        <w:t xml:space="preserve">) du </w:t>
      </w:r>
      <w:r w:rsidRPr="00790B4B">
        <w:rPr>
          <w:i/>
          <w:sz w:val="20"/>
          <w:lang w:val="fr-CA"/>
        </w:rPr>
        <w:t>Code criminel</w:t>
      </w:r>
      <w:r w:rsidRPr="00790B4B">
        <w:rPr>
          <w:sz w:val="20"/>
          <w:lang w:val="fr-CA"/>
        </w:rPr>
        <w:t>. Lorsque l’État a par ailleurs le pouvoir ou l’obligation de divulguer dans une instance civile des communications privées interceptées, l’al. 193(2)</w:t>
      </w:r>
      <w:r w:rsidRPr="00790B4B">
        <w:rPr>
          <w:i/>
          <w:sz w:val="20"/>
          <w:lang w:val="fr-CA"/>
        </w:rPr>
        <w:t>a</w:t>
      </w:r>
      <w:r w:rsidRPr="00790B4B">
        <w:rPr>
          <w:sz w:val="20"/>
          <w:lang w:val="fr-CA"/>
        </w:rPr>
        <w:t>) protège les autorités contre toute sanction criminelle.</w:t>
      </w:r>
    </w:p>
    <w:p w:rsidR="00CC38D9" w:rsidRDefault="00CC38D9" w:rsidP="00CC38D9">
      <w:pPr>
        <w:pStyle w:val="SCCNormalDoubleSpacing"/>
        <w:spacing w:line="240" w:lineRule="auto"/>
        <w:rPr>
          <w:sz w:val="20"/>
          <w:lang w:val="fr-CA"/>
        </w:rPr>
      </w:pPr>
    </w:p>
    <w:p w:rsidR="00CC38D9" w:rsidRPr="00790B4B" w:rsidRDefault="00CC38D9" w:rsidP="00CC38D9">
      <w:pPr>
        <w:pStyle w:val="SCCNormalDoubleSpacing"/>
        <w:spacing w:line="240" w:lineRule="auto"/>
        <w:rPr>
          <w:sz w:val="20"/>
          <w:lang w:val="fr-CA"/>
        </w:rPr>
      </w:pPr>
      <w:r w:rsidRPr="00790B4B">
        <w:rPr>
          <w:sz w:val="20"/>
          <w:lang w:val="fr-CA"/>
        </w:rPr>
        <w:tab/>
      </w:r>
      <w:r w:rsidRPr="00790B4B">
        <w:rPr>
          <w:i/>
          <w:sz w:val="20"/>
          <w:lang w:val="fr-CA"/>
        </w:rPr>
        <w:t>La</w:t>
      </w:r>
      <w:r w:rsidRPr="00790B4B">
        <w:rPr>
          <w:sz w:val="20"/>
          <w:lang w:val="fr-CA"/>
        </w:rPr>
        <w:t xml:space="preserve"> juge </w:t>
      </w:r>
      <w:r w:rsidRPr="00790B4B">
        <w:rPr>
          <w:b/>
          <w:sz w:val="20"/>
          <w:lang w:val="fr-CA"/>
        </w:rPr>
        <w:t>Abella</w:t>
      </w:r>
      <w:r w:rsidRPr="00790B4B">
        <w:rPr>
          <w:sz w:val="20"/>
          <w:lang w:val="fr-CA"/>
        </w:rPr>
        <w:t xml:space="preserve"> (dissidente) : En droit canadien, aucune activité de surveillance électronique ne peut être autorisée à l’occasion d’une instance civile en vue de recueillir des éléments de preuve. La surveillance électronique ne peut être autorisée que dans les circonstances limitées énoncées à la partie VI du </w:t>
      </w:r>
      <w:r w:rsidRPr="00790B4B">
        <w:rPr>
          <w:i/>
          <w:sz w:val="20"/>
          <w:lang w:val="fr-CA"/>
        </w:rPr>
        <w:t>Code criminel</w:t>
      </w:r>
      <w:r w:rsidRPr="00790B4B">
        <w:rPr>
          <w:sz w:val="20"/>
          <w:lang w:val="fr-CA"/>
        </w:rPr>
        <w:t xml:space="preserve">, dans le cadre d’enquêtes relatives à des crimes graves, ou encore en vertu de la </w:t>
      </w:r>
      <w:r w:rsidRPr="00790B4B">
        <w:rPr>
          <w:i/>
          <w:sz w:val="20"/>
          <w:lang w:val="fr-CA"/>
        </w:rPr>
        <w:t>Loi sur le service canadien du renseignement de sécurité</w:t>
      </w:r>
      <w:r w:rsidRPr="00790B4B">
        <w:rPr>
          <w:sz w:val="20"/>
          <w:lang w:val="fr-CA"/>
        </w:rPr>
        <w:t xml:space="preserve">, en matière d’enquêtes sur des menaces envers la sécurité du Canada. La partie VI reconnaît le caractère exceptionnellement attentatoire de la surveillance électronique, en ce qu’elle permet l’interception de communications </w:t>
      </w:r>
      <w:r w:rsidRPr="00790B4B">
        <w:rPr>
          <w:sz w:val="20"/>
          <w:lang w:val="fr-CA"/>
        </w:rPr>
        <w:lastRenderedPageBreak/>
        <w:t xml:space="preserve">privées par l’État </w:t>
      </w:r>
      <w:r w:rsidRPr="00790B4B">
        <w:rPr>
          <w:i/>
          <w:sz w:val="20"/>
          <w:lang w:val="fr-CA"/>
        </w:rPr>
        <w:t>uniquement</w:t>
      </w:r>
      <w:r w:rsidRPr="00790B4B">
        <w:rPr>
          <w:sz w:val="20"/>
          <w:lang w:val="fr-CA"/>
        </w:rPr>
        <w:t xml:space="preserve"> si certaines garanties expresses sont respectées. Tant qu’il n’a pas été statué sur la légalité d’une interception contestée, les communications interceptées ne sont pas admissibles dans une instance pénale. </w:t>
      </w:r>
    </w:p>
    <w:p w:rsidR="00CC38D9" w:rsidRDefault="00CC38D9" w:rsidP="00CC38D9">
      <w:pPr>
        <w:pStyle w:val="SCCNormalDoubleSpacing"/>
        <w:spacing w:line="240" w:lineRule="auto"/>
        <w:rPr>
          <w:sz w:val="20"/>
          <w:lang w:val="fr-CA"/>
        </w:rPr>
      </w:pPr>
    </w:p>
    <w:p w:rsidR="00CC38D9" w:rsidRPr="00790B4B" w:rsidRDefault="00CC38D9" w:rsidP="00CC38D9">
      <w:pPr>
        <w:pStyle w:val="SCCNormalDoubleSpacing"/>
        <w:spacing w:line="240" w:lineRule="auto"/>
        <w:rPr>
          <w:sz w:val="20"/>
          <w:lang w:val="fr-CA"/>
        </w:rPr>
      </w:pPr>
      <w:r w:rsidRPr="00790B4B">
        <w:rPr>
          <w:sz w:val="20"/>
          <w:lang w:val="fr-CA"/>
        </w:rPr>
        <w:tab/>
        <w:t>L’alinéa 193(2)</w:t>
      </w:r>
      <w:r w:rsidRPr="00790B4B">
        <w:rPr>
          <w:i/>
          <w:sz w:val="20"/>
          <w:lang w:val="fr-CA"/>
        </w:rPr>
        <w:t>a</w:t>
      </w:r>
      <w:r w:rsidRPr="00790B4B">
        <w:rPr>
          <w:sz w:val="20"/>
          <w:lang w:val="fr-CA"/>
        </w:rPr>
        <w:t>) ne devrait pas être interprété d’une manière qui écarte les mesures de protection de la vie privée que prévoit la partie VI. Cette disposition ne crée pas un droit d’accès aux communications interceptées et ne peut être invoquée pour prévenir une décision judiciaire relative à la validité d’interceptions. Tant que la validité de ces interceptions n’a pas été constatée ou concédée et que les communications interceptées n’ont pas été admises en preuve dans une instance criminelle, elles conservent à toutes fins utiles leur caractère privé et le public ne peut y avoir accès. Le fait de se fonder sur l’al. 193(2)</w:t>
      </w:r>
      <w:r w:rsidRPr="00790B4B">
        <w:rPr>
          <w:i/>
          <w:sz w:val="20"/>
          <w:lang w:val="fr-CA"/>
        </w:rPr>
        <w:t>a</w:t>
      </w:r>
      <w:r w:rsidRPr="00790B4B">
        <w:rPr>
          <w:sz w:val="20"/>
          <w:lang w:val="fr-CA"/>
        </w:rPr>
        <w:t>) afin de permettre à des plaideurs dans une instance civile d’obtenir la divulgation de communications interceptées dans une enquête criminelle — avant qu’une interception contestée ait été jugée légale — permet à ces mêmes plaideurs de bénéficier indirectement d’une technique d’enquête extraordinaire à laquelle ils n’ont autrement pas droit en vertu de la loi.</w:t>
      </w:r>
    </w:p>
    <w:p w:rsidR="00CC38D9" w:rsidRDefault="00CC38D9" w:rsidP="00CC38D9">
      <w:pPr>
        <w:pStyle w:val="SCCNormalDoubleSpacing"/>
        <w:spacing w:line="240" w:lineRule="auto"/>
        <w:rPr>
          <w:sz w:val="20"/>
          <w:lang w:val="fr-CA"/>
        </w:rPr>
      </w:pPr>
    </w:p>
    <w:p w:rsidR="00CC38D9" w:rsidRDefault="00CC38D9" w:rsidP="00CC38D9">
      <w:pPr>
        <w:pStyle w:val="SCCNormalDoubleSpacing"/>
        <w:spacing w:line="240" w:lineRule="auto"/>
        <w:rPr>
          <w:sz w:val="20"/>
          <w:lang w:val="fr-CA"/>
        </w:rPr>
      </w:pPr>
      <w:r w:rsidRPr="00790B4B">
        <w:rPr>
          <w:sz w:val="20"/>
          <w:lang w:val="fr-CA"/>
        </w:rPr>
        <w:tab/>
        <w:t xml:space="preserve">Le droit général au respect de la vie privée ainsi que le droit particulier au respect du secret professionnel sont expressément protégés dans la </w:t>
      </w:r>
      <w:r w:rsidRPr="00790B4B">
        <w:rPr>
          <w:i/>
          <w:sz w:val="20"/>
          <w:lang w:val="fr-CA"/>
        </w:rPr>
        <w:t>Charte des droits et libertés de la personne</w:t>
      </w:r>
      <w:r w:rsidRPr="00790B4B">
        <w:rPr>
          <w:sz w:val="20"/>
          <w:lang w:val="fr-CA"/>
        </w:rPr>
        <w:t xml:space="preserve"> du Québec. Par conséquent, le pouvoir discrétionnaire conféré à l’art. 402 du </w:t>
      </w:r>
      <w:r w:rsidRPr="00790B4B">
        <w:rPr>
          <w:i/>
          <w:sz w:val="20"/>
          <w:lang w:val="fr-CA"/>
        </w:rPr>
        <w:t>Code de procédure civile</w:t>
      </w:r>
      <w:r w:rsidRPr="00790B4B">
        <w:rPr>
          <w:sz w:val="20"/>
          <w:lang w:val="fr-CA"/>
        </w:rPr>
        <w:t xml:space="preserve"> ne devrait pas être interprété d’une manière qui supprimerait la protection scrupuleuse contre la divulgation des communications interceptées prévue par d’autres règles de droit. Cette disposition confère un vaste pouvoir discrétionnaire au juge de première instance, mais ne lui donne pas carte blanche pour ordonner la divulgation de communications jouissant d’une protection légale pratiquement impénétrable, comme le sont les communications privilégiées. Les éléments de preuve recueillis au moyen de mesures de surveillance électronique ont droit à la même protection et, en conséquence, ne se prêtent pas à une mise en balance des intérêts opposés.</w:t>
      </w:r>
    </w:p>
    <w:p w:rsidR="00CC38D9" w:rsidRDefault="00CC38D9" w:rsidP="00CC38D9">
      <w:pPr>
        <w:pStyle w:val="SCCNormalDoubleSpacing"/>
        <w:spacing w:line="240" w:lineRule="auto"/>
        <w:rPr>
          <w:sz w:val="20"/>
          <w:lang w:val="fr-CA"/>
        </w:rPr>
      </w:pPr>
    </w:p>
    <w:p w:rsidR="00CC38D9" w:rsidRPr="00790B4B" w:rsidRDefault="00CC38D9" w:rsidP="00CC38D9">
      <w:pPr>
        <w:pStyle w:val="SCCNormalDoubleSpacing"/>
        <w:spacing w:line="240" w:lineRule="auto"/>
        <w:rPr>
          <w:sz w:val="20"/>
          <w:lang w:val="fr-CA"/>
        </w:rPr>
      </w:pPr>
      <w:r w:rsidRPr="00790B4B">
        <w:rPr>
          <w:sz w:val="20"/>
          <w:lang w:val="fr-CA"/>
        </w:rPr>
        <w:tab/>
        <w:t>POURVOI contre un arrêt de la Cour d’appel du Québec (les juges Morin, Rochon et Vézina), 2012 QCCA 2265, [2012] AZ</w:t>
      </w:r>
      <w:r w:rsidRPr="00790B4B">
        <w:rPr>
          <w:sz w:val="20"/>
          <w:lang w:val="fr-CA"/>
        </w:rPr>
        <w:noBreakHyphen/>
        <w:t>50922387, [2012] J.Q. n</w:t>
      </w:r>
      <w:r w:rsidRPr="00790B4B">
        <w:rPr>
          <w:sz w:val="20"/>
          <w:vertAlign w:val="superscript"/>
          <w:lang w:val="fr-CA"/>
        </w:rPr>
        <w:t>o</w:t>
      </w:r>
      <w:r w:rsidRPr="00790B4B">
        <w:rPr>
          <w:sz w:val="20"/>
          <w:lang w:val="fr-CA"/>
        </w:rPr>
        <w:t> 16661 (QL), 2012 CarswellQue 13421, qui a refusé la permission d’appeler d’une décision de la juge Bélanger, 2012 QCCS 2954, [2012] AZ</w:t>
      </w:r>
      <w:r w:rsidRPr="00790B4B">
        <w:rPr>
          <w:sz w:val="20"/>
          <w:lang w:val="fr-CA"/>
        </w:rPr>
        <w:noBreakHyphen/>
        <w:t>50869641, [2012] J.Q. n</w:t>
      </w:r>
      <w:r w:rsidRPr="00790B4B">
        <w:rPr>
          <w:sz w:val="20"/>
          <w:vertAlign w:val="superscript"/>
          <w:lang w:val="fr-CA"/>
        </w:rPr>
        <w:t>o</w:t>
      </w:r>
      <w:r w:rsidRPr="00790B4B">
        <w:rPr>
          <w:sz w:val="20"/>
          <w:lang w:val="fr-CA"/>
        </w:rPr>
        <w:t> 6264 (QL), 2012 CarswellQue 6715.  Pourvoi rejeté, la juge Abella est dissidente.</w:t>
      </w:r>
    </w:p>
    <w:p w:rsidR="00CC38D9" w:rsidRDefault="00CC38D9" w:rsidP="00CC38D9">
      <w:pPr>
        <w:pStyle w:val="SCCNormalDoubleSpacing"/>
        <w:spacing w:line="240" w:lineRule="auto"/>
        <w:rPr>
          <w:sz w:val="20"/>
          <w:lang w:val="fr-CA"/>
        </w:rPr>
      </w:pPr>
    </w:p>
    <w:p w:rsidR="00CC38D9" w:rsidRPr="00790B4B" w:rsidRDefault="00CC38D9" w:rsidP="00CC38D9">
      <w:pPr>
        <w:pStyle w:val="SCCNormalDoubleSpacing"/>
        <w:spacing w:line="240" w:lineRule="auto"/>
        <w:rPr>
          <w:sz w:val="20"/>
          <w:lang w:val="fr-CA"/>
        </w:rPr>
      </w:pPr>
      <w:r w:rsidRPr="00790B4B">
        <w:rPr>
          <w:sz w:val="20"/>
          <w:lang w:val="fr-CA"/>
        </w:rPr>
        <w:tab/>
        <w:t>POURVOI contre un arrêt de la Cour d’appel du Québec (les juges Morin, Rochon et Vézina), 2012 QCCA 2266, [2012] AZ</w:t>
      </w:r>
      <w:r w:rsidRPr="00790B4B">
        <w:rPr>
          <w:sz w:val="20"/>
          <w:lang w:val="fr-CA"/>
        </w:rPr>
        <w:noBreakHyphen/>
        <w:t>50922388, [2012] J.Q. n</w:t>
      </w:r>
      <w:r w:rsidRPr="00790B4B">
        <w:rPr>
          <w:sz w:val="20"/>
          <w:vertAlign w:val="superscript"/>
          <w:lang w:val="fr-CA"/>
        </w:rPr>
        <w:t>o</w:t>
      </w:r>
      <w:r w:rsidRPr="00790B4B">
        <w:rPr>
          <w:sz w:val="20"/>
          <w:lang w:val="fr-CA"/>
        </w:rPr>
        <w:t> 16662 (QL), 2012 CarswellQue 13424, qui a refusé la permission d’appeler d’une décision de la juge Bélanger, 2012 QCCS 2954, [2012] AZ</w:t>
      </w:r>
      <w:r w:rsidRPr="00790B4B">
        <w:rPr>
          <w:sz w:val="20"/>
          <w:lang w:val="fr-CA"/>
        </w:rPr>
        <w:noBreakHyphen/>
        <w:t>50869641, [2012] J.Q. n</w:t>
      </w:r>
      <w:r w:rsidRPr="00790B4B">
        <w:rPr>
          <w:sz w:val="20"/>
          <w:vertAlign w:val="superscript"/>
          <w:lang w:val="fr-CA"/>
        </w:rPr>
        <w:t>o</w:t>
      </w:r>
      <w:r w:rsidRPr="00790B4B">
        <w:rPr>
          <w:sz w:val="20"/>
          <w:lang w:val="fr-CA"/>
        </w:rPr>
        <w:t> 6264 (QL), 2012 CarswellQue 6715.  Pourvoi rejeté, la juge Abella est dissidente.</w:t>
      </w:r>
    </w:p>
    <w:p w:rsidR="00CC38D9" w:rsidRDefault="00CC38D9" w:rsidP="00CC38D9">
      <w:pPr>
        <w:pStyle w:val="SCCNormalDoubleSpacing"/>
        <w:spacing w:line="240" w:lineRule="auto"/>
        <w:rPr>
          <w:rStyle w:val="SCCCounselNameChar"/>
          <w:sz w:val="20"/>
          <w:lang w:val="fr-CA"/>
        </w:rPr>
      </w:pPr>
    </w:p>
    <w:p w:rsidR="00CC38D9" w:rsidRPr="00790B4B" w:rsidRDefault="00CC38D9" w:rsidP="00CC38D9">
      <w:pPr>
        <w:pStyle w:val="SCCNormalDoubleSpacing"/>
        <w:spacing w:line="240" w:lineRule="auto"/>
        <w:rPr>
          <w:sz w:val="20"/>
          <w:lang w:val="fr-CA"/>
        </w:rPr>
      </w:pPr>
      <w:r w:rsidRPr="00790B4B">
        <w:rPr>
          <w:rStyle w:val="SCCCounselNameChar"/>
          <w:sz w:val="20"/>
          <w:lang w:val="fr-CA"/>
        </w:rPr>
        <w:tab/>
        <w:t>Billy Katelanos</w:t>
      </w:r>
      <w:r w:rsidRPr="00790B4B">
        <w:rPr>
          <w:rStyle w:val="SCCCounselSeparatorChar"/>
          <w:sz w:val="20"/>
        </w:rPr>
        <w:t xml:space="preserve">, </w:t>
      </w:r>
      <w:r w:rsidRPr="00790B4B">
        <w:rPr>
          <w:rStyle w:val="SCCCounselNameChar"/>
          <w:sz w:val="20"/>
          <w:lang w:val="fr-CA"/>
        </w:rPr>
        <w:t>Paule Hamelin</w:t>
      </w:r>
      <w:r w:rsidRPr="00790B4B">
        <w:rPr>
          <w:rStyle w:val="SCCCounselSeparatorChar"/>
          <w:sz w:val="20"/>
        </w:rPr>
        <w:t xml:space="preserve"> et </w:t>
      </w:r>
      <w:r w:rsidRPr="00790B4B">
        <w:rPr>
          <w:rStyle w:val="SCCCounselNameChar"/>
          <w:sz w:val="20"/>
          <w:lang w:val="fr-CA"/>
        </w:rPr>
        <w:t>Guy Régimbald</w:t>
      </w:r>
      <w:r w:rsidRPr="00790B4B">
        <w:rPr>
          <w:rStyle w:val="SCCCounselPartyRoleChar"/>
          <w:sz w:val="20"/>
          <w:lang w:val="fr-CA"/>
        </w:rPr>
        <w:t>, pour l’appelante Pétrolière Impériale.</w:t>
      </w:r>
    </w:p>
    <w:p w:rsidR="00CC38D9" w:rsidRDefault="00CC38D9" w:rsidP="00CC38D9">
      <w:pPr>
        <w:pStyle w:val="SCCNormalDoubleSpacing"/>
        <w:spacing w:line="240" w:lineRule="auto"/>
        <w:rPr>
          <w:rStyle w:val="SCCCounselNameChar"/>
          <w:sz w:val="20"/>
          <w:lang w:val="fr-CA"/>
        </w:rPr>
      </w:pPr>
    </w:p>
    <w:p w:rsidR="00CC38D9" w:rsidRPr="00790B4B" w:rsidRDefault="00CC38D9" w:rsidP="00CC38D9">
      <w:pPr>
        <w:pStyle w:val="SCCNormalDoubleSpacing"/>
        <w:spacing w:line="240" w:lineRule="auto"/>
        <w:rPr>
          <w:rStyle w:val="SCCCounselSeparatorChar"/>
          <w:sz w:val="20"/>
        </w:rPr>
      </w:pPr>
      <w:r w:rsidRPr="00790B4B">
        <w:rPr>
          <w:rStyle w:val="SCCCounselNameChar"/>
          <w:sz w:val="20"/>
          <w:lang w:val="fr-CA"/>
        </w:rPr>
        <w:tab/>
        <w:t>Jean</w:t>
      </w:r>
      <w:r w:rsidRPr="00790B4B">
        <w:rPr>
          <w:rStyle w:val="SCCCounselNameChar"/>
          <w:sz w:val="20"/>
          <w:lang w:val="fr-CA"/>
        </w:rPr>
        <w:noBreakHyphen/>
        <w:t>Philippe Groleau</w:t>
      </w:r>
      <w:r w:rsidRPr="00790B4B">
        <w:rPr>
          <w:rStyle w:val="SCCCounselPartyRoleChar"/>
          <w:sz w:val="20"/>
          <w:lang w:val="fr-CA"/>
        </w:rPr>
        <w:t xml:space="preserve">, </w:t>
      </w:r>
      <w:r w:rsidRPr="00790B4B">
        <w:rPr>
          <w:rStyle w:val="SCCCounselNameChar"/>
          <w:sz w:val="20"/>
          <w:lang w:val="fr-CA"/>
        </w:rPr>
        <w:t>Louis</w:t>
      </w:r>
      <w:r w:rsidRPr="00790B4B">
        <w:rPr>
          <w:rStyle w:val="SCCCounselNameChar"/>
          <w:sz w:val="20"/>
          <w:lang w:val="fr-CA"/>
        </w:rPr>
        <w:noBreakHyphen/>
        <w:t>Martin O’Neil</w:t>
      </w:r>
      <w:r w:rsidRPr="00790B4B">
        <w:rPr>
          <w:rStyle w:val="SCCCounselSeparatorChar"/>
          <w:sz w:val="20"/>
        </w:rPr>
        <w:t xml:space="preserve">, </w:t>
      </w:r>
      <w:r w:rsidRPr="00790B4B">
        <w:rPr>
          <w:rStyle w:val="SCCCounselNameChar"/>
          <w:sz w:val="20"/>
          <w:lang w:val="fr-CA"/>
        </w:rPr>
        <w:t>Louis Belleau</w:t>
      </w:r>
      <w:r w:rsidRPr="00790B4B">
        <w:rPr>
          <w:rStyle w:val="SCCCounselSeparatorChar"/>
          <w:sz w:val="20"/>
        </w:rPr>
        <w:t xml:space="preserve">, </w:t>
      </w:r>
      <w:r w:rsidRPr="00790B4B">
        <w:rPr>
          <w:rStyle w:val="SCCCounselNameChar"/>
          <w:sz w:val="20"/>
          <w:lang w:val="fr-CA"/>
        </w:rPr>
        <w:t>Julie Chenette, Sylvain Lussier</w:t>
      </w:r>
      <w:r w:rsidRPr="00790B4B">
        <w:rPr>
          <w:rStyle w:val="SCCCounselSeparatorChar"/>
          <w:sz w:val="20"/>
        </w:rPr>
        <w:t xml:space="preserve">, </w:t>
      </w:r>
      <w:r w:rsidRPr="00790B4B">
        <w:rPr>
          <w:rStyle w:val="SCCCounselNameChar"/>
          <w:sz w:val="20"/>
          <w:lang w:val="fr-CA"/>
        </w:rPr>
        <w:t>Elizabeth Meloche</w:t>
      </w:r>
      <w:r w:rsidRPr="00790B4B">
        <w:rPr>
          <w:rStyle w:val="SCCCounselPartyRoleChar"/>
          <w:sz w:val="20"/>
          <w:lang w:val="fr-CA"/>
        </w:rPr>
        <w:t xml:space="preserve">, </w:t>
      </w:r>
      <w:r w:rsidRPr="00790B4B">
        <w:rPr>
          <w:rStyle w:val="SCCCounselNameChar"/>
          <w:sz w:val="20"/>
          <w:lang w:val="fr-CA"/>
        </w:rPr>
        <w:t>Sidney Elbaz</w:t>
      </w:r>
      <w:r w:rsidRPr="00790B4B">
        <w:rPr>
          <w:rStyle w:val="SCCCounselSeparatorChar"/>
          <w:sz w:val="20"/>
        </w:rPr>
        <w:t xml:space="preserve">, </w:t>
      </w:r>
      <w:r w:rsidRPr="00790B4B">
        <w:rPr>
          <w:rStyle w:val="SCCCounselNameChar"/>
          <w:sz w:val="20"/>
          <w:lang w:val="fr-CA"/>
        </w:rPr>
        <w:t>Rachel April Giguère</w:t>
      </w:r>
      <w:r w:rsidRPr="00790B4B">
        <w:rPr>
          <w:rStyle w:val="SCCCounselPartyRoleChar"/>
          <w:sz w:val="20"/>
          <w:lang w:val="fr-CA"/>
        </w:rPr>
        <w:t xml:space="preserve">, </w:t>
      </w:r>
      <w:r w:rsidRPr="00790B4B">
        <w:rPr>
          <w:rStyle w:val="SCCCounselNameChar"/>
          <w:sz w:val="20"/>
          <w:lang w:val="fr-CA"/>
        </w:rPr>
        <w:t>Marie</w:t>
      </w:r>
      <w:r w:rsidRPr="00790B4B">
        <w:rPr>
          <w:rStyle w:val="SCCCounselNameChar"/>
          <w:sz w:val="20"/>
          <w:lang w:val="fr-CA"/>
        </w:rPr>
        <w:noBreakHyphen/>
        <w:t>Geneviève Masson, Pascale Cloutier</w:t>
      </w:r>
      <w:r w:rsidRPr="00790B4B">
        <w:rPr>
          <w:rStyle w:val="SCCCounselSeparatorChar"/>
          <w:sz w:val="20"/>
        </w:rPr>
        <w:t xml:space="preserve"> et </w:t>
      </w:r>
      <w:r w:rsidRPr="00790B4B">
        <w:rPr>
          <w:rStyle w:val="SCCCounselNameChar"/>
          <w:sz w:val="20"/>
          <w:lang w:val="fr-CA"/>
        </w:rPr>
        <w:t>Fadi Amine, pour les appelants Couche</w:t>
      </w:r>
      <w:r w:rsidRPr="00790B4B">
        <w:rPr>
          <w:rStyle w:val="SCCCounselNameChar"/>
          <w:sz w:val="20"/>
          <w:lang w:val="fr-CA"/>
        </w:rPr>
        <w:noBreakHyphen/>
        <w:t>Tard inc. et autres.</w:t>
      </w:r>
    </w:p>
    <w:p w:rsidR="00CC38D9" w:rsidRDefault="00CC38D9" w:rsidP="00CC38D9">
      <w:pPr>
        <w:pStyle w:val="SCCNormalDoubleSpacing"/>
        <w:spacing w:line="240" w:lineRule="auto"/>
        <w:rPr>
          <w:rStyle w:val="SCCCounselNameChar"/>
          <w:i w:val="0"/>
          <w:sz w:val="20"/>
          <w:lang w:val="fr-CA"/>
        </w:rPr>
      </w:pPr>
    </w:p>
    <w:p w:rsidR="00CC38D9" w:rsidRPr="00790B4B" w:rsidRDefault="00CC38D9" w:rsidP="00CC38D9">
      <w:pPr>
        <w:pStyle w:val="SCCNormalDoubleSpacing"/>
        <w:spacing w:line="240" w:lineRule="auto"/>
        <w:rPr>
          <w:rStyle w:val="SCCCounselNameChar"/>
          <w:i w:val="0"/>
          <w:sz w:val="20"/>
          <w:lang w:val="fr-CA"/>
        </w:rPr>
      </w:pPr>
      <w:r w:rsidRPr="00790B4B">
        <w:rPr>
          <w:rStyle w:val="SCCCounselNameChar"/>
          <w:sz w:val="20"/>
          <w:lang w:val="fr-CA"/>
        </w:rPr>
        <w:tab/>
        <w:t>Louis P. Bélanger et Julie Girard, pour l’appelante Ultramar ltée.</w:t>
      </w:r>
    </w:p>
    <w:p w:rsidR="00CC38D9" w:rsidRDefault="00CC38D9" w:rsidP="00CC38D9">
      <w:pPr>
        <w:pStyle w:val="SCCNormalDoubleSpacing"/>
        <w:spacing w:line="240" w:lineRule="auto"/>
        <w:rPr>
          <w:rStyle w:val="SCCCounselNameChar"/>
          <w:sz w:val="20"/>
          <w:lang w:val="fr-CA"/>
        </w:rPr>
      </w:pPr>
    </w:p>
    <w:p w:rsidR="00CC38D9" w:rsidRPr="00790B4B" w:rsidRDefault="00CC38D9" w:rsidP="00CC38D9">
      <w:pPr>
        <w:pStyle w:val="SCCNormalDoubleSpacing"/>
        <w:spacing w:line="240" w:lineRule="auto"/>
        <w:rPr>
          <w:rStyle w:val="SCCCounselPartyRoleChar"/>
          <w:sz w:val="20"/>
          <w:lang w:val="fr-CA"/>
        </w:rPr>
      </w:pPr>
      <w:r w:rsidRPr="00790B4B">
        <w:rPr>
          <w:rStyle w:val="SCCCounselNameChar"/>
          <w:sz w:val="20"/>
          <w:lang w:val="fr-CA"/>
        </w:rPr>
        <w:tab/>
        <w:t>Pierre LeBel</w:t>
      </w:r>
      <w:r w:rsidRPr="00790B4B">
        <w:rPr>
          <w:rStyle w:val="SCCCounselSeparatorChar"/>
          <w:sz w:val="20"/>
        </w:rPr>
        <w:t xml:space="preserve">, </w:t>
      </w:r>
      <w:r w:rsidRPr="00790B4B">
        <w:rPr>
          <w:rStyle w:val="SCCCounselNameChar"/>
          <w:sz w:val="20"/>
          <w:lang w:val="fr-CA"/>
        </w:rPr>
        <w:t>Guy Paquette, Nicolas Guimond</w:t>
      </w:r>
      <w:r w:rsidRPr="00790B4B">
        <w:rPr>
          <w:rStyle w:val="SCCCounselSeparatorChar"/>
          <w:sz w:val="20"/>
        </w:rPr>
        <w:t xml:space="preserve"> et </w:t>
      </w:r>
      <w:r w:rsidRPr="00790B4B">
        <w:rPr>
          <w:rStyle w:val="SCCCounselNameChar"/>
          <w:sz w:val="20"/>
          <w:lang w:val="fr-CA"/>
        </w:rPr>
        <w:t>Claudia Lalancette</w:t>
      </w:r>
      <w:r w:rsidRPr="00790B4B">
        <w:rPr>
          <w:rStyle w:val="SCCCounselPartyRoleChar"/>
          <w:sz w:val="20"/>
          <w:lang w:val="fr-CA"/>
        </w:rPr>
        <w:t>, pour les intimés Simon Jacques et autres.</w:t>
      </w:r>
    </w:p>
    <w:p w:rsidR="00CC38D9" w:rsidRDefault="00CC38D9" w:rsidP="00CC38D9">
      <w:pPr>
        <w:pStyle w:val="SCCNormalDoubleSpacing"/>
        <w:spacing w:line="240" w:lineRule="auto"/>
        <w:rPr>
          <w:rStyle w:val="SCCCounselNameChar"/>
          <w:sz w:val="20"/>
          <w:lang w:val="fr-CA"/>
        </w:rPr>
      </w:pPr>
    </w:p>
    <w:p w:rsidR="00CC38D9" w:rsidRPr="00790B4B" w:rsidRDefault="00CC38D9" w:rsidP="00CC38D9">
      <w:pPr>
        <w:pStyle w:val="SCCNormalDoubleSpacing"/>
        <w:spacing w:line="240" w:lineRule="auto"/>
        <w:rPr>
          <w:sz w:val="20"/>
          <w:lang w:val="fr-CA"/>
        </w:rPr>
      </w:pPr>
      <w:r w:rsidRPr="00790B4B">
        <w:rPr>
          <w:rStyle w:val="SCCCounselNameChar"/>
          <w:sz w:val="20"/>
          <w:lang w:val="fr-CA"/>
        </w:rPr>
        <w:tab/>
        <w:t>Dominique A. Jobin, Patricia Blair</w:t>
      </w:r>
      <w:r w:rsidRPr="00790B4B">
        <w:rPr>
          <w:rStyle w:val="SCCCounselSeparatorChar"/>
          <w:sz w:val="20"/>
        </w:rPr>
        <w:t xml:space="preserve">, </w:t>
      </w:r>
      <w:r w:rsidRPr="00790B4B">
        <w:rPr>
          <w:rStyle w:val="SCCCounselNameChar"/>
          <w:sz w:val="20"/>
          <w:lang w:val="fr-CA"/>
        </w:rPr>
        <w:t>Émilie</w:t>
      </w:r>
      <w:r w:rsidRPr="00790B4B">
        <w:rPr>
          <w:rStyle w:val="SCCCounselNameChar"/>
          <w:sz w:val="20"/>
          <w:lang w:val="fr-CA"/>
        </w:rPr>
        <w:noBreakHyphen/>
        <w:t>Annick Landry</w:t>
      </w:r>
      <w:r w:rsidRPr="00790B4B">
        <w:rPr>
          <w:rStyle w:val="SCCCounselNameChar"/>
          <w:sz w:val="20"/>
          <w:lang w:val="fr-CA"/>
        </w:rPr>
        <w:noBreakHyphen/>
        <w:t>Therriault et Jean</w:t>
      </w:r>
      <w:r w:rsidRPr="00790B4B">
        <w:rPr>
          <w:rStyle w:val="SCCCounselNameChar"/>
          <w:sz w:val="20"/>
          <w:lang w:val="fr-CA"/>
        </w:rPr>
        <w:noBreakHyphen/>
        <w:t>Vincent Lacroix</w:t>
      </w:r>
      <w:r w:rsidRPr="00790B4B">
        <w:rPr>
          <w:rStyle w:val="SCCCounselSeparatorChar"/>
          <w:sz w:val="20"/>
        </w:rPr>
        <w:t xml:space="preserve">, </w:t>
      </w:r>
      <w:r w:rsidRPr="00790B4B">
        <w:rPr>
          <w:rStyle w:val="SCCCounselPartyRoleChar"/>
          <w:sz w:val="20"/>
          <w:lang w:val="fr-CA"/>
        </w:rPr>
        <w:t>pour l’intimé le procureur général du Québec.</w:t>
      </w:r>
    </w:p>
    <w:p w:rsidR="00CC38D9" w:rsidRDefault="00CC38D9" w:rsidP="00CC38D9">
      <w:pPr>
        <w:pStyle w:val="SCCNormalDoubleSpacing"/>
        <w:spacing w:line="240" w:lineRule="auto"/>
        <w:rPr>
          <w:rStyle w:val="SCCCounselNameChar"/>
          <w:sz w:val="20"/>
          <w:lang w:val="fr-CA"/>
        </w:rPr>
      </w:pPr>
    </w:p>
    <w:p w:rsidR="00CC38D9" w:rsidRPr="00790B4B" w:rsidRDefault="00CC38D9" w:rsidP="00CC38D9">
      <w:pPr>
        <w:pStyle w:val="SCCNormalDoubleSpacing"/>
        <w:spacing w:line="240" w:lineRule="auto"/>
        <w:rPr>
          <w:sz w:val="20"/>
          <w:lang w:val="fr-CA"/>
        </w:rPr>
      </w:pPr>
      <w:r w:rsidRPr="00790B4B">
        <w:rPr>
          <w:rStyle w:val="SCCCounselNameChar"/>
          <w:sz w:val="20"/>
          <w:lang w:val="fr-CA"/>
        </w:rPr>
        <w:tab/>
        <w:t>François Lacasse et Stéphane Hould</w:t>
      </w:r>
      <w:r w:rsidRPr="00790B4B">
        <w:rPr>
          <w:rStyle w:val="SCCCounselPartyRoleChar"/>
          <w:sz w:val="20"/>
          <w:lang w:val="fr-CA"/>
        </w:rPr>
        <w:t>, pour l’intimé le directeur des poursuites pénales du Canada.</w:t>
      </w:r>
    </w:p>
    <w:p w:rsidR="00CC38D9" w:rsidRDefault="00CC38D9" w:rsidP="00CC38D9">
      <w:pPr>
        <w:pStyle w:val="SCCNormalDoubleSpacing"/>
        <w:spacing w:line="240" w:lineRule="auto"/>
        <w:rPr>
          <w:rStyle w:val="SCCCounselNameChar"/>
          <w:sz w:val="20"/>
          <w:lang w:val="fr-CA"/>
        </w:rPr>
      </w:pPr>
    </w:p>
    <w:p w:rsidR="00CC38D9" w:rsidRPr="00790B4B" w:rsidRDefault="00CC38D9" w:rsidP="00CC38D9">
      <w:pPr>
        <w:pStyle w:val="SCCNormalDoubleSpacing"/>
        <w:spacing w:line="240" w:lineRule="auto"/>
        <w:rPr>
          <w:sz w:val="20"/>
          <w:lang w:val="fr-CA"/>
        </w:rPr>
      </w:pPr>
      <w:r w:rsidRPr="00790B4B">
        <w:rPr>
          <w:rStyle w:val="SCCCounselNameChar"/>
          <w:sz w:val="20"/>
          <w:lang w:val="fr-CA"/>
        </w:rPr>
        <w:tab/>
        <w:t>Deborah Calderwood et Megan Stephens</w:t>
      </w:r>
      <w:r w:rsidRPr="00790B4B">
        <w:rPr>
          <w:rStyle w:val="SCCCounselPartyRoleChar"/>
          <w:sz w:val="20"/>
          <w:lang w:val="fr-CA"/>
        </w:rPr>
        <w:t>, pour l’intervenant le procureur général de l’Ontario.</w:t>
      </w:r>
    </w:p>
    <w:p w:rsidR="00CC38D9" w:rsidRDefault="00CC38D9" w:rsidP="00CC38D9">
      <w:pPr>
        <w:pStyle w:val="SCCLawFirm"/>
        <w:spacing w:line="240" w:lineRule="auto"/>
        <w:rPr>
          <w:sz w:val="20"/>
          <w:lang w:val="fr-CA"/>
        </w:rPr>
      </w:pPr>
    </w:p>
    <w:p w:rsidR="00CC38D9" w:rsidRPr="00790B4B" w:rsidRDefault="00CC38D9" w:rsidP="00CC38D9">
      <w:pPr>
        <w:pStyle w:val="SCCLawFirm"/>
        <w:spacing w:line="240" w:lineRule="auto"/>
        <w:rPr>
          <w:sz w:val="20"/>
          <w:lang w:val="fr-CA"/>
        </w:rPr>
      </w:pPr>
      <w:r w:rsidRPr="00790B4B">
        <w:rPr>
          <w:sz w:val="20"/>
          <w:lang w:val="fr-CA"/>
        </w:rPr>
        <w:tab/>
        <w:t>Procureurs de l’appelante Pétrolière Impériale : Gowling Lafleur Henderson, Montréal et Ottawa.</w:t>
      </w:r>
    </w:p>
    <w:p w:rsidR="00CC38D9" w:rsidRDefault="00CC38D9" w:rsidP="00CC38D9">
      <w:pPr>
        <w:pStyle w:val="SCCNormalDoubleSpacing"/>
        <w:spacing w:line="240" w:lineRule="auto"/>
        <w:rPr>
          <w:rStyle w:val="SCCCounselNameChar"/>
          <w:sz w:val="20"/>
          <w:lang w:val="fr-CA"/>
        </w:rPr>
      </w:pPr>
    </w:p>
    <w:p w:rsidR="00CC38D9" w:rsidRPr="00790B4B" w:rsidRDefault="00CC38D9" w:rsidP="00CC38D9">
      <w:pPr>
        <w:pStyle w:val="SCCNormalDoubleSpacing"/>
        <w:spacing w:line="240" w:lineRule="auto"/>
        <w:rPr>
          <w:rStyle w:val="SCCCounselSeparatorChar"/>
          <w:i/>
          <w:sz w:val="20"/>
        </w:rPr>
      </w:pPr>
      <w:r w:rsidRPr="00790B4B">
        <w:rPr>
          <w:rStyle w:val="SCCCounselNameChar"/>
          <w:sz w:val="20"/>
          <w:lang w:val="fr-CA"/>
        </w:rPr>
        <w:lastRenderedPageBreak/>
        <w:tab/>
        <w:t>Procureurs des appelants Couche</w:t>
      </w:r>
      <w:r w:rsidRPr="00790B4B">
        <w:rPr>
          <w:rStyle w:val="SCCCounselNameChar"/>
          <w:sz w:val="20"/>
          <w:lang w:val="fr-CA"/>
        </w:rPr>
        <w:noBreakHyphen/>
        <w:t>Tard inc. et autres : Davies Ward Phillips &amp; Vineberg, Montréal; Louis Belleau, Montréal; Chenette, Boutique de litige, Montréal; Osler Hoskin &amp; Harcourt, Montréal; McMillan, Montréal; Langlois Kronström Desjardins, Montréal; Miller Thomson, Toronto; Miller Thomson Pouliot, Montréal.</w:t>
      </w:r>
    </w:p>
    <w:p w:rsidR="00CC38D9" w:rsidRDefault="00CC38D9" w:rsidP="00CC38D9">
      <w:pPr>
        <w:pStyle w:val="SCCNormalDoubleSpacing"/>
        <w:spacing w:line="240" w:lineRule="auto"/>
        <w:rPr>
          <w:rStyle w:val="SCCCounselNameChar"/>
          <w:sz w:val="20"/>
          <w:lang w:val="fr-CA"/>
        </w:rPr>
      </w:pPr>
    </w:p>
    <w:p w:rsidR="00CC38D9" w:rsidRPr="00790B4B" w:rsidRDefault="00CC38D9" w:rsidP="00CC38D9">
      <w:pPr>
        <w:pStyle w:val="SCCNormalDoubleSpacing"/>
        <w:spacing w:line="240" w:lineRule="auto"/>
        <w:rPr>
          <w:rStyle w:val="SCCCounselNameChar"/>
          <w:sz w:val="20"/>
          <w:lang w:val="fr-CA"/>
        </w:rPr>
      </w:pPr>
      <w:r w:rsidRPr="00790B4B">
        <w:rPr>
          <w:rStyle w:val="SCCCounselNameChar"/>
          <w:sz w:val="20"/>
          <w:lang w:val="fr-CA"/>
        </w:rPr>
        <w:tab/>
        <w:t>Procureurs de l’appelante Ultramar ltée : Stikeman Elliott, Montréal.</w:t>
      </w:r>
    </w:p>
    <w:p w:rsidR="00CC38D9" w:rsidRDefault="00CC38D9" w:rsidP="00CC38D9">
      <w:pPr>
        <w:pStyle w:val="SCCNormalDoubleSpacing"/>
        <w:spacing w:line="240" w:lineRule="auto"/>
        <w:rPr>
          <w:rStyle w:val="SCCCounselNameChar"/>
          <w:sz w:val="20"/>
          <w:lang w:val="fr-CA"/>
        </w:rPr>
      </w:pPr>
    </w:p>
    <w:p w:rsidR="00CC38D9" w:rsidRPr="00790B4B" w:rsidRDefault="00CC38D9" w:rsidP="00CC38D9">
      <w:pPr>
        <w:pStyle w:val="SCCNormalDoubleSpacing"/>
        <w:spacing w:line="240" w:lineRule="auto"/>
        <w:rPr>
          <w:rStyle w:val="SCCCounselPartyRoleChar"/>
          <w:i/>
          <w:sz w:val="20"/>
          <w:lang w:val="fr-CA"/>
        </w:rPr>
      </w:pPr>
      <w:r w:rsidRPr="00790B4B">
        <w:rPr>
          <w:rStyle w:val="SCCCounselNameChar"/>
          <w:sz w:val="20"/>
          <w:lang w:val="fr-CA"/>
        </w:rPr>
        <w:tab/>
        <w:t>Procureurs des intimés</w:t>
      </w:r>
      <w:r w:rsidRPr="00790B4B">
        <w:rPr>
          <w:rStyle w:val="SCCCounselPartyRoleChar"/>
          <w:i/>
          <w:sz w:val="20"/>
          <w:lang w:val="fr-CA"/>
        </w:rPr>
        <w:t xml:space="preserve"> Simon Jacques et autres : Bernier Beaudry, Québec; Paquette Gadler, Montréal.</w:t>
      </w:r>
    </w:p>
    <w:p w:rsidR="00CC38D9" w:rsidRDefault="00CC38D9" w:rsidP="00CC38D9">
      <w:pPr>
        <w:pStyle w:val="SCCNormalDoubleSpacing"/>
        <w:spacing w:line="240" w:lineRule="auto"/>
        <w:rPr>
          <w:rStyle w:val="SCCCounselNameChar"/>
          <w:sz w:val="20"/>
          <w:lang w:val="fr-CA"/>
        </w:rPr>
      </w:pPr>
    </w:p>
    <w:p w:rsidR="00CC38D9" w:rsidRPr="00790B4B" w:rsidRDefault="00CC38D9" w:rsidP="00CC38D9">
      <w:pPr>
        <w:pStyle w:val="SCCNormalDoubleSpacing"/>
        <w:spacing w:line="240" w:lineRule="auto"/>
        <w:rPr>
          <w:i/>
          <w:sz w:val="20"/>
          <w:lang w:val="fr-CA"/>
        </w:rPr>
      </w:pPr>
      <w:r w:rsidRPr="00790B4B">
        <w:rPr>
          <w:rStyle w:val="SCCCounselNameChar"/>
          <w:sz w:val="20"/>
          <w:lang w:val="fr-CA"/>
        </w:rPr>
        <w:tab/>
        <w:t>Procureurs de l</w:t>
      </w:r>
      <w:r w:rsidRPr="00790B4B">
        <w:rPr>
          <w:rStyle w:val="SCCCounselPartyRoleChar"/>
          <w:i/>
          <w:sz w:val="20"/>
          <w:lang w:val="fr-CA"/>
        </w:rPr>
        <w:t>’intimé le procureur général du Québec : Procureur général du Québec, Québec; Chamberland Gagnon, Québec.</w:t>
      </w:r>
    </w:p>
    <w:p w:rsidR="00CC38D9" w:rsidRDefault="00CC38D9" w:rsidP="00CC38D9">
      <w:pPr>
        <w:pStyle w:val="SCCNormalDoubleSpacing"/>
        <w:spacing w:line="240" w:lineRule="auto"/>
        <w:rPr>
          <w:rStyle w:val="SCCCounselNameChar"/>
          <w:sz w:val="20"/>
          <w:lang w:val="fr-CA"/>
        </w:rPr>
      </w:pPr>
    </w:p>
    <w:p w:rsidR="00CC38D9" w:rsidRPr="00790B4B" w:rsidRDefault="00CC38D9" w:rsidP="00CC38D9">
      <w:pPr>
        <w:pStyle w:val="SCCNormalDoubleSpacing"/>
        <w:spacing w:line="240" w:lineRule="auto"/>
        <w:rPr>
          <w:rStyle w:val="SCCCounselPartyRoleChar"/>
          <w:i/>
          <w:sz w:val="20"/>
          <w:lang w:val="fr-CA"/>
        </w:rPr>
      </w:pPr>
      <w:r w:rsidRPr="00790B4B">
        <w:rPr>
          <w:rStyle w:val="SCCCounselNameChar"/>
          <w:sz w:val="20"/>
          <w:lang w:val="fr-CA"/>
        </w:rPr>
        <w:tab/>
        <w:t>Procureur de l’</w:t>
      </w:r>
      <w:r w:rsidRPr="00790B4B">
        <w:rPr>
          <w:rStyle w:val="SCCCounselPartyRoleChar"/>
          <w:i/>
          <w:sz w:val="20"/>
          <w:lang w:val="fr-CA"/>
        </w:rPr>
        <w:t>intimé le directeur des poursuites pénales du Canada : Service des poursuites pénales du Canada, Ottawa.</w:t>
      </w:r>
    </w:p>
    <w:p w:rsidR="00CC38D9" w:rsidRDefault="00CC38D9" w:rsidP="00CC38D9">
      <w:pPr>
        <w:pStyle w:val="SCCNormalDoubleSpacing"/>
        <w:spacing w:line="240" w:lineRule="auto"/>
        <w:rPr>
          <w:rStyle w:val="SCCCounselPartyRoleChar"/>
          <w:i/>
          <w:sz w:val="20"/>
          <w:lang w:val="fr-CA"/>
        </w:rPr>
      </w:pPr>
    </w:p>
    <w:p w:rsidR="00CC38D9" w:rsidRDefault="00CC38D9" w:rsidP="00CC38D9">
      <w:pPr>
        <w:pStyle w:val="SCCNormalDoubleSpacing"/>
        <w:spacing w:line="240" w:lineRule="auto"/>
        <w:rPr>
          <w:rStyle w:val="SCCCounselPartyRoleChar"/>
          <w:i/>
          <w:sz w:val="20"/>
          <w:lang w:val="fr-CA"/>
        </w:rPr>
      </w:pPr>
      <w:r w:rsidRPr="00790B4B">
        <w:rPr>
          <w:rStyle w:val="SCCCounselPartyRoleChar"/>
          <w:i/>
          <w:sz w:val="20"/>
          <w:lang w:val="fr-CA"/>
        </w:rPr>
        <w:tab/>
        <w:t>Procureur de l’intervenant le procureur général de l’Ontario : Procureur général de l’Ontario, Toronto.</w:t>
      </w:r>
    </w:p>
    <w:p w:rsidR="0052229C" w:rsidRPr="00822540" w:rsidRDefault="0052229C" w:rsidP="0052229C">
      <w:pPr>
        <w:rPr>
          <w:rFonts w:cs="Times New Roman"/>
          <w:sz w:val="20"/>
          <w:szCs w:val="20"/>
        </w:rPr>
      </w:pPr>
      <w:r w:rsidRPr="00822540">
        <w:rPr>
          <w:rFonts w:cs="Times New Roman"/>
          <w:sz w:val="20"/>
          <w:szCs w:val="20"/>
        </w:rPr>
        <w:t>________________________</w:t>
      </w:r>
    </w:p>
    <w:p w:rsidR="0052229C" w:rsidRPr="00822540" w:rsidRDefault="0052229C" w:rsidP="0052229C">
      <w:pPr>
        <w:rPr>
          <w:rFonts w:cs="Times New Roman"/>
          <w:sz w:val="20"/>
          <w:szCs w:val="20"/>
        </w:rPr>
      </w:pPr>
    </w:p>
    <w:p w:rsidR="00CC38D9" w:rsidRPr="008F6A20" w:rsidRDefault="00CC38D9" w:rsidP="00CC38D9">
      <w:pPr>
        <w:jc w:val="both"/>
        <w:rPr>
          <w:sz w:val="20"/>
          <w:szCs w:val="20"/>
        </w:rPr>
      </w:pPr>
      <w:r w:rsidRPr="008F6A20">
        <w:rPr>
          <w:sz w:val="20"/>
          <w:szCs w:val="20"/>
        </w:rPr>
        <w:t>Present:  McLachlin C.J. and LeBel, Abella, Rothstein, Cromwell, Moldaver and Wagner JJ.</w:t>
      </w:r>
    </w:p>
    <w:p w:rsidR="00CC38D9" w:rsidRDefault="00CC38D9" w:rsidP="00CC38D9">
      <w:pPr>
        <w:pStyle w:val="SCCLowerCourtNameLowercase"/>
        <w:spacing w:line="240" w:lineRule="auto"/>
        <w:rPr>
          <w:sz w:val="20"/>
        </w:rPr>
      </w:pPr>
    </w:p>
    <w:p w:rsidR="00CC38D9" w:rsidRPr="008F6A20" w:rsidRDefault="00CC38D9" w:rsidP="00CC38D9">
      <w:pPr>
        <w:pStyle w:val="SCCNormalDoubleSpacing"/>
        <w:spacing w:line="240" w:lineRule="auto"/>
        <w:rPr>
          <w:i/>
          <w:sz w:val="20"/>
        </w:rPr>
      </w:pPr>
      <w:r w:rsidRPr="008F6A20">
        <w:rPr>
          <w:i/>
          <w:sz w:val="20"/>
        </w:rPr>
        <w:tab/>
        <w:t xml:space="preserve">Evidence — Civil procedure — Disclosure — Plaintiffs in class action filing motion for disclosure of documents in which they requested disclosure by third party of recordings of private communications intercepted in course of criminal investigation — Defendants to class action objecting to disclosure on basis of immunities from disclosure provided for in legislation or established by courts — Whether party to civil </w:t>
      </w:r>
      <w:r w:rsidRPr="008F6A20">
        <w:rPr>
          <w:i/>
          <w:sz w:val="20"/>
          <w:lang w:bidi="en-US"/>
        </w:rPr>
        <w:t>proceeding can request disclosure of recordings of private communications intercepted by state in course of criminal investigation</w:t>
      </w:r>
      <w:r w:rsidRPr="008F6A20">
        <w:rPr>
          <w:i/>
          <w:sz w:val="20"/>
        </w:rPr>
        <w:t xml:space="preserve"> — How conditions for and limits on disclosure are to be set — Code of Civil Procedure, CQLR, c. C</w:t>
      </w:r>
      <w:r w:rsidRPr="008F6A20">
        <w:rPr>
          <w:i/>
          <w:sz w:val="20"/>
        </w:rPr>
        <w:noBreakHyphen/>
        <w:t>25, art. 402 — Criminal Code, R.S.C. 1985, c. C</w:t>
      </w:r>
      <w:r w:rsidRPr="008F6A20">
        <w:rPr>
          <w:i/>
          <w:sz w:val="20"/>
        </w:rPr>
        <w:noBreakHyphen/>
        <w:t>46, s. 193(2)(a) — Competition Act, R.S.C. 1985, c. C</w:t>
      </w:r>
      <w:r w:rsidRPr="008F6A20">
        <w:rPr>
          <w:i/>
          <w:sz w:val="20"/>
        </w:rPr>
        <w:noBreakHyphen/>
        <w:t>34, ss. 29, 36.</w:t>
      </w:r>
    </w:p>
    <w:p w:rsidR="00CC38D9" w:rsidRDefault="00CC38D9" w:rsidP="00CC38D9">
      <w:pPr>
        <w:pStyle w:val="SCCNormalDoubleSpacing"/>
        <w:spacing w:line="240" w:lineRule="auto"/>
        <w:rPr>
          <w:sz w:val="20"/>
        </w:rPr>
      </w:pPr>
    </w:p>
    <w:p w:rsidR="00CC38D9" w:rsidRPr="008F6A20" w:rsidRDefault="00CC38D9" w:rsidP="00CC38D9">
      <w:pPr>
        <w:pStyle w:val="SCCNormalDoubleSpacing"/>
        <w:spacing w:line="240" w:lineRule="auto"/>
        <w:rPr>
          <w:sz w:val="20"/>
        </w:rPr>
      </w:pPr>
      <w:r w:rsidRPr="008F6A20">
        <w:rPr>
          <w:sz w:val="20"/>
        </w:rPr>
        <w:tab/>
        <w:t xml:space="preserve">To carry out the “Octane” investigation into allegations of a conspiracy to fix gasoline pump prices in certain regions of Quebec, the Competition Bureau of Canada obtained judicial authorizations under Part VI of the </w:t>
      </w:r>
      <w:r w:rsidRPr="008F6A20">
        <w:rPr>
          <w:i/>
          <w:sz w:val="20"/>
        </w:rPr>
        <w:t>Criminal Code</w:t>
      </w:r>
      <w:r w:rsidRPr="008F6A20">
        <w:rPr>
          <w:sz w:val="20"/>
        </w:rPr>
        <w:t xml:space="preserve"> that enabled it to intercept and record more than 220,000 private communications. As a result of the investigation, charges were laid against 54 persons, including certain of the appellants. </w:t>
      </w:r>
      <w:r w:rsidRPr="008F6A20">
        <w:rPr>
          <w:sz w:val="20"/>
          <w:lang w:bidi="en-US"/>
        </w:rPr>
        <w:t>In parallel with the criminal proceedings, the respondents instituted a class action against a number of persons, including the appellants, alleging that they had engaged in anti</w:t>
      </w:r>
      <w:r w:rsidRPr="008F6A20">
        <w:rPr>
          <w:sz w:val="20"/>
          <w:lang w:bidi="en-US"/>
        </w:rPr>
        <w:noBreakHyphen/>
        <w:t xml:space="preserve">competitive practices in breach of the duties imposed by art. 1457 of the </w:t>
      </w:r>
      <w:r w:rsidRPr="008F6A20">
        <w:rPr>
          <w:i/>
          <w:sz w:val="20"/>
          <w:lang w:bidi="en-US"/>
        </w:rPr>
        <w:t>Civil Code of Québec</w:t>
      </w:r>
      <w:r w:rsidRPr="008F6A20">
        <w:rPr>
          <w:sz w:val="20"/>
          <w:lang w:bidi="en-US"/>
        </w:rPr>
        <w:t xml:space="preserve"> (“</w:t>
      </w:r>
      <w:r w:rsidRPr="008F6A20">
        <w:rPr>
          <w:i/>
          <w:sz w:val="20"/>
          <w:lang w:bidi="en-US"/>
        </w:rPr>
        <w:t>C.C.Q.</w:t>
      </w:r>
      <w:r w:rsidRPr="008F6A20">
        <w:rPr>
          <w:sz w:val="20"/>
          <w:lang w:bidi="en-US"/>
        </w:rPr>
        <w:t xml:space="preserve">”) and s. 36 of the </w:t>
      </w:r>
      <w:r w:rsidRPr="008F6A20">
        <w:rPr>
          <w:i/>
          <w:sz w:val="20"/>
          <w:lang w:bidi="en-US"/>
        </w:rPr>
        <w:t>Competition Act</w:t>
      </w:r>
      <w:r w:rsidRPr="008F6A20">
        <w:rPr>
          <w:sz w:val="20"/>
        </w:rPr>
        <w:t xml:space="preserve">. </w:t>
      </w:r>
      <w:r w:rsidRPr="008F6A20">
        <w:rPr>
          <w:sz w:val="20"/>
          <w:lang w:bidi="en-US"/>
        </w:rPr>
        <w:t xml:space="preserve">In support of their action, they filed, under art. 402 of the </w:t>
      </w:r>
      <w:r w:rsidRPr="008F6A20">
        <w:rPr>
          <w:i/>
          <w:sz w:val="20"/>
          <w:lang w:bidi="en-US"/>
        </w:rPr>
        <w:t>Code of Civil Procedure</w:t>
      </w:r>
      <w:r w:rsidRPr="008F6A20">
        <w:rPr>
          <w:sz w:val="20"/>
          <w:lang w:bidi="en-US"/>
        </w:rPr>
        <w:t xml:space="preserve"> (“</w:t>
      </w:r>
      <w:r w:rsidRPr="008F6A20">
        <w:rPr>
          <w:i/>
          <w:sz w:val="20"/>
          <w:lang w:bidi="en-US"/>
        </w:rPr>
        <w:t>C.C.P.</w:t>
      </w:r>
      <w:r w:rsidRPr="008F6A20">
        <w:rPr>
          <w:sz w:val="20"/>
          <w:lang w:bidi="en-US"/>
        </w:rPr>
        <w:t>”), a motion in which they sought disclosure by the federal Director of Public Prosecutions and the Competition Bureau of the recordings that had already been disclosed to the accused in the parallel criminal proceedings. The appellants contested the motion</w:t>
      </w:r>
      <w:r w:rsidRPr="008F6A20">
        <w:rPr>
          <w:sz w:val="20"/>
        </w:rPr>
        <w:t xml:space="preserve">. </w:t>
      </w:r>
    </w:p>
    <w:p w:rsidR="00CC38D9" w:rsidRDefault="00CC38D9" w:rsidP="00CC38D9">
      <w:pPr>
        <w:pStyle w:val="SCCNormalDoubleSpacing"/>
        <w:spacing w:line="240" w:lineRule="auto"/>
        <w:rPr>
          <w:sz w:val="20"/>
        </w:rPr>
      </w:pPr>
    </w:p>
    <w:p w:rsidR="00CC38D9" w:rsidRPr="008F6A20" w:rsidRDefault="00CC38D9" w:rsidP="00CC38D9">
      <w:pPr>
        <w:pStyle w:val="SCCNormalDoubleSpacing"/>
        <w:spacing w:line="240" w:lineRule="auto"/>
        <w:rPr>
          <w:sz w:val="20"/>
        </w:rPr>
      </w:pPr>
      <w:r w:rsidRPr="008F6A20">
        <w:rPr>
          <w:sz w:val="20"/>
        </w:rPr>
        <w:tab/>
        <w:t>The Superior Court, being of the opinion</w:t>
      </w:r>
      <w:r w:rsidRPr="008F6A20">
        <w:rPr>
          <w:rFonts w:eastAsiaTheme="minorHAnsi"/>
          <w:sz w:val="20"/>
          <w:lang w:eastAsia="en-US" w:bidi="en-US"/>
        </w:rPr>
        <w:t xml:space="preserve"> </w:t>
      </w:r>
      <w:r w:rsidRPr="008F6A20">
        <w:rPr>
          <w:sz w:val="20"/>
          <w:lang w:bidi="en-US"/>
        </w:rPr>
        <w:t xml:space="preserve">that the evidence requested by the respondents was relevant and that neither the </w:t>
      </w:r>
      <w:r w:rsidRPr="008F6A20">
        <w:rPr>
          <w:i/>
          <w:sz w:val="20"/>
          <w:lang w:bidi="en-US"/>
        </w:rPr>
        <w:t>Competition Act</w:t>
      </w:r>
      <w:r w:rsidRPr="008F6A20">
        <w:rPr>
          <w:sz w:val="20"/>
          <w:lang w:bidi="en-US"/>
        </w:rPr>
        <w:t xml:space="preserve"> nor the </w:t>
      </w:r>
      <w:r w:rsidRPr="008F6A20">
        <w:rPr>
          <w:i/>
          <w:sz w:val="20"/>
          <w:lang w:bidi="en-US"/>
        </w:rPr>
        <w:t>Criminal Code</w:t>
      </w:r>
      <w:r w:rsidRPr="008F6A20">
        <w:rPr>
          <w:sz w:val="20"/>
          <w:lang w:bidi="en-US"/>
        </w:rPr>
        <w:t xml:space="preserve"> created an immunity from disclosure, granted the motion</w:t>
      </w:r>
      <w:r w:rsidRPr="008F6A20">
        <w:rPr>
          <w:sz w:val="20"/>
        </w:rPr>
        <w:t xml:space="preserve">. </w:t>
      </w:r>
      <w:r w:rsidRPr="008F6A20">
        <w:rPr>
          <w:sz w:val="20"/>
          <w:lang w:bidi="en-US"/>
        </w:rPr>
        <w:t>To control the disclosure process and the scope of the disclosure</w:t>
      </w:r>
      <w:r w:rsidRPr="008F6A20">
        <w:rPr>
          <w:sz w:val="20"/>
        </w:rPr>
        <w:t xml:space="preserve">, it </w:t>
      </w:r>
      <w:r w:rsidRPr="008F6A20">
        <w:rPr>
          <w:sz w:val="20"/>
          <w:lang w:bidi="en-US"/>
        </w:rPr>
        <w:t>ordered that the Director of Public Prosecutions and the Competition Bureau disclose the requested recordings solely to the lawyers and experts participating in the civil proceedings, and that they screen the recordings to protect the privacy of third parties having nothing whatsoever to do with the proceedings</w:t>
      </w:r>
      <w:r w:rsidRPr="008F6A20">
        <w:rPr>
          <w:sz w:val="20"/>
        </w:rPr>
        <w:t>. The Court of Appeal refused leave to appeal that decision.</w:t>
      </w:r>
    </w:p>
    <w:p w:rsidR="00CC38D9" w:rsidRDefault="00CC38D9" w:rsidP="00CC38D9">
      <w:pPr>
        <w:pStyle w:val="SCCNormalDoubleSpacing"/>
        <w:spacing w:line="240" w:lineRule="auto"/>
        <w:rPr>
          <w:sz w:val="20"/>
        </w:rPr>
      </w:pPr>
    </w:p>
    <w:p w:rsidR="00CC38D9" w:rsidRPr="008F6A20" w:rsidRDefault="00CC38D9" w:rsidP="00CC38D9">
      <w:pPr>
        <w:pStyle w:val="SCCNormalDoubleSpacing"/>
        <w:spacing w:line="240" w:lineRule="auto"/>
        <w:rPr>
          <w:sz w:val="20"/>
        </w:rPr>
      </w:pPr>
      <w:r w:rsidRPr="008F6A20">
        <w:rPr>
          <w:sz w:val="20"/>
        </w:rPr>
        <w:tab/>
      </w:r>
      <w:r w:rsidRPr="008F6A20">
        <w:rPr>
          <w:i/>
          <w:sz w:val="20"/>
        </w:rPr>
        <w:t>Held</w:t>
      </w:r>
      <w:r w:rsidRPr="008F6A20">
        <w:rPr>
          <w:sz w:val="20"/>
        </w:rPr>
        <w:t>:  The appeals should be dismissed.</w:t>
      </w:r>
    </w:p>
    <w:p w:rsidR="00CC38D9" w:rsidRDefault="00CC38D9" w:rsidP="00CC38D9">
      <w:pPr>
        <w:pStyle w:val="SCCNormalDoubleSpacing"/>
        <w:spacing w:line="240" w:lineRule="auto"/>
        <w:rPr>
          <w:sz w:val="20"/>
        </w:rPr>
      </w:pPr>
    </w:p>
    <w:p w:rsidR="00CC38D9" w:rsidRPr="008F6A20" w:rsidRDefault="00CC38D9" w:rsidP="00CC38D9">
      <w:pPr>
        <w:pStyle w:val="SCCNormalDoubleSpacing"/>
        <w:spacing w:line="240" w:lineRule="auto"/>
        <w:rPr>
          <w:sz w:val="20"/>
        </w:rPr>
      </w:pPr>
      <w:r w:rsidRPr="008F6A20">
        <w:rPr>
          <w:sz w:val="20"/>
        </w:rPr>
        <w:tab/>
      </w:r>
      <w:r w:rsidRPr="008F6A20">
        <w:rPr>
          <w:i/>
          <w:sz w:val="20"/>
        </w:rPr>
        <w:t>Per</w:t>
      </w:r>
      <w:r w:rsidRPr="008F6A20">
        <w:rPr>
          <w:sz w:val="20"/>
        </w:rPr>
        <w:t xml:space="preserve"> </w:t>
      </w:r>
      <w:r w:rsidRPr="008F6A20">
        <w:rPr>
          <w:b/>
          <w:sz w:val="20"/>
        </w:rPr>
        <w:t>LeBel</w:t>
      </w:r>
      <w:r w:rsidRPr="008F6A20">
        <w:rPr>
          <w:sz w:val="20"/>
        </w:rPr>
        <w:t xml:space="preserve">, Rothstein, Cromwell, Moldaver and </w:t>
      </w:r>
      <w:r w:rsidRPr="008F6A20">
        <w:rPr>
          <w:b/>
          <w:sz w:val="20"/>
        </w:rPr>
        <w:t>Wagner</w:t>
      </w:r>
      <w:r w:rsidRPr="008F6A20">
        <w:rPr>
          <w:sz w:val="20"/>
        </w:rPr>
        <w:t xml:space="preserve"> JJ.:  A party to a civil proceeding can request the disclosure of recordings of private communications intercepted by the state in the course of a criminal investigation. Although s. 29 of the </w:t>
      </w:r>
      <w:r w:rsidRPr="008F6A20">
        <w:rPr>
          <w:i/>
          <w:sz w:val="20"/>
        </w:rPr>
        <w:t>Competition Act</w:t>
      </w:r>
      <w:r w:rsidRPr="008F6A20">
        <w:rPr>
          <w:sz w:val="20"/>
        </w:rPr>
        <w:t xml:space="preserve"> </w:t>
      </w:r>
      <w:r w:rsidRPr="008F6A20">
        <w:rPr>
          <w:sz w:val="20"/>
          <w:lang w:bidi="en-US"/>
        </w:rPr>
        <w:t>provides for confidentiality of the Competition Bureau’s record of investigation</w:t>
      </w:r>
      <w:r w:rsidRPr="008F6A20">
        <w:rPr>
          <w:sz w:val="20"/>
        </w:rPr>
        <w:t xml:space="preserve">, it does not prohibit the disclosure of private communications intercepted under Part VI of the </w:t>
      </w:r>
      <w:r w:rsidRPr="008F6A20">
        <w:rPr>
          <w:i/>
          <w:sz w:val="20"/>
        </w:rPr>
        <w:t>Criminal Code</w:t>
      </w:r>
      <w:r w:rsidRPr="008F6A20">
        <w:rPr>
          <w:sz w:val="20"/>
        </w:rPr>
        <w:t>, as such communications are not among the types of information referred to in s. 29(1)(</w:t>
      </w:r>
      <w:r w:rsidRPr="008F6A20">
        <w:rPr>
          <w:i/>
          <w:sz w:val="20"/>
        </w:rPr>
        <w:t>a</w:t>
      </w:r>
      <w:r w:rsidRPr="008F6A20">
        <w:rPr>
          <w:sz w:val="20"/>
        </w:rPr>
        <w:t>) to (</w:t>
      </w:r>
      <w:r w:rsidRPr="008F6A20">
        <w:rPr>
          <w:i/>
          <w:sz w:val="20"/>
        </w:rPr>
        <w:t>e</w:t>
      </w:r>
      <w:r w:rsidRPr="008F6A20">
        <w:rPr>
          <w:sz w:val="20"/>
        </w:rPr>
        <w:t xml:space="preserve">). Moreover, even though </w:t>
      </w:r>
      <w:r w:rsidRPr="008F6A20">
        <w:rPr>
          <w:sz w:val="20"/>
          <w:lang w:bidi="en-US"/>
        </w:rPr>
        <w:t xml:space="preserve">s. 193(1) of the </w:t>
      </w:r>
      <w:r w:rsidRPr="008F6A20">
        <w:rPr>
          <w:i/>
          <w:sz w:val="20"/>
          <w:lang w:bidi="en-US"/>
        </w:rPr>
        <w:t>Criminal Code</w:t>
      </w:r>
      <w:r w:rsidRPr="008F6A20">
        <w:rPr>
          <w:sz w:val="20"/>
          <w:lang w:bidi="en-US"/>
        </w:rPr>
        <w:t xml:space="preserve"> lays down the principle that it is unlawful to disclose or use an intercepted private communication without the consent of the originator or the intended recipient of the communication</w:t>
      </w:r>
      <w:r w:rsidRPr="008F6A20">
        <w:rPr>
          <w:sz w:val="20"/>
        </w:rPr>
        <w:t xml:space="preserve">, this general prohibition is tempered by some exemptions. </w:t>
      </w:r>
      <w:r w:rsidRPr="008F6A20">
        <w:rPr>
          <w:sz w:val="20"/>
          <w:lang w:bidi="en-US"/>
        </w:rPr>
        <w:t>Section 193(2)(</w:t>
      </w:r>
      <w:r w:rsidRPr="008F6A20">
        <w:rPr>
          <w:i/>
          <w:sz w:val="20"/>
          <w:lang w:bidi="en-US"/>
        </w:rPr>
        <w:t>a</w:t>
      </w:r>
      <w:r w:rsidRPr="008F6A20">
        <w:rPr>
          <w:sz w:val="20"/>
          <w:lang w:bidi="en-US"/>
        </w:rPr>
        <w:t xml:space="preserve">) provides that a disclosure is not an offence under </w:t>
      </w:r>
      <w:r w:rsidRPr="008F6A20">
        <w:rPr>
          <w:sz w:val="20"/>
          <w:lang w:bidi="en-US"/>
        </w:rPr>
        <w:lastRenderedPageBreak/>
        <w:t>s. 193(1) if it is made “in the course of or for the purpose of giving evidence in any civil . . . proceedings”</w:t>
      </w:r>
      <w:r w:rsidRPr="008F6A20">
        <w:rPr>
          <w:sz w:val="20"/>
        </w:rPr>
        <w:t xml:space="preserve">. </w:t>
      </w:r>
      <w:r w:rsidRPr="008F6A20">
        <w:rPr>
          <w:sz w:val="20"/>
          <w:lang w:bidi="en-US"/>
        </w:rPr>
        <w:t>Nothing in the words of this provision justifies limiting its application to the time when evidence is being given</w:t>
      </w:r>
      <w:r w:rsidRPr="008F6A20">
        <w:rPr>
          <w:sz w:val="20"/>
        </w:rPr>
        <w:t xml:space="preserve">. </w:t>
      </w:r>
      <w:r w:rsidRPr="008F6A20">
        <w:rPr>
          <w:sz w:val="20"/>
          <w:lang w:bidi="en-US"/>
        </w:rPr>
        <w:t>The documents requested at the exploratory stage of any civil proceeding may be requested “for the purpose” of testifying at the hearing</w:t>
      </w:r>
      <w:r w:rsidRPr="008F6A20">
        <w:rPr>
          <w:sz w:val="20"/>
        </w:rPr>
        <w:t>. T</w:t>
      </w:r>
      <w:r w:rsidRPr="008F6A20">
        <w:rPr>
          <w:sz w:val="20"/>
          <w:lang w:bidi="en-US"/>
        </w:rPr>
        <w:t>he provision’s object and context admit of no other conclusion</w:t>
      </w:r>
      <w:r w:rsidRPr="008F6A20">
        <w:rPr>
          <w:sz w:val="20"/>
        </w:rPr>
        <w:t>. Section</w:t>
      </w:r>
      <w:r w:rsidRPr="008F6A20">
        <w:rPr>
          <w:sz w:val="20"/>
          <w:lang w:bidi="en-US"/>
        </w:rPr>
        <w:t> 193(2)(</w:t>
      </w:r>
      <w:r w:rsidRPr="008F6A20">
        <w:rPr>
          <w:i/>
          <w:sz w:val="20"/>
          <w:lang w:bidi="en-US"/>
        </w:rPr>
        <w:t>a</w:t>
      </w:r>
      <w:r w:rsidRPr="008F6A20">
        <w:rPr>
          <w:sz w:val="20"/>
          <w:lang w:bidi="en-US"/>
        </w:rPr>
        <w:t>) does not have facilitating the fight against crime as its sole purpose; rather, its object is to ensure that courts will have access to all information relevant to the proceedings before them</w:t>
      </w:r>
      <w:r w:rsidRPr="008F6A20">
        <w:rPr>
          <w:sz w:val="20"/>
        </w:rPr>
        <w:t>. Similarly, th</w:t>
      </w:r>
      <w:r w:rsidRPr="008F6A20">
        <w:rPr>
          <w:sz w:val="20"/>
          <w:lang w:bidi="en-US"/>
        </w:rPr>
        <w:t>e case law and the academic literature support a broad interpretation of s. 193(2)(</w:t>
      </w:r>
      <w:r w:rsidRPr="008F6A20">
        <w:rPr>
          <w:i/>
          <w:sz w:val="20"/>
          <w:lang w:bidi="en-US"/>
        </w:rPr>
        <w:t>a</w:t>
      </w:r>
      <w:r w:rsidRPr="008F6A20">
        <w:rPr>
          <w:sz w:val="20"/>
          <w:lang w:bidi="en-US"/>
        </w:rPr>
        <w:t>)</w:t>
      </w:r>
      <w:r w:rsidRPr="008F6A20">
        <w:rPr>
          <w:sz w:val="20"/>
        </w:rPr>
        <w:t xml:space="preserve">. Finally, </w:t>
      </w:r>
      <w:r w:rsidRPr="008F6A20">
        <w:rPr>
          <w:sz w:val="20"/>
          <w:lang w:bidi="en-US"/>
        </w:rPr>
        <w:t xml:space="preserve">the admissibility in evidence of recordings of private communications is governed by s. 24(2) of the </w:t>
      </w:r>
      <w:r w:rsidRPr="008F6A20">
        <w:rPr>
          <w:i/>
          <w:sz w:val="20"/>
          <w:lang w:bidi="en-US"/>
        </w:rPr>
        <w:t>Charter</w:t>
      </w:r>
      <w:r w:rsidRPr="008F6A20">
        <w:rPr>
          <w:sz w:val="20"/>
          <w:lang w:bidi="en-US"/>
        </w:rPr>
        <w:t xml:space="preserve"> and the various applicable provincial statutes</w:t>
      </w:r>
      <w:r w:rsidRPr="008F6A20">
        <w:rPr>
          <w:sz w:val="20"/>
        </w:rPr>
        <w:t xml:space="preserve">. </w:t>
      </w:r>
    </w:p>
    <w:p w:rsidR="00CC38D9" w:rsidRDefault="00CC38D9" w:rsidP="00CC38D9">
      <w:pPr>
        <w:pStyle w:val="SCCNormalDoubleSpacing"/>
        <w:spacing w:line="240" w:lineRule="auto"/>
        <w:rPr>
          <w:sz w:val="20"/>
        </w:rPr>
      </w:pPr>
    </w:p>
    <w:p w:rsidR="00CC38D9" w:rsidRPr="008F6A20" w:rsidRDefault="00CC38D9" w:rsidP="00CC38D9">
      <w:pPr>
        <w:pStyle w:val="SCCNormalDoubleSpacing"/>
        <w:spacing w:line="240" w:lineRule="auto"/>
        <w:rPr>
          <w:sz w:val="20"/>
        </w:rPr>
      </w:pPr>
      <w:r w:rsidRPr="008F6A20">
        <w:rPr>
          <w:sz w:val="20"/>
        </w:rPr>
        <w:tab/>
        <w:t xml:space="preserve">Section 193 of the </w:t>
      </w:r>
      <w:r w:rsidRPr="008F6A20">
        <w:rPr>
          <w:i/>
          <w:sz w:val="20"/>
        </w:rPr>
        <w:t xml:space="preserve">Criminal Code </w:t>
      </w:r>
      <w:r w:rsidRPr="008F6A20">
        <w:rPr>
          <w:sz w:val="20"/>
        </w:rPr>
        <w:t xml:space="preserve">creates neither an actual disclosure mechanism nor a right of access. Since this case involves civil proceedings brought under s. 36 of the </w:t>
      </w:r>
      <w:r w:rsidRPr="008F6A20">
        <w:rPr>
          <w:i/>
          <w:sz w:val="20"/>
        </w:rPr>
        <w:t>Competition Act</w:t>
      </w:r>
      <w:r w:rsidRPr="008F6A20">
        <w:rPr>
          <w:sz w:val="20"/>
        </w:rPr>
        <w:t xml:space="preserve"> and art. 1457 </w:t>
      </w:r>
      <w:r w:rsidRPr="008F6A20">
        <w:rPr>
          <w:i/>
          <w:sz w:val="20"/>
        </w:rPr>
        <w:t>C.C.Q.</w:t>
      </w:r>
      <w:r w:rsidRPr="008F6A20">
        <w:rPr>
          <w:sz w:val="20"/>
        </w:rPr>
        <w:t>, the procedure for seeking access</w:t>
      </w:r>
      <w:r w:rsidRPr="008F6A20">
        <w:rPr>
          <w:i/>
          <w:sz w:val="20"/>
        </w:rPr>
        <w:t xml:space="preserve"> </w:t>
      </w:r>
      <w:r w:rsidRPr="008F6A20">
        <w:rPr>
          <w:sz w:val="20"/>
        </w:rPr>
        <w:t xml:space="preserve">to the recordings is the one provided for in art. 402 </w:t>
      </w:r>
      <w:r w:rsidRPr="008F6A20">
        <w:rPr>
          <w:i/>
          <w:sz w:val="20"/>
        </w:rPr>
        <w:t xml:space="preserve">C.C.P. </w:t>
      </w:r>
      <w:r w:rsidRPr="008F6A20">
        <w:rPr>
          <w:sz w:val="20"/>
        </w:rPr>
        <w:t xml:space="preserve">The first paragraph of art. 402 </w:t>
      </w:r>
      <w:r w:rsidRPr="008F6A20">
        <w:rPr>
          <w:i/>
          <w:sz w:val="20"/>
        </w:rPr>
        <w:t xml:space="preserve">C.C.P. </w:t>
      </w:r>
      <w:r w:rsidRPr="008F6A20">
        <w:rPr>
          <w:sz w:val="20"/>
        </w:rPr>
        <w:t xml:space="preserve">empowers a judge to order the disclosure of documents relating to the issues between the parties that are in the possession of a third party. </w:t>
      </w:r>
      <w:r w:rsidRPr="008F6A20">
        <w:rPr>
          <w:rFonts w:eastAsiaTheme="minorHAnsi"/>
          <w:sz w:val="20"/>
          <w:lang w:eastAsia="en-US" w:bidi="en-US"/>
        </w:rPr>
        <w:t>J</w:t>
      </w:r>
      <w:r w:rsidRPr="008F6A20">
        <w:rPr>
          <w:sz w:val="20"/>
          <w:lang w:bidi="en-US"/>
        </w:rPr>
        <w:t>udges have great discretion, but will generally favour disclosure</w:t>
      </w:r>
      <w:r w:rsidRPr="008F6A20">
        <w:rPr>
          <w:sz w:val="20"/>
        </w:rPr>
        <w:t xml:space="preserve">. Nevertheless, a judge must deny a request for disclosure in the face of an </w:t>
      </w:r>
      <w:r w:rsidRPr="008F6A20">
        <w:rPr>
          <w:sz w:val="20"/>
          <w:lang w:bidi="en-US"/>
        </w:rPr>
        <w:t>immunity from disclosure that is either provided for in legislation or established by the courts</w:t>
      </w:r>
      <w:r w:rsidRPr="008F6A20">
        <w:rPr>
          <w:sz w:val="20"/>
        </w:rPr>
        <w:t xml:space="preserve">. </w:t>
      </w:r>
      <w:r w:rsidRPr="008F6A20">
        <w:rPr>
          <w:sz w:val="20"/>
          <w:lang w:bidi="en-US"/>
        </w:rPr>
        <w:t xml:space="preserve">In exercising his or her discretion, the judge may consider, </w:t>
      </w:r>
      <w:r w:rsidRPr="008F6A20">
        <w:rPr>
          <w:i/>
          <w:sz w:val="20"/>
          <w:lang w:bidi="en-US"/>
        </w:rPr>
        <w:t>inter alia</w:t>
      </w:r>
      <w:r w:rsidRPr="008F6A20">
        <w:rPr>
          <w:sz w:val="20"/>
          <w:lang w:bidi="en-US"/>
        </w:rPr>
        <w:t>, the relevance of the documents to the issues between the parties, the extent to which the privacy of a party or of a third party to the proceedings is invaded and the importance of remaining sensitive to the duty to protect a person’s privacy</w:t>
      </w:r>
      <w:r w:rsidRPr="008F6A20">
        <w:rPr>
          <w:sz w:val="20"/>
        </w:rPr>
        <w:t xml:space="preserve">. </w:t>
      </w:r>
      <w:r w:rsidRPr="008F6A20">
        <w:rPr>
          <w:sz w:val="20"/>
          <w:lang w:bidi="en-US"/>
        </w:rPr>
        <w:t>The concept of relevance is generally interpreted broadly at the exploratory stage of the proceedings</w:t>
      </w:r>
      <w:r w:rsidRPr="008F6A20">
        <w:rPr>
          <w:sz w:val="20"/>
        </w:rPr>
        <w:t xml:space="preserve">. </w:t>
      </w:r>
      <w:r w:rsidRPr="008F6A20">
        <w:rPr>
          <w:sz w:val="20"/>
          <w:lang w:bidi="en-US"/>
        </w:rPr>
        <w:t>The impact of disclosure on the rights of innocent persons requires that care be taken in considering motions for disclosure, although it cannot constitute a cause why evidence should not be disclosed in all circumstances</w:t>
      </w:r>
      <w:r w:rsidRPr="008F6A20">
        <w:rPr>
          <w:sz w:val="20"/>
        </w:rPr>
        <w:t xml:space="preserve">. </w:t>
      </w:r>
      <w:r w:rsidRPr="008F6A20">
        <w:rPr>
          <w:sz w:val="20"/>
          <w:lang w:bidi="en-US"/>
        </w:rPr>
        <w:t>The scope of the protection of the right of the innocent to privacy must always be assessed in light of the various interests at stake</w:t>
      </w:r>
      <w:r w:rsidRPr="008F6A20">
        <w:rPr>
          <w:sz w:val="20"/>
        </w:rPr>
        <w:t xml:space="preserve">. Finally, </w:t>
      </w:r>
      <w:r w:rsidRPr="008F6A20">
        <w:rPr>
          <w:sz w:val="20"/>
          <w:lang w:bidi="en-US"/>
        </w:rPr>
        <w:t xml:space="preserve">by giving judges the power to refuse to order disclosure where a barrier to disclosure is provided for in legislation or has been established by the courts, </w:t>
      </w:r>
      <w:r w:rsidRPr="008F6A20">
        <w:rPr>
          <w:sz w:val="20"/>
        </w:rPr>
        <w:t xml:space="preserve">art. 402, para. 1 </w:t>
      </w:r>
      <w:r w:rsidRPr="008F6A20">
        <w:rPr>
          <w:sz w:val="20"/>
          <w:lang w:bidi="en-US"/>
        </w:rPr>
        <w:t>already provides that, where necessary, the principle of disclosure it codifies will yield to any applicable federal provision that prohibits disclosure</w:t>
      </w:r>
      <w:r w:rsidRPr="008F6A20">
        <w:rPr>
          <w:sz w:val="20"/>
        </w:rPr>
        <w:t>.</w:t>
      </w:r>
    </w:p>
    <w:p w:rsidR="00CC38D9" w:rsidRDefault="00CC38D9" w:rsidP="00CC38D9">
      <w:pPr>
        <w:pStyle w:val="SCCNormalDoubleSpacing"/>
        <w:spacing w:line="240" w:lineRule="auto"/>
        <w:rPr>
          <w:sz w:val="20"/>
        </w:rPr>
      </w:pPr>
    </w:p>
    <w:p w:rsidR="00CC38D9" w:rsidRPr="008F6A20" w:rsidRDefault="00CC38D9" w:rsidP="00CC38D9">
      <w:pPr>
        <w:pStyle w:val="SCCNormalDoubleSpacing"/>
        <w:spacing w:line="240" w:lineRule="auto"/>
        <w:rPr>
          <w:sz w:val="20"/>
        </w:rPr>
      </w:pPr>
      <w:r w:rsidRPr="008F6A20">
        <w:rPr>
          <w:sz w:val="20"/>
        </w:rPr>
        <w:tab/>
        <w:t xml:space="preserve">Judges also have great discretion to control the process of disclosing evidence at the exploratory stage of proceedings, and to set conditions for and limits on disclosure. In doing so, they </w:t>
      </w:r>
      <w:r w:rsidRPr="008F6A20">
        <w:rPr>
          <w:sz w:val="20"/>
          <w:lang w:bidi="en-US"/>
        </w:rPr>
        <w:t>must weigh the interests involved, but must at the same time limit the potential for invasion of privacy and avoid unduly limiting access to relevant documents so as to ensure that the proceedings remain fair, the search for truth is not obstructed and the proceedings are not unjustifiably delayed. Where the requested documents result from a criminal investigation, the judge must also consider the impact of disclosure on the efficient conduct of the criminal proceedings and on the right of the accused to a fair trial. However, at the exploratory stage of a proceeding, the right to privacy, the efficient conduct of criminal proceedings and the right to make full answer and defence are, to some degree, protected by the duty of confidentiality imposed on the parties, their counsel and their experts</w:t>
      </w:r>
      <w:r w:rsidRPr="008F6A20">
        <w:rPr>
          <w:sz w:val="20"/>
        </w:rPr>
        <w:t>. N</w:t>
      </w:r>
      <w:r w:rsidRPr="008F6A20">
        <w:rPr>
          <w:sz w:val="20"/>
          <w:lang w:bidi="en-US"/>
        </w:rPr>
        <w:t>evertheless, judges have the powers they need to impose other conditions</w:t>
      </w:r>
      <w:r w:rsidRPr="008F6A20">
        <w:rPr>
          <w:sz w:val="20"/>
        </w:rPr>
        <w:t xml:space="preserve">. </w:t>
      </w:r>
      <w:r w:rsidRPr="008F6A20">
        <w:rPr>
          <w:sz w:val="20"/>
          <w:lang w:bidi="en-US"/>
        </w:rPr>
        <w:t xml:space="preserve">In every case, the judge must, bearing in mind the proportionality principle that is inherent in art. 402 </w:t>
      </w:r>
      <w:r w:rsidRPr="008F6A20">
        <w:rPr>
          <w:i/>
          <w:sz w:val="20"/>
          <w:lang w:bidi="en-US"/>
        </w:rPr>
        <w:t>C.C.P. </w:t>
      </w:r>
      <w:r w:rsidRPr="008F6A20">
        <w:rPr>
          <w:sz w:val="20"/>
          <w:lang w:bidi="en-US"/>
        </w:rPr>
        <w:t xml:space="preserve">and is also spelled out in art. 4.2 </w:t>
      </w:r>
      <w:r w:rsidRPr="008F6A20">
        <w:rPr>
          <w:i/>
          <w:sz w:val="20"/>
          <w:lang w:bidi="en-US"/>
        </w:rPr>
        <w:t>C.C.P.</w:t>
      </w:r>
      <w:r w:rsidRPr="008F6A20">
        <w:rPr>
          <w:sz w:val="20"/>
          <w:lang w:bidi="en-US"/>
        </w:rPr>
        <w:t>, consider the financial and administrative impact of the conditions being imposed and how they will affect the general conduct of the proceedings</w:t>
      </w:r>
      <w:r w:rsidRPr="008F6A20">
        <w:rPr>
          <w:sz w:val="20"/>
        </w:rPr>
        <w:t xml:space="preserve">. </w:t>
      </w:r>
    </w:p>
    <w:p w:rsidR="00CC38D9" w:rsidRDefault="00CC38D9" w:rsidP="00CC38D9">
      <w:pPr>
        <w:pStyle w:val="SCCNormalDoubleSpacing"/>
        <w:spacing w:line="240" w:lineRule="auto"/>
        <w:rPr>
          <w:sz w:val="20"/>
        </w:rPr>
      </w:pPr>
    </w:p>
    <w:p w:rsidR="00CC38D9" w:rsidRPr="008F6A20" w:rsidRDefault="00CC38D9" w:rsidP="00CC38D9">
      <w:pPr>
        <w:pStyle w:val="SCCNormalDoubleSpacing"/>
        <w:spacing w:line="240" w:lineRule="auto"/>
        <w:rPr>
          <w:sz w:val="20"/>
        </w:rPr>
      </w:pPr>
      <w:r w:rsidRPr="008F6A20">
        <w:rPr>
          <w:sz w:val="20"/>
        </w:rPr>
        <w:tab/>
        <w:t xml:space="preserve">The order of the Superior Court in this case is consistent with these principles. </w:t>
      </w:r>
      <w:r w:rsidRPr="008F6A20">
        <w:rPr>
          <w:sz w:val="20"/>
          <w:lang w:bidi="en-US"/>
        </w:rPr>
        <w:t xml:space="preserve">There is no factual or legal impediment to disclosure of the documents requested by the respondents under art. 402 </w:t>
      </w:r>
      <w:r w:rsidRPr="008F6A20">
        <w:rPr>
          <w:i/>
          <w:sz w:val="20"/>
          <w:lang w:bidi="en-US"/>
        </w:rPr>
        <w:t xml:space="preserve">C.C.P. </w:t>
      </w:r>
      <w:r w:rsidRPr="008F6A20">
        <w:rPr>
          <w:sz w:val="20"/>
          <w:lang w:bidi="en-US"/>
        </w:rPr>
        <w:t>Nor is there anything to cast doubt on the Superior Court’s finding</w:t>
      </w:r>
      <w:r w:rsidRPr="008F6A20">
        <w:rPr>
          <w:sz w:val="20"/>
        </w:rPr>
        <w:t xml:space="preserve"> </w:t>
      </w:r>
      <w:r w:rsidRPr="008F6A20">
        <w:rPr>
          <w:sz w:val="20"/>
          <w:lang w:bidi="en-US"/>
        </w:rPr>
        <w:t xml:space="preserve">that the requested evidence is relevant. </w:t>
      </w:r>
      <w:r w:rsidRPr="008F6A20">
        <w:rPr>
          <w:sz w:val="20"/>
        </w:rPr>
        <w:t xml:space="preserve">Furthermore, </w:t>
      </w:r>
      <w:r w:rsidRPr="008F6A20">
        <w:rPr>
          <w:sz w:val="20"/>
          <w:lang w:bidi="en-US"/>
        </w:rPr>
        <w:t>the scope of the disclosure order is limited so as to protect the right to privacy of all those whose communications were intercepted. The limits also ensure that disclosure of the information will not hinder the efficient conduct of the criminal proceedings or violate the right of the parties still facing criminal charges to a fair trial. There is no indication that the order imposes an undue financial and administrative burden on the third party in question in this case</w:t>
      </w:r>
      <w:r w:rsidRPr="008F6A20">
        <w:rPr>
          <w:sz w:val="20"/>
        </w:rPr>
        <w:t>.</w:t>
      </w:r>
    </w:p>
    <w:p w:rsidR="00CC38D9" w:rsidRDefault="00CC38D9" w:rsidP="00CC38D9">
      <w:pPr>
        <w:pStyle w:val="SCCNormalDoubleSpacing"/>
        <w:spacing w:line="240" w:lineRule="auto"/>
        <w:rPr>
          <w:sz w:val="20"/>
        </w:rPr>
      </w:pPr>
    </w:p>
    <w:p w:rsidR="00CC38D9" w:rsidRPr="008F6A20" w:rsidRDefault="00CC38D9" w:rsidP="00CC38D9">
      <w:pPr>
        <w:pStyle w:val="SCCNormalDoubleSpacing"/>
        <w:spacing w:line="240" w:lineRule="auto"/>
        <w:rPr>
          <w:sz w:val="20"/>
        </w:rPr>
      </w:pPr>
      <w:r w:rsidRPr="008F6A20">
        <w:rPr>
          <w:sz w:val="20"/>
        </w:rPr>
        <w:tab/>
      </w:r>
      <w:r w:rsidRPr="008F6A20">
        <w:rPr>
          <w:i/>
          <w:sz w:val="20"/>
        </w:rPr>
        <w:t>Per</w:t>
      </w:r>
      <w:r w:rsidRPr="008F6A20">
        <w:rPr>
          <w:sz w:val="20"/>
        </w:rPr>
        <w:t xml:space="preserve"> </w:t>
      </w:r>
      <w:r w:rsidRPr="008F6A20">
        <w:rPr>
          <w:b/>
          <w:sz w:val="20"/>
        </w:rPr>
        <w:t>McLachlin</w:t>
      </w:r>
      <w:r w:rsidRPr="008F6A20">
        <w:rPr>
          <w:sz w:val="20"/>
        </w:rPr>
        <w:t xml:space="preserve"> C.J.:  The power to obtain disclosure of intercepted private communications in this case arises solely from art. 402 </w:t>
      </w:r>
      <w:r w:rsidRPr="008F6A20">
        <w:rPr>
          <w:i/>
          <w:sz w:val="20"/>
        </w:rPr>
        <w:t>C.C.P.</w:t>
      </w:r>
      <w:r w:rsidRPr="008F6A20">
        <w:rPr>
          <w:sz w:val="20"/>
        </w:rPr>
        <w:t>, not s. 193(2)(</w:t>
      </w:r>
      <w:r w:rsidRPr="008F6A20">
        <w:rPr>
          <w:i/>
          <w:sz w:val="20"/>
        </w:rPr>
        <w:t>a</w:t>
      </w:r>
      <w:r w:rsidRPr="008F6A20">
        <w:rPr>
          <w:sz w:val="20"/>
        </w:rPr>
        <w:t xml:space="preserve">) of the </w:t>
      </w:r>
      <w:r w:rsidRPr="008F6A20">
        <w:rPr>
          <w:i/>
          <w:sz w:val="20"/>
        </w:rPr>
        <w:t>Criminal Code</w:t>
      </w:r>
      <w:r w:rsidRPr="008F6A20">
        <w:rPr>
          <w:sz w:val="20"/>
        </w:rPr>
        <w:t>. Where the state is otherwise empowered or required to disclose intercepted private communications in civil proceedings, s. 193(2)(</w:t>
      </w:r>
      <w:r w:rsidRPr="008F6A20">
        <w:rPr>
          <w:i/>
          <w:sz w:val="20"/>
        </w:rPr>
        <w:t>a</w:t>
      </w:r>
      <w:r w:rsidRPr="008F6A20">
        <w:rPr>
          <w:sz w:val="20"/>
        </w:rPr>
        <w:t>) protects the authorities from criminal sanction.</w:t>
      </w:r>
    </w:p>
    <w:p w:rsidR="00CC38D9" w:rsidRDefault="00CC38D9" w:rsidP="00CC38D9">
      <w:pPr>
        <w:pStyle w:val="SCCNormalDoubleSpacing"/>
        <w:spacing w:line="240" w:lineRule="auto"/>
        <w:rPr>
          <w:sz w:val="20"/>
        </w:rPr>
      </w:pPr>
    </w:p>
    <w:p w:rsidR="00CC38D9" w:rsidRPr="008F6A20" w:rsidRDefault="00CC38D9" w:rsidP="00CC38D9">
      <w:pPr>
        <w:pStyle w:val="SCCNormalDoubleSpacing"/>
        <w:spacing w:line="240" w:lineRule="auto"/>
        <w:rPr>
          <w:sz w:val="20"/>
        </w:rPr>
      </w:pPr>
      <w:r w:rsidRPr="008F6A20">
        <w:rPr>
          <w:sz w:val="20"/>
        </w:rPr>
        <w:tab/>
      </w:r>
      <w:r w:rsidRPr="008F6A20">
        <w:rPr>
          <w:i/>
          <w:sz w:val="20"/>
        </w:rPr>
        <w:t>Per</w:t>
      </w:r>
      <w:r w:rsidRPr="008F6A20">
        <w:rPr>
          <w:sz w:val="20"/>
        </w:rPr>
        <w:t xml:space="preserve"> </w:t>
      </w:r>
      <w:r w:rsidRPr="008F6A20">
        <w:rPr>
          <w:b/>
          <w:sz w:val="20"/>
        </w:rPr>
        <w:t>Abella</w:t>
      </w:r>
      <w:r w:rsidRPr="008F6A20">
        <w:rPr>
          <w:sz w:val="20"/>
        </w:rPr>
        <w:t xml:space="preserve"> J. (dissenting):  It is not legally permissible in Canada to authorize electronic surveillance for the purpose of gathering evidence in civil proceedings. Electronic surveillance can only be authorized in the limited circumstances set out in Part VI of the </w:t>
      </w:r>
      <w:r w:rsidRPr="008F6A20">
        <w:rPr>
          <w:i/>
          <w:sz w:val="20"/>
        </w:rPr>
        <w:t>Criminal Code</w:t>
      </w:r>
      <w:r w:rsidRPr="008F6A20">
        <w:rPr>
          <w:sz w:val="20"/>
        </w:rPr>
        <w:t xml:space="preserve"> for the investigation of serious crimes, or under the </w:t>
      </w:r>
      <w:r w:rsidRPr="008F6A20">
        <w:rPr>
          <w:i/>
          <w:sz w:val="20"/>
        </w:rPr>
        <w:t xml:space="preserve">Canadian </w:t>
      </w:r>
      <w:r w:rsidRPr="008F6A20">
        <w:rPr>
          <w:i/>
          <w:sz w:val="20"/>
        </w:rPr>
        <w:lastRenderedPageBreak/>
        <w:t>Security Intelligence Service Act</w:t>
      </w:r>
      <w:r w:rsidRPr="008F6A20">
        <w:rPr>
          <w:sz w:val="20"/>
        </w:rPr>
        <w:t xml:space="preserve"> for the investigation of threats to national security. Part VI recognizes the uniquely intrusive character of electronic surveillance by permitting state interception of private communications </w:t>
      </w:r>
      <w:r w:rsidRPr="008F6A20">
        <w:rPr>
          <w:i/>
          <w:sz w:val="20"/>
        </w:rPr>
        <w:t>only</w:t>
      </w:r>
      <w:r w:rsidRPr="008F6A20">
        <w:rPr>
          <w:sz w:val="20"/>
        </w:rPr>
        <w:t xml:space="preserve"> if express safeguards are followed. Until a determination has been made as to the legality of a challenged interception, the communication is not admissible in a criminal proceeding.</w:t>
      </w:r>
    </w:p>
    <w:p w:rsidR="00CC38D9" w:rsidRDefault="00CC38D9" w:rsidP="00CC38D9">
      <w:pPr>
        <w:pStyle w:val="SCCNormalDoubleSpacing"/>
        <w:spacing w:line="240" w:lineRule="auto"/>
        <w:rPr>
          <w:sz w:val="20"/>
        </w:rPr>
      </w:pPr>
    </w:p>
    <w:p w:rsidR="00CC38D9" w:rsidRPr="008F6A20" w:rsidRDefault="00CC38D9" w:rsidP="00CC38D9">
      <w:pPr>
        <w:pStyle w:val="SCCNormalDoubleSpacing"/>
        <w:spacing w:line="240" w:lineRule="auto"/>
        <w:rPr>
          <w:sz w:val="20"/>
        </w:rPr>
      </w:pPr>
      <w:r w:rsidRPr="008F6A20">
        <w:rPr>
          <w:sz w:val="20"/>
        </w:rPr>
        <w:tab/>
        <w:t>Section 193(2)(</w:t>
      </w:r>
      <w:r w:rsidRPr="008F6A20">
        <w:rPr>
          <w:i/>
          <w:sz w:val="20"/>
        </w:rPr>
        <w:t>a</w:t>
      </w:r>
      <w:r w:rsidRPr="008F6A20">
        <w:rPr>
          <w:sz w:val="20"/>
        </w:rPr>
        <w:t>) should not be interpreted in a way that overrides the privacy protections in Part VI. Section 193(2)(</w:t>
      </w:r>
      <w:r w:rsidRPr="008F6A20">
        <w:rPr>
          <w:i/>
          <w:sz w:val="20"/>
        </w:rPr>
        <w:t>a</w:t>
      </w:r>
      <w:r w:rsidRPr="008F6A20">
        <w:rPr>
          <w:sz w:val="20"/>
        </w:rPr>
        <w:t>) does not create a right to access intercepted communications and is not available to pre-empt a judicial determination about the validity of an interception. Until those interceptions have been found, or are conceded to be, lawful and admitted into evidence in a criminal proceeding, they retain their private character for all purposes and are not available to the public. Using s. 193(2)(</w:t>
      </w:r>
      <w:r w:rsidRPr="008F6A20">
        <w:rPr>
          <w:i/>
          <w:sz w:val="20"/>
        </w:rPr>
        <w:t>a</w:t>
      </w:r>
      <w:r w:rsidRPr="008F6A20">
        <w:rPr>
          <w:sz w:val="20"/>
        </w:rPr>
        <w:t>) to permit litigants in a civil case to get disclosure of communications intercepted in the course of a criminal investigation before a challenged interception is found to be lawful, allows those litigants to benefit indirectly from an extraordinary investigative technique they are otherwise not legally entitled to.</w:t>
      </w:r>
    </w:p>
    <w:p w:rsidR="00CC38D9" w:rsidRDefault="00CC38D9" w:rsidP="00CC38D9">
      <w:pPr>
        <w:pStyle w:val="SCCNormalDoubleSpacing"/>
        <w:spacing w:line="240" w:lineRule="auto"/>
        <w:rPr>
          <w:sz w:val="20"/>
        </w:rPr>
      </w:pPr>
    </w:p>
    <w:p w:rsidR="00CC38D9" w:rsidRDefault="00CC38D9" w:rsidP="00CC38D9">
      <w:pPr>
        <w:pStyle w:val="SCCNormalDoubleSpacing"/>
        <w:spacing w:line="240" w:lineRule="auto"/>
        <w:rPr>
          <w:sz w:val="20"/>
        </w:rPr>
      </w:pPr>
      <w:r w:rsidRPr="008F6A20">
        <w:rPr>
          <w:sz w:val="20"/>
        </w:rPr>
        <w:tab/>
        <w:t xml:space="preserve">The general right to privacy and the specific right not to have confidential information disclosed are expressly protected in Quebec’s </w:t>
      </w:r>
      <w:r w:rsidRPr="008F6A20">
        <w:rPr>
          <w:i/>
          <w:sz w:val="20"/>
        </w:rPr>
        <w:t>Charter of Human Rights and Freedoms</w:t>
      </w:r>
      <w:r w:rsidRPr="008F6A20">
        <w:rPr>
          <w:sz w:val="20"/>
        </w:rPr>
        <w:t xml:space="preserve">. The discretion in art. 402 of the </w:t>
      </w:r>
      <w:r w:rsidRPr="008F6A20">
        <w:rPr>
          <w:i/>
          <w:sz w:val="20"/>
        </w:rPr>
        <w:t>Code of Civil Procedure</w:t>
      </w:r>
      <w:r w:rsidRPr="008F6A20">
        <w:rPr>
          <w:sz w:val="20"/>
        </w:rPr>
        <w:t xml:space="preserve"> to order disclosure should therefore not be so interpreted as to extinguish the scrupulous protection for the non-disclosure of intercepted communications found in other parts of the law. This provision gives significant discretion to a trial judge, but it does not give him or her </w:t>
      </w:r>
      <w:r w:rsidRPr="008F6A20">
        <w:rPr>
          <w:i/>
          <w:sz w:val="20"/>
        </w:rPr>
        <w:t>carte blanche</w:t>
      </w:r>
      <w:r w:rsidRPr="008F6A20">
        <w:rPr>
          <w:sz w:val="20"/>
        </w:rPr>
        <w:t xml:space="preserve"> to order disclosure of communications protected by an almost impermeable legal coating like a privileged communication. Evidence gathered through electronic surveillance is entitled to the same protection and, as a result, is not amenable to a balancing exercise.</w:t>
      </w:r>
    </w:p>
    <w:p w:rsidR="00CC38D9" w:rsidRDefault="00CC38D9" w:rsidP="00CC38D9">
      <w:pPr>
        <w:pStyle w:val="SCCNormalDoubleSpacing"/>
        <w:spacing w:line="240" w:lineRule="auto"/>
        <w:rPr>
          <w:sz w:val="20"/>
        </w:rPr>
      </w:pPr>
    </w:p>
    <w:p w:rsidR="00CC38D9" w:rsidRPr="008F6A20" w:rsidRDefault="00CC38D9" w:rsidP="00CC38D9">
      <w:pPr>
        <w:pStyle w:val="SCCNormalDoubleSpacing"/>
        <w:spacing w:line="240" w:lineRule="auto"/>
        <w:rPr>
          <w:sz w:val="20"/>
        </w:rPr>
      </w:pPr>
      <w:r w:rsidRPr="00CC38D9">
        <w:rPr>
          <w:sz w:val="20"/>
        </w:rPr>
        <w:tab/>
      </w:r>
      <w:r w:rsidRPr="008F6A20">
        <w:rPr>
          <w:sz w:val="20"/>
        </w:rPr>
        <w:t>APPEAL from a judgment of the Quebec Court of Appeal (Morin, Rochon and Vézina JJ.A.), 2012 QCCA 2265, [2012] AZ</w:t>
      </w:r>
      <w:r w:rsidRPr="008F6A20">
        <w:rPr>
          <w:sz w:val="20"/>
        </w:rPr>
        <w:noBreakHyphen/>
        <w:t>50922387, [2012] J.Q. n</w:t>
      </w:r>
      <w:r w:rsidRPr="008F6A20">
        <w:rPr>
          <w:sz w:val="20"/>
          <w:vertAlign w:val="superscript"/>
        </w:rPr>
        <w:t>o</w:t>
      </w:r>
      <w:r w:rsidRPr="008F6A20">
        <w:rPr>
          <w:sz w:val="20"/>
        </w:rPr>
        <w:t> 16661 (QL), 2012 CarswellQue 13421, refusing leave to appeal a decision of Bélanger J., 2012 QCCS 2954, [2012] AZ</w:t>
      </w:r>
      <w:r w:rsidRPr="008F6A20">
        <w:rPr>
          <w:sz w:val="20"/>
        </w:rPr>
        <w:noBreakHyphen/>
        <w:t>50869641, [2012] J.Q. n</w:t>
      </w:r>
      <w:r w:rsidRPr="008F6A20">
        <w:rPr>
          <w:sz w:val="20"/>
          <w:vertAlign w:val="superscript"/>
        </w:rPr>
        <w:t>o</w:t>
      </w:r>
      <w:r w:rsidRPr="008F6A20">
        <w:rPr>
          <w:sz w:val="20"/>
        </w:rPr>
        <w:t xml:space="preserve"> 6264 (QL), 2012 CarswellQue 6715.  Appeal dismissed, Abella J. dissenting.</w:t>
      </w:r>
    </w:p>
    <w:p w:rsidR="00CC38D9" w:rsidRDefault="00CC38D9" w:rsidP="00CC38D9">
      <w:pPr>
        <w:pStyle w:val="SCCNormalDoubleSpacing"/>
        <w:spacing w:line="240" w:lineRule="auto"/>
        <w:rPr>
          <w:sz w:val="20"/>
        </w:rPr>
      </w:pPr>
    </w:p>
    <w:p w:rsidR="00CC38D9" w:rsidRPr="008F6A20" w:rsidRDefault="00CC38D9" w:rsidP="00CC38D9">
      <w:pPr>
        <w:pStyle w:val="SCCNormalDoubleSpacing"/>
        <w:spacing w:line="240" w:lineRule="auto"/>
        <w:rPr>
          <w:sz w:val="20"/>
        </w:rPr>
      </w:pPr>
      <w:r w:rsidRPr="008F6A20">
        <w:rPr>
          <w:sz w:val="20"/>
        </w:rPr>
        <w:tab/>
        <w:t>APPEAL from a judgment of the Quebec Court of Appeal (Morin, Rochon and Vézina JJ.A.), 2012 QCCA 2266, [2012] AZ</w:t>
      </w:r>
      <w:r w:rsidRPr="008F6A20">
        <w:rPr>
          <w:sz w:val="20"/>
        </w:rPr>
        <w:noBreakHyphen/>
        <w:t>50922388, [2012] J.Q. n</w:t>
      </w:r>
      <w:r w:rsidRPr="008F6A20">
        <w:rPr>
          <w:sz w:val="20"/>
          <w:vertAlign w:val="superscript"/>
        </w:rPr>
        <w:t>o</w:t>
      </w:r>
      <w:r w:rsidRPr="008F6A20">
        <w:rPr>
          <w:sz w:val="20"/>
        </w:rPr>
        <w:t> 16662 (QL), 2012 CarswellQue 13424, refusing leave to appeal a decision of Bélanger J., 2012 QCCS 2954, [2012] AZ</w:t>
      </w:r>
      <w:r w:rsidRPr="008F6A20">
        <w:rPr>
          <w:sz w:val="20"/>
        </w:rPr>
        <w:noBreakHyphen/>
        <w:t>50869641, [2012] J.Q. n</w:t>
      </w:r>
      <w:r w:rsidRPr="008F6A20">
        <w:rPr>
          <w:sz w:val="20"/>
          <w:vertAlign w:val="superscript"/>
        </w:rPr>
        <w:t>o</w:t>
      </w:r>
      <w:r w:rsidRPr="008F6A20">
        <w:rPr>
          <w:sz w:val="20"/>
        </w:rPr>
        <w:t> 6264 (QL), 2012 CarswellQue 6715.  Appeal dismissed, Abella J. dissenting.</w:t>
      </w:r>
    </w:p>
    <w:p w:rsidR="00CC38D9" w:rsidRDefault="00CC38D9" w:rsidP="00CC38D9">
      <w:pPr>
        <w:pStyle w:val="SCCNormalDoubleSpacing"/>
        <w:spacing w:line="240" w:lineRule="auto"/>
        <w:rPr>
          <w:rStyle w:val="SCCCounselNameChar"/>
          <w:sz w:val="20"/>
        </w:rPr>
      </w:pPr>
    </w:p>
    <w:p w:rsidR="00CC38D9" w:rsidRPr="008F6A20" w:rsidRDefault="00CC38D9" w:rsidP="00CC38D9">
      <w:pPr>
        <w:pStyle w:val="SCCNormalDoubleSpacing"/>
        <w:spacing w:line="240" w:lineRule="auto"/>
        <w:rPr>
          <w:sz w:val="20"/>
        </w:rPr>
      </w:pPr>
      <w:r w:rsidRPr="008F6A20">
        <w:rPr>
          <w:rStyle w:val="SCCCounselNameChar"/>
          <w:sz w:val="20"/>
        </w:rPr>
        <w:tab/>
        <w:t>Billy Katelanos</w:t>
      </w:r>
      <w:r w:rsidRPr="00CC38D9">
        <w:rPr>
          <w:rStyle w:val="SCCCounselSeparatorChar"/>
          <w:sz w:val="20"/>
          <w:lang w:val="en-CA"/>
        </w:rPr>
        <w:t xml:space="preserve">, </w:t>
      </w:r>
      <w:r w:rsidRPr="008F6A20">
        <w:rPr>
          <w:rStyle w:val="SCCCounselNameChar"/>
          <w:sz w:val="20"/>
        </w:rPr>
        <w:t>Paule Hamelin</w:t>
      </w:r>
      <w:r w:rsidRPr="00CC38D9">
        <w:rPr>
          <w:rStyle w:val="SCCCounselSeparatorChar"/>
          <w:sz w:val="20"/>
          <w:lang w:val="en-CA"/>
        </w:rPr>
        <w:t xml:space="preserve"> and </w:t>
      </w:r>
      <w:r w:rsidRPr="00CC38D9">
        <w:rPr>
          <w:rStyle w:val="SCCCounselSeparatorChar"/>
          <w:i/>
          <w:sz w:val="20"/>
          <w:lang w:val="en-CA"/>
        </w:rPr>
        <w:t>Guy Régimbald</w:t>
      </w:r>
      <w:r w:rsidRPr="008F6A20">
        <w:rPr>
          <w:rStyle w:val="SCCCounselPartyRoleChar"/>
          <w:sz w:val="20"/>
        </w:rPr>
        <w:t>, for the appellant Imperial Oil.</w:t>
      </w:r>
    </w:p>
    <w:p w:rsidR="00CC38D9" w:rsidRDefault="00CC38D9" w:rsidP="00CC38D9">
      <w:pPr>
        <w:pStyle w:val="SCCNormalDoubleSpacing"/>
        <w:spacing w:line="240" w:lineRule="auto"/>
        <w:rPr>
          <w:rStyle w:val="SCCCounselNameChar"/>
          <w:sz w:val="20"/>
          <w:lang w:val="en-US"/>
        </w:rPr>
      </w:pPr>
    </w:p>
    <w:p w:rsidR="00CC38D9" w:rsidRPr="008F6A20" w:rsidRDefault="00CC38D9" w:rsidP="00CC38D9">
      <w:pPr>
        <w:pStyle w:val="SCCNormalDoubleSpacing"/>
        <w:spacing w:line="240" w:lineRule="auto"/>
        <w:rPr>
          <w:rStyle w:val="SCCCounselNameChar"/>
          <w:i w:val="0"/>
          <w:sz w:val="20"/>
          <w:lang w:val="fr-CA"/>
        </w:rPr>
      </w:pPr>
      <w:r w:rsidRPr="008F6A20">
        <w:rPr>
          <w:rStyle w:val="SCCCounselNameChar"/>
          <w:sz w:val="20"/>
          <w:lang w:val="en-US"/>
        </w:rPr>
        <w:tab/>
      </w:r>
      <w:r w:rsidRPr="008F6A20">
        <w:rPr>
          <w:rStyle w:val="SCCCounselNameChar"/>
          <w:sz w:val="20"/>
          <w:lang w:val="fr-CA"/>
        </w:rPr>
        <w:t>Jean</w:t>
      </w:r>
      <w:r w:rsidRPr="008F6A20">
        <w:rPr>
          <w:rStyle w:val="SCCCounselNameChar"/>
          <w:sz w:val="20"/>
          <w:lang w:val="fr-CA"/>
        </w:rPr>
        <w:noBreakHyphen/>
        <w:t>Philippe Groleau</w:t>
      </w:r>
      <w:r w:rsidRPr="008F6A20">
        <w:rPr>
          <w:rStyle w:val="SCCCounselPartyRoleChar"/>
          <w:sz w:val="20"/>
          <w:lang w:val="fr-CA"/>
        </w:rPr>
        <w:t xml:space="preserve">, </w:t>
      </w:r>
      <w:r w:rsidRPr="008F6A20">
        <w:rPr>
          <w:rStyle w:val="SCCCounselNameChar"/>
          <w:sz w:val="20"/>
          <w:lang w:val="fr-CA"/>
        </w:rPr>
        <w:t>Louis</w:t>
      </w:r>
      <w:r w:rsidRPr="008F6A20">
        <w:rPr>
          <w:rStyle w:val="SCCCounselNameChar"/>
          <w:sz w:val="20"/>
          <w:lang w:val="fr-CA"/>
        </w:rPr>
        <w:noBreakHyphen/>
        <w:t>Martin O’Neil</w:t>
      </w:r>
      <w:r w:rsidRPr="008F6A20">
        <w:rPr>
          <w:rStyle w:val="SCCCounselSeparatorChar"/>
          <w:sz w:val="20"/>
        </w:rPr>
        <w:t xml:space="preserve">, </w:t>
      </w:r>
      <w:r w:rsidRPr="008F6A20">
        <w:rPr>
          <w:rStyle w:val="SCCCounselNameChar"/>
          <w:sz w:val="20"/>
          <w:lang w:val="fr-CA"/>
        </w:rPr>
        <w:t>Louis Belleau</w:t>
      </w:r>
      <w:r w:rsidRPr="008F6A20">
        <w:rPr>
          <w:rStyle w:val="SCCCounselSeparatorChar"/>
          <w:sz w:val="20"/>
        </w:rPr>
        <w:t xml:space="preserve">, </w:t>
      </w:r>
      <w:r w:rsidRPr="008F6A20">
        <w:rPr>
          <w:rStyle w:val="SCCCounselNameChar"/>
          <w:sz w:val="20"/>
          <w:lang w:val="fr-CA"/>
        </w:rPr>
        <w:t>Julie Chenette, Sylvain Lussier</w:t>
      </w:r>
      <w:r w:rsidRPr="008F6A20">
        <w:rPr>
          <w:rStyle w:val="SCCCounselSeparatorChar"/>
          <w:sz w:val="20"/>
        </w:rPr>
        <w:t xml:space="preserve">, </w:t>
      </w:r>
      <w:r w:rsidRPr="008F6A20">
        <w:rPr>
          <w:rStyle w:val="SCCCounselNameChar"/>
          <w:sz w:val="20"/>
          <w:lang w:val="fr-CA"/>
        </w:rPr>
        <w:t>Elizabeth Meloche</w:t>
      </w:r>
      <w:r w:rsidRPr="008F6A20">
        <w:rPr>
          <w:rStyle w:val="SCCCounselPartyRoleChar"/>
          <w:sz w:val="20"/>
          <w:lang w:val="fr-CA"/>
        </w:rPr>
        <w:t xml:space="preserve">, </w:t>
      </w:r>
      <w:r w:rsidRPr="008F6A20">
        <w:rPr>
          <w:rStyle w:val="SCCCounselNameChar"/>
          <w:sz w:val="20"/>
          <w:lang w:val="fr-CA"/>
        </w:rPr>
        <w:t>Sidney Elbaz</w:t>
      </w:r>
      <w:r w:rsidRPr="008F6A20">
        <w:rPr>
          <w:rStyle w:val="SCCCounselSeparatorChar"/>
          <w:sz w:val="20"/>
        </w:rPr>
        <w:t xml:space="preserve">, </w:t>
      </w:r>
      <w:r w:rsidRPr="008F6A20">
        <w:rPr>
          <w:rStyle w:val="SCCCounselNameChar"/>
          <w:sz w:val="20"/>
          <w:lang w:val="fr-CA"/>
        </w:rPr>
        <w:t>Rachel April Giguère</w:t>
      </w:r>
      <w:r w:rsidRPr="008F6A20">
        <w:rPr>
          <w:rStyle w:val="SCCCounselPartyRoleChar"/>
          <w:sz w:val="20"/>
          <w:lang w:val="fr-CA"/>
        </w:rPr>
        <w:t xml:space="preserve">, </w:t>
      </w:r>
      <w:r w:rsidRPr="008F6A20">
        <w:rPr>
          <w:rStyle w:val="SCCCounselNameChar"/>
          <w:sz w:val="20"/>
          <w:lang w:val="fr-CA"/>
        </w:rPr>
        <w:t>Marie</w:t>
      </w:r>
      <w:r w:rsidRPr="008F6A20">
        <w:rPr>
          <w:rStyle w:val="SCCCounselNameChar"/>
          <w:sz w:val="20"/>
          <w:lang w:val="fr-CA"/>
        </w:rPr>
        <w:noBreakHyphen/>
        <w:t>Geneviève Masson, Pascale Cloutier</w:t>
      </w:r>
      <w:r w:rsidRPr="008F6A20">
        <w:rPr>
          <w:rStyle w:val="SCCCounselSeparatorChar"/>
          <w:sz w:val="20"/>
        </w:rPr>
        <w:t xml:space="preserve"> and </w:t>
      </w:r>
      <w:r w:rsidRPr="008F6A20">
        <w:rPr>
          <w:rStyle w:val="SCCCounselNameChar"/>
          <w:sz w:val="20"/>
          <w:lang w:val="fr-CA"/>
        </w:rPr>
        <w:t>Fadi Amine, for the appellants Couche</w:t>
      </w:r>
      <w:r w:rsidRPr="008F6A20">
        <w:rPr>
          <w:rStyle w:val="SCCCounselNameChar"/>
          <w:sz w:val="20"/>
          <w:lang w:val="fr-CA"/>
        </w:rPr>
        <w:noBreakHyphen/>
        <w:t>Tard Inc. et al.</w:t>
      </w:r>
    </w:p>
    <w:p w:rsidR="00CC38D9" w:rsidRDefault="00CC38D9" w:rsidP="00CC38D9">
      <w:pPr>
        <w:pStyle w:val="SCCNormalDoubleSpacing"/>
        <w:spacing w:line="240" w:lineRule="auto"/>
        <w:rPr>
          <w:rStyle w:val="SCCCounselNameChar"/>
          <w:i w:val="0"/>
          <w:sz w:val="20"/>
          <w:lang w:val="fr-CA"/>
        </w:rPr>
      </w:pPr>
    </w:p>
    <w:p w:rsidR="00CC38D9" w:rsidRPr="008F6A20" w:rsidRDefault="00CC38D9" w:rsidP="00CC38D9">
      <w:pPr>
        <w:pStyle w:val="SCCNormalDoubleSpacing"/>
        <w:spacing w:line="240" w:lineRule="auto"/>
        <w:rPr>
          <w:rStyle w:val="SCCCounselNameChar"/>
          <w:i w:val="0"/>
          <w:sz w:val="20"/>
          <w:lang w:val="en-US"/>
        </w:rPr>
      </w:pPr>
      <w:r w:rsidRPr="008F6A20">
        <w:rPr>
          <w:rStyle w:val="SCCCounselNameChar"/>
          <w:sz w:val="20"/>
          <w:lang w:val="fr-CA"/>
        </w:rPr>
        <w:tab/>
      </w:r>
      <w:r w:rsidRPr="008F6A20">
        <w:rPr>
          <w:rStyle w:val="SCCCounselNameChar"/>
          <w:sz w:val="20"/>
          <w:lang w:val="en-US"/>
        </w:rPr>
        <w:t>Louis P. Bélanger and Julie Girard, for the appellant Ultramar Ltd.</w:t>
      </w:r>
    </w:p>
    <w:p w:rsidR="00CC38D9" w:rsidRDefault="00CC38D9" w:rsidP="00CC38D9">
      <w:pPr>
        <w:pStyle w:val="SCCNormalDoubleSpacing"/>
        <w:spacing w:line="240" w:lineRule="auto"/>
        <w:rPr>
          <w:rStyle w:val="SCCCounselNameChar"/>
          <w:sz w:val="20"/>
          <w:lang w:val="en-US"/>
        </w:rPr>
      </w:pPr>
    </w:p>
    <w:p w:rsidR="00CC38D9" w:rsidRPr="008F6A20" w:rsidRDefault="00CC38D9" w:rsidP="00CC38D9">
      <w:pPr>
        <w:pStyle w:val="SCCNormalDoubleSpacing"/>
        <w:spacing w:line="240" w:lineRule="auto"/>
        <w:rPr>
          <w:rStyle w:val="SCCCounselPartyRoleChar"/>
          <w:sz w:val="20"/>
          <w:lang w:val="en-US"/>
        </w:rPr>
      </w:pPr>
      <w:r w:rsidRPr="008F6A20">
        <w:rPr>
          <w:rStyle w:val="SCCCounselNameChar"/>
          <w:sz w:val="20"/>
          <w:lang w:val="en-US"/>
        </w:rPr>
        <w:tab/>
        <w:t>Pierre LeBel</w:t>
      </w:r>
      <w:r w:rsidRPr="008F6A20">
        <w:rPr>
          <w:rStyle w:val="SCCCounselSeparatorChar"/>
          <w:sz w:val="20"/>
          <w:lang w:val="en-US"/>
        </w:rPr>
        <w:t xml:space="preserve">, </w:t>
      </w:r>
      <w:r w:rsidRPr="008F6A20">
        <w:rPr>
          <w:rStyle w:val="SCCCounselNameChar"/>
          <w:sz w:val="20"/>
          <w:lang w:val="en-US"/>
        </w:rPr>
        <w:t>Guy Paquette, Nicolas Guimond</w:t>
      </w:r>
      <w:r w:rsidRPr="008F6A20">
        <w:rPr>
          <w:rStyle w:val="SCCCounselSeparatorChar"/>
          <w:sz w:val="20"/>
          <w:lang w:val="en-US"/>
        </w:rPr>
        <w:t xml:space="preserve"> and </w:t>
      </w:r>
      <w:r w:rsidRPr="008F6A20">
        <w:rPr>
          <w:rStyle w:val="SCCCounselNameChar"/>
          <w:sz w:val="20"/>
          <w:lang w:val="en-US"/>
        </w:rPr>
        <w:t>Claudia Lalancette</w:t>
      </w:r>
      <w:r w:rsidRPr="008F6A20">
        <w:rPr>
          <w:rStyle w:val="SCCCounselPartyRoleChar"/>
          <w:sz w:val="20"/>
          <w:lang w:val="en-US"/>
        </w:rPr>
        <w:t>, for the respondents Simon Jacques et al.</w:t>
      </w:r>
    </w:p>
    <w:p w:rsidR="00CC38D9" w:rsidRDefault="00CC38D9" w:rsidP="00CC38D9">
      <w:pPr>
        <w:pStyle w:val="SCCNormalDoubleSpacing"/>
        <w:spacing w:line="240" w:lineRule="auto"/>
        <w:rPr>
          <w:rStyle w:val="SCCCounselNameChar"/>
          <w:sz w:val="20"/>
          <w:lang w:val="en-US"/>
        </w:rPr>
      </w:pPr>
    </w:p>
    <w:p w:rsidR="00CC38D9" w:rsidRPr="008F6A20" w:rsidRDefault="00CC38D9" w:rsidP="00CC38D9">
      <w:pPr>
        <w:pStyle w:val="SCCNormalDoubleSpacing"/>
        <w:spacing w:line="240" w:lineRule="auto"/>
        <w:rPr>
          <w:sz w:val="20"/>
        </w:rPr>
      </w:pPr>
      <w:r w:rsidRPr="008F6A20">
        <w:rPr>
          <w:rStyle w:val="SCCCounselNameChar"/>
          <w:sz w:val="20"/>
          <w:lang w:val="en-US"/>
        </w:rPr>
        <w:tab/>
      </w:r>
      <w:r w:rsidRPr="008F6A20">
        <w:rPr>
          <w:rStyle w:val="SCCCounselNameChar"/>
          <w:sz w:val="20"/>
        </w:rPr>
        <w:t>Dominique A. Jobin, Patricia Blair</w:t>
      </w:r>
      <w:r w:rsidRPr="00CC38D9">
        <w:rPr>
          <w:rStyle w:val="SCCCounselSeparatorChar"/>
          <w:sz w:val="20"/>
          <w:lang w:val="en-CA"/>
        </w:rPr>
        <w:t xml:space="preserve">, </w:t>
      </w:r>
      <w:r w:rsidRPr="008F6A20">
        <w:rPr>
          <w:rStyle w:val="SCCCounselNameChar"/>
          <w:sz w:val="20"/>
        </w:rPr>
        <w:t>Émilie</w:t>
      </w:r>
      <w:r w:rsidRPr="008F6A20">
        <w:rPr>
          <w:rStyle w:val="SCCCounselNameChar"/>
          <w:sz w:val="20"/>
        </w:rPr>
        <w:noBreakHyphen/>
        <w:t>Annick Landry</w:t>
      </w:r>
      <w:r w:rsidRPr="008F6A20">
        <w:rPr>
          <w:rStyle w:val="SCCCounselNameChar"/>
          <w:sz w:val="20"/>
        </w:rPr>
        <w:noBreakHyphen/>
        <w:t>Therriault and</w:t>
      </w:r>
      <w:r w:rsidRPr="00CC38D9">
        <w:rPr>
          <w:rStyle w:val="SCCCounselSeparatorChar"/>
          <w:sz w:val="20"/>
          <w:lang w:val="en-CA"/>
        </w:rPr>
        <w:t xml:space="preserve"> </w:t>
      </w:r>
      <w:r w:rsidRPr="008F6A20">
        <w:rPr>
          <w:rStyle w:val="SCCCounselNameChar"/>
          <w:sz w:val="20"/>
        </w:rPr>
        <w:t>Jean</w:t>
      </w:r>
      <w:r w:rsidRPr="008F6A20">
        <w:rPr>
          <w:rStyle w:val="SCCCounselNameChar"/>
          <w:sz w:val="20"/>
        </w:rPr>
        <w:noBreakHyphen/>
        <w:t>Vincent Lacroix</w:t>
      </w:r>
      <w:r w:rsidRPr="00CC38D9">
        <w:rPr>
          <w:rStyle w:val="SCCCounselSeparatorChar"/>
          <w:sz w:val="20"/>
          <w:lang w:val="en-CA"/>
        </w:rPr>
        <w:t xml:space="preserve">, </w:t>
      </w:r>
      <w:r w:rsidRPr="008F6A20">
        <w:rPr>
          <w:rStyle w:val="SCCCounselPartyRoleChar"/>
          <w:sz w:val="20"/>
        </w:rPr>
        <w:t>for the respondent the Attorney General of Quebec.</w:t>
      </w:r>
    </w:p>
    <w:p w:rsidR="00CC38D9" w:rsidRDefault="00CC38D9" w:rsidP="00CC38D9">
      <w:pPr>
        <w:pStyle w:val="SCCNormalDoubleSpacing"/>
        <w:spacing w:line="240" w:lineRule="auto"/>
        <w:rPr>
          <w:rStyle w:val="SCCCounselNameChar"/>
          <w:sz w:val="20"/>
        </w:rPr>
      </w:pPr>
    </w:p>
    <w:p w:rsidR="00CC38D9" w:rsidRPr="008F6A20" w:rsidRDefault="00CC38D9" w:rsidP="00CC38D9">
      <w:pPr>
        <w:pStyle w:val="SCCNormalDoubleSpacing"/>
        <w:spacing w:line="240" w:lineRule="auto"/>
        <w:rPr>
          <w:sz w:val="20"/>
        </w:rPr>
      </w:pPr>
      <w:r w:rsidRPr="008F6A20">
        <w:rPr>
          <w:rStyle w:val="SCCCounselNameChar"/>
          <w:sz w:val="20"/>
        </w:rPr>
        <w:tab/>
        <w:t>François Lacasse and Stéphane Hould</w:t>
      </w:r>
      <w:r w:rsidRPr="008F6A20">
        <w:rPr>
          <w:rStyle w:val="SCCCounselPartyRoleChar"/>
          <w:sz w:val="20"/>
        </w:rPr>
        <w:t>, for the respondent the Director of Public Prosecutions of Canada.</w:t>
      </w:r>
    </w:p>
    <w:p w:rsidR="00CC38D9" w:rsidRDefault="00CC38D9" w:rsidP="00CC38D9">
      <w:pPr>
        <w:pStyle w:val="SCCNormalDoubleSpacing"/>
        <w:spacing w:line="240" w:lineRule="auto"/>
        <w:rPr>
          <w:rStyle w:val="SCCCounselNameChar"/>
          <w:sz w:val="20"/>
        </w:rPr>
      </w:pPr>
    </w:p>
    <w:p w:rsidR="00CC38D9" w:rsidRPr="008F6A20" w:rsidRDefault="00CC38D9" w:rsidP="00CC38D9">
      <w:pPr>
        <w:pStyle w:val="SCCNormalDoubleSpacing"/>
        <w:spacing w:line="240" w:lineRule="auto"/>
        <w:rPr>
          <w:sz w:val="20"/>
        </w:rPr>
      </w:pPr>
      <w:r w:rsidRPr="008F6A20">
        <w:rPr>
          <w:rStyle w:val="SCCCounselNameChar"/>
          <w:sz w:val="20"/>
        </w:rPr>
        <w:tab/>
        <w:t>Deborah Calderwood and Megan Stephens</w:t>
      </w:r>
      <w:r w:rsidRPr="008F6A20">
        <w:rPr>
          <w:rStyle w:val="SCCCounselPartyRoleChar"/>
          <w:sz w:val="20"/>
        </w:rPr>
        <w:t>, for the intervener the Attorney General of Ontario.</w:t>
      </w:r>
    </w:p>
    <w:p w:rsidR="00CC38D9" w:rsidRDefault="00CC38D9" w:rsidP="00CC38D9">
      <w:pPr>
        <w:pStyle w:val="SCCLawFirm"/>
        <w:spacing w:line="240" w:lineRule="auto"/>
        <w:rPr>
          <w:sz w:val="20"/>
        </w:rPr>
      </w:pPr>
    </w:p>
    <w:p w:rsidR="00CC38D9" w:rsidRPr="008F6A20" w:rsidRDefault="00CC38D9" w:rsidP="00CC38D9">
      <w:pPr>
        <w:pStyle w:val="SCCLawFirm"/>
        <w:spacing w:line="240" w:lineRule="auto"/>
        <w:rPr>
          <w:sz w:val="20"/>
        </w:rPr>
      </w:pPr>
      <w:r w:rsidRPr="008F6A20">
        <w:rPr>
          <w:sz w:val="20"/>
        </w:rPr>
        <w:tab/>
        <w:t>Solicitors for the appellant Imperial Oil:  Gowling Lafleur Henderson, Montréal and Ottawa.</w:t>
      </w:r>
    </w:p>
    <w:p w:rsidR="00CC38D9" w:rsidRDefault="00CC38D9" w:rsidP="00CC38D9">
      <w:pPr>
        <w:pStyle w:val="SCCNormalDoubleSpacing"/>
        <w:spacing w:line="240" w:lineRule="auto"/>
        <w:rPr>
          <w:i/>
          <w:sz w:val="20"/>
        </w:rPr>
      </w:pPr>
    </w:p>
    <w:p w:rsidR="00CC38D9" w:rsidRPr="008F6A20" w:rsidRDefault="00CC38D9" w:rsidP="00CC38D9">
      <w:pPr>
        <w:pStyle w:val="SCCNormalDoubleSpacing"/>
        <w:spacing w:line="240" w:lineRule="auto"/>
        <w:rPr>
          <w:rStyle w:val="SCCCounselSeparatorChar"/>
          <w:i/>
          <w:sz w:val="20"/>
        </w:rPr>
      </w:pPr>
      <w:r w:rsidRPr="008F6A20">
        <w:rPr>
          <w:i/>
          <w:sz w:val="20"/>
        </w:rPr>
        <w:tab/>
      </w:r>
      <w:r w:rsidRPr="008F6A20">
        <w:rPr>
          <w:i/>
          <w:sz w:val="20"/>
          <w:lang w:val="fr-CA"/>
        </w:rPr>
        <w:t>Solicitors for the appellants Couche</w:t>
      </w:r>
      <w:r w:rsidRPr="008F6A20">
        <w:rPr>
          <w:i/>
          <w:sz w:val="20"/>
          <w:lang w:val="fr-CA"/>
        </w:rPr>
        <w:noBreakHyphen/>
        <w:t>Tard Inc. et al.:  </w:t>
      </w:r>
      <w:r w:rsidRPr="008F6A20">
        <w:rPr>
          <w:rStyle w:val="SCCCounselNameChar"/>
          <w:sz w:val="20"/>
          <w:lang w:val="fr-CA"/>
        </w:rPr>
        <w:t>Davies Ward Phillips &amp; Vineberg, Montréal; Louis Belleau, Montréal; Chenette, Boutique de litige, Montréal; Osler Hoskin &amp; Harcourt, Montréal; McMillan, Montréal; Langlois Kronström Desjardins, Montréal; Miller Thomson, Toronto; Miller Thomson Pouliot, Montréal.</w:t>
      </w:r>
    </w:p>
    <w:p w:rsidR="00CC38D9" w:rsidRDefault="00CC38D9" w:rsidP="00CC38D9">
      <w:pPr>
        <w:pStyle w:val="SCCNormalDoubleSpacing"/>
        <w:spacing w:line="240" w:lineRule="auto"/>
        <w:rPr>
          <w:i/>
          <w:sz w:val="20"/>
          <w:lang w:val="fr-CA"/>
        </w:rPr>
      </w:pPr>
    </w:p>
    <w:p w:rsidR="00CC38D9" w:rsidRPr="008F6A20" w:rsidRDefault="00CC38D9" w:rsidP="00CC38D9">
      <w:pPr>
        <w:pStyle w:val="SCCNormalDoubleSpacing"/>
        <w:spacing w:line="240" w:lineRule="auto"/>
        <w:rPr>
          <w:rStyle w:val="SCCCounselNameChar"/>
          <w:sz w:val="20"/>
          <w:lang w:val="fr-CA"/>
        </w:rPr>
      </w:pPr>
      <w:r w:rsidRPr="008F6A20">
        <w:rPr>
          <w:i/>
          <w:sz w:val="20"/>
          <w:lang w:val="fr-CA"/>
        </w:rPr>
        <w:lastRenderedPageBreak/>
        <w:tab/>
        <w:t>Solicitors for the appellant Ultramar Ltd.:  </w:t>
      </w:r>
      <w:r w:rsidRPr="008F6A20">
        <w:rPr>
          <w:rStyle w:val="SCCCounselNameChar"/>
          <w:sz w:val="20"/>
          <w:lang w:val="fr-CA"/>
        </w:rPr>
        <w:t>Stikeman Elliott, Montréal.</w:t>
      </w:r>
    </w:p>
    <w:p w:rsidR="00CC38D9" w:rsidRDefault="00CC38D9" w:rsidP="00CC38D9">
      <w:pPr>
        <w:pStyle w:val="SCCNormalDoubleSpacing"/>
        <w:spacing w:line="240" w:lineRule="auto"/>
        <w:rPr>
          <w:i/>
          <w:sz w:val="20"/>
          <w:lang w:val="fr-CA"/>
        </w:rPr>
      </w:pPr>
    </w:p>
    <w:p w:rsidR="00CC38D9" w:rsidRPr="008F6A20" w:rsidRDefault="00CC38D9" w:rsidP="00CC38D9">
      <w:pPr>
        <w:pStyle w:val="SCCNormalDoubleSpacing"/>
        <w:spacing w:line="240" w:lineRule="auto"/>
        <w:rPr>
          <w:rStyle w:val="SCCCounselPartyRoleChar"/>
          <w:i/>
          <w:sz w:val="20"/>
          <w:lang w:val="fr-CA"/>
        </w:rPr>
      </w:pPr>
      <w:r w:rsidRPr="008F6A20">
        <w:rPr>
          <w:i/>
          <w:sz w:val="20"/>
          <w:lang w:val="fr-CA"/>
        </w:rPr>
        <w:tab/>
        <w:t>Solicitors for the respondents Simon Jacques et al.:  </w:t>
      </w:r>
      <w:r w:rsidRPr="008F6A20">
        <w:rPr>
          <w:rStyle w:val="SCCCounselPartyRoleChar"/>
          <w:i/>
          <w:sz w:val="20"/>
          <w:lang w:val="fr-CA"/>
        </w:rPr>
        <w:t>Bernier Beaudry, Québec; Paquette Gadler, Montréal.</w:t>
      </w:r>
    </w:p>
    <w:p w:rsidR="00CC38D9" w:rsidRDefault="00CC38D9" w:rsidP="00CC38D9">
      <w:pPr>
        <w:pStyle w:val="SCCLawFirm"/>
        <w:spacing w:line="240" w:lineRule="auto"/>
        <w:rPr>
          <w:sz w:val="20"/>
          <w:lang w:val="fr-CA"/>
        </w:rPr>
      </w:pPr>
    </w:p>
    <w:p w:rsidR="00CC38D9" w:rsidRPr="008F6A20" w:rsidRDefault="00CC38D9" w:rsidP="00CC38D9">
      <w:pPr>
        <w:pStyle w:val="SCCLawFirm"/>
        <w:spacing w:line="240" w:lineRule="auto"/>
        <w:rPr>
          <w:sz w:val="20"/>
          <w:lang w:val="en-US"/>
        </w:rPr>
      </w:pPr>
      <w:r w:rsidRPr="008F6A20">
        <w:rPr>
          <w:sz w:val="20"/>
          <w:lang w:val="fr-CA"/>
        </w:rPr>
        <w:tab/>
      </w:r>
      <w:r w:rsidRPr="008F6A20">
        <w:rPr>
          <w:sz w:val="20"/>
          <w:lang w:val="en-US"/>
        </w:rPr>
        <w:t>Solicitors for the respondent the Attorney General of Quebec:  Attorney General of Quebec, Québec; Chamberland Gagnon, Québec.</w:t>
      </w:r>
    </w:p>
    <w:p w:rsidR="00CC38D9" w:rsidRDefault="00CC38D9" w:rsidP="00CC38D9">
      <w:pPr>
        <w:pStyle w:val="SCCLawFirm"/>
        <w:spacing w:line="240" w:lineRule="auto"/>
        <w:rPr>
          <w:sz w:val="20"/>
          <w:lang w:val="en-US"/>
        </w:rPr>
      </w:pPr>
    </w:p>
    <w:p w:rsidR="00CC38D9" w:rsidRPr="008F6A20" w:rsidRDefault="00CC38D9" w:rsidP="00CC38D9">
      <w:pPr>
        <w:pStyle w:val="SCCLawFirm"/>
        <w:spacing w:line="240" w:lineRule="auto"/>
        <w:rPr>
          <w:sz w:val="20"/>
          <w:lang w:val="en-US"/>
        </w:rPr>
      </w:pPr>
      <w:r w:rsidRPr="008F6A20">
        <w:rPr>
          <w:sz w:val="20"/>
          <w:lang w:val="en-US"/>
        </w:rPr>
        <w:tab/>
        <w:t>Solicitor for the respondent the Director of Public Prosecutions of Canada:  Public Prosecution Service of Canada, Ottawa.</w:t>
      </w:r>
    </w:p>
    <w:p w:rsidR="00CC38D9" w:rsidRDefault="00CC38D9" w:rsidP="00CC38D9">
      <w:pPr>
        <w:pStyle w:val="SCCLawFirm"/>
        <w:spacing w:line="240" w:lineRule="auto"/>
        <w:rPr>
          <w:sz w:val="20"/>
        </w:rPr>
      </w:pPr>
    </w:p>
    <w:p w:rsidR="00CC38D9" w:rsidRDefault="00CC38D9" w:rsidP="00CC38D9">
      <w:pPr>
        <w:pStyle w:val="SCCLawFirm"/>
        <w:spacing w:line="240" w:lineRule="auto"/>
        <w:rPr>
          <w:sz w:val="20"/>
        </w:rPr>
      </w:pPr>
      <w:r w:rsidRPr="008F6A20">
        <w:rPr>
          <w:sz w:val="20"/>
        </w:rPr>
        <w:tab/>
        <w:t>Solicitor for the intervener the Attorney General of Ontario:  Attorney General of Ontario, Toronto.</w:t>
      </w:r>
    </w:p>
    <w:p w:rsidR="003B3977" w:rsidRPr="0052229C" w:rsidRDefault="003B3977" w:rsidP="005C6840">
      <w:pPr>
        <w:rPr>
          <w:rFonts w:cs="Times New Roman"/>
          <w:sz w:val="20"/>
          <w:szCs w:val="20"/>
        </w:rPr>
      </w:pPr>
    </w:p>
    <w:p w:rsidR="005C6840" w:rsidRDefault="00237788" w:rsidP="005C6840">
      <w:pPr>
        <w:rPr>
          <w:lang w:val="fr-CA"/>
        </w:rPr>
      </w:pPr>
      <w:r>
        <w:rPr>
          <w:rFonts w:cs="Times New Roman"/>
          <w:sz w:val="20"/>
          <w:szCs w:val="20"/>
          <w:lang w:val="fr-CA"/>
        </w:rPr>
        <w:pict>
          <v:rect id="_x0000_i1076" style="width:144.3pt;height:1pt" o:hrpct="300" o:hralign="center" o:hrstd="t" o:hrnoshade="t" o:hr="t" fillcolor="black [3213]" stroked="f"/>
        </w:pict>
      </w:r>
    </w:p>
    <w:p w:rsidR="00902E51" w:rsidRDefault="00902E51"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237788"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6B6926" w:rsidRDefault="006B6926"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A956D3" w:rsidRPr="00237788" w:rsidTr="0066350E">
        <w:trPr>
          <w:cantSplit/>
          <w:trHeight w:val="1152"/>
        </w:trPr>
        <w:tc>
          <w:tcPr>
            <w:tcW w:w="4320" w:type="dxa"/>
            <w:tcBorders>
              <w:top w:val="nil"/>
              <w:left w:val="nil"/>
              <w:bottom w:val="nil"/>
              <w:right w:val="nil"/>
            </w:tcBorders>
          </w:tcPr>
          <w:p w:rsidR="00A956D3" w:rsidRPr="00DD0B49" w:rsidRDefault="00A956D3" w:rsidP="0066350E">
            <w:pPr>
              <w:keepNext/>
              <w:keepLines/>
              <w:jc w:val="both"/>
              <w:rPr>
                <w:rFonts w:cs="Times New Roman"/>
                <w:sz w:val="20"/>
                <w:szCs w:val="20"/>
                <w:lang w:val="en-GB"/>
              </w:rPr>
            </w:pPr>
            <w:r w:rsidRPr="00DD0B49">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A956D3" w:rsidRPr="00DD0B49" w:rsidRDefault="00A956D3" w:rsidP="0066350E">
            <w:pPr>
              <w:rPr>
                <w:rFonts w:cs="Times New Roman"/>
                <w:b/>
                <w:bCs/>
                <w:sz w:val="20"/>
                <w:szCs w:val="20"/>
                <w:lang w:val="en-GB"/>
              </w:rPr>
            </w:pPr>
          </w:p>
        </w:tc>
        <w:tc>
          <w:tcPr>
            <w:tcW w:w="4320" w:type="dxa"/>
            <w:tcBorders>
              <w:top w:val="nil"/>
              <w:left w:val="nil"/>
              <w:bottom w:val="nil"/>
              <w:right w:val="nil"/>
            </w:tcBorders>
          </w:tcPr>
          <w:p w:rsidR="00A956D3" w:rsidRPr="00DD0B49" w:rsidRDefault="00A956D3" w:rsidP="0066350E">
            <w:pPr>
              <w:keepNext/>
              <w:keepLines/>
              <w:jc w:val="both"/>
              <w:rPr>
                <w:rFonts w:cs="Times New Roman"/>
                <w:b/>
                <w:bCs/>
                <w:sz w:val="20"/>
                <w:szCs w:val="20"/>
                <w:lang w:val="fr-CA"/>
              </w:rPr>
            </w:pPr>
            <w:r w:rsidRPr="00DD0B49">
              <w:rPr>
                <w:rFonts w:cs="Times New Roman"/>
                <w:b/>
                <w:bCs/>
                <w:sz w:val="20"/>
                <w:szCs w:val="20"/>
                <w:lang w:val="fr-CA"/>
              </w:rPr>
              <w:t>LES INTITULÉS UTILISÉS DANS CETTE TABLE SONT LES INTITULÉS NORMALISÉS DE LA RUBRIQUE "RÉPERTORIÉ" DANS CHAQUE ARRÊT.</w:t>
            </w:r>
          </w:p>
        </w:tc>
      </w:tr>
      <w:tr w:rsidR="00A956D3" w:rsidRPr="00DD0B49" w:rsidTr="0066350E">
        <w:tc>
          <w:tcPr>
            <w:tcW w:w="4320" w:type="dxa"/>
            <w:tcBorders>
              <w:top w:val="nil"/>
              <w:left w:val="nil"/>
              <w:bottom w:val="nil"/>
              <w:right w:val="nil"/>
            </w:tcBorders>
          </w:tcPr>
          <w:p w:rsidR="00A956D3" w:rsidRPr="00DD0B49" w:rsidRDefault="00A956D3" w:rsidP="0066350E">
            <w:pPr>
              <w:rPr>
                <w:rFonts w:cs="Times New Roman"/>
                <w:sz w:val="20"/>
                <w:szCs w:val="20"/>
                <w:lang w:val="en-GB"/>
              </w:rPr>
            </w:pPr>
            <w:r w:rsidRPr="00DD0B49">
              <w:rPr>
                <w:rFonts w:cs="Times New Roman"/>
                <w:b/>
                <w:bCs/>
                <w:sz w:val="20"/>
                <w:szCs w:val="20"/>
                <w:lang w:val="en-GB"/>
              </w:rPr>
              <w:t>Judgments reported in [201</w:t>
            </w:r>
            <w:r w:rsidR="00DE4A61">
              <w:rPr>
                <w:rFonts w:cs="Times New Roman"/>
                <w:b/>
                <w:bCs/>
                <w:sz w:val="20"/>
                <w:szCs w:val="20"/>
                <w:lang w:val="en-GB"/>
              </w:rPr>
              <w:t>4</w:t>
            </w:r>
            <w:r w:rsidRPr="00DD0B49">
              <w:rPr>
                <w:rFonts w:cs="Times New Roman"/>
                <w:b/>
                <w:bCs/>
                <w:sz w:val="20"/>
                <w:szCs w:val="20"/>
                <w:lang w:val="en-GB"/>
              </w:rPr>
              <w:t xml:space="preserve">] </w:t>
            </w:r>
            <w:r w:rsidR="00DE4A61">
              <w:rPr>
                <w:rFonts w:cs="Times New Roman"/>
                <w:b/>
                <w:bCs/>
                <w:sz w:val="20"/>
                <w:szCs w:val="20"/>
                <w:lang w:val="en-GB"/>
              </w:rPr>
              <w:t>1</w:t>
            </w:r>
            <w:r w:rsidRPr="00DD0B49">
              <w:rPr>
                <w:rFonts w:cs="Times New Roman"/>
                <w:b/>
                <w:bCs/>
                <w:sz w:val="20"/>
                <w:szCs w:val="20"/>
                <w:lang w:val="en-GB"/>
              </w:rPr>
              <w:t xml:space="preserve"> S.C.R. Part </w:t>
            </w:r>
            <w:r w:rsidR="00DE4A61">
              <w:rPr>
                <w:rFonts w:cs="Times New Roman"/>
                <w:b/>
                <w:bCs/>
                <w:sz w:val="20"/>
                <w:szCs w:val="20"/>
                <w:lang w:val="en-GB"/>
              </w:rPr>
              <w:t>3</w:t>
            </w:r>
          </w:p>
          <w:p w:rsidR="00A956D3" w:rsidRPr="00DD0B49" w:rsidRDefault="00A956D3" w:rsidP="0066350E">
            <w:pPr>
              <w:rPr>
                <w:rFonts w:cs="Times New Roman"/>
                <w:sz w:val="20"/>
                <w:szCs w:val="20"/>
                <w:lang w:val="en-GB"/>
              </w:rPr>
            </w:pPr>
          </w:p>
          <w:p w:rsidR="00A956D3" w:rsidRPr="00CF125F" w:rsidRDefault="00CF125F" w:rsidP="0066350E">
            <w:pPr>
              <w:rPr>
                <w:rFonts w:cs="Times New Roman"/>
                <w:sz w:val="20"/>
                <w:szCs w:val="20"/>
                <w:lang w:val="fr-CA"/>
              </w:rPr>
            </w:pPr>
            <w:r w:rsidRPr="00CF125F">
              <w:rPr>
                <w:rFonts w:cs="Times New Roman"/>
                <w:sz w:val="20"/>
                <w:szCs w:val="20"/>
                <w:lang w:val="fr-CA"/>
              </w:rPr>
              <w:t>D</w:t>
            </w:r>
            <w:r w:rsidR="00A956D3" w:rsidRPr="00CF125F">
              <w:rPr>
                <w:rFonts w:cs="Times New Roman"/>
                <w:sz w:val="20"/>
                <w:szCs w:val="20"/>
                <w:lang w:val="fr-CA"/>
              </w:rPr>
              <w:t>i</w:t>
            </w:r>
            <w:r w:rsidRPr="00CF125F">
              <w:rPr>
                <w:rFonts w:cs="Times New Roman"/>
                <w:sz w:val="20"/>
                <w:szCs w:val="20"/>
                <w:lang w:val="fr-CA"/>
              </w:rPr>
              <w:t>onne</w:t>
            </w:r>
            <w:r w:rsidR="00A956D3" w:rsidRPr="00CF125F">
              <w:rPr>
                <w:rFonts w:cs="Times New Roman"/>
                <w:sz w:val="20"/>
                <w:szCs w:val="20"/>
                <w:lang w:val="fr-CA"/>
              </w:rPr>
              <w:t xml:space="preserve"> </w:t>
            </w:r>
            <w:r w:rsidR="00A956D3" w:rsidRPr="00CF125F">
              <w:rPr>
                <w:rFonts w:cs="Times New Roman"/>
                <w:i/>
                <w:sz w:val="20"/>
                <w:szCs w:val="20"/>
                <w:lang w:val="fr-CA"/>
              </w:rPr>
              <w:t>v.</w:t>
            </w:r>
            <w:r w:rsidR="00A956D3" w:rsidRPr="00CF125F">
              <w:rPr>
                <w:rFonts w:cs="Times New Roman"/>
                <w:sz w:val="20"/>
                <w:szCs w:val="20"/>
                <w:lang w:val="fr-CA"/>
              </w:rPr>
              <w:t xml:space="preserve"> </w:t>
            </w:r>
            <w:r w:rsidRPr="00CF125F">
              <w:rPr>
                <w:rFonts w:cs="Times New Roman"/>
                <w:sz w:val="20"/>
                <w:szCs w:val="20"/>
                <w:lang w:val="fr-CA"/>
              </w:rPr>
              <w:t>Commission sco</w:t>
            </w:r>
            <w:r w:rsidR="00A956D3" w:rsidRPr="00CF125F">
              <w:rPr>
                <w:rFonts w:cs="Times New Roman"/>
                <w:sz w:val="20"/>
                <w:szCs w:val="20"/>
                <w:lang w:val="fr-CA"/>
              </w:rPr>
              <w:t>la</w:t>
            </w:r>
            <w:r w:rsidRPr="00CF125F">
              <w:rPr>
                <w:rFonts w:cs="Times New Roman"/>
                <w:sz w:val="20"/>
                <w:szCs w:val="20"/>
                <w:lang w:val="fr-CA"/>
              </w:rPr>
              <w:t>i</w:t>
            </w:r>
            <w:r w:rsidR="00A956D3" w:rsidRPr="00CF125F">
              <w:rPr>
                <w:rFonts w:cs="Times New Roman"/>
                <w:sz w:val="20"/>
                <w:szCs w:val="20"/>
                <w:lang w:val="fr-CA"/>
              </w:rPr>
              <w:t>r</w:t>
            </w:r>
            <w:r w:rsidRPr="00CF125F">
              <w:rPr>
                <w:rFonts w:cs="Times New Roman"/>
                <w:sz w:val="20"/>
                <w:szCs w:val="20"/>
                <w:lang w:val="fr-CA"/>
              </w:rPr>
              <w:t>e des</w:t>
            </w:r>
            <w:r w:rsidR="00A956D3" w:rsidRPr="00CF125F">
              <w:rPr>
                <w:rFonts w:cs="Times New Roman"/>
                <w:sz w:val="20"/>
                <w:szCs w:val="20"/>
                <w:lang w:val="fr-CA"/>
              </w:rPr>
              <w:t xml:space="preserve"> P</w:t>
            </w:r>
            <w:r w:rsidRPr="00CF125F">
              <w:rPr>
                <w:rFonts w:cs="Times New Roman"/>
                <w:sz w:val="20"/>
                <w:szCs w:val="20"/>
                <w:lang w:val="fr-CA"/>
              </w:rPr>
              <w:t>a</w:t>
            </w:r>
            <w:r w:rsidR="00A956D3" w:rsidRPr="00CF125F">
              <w:rPr>
                <w:rFonts w:cs="Times New Roman"/>
                <w:sz w:val="20"/>
                <w:szCs w:val="20"/>
                <w:lang w:val="fr-CA"/>
              </w:rPr>
              <w:t>t</w:t>
            </w:r>
            <w:r w:rsidRPr="00CF125F">
              <w:rPr>
                <w:rFonts w:cs="Times New Roman"/>
                <w:sz w:val="20"/>
                <w:szCs w:val="20"/>
                <w:lang w:val="fr-CA"/>
              </w:rPr>
              <w:t>riote</w:t>
            </w:r>
            <w:r w:rsidR="00A956D3" w:rsidRPr="00CF125F">
              <w:rPr>
                <w:rFonts w:cs="Times New Roman"/>
                <w:sz w:val="20"/>
                <w:szCs w:val="20"/>
                <w:lang w:val="fr-CA"/>
              </w:rPr>
              <w:t>s,</w:t>
            </w:r>
          </w:p>
          <w:p w:rsidR="00A956D3" w:rsidRPr="00BB18FF" w:rsidRDefault="00A956D3" w:rsidP="0066350E">
            <w:pPr>
              <w:rPr>
                <w:rFonts w:cs="Times New Roman"/>
                <w:sz w:val="20"/>
                <w:szCs w:val="20"/>
                <w:lang w:val="fr-CA"/>
              </w:rPr>
            </w:pPr>
            <w:r w:rsidRPr="00BB18FF">
              <w:rPr>
                <w:rFonts w:cs="Times New Roman"/>
                <w:sz w:val="20"/>
                <w:szCs w:val="20"/>
                <w:lang w:val="fr-CA"/>
              </w:rPr>
              <w:t>201</w:t>
            </w:r>
            <w:r w:rsidR="00DE4A61" w:rsidRPr="00BB18FF">
              <w:rPr>
                <w:rFonts w:cs="Times New Roman"/>
                <w:sz w:val="20"/>
                <w:szCs w:val="20"/>
                <w:lang w:val="fr-CA"/>
              </w:rPr>
              <w:t>4</w:t>
            </w:r>
            <w:r w:rsidRPr="00BB18FF">
              <w:rPr>
                <w:rFonts w:cs="Times New Roman"/>
                <w:sz w:val="20"/>
                <w:szCs w:val="20"/>
                <w:lang w:val="fr-CA"/>
              </w:rPr>
              <w:t xml:space="preserve"> SCC </w:t>
            </w:r>
            <w:r w:rsidR="00F36628" w:rsidRPr="00BB18FF">
              <w:rPr>
                <w:rFonts w:cs="Times New Roman"/>
                <w:sz w:val="20"/>
                <w:szCs w:val="20"/>
                <w:lang w:val="fr-CA"/>
              </w:rPr>
              <w:t>33</w:t>
            </w:r>
            <w:r w:rsidRPr="00BB18FF">
              <w:rPr>
                <w:rFonts w:cs="Times New Roman"/>
                <w:sz w:val="20"/>
                <w:szCs w:val="20"/>
                <w:lang w:val="fr-CA"/>
              </w:rPr>
              <w:t>, [201</w:t>
            </w:r>
            <w:r w:rsidR="00DE4A61" w:rsidRPr="00BB18FF">
              <w:rPr>
                <w:rFonts w:cs="Times New Roman"/>
                <w:sz w:val="20"/>
                <w:szCs w:val="20"/>
                <w:lang w:val="fr-CA"/>
              </w:rPr>
              <w:t>4</w:t>
            </w:r>
            <w:r w:rsidRPr="00BB18FF">
              <w:rPr>
                <w:rFonts w:cs="Times New Roman"/>
                <w:sz w:val="20"/>
                <w:szCs w:val="20"/>
                <w:lang w:val="fr-CA"/>
              </w:rPr>
              <w:t xml:space="preserve">] </w:t>
            </w:r>
            <w:r w:rsidR="00AB7EC2" w:rsidRPr="00BB18FF">
              <w:rPr>
                <w:rFonts w:cs="Times New Roman"/>
                <w:sz w:val="20"/>
                <w:szCs w:val="20"/>
                <w:lang w:val="fr-CA"/>
              </w:rPr>
              <w:t>1</w:t>
            </w:r>
            <w:r w:rsidRPr="00BB18FF">
              <w:rPr>
                <w:rFonts w:cs="Times New Roman"/>
                <w:sz w:val="20"/>
                <w:szCs w:val="20"/>
                <w:lang w:val="fr-CA"/>
              </w:rPr>
              <w:t xml:space="preserve"> S.C.R. </w:t>
            </w:r>
            <w:r w:rsidR="00CF125F" w:rsidRPr="00BB18FF">
              <w:rPr>
                <w:rFonts w:cs="Times New Roman"/>
                <w:sz w:val="20"/>
                <w:szCs w:val="20"/>
                <w:lang w:val="fr-CA"/>
              </w:rPr>
              <w:t>765</w:t>
            </w:r>
          </w:p>
          <w:p w:rsidR="00A956D3" w:rsidRPr="00BB18FF" w:rsidRDefault="00A956D3" w:rsidP="0066350E">
            <w:pPr>
              <w:rPr>
                <w:rFonts w:cs="Times New Roman"/>
                <w:sz w:val="20"/>
                <w:szCs w:val="20"/>
                <w:lang w:val="fr-CA"/>
              </w:rPr>
            </w:pPr>
          </w:p>
          <w:p w:rsidR="00A956D3" w:rsidRPr="00CF125F" w:rsidRDefault="00CF125F" w:rsidP="0066350E">
            <w:pPr>
              <w:rPr>
                <w:rFonts w:cs="Times New Roman"/>
                <w:sz w:val="20"/>
                <w:szCs w:val="20"/>
                <w:lang w:val="fr-CA"/>
              </w:rPr>
            </w:pPr>
            <w:r w:rsidRPr="00CF125F">
              <w:rPr>
                <w:rFonts w:cs="Times New Roman"/>
                <w:sz w:val="20"/>
                <w:szCs w:val="20"/>
                <w:lang w:val="fr-CA"/>
              </w:rPr>
              <w:t>Immeubles Jacques Robi</w:t>
            </w:r>
            <w:r w:rsidR="00A956D3" w:rsidRPr="00CF125F">
              <w:rPr>
                <w:rFonts w:cs="Times New Roman"/>
                <w:sz w:val="20"/>
                <w:szCs w:val="20"/>
                <w:lang w:val="fr-CA"/>
              </w:rPr>
              <w:t>t</w:t>
            </w:r>
            <w:r w:rsidRPr="00CF125F">
              <w:rPr>
                <w:rFonts w:cs="Times New Roman"/>
                <w:sz w:val="20"/>
                <w:szCs w:val="20"/>
                <w:lang w:val="fr-CA"/>
              </w:rPr>
              <w:t>aille inc.</w:t>
            </w:r>
            <w:r w:rsidR="00A956D3" w:rsidRPr="00CF125F">
              <w:rPr>
                <w:rFonts w:cs="Times New Roman"/>
                <w:sz w:val="20"/>
                <w:szCs w:val="20"/>
                <w:lang w:val="fr-CA"/>
              </w:rPr>
              <w:t xml:space="preserve"> </w:t>
            </w:r>
            <w:r w:rsidR="00A956D3" w:rsidRPr="00CF125F">
              <w:rPr>
                <w:rFonts w:cs="Times New Roman"/>
                <w:i/>
                <w:iCs/>
                <w:sz w:val="20"/>
                <w:szCs w:val="20"/>
                <w:lang w:val="fr-CA"/>
              </w:rPr>
              <w:t>v.</w:t>
            </w:r>
            <w:r w:rsidR="00A956D3" w:rsidRPr="00CF125F">
              <w:rPr>
                <w:rFonts w:cs="Times New Roman"/>
                <w:iCs/>
                <w:sz w:val="20"/>
                <w:szCs w:val="20"/>
                <w:lang w:val="fr-CA"/>
              </w:rPr>
              <w:t xml:space="preserve"> </w:t>
            </w:r>
            <w:r w:rsidRPr="00CF125F">
              <w:rPr>
                <w:rFonts w:cs="Times New Roman"/>
                <w:iCs/>
                <w:sz w:val="20"/>
                <w:szCs w:val="20"/>
                <w:lang w:val="fr-CA"/>
              </w:rPr>
              <w:t>Québec</w:t>
            </w:r>
            <w:r w:rsidR="00A956D3" w:rsidRPr="00CF125F">
              <w:rPr>
                <w:rFonts w:cs="Times New Roman"/>
                <w:iCs/>
                <w:sz w:val="20"/>
                <w:szCs w:val="20"/>
                <w:lang w:val="fr-CA"/>
              </w:rPr>
              <w:t xml:space="preserve"> (</w:t>
            </w:r>
            <w:r w:rsidRPr="00CF125F">
              <w:rPr>
                <w:rFonts w:cs="Times New Roman"/>
                <w:iCs/>
                <w:sz w:val="20"/>
                <w:szCs w:val="20"/>
                <w:lang w:val="fr-CA"/>
              </w:rPr>
              <w:t>Cit</w:t>
            </w:r>
            <w:r w:rsidR="00A956D3" w:rsidRPr="00CF125F">
              <w:rPr>
                <w:rFonts w:cs="Times New Roman"/>
                <w:iCs/>
                <w:sz w:val="20"/>
                <w:szCs w:val="20"/>
                <w:lang w:val="fr-CA"/>
              </w:rPr>
              <w:t>y)</w:t>
            </w:r>
            <w:r w:rsidR="00A956D3" w:rsidRPr="00CF125F">
              <w:rPr>
                <w:rFonts w:cs="Times New Roman"/>
                <w:sz w:val="20"/>
                <w:szCs w:val="20"/>
                <w:lang w:val="fr-CA"/>
              </w:rPr>
              <w:t>,</w:t>
            </w:r>
          </w:p>
          <w:p w:rsidR="00A956D3" w:rsidRPr="00DD0B49" w:rsidRDefault="00A956D3" w:rsidP="0066350E">
            <w:pPr>
              <w:rPr>
                <w:rFonts w:cs="Times New Roman"/>
                <w:sz w:val="20"/>
                <w:szCs w:val="20"/>
                <w:lang w:val="en-GB"/>
              </w:rPr>
            </w:pPr>
            <w:r w:rsidRPr="00DD0B49">
              <w:rPr>
                <w:rFonts w:cs="Times New Roman"/>
                <w:sz w:val="20"/>
                <w:szCs w:val="20"/>
                <w:lang w:val="en-GB"/>
              </w:rPr>
              <w:t>201</w:t>
            </w:r>
            <w:r w:rsidR="00DE4A61">
              <w:rPr>
                <w:rFonts w:cs="Times New Roman"/>
                <w:sz w:val="20"/>
                <w:szCs w:val="20"/>
                <w:lang w:val="en-GB"/>
              </w:rPr>
              <w:t>4</w:t>
            </w:r>
            <w:r w:rsidRPr="00DD0B49">
              <w:rPr>
                <w:rFonts w:cs="Times New Roman"/>
                <w:sz w:val="20"/>
                <w:szCs w:val="20"/>
                <w:lang w:val="en-GB"/>
              </w:rPr>
              <w:t xml:space="preserve"> SCC </w:t>
            </w:r>
            <w:r w:rsidR="00F36628">
              <w:rPr>
                <w:rFonts w:cs="Times New Roman"/>
                <w:sz w:val="20"/>
                <w:szCs w:val="20"/>
                <w:lang w:val="en-GB"/>
              </w:rPr>
              <w:t>34</w:t>
            </w:r>
            <w:r w:rsidRPr="00DD0B49">
              <w:rPr>
                <w:rFonts w:cs="Times New Roman"/>
                <w:sz w:val="20"/>
                <w:szCs w:val="20"/>
                <w:lang w:val="en-GB"/>
              </w:rPr>
              <w:t>, [201</w:t>
            </w:r>
            <w:r w:rsidR="00DE4A61">
              <w:rPr>
                <w:rFonts w:cs="Times New Roman"/>
                <w:sz w:val="20"/>
                <w:szCs w:val="20"/>
                <w:lang w:val="en-GB"/>
              </w:rPr>
              <w:t>4</w:t>
            </w:r>
            <w:r w:rsidRPr="00DD0B49">
              <w:rPr>
                <w:rFonts w:cs="Times New Roman"/>
                <w:sz w:val="20"/>
                <w:szCs w:val="20"/>
                <w:lang w:val="en-GB"/>
              </w:rPr>
              <w:t xml:space="preserve">] </w:t>
            </w:r>
            <w:r w:rsidR="00AB7EC2">
              <w:rPr>
                <w:rFonts w:cs="Times New Roman"/>
                <w:sz w:val="20"/>
                <w:szCs w:val="20"/>
                <w:lang w:val="en-GB"/>
              </w:rPr>
              <w:t>1</w:t>
            </w:r>
            <w:r w:rsidRPr="00DD0B49">
              <w:rPr>
                <w:rFonts w:cs="Times New Roman"/>
                <w:sz w:val="20"/>
                <w:szCs w:val="20"/>
                <w:lang w:val="en-GB"/>
              </w:rPr>
              <w:t xml:space="preserve"> S.C.R. </w:t>
            </w:r>
            <w:r>
              <w:rPr>
                <w:rFonts w:cs="Times New Roman"/>
                <w:sz w:val="20"/>
                <w:szCs w:val="20"/>
                <w:lang w:val="en-GB"/>
              </w:rPr>
              <w:t>7</w:t>
            </w:r>
            <w:r w:rsidR="00CF125F">
              <w:rPr>
                <w:rFonts w:cs="Times New Roman"/>
                <w:sz w:val="20"/>
                <w:szCs w:val="20"/>
                <w:lang w:val="en-GB"/>
              </w:rPr>
              <w:t>84</w:t>
            </w:r>
          </w:p>
          <w:p w:rsidR="00A956D3" w:rsidRPr="00DD0B49" w:rsidRDefault="00A956D3" w:rsidP="0066350E">
            <w:pPr>
              <w:rPr>
                <w:rFonts w:cs="Times New Roman"/>
                <w:iCs/>
                <w:sz w:val="20"/>
                <w:szCs w:val="20"/>
                <w:lang w:val="en-GB"/>
              </w:rPr>
            </w:pPr>
          </w:p>
          <w:p w:rsidR="00A956D3" w:rsidRPr="00DD0B49" w:rsidRDefault="008C03DD" w:rsidP="0066350E">
            <w:pPr>
              <w:rPr>
                <w:rFonts w:cs="Times New Roman"/>
                <w:iCs/>
                <w:sz w:val="20"/>
                <w:szCs w:val="20"/>
                <w:lang w:val="en-GB"/>
              </w:rPr>
            </w:pPr>
            <w:r>
              <w:rPr>
                <w:rFonts w:cs="Times New Roman"/>
                <w:iCs/>
                <w:sz w:val="20"/>
                <w:szCs w:val="20"/>
                <w:lang w:val="en-GB"/>
              </w:rPr>
              <w:t>O</w:t>
            </w:r>
            <w:r w:rsidR="00A956D3">
              <w:rPr>
                <w:rFonts w:cs="Times New Roman"/>
                <w:iCs/>
                <w:sz w:val="20"/>
                <w:szCs w:val="20"/>
                <w:lang w:val="en-GB"/>
              </w:rPr>
              <w:t>n</w:t>
            </w:r>
            <w:r>
              <w:rPr>
                <w:rFonts w:cs="Times New Roman"/>
                <w:iCs/>
                <w:sz w:val="20"/>
                <w:szCs w:val="20"/>
                <w:lang w:val="en-GB"/>
              </w:rPr>
              <w:t>tar</w:t>
            </w:r>
            <w:r w:rsidR="00A956D3">
              <w:rPr>
                <w:rFonts w:cs="Times New Roman"/>
                <w:iCs/>
                <w:sz w:val="20"/>
                <w:szCs w:val="20"/>
                <w:lang w:val="en-GB"/>
              </w:rPr>
              <w:t>io</w:t>
            </w:r>
            <w:r>
              <w:rPr>
                <w:rFonts w:cs="Times New Roman"/>
                <w:iCs/>
                <w:sz w:val="20"/>
                <w:szCs w:val="20"/>
                <w:lang w:val="en-GB"/>
              </w:rPr>
              <w:t xml:space="preserve"> (</w:t>
            </w:r>
            <w:r w:rsidR="00A956D3">
              <w:rPr>
                <w:rFonts w:cs="Times New Roman"/>
                <w:iCs/>
                <w:sz w:val="20"/>
                <w:szCs w:val="20"/>
                <w:lang w:val="en-GB"/>
              </w:rPr>
              <w:t>C</w:t>
            </w:r>
            <w:r>
              <w:rPr>
                <w:rFonts w:cs="Times New Roman"/>
                <w:iCs/>
                <w:sz w:val="20"/>
                <w:szCs w:val="20"/>
                <w:lang w:val="en-GB"/>
              </w:rPr>
              <w:t>ommun</w:t>
            </w:r>
            <w:r w:rsidR="00A956D3">
              <w:rPr>
                <w:rFonts w:cs="Times New Roman"/>
                <w:iCs/>
                <w:sz w:val="20"/>
                <w:szCs w:val="20"/>
                <w:lang w:val="en-GB"/>
              </w:rPr>
              <w:t>it</w:t>
            </w:r>
            <w:r>
              <w:rPr>
                <w:rFonts w:cs="Times New Roman"/>
                <w:iCs/>
                <w:sz w:val="20"/>
                <w:szCs w:val="20"/>
                <w:lang w:val="en-GB"/>
              </w:rPr>
              <w:t>y Safety and Correctional Services)</w:t>
            </w:r>
            <w:r w:rsidR="00A956D3">
              <w:rPr>
                <w:rFonts w:cs="Times New Roman"/>
                <w:iCs/>
                <w:sz w:val="20"/>
                <w:szCs w:val="20"/>
                <w:lang w:val="en-GB"/>
              </w:rPr>
              <w:t xml:space="preserve"> </w:t>
            </w:r>
            <w:r w:rsidR="00A956D3" w:rsidRPr="00DD0B49">
              <w:rPr>
                <w:rFonts w:cs="Times New Roman"/>
                <w:i/>
                <w:iCs/>
                <w:sz w:val="20"/>
                <w:szCs w:val="20"/>
                <w:lang w:val="en-GB"/>
              </w:rPr>
              <w:t>v.</w:t>
            </w:r>
            <w:r w:rsidR="00A956D3" w:rsidRPr="00DD0B49">
              <w:rPr>
                <w:rFonts w:cs="Times New Roman"/>
                <w:iCs/>
                <w:sz w:val="20"/>
                <w:szCs w:val="20"/>
                <w:lang w:val="en-GB"/>
              </w:rPr>
              <w:t xml:space="preserve"> </w:t>
            </w:r>
            <w:r>
              <w:rPr>
                <w:rFonts w:cs="Times New Roman"/>
                <w:iCs/>
                <w:sz w:val="20"/>
                <w:szCs w:val="20"/>
                <w:lang w:val="en-GB"/>
              </w:rPr>
              <w:t>Ont</w:t>
            </w:r>
            <w:r w:rsidR="00A956D3">
              <w:rPr>
                <w:rFonts w:cs="Times New Roman"/>
                <w:iCs/>
                <w:sz w:val="20"/>
                <w:szCs w:val="20"/>
                <w:lang w:val="en-GB"/>
              </w:rPr>
              <w:t>a</w:t>
            </w:r>
            <w:r>
              <w:rPr>
                <w:rFonts w:cs="Times New Roman"/>
                <w:iCs/>
                <w:sz w:val="20"/>
                <w:szCs w:val="20"/>
                <w:lang w:val="en-GB"/>
              </w:rPr>
              <w:t>rio (Information and Privacy Commissioner)</w:t>
            </w:r>
            <w:r w:rsidR="00A956D3" w:rsidRPr="00DD0B49">
              <w:rPr>
                <w:rFonts w:cs="Times New Roman"/>
                <w:iCs/>
                <w:sz w:val="20"/>
                <w:szCs w:val="20"/>
                <w:lang w:val="en-GB"/>
              </w:rPr>
              <w:t>,</w:t>
            </w:r>
          </w:p>
          <w:p w:rsidR="00A956D3" w:rsidRPr="00DD0B49" w:rsidRDefault="00A956D3" w:rsidP="0066350E">
            <w:pPr>
              <w:rPr>
                <w:rFonts w:cs="Times New Roman"/>
                <w:sz w:val="20"/>
                <w:szCs w:val="20"/>
                <w:lang w:val="en-GB"/>
              </w:rPr>
            </w:pPr>
            <w:r w:rsidRPr="00DD0B49">
              <w:rPr>
                <w:rFonts w:cs="Times New Roman"/>
                <w:sz w:val="20"/>
                <w:szCs w:val="20"/>
                <w:lang w:val="en-GB"/>
              </w:rPr>
              <w:t>201</w:t>
            </w:r>
            <w:r w:rsidR="00DE4A61">
              <w:rPr>
                <w:rFonts w:cs="Times New Roman"/>
                <w:sz w:val="20"/>
                <w:szCs w:val="20"/>
                <w:lang w:val="en-GB"/>
              </w:rPr>
              <w:t>4</w:t>
            </w:r>
            <w:r w:rsidRPr="00DD0B49">
              <w:rPr>
                <w:rFonts w:cs="Times New Roman"/>
                <w:sz w:val="20"/>
                <w:szCs w:val="20"/>
                <w:lang w:val="en-GB"/>
              </w:rPr>
              <w:t xml:space="preserve"> SCC </w:t>
            </w:r>
            <w:r w:rsidR="00F36628">
              <w:rPr>
                <w:rFonts w:cs="Times New Roman"/>
                <w:sz w:val="20"/>
                <w:szCs w:val="20"/>
                <w:lang w:val="en-GB"/>
              </w:rPr>
              <w:t>31</w:t>
            </w:r>
            <w:r w:rsidRPr="00DD0B49">
              <w:rPr>
                <w:rFonts w:cs="Times New Roman"/>
                <w:sz w:val="20"/>
                <w:szCs w:val="20"/>
                <w:lang w:val="en-GB"/>
              </w:rPr>
              <w:t>, [201</w:t>
            </w:r>
            <w:r w:rsidR="00DE4A61">
              <w:rPr>
                <w:rFonts w:cs="Times New Roman"/>
                <w:sz w:val="20"/>
                <w:szCs w:val="20"/>
                <w:lang w:val="en-GB"/>
              </w:rPr>
              <w:t>4</w:t>
            </w:r>
            <w:r w:rsidRPr="00DD0B49">
              <w:rPr>
                <w:rFonts w:cs="Times New Roman"/>
                <w:sz w:val="20"/>
                <w:szCs w:val="20"/>
                <w:lang w:val="en-GB"/>
              </w:rPr>
              <w:t xml:space="preserve">] </w:t>
            </w:r>
            <w:r w:rsidR="00AB7EC2">
              <w:rPr>
                <w:rFonts w:cs="Times New Roman"/>
                <w:sz w:val="20"/>
                <w:szCs w:val="20"/>
                <w:lang w:val="en-GB"/>
              </w:rPr>
              <w:t>1</w:t>
            </w:r>
            <w:r w:rsidRPr="00DD0B49">
              <w:rPr>
                <w:rFonts w:cs="Times New Roman"/>
                <w:sz w:val="20"/>
                <w:szCs w:val="20"/>
                <w:lang w:val="en-GB"/>
              </w:rPr>
              <w:t xml:space="preserve"> S.C.R. </w:t>
            </w:r>
            <w:r w:rsidR="00CF125F">
              <w:rPr>
                <w:rFonts w:cs="Times New Roman"/>
                <w:sz w:val="20"/>
                <w:szCs w:val="20"/>
                <w:lang w:val="en-GB"/>
              </w:rPr>
              <w:t>674</w:t>
            </w:r>
          </w:p>
          <w:p w:rsidR="00A956D3" w:rsidRPr="00DD0B49" w:rsidRDefault="00A956D3" w:rsidP="0066350E">
            <w:pPr>
              <w:rPr>
                <w:rFonts w:cs="Times New Roman"/>
                <w:sz w:val="20"/>
                <w:szCs w:val="20"/>
                <w:lang w:val="en-GB"/>
              </w:rPr>
            </w:pPr>
          </w:p>
          <w:p w:rsidR="00A956D3" w:rsidRPr="00DD0B49" w:rsidRDefault="001C5072" w:rsidP="0066350E">
            <w:pPr>
              <w:rPr>
                <w:rFonts w:cs="Times New Roman"/>
                <w:sz w:val="20"/>
                <w:szCs w:val="20"/>
                <w:lang w:val="en-GB"/>
              </w:rPr>
            </w:pPr>
            <w:r>
              <w:rPr>
                <w:rFonts w:cs="Times New Roman"/>
                <w:sz w:val="20"/>
                <w:szCs w:val="20"/>
                <w:lang w:val="en-GB"/>
              </w:rPr>
              <w:t>Pe</w:t>
            </w:r>
            <w:r w:rsidR="00A956D3">
              <w:rPr>
                <w:rFonts w:cs="Times New Roman"/>
                <w:sz w:val="20"/>
                <w:szCs w:val="20"/>
                <w:lang w:val="en-GB"/>
              </w:rPr>
              <w:t>r</w:t>
            </w:r>
            <w:r>
              <w:rPr>
                <w:rFonts w:cs="Times New Roman"/>
                <w:sz w:val="20"/>
                <w:szCs w:val="20"/>
                <w:lang w:val="en-GB"/>
              </w:rPr>
              <w:t>acomo I</w:t>
            </w:r>
            <w:r w:rsidR="00A956D3">
              <w:rPr>
                <w:rFonts w:cs="Times New Roman"/>
                <w:sz w:val="20"/>
                <w:szCs w:val="20"/>
                <w:lang w:val="en-GB"/>
              </w:rPr>
              <w:t>nc</w:t>
            </w:r>
            <w:r>
              <w:rPr>
                <w:rFonts w:cs="Times New Roman"/>
                <w:sz w:val="20"/>
                <w:szCs w:val="20"/>
                <w:lang w:val="en-GB"/>
              </w:rPr>
              <w:t>.</w:t>
            </w:r>
            <w:r w:rsidR="00A956D3" w:rsidRPr="00DD0B49">
              <w:rPr>
                <w:rFonts w:cs="Times New Roman"/>
                <w:sz w:val="20"/>
                <w:szCs w:val="20"/>
                <w:lang w:val="en-GB"/>
              </w:rPr>
              <w:t xml:space="preserve"> </w:t>
            </w:r>
            <w:r w:rsidR="00A956D3" w:rsidRPr="00DD0B49">
              <w:rPr>
                <w:rFonts w:cs="Times New Roman"/>
                <w:i/>
                <w:iCs/>
                <w:sz w:val="20"/>
                <w:szCs w:val="20"/>
                <w:lang w:val="en-GB"/>
              </w:rPr>
              <w:t>v.</w:t>
            </w:r>
            <w:r w:rsidR="00A956D3" w:rsidRPr="00DD0B49">
              <w:rPr>
                <w:rFonts w:cs="Times New Roman"/>
                <w:sz w:val="20"/>
                <w:szCs w:val="20"/>
                <w:lang w:val="en-GB"/>
              </w:rPr>
              <w:t xml:space="preserve"> </w:t>
            </w:r>
            <w:r>
              <w:rPr>
                <w:rFonts w:cs="Times New Roman"/>
                <w:sz w:val="20"/>
                <w:szCs w:val="20"/>
                <w:lang w:val="en-GB"/>
              </w:rPr>
              <w:t>TELUS Communic</w:t>
            </w:r>
            <w:r w:rsidR="00A956D3">
              <w:rPr>
                <w:rFonts w:cs="Times New Roman"/>
                <w:sz w:val="20"/>
                <w:szCs w:val="20"/>
                <w:lang w:val="en-GB"/>
              </w:rPr>
              <w:t>a</w:t>
            </w:r>
            <w:r>
              <w:rPr>
                <w:rFonts w:cs="Times New Roman"/>
                <w:sz w:val="20"/>
                <w:szCs w:val="20"/>
                <w:lang w:val="en-GB"/>
              </w:rPr>
              <w:t>tio</w:t>
            </w:r>
            <w:r w:rsidR="00A956D3">
              <w:rPr>
                <w:rFonts w:cs="Times New Roman"/>
                <w:sz w:val="20"/>
                <w:szCs w:val="20"/>
                <w:lang w:val="en-GB"/>
              </w:rPr>
              <w:t>ns</w:t>
            </w:r>
            <w:r>
              <w:rPr>
                <w:rFonts w:cs="Times New Roman"/>
                <w:sz w:val="20"/>
                <w:szCs w:val="20"/>
                <w:lang w:val="en-GB"/>
              </w:rPr>
              <w:t xml:space="preserve"> Co.</w:t>
            </w:r>
            <w:r w:rsidR="00A956D3" w:rsidRPr="00DD0B49">
              <w:rPr>
                <w:rFonts w:cs="Times New Roman"/>
                <w:sz w:val="20"/>
                <w:szCs w:val="20"/>
                <w:lang w:val="en-GB"/>
              </w:rPr>
              <w:t>,</w:t>
            </w:r>
          </w:p>
          <w:p w:rsidR="00A956D3" w:rsidRPr="00DD0B49" w:rsidRDefault="00A956D3" w:rsidP="0066350E">
            <w:pPr>
              <w:rPr>
                <w:rFonts w:cs="Times New Roman"/>
                <w:sz w:val="20"/>
                <w:szCs w:val="20"/>
                <w:lang w:val="en-GB"/>
              </w:rPr>
            </w:pPr>
            <w:r w:rsidRPr="00DD0B49">
              <w:rPr>
                <w:rFonts w:cs="Times New Roman"/>
                <w:sz w:val="20"/>
                <w:szCs w:val="20"/>
                <w:lang w:val="en-GB"/>
              </w:rPr>
              <w:t>201</w:t>
            </w:r>
            <w:r w:rsidR="00DE4A61">
              <w:rPr>
                <w:rFonts w:cs="Times New Roman"/>
                <w:sz w:val="20"/>
                <w:szCs w:val="20"/>
                <w:lang w:val="en-GB"/>
              </w:rPr>
              <w:t>4</w:t>
            </w:r>
            <w:r w:rsidRPr="00DD0B49">
              <w:rPr>
                <w:rFonts w:cs="Times New Roman"/>
                <w:sz w:val="20"/>
                <w:szCs w:val="20"/>
                <w:lang w:val="en-GB"/>
              </w:rPr>
              <w:t xml:space="preserve"> SCC </w:t>
            </w:r>
            <w:r w:rsidR="00F36628">
              <w:rPr>
                <w:rFonts w:cs="Times New Roman"/>
                <w:sz w:val="20"/>
                <w:szCs w:val="20"/>
                <w:lang w:val="en-GB"/>
              </w:rPr>
              <w:t>29</w:t>
            </w:r>
            <w:r w:rsidRPr="00DD0B49">
              <w:rPr>
                <w:rFonts w:cs="Times New Roman"/>
                <w:sz w:val="20"/>
                <w:szCs w:val="20"/>
                <w:lang w:val="en-GB"/>
              </w:rPr>
              <w:t>, [201</w:t>
            </w:r>
            <w:r w:rsidR="00DE4A61">
              <w:rPr>
                <w:rFonts w:cs="Times New Roman"/>
                <w:sz w:val="20"/>
                <w:szCs w:val="20"/>
                <w:lang w:val="en-GB"/>
              </w:rPr>
              <w:t>4</w:t>
            </w:r>
            <w:r w:rsidRPr="00DD0B49">
              <w:rPr>
                <w:rFonts w:cs="Times New Roman"/>
                <w:sz w:val="20"/>
                <w:szCs w:val="20"/>
                <w:lang w:val="en-GB"/>
              </w:rPr>
              <w:t xml:space="preserve">] </w:t>
            </w:r>
            <w:r w:rsidR="00AB7EC2">
              <w:rPr>
                <w:rFonts w:cs="Times New Roman"/>
                <w:sz w:val="20"/>
                <w:szCs w:val="20"/>
                <w:lang w:val="en-GB"/>
              </w:rPr>
              <w:t>1</w:t>
            </w:r>
            <w:r w:rsidRPr="00DD0B49">
              <w:rPr>
                <w:rFonts w:cs="Times New Roman"/>
                <w:sz w:val="20"/>
                <w:szCs w:val="20"/>
                <w:lang w:val="en-GB"/>
              </w:rPr>
              <w:t xml:space="preserve"> S.C.R. </w:t>
            </w:r>
            <w:r w:rsidR="00CF125F">
              <w:rPr>
                <w:rFonts w:cs="Times New Roman"/>
                <w:sz w:val="20"/>
                <w:szCs w:val="20"/>
                <w:lang w:val="en-GB"/>
              </w:rPr>
              <w:t>621</w:t>
            </w:r>
          </w:p>
          <w:p w:rsidR="00A956D3" w:rsidRDefault="00A956D3" w:rsidP="0066350E">
            <w:pPr>
              <w:rPr>
                <w:rFonts w:cs="Times New Roman"/>
                <w:sz w:val="20"/>
                <w:szCs w:val="20"/>
                <w:lang w:val="en-GB"/>
              </w:rPr>
            </w:pPr>
          </w:p>
          <w:p w:rsidR="00A956D3" w:rsidRPr="00DD0B49" w:rsidRDefault="001C5072" w:rsidP="0066350E">
            <w:pPr>
              <w:rPr>
                <w:rFonts w:cs="Times New Roman"/>
                <w:sz w:val="20"/>
                <w:szCs w:val="20"/>
                <w:lang w:val="en-GB"/>
              </w:rPr>
            </w:pPr>
            <w:r>
              <w:rPr>
                <w:rFonts w:cs="Times New Roman"/>
                <w:sz w:val="20"/>
                <w:szCs w:val="20"/>
                <w:lang w:val="en-GB"/>
              </w:rPr>
              <w:t>R.</w:t>
            </w:r>
            <w:r w:rsidR="00A956D3" w:rsidRPr="00DD0B49">
              <w:rPr>
                <w:rFonts w:cs="Times New Roman"/>
                <w:sz w:val="20"/>
                <w:szCs w:val="20"/>
                <w:lang w:val="en-GB"/>
              </w:rPr>
              <w:t xml:space="preserve"> </w:t>
            </w:r>
            <w:r w:rsidR="00A956D3" w:rsidRPr="00DD0B49">
              <w:rPr>
                <w:rFonts w:cs="Times New Roman"/>
                <w:i/>
                <w:iCs/>
                <w:sz w:val="20"/>
                <w:szCs w:val="20"/>
                <w:lang w:val="en-GB"/>
              </w:rPr>
              <w:t>v</w:t>
            </w:r>
            <w:r w:rsidR="00A956D3" w:rsidRPr="00DD0B49">
              <w:rPr>
                <w:rFonts w:cs="Times New Roman"/>
                <w:sz w:val="20"/>
                <w:szCs w:val="20"/>
                <w:lang w:val="en-GB"/>
              </w:rPr>
              <w:t xml:space="preserve">. </w:t>
            </w:r>
            <w:r w:rsidR="00A956D3">
              <w:rPr>
                <w:rFonts w:cs="Times New Roman"/>
                <w:sz w:val="20"/>
                <w:szCs w:val="20"/>
                <w:lang w:val="en-GB"/>
              </w:rPr>
              <w:t>Ca</w:t>
            </w:r>
            <w:r>
              <w:rPr>
                <w:rFonts w:cs="Times New Roman"/>
                <w:sz w:val="20"/>
                <w:szCs w:val="20"/>
                <w:lang w:val="en-GB"/>
              </w:rPr>
              <w:t>rver</w:t>
            </w:r>
            <w:r w:rsidR="00A956D3">
              <w:rPr>
                <w:rFonts w:cs="Times New Roman"/>
                <w:sz w:val="20"/>
                <w:szCs w:val="20"/>
                <w:lang w:val="en-GB"/>
              </w:rPr>
              <w:t>y</w:t>
            </w:r>
            <w:r w:rsidR="00A956D3" w:rsidRPr="00DD0B49">
              <w:rPr>
                <w:rFonts w:cs="Times New Roman"/>
                <w:sz w:val="20"/>
                <w:szCs w:val="20"/>
                <w:lang w:val="en-GB"/>
              </w:rPr>
              <w:t>,</w:t>
            </w:r>
          </w:p>
          <w:p w:rsidR="00A956D3" w:rsidRPr="00DD0B49" w:rsidRDefault="00A956D3" w:rsidP="0066350E">
            <w:pPr>
              <w:rPr>
                <w:rFonts w:cs="Times New Roman"/>
                <w:sz w:val="20"/>
                <w:szCs w:val="20"/>
              </w:rPr>
            </w:pPr>
            <w:r w:rsidRPr="00DD0B49">
              <w:rPr>
                <w:rFonts w:cs="Times New Roman"/>
                <w:sz w:val="20"/>
                <w:szCs w:val="20"/>
              </w:rPr>
              <w:t>201</w:t>
            </w:r>
            <w:r w:rsidR="00DE4A61">
              <w:rPr>
                <w:rFonts w:cs="Times New Roman"/>
                <w:sz w:val="20"/>
                <w:szCs w:val="20"/>
              </w:rPr>
              <w:t>4</w:t>
            </w:r>
            <w:r w:rsidRPr="00DD0B49">
              <w:rPr>
                <w:rFonts w:cs="Times New Roman"/>
                <w:sz w:val="20"/>
                <w:szCs w:val="20"/>
              </w:rPr>
              <w:t xml:space="preserve"> SCC </w:t>
            </w:r>
            <w:r w:rsidR="00F36628">
              <w:rPr>
                <w:rFonts w:cs="Times New Roman"/>
                <w:sz w:val="20"/>
                <w:szCs w:val="20"/>
              </w:rPr>
              <w:t>27</w:t>
            </w:r>
            <w:r w:rsidRPr="00DD0B49">
              <w:rPr>
                <w:rFonts w:cs="Times New Roman"/>
                <w:sz w:val="20"/>
                <w:szCs w:val="20"/>
              </w:rPr>
              <w:t>, [201</w:t>
            </w:r>
            <w:r w:rsidR="00DE4A61">
              <w:rPr>
                <w:rFonts w:cs="Times New Roman"/>
                <w:sz w:val="20"/>
                <w:szCs w:val="20"/>
              </w:rPr>
              <w:t>4</w:t>
            </w:r>
            <w:r w:rsidRPr="00DD0B49">
              <w:rPr>
                <w:rFonts w:cs="Times New Roman"/>
                <w:sz w:val="20"/>
                <w:szCs w:val="20"/>
              </w:rPr>
              <w:t xml:space="preserve">] </w:t>
            </w:r>
            <w:r w:rsidR="00AB7EC2">
              <w:rPr>
                <w:rFonts w:cs="Times New Roman"/>
                <w:sz w:val="20"/>
                <w:szCs w:val="20"/>
              </w:rPr>
              <w:t>1</w:t>
            </w:r>
            <w:r w:rsidRPr="00DD0B49">
              <w:rPr>
                <w:rFonts w:cs="Times New Roman"/>
                <w:sz w:val="20"/>
                <w:szCs w:val="20"/>
              </w:rPr>
              <w:t xml:space="preserve"> S.C.R. </w:t>
            </w:r>
            <w:r w:rsidR="00CF125F">
              <w:rPr>
                <w:rFonts w:cs="Times New Roman"/>
                <w:sz w:val="20"/>
                <w:szCs w:val="20"/>
              </w:rPr>
              <w:t>605</w:t>
            </w:r>
          </w:p>
          <w:p w:rsidR="00A956D3" w:rsidRDefault="00A956D3" w:rsidP="0066350E">
            <w:pPr>
              <w:rPr>
                <w:rFonts w:cs="Times New Roman"/>
                <w:sz w:val="20"/>
                <w:szCs w:val="20"/>
              </w:rPr>
            </w:pPr>
          </w:p>
          <w:p w:rsidR="00A956D3" w:rsidRPr="00DD0B49" w:rsidRDefault="001C5072" w:rsidP="0066350E">
            <w:pPr>
              <w:rPr>
                <w:rFonts w:cs="Times New Roman"/>
                <w:sz w:val="20"/>
                <w:szCs w:val="20"/>
                <w:lang w:val="en-GB"/>
              </w:rPr>
            </w:pPr>
            <w:r>
              <w:rPr>
                <w:rFonts w:cs="Times New Roman"/>
                <w:sz w:val="20"/>
                <w:szCs w:val="20"/>
                <w:lang w:val="en-GB"/>
              </w:rPr>
              <w:t xml:space="preserve">R. </w:t>
            </w:r>
            <w:r w:rsidR="00A956D3" w:rsidRPr="00DD0B49">
              <w:rPr>
                <w:rFonts w:cs="Times New Roman"/>
                <w:i/>
                <w:iCs/>
                <w:sz w:val="20"/>
                <w:szCs w:val="20"/>
                <w:lang w:val="en-GB"/>
              </w:rPr>
              <w:t>v</w:t>
            </w:r>
            <w:r w:rsidR="00A956D3" w:rsidRPr="00DD0B49">
              <w:rPr>
                <w:rFonts w:cs="Times New Roman"/>
                <w:sz w:val="20"/>
                <w:szCs w:val="20"/>
                <w:lang w:val="en-GB"/>
              </w:rPr>
              <w:t xml:space="preserve">. </w:t>
            </w:r>
            <w:r>
              <w:rPr>
                <w:rFonts w:cs="Times New Roman"/>
                <w:sz w:val="20"/>
                <w:szCs w:val="20"/>
                <w:lang w:val="en-GB"/>
              </w:rPr>
              <w:t>Cl</w:t>
            </w:r>
            <w:r w:rsidR="00A956D3">
              <w:rPr>
                <w:rFonts w:cs="Times New Roman"/>
                <w:sz w:val="20"/>
                <w:szCs w:val="20"/>
                <w:lang w:val="en-GB"/>
              </w:rPr>
              <w:t>a</w:t>
            </w:r>
            <w:r>
              <w:rPr>
                <w:rFonts w:cs="Times New Roman"/>
                <w:sz w:val="20"/>
                <w:szCs w:val="20"/>
                <w:lang w:val="en-GB"/>
              </w:rPr>
              <w:t>rke</w:t>
            </w:r>
            <w:r w:rsidR="00A956D3" w:rsidRPr="00DD0B49">
              <w:rPr>
                <w:rFonts w:cs="Times New Roman"/>
                <w:sz w:val="20"/>
                <w:szCs w:val="20"/>
                <w:lang w:val="en-GB"/>
              </w:rPr>
              <w:t>,</w:t>
            </w:r>
          </w:p>
          <w:p w:rsidR="00A956D3" w:rsidRPr="00EE0831" w:rsidRDefault="00A956D3" w:rsidP="0066350E">
            <w:pPr>
              <w:rPr>
                <w:rFonts w:cs="Times New Roman"/>
                <w:sz w:val="20"/>
                <w:szCs w:val="20"/>
              </w:rPr>
            </w:pPr>
            <w:r w:rsidRPr="00EE0831">
              <w:rPr>
                <w:rFonts w:cs="Times New Roman"/>
                <w:sz w:val="20"/>
                <w:szCs w:val="20"/>
              </w:rPr>
              <w:t>201</w:t>
            </w:r>
            <w:r w:rsidR="00DE4A61">
              <w:rPr>
                <w:rFonts w:cs="Times New Roman"/>
                <w:sz w:val="20"/>
                <w:szCs w:val="20"/>
              </w:rPr>
              <w:t>4</w:t>
            </w:r>
            <w:r w:rsidRPr="00EE0831">
              <w:rPr>
                <w:rFonts w:cs="Times New Roman"/>
                <w:sz w:val="20"/>
                <w:szCs w:val="20"/>
              </w:rPr>
              <w:t xml:space="preserve"> SCC </w:t>
            </w:r>
            <w:r w:rsidR="00F36628">
              <w:rPr>
                <w:rFonts w:cs="Times New Roman"/>
                <w:sz w:val="20"/>
                <w:szCs w:val="20"/>
              </w:rPr>
              <w:t>28</w:t>
            </w:r>
            <w:r w:rsidRPr="00EE0831">
              <w:rPr>
                <w:rFonts w:cs="Times New Roman"/>
                <w:sz w:val="20"/>
                <w:szCs w:val="20"/>
              </w:rPr>
              <w:t>, [201</w:t>
            </w:r>
            <w:r w:rsidR="00DE4A61">
              <w:rPr>
                <w:rFonts w:cs="Times New Roman"/>
                <w:sz w:val="20"/>
                <w:szCs w:val="20"/>
              </w:rPr>
              <w:t>4</w:t>
            </w:r>
            <w:r w:rsidRPr="00EE0831">
              <w:rPr>
                <w:rFonts w:cs="Times New Roman"/>
                <w:sz w:val="20"/>
                <w:szCs w:val="20"/>
              </w:rPr>
              <w:t xml:space="preserve">] </w:t>
            </w:r>
            <w:r w:rsidR="00AB7EC2">
              <w:rPr>
                <w:rFonts w:cs="Times New Roman"/>
                <w:sz w:val="20"/>
                <w:szCs w:val="20"/>
              </w:rPr>
              <w:t>1</w:t>
            </w:r>
            <w:r w:rsidRPr="00EE0831">
              <w:rPr>
                <w:rFonts w:cs="Times New Roman"/>
                <w:sz w:val="20"/>
                <w:szCs w:val="20"/>
              </w:rPr>
              <w:t xml:space="preserve"> S.C.R. </w:t>
            </w:r>
            <w:r w:rsidR="00F36628">
              <w:rPr>
                <w:rFonts w:cs="Times New Roman"/>
                <w:sz w:val="20"/>
                <w:szCs w:val="20"/>
              </w:rPr>
              <w:t>612</w:t>
            </w:r>
          </w:p>
          <w:p w:rsidR="00A956D3" w:rsidRPr="00EE0831" w:rsidRDefault="00A956D3" w:rsidP="0066350E">
            <w:pPr>
              <w:rPr>
                <w:rFonts w:cs="Times New Roman"/>
                <w:sz w:val="20"/>
                <w:szCs w:val="20"/>
              </w:rPr>
            </w:pPr>
          </w:p>
          <w:p w:rsidR="00A956D3" w:rsidRPr="00EE0831" w:rsidRDefault="00A956D3" w:rsidP="0066350E">
            <w:pPr>
              <w:rPr>
                <w:rFonts w:cs="Times New Roman"/>
                <w:sz w:val="20"/>
                <w:szCs w:val="20"/>
              </w:rPr>
            </w:pPr>
            <w:r w:rsidRPr="00EE0831">
              <w:rPr>
                <w:rFonts w:cs="Times New Roman"/>
                <w:sz w:val="20"/>
                <w:szCs w:val="20"/>
              </w:rPr>
              <w:t xml:space="preserve">R. </w:t>
            </w:r>
            <w:r w:rsidRPr="00EE0831">
              <w:rPr>
                <w:rFonts w:cs="Times New Roman"/>
                <w:i/>
                <w:iCs/>
                <w:sz w:val="20"/>
                <w:szCs w:val="20"/>
              </w:rPr>
              <w:t>v</w:t>
            </w:r>
            <w:r w:rsidRPr="00EE0831">
              <w:rPr>
                <w:rFonts w:cs="Times New Roman"/>
                <w:sz w:val="20"/>
                <w:szCs w:val="20"/>
              </w:rPr>
              <w:t xml:space="preserve">. </w:t>
            </w:r>
            <w:r w:rsidR="001C5072">
              <w:rPr>
                <w:rFonts w:cs="Times New Roman"/>
                <w:sz w:val="20"/>
                <w:szCs w:val="20"/>
              </w:rPr>
              <w:t>Jackson</w:t>
            </w:r>
            <w:r w:rsidRPr="00EE0831">
              <w:rPr>
                <w:rFonts w:cs="Times New Roman"/>
                <w:sz w:val="20"/>
                <w:szCs w:val="20"/>
              </w:rPr>
              <w:t>,</w:t>
            </w:r>
          </w:p>
          <w:p w:rsidR="00A956D3" w:rsidRPr="00EE0831" w:rsidRDefault="00A956D3" w:rsidP="0066350E">
            <w:pPr>
              <w:rPr>
                <w:rFonts w:cs="Times New Roman"/>
                <w:sz w:val="20"/>
                <w:szCs w:val="20"/>
              </w:rPr>
            </w:pPr>
            <w:r w:rsidRPr="00EE0831">
              <w:rPr>
                <w:rFonts w:cs="Times New Roman"/>
                <w:sz w:val="20"/>
                <w:szCs w:val="20"/>
              </w:rPr>
              <w:t>201</w:t>
            </w:r>
            <w:r w:rsidR="00DE4A61">
              <w:rPr>
                <w:rFonts w:cs="Times New Roman"/>
                <w:sz w:val="20"/>
                <w:szCs w:val="20"/>
              </w:rPr>
              <w:t>4</w:t>
            </w:r>
            <w:r w:rsidRPr="00EE0831">
              <w:rPr>
                <w:rFonts w:cs="Times New Roman"/>
                <w:sz w:val="20"/>
                <w:szCs w:val="20"/>
              </w:rPr>
              <w:t xml:space="preserve"> SCC </w:t>
            </w:r>
            <w:r w:rsidR="00F36628">
              <w:rPr>
                <w:rFonts w:cs="Times New Roman"/>
                <w:sz w:val="20"/>
                <w:szCs w:val="20"/>
              </w:rPr>
              <w:t>30</w:t>
            </w:r>
            <w:r w:rsidRPr="00EE0831">
              <w:rPr>
                <w:rFonts w:cs="Times New Roman"/>
                <w:sz w:val="20"/>
                <w:szCs w:val="20"/>
              </w:rPr>
              <w:t>, [201</w:t>
            </w:r>
            <w:r w:rsidR="00DE4A61">
              <w:rPr>
                <w:rFonts w:cs="Times New Roman"/>
                <w:sz w:val="20"/>
                <w:szCs w:val="20"/>
              </w:rPr>
              <w:t>4</w:t>
            </w:r>
            <w:r w:rsidRPr="00EE0831">
              <w:rPr>
                <w:rFonts w:cs="Times New Roman"/>
                <w:sz w:val="20"/>
                <w:szCs w:val="20"/>
              </w:rPr>
              <w:t xml:space="preserve">] </w:t>
            </w:r>
            <w:r w:rsidR="00AB7EC2">
              <w:rPr>
                <w:rFonts w:cs="Times New Roman"/>
                <w:sz w:val="20"/>
                <w:szCs w:val="20"/>
              </w:rPr>
              <w:t>1</w:t>
            </w:r>
            <w:r w:rsidRPr="00EE0831">
              <w:rPr>
                <w:rFonts w:cs="Times New Roman"/>
                <w:sz w:val="20"/>
                <w:szCs w:val="20"/>
              </w:rPr>
              <w:t xml:space="preserve"> S.C.R. </w:t>
            </w:r>
            <w:r w:rsidR="00F36628">
              <w:rPr>
                <w:rFonts w:cs="Times New Roman"/>
                <w:sz w:val="20"/>
                <w:szCs w:val="20"/>
              </w:rPr>
              <w:t>67</w:t>
            </w:r>
            <w:r>
              <w:rPr>
                <w:rFonts w:cs="Times New Roman"/>
                <w:sz w:val="20"/>
                <w:szCs w:val="20"/>
              </w:rPr>
              <w:t>2</w:t>
            </w:r>
          </w:p>
          <w:p w:rsidR="00AB7EC2" w:rsidRDefault="00AB7EC2" w:rsidP="00AB7EC2">
            <w:pPr>
              <w:rPr>
                <w:rFonts w:cs="Times New Roman"/>
                <w:sz w:val="20"/>
                <w:szCs w:val="20"/>
              </w:rPr>
            </w:pPr>
          </w:p>
          <w:p w:rsidR="00AB7EC2" w:rsidRPr="00EE0831" w:rsidRDefault="00AB7EC2" w:rsidP="00AB7EC2">
            <w:pPr>
              <w:rPr>
                <w:rFonts w:cs="Times New Roman"/>
                <w:sz w:val="20"/>
                <w:szCs w:val="20"/>
              </w:rPr>
            </w:pPr>
            <w:r w:rsidRPr="00EE0831">
              <w:rPr>
                <w:rFonts w:cs="Times New Roman"/>
                <w:sz w:val="20"/>
                <w:szCs w:val="20"/>
              </w:rPr>
              <w:t xml:space="preserve">R. </w:t>
            </w:r>
            <w:r w:rsidRPr="00EE0831">
              <w:rPr>
                <w:rFonts w:cs="Times New Roman"/>
                <w:i/>
                <w:iCs/>
                <w:sz w:val="20"/>
                <w:szCs w:val="20"/>
              </w:rPr>
              <w:t>v</w:t>
            </w:r>
            <w:r w:rsidRPr="00EE0831">
              <w:rPr>
                <w:rFonts w:cs="Times New Roman"/>
                <w:sz w:val="20"/>
                <w:szCs w:val="20"/>
              </w:rPr>
              <w:t xml:space="preserve">. </w:t>
            </w:r>
            <w:r w:rsidR="001C5072">
              <w:rPr>
                <w:rFonts w:cs="Times New Roman"/>
                <w:sz w:val="20"/>
                <w:szCs w:val="20"/>
              </w:rPr>
              <w:t>Summers</w:t>
            </w:r>
            <w:r w:rsidRPr="00EE0831">
              <w:rPr>
                <w:rFonts w:cs="Times New Roman"/>
                <w:sz w:val="20"/>
                <w:szCs w:val="20"/>
              </w:rPr>
              <w:t>,</w:t>
            </w:r>
          </w:p>
          <w:p w:rsidR="00AB7EC2" w:rsidRPr="00EE0831" w:rsidRDefault="00AB7EC2" w:rsidP="00AB7EC2">
            <w:pPr>
              <w:rPr>
                <w:rFonts w:cs="Times New Roman"/>
                <w:sz w:val="20"/>
                <w:szCs w:val="20"/>
              </w:rPr>
            </w:pPr>
            <w:r w:rsidRPr="00EE0831">
              <w:rPr>
                <w:rFonts w:cs="Times New Roman"/>
                <w:sz w:val="20"/>
                <w:szCs w:val="20"/>
              </w:rPr>
              <w:t>201</w:t>
            </w:r>
            <w:r>
              <w:rPr>
                <w:rFonts w:cs="Times New Roman"/>
                <w:sz w:val="20"/>
                <w:szCs w:val="20"/>
              </w:rPr>
              <w:t>4</w:t>
            </w:r>
            <w:r w:rsidRPr="00EE0831">
              <w:rPr>
                <w:rFonts w:cs="Times New Roman"/>
                <w:sz w:val="20"/>
                <w:szCs w:val="20"/>
              </w:rPr>
              <w:t xml:space="preserve"> SCC </w:t>
            </w:r>
            <w:r w:rsidR="00F36628">
              <w:rPr>
                <w:rFonts w:cs="Times New Roman"/>
                <w:sz w:val="20"/>
                <w:szCs w:val="20"/>
              </w:rPr>
              <w:t>26</w:t>
            </w:r>
            <w:r w:rsidRPr="00EE0831">
              <w:rPr>
                <w:rFonts w:cs="Times New Roman"/>
                <w:sz w:val="20"/>
                <w:szCs w:val="20"/>
              </w:rPr>
              <w:t>, [201</w:t>
            </w:r>
            <w:r>
              <w:rPr>
                <w:rFonts w:cs="Times New Roman"/>
                <w:sz w:val="20"/>
                <w:szCs w:val="20"/>
              </w:rPr>
              <w:t>4</w:t>
            </w:r>
            <w:r w:rsidRPr="00EE0831">
              <w:rPr>
                <w:rFonts w:cs="Times New Roman"/>
                <w:sz w:val="20"/>
                <w:szCs w:val="20"/>
              </w:rPr>
              <w:t xml:space="preserve">] </w:t>
            </w:r>
            <w:r>
              <w:rPr>
                <w:rFonts w:cs="Times New Roman"/>
                <w:sz w:val="20"/>
                <w:szCs w:val="20"/>
              </w:rPr>
              <w:t>1</w:t>
            </w:r>
            <w:r w:rsidRPr="00EE0831">
              <w:rPr>
                <w:rFonts w:cs="Times New Roman"/>
                <w:sz w:val="20"/>
                <w:szCs w:val="20"/>
              </w:rPr>
              <w:t xml:space="preserve"> S.C.R. </w:t>
            </w:r>
            <w:r w:rsidR="00F36628">
              <w:rPr>
                <w:rFonts w:cs="Times New Roman"/>
                <w:sz w:val="20"/>
                <w:szCs w:val="20"/>
              </w:rPr>
              <w:t>575</w:t>
            </w:r>
          </w:p>
          <w:p w:rsidR="00A956D3" w:rsidRPr="00EE0831" w:rsidRDefault="00A956D3" w:rsidP="0066350E">
            <w:pPr>
              <w:rPr>
                <w:rFonts w:cs="Times New Roman"/>
                <w:sz w:val="20"/>
                <w:szCs w:val="20"/>
              </w:rPr>
            </w:pPr>
          </w:p>
          <w:p w:rsidR="00A956D3" w:rsidRPr="00EE0831" w:rsidRDefault="00A956D3" w:rsidP="0066350E">
            <w:pPr>
              <w:rPr>
                <w:rFonts w:cs="Times New Roman"/>
                <w:sz w:val="20"/>
                <w:szCs w:val="20"/>
              </w:rPr>
            </w:pPr>
            <w:r w:rsidRPr="00EE0831">
              <w:rPr>
                <w:rFonts w:cs="Times New Roman"/>
                <w:sz w:val="20"/>
                <w:szCs w:val="20"/>
              </w:rPr>
              <w:t>R</w:t>
            </w:r>
            <w:r w:rsidR="001C5072">
              <w:rPr>
                <w:rFonts w:cs="Times New Roman"/>
                <w:sz w:val="20"/>
                <w:szCs w:val="20"/>
              </w:rPr>
              <w:t>eference re Sen</w:t>
            </w:r>
            <w:r w:rsidRPr="00EE0831">
              <w:rPr>
                <w:rFonts w:cs="Times New Roman"/>
                <w:sz w:val="20"/>
                <w:szCs w:val="20"/>
              </w:rPr>
              <w:t>a</w:t>
            </w:r>
            <w:r w:rsidR="001C5072">
              <w:rPr>
                <w:rFonts w:cs="Times New Roman"/>
                <w:sz w:val="20"/>
                <w:szCs w:val="20"/>
              </w:rPr>
              <w:t>t</w:t>
            </w:r>
            <w:r w:rsidRPr="00EE0831">
              <w:rPr>
                <w:rFonts w:cs="Times New Roman"/>
                <w:sz w:val="20"/>
                <w:szCs w:val="20"/>
              </w:rPr>
              <w:t>e</w:t>
            </w:r>
            <w:r w:rsidR="001C5072">
              <w:rPr>
                <w:rFonts w:cs="Times New Roman"/>
                <w:sz w:val="20"/>
                <w:szCs w:val="20"/>
              </w:rPr>
              <w:t xml:space="preserve"> R</w:t>
            </w:r>
            <w:r w:rsidRPr="00EE0831">
              <w:rPr>
                <w:rFonts w:cs="Times New Roman"/>
                <w:sz w:val="20"/>
                <w:szCs w:val="20"/>
              </w:rPr>
              <w:t>e</w:t>
            </w:r>
            <w:r w:rsidR="001C5072">
              <w:rPr>
                <w:rFonts w:cs="Times New Roman"/>
                <w:sz w:val="20"/>
                <w:szCs w:val="20"/>
              </w:rPr>
              <w:t>form</w:t>
            </w:r>
            <w:r w:rsidRPr="00EE0831">
              <w:rPr>
                <w:rFonts w:cs="Times New Roman"/>
                <w:sz w:val="20"/>
                <w:szCs w:val="20"/>
              </w:rPr>
              <w:t>,</w:t>
            </w:r>
          </w:p>
          <w:p w:rsidR="00A956D3" w:rsidRPr="00E836F1" w:rsidRDefault="00A956D3" w:rsidP="0066350E">
            <w:pPr>
              <w:rPr>
                <w:rFonts w:cs="Times New Roman"/>
                <w:sz w:val="20"/>
                <w:szCs w:val="20"/>
              </w:rPr>
            </w:pPr>
            <w:r w:rsidRPr="00E836F1">
              <w:rPr>
                <w:rFonts w:cs="Times New Roman"/>
                <w:sz w:val="20"/>
                <w:szCs w:val="20"/>
              </w:rPr>
              <w:t>201</w:t>
            </w:r>
            <w:r w:rsidR="00DE4A61">
              <w:rPr>
                <w:rFonts w:cs="Times New Roman"/>
                <w:sz w:val="20"/>
                <w:szCs w:val="20"/>
              </w:rPr>
              <w:t>4</w:t>
            </w:r>
            <w:r w:rsidRPr="00E836F1">
              <w:rPr>
                <w:rFonts w:cs="Times New Roman"/>
                <w:sz w:val="20"/>
                <w:szCs w:val="20"/>
              </w:rPr>
              <w:t xml:space="preserve"> SCC </w:t>
            </w:r>
            <w:r w:rsidR="00F36628">
              <w:rPr>
                <w:rFonts w:cs="Times New Roman"/>
                <w:sz w:val="20"/>
                <w:szCs w:val="20"/>
              </w:rPr>
              <w:t>32</w:t>
            </w:r>
            <w:r w:rsidRPr="00E836F1">
              <w:rPr>
                <w:rFonts w:cs="Times New Roman"/>
                <w:sz w:val="20"/>
                <w:szCs w:val="20"/>
              </w:rPr>
              <w:t>, [201</w:t>
            </w:r>
            <w:r w:rsidR="00DE4A61">
              <w:rPr>
                <w:rFonts w:cs="Times New Roman"/>
                <w:sz w:val="20"/>
                <w:szCs w:val="20"/>
              </w:rPr>
              <w:t>4</w:t>
            </w:r>
            <w:r w:rsidRPr="00E836F1">
              <w:rPr>
                <w:rFonts w:cs="Times New Roman"/>
                <w:sz w:val="20"/>
                <w:szCs w:val="20"/>
              </w:rPr>
              <w:t xml:space="preserve">] </w:t>
            </w:r>
            <w:r w:rsidR="00AB7EC2">
              <w:rPr>
                <w:rFonts w:cs="Times New Roman"/>
                <w:sz w:val="20"/>
                <w:szCs w:val="20"/>
              </w:rPr>
              <w:t>1</w:t>
            </w:r>
            <w:r w:rsidRPr="00E836F1">
              <w:rPr>
                <w:rFonts w:cs="Times New Roman"/>
                <w:sz w:val="20"/>
                <w:szCs w:val="20"/>
              </w:rPr>
              <w:t xml:space="preserve"> S.C.R. </w:t>
            </w:r>
            <w:r w:rsidR="00F36628">
              <w:rPr>
                <w:rFonts w:cs="Times New Roman"/>
                <w:sz w:val="20"/>
                <w:szCs w:val="20"/>
              </w:rPr>
              <w:t>7</w:t>
            </w:r>
            <w:r w:rsidRPr="00E836F1">
              <w:rPr>
                <w:rFonts w:cs="Times New Roman"/>
                <w:sz w:val="20"/>
                <w:szCs w:val="20"/>
              </w:rPr>
              <w:t>0</w:t>
            </w:r>
            <w:r w:rsidR="00F36628">
              <w:rPr>
                <w:rFonts w:cs="Times New Roman"/>
                <w:sz w:val="20"/>
                <w:szCs w:val="20"/>
              </w:rPr>
              <w:t>4</w:t>
            </w:r>
          </w:p>
          <w:p w:rsidR="00A956D3" w:rsidRPr="00E836F1" w:rsidRDefault="00A956D3" w:rsidP="0066350E">
            <w:pPr>
              <w:rPr>
                <w:rFonts w:cs="Times New Roman"/>
                <w:sz w:val="20"/>
                <w:szCs w:val="20"/>
              </w:rPr>
            </w:pPr>
          </w:p>
          <w:p w:rsidR="00A956D3" w:rsidRPr="001C5072" w:rsidRDefault="001C5072" w:rsidP="0066350E">
            <w:pPr>
              <w:rPr>
                <w:rFonts w:cs="Times New Roman"/>
                <w:sz w:val="20"/>
                <w:szCs w:val="20"/>
              </w:rPr>
            </w:pPr>
            <w:r w:rsidRPr="001C5072">
              <w:rPr>
                <w:rFonts w:cs="Times New Roman"/>
                <w:sz w:val="20"/>
                <w:szCs w:val="20"/>
              </w:rPr>
              <w:t>Un</w:t>
            </w:r>
            <w:r w:rsidR="00A956D3" w:rsidRPr="001C5072">
              <w:rPr>
                <w:rFonts w:cs="Times New Roman"/>
                <w:sz w:val="20"/>
                <w:szCs w:val="20"/>
              </w:rPr>
              <w:t>i</w:t>
            </w:r>
            <w:r w:rsidRPr="001C5072">
              <w:rPr>
                <w:rFonts w:cs="Times New Roman"/>
                <w:sz w:val="20"/>
                <w:szCs w:val="20"/>
              </w:rPr>
              <w:t>on Ca</w:t>
            </w:r>
            <w:r w:rsidR="00A956D3" w:rsidRPr="001C5072">
              <w:rPr>
                <w:rFonts w:cs="Times New Roman"/>
                <w:sz w:val="20"/>
                <w:szCs w:val="20"/>
              </w:rPr>
              <w:t>r</w:t>
            </w:r>
            <w:r w:rsidRPr="001C5072">
              <w:rPr>
                <w:rFonts w:cs="Times New Roman"/>
                <w:sz w:val="20"/>
                <w:szCs w:val="20"/>
              </w:rPr>
              <w:t>bid</w:t>
            </w:r>
            <w:r w:rsidR="00A956D3" w:rsidRPr="001C5072">
              <w:rPr>
                <w:rFonts w:cs="Times New Roman"/>
                <w:sz w:val="20"/>
                <w:szCs w:val="20"/>
              </w:rPr>
              <w:t>e</w:t>
            </w:r>
            <w:r w:rsidRPr="001C5072">
              <w:rPr>
                <w:rFonts w:cs="Times New Roman"/>
                <w:sz w:val="20"/>
                <w:szCs w:val="20"/>
              </w:rPr>
              <w:t xml:space="preserve"> Cana</w:t>
            </w:r>
            <w:r w:rsidR="00A956D3" w:rsidRPr="001C5072">
              <w:rPr>
                <w:rFonts w:cs="Times New Roman"/>
                <w:sz w:val="20"/>
                <w:szCs w:val="20"/>
              </w:rPr>
              <w:t>d</w:t>
            </w:r>
            <w:r w:rsidRPr="001C5072">
              <w:rPr>
                <w:rFonts w:cs="Times New Roman"/>
                <w:sz w:val="20"/>
                <w:szCs w:val="20"/>
              </w:rPr>
              <w:t>a Inc.</w:t>
            </w:r>
            <w:r w:rsidR="00A956D3" w:rsidRPr="001C5072">
              <w:rPr>
                <w:rFonts w:cs="Times New Roman"/>
                <w:sz w:val="20"/>
                <w:szCs w:val="20"/>
              </w:rPr>
              <w:t xml:space="preserve"> </w:t>
            </w:r>
            <w:r w:rsidR="00A956D3" w:rsidRPr="001C5072">
              <w:rPr>
                <w:rFonts w:cs="Times New Roman"/>
                <w:i/>
                <w:iCs/>
                <w:sz w:val="20"/>
                <w:szCs w:val="20"/>
              </w:rPr>
              <w:t>v</w:t>
            </w:r>
            <w:r w:rsidR="00A956D3" w:rsidRPr="001C5072">
              <w:rPr>
                <w:rFonts w:cs="Times New Roman"/>
                <w:sz w:val="20"/>
                <w:szCs w:val="20"/>
              </w:rPr>
              <w:t xml:space="preserve">. </w:t>
            </w:r>
            <w:r>
              <w:rPr>
                <w:rFonts w:cs="Times New Roman"/>
                <w:sz w:val="20"/>
                <w:szCs w:val="20"/>
              </w:rPr>
              <w:t>Bombardier</w:t>
            </w:r>
            <w:r w:rsidR="00A956D3" w:rsidRPr="001C5072">
              <w:rPr>
                <w:rFonts w:cs="Times New Roman"/>
                <w:sz w:val="20"/>
                <w:szCs w:val="20"/>
              </w:rPr>
              <w:t xml:space="preserve"> </w:t>
            </w:r>
            <w:r>
              <w:rPr>
                <w:rFonts w:cs="Times New Roman"/>
                <w:sz w:val="20"/>
                <w:szCs w:val="20"/>
              </w:rPr>
              <w:t>Inc</w:t>
            </w:r>
            <w:r w:rsidR="00A956D3" w:rsidRPr="001C5072">
              <w:rPr>
                <w:rFonts w:cs="Times New Roman"/>
                <w:sz w:val="20"/>
                <w:szCs w:val="20"/>
              </w:rPr>
              <w:t>.,</w:t>
            </w:r>
          </w:p>
          <w:p w:rsidR="00A956D3" w:rsidRPr="00E4544C" w:rsidRDefault="00A956D3" w:rsidP="0066350E">
            <w:pPr>
              <w:rPr>
                <w:rFonts w:cs="Times New Roman"/>
                <w:sz w:val="20"/>
                <w:szCs w:val="20"/>
                <w:lang w:val="fr-CA"/>
              </w:rPr>
            </w:pPr>
            <w:r w:rsidRPr="00E4544C">
              <w:rPr>
                <w:rFonts w:cs="Times New Roman"/>
                <w:sz w:val="20"/>
                <w:szCs w:val="20"/>
                <w:lang w:val="fr-CA"/>
              </w:rPr>
              <w:t>201</w:t>
            </w:r>
            <w:r w:rsidR="00DE4A61">
              <w:rPr>
                <w:rFonts w:cs="Times New Roman"/>
                <w:sz w:val="20"/>
                <w:szCs w:val="20"/>
                <w:lang w:val="fr-CA"/>
              </w:rPr>
              <w:t>4</w:t>
            </w:r>
            <w:r w:rsidRPr="00E4544C">
              <w:rPr>
                <w:rFonts w:cs="Times New Roman"/>
                <w:sz w:val="20"/>
                <w:szCs w:val="20"/>
                <w:lang w:val="fr-CA"/>
              </w:rPr>
              <w:t xml:space="preserve"> SCC </w:t>
            </w:r>
            <w:r w:rsidR="00F36628">
              <w:rPr>
                <w:rFonts w:cs="Times New Roman"/>
                <w:sz w:val="20"/>
                <w:szCs w:val="20"/>
                <w:lang w:val="fr-CA"/>
              </w:rPr>
              <w:t>35</w:t>
            </w:r>
            <w:r w:rsidRPr="00E4544C">
              <w:rPr>
                <w:rFonts w:cs="Times New Roman"/>
                <w:sz w:val="20"/>
                <w:szCs w:val="20"/>
                <w:lang w:val="fr-CA"/>
              </w:rPr>
              <w:t>, [201</w:t>
            </w:r>
            <w:r w:rsidR="00DE4A61">
              <w:rPr>
                <w:rFonts w:cs="Times New Roman"/>
                <w:sz w:val="20"/>
                <w:szCs w:val="20"/>
                <w:lang w:val="fr-CA"/>
              </w:rPr>
              <w:t>4</w:t>
            </w:r>
            <w:r w:rsidRPr="00E4544C">
              <w:rPr>
                <w:rFonts w:cs="Times New Roman"/>
                <w:sz w:val="20"/>
                <w:szCs w:val="20"/>
                <w:lang w:val="fr-CA"/>
              </w:rPr>
              <w:t xml:space="preserve">] </w:t>
            </w:r>
            <w:r w:rsidR="00AB7EC2">
              <w:rPr>
                <w:rFonts w:cs="Times New Roman"/>
                <w:sz w:val="20"/>
                <w:szCs w:val="20"/>
                <w:lang w:val="fr-CA"/>
              </w:rPr>
              <w:t>1</w:t>
            </w:r>
            <w:r w:rsidRPr="00E4544C">
              <w:rPr>
                <w:rFonts w:cs="Times New Roman"/>
                <w:sz w:val="20"/>
                <w:szCs w:val="20"/>
                <w:lang w:val="fr-CA"/>
              </w:rPr>
              <w:t xml:space="preserve"> S.C.R. </w:t>
            </w:r>
            <w:r w:rsidR="00F36628">
              <w:rPr>
                <w:rFonts w:cs="Times New Roman"/>
                <w:sz w:val="20"/>
                <w:szCs w:val="20"/>
                <w:lang w:val="fr-CA"/>
              </w:rPr>
              <w:t>80</w:t>
            </w:r>
            <w:r w:rsidR="00CF125F">
              <w:rPr>
                <w:rFonts w:cs="Times New Roman"/>
                <w:sz w:val="20"/>
                <w:szCs w:val="20"/>
                <w:lang w:val="fr-CA"/>
              </w:rPr>
              <w:t>0</w:t>
            </w:r>
          </w:p>
          <w:p w:rsidR="00A956D3" w:rsidRDefault="00A956D3" w:rsidP="0066350E">
            <w:pPr>
              <w:rPr>
                <w:rFonts w:cs="Times New Roman"/>
                <w:sz w:val="20"/>
                <w:szCs w:val="20"/>
                <w:lang w:val="fr-CA"/>
              </w:rPr>
            </w:pPr>
          </w:p>
          <w:p w:rsidR="00A956D3" w:rsidRPr="00DD0B49" w:rsidRDefault="00237788" w:rsidP="0066350E">
            <w:pPr>
              <w:keepNext/>
              <w:keepLines/>
              <w:rPr>
                <w:rFonts w:cs="Times New Roman"/>
                <w:bCs/>
                <w:sz w:val="20"/>
                <w:szCs w:val="20"/>
                <w:lang w:val="fr-CA"/>
              </w:rPr>
            </w:pPr>
            <w:r>
              <w:rPr>
                <w:rFonts w:cs="Times New Roman"/>
                <w:sz w:val="20"/>
                <w:szCs w:val="20"/>
              </w:rPr>
              <w:pict>
                <v:rect id="_x0000_i1079" style="width:129.6pt;height:1pt" o:hrpct="600" o:hralign="center" o:hrstd="t" o:hrnoshade="t" o:hr="t" fillcolor="black [3213]" stroked="f"/>
              </w:pict>
            </w:r>
          </w:p>
          <w:p w:rsidR="00A956D3" w:rsidRPr="00DD0B49" w:rsidRDefault="00A956D3" w:rsidP="0066350E">
            <w:pPr>
              <w:keepNext/>
              <w:keepLines/>
              <w:rPr>
                <w:rFonts w:cs="Times New Roman"/>
                <w:bCs/>
                <w:sz w:val="20"/>
                <w:szCs w:val="20"/>
                <w:lang w:val="fr-CA"/>
              </w:rPr>
            </w:pPr>
          </w:p>
        </w:tc>
        <w:tc>
          <w:tcPr>
            <w:tcW w:w="840" w:type="dxa"/>
            <w:tcBorders>
              <w:top w:val="nil"/>
              <w:left w:val="nil"/>
              <w:bottom w:val="nil"/>
              <w:right w:val="nil"/>
            </w:tcBorders>
          </w:tcPr>
          <w:p w:rsidR="00A956D3" w:rsidRPr="00DD0B49" w:rsidRDefault="00A956D3" w:rsidP="0066350E">
            <w:pPr>
              <w:rPr>
                <w:rFonts w:cs="Times New Roman"/>
                <w:b/>
                <w:bCs/>
                <w:sz w:val="20"/>
                <w:szCs w:val="20"/>
                <w:lang w:val="fr-CA"/>
              </w:rPr>
            </w:pPr>
          </w:p>
        </w:tc>
        <w:tc>
          <w:tcPr>
            <w:tcW w:w="4320" w:type="dxa"/>
            <w:tcBorders>
              <w:top w:val="nil"/>
              <w:left w:val="nil"/>
              <w:bottom w:val="nil"/>
              <w:right w:val="nil"/>
            </w:tcBorders>
          </w:tcPr>
          <w:p w:rsidR="00A956D3" w:rsidRPr="00DD0B49" w:rsidRDefault="00A956D3" w:rsidP="0066350E">
            <w:pPr>
              <w:rPr>
                <w:rFonts w:cs="Times New Roman"/>
                <w:b/>
                <w:bCs/>
                <w:sz w:val="20"/>
                <w:szCs w:val="20"/>
                <w:lang w:val="fr-CA"/>
              </w:rPr>
            </w:pPr>
            <w:r w:rsidRPr="00DD0B49">
              <w:rPr>
                <w:rFonts w:cs="Times New Roman"/>
                <w:b/>
                <w:bCs/>
                <w:sz w:val="20"/>
                <w:szCs w:val="20"/>
                <w:lang w:val="fr-CA"/>
              </w:rPr>
              <w:t>Jugements publiés dans [201</w:t>
            </w:r>
            <w:r w:rsidR="00DE4A61">
              <w:rPr>
                <w:rFonts w:cs="Times New Roman"/>
                <w:b/>
                <w:bCs/>
                <w:sz w:val="20"/>
                <w:szCs w:val="20"/>
                <w:lang w:val="fr-CA"/>
              </w:rPr>
              <w:t>4</w:t>
            </w:r>
            <w:r w:rsidRPr="00DD0B49">
              <w:rPr>
                <w:rFonts w:cs="Times New Roman"/>
                <w:b/>
                <w:bCs/>
                <w:sz w:val="20"/>
                <w:szCs w:val="20"/>
                <w:lang w:val="fr-CA"/>
              </w:rPr>
              <w:t xml:space="preserve">] </w:t>
            </w:r>
            <w:r w:rsidR="00DE4A61">
              <w:rPr>
                <w:rFonts w:cs="Times New Roman"/>
                <w:b/>
                <w:bCs/>
                <w:sz w:val="20"/>
                <w:szCs w:val="20"/>
                <w:lang w:val="fr-CA"/>
              </w:rPr>
              <w:t>1</w:t>
            </w:r>
            <w:r w:rsidRPr="00DD0B49">
              <w:rPr>
                <w:rFonts w:cs="Times New Roman"/>
                <w:b/>
                <w:bCs/>
                <w:sz w:val="20"/>
                <w:szCs w:val="20"/>
                <w:lang w:val="fr-CA"/>
              </w:rPr>
              <w:t xml:space="preserve"> R.C.S. Partie </w:t>
            </w:r>
            <w:r w:rsidR="00DE4A61">
              <w:rPr>
                <w:rFonts w:cs="Times New Roman"/>
                <w:b/>
                <w:bCs/>
                <w:sz w:val="20"/>
                <w:szCs w:val="20"/>
                <w:lang w:val="fr-CA"/>
              </w:rPr>
              <w:t>3</w:t>
            </w:r>
          </w:p>
          <w:p w:rsidR="00A956D3" w:rsidRPr="00DD0B49" w:rsidRDefault="00A956D3" w:rsidP="0066350E">
            <w:pPr>
              <w:rPr>
                <w:rFonts w:cs="Times New Roman"/>
                <w:b/>
                <w:bCs/>
                <w:sz w:val="20"/>
                <w:szCs w:val="20"/>
                <w:lang w:val="fr-CA"/>
              </w:rPr>
            </w:pPr>
          </w:p>
          <w:p w:rsidR="00A956D3" w:rsidRPr="00CF125F" w:rsidRDefault="00CF125F" w:rsidP="0066350E">
            <w:pPr>
              <w:rPr>
                <w:rFonts w:cs="Times New Roman"/>
                <w:sz w:val="20"/>
                <w:szCs w:val="20"/>
                <w:lang w:val="fr-CA"/>
              </w:rPr>
            </w:pPr>
            <w:r w:rsidRPr="00CF125F">
              <w:rPr>
                <w:rFonts w:cs="Times New Roman"/>
                <w:sz w:val="20"/>
                <w:szCs w:val="20"/>
                <w:lang w:val="fr-CA"/>
              </w:rPr>
              <w:t>Di</w:t>
            </w:r>
            <w:r w:rsidR="00A956D3" w:rsidRPr="00CF125F">
              <w:rPr>
                <w:rFonts w:cs="Times New Roman"/>
                <w:sz w:val="20"/>
                <w:szCs w:val="20"/>
                <w:lang w:val="fr-CA"/>
              </w:rPr>
              <w:t>o</w:t>
            </w:r>
            <w:r w:rsidRPr="00CF125F">
              <w:rPr>
                <w:rFonts w:cs="Times New Roman"/>
                <w:sz w:val="20"/>
                <w:szCs w:val="20"/>
                <w:lang w:val="fr-CA"/>
              </w:rPr>
              <w:t>nn</w:t>
            </w:r>
            <w:r w:rsidR="00A956D3" w:rsidRPr="00CF125F">
              <w:rPr>
                <w:rFonts w:cs="Times New Roman"/>
                <w:sz w:val="20"/>
                <w:szCs w:val="20"/>
                <w:lang w:val="fr-CA"/>
              </w:rPr>
              <w:t>e</w:t>
            </w:r>
            <w:r w:rsidRPr="00CF125F">
              <w:rPr>
                <w:rFonts w:cs="Times New Roman"/>
                <w:sz w:val="20"/>
                <w:szCs w:val="20"/>
                <w:lang w:val="fr-CA"/>
              </w:rPr>
              <w:t xml:space="preserve"> </w:t>
            </w:r>
            <w:r w:rsidR="00A956D3" w:rsidRPr="00CF125F">
              <w:rPr>
                <w:rFonts w:cs="Times New Roman"/>
                <w:i/>
                <w:sz w:val="20"/>
                <w:szCs w:val="20"/>
                <w:lang w:val="fr-CA"/>
              </w:rPr>
              <w:t>c.</w:t>
            </w:r>
            <w:r w:rsidR="00A956D3" w:rsidRPr="00CF125F">
              <w:rPr>
                <w:rFonts w:cs="Times New Roman"/>
                <w:sz w:val="20"/>
                <w:szCs w:val="20"/>
                <w:lang w:val="fr-CA"/>
              </w:rPr>
              <w:t xml:space="preserve"> </w:t>
            </w:r>
            <w:r w:rsidRPr="00CF125F">
              <w:rPr>
                <w:rFonts w:cs="Times New Roman"/>
                <w:sz w:val="20"/>
                <w:szCs w:val="20"/>
                <w:lang w:val="fr-CA"/>
              </w:rPr>
              <w:t>Commision sco</w:t>
            </w:r>
            <w:r w:rsidR="00A956D3" w:rsidRPr="00CF125F">
              <w:rPr>
                <w:rFonts w:cs="Times New Roman"/>
                <w:sz w:val="20"/>
                <w:szCs w:val="20"/>
                <w:lang w:val="fr-CA"/>
              </w:rPr>
              <w:t>la</w:t>
            </w:r>
            <w:r w:rsidRPr="00CF125F">
              <w:rPr>
                <w:rFonts w:cs="Times New Roman"/>
                <w:sz w:val="20"/>
                <w:szCs w:val="20"/>
                <w:lang w:val="fr-CA"/>
              </w:rPr>
              <w:t>i</w:t>
            </w:r>
            <w:r w:rsidR="00A956D3" w:rsidRPr="00CF125F">
              <w:rPr>
                <w:rFonts w:cs="Times New Roman"/>
                <w:sz w:val="20"/>
                <w:szCs w:val="20"/>
                <w:lang w:val="fr-CA"/>
              </w:rPr>
              <w:t>r</w:t>
            </w:r>
            <w:r w:rsidRPr="00CF125F">
              <w:rPr>
                <w:rFonts w:cs="Times New Roman"/>
                <w:sz w:val="20"/>
                <w:szCs w:val="20"/>
                <w:lang w:val="fr-CA"/>
              </w:rPr>
              <w:t>e</w:t>
            </w:r>
            <w:r w:rsidR="00A956D3" w:rsidRPr="00CF125F">
              <w:rPr>
                <w:rFonts w:cs="Times New Roman"/>
                <w:sz w:val="20"/>
                <w:szCs w:val="20"/>
                <w:lang w:val="fr-CA"/>
              </w:rPr>
              <w:t xml:space="preserve"> </w:t>
            </w:r>
            <w:r w:rsidRPr="00CF125F">
              <w:rPr>
                <w:rFonts w:cs="Times New Roman"/>
                <w:sz w:val="20"/>
                <w:szCs w:val="20"/>
                <w:lang w:val="fr-CA"/>
              </w:rPr>
              <w:t xml:space="preserve">des </w:t>
            </w:r>
            <w:r w:rsidR="00A956D3" w:rsidRPr="00CF125F">
              <w:rPr>
                <w:rFonts w:cs="Times New Roman"/>
                <w:sz w:val="20"/>
                <w:szCs w:val="20"/>
                <w:lang w:val="fr-CA"/>
              </w:rPr>
              <w:t>P</w:t>
            </w:r>
            <w:r w:rsidRPr="00CF125F">
              <w:rPr>
                <w:rFonts w:cs="Times New Roman"/>
                <w:sz w:val="20"/>
                <w:szCs w:val="20"/>
                <w:lang w:val="fr-CA"/>
              </w:rPr>
              <w:t>a</w:t>
            </w:r>
            <w:r w:rsidR="00A956D3" w:rsidRPr="00CF125F">
              <w:rPr>
                <w:rFonts w:cs="Times New Roman"/>
                <w:sz w:val="20"/>
                <w:szCs w:val="20"/>
                <w:lang w:val="fr-CA"/>
              </w:rPr>
              <w:t>t</w:t>
            </w:r>
            <w:r w:rsidRPr="00CF125F">
              <w:rPr>
                <w:rFonts w:cs="Times New Roman"/>
                <w:sz w:val="20"/>
                <w:szCs w:val="20"/>
                <w:lang w:val="fr-CA"/>
              </w:rPr>
              <w:t>riote</w:t>
            </w:r>
            <w:r w:rsidR="00A956D3" w:rsidRPr="00CF125F">
              <w:rPr>
                <w:rFonts w:cs="Times New Roman"/>
                <w:sz w:val="20"/>
                <w:szCs w:val="20"/>
                <w:lang w:val="fr-CA"/>
              </w:rPr>
              <w:t>s,</w:t>
            </w:r>
          </w:p>
          <w:p w:rsidR="00A956D3" w:rsidRPr="00EE0831" w:rsidRDefault="00A956D3" w:rsidP="0066350E">
            <w:pPr>
              <w:rPr>
                <w:rFonts w:cs="Times New Roman"/>
                <w:sz w:val="20"/>
                <w:szCs w:val="20"/>
                <w:lang w:val="fr-CA"/>
              </w:rPr>
            </w:pPr>
            <w:r w:rsidRPr="00EE0831">
              <w:rPr>
                <w:rFonts w:cs="Times New Roman"/>
                <w:sz w:val="20"/>
                <w:szCs w:val="20"/>
                <w:lang w:val="fr-CA"/>
              </w:rPr>
              <w:t>201</w:t>
            </w:r>
            <w:r w:rsidR="00AB7EC2">
              <w:rPr>
                <w:rFonts w:cs="Times New Roman"/>
                <w:sz w:val="20"/>
                <w:szCs w:val="20"/>
                <w:lang w:val="fr-CA"/>
              </w:rPr>
              <w:t>4</w:t>
            </w:r>
            <w:r w:rsidRPr="00EE0831">
              <w:rPr>
                <w:rFonts w:cs="Times New Roman"/>
                <w:sz w:val="20"/>
                <w:szCs w:val="20"/>
                <w:lang w:val="fr-CA"/>
              </w:rPr>
              <w:t xml:space="preserve"> CSC </w:t>
            </w:r>
            <w:r w:rsidR="00F36628">
              <w:rPr>
                <w:rFonts w:cs="Times New Roman"/>
                <w:sz w:val="20"/>
                <w:szCs w:val="20"/>
                <w:lang w:val="fr-CA"/>
              </w:rPr>
              <w:t>33</w:t>
            </w:r>
            <w:r w:rsidRPr="00EE0831">
              <w:rPr>
                <w:rFonts w:cs="Times New Roman"/>
                <w:sz w:val="20"/>
                <w:szCs w:val="20"/>
                <w:lang w:val="fr-CA"/>
              </w:rPr>
              <w:t>, [201</w:t>
            </w:r>
            <w:r w:rsidR="00AB7EC2">
              <w:rPr>
                <w:rFonts w:cs="Times New Roman"/>
                <w:sz w:val="20"/>
                <w:szCs w:val="20"/>
                <w:lang w:val="fr-CA"/>
              </w:rPr>
              <w:t>4</w:t>
            </w:r>
            <w:r w:rsidRPr="00EE0831">
              <w:rPr>
                <w:rFonts w:cs="Times New Roman"/>
                <w:sz w:val="20"/>
                <w:szCs w:val="20"/>
                <w:lang w:val="fr-CA"/>
              </w:rPr>
              <w:t xml:space="preserve">] </w:t>
            </w:r>
            <w:r w:rsidR="00AB7EC2">
              <w:rPr>
                <w:rFonts w:cs="Times New Roman"/>
                <w:sz w:val="20"/>
                <w:szCs w:val="20"/>
                <w:lang w:val="fr-CA"/>
              </w:rPr>
              <w:t>1</w:t>
            </w:r>
            <w:r w:rsidRPr="00EE0831">
              <w:rPr>
                <w:rFonts w:cs="Times New Roman"/>
                <w:sz w:val="20"/>
                <w:szCs w:val="20"/>
                <w:lang w:val="fr-CA"/>
              </w:rPr>
              <w:t xml:space="preserve"> R.C.S. </w:t>
            </w:r>
            <w:r w:rsidR="00CF125F">
              <w:rPr>
                <w:rFonts w:cs="Times New Roman"/>
                <w:sz w:val="20"/>
                <w:szCs w:val="20"/>
                <w:lang w:val="fr-CA"/>
              </w:rPr>
              <w:t>765</w:t>
            </w:r>
          </w:p>
          <w:p w:rsidR="00A956D3" w:rsidRPr="00EE0831" w:rsidRDefault="00A956D3" w:rsidP="0066350E">
            <w:pPr>
              <w:rPr>
                <w:rFonts w:cs="Times New Roman"/>
                <w:sz w:val="20"/>
                <w:szCs w:val="20"/>
                <w:lang w:val="fr-CA"/>
              </w:rPr>
            </w:pPr>
          </w:p>
          <w:p w:rsidR="00A956D3" w:rsidRPr="00EE0831" w:rsidRDefault="00CF125F" w:rsidP="0066350E">
            <w:pPr>
              <w:rPr>
                <w:rFonts w:cs="Times New Roman"/>
                <w:sz w:val="20"/>
                <w:szCs w:val="20"/>
                <w:lang w:val="fr-CA"/>
              </w:rPr>
            </w:pPr>
            <w:r w:rsidRPr="00CF125F">
              <w:rPr>
                <w:rFonts w:cs="Times New Roman"/>
                <w:sz w:val="20"/>
                <w:szCs w:val="20"/>
                <w:lang w:val="fr-CA"/>
              </w:rPr>
              <w:t>Immeubles Jacques Robitaille inc.</w:t>
            </w:r>
            <w:r w:rsidR="00A956D3" w:rsidRPr="00EE0831">
              <w:rPr>
                <w:rFonts w:cs="Times New Roman"/>
                <w:sz w:val="20"/>
                <w:szCs w:val="20"/>
                <w:lang w:val="fr-CA"/>
              </w:rPr>
              <w:t xml:space="preserve"> </w:t>
            </w:r>
            <w:r w:rsidR="00A956D3" w:rsidRPr="00EE0831">
              <w:rPr>
                <w:rFonts w:cs="Times New Roman"/>
                <w:i/>
                <w:iCs/>
                <w:sz w:val="20"/>
                <w:szCs w:val="20"/>
                <w:lang w:val="fr-CA"/>
              </w:rPr>
              <w:t>c.</w:t>
            </w:r>
            <w:r w:rsidR="00A956D3" w:rsidRPr="00EE0831">
              <w:rPr>
                <w:rFonts w:cs="Times New Roman"/>
                <w:iCs/>
                <w:sz w:val="20"/>
                <w:szCs w:val="20"/>
                <w:lang w:val="fr-CA"/>
              </w:rPr>
              <w:t xml:space="preserve"> </w:t>
            </w:r>
            <w:r>
              <w:rPr>
                <w:rFonts w:cs="Times New Roman"/>
                <w:iCs/>
                <w:sz w:val="20"/>
                <w:szCs w:val="20"/>
                <w:lang w:val="fr-CA"/>
              </w:rPr>
              <w:t>Québec</w:t>
            </w:r>
            <w:r w:rsidR="00A956D3" w:rsidRPr="00EE0831">
              <w:rPr>
                <w:rFonts w:cs="Times New Roman"/>
                <w:iCs/>
                <w:sz w:val="20"/>
                <w:szCs w:val="20"/>
                <w:lang w:val="fr-CA"/>
              </w:rPr>
              <w:t xml:space="preserve"> (</w:t>
            </w:r>
            <w:r>
              <w:rPr>
                <w:rFonts w:cs="Times New Roman"/>
                <w:iCs/>
                <w:sz w:val="20"/>
                <w:szCs w:val="20"/>
                <w:lang w:val="fr-CA"/>
              </w:rPr>
              <w:t>Vi</w:t>
            </w:r>
            <w:r w:rsidR="00A956D3" w:rsidRPr="00EE0831">
              <w:rPr>
                <w:rFonts w:cs="Times New Roman"/>
                <w:iCs/>
                <w:sz w:val="20"/>
                <w:szCs w:val="20"/>
                <w:lang w:val="fr-CA"/>
              </w:rPr>
              <w:t>l</w:t>
            </w:r>
            <w:r>
              <w:rPr>
                <w:rFonts w:cs="Times New Roman"/>
                <w:iCs/>
                <w:sz w:val="20"/>
                <w:szCs w:val="20"/>
                <w:lang w:val="fr-CA"/>
              </w:rPr>
              <w:t>l</w:t>
            </w:r>
            <w:r w:rsidR="00A956D3" w:rsidRPr="00EE0831">
              <w:rPr>
                <w:rFonts w:cs="Times New Roman"/>
                <w:iCs/>
                <w:sz w:val="20"/>
                <w:szCs w:val="20"/>
                <w:lang w:val="fr-CA"/>
              </w:rPr>
              <w:t>e)</w:t>
            </w:r>
            <w:r w:rsidR="00A956D3" w:rsidRPr="00EE0831">
              <w:rPr>
                <w:rFonts w:cs="Times New Roman"/>
                <w:sz w:val="20"/>
                <w:szCs w:val="20"/>
                <w:lang w:val="fr-CA"/>
              </w:rPr>
              <w:t>,</w:t>
            </w:r>
          </w:p>
          <w:p w:rsidR="00A956D3" w:rsidRPr="008C03DD" w:rsidRDefault="00A956D3" w:rsidP="0066350E">
            <w:pPr>
              <w:rPr>
                <w:rFonts w:cs="Times New Roman"/>
                <w:sz w:val="20"/>
                <w:szCs w:val="20"/>
                <w:lang w:val="fr-CA"/>
              </w:rPr>
            </w:pPr>
            <w:r w:rsidRPr="008C03DD">
              <w:rPr>
                <w:rFonts w:cs="Times New Roman"/>
                <w:sz w:val="20"/>
                <w:szCs w:val="20"/>
                <w:lang w:val="fr-CA"/>
              </w:rPr>
              <w:t>201</w:t>
            </w:r>
            <w:r w:rsidR="00AB7EC2" w:rsidRPr="008C03DD">
              <w:rPr>
                <w:rFonts w:cs="Times New Roman"/>
                <w:sz w:val="20"/>
                <w:szCs w:val="20"/>
                <w:lang w:val="fr-CA"/>
              </w:rPr>
              <w:t>4</w:t>
            </w:r>
            <w:r w:rsidRPr="008C03DD">
              <w:rPr>
                <w:rFonts w:cs="Times New Roman"/>
                <w:sz w:val="20"/>
                <w:szCs w:val="20"/>
                <w:lang w:val="fr-CA"/>
              </w:rPr>
              <w:t xml:space="preserve"> CSC </w:t>
            </w:r>
            <w:r w:rsidR="00F36628" w:rsidRPr="008C03DD">
              <w:rPr>
                <w:rFonts w:cs="Times New Roman"/>
                <w:sz w:val="20"/>
                <w:szCs w:val="20"/>
                <w:lang w:val="fr-CA"/>
              </w:rPr>
              <w:t>34</w:t>
            </w:r>
            <w:r w:rsidRPr="008C03DD">
              <w:rPr>
                <w:rFonts w:cs="Times New Roman"/>
                <w:sz w:val="20"/>
                <w:szCs w:val="20"/>
                <w:lang w:val="fr-CA"/>
              </w:rPr>
              <w:t>, [201</w:t>
            </w:r>
            <w:r w:rsidR="00AB7EC2" w:rsidRPr="008C03DD">
              <w:rPr>
                <w:rFonts w:cs="Times New Roman"/>
                <w:sz w:val="20"/>
                <w:szCs w:val="20"/>
                <w:lang w:val="fr-CA"/>
              </w:rPr>
              <w:t>4</w:t>
            </w:r>
            <w:r w:rsidRPr="008C03DD">
              <w:rPr>
                <w:rFonts w:cs="Times New Roman"/>
                <w:sz w:val="20"/>
                <w:szCs w:val="20"/>
                <w:lang w:val="fr-CA"/>
              </w:rPr>
              <w:t xml:space="preserve">] </w:t>
            </w:r>
            <w:r w:rsidR="00AB7EC2" w:rsidRPr="008C03DD">
              <w:rPr>
                <w:rFonts w:cs="Times New Roman"/>
                <w:sz w:val="20"/>
                <w:szCs w:val="20"/>
                <w:lang w:val="fr-CA"/>
              </w:rPr>
              <w:t>1</w:t>
            </w:r>
            <w:r w:rsidRPr="008C03DD">
              <w:rPr>
                <w:rFonts w:cs="Times New Roman"/>
                <w:sz w:val="20"/>
                <w:szCs w:val="20"/>
                <w:lang w:val="fr-CA"/>
              </w:rPr>
              <w:t xml:space="preserve"> R.C.S. 7</w:t>
            </w:r>
            <w:r w:rsidR="00CF125F" w:rsidRPr="008C03DD">
              <w:rPr>
                <w:rFonts w:cs="Times New Roman"/>
                <w:sz w:val="20"/>
                <w:szCs w:val="20"/>
                <w:lang w:val="fr-CA"/>
              </w:rPr>
              <w:t>84</w:t>
            </w:r>
          </w:p>
          <w:p w:rsidR="00A956D3" w:rsidRPr="008C03DD" w:rsidRDefault="00A956D3" w:rsidP="0066350E">
            <w:pPr>
              <w:rPr>
                <w:rFonts w:cs="Times New Roman"/>
                <w:iCs/>
                <w:sz w:val="20"/>
                <w:szCs w:val="20"/>
                <w:lang w:val="fr-CA"/>
              </w:rPr>
            </w:pPr>
          </w:p>
          <w:p w:rsidR="00A956D3" w:rsidRPr="008C03DD" w:rsidRDefault="008C03DD" w:rsidP="0066350E">
            <w:pPr>
              <w:rPr>
                <w:rFonts w:cs="Times New Roman"/>
                <w:sz w:val="20"/>
                <w:szCs w:val="20"/>
                <w:lang w:val="fr-CA"/>
              </w:rPr>
            </w:pPr>
            <w:r w:rsidRPr="008C03DD">
              <w:rPr>
                <w:rFonts w:cs="Times New Roman"/>
                <w:iCs/>
                <w:sz w:val="20"/>
                <w:szCs w:val="20"/>
                <w:lang w:val="fr-CA"/>
              </w:rPr>
              <w:t>Ontario (Sécurité communautaire et Services correction</w:t>
            </w:r>
            <w:r>
              <w:rPr>
                <w:rFonts w:cs="Times New Roman"/>
                <w:iCs/>
                <w:sz w:val="20"/>
                <w:szCs w:val="20"/>
                <w:lang w:val="fr-CA"/>
              </w:rPr>
              <w:t>n</w:t>
            </w:r>
            <w:r w:rsidRPr="008C03DD">
              <w:rPr>
                <w:rFonts w:cs="Times New Roman"/>
                <w:iCs/>
                <w:sz w:val="20"/>
                <w:szCs w:val="20"/>
                <w:lang w:val="fr-CA"/>
              </w:rPr>
              <w:t>els</w:t>
            </w:r>
            <w:r>
              <w:rPr>
                <w:rFonts w:cs="Times New Roman"/>
                <w:iCs/>
                <w:sz w:val="20"/>
                <w:szCs w:val="20"/>
                <w:lang w:val="fr-CA"/>
              </w:rPr>
              <w:t>)</w:t>
            </w:r>
            <w:r w:rsidR="00A956D3" w:rsidRPr="008C03DD">
              <w:rPr>
                <w:rFonts w:cs="Times New Roman"/>
                <w:iCs/>
                <w:sz w:val="20"/>
                <w:szCs w:val="20"/>
                <w:lang w:val="fr-CA"/>
              </w:rPr>
              <w:t xml:space="preserve"> </w:t>
            </w:r>
            <w:r w:rsidR="00A956D3" w:rsidRPr="008C03DD">
              <w:rPr>
                <w:rFonts w:cs="Times New Roman"/>
                <w:i/>
                <w:iCs/>
                <w:sz w:val="20"/>
                <w:szCs w:val="20"/>
                <w:lang w:val="fr-CA"/>
              </w:rPr>
              <w:t>c.</w:t>
            </w:r>
            <w:r w:rsidR="00A956D3" w:rsidRPr="008C03DD">
              <w:rPr>
                <w:rFonts w:cs="Times New Roman"/>
                <w:iCs/>
                <w:sz w:val="20"/>
                <w:szCs w:val="20"/>
                <w:lang w:val="fr-CA"/>
              </w:rPr>
              <w:t xml:space="preserve"> </w:t>
            </w:r>
            <w:r>
              <w:rPr>
                <w:rFonts w:cs="Times New Roman"/>
                <w:iCs/>
                <w:sz w:val="20"/>
                <w:szCs w:val="20"/>
                <w:lang w:val="fr-CA"/>
              </w:rPr>
              <w:t>O</w:t>
            </w:r>
            <w:r w:rsidR="00A956D3" w:rsidRPr="008C03DD">
              <w:rPr>
                <w:rFonts w:cs="Times New Roman"/>
                <w:iCs/>
                <w:sz w:val="20"/>
                <w:szCs w:val="20"/>
                <w:lang w:val="fr-CA"/>
              </w:rPr>
              <w:t>n</w:t>
            </w:r>
            <w:r>
              <w:rPr>
                <w:rFonts w:cs="Times New Roman"/>
                <w:iCs/>
                <w:sz w:val="20"/>
                <w:szCs w:val="20"/>
                <w:lang w:val="fr-CA"/>
              </w:rPr>
              <w:t>tario (Commiss</w:t>
            </w:r>
            <w:r w:rsidR="00A956D3" w:rsidRPr="008C03DD">
              <w:rPr>
                <w:rFonts w:cs="Times New Roman"/>
                <w:iCs/>
                <w:sz w:val="20"/>
                <w:szCs w:val="20"/>
                <w:lang w:val="fr-CA"/>
              </w:rPr>
              <w:t>a</w:t>
            </w:r>
            <w:r>
              <w:rPr>
                <w:rFonts w:cs="Times New Roman"/>
                <w:iCs/>
                <w:sz w:val="20"/>
                <w:szCs w:val="20"/>
                <w:lang w:val="fr-CA"/>
              </w:rPr>
              <w:t>ire à l’information et à l</w:t>
            </w:r>
            <w:r w:rsidR="00A956D3" w:rsidRPr="008C03DD">
              <w:rPr>
                <w:rFonts w:cs="Times New Roman"/>
                <w:iCs/>
                <w:sz w:val="20"/>
                <w:szCs w:val="20"/>
                <w:lang w:val="fr-CA"/>
              </w:rPr>
              <w:t>a</w:t>
            </w:r>
            <w:r>
              <w:rPr>
                <w:rFonts w:cs="Times New Roman"/>
                <w:iCs/>
                <w:sz w:val="20"/>
                <w:szCs w:val="20"/>
                <w:lang w:val="fr-CA"/>
              </w:rPr>
              <w:t xml:space="preserve"> protection de la vie privée)</w:t>
            </w:r>
            <w:r w:rsidR="00A956D3" w:rsidRPr="008C03DD">
              <w:rPr>
                <w:rFonts w:cs="Times New Roman"/>
                <w:iCs/>
                <w:sz w:val="20"/>
                <w:szCs w:val="20"/>
                <w:lang w:val="fr-CA"/>
              </w:rPr>
              <w:t>,</w:t>
            </w:r>
          </w:p>
          <w:p w:rsidR="00A956D3" w:rsidRPr="001C5072" w:rsidRDefault="00A956D3" w:rsidP="0066350E">
            <w:pPr>
              <w:rPr>
                <w:rFonts w:cs="Times New Roman"/>
                <w:sz w:val="20"/>
                <w:szCs w:val="20"/>
                <w:lang w:val="fr-CA"/>
              </w:rPr>
            </w:pPr>
            <w:r w:rsidRPr="001C5072">
              <w:rPr>
                <w:rFonts w:cs="Times New Roman"/>
                <w:sz w:val="20"/>
                <w:szCs w:val="20"/>
                <w:lang w:val="fr-CA"/>
              </w:rPr>
              <w:t>201</w:t>
            </w:r>
            <w:r w:rsidR="00AB7EC2" w:rsidRPr="001C5072">
              <w:rPr>
                <w:rFonts w:cs="Times New Roman"/>
                <w:sz w:val="20"/>
                <w:szCs w:val="20"/>
                <w:lang w:val="fr-CA"/>
              </w:rPr>
              <w:t>4</w:t>
            </w:r>
            <w:r w:rsidRPr="001C5072">
              <w:rPr>
                <w:rFonts w:cs="Times New Roman"/>
                <w:sz w:val="20"/>
                <w:szCs w:val="20"/>
                <w:lang w:val="fr-CA"/>
              </w:rPr>
              <w:t xml:space="preserve"> CSC </w:t>
            </w:r>
            <w:r w:rsidR="00F36628" w:rsidRPr="001C5072">
              <w:rPr>
                <w:rFonts w:cs="Times New Roman"/>
                <w:sz w:val="20"/>
                <w:szCs w:val="20"/>
                <w:lang w:val="fr-CA"/>
              </w:rPr>
              <w:t>31</w:t>
            </w:r>
            <w:r w:rsidRPr="001C5072">
              <w:rPr>
                <w:rFonts w:cs="Times New Roman"/>
                <w:sz w:val="20"/>
                <w:szCs w:val="20"/>
                <w:lang w:val="fr-CA"/>
              </w:rPr>
              <w:t>, [201</w:t>
            </w:r>
            <w:r w:rsidR="00AB7EC2" w:rsidRPr="001C5072">
              <w:rPr>
                <w:rFonts w:cs="Times New Roman"/>
                <w:sz w:val="20"/>
                <w:szCs w:val="20"/>
                <w:lang w:val="fr-CA"/>
              </w:rPr>
              <w:t>4</w:t>
            </w:r>
            <w:r w:rsidRPr="001C5072">
              <w:rPr>
                <w:rFonts w:cs="Times New Roman"/>
                <w:sz w:val="20"/>
                <w:szCs w:val="20"/>
                <w:lang w:val="fr-CA"/>
              </w:rPr>
              <w:t xml:space="preserve">] </w:t>
            </w:r>
            <w:r w:rsidR="00AB7EC2" w:rsidRPr="001C5072">
              <w:rPr>
                <w:rFonts w:cs="Times New Roman"/>
                <w:sz w:val="20"/>
                <w:szCs w:val="20"/>
                <w:lang w:val="fr-CA"/>
              </w:rPr>
              <w:t>1</w:t>
            </w:r>
            <w:r w:rsidRPr="001C5072">
              <w:rPr>
                <w:rFonts w:cs="Times New Roman"/>
                <w:sz w:val="20"/>
                <w:szCs w:val="20"/>
                <w:lang w:val="fr-CA"/>
              </w:rPr>
              <w:t xml:space="preserve"> R.C.S. </w:t>
            </w:r>
            <w:r w:rsidR="00CF125F" w:rsidRPr="001C5072">
              <w:rPr>
                <w:rFonts w:cs="Times New Roman"/>
                <w:sz w:val="20"/>
                <w:szCs w:val="20"/>
                <w:lang w:val="fr-CA"/>
              </w:rPr>
              <w:t>674</w:t>
            </w:r>
          </w:p>
          <w:p w:rsidR="00A956D3" w:rsidRPr="001C5072" w:rsidRDefault="00A956D3" w:rsidP="0066350E">
            <w:pPr>
              <w:rPr>
                <w:rFonts w:cs="Times New Roman"/>
                <w:iCs/>
                <w:sz w:val="20"/>
                <w:szCs w:val="20"/>
                <w:lang w:val="fr-CA"/>
              </w:rPr>
            </w:pPr>
          </w:p>
          <w:p w:rsidR="00A956D3" w:rsidRPr="001C5072" w:rsidRDefault="001C5072" w:rsidP="0066350E">
            <w:pPr>
              <w:rPr>
                <w:rFonts w:cs="Times New Roman"/>
                <w:iCs/>
                <w:sz w:val="20"/>
                <w:szCs w:val="20"/>
                <w:lang w:val="fr-CA"/>
              </w:rPr>
            </w:pPr>
            <w:r w:rsidRPr="001C5072">
              <w:rPr>
                <w:rFonts w:cs="Times New Roman"/>
                <w:sz w:val="20"/>
                <w:szCs w:val="20"/>
                <w:lang w:val="fr-CA"/>
              </w:rPr>
              <w:t>Per</w:t>
            </w:r>
            <w:r w:rsidR="00A956D3" w:rsidRPr="001C5072">
              <w:rPr>
                <w:rFonts w:cs="Times New Roman"/>
                <w:sz w:val="20"/>
                <w:szCs w:val="20"/>
                <w:lang w:val="fr-CA"/>
              </w:rPr>
              <w:t>a</w:t>
            </w:r>
            <w:r w:rsidRPr="001C5072">
              <w:rPr>
                <w:rFonts w:cs="Times New Roman"/>
                <w:sz w:val="20"/>
                <w:szCs w:val="20"/>
                <w:lang w:val="fr-CA"/>
              </w:rPr>
              <w:t>como I</w:t>
            </w:r>
            <w:r w:rsidR="00A956D3" w:rsidRPr="001C5072">
              <w:rPr>
                <w:rFonts w:cs="Times New Roman"/>
                <w:sz w:val="20"/>
                <w:szCs w:val="20"/>
                <w:lang w:val="fr-CA"/>
              </w:rPr>
              <w:t xml:space="preserve">nc. </w:t>
            </w:r>
            <w:r w:rsidR="00A956D3" w:rsidRPr="001C5072">
              <w:rPr>
                <w:rFonts w:cs="Times New Roman"/>
                <w:i/>
                <w:iCs/>
                <w:sz w:val="20"/>
                <w:szCs w:val="20"/>
                <w:lang w:val="fr-CA"/>
              </w:rPr>
              <w:t>c.</w:t>
            </w:r>
            <w:r w:rsidR="00A956D3" w:rsidRPr="001C5072">
              <w:rPr>
                <w:rFonts w:cs="Times New Roman"/>
                <w:sz w:val="20"/>
                <w:szCs w:val="20"/>
                <w:lang w:val="fr-CA"/>
              </w:rPr>
              <w:t xml:space="preserve"> So</w:t>
            </w:r>
            <w:r w:rsidRPr="001C5072">
              <w:rPr>
                <w:rFonts w:cs="Times New Roman"/>
                <w:sz w:val="20"/>
                <w:szCs w:val="20"/>
                <w:lang w:val="fr-CA"/>
              </w:rPr>
              <w:t>ciété TELUS Commu</w:t>
            </w:r>
            <w:r w:rsidR="00A956D3" w:rsidRPr="001C5072">
              <w:rPr>
                <w:rFonts w:cs="Times New Roman"/>
                <w:sz w:val="20"/>
                <w:szCs w:val="20"/>
                <w:lang w:val="fr-CA"/>
              </w:rPr>
              <w:t>n</w:t>
            </w:r>
            <w:r w:rsidRPr="001C5072">
              <w:rPr>
                <w:rFonts w:cs="Times New Roman"/>
                <w:sz w:val="20"/>
                <w:szCs w:val="20"/>
                <w:lang w:val="fr-CA"/>
              </w:rPr>
              <w:t>ications</w:t>
            </w:r>
            <w:r w:rsidR="00A956D3" w:rsidRPr="001C5072">
              <w:rPr>
                <w:rFonts w:cs="Times New Roman"/>
                <w:iCs/>
                <w:sz w:val="20"/>
                <w:szCs w:val="20"/>
                <w:lang w:val="fr-CA"/>
              </w:rPr>
              <w:t>,</w:t>
            </w:r>
          </w:p>
          <w:p w:rsidR="00A956D3" w:rsidRPr="00BB18FF" w:rsidRDefault="00A956D3" w:rsidP="0066350E">
            <w:pPr>
              <w:rPr>
                <w:rFonts w:cs="Times New Roman"/>
                <w:sz w:val="20"/>
                <w:szCs w:val="20"/>
              </w:rPr>
            </w:pPr>
            <w:r w:rsidRPr="00BB18FF">
              <w:rPr>
                <w:rFonts w:cs="Times New Roman"/>
                <w:sz w:val="20"/>
                <w:szCs w:val="20"/>
              </w:rPr>
              <w:t>201</w:t>
            </w:r>
            <w:r w:rsidR="00AB7EC2" w:rsidRPr="00BB18FF">
              <w:rPr>
                <w:rFonts w:cs="Times New Roman"/>
                <w:sz w:val="20"/>
                <w:szCs w:val="20"/>
              </w:rPr>
              <w:t>4</w:t>
            </w:r>
            <w:r w:rsidRPr="00BB18FF">
              <w:rPr>
                <w:rFonts w:cs="Times New Roman"/>
                <w:sz w:val="20"/>
                <w:szCs w:val="20"/>
              </w:rPr>
              <w:t xml:space="preserve"> CSC </w:t>
            </w:r>
            <w:r w:rsidR="00F36628" w:rsidRPr="00BB18FF">
              <w:rPr>
                <w:rFonts w:cs="Times New Roman"/>
                <w:sz w:val="20"/>
                <w:szCs w:val="20"/>
              </w:rPr>
              <w:t>29</w:t>
            </w:r>
            <w:r w:rsidRPr="00BB18FF">
              <w:rPr>
                <w:rFonts w:cs="Times New Roman"/>
                <w:sz w:val="20"/>
                <w:szCs w:val="20"/>
              </w:rPr>
              <w:t>, [201</w:t>
            </w:r>
            <w:r w:rsidR="00AB7EC2" w:rsidRPr="00BB18FF">
              <w:rPr>
                <w:rFonts w:cs="Times New Roman"/>
                <w:sz w:val="20"/>
                <w:szCs w:val="20"/>
              </w:rPr>
              <w:t>4</w:t>
            </w:r>
            <w:r w:rsidRPr="00BB18FF">
              <w:rPr>
                <w:rFonts w:cs="Times New Roman"/>
                <w:sz w:val="20"/>
                <w:szCs w:val="20"/>
              </w:rPr>
              <w:t xml:space="preserve">] </w:t>
            </w:r>
            <w:r w:rsidR="00AB7EC2" w:rsidRPr="00BB18FF">
              <w:rPr>
                <w:rFonts w:cs="Times New Roman"/>
                <w:sz w:val="20"/>
                <w:szCs w:val="20"/>
              </w:rPr>
              <w:t>1</w:t>
            </w:r>
            <w:r w:rsidRPr="00BB18FF">
              <w:rPr>
                <w:rFonts w:cs="Times New Roman"/>
                <w:sz w:val="20"/>
                <w:szCs w:val="20"/>
              </w:rPr>
              <w:t xml:space="preserve"> R.C.S. </w:t>
            </w:r>
            <w:r w:rsidR="00CF125F" w:rsidRPr="00BB18FF">
              <w:rPr>
                <w:rFonts w:cs="Times New Roman"/>
                <w:sz w:val="20"/>
                <w:szCs w:val="20"/>
              </w:rPr>
              <w:t>621</w:t>
            </w:r>
          </w:p>
          <w:p w:rsidR="00A956D3" w:rsidRPr="00BB18FF" w:rsidRDefault="00A956D3" w:rsidP="0066350E">
            <w:pPr>
              <w:rPr>
                <w:rFonts w:cs="Times New Roman"/>
                <w:sz w:val="20"/>
                <w:szCs w:val="20"/>
              </w:rPr>
            </w:pPr>
          </w:p>
          <w:p w:rsidR="00A956D3" w:rsidRPr="00DD0B49" w:rsidRDefault="001C5072" w:rsidP="0066350E">
            <w:pPr>
              <w:rPr>
                <w:rFonts w:cs="Times New Roman"/>
                <w:sz w:val="20"/>
                <w:szCs w:val="20"/>
                <w:lang w:val="en-GB"/>
              </w:rPr>
            </w:pPr>
            <w:r>
              <w:rPr>
                <w:rFonts w:cs="Times New Roman"/>
                <w:sz w:val="20"/>
                <w:szCs w:val="20"/>
                <w:lang w:val="en-GB"/>
              </w:rPr>
              <w:t>R.</w:t>
            </w:r>
            <w:r w:rsidR="00A956D3" w:rsidRPr="00DD0B49">
              <w:rPr>
                <w:rFonts w:cs="Times New Roman"/>
                <w:sz w:val="20"/>
                <w:szCs w:val="20"/>
                <w:lang w:val="en-GB"/>
              </w:rPr>
              <w:t xml:space="preserve"> </w:t>
            </w:r>
            <w:r w:rsidR="00A956D3">
              <w:rPr>
                <w:rFonts w:cs="Times New Roman"/>
                <w:i/>
                <w:iCs/>
                <w:sz w:val="20"/>
                <w:szCs w:val="20"/>
                <w:lang w:val="en-GB"/>
              </w:rPr>
              <w:t>c</w:t>
            </w:r>
            <w:r w:rsidR="00A956D3" w:rsidRPr="00DD0B49">
              <w:rPr>
                <w:rFonts w:cs="Times New Roman"/>
                <w:sz w:val="20"/>
                <w:szCs w:val="20"/>
                <w:lang w:val="en-GB"/>
              </w:rPr>
              <w:t xml:space="preserve">. </w:t>
            </w:r>
            <w:r w:rsidR="00A956D3">
              <w:rPr>
                <w:rFonts w:cs="Times New Roman"/>
                <w:sz w:val="20"/>
                <w:szCs w:val="20"/>
                <w:lang w:val="en-GB"/>
              </w:rPr>
              <w:t>C</w:t>
            </w:r>
            <w:r>
              <w:rPr>
                <w:rFonts w:cs="Times New Roman"/>
                <w:sz w:val="20"/>
                <w:szCs w:val="20"/>
                <w:lang w:val="en-GB"/>
              </w:rPr>
              <w:t>a</w:t>
            </w:r>
            <w:r w:rsidR="00A956D3">
              <w:rPr>
                <w:rFonts w:cs="Times New Roman"/>
                <w:sz w:val="20"/>
                <w:szCs w:val="20"/>
                <w:lang w:val="en-GB"/>
              </w:rPr>
              <w:t>r</w:t>
            </w:r>
            <w:r>
              <w:rPr>
                <w:rFonts w:cs="Times New Roman"/>
                <w:sz w:val="20"/>
                <w:szCs w:val="20"/>
                <w:lang w:val="en-GB"/>
              </w:rPr>
              <w:t>v</w:t>
            </w:r>
            <w:r w:rsidR="00A956D3">
              <w:rPr>
                <w:rFonts w:cs="Times New Roman"/>
                <w:sz w:val="20"/>
                <w:szCs w:val="20"/>
                <w:lang w:val="en-GB"/>
              </w:rPr>
              <w:t>er</w:t>
            </w:r>
            <w:r>
              <w:rPr>
                <w:rFonts w:cs="Times New Roman"/>
                <w:sz w:val="20"/>
                <w:szCs w:val="20"/>
                <w:lang w:val="en-GB"/>
              </w:rPr>
              <w:t>y</w:t>
            </w:r>
            <w:r w:rsidR="00A956D3">
              <w:rPr>
                <w:rFonts w:cs="Times New Roman"/>
                <w:sz w:val="20"/>
                <w:szCs w:val="20"/>
                <w:lang w:val="en-GB"/>
              </w:rPr>
              <w:t>,</w:t>
            </w:r>
          </w:p>
          <w:p w:rsidR="00A956D3" w:rsidRDefault="00A956D3" w:rsidP="0066350E">
            <w:pPr>
              <w:rPr>
                <w:rFonts w:cs="Times New Roman"/>
                <w:sz w:val="20"/>
                <w:szCs w:val="20"/>
              </w:rPr>
            </w:pPr>
            <w:r w:rsidRPr="00EE0831">
              <w:rPr>
                <w:rFonts w:cs="Times New Roman"/>
                <w:sz w:val="20"/>
                <w:szCs w:val="20"/>
              </w:rPr>
              <w:t>201</w:t>
            </w:r>
            <w:r w:rsidR="00AB7EC2">
              <w:rPr>
                <w:rFonts w:cs="Times New Roman"/>
                <w:sz w:val="20"/>
                <w:szCs w:val="20"/>
              </w:rPr>
              <w:t>4</w:t>
            </w:r>
            <w:r w:rsidRPr="00EE0831">
              <w:rPr>
                <w:rFonts w:cs="Times New Roman"/>
                <w:sz w:val="20"/>
                <w:szCs w:val="20"/>
              </w:rPr>
              <w:t xml:space="preserve"> CSC </w:t>
            </w:r>
            <w:r w:rsidR="00F36628">
              <w:rPr>
                <w:rFonts w:cs="Times New Roman"/>
                <w:sz w:val="20"/>
                <w:szCs w:val="20"/>
              </w:rPr>
              <w:t>27</w:t>
            </w:r>
            <w:r w:rsidRPr="00EE0831">
              <w:rPr>
                <w:rFonts w:cs="Times New Roman"/>
                <w:sz w:val="20"/>
                <w:szCs w:val="20"/>
              </w:rPr>
              <w:t>, [201</w:t>
            </w:r>
            <w:r w:rsidR="00AB7EC2">
              <w:rPr>
                <w:rFonts w:cs="Times New Roman"/>
                <w:sz w:val="20"/>
                <w:szCs w:val="20"/>
              </w:rPr>
              <w:t>4</w:t>
            </w:r>
            <w:r w:rsidRPr="00EE0831">
              <w:rPr>
                <w:rFonts w:cs="Times New Roman"/>
                <w:sz w:val="20"/>
                <w:szCs w:val="20"/>
              </w:rPr>
              <w:t xml:space="preserve">] </w:t>
            </w:r>
            <w:r w:rsidR="00AB7EC2">
              <w:rPr>
                <w:rFonts w:cs="Times New Roman"/>
                <w:sz w:val="20"/>
                <w:szCs w:val="20"/>
              </w:rPr>
              <w:t>1</w:t>
            </w:r>
            <w:r w:rsidRPr="00EE0831">
              <w:rPr>
                <w:rFonts w:cs="Times New Roman"/>
                <w:sz w:val="20"/>
                <w:szCs w:val="20"/>
              </w:rPr>
              <w:t xml:space="preserve"> R.C.S. </w:t>
            </w:r>
            <w:r w:rsidR="00CF125F">
              <w:rPr>
                <w:rFonts w:cs="Times New Roman"/>
                <w:sz w:val="20"/>
                <w:szCs w:val="20"/>
              </w:rPr>
              <w:t>605</w:t>
            </w:r>
          </w:p>
          <w:p w:rsidR="00CF125F" w:rsidRPr="00EE0831" w:rsidRDefault="00CF125F" w:rsidP="0066350E">
            <w:pPr>
              <w:rPr>
                <w:rFonts w:cs="Times New Roman"/>
                <w:sz w:val="20"/>
                <w:szCs w:val="20"/>
              </w:rPr>
            </w:pPr>
          </w:p>
          <w:p w:rsidR="00A956D3" w:rsidRPr="00EE0831" w:rsidRDefault="001C5072" w:rsidP="0066350E">
            <w:pPr>
              <w:rPr>
                <w:rFonts w:cs="Times New Roman"/>
                <w:sz w:val="20"/>
                <w:szCs w:val="20"/>
              </w:rPr>
            </w:pPr>
            <w:r>
              <w:rPr>
                <w:rFonts w:cs="Times New Roman"/>
                <w:sz w:val="20"/>
                <w:szCs w:val="20"/>
                <w:lang w:val="en-GB"/>
              </w:rPr>
              <w:t>R.</w:t>
            </w:r>
            <w:r w:rsidR="00A956D3" w:rsidRPr="00DD0B49">
              <w:rPr>
                <w:rFonts w:cs="Times New Roman"/>
                <w:sz w:val="20"/>
                <w:szCs w:val="20"/>
                <w:lang w:val="en-GB"/>
              </w:rPr>
              <w:t xml:space="preserve"> </w:t>
            </w:r>
            <w:r w:rsidR="00A956D3">
              <w:rPr>
                <w:rFonts w:cs="Times New Roman"/>
                <w:i/>
                <w:iCs/>
                <w:sz w:val="20"/>
                <w:szCs w:val="20"/>
                <w:lang w:val="en-GB"/>
              </w:rPr>
              <w:t>c</w:t>
            </w:r>
            <w:r w:rsidR="00A956D3" w:rsidRPr="00DD0B49">
              <w:rPr>
                <w:rFonts w:cs="Times New Roman"/>
                <w:sz w:val="20"/>
                <w:szCs w:val="20"/>
                <w:lang w:val="en-GB"/>
              </w:rPr>
              <w:t xml:space="preserve">. </w:t>
            </w:r>
            <w:r>
              <w:rPr>
                <w:rFonts w:cs="Times New Roman"/>
                <w:sz w:val="20"/>
                <w:szCs w:val="20"/>
                <w:lang w:val="en-GB"/>
              </w:rPr>
              <w:t>Cl</w:t>
            </w:r>
            <w:r w:rsidR="00A956D3">
              <w:rPr>
                <w:rFonts w:cs="Times New Roman"/>
                <w:sz w:val="20"/>
                <w:szCs w:val="20"/>
                <w:lang w:val="en-GB"/>
              </w:rPr>
              <w:t>a</w:t>
            </w:r>
            <w:r>
              <w:rPr>
                <w:rFonts w:cs="Times New Roman"/>
                <w:sz w:val="20"/>
                <w:szCs w:val="20"/>
                <w:lang w:val="en-GB"/>
              </w:rPr>
              <w:t>rke</w:t>
            </w:r>
            <w:r w:rsidR="00A956D3" w:rsidRPr="00EE0831">
              <w:rPr>
                <w:rFonts w:cs="Times New Roman"/>
                <w:sz w:val="20"/>
                <w:szCs w:val="20"/>
              </w:rPr>
              <w:t>,</w:t>
            </w:r>
          </w:p>
          <w:p w:rsidR="00A956D3" w:rsidRPr="00FF4756" w:rsidRDefault="00A956D3" w:rsidP="0066350E">
            <w:pPr>
              <w:rPr>
                <w:rFonts w:cs="Times New Roman"/>
                <w:sz w:val="20"/>
                <w:szCs w:val="20"/>
              </w:rPr>
            </w:pPr>
            <w:r w:rsidRPr="00FF4756">
              <w:rPr>
                <w:rFonts w:cs="Times New Roman"/>
                <w:sz w:val="20"/>
                <w:szCs w:val="20"/>
              </w:rPr>
              <w:t>201</w:t>
            </w:r>
            <w:r w:rsidR="00AB7EC2">
              <w:rPr>
                <w:rFonts w:cs="Times New Roman"/>
                <w:sz w:val="20"/>
                <w:szCs w:val="20"/>
              </w:rPr>
              <w:t>4</w:t>
            </w:r>
            <w:r w:rsidRPr="00FF4756">
              <w:rPr>
                <w:rFonts w:cs="Times New Roman"/>
                <w:sz w:val="20"/>
                <w:szCs w:val="20"/>
              </w:rPr>
              <w:t xml:space="preserve"> CSC </w:t>
            </w:r>
            <w:r w:rsidR="00F36628">
              <w:rPr>
                <w:rFonts w:cs="Times New Roman"/>
                <w:sz w:val="20"/>
                <w:szCs w:val="20"/>
              </w:rPr>
              <w:t>28</w:t>
            </w:r>
            <w:r w:rsidRPr="00FF4756">
              <w:rPr>
                <w:rFonts w:cs="Times New Roman"/>
                <w:sz w:val="20"/>
                <w:szCs w:val="20"/>
              </w:rPr>
              <w:t>, [201</w:t>
            </w:r>
            <w:r w:rsidR="00AB7EC2">
              <w:rPr>
                <w:rFonts w:cs="Times New Roman"/>
                <w:sz w:val="20"/>
                <w:szCs w:val="20"/>
              </w:rPr>
              <w:t>4</w:t>
            </w:r>
            <w:r w:rsidRPr="00FF4756">
              <w:rPr>
                <w:rFonts w:cs="Times New Roman"/>
                <w:sz w:val="20"/>
                <w:szCs w:val="20"/>
              </w:rPr>
              <w:t xml:space="preserve">] </w:t>
            </w:r>
            <w:r w:rsidR="00AB7EC2">
              <w:rPr>
                <w:rFonts w:cs="Times New Roman"/>
                <w:sz w:val="20"/>
                <w:szCs w:val="20"/>
              </w:rPr>
              <w:t>1</w:t>
            </w:r>
            <w:r w:rsidRPr="00FF4756">
              <w:rPr>
                <w:rFonts w:cs="Times New Roman"/>
                <w:sz w:val="20"/>
                <w:szCs w:val="20"/>
              </w:rPr>
              <w:t xml:space="preserve"> R.C.S. </w:t>
            </w:r>
            <w:r w:rsidR="00CF125F">
              <w:rPr>
                <w:rFonts w:cs="Times New Roman"/>
                <w:sz w:val="20"/>
                <w:szCs w:val="20"/>
              </w:rPr>
              <w:t>612</w:t>
            </w:r>
          </w:p>
          <w:p w:rsidR="00A956D3" w:rsidRPr="00FF4756" w:rsidRDefault="00A956D3" w:rsidP="0066350E">
            <w:pPr>
              <w:rPr>
                <w:rFonts w:cs="Times New Roman"/>
                <w:sz w:val="20"/>
                <w:szCs w:val="20"/>
              </w:rPr>
            </w:pPr>
          </w:p>
          <w:p w:rsidR="00A956D3" w:rsidRPr="00FF4756" w:rsidRDefault="00A956D3" w:rsidP="0066350E">
            <w:pPr>
              <w:rPr>
                <w:rFonts w:cs="Times New Roman"/>
                <w:sz w:val="20"/>
                <w:szCs w:val="20"/>
              </w:rPr>
            </w:pPr>
            <w:r w:rsidRPr="00FF4756">
              <w:rPr>
                <w:rFonts w:cs="Times New Roman"/>
                <w:sz w:val="20"/>
                <w:szCs w:val="20"/>
              </w:rPr>
              <w:t xml:space="preserve">R. </w:t>
            </w:r>
            <w:r w:rsidRPr="00FF4756">
              <w:rPr>
                <w:rFonts w:cs="Times New Roman"/>
                <w:i/>
                <w:iCs/>
                <w:sz w:val="20"/>
                <w:szCs w:val="20"/>
              </w:rPr>
              <w:t>c</w:t>
            </w:r>
            <w:r w:rsidRPr="00FF4756">
              <w:rPr>
                <w:rFonts w:cs="Times New Roman"/>
                <w:sz w:val="20"/>
                <w:szCs w:val="20"/>
              </w:rPr>
              <w:t xml:space="preserve">. </w:t>
            </w:r>
            <w:r w:rsidR="001C5072">
              <w:rPr>
                <w:rFonts w:cs="Times New Roman"/>
                <w:sz w:val="20"/>
                <w:szCs w:val="20"/>
              </w:rPr>
              <w:t>Jackson</w:t>
            </w:r>
            <w:r w:rsidRPr="00FF4756">
              <w:rPr>
                <w:rFonts w:cs="Times New Roman"/>
                <w:sz w:val="20"/>
                <w:szCs w:val="20"/>
              </w:rPr>
              <w:t>,</w:t>
            </w:r>
          </w:p>
          <w:p w:rsidR="00A956D3" w:rsidRPr="00E836F1" w:rsidRDefault="00A956D3" w:rsidP="0066350E">
            <w:pPr>
              <w:rPr>
                <w:rFonts w:cs="Times New Roman"/>
                <w:sz w:val="20"/>
                <w:szCs w:val="20"/>
              </w:rPr>
            </w:pPr>
            <w:r w:rsidRPr="00E836F1">
              <w:rPr>
                <w:rFonts w:cs="Times New Roman"/>
                <w:sz w:val="20"/>
                <w:szCs w:val="20"/>
              </w:rPr>
              <w:t>201</w:t>
            </w:r>
            <w:r w:rsidR="00AB7EC2">
              <w:rPr>
                <w:rFonts w:cs="Times New Roman"/>
                <w:sz w:val="20"/>
                <w:szCs w:val="20"/>
              </w:rPr>
              <w:t>4</w:t>
            </w:r>
            <w:r w:rsidRPr="00E836F1">
              <w:rPr>
                <w:rFonts w:cs="Times New Roman"/>
                <w:sz w:val="20"/>
                <w:szCs w:val="20"/>
              </w:rPr>
              <w:t xml:space="preserve"> CSC </w:t>
            </w:r>
            <w:r w:rsidR="00F36628">
              <w:rPr>
                <w:rFonts w:cs="Times New Roman"/>
                <w:sz w:val="20"/>
                <w:szCs w:val="20"/>
              </w:rPr>
              <w:t>30</w:t>
            </w:r>
            <w:r w:rsidRPr="00E836F1">
              <w:rPr>
                <w:rFonts w:cs="Times New Roman"/>
                <w:sz w:val="20"/>
                <w:szCs w:val="20"/>
              </w:rPr>
              <w:t>, [201</w:t>
            </w:r>
            <w:r w:rsidR="00AB7EC2">
              <w:rPr>
                <w:rFonts w:cs="Times New Roman"/>
                <w:sz w:val="20"/>
                <w:szCs w:val="20"/>
              </w:rPr>
              <w:t>4</w:t>
            </w:r>
            <w:r w:rsidRPr="00E836F1">
              <w:rPr>
                <w:rFonts w:cs="Times New Roman"/>
                <w:sz w:val="20"/>
                <w:szCs w:val="20"/>
              </w:rPr>
              <w:t xml:space="preserve">] </w:t>
            </w:r>
            <w:r w:rsidR="00AB7EC2">
              <w:rPr>
                <w:rFonts w:cs="Times New Roman"/>
                <w:sz w:val="20"/>
                <w:szCs w:val="20"/>
              </w:rPr>
              <w:t>1</w:t>
            </w:r>
            <w:r w:rsidRPr="00E836F1">
              <w:rPr>
                <w:rFonts w:cs="Times New Roman"/>
                <w:sz w:val="20"/>
                <w:szCs w:val="20"/>
              </w:rPr>
              <w:t xml:space="preserve"> R.C.S. </w:t>
            </w:r>
            <w:r w:rsidR="00CF125F">
              <w:rPr>
                <w:rFonts w:cs="Times New Roman"/>
                <w:sz w:val="20"/>
                <w:szCs w:val="20"/>
              </w:rPr>
              <w:t>67</w:t>
            </w:r>
            <w:r w:rsidRPr="00E836F1">
              <w:rPr>
                <w:rFonts w:cs="Times New Roman"/>
                <w:sz w:val="20"/>
                <w:szCs w:val="20"/>
              </w:rPr>
              <w:t>2</w:t>
            </w:r>
          </w:p>
          <w:p w:rsidR="00A956D3" w:rsidRDefault="00A956D3" w:rsidP="0066350E">
            <w:pPr>
              <w:rPr>
                <w:rFonts w:cs="Times New Roman"/>
                <w:sz w:val="20"/>
                <w:szCs w:val="20"/>
              </w:rPr>
            </w:pPr>
          </w:p>
          <w:p w:rsidR="00AB7EC2" w:rsidRPr="00FF4756" w:rsidRDefault="00AB7EC2" w:rsidP="00AB7EC2">
            <w:pPr>
              <w:rPr>
                <w:rFonts w:cs="Times New Roman"/>
                <w:sz w:val="20"/>
                <w:szCs w:val="20"/>
              </w:rPr>
            </w:pPr>
            <w:r w:rsidRPr="00FF4756">
              <w:rPr>
                <w:rFonts w:cs="Times New Roman"/>
                <w:sz w:val="20"/>
                <w:szCs w:val="20"/>
              </w:rPr>
              <w:t xml:space="preserve">R. </w:t>
            </w:r>
            <w:r w:rsidRPr="00FF4756">
              <w:rPr>
                <w:rFonts w:cs="Times New Roman"/>
                <w:i/>
                <w:iCs/>
                <w:sz w:val="20"/>
                <w:szCs w:val="20"/>
              </w:rPr>
              <w:t>c</w:t>
            </w:r>
            <w:r w:rsidRPr="00FF4756">
              <w:rPr>
                <w:rFonts w:cs="Times New Roman"/>
                <w:sz w:val="20"/>
                <w:szCs w:val="20"/>
              </w:rPr>
              <w:t xml:space="preserve">. </w:t>
            </w:r>
            <w:r w:rsidR="001C5072">
              <w:rPr>
                <w:rFonts w:cs="Times New Roman"/>
                <w:sz w:val="20"/>
                <w:szCs w:val="20"/>
              </w:rPr>
              <w:t>Summers</w:t>
            </w:r>
            <w:r w:rsidRPr="00FF4756">
              <w:rPr>
                <w:rFonts w:cs="Times New Roman"/>
                <w:sz w:val="20"/>
                <w:szCs w:val="20"/>
              </w:rPr>
              <w:t>,</w:t>
            </w:r>
          </w:p>
          <w:p w:rsidR="00AB7EC2" w:rsidRPr="001C5072" w:rsidRDefault="00AB7EC2" w:rsidP="00AB7EC2">
            <w:pPr>
              <w:rPr>
                <w:rFonts w:cs="Times New Roman"/>
                <w:sz w:val="20"/>
                <w:szCs w:val="20"/>
                <w:lang w:val="fr-CA"/>
              </w:rPr>
            </w:pPr>
            <w:r w:rsidRPr="001C5072">
              <w:rPr>
                <w:rFonts w:cs="Times New Roman"/>
                <w:sz w:val="20"/>
                <w:szCs w:val="20"/>
                <w:lang w:val="fr-CA"/>
              </w:rPr>
              <w:t xml:space="preserve">2014 CSC </w:t>
            </w:r>
            <w:r w:rsidR="00F36628" w:rsidRPr="001C5072">
              <w:rPr>
                <w:rFonts w:cs="Times New Roman"/>
                <w:sz w:val="20"/>
                <w:szCs w:val="20"/>
                <w:lang w:val="fr-CA"/>
              </w:rPr>
              <w:t>26</w:t>
            </w:r>
            <w:r w:rsidRPr="001C5072">
              <w:rPr>
                <w:rFonts w:cs="Times New Roman"/>
                <w:sz w:val="20"/>
                <w:szCs w:val="20"/>
                <w:lang w:val="fr-CA"/>
              </w:rPr>
              <w:t xml:space="preserve">, [2014] 1 R.C.S. </w:t>
            </w:r>
            <w:r w:rsidR="00CF125F" w:rsidRPr="001C5072">
              <w:rPr>
                <w:rFonts w:cs="Times New Roman"/>
                <w:sz w:val="20"/>
                <w:szCs w:val="20"/>
                <w:lang w:val="fr-CA"/>
              </w:rPr>
              <w:t>575</w:t>
            </w:r>
          </w:p>
          <w:p w:rsidR="00AB7EC2" w:rsidRPr="001C5072" w:rsidRDefault="00AB7EC2" w:rsidP="0066350E">
            <w:pPr>
              <w:rPr>
                <w:rFonts w:cs="Times New Roman"/>
                <w:sz w:val="20"/>
                <w:szCs w:val="20"/>
                <w:lang w:val="fr-CA"/>
              </w:rPr>
            </w:pPr>
          </w:p>
          <w:p w:rsidR="00A956D3" w:rsidRPr="001C5072" w:rsidRDefault="00A956D3" w:rsidP="0066350E">
            <w:pPr>
              <w:rPr>
                <w:rFonts w:cs="Times New Roman"/>
                <w:sz w:val="20"/>
                <w:szCs w:val="20"/>
                <w:lang w:val="fr-CA"/>
              </w:rPr>
            </w:pPr>
            <w:r w:rsidRPr="001C5072">
              <w:rPr>
                <w:rFonts w:cs="Times New Roman"/>
                <w:sz w:val="20"/>
                <w:szCs w:val="20"/>
                <w:lang w:val="fr-CA"/>
              </w:rPr>
              <w:t>R</w:t>
            </w:r>
            <w:r w:rsidR="001C5072" w:rsidRPr="001C5072">
              <w:rPr>
                <w:rFonts w:cs="Times New Roman"/>
                <w:sz w:val="20"/>
                <w:szCs w:val="20"/>
                <w:lang w:val="fr-CA"/>
              </w:rPr>
              <w:t>envoi relative à la réforme du Sé</w:t>
            </w:r>
            <w:r w:rsidRPr="001C5072">
              <w:rPr>
                <w:rFonts w:cs="Times New Roman"/>
                <w:sz w:val="20"/>
                <w:szCs w:val="20"/>
                <w:lang w:val="fr-CA"/>
              </w:rPr>
              <w:t>n</w:t>
            </w:r>
            <w:r w:rsidR="001C5072" w:rsidRPr="001C5072">
              <w:rPr>
                <w:rFonts w:cs="Times New Roman"/>
                <w:sz w:val="20"/>
                <w:szCs w:val="20"/>
                <w:lang w:val="fr-CA"/>
              </w:rPr>
              <w:t>at</w:t>
            </w:r>
            <w:r w:rsidRPr="001C5072">
              <w:rPr>
                <w:rFonts w:cs="Times New Roman"/>
                <w:iCs/>
                <w:sz w:val="20"/>
                <w:szCs w:val="20"/>
                <w:lang w:val="fr-CA"/>
              </w:rPr>
              <w:t>,</w:t>
            </w:r>
          </w:p>
          <w:p w:rsidR="00A956D3" w:rsidRPr="00E836F1" w:rsidRDefault="00A956D3" w:rsidP="0066350E">
            <w:pPr>
              <w:rPr>
                <w:rFonts w:cs="Times New Roman"/>
                <w:sz w:val="20"/>
                <w:szCs w:val="20"/>
                <w:lang w:val="fr-CA"/>
              </w:rPr>
            </w:pPr>
            <w:r w:rsidRPr="00E836F1">
              <w:rPr>
                <w:rFonts w:cs="Times New Roman"/>
                <w:sz w:val="20"/>
                <w:szCs w:val="20"/>
                <w:lang w:val="fr-CA"/>
              </w:rPr>
              <w:t>201</w:t>
            </w:r>
            <w:r w:rsidR="00AB7EC2">
              <w:rPr>
                <w:rFonts w:cs="Times New Roman"/>
                <w:sz w:val="20"/>
                <w:szCs w:val="20"/>
                <w:lang w:val="fr-CA"/>
              </w:rPr>
              <w:t>4</w:t>
            </w:r>
            <w:r w:rsidRPr="00E836F1">
              <w:rPr>
                <w:rFonts w:cs="Times New Roman"/>
                <w:sz w:val="20"/>
                <w:szCs w:val="20"/>
                <w:lang w:val="fr-CA"/>
              </w:rPr>
              <w:t xml:space="preserve"> CSC </w:t>
            </w:r>
            <w:r w:rsidR="00F36628">
              <w:rPr>
                <w:rFonts w:cs="Times New Roman"/>
                <w:sz w:val="20"/>
                <w:szCs w:val="20"/>
                <w:lang w:val="fr-CA"/>
              </w:rPr>
              <w:t>32</w:t>
            </w:r>
            <w:r w:rsidRPr="00E836F1">
              <w:rPr>
                <w:rFonts w:cs="Times New Roman"/>
                <w:sz w:val="20"/>
                <w:szCs w:val="20"/>
                <w:lang w:val="fr-CA"/>
              </w:rPr>
              <w:t>, [201</w:t>
            </w:r>
            <w:r w:rsidR="00AB7EC2">
              <w:rPr>
                <w:rFonts w:cs="Times New Roman"/>
                <w:sz w:val="20"/>
                <w:szCs w:val="20"/>
                <w:lang w:val="fr-CA"/>
              </w:rPr>
              <w:t>4</w:t>
            </w:r>
            <w:r w:rsidRPr="00E836F1">
              <w:rPr>
                <w:rFonts w:cs="Times New Roman"/>
                <w:sz w:val="20"/>
                <w:szCs w:val="20"/>
                <w:lang w:val="fr-CA"/>
              </w:rPr>
              <w:t xml:space="preserve">] </w:t>
            </w:r>
            <w:r w:rsidR="00AB7EC2">
              <w:rPr>
                <w:rFonts w:cs="Times New Roman"/>
                <w:sz w:val="20"/>
                <w:szCs w:val="20"/>
                <w:lang w:val="fr-CA"/>
              </w:rPr>
              <w:t>1</w:t>
            </w:r>
            <w:r w:rsidR="00CF125F">
              <w:rPr>
                <w:rFonts w:cs="Times New Roman"/>
                <w:sz w:val="20"/>
                <w:szCs w:val="20"/>
                <w:lang w:val="fr-CA"/>
              </w:rPr>
              <w:t xml:space="preserve"> R.C.S. 7</w:t>
            </w:r>
            <w:r w:rsidRPr="00E836F1">
              <w:rPr>
                <w:rFonts w:cs="Times New Roman"/>
                <w:sz w:val="20"/>
                <w:szCs w:val="20"/>
                <w:lang w:val="fr-CA"/>
              </w:rPr>
              <w:t>0</w:t>
            </w:r>
            <w:r w:rsidR="00CF125F">
              <w:rPr>
                <w:rFonts w:cs="Times New Roman"/>
                <w:sz w:val="20"/>
                <w:szCs w:val="20"/>
                <w:lang w:val="fr-CA"/>
              </w:rPr>
              <w:t>4</w:t>
            </w:r>
          </w:p>
          <w:p w:rsidR="00A956D3" w:rsidRPr="00E836F1" w:rsidRDefault="00A956D3" w:rsidP="0066350E">
            <w:pPr>
              <w:keepNext/>
              <w:keepLines/>
              <w:rPr>
                <w:rFonts w:cs="Times New Roman"/>
                <w:bCs/>
                <w:sz w:val="20"/>
                <w:szCs w:val="20"/>
                <w:lang w:val="fr-CA"/>
              </w:rPr>
            </w:pPr>
          </w:p>
          <w:p w:rsidR="00A956D3" w:rsidRPr="001C5072" w:rsidRDefault="001C5072" w:rsidP="0066350E">
            <w:pPr>
              <w:keepNext/>
              <w:keepLines/>
              <w:rPr>
                <w:rFonts w:cs="Times New Roman"/>
                <w:bCs/>
                <w:sz w:val="20"/>
                <w:szCs w:val="20"/>
              </w:rPr>
            </w:pPr>
            <w:r w:rsidRPr="001C5072">
              <w:rPr>
                <w:rFonts w:cs="Times New Roman"/>
                <w:sz w:val="20"/>
                <w:szCs w:val="20"/>
              </w:rPr>
              <w:t>Union Carbide Canada Inc.</w:t>
            </w:r>
            <w:r w:rsidR="00A956D3" w:rsidRPr="001C5072">
              <w:rPr>
                <w:rFonts w:cs="Times New Roman"/>
                <w:sz w:val="20"/>
                <w:szCs w:val="20"/>
              </w:rPr>
              <w:t xml:space="preserve"> </w:t>
            </w:r>
            <w:r w:rsidR="00A956D3" w:rsidRPr="001C5072">
              <w:rPr>
                <w:rFonts w:cs="Times New Roman"/>
                <w:i/>
                <w:iCs/>
                <w:sz w:val="20"/>
                <w:szCs w:val="20"/>
              </w:rPr>
              <w:t>c</w:t>
            </w:r>
            <w:r w:rsidR="00A956D3" w:rsidRPr="001C5072">
              <w:rPr>
                <w:rFonts w:cs="Times New Roman"/>
                <w:sz w:val="20"/>
                <w:szCs w:val="20"/>
              </w:rPr>
              <w:t xml:space="preserve">. </w:t>
            </w:r>
            <w:r>
              <w:rPr>
                <w:rFonts w:cs="Times New Roman"/>
                <w:sz w:val="20"/>
                <w:szCs w:val="20"/>
              </w:rPr>
              <w:t>Bombardier</w:t>
            </w:r>
            <w:r w:rsidRPr="001C5072">
              <w:rPr>
                <w:rFonts w:cs="Times New Roman"/>
                <w:sz w:val="20"/>
                <w:szCs w:val="20"/>
              </w:rPr>
              <w:t xml:space="preserve"> </w:t>
            </w:r>
            <w:r>
              <w:rPr>
                <w:rFonts w:cs="Times New Roman"/>
                <w:sz w:val="20"/>
                <w:szCs w:val="20"/>
              </w:rPr>
              <w:t>Inc</w:t>
            </w:r>
            <w:r w:rsidRPr="001C5072">
              <w:rPr>
                <w:rFonts w:cs="Times New Roman"/>
                <w:sz w:val="20"/>
                <w:szCs w:val="20"/>
              </w:rPr>
              <w:t>.</w:t>
            </w:r>
            <w:r w:rsidR="00A956D3" w:rsidRPr="001C5072">
              <w:rPr>
                <w:rFonts w:cs="Times New Roman"/>
                <w:sz w:val="20"/>
                <w:szCs w:val="20"/>
              </w:rPr>
              <w:t>,</w:t>
            </w:r>
          </w:p>
          <w:p w:rsidR="00A956D3" w:rsidRPr="00FF4756" w:rsidRDefault="00A956D3" w:rsidP="0066350E">
            <w:pPr>
              <w:rPr>
                <w:rFonts w:cs="Times New Roman"/>
                <w:sz w:val="20"/>
                <w:szCs w:val="20"/>
              </w:rPr>
            </w:pPr>
            <w:r w:rsidRPr="00FF4756">
              <w:rPr>
                <w:rFonts w:cs="Times New Roman"/>
                <w:sz w:val="20"/>
                <w:szCs w:val="20"/>
              </w:rPr>
              <w:t>201</w:t>
            </w:r>
            <w:r w:rsidR="00AB7EC2">
              <w:rPr>
                <w:rFonts w:cs="Times New Roman"/>
                <w:sz w:val="20"/>
                <w:szCs w:val="20"/>
              </w:rPr>
              <w:t>4</w:t>
            </w:r>
            <w:r w:rsidRPr="00FF4756">
              <w:rPr>
                <w:rFonts w:cs="Times New Roman"/>
                <w:sz w:val="20"/>
                <w:szCs w:val="20"/>
              </w:rPr>
              <w:t xml:space="preserve"> CSC </w:t>
            </w:r>
            <w:r w:rsidR="00F36628">
              <w:rPr>
                <w:rFonts w:cs="Times New Roman"/>
                <w:sz w:val="20"/>
                <w:szCs w:val="20"/>
              </w:rPr>
              <w:t>35</w:t>
            </w:r>
            <w:r w:rsidRPr="00FF4756">
              <w:rPr>
                <w:rFonts w:cs="Times New Roman"/>
                <w:sz w:val="20"/>
                <w:szCs w:val="20"/>
              </w:rPr>
              <w:t>, [201</w:t>
            </w:r>
            <w:r w:rsidR="00AB7EC2">
              <w:rPr>
                <w:rFonts w:cs="Times New Roman"/>
                <w:sz w:val="20"/>
                <w:szCs w:val="20"/>
              </w:rPr>
              <w:t>4</w:t>
            </w:r>
            <w:r w:rsidRPr="00FF4756">
              <w:rPr>
                <w:rFonts w:cs="Times New Roman"/>
                <w:sz w:val="20"/>
                <w:szCs w:val="20"/>
              </w:rPr>
              <w:t xml:space="preserve">] </w:t>
            </w:r>
            <w:r w:rsidR="00AB7EC2">
              <w:rPr>
                <w:rFonts w:cs="Times New Roman"/>
                <w:sz w:val="20"/>
                <w:szCs w:val="20"/>
              </w:rPr>
              <w:t>1</w:t>
            </w:r>
            <w:r w:rsidRPr="00FF4756">
              <w:rPr>
                <w:rFonts w:cs="Times New Roman"/>
                <w:sz w:val="20"/>
                <w:szCs w:val="20"/>
              </w:rPr>
              <w:t xml:space="preserve"> R.C.S. </w:t>
            </w:r>
            <w:r w:rsidR="00CF125F">
              <w:rPr>
                <w:rFonts w:cs="Times New Roman"/>
                <w:sz w:val="20"/>
                <w:szCs w:val="20"/>
              </w:rPr>
              <w:t>800</w:t>
            </w:r>
          </w:p>
          <w:p w:rsidR="00A956D3" w:rsidRPr="00FF4756" w:rsidRDefault="00A956D3" w:rsidP="0066350E">
            <w:pPr>
              <w:keepNext/>
              <w:keepLines/>
              <w:rPr>
                <w:rFonts w:cs="Times New Roman"/>
                <w:bCs/>
                <w:sz w:val="20"/>
                <w:szCs w:val="20"/>
              </w:rPr>
            </w:pPr>
          </w:p>
          <w:p w:rsidR="00A956D3" w:rsidRPr="00DD0B49" w:rsidRDefault="00237788" w:rsidP="0066350E">
            <w:pPr>
              <w:rPr>
                <w:rFonts w:cs="Times New Roman"/>
                <w:sz w:val="20"/>
                <w:szCs w:val="20"/>
              </w:rPr>
            </w:pPr>
            <w:r>
              <w:rPr>
                <w:rFonts w:cs="Times New Roman"/>
                <w:sz w:val="20"/>
                <w:szCs w:val="20"/>
              </w:rPr>
              <w:pict>
                <v:rect id="_x0000_i1080" style="width:129.6pt;height:1pt" o:hrpct="600" o:hralign="center" o:hrstd="t" o:hrnoshade="t" o:hr="t" fillcolor="black [3213]" stroked="f"/>
              </w:pict>
            </w:r>
          </w:p>
          <w:p w:rsidR="00A956D3" w:rsidRPr="00DD0B49" w:rsidRDefault="00A956D3" w:rsidP="0066350E">
            <w:pPr>
              <w:keepNext/>
              <w:keepLines/>
              <w:rPr>
                <w:rFonts w:cs="Times New Roman"/>
                <w:bCs/>
                <w:sz w:val="20"/>
                <w:szCs w:val="20"/>
                <w:lang w:val="fr-CA"/>
              </w:rPr>
            </w:pPr>
          </w:p>
        </w:tc>
      </w:tr>
    </w:tbl>
    <w:p w:rsidR="00A956D3" w:rsidRDefault="00A956D3" w:rsidP="00A956D3">
      <w:pPr>
        <w:rPr>
          <w:sz w:val="20"/>
          <w:szCs w:val="20"/>
          <w:lang w:val="fr-CA"/>
        </w:rPr>
      </w:pPr>
    </w:p>
    <w:p w:rsidR="00A956D3" w:rsidRDefault="00A956D3" w:rsidP="00A956D3">
      <w:pPr>
        <w:rPr>
          <w:sz w:val="20"/>
          <w:szCs w:val="20"/>
          <w:lang w:val="fr-CA"/>
        </w:rPr>
      </w:pPr>
    </w:p>
    <w:p w:rsidR="00A956D3" w:rsidRDefault="00A956D3" w:rsidP="00A956D3">
      <w:pPr>
        <w:rPr>
          <w:sz w:val="20"/>
          <w:szCs w:val="20"/>
          <w:lang w:val="fr-CA"/>
        </w:rPr>
      </w:pPr>
    </w:p>
    <w:p w:rsidR="006B6926" w:rsidRPr="00C50A5C" w:rsidRDefault="006B6926" w:rsidP="00782AE4">
      <w:pPr>
        <w:jc w:val="both"/>
        <w:rPr>
          <w:sz w:val="20"/>
          <w:szCs w:val="20"/>
          <w:lang w:val="fr-CA"/>
        </w:rPr>
      </w:pPr>
    </w:p>
    <w:p w:rsidR="006B6926" w:rsidRPr="00C50A5C" w:rsidRDefault="006B6926" w:rsidP="00782AE4">
      <w:pPr>
        <w:jc w:val="both"/>
        <w:rPr>
          <w:sz w:val="20"/>
          <w:szCs w:val="20"/>
          <w:lang w:val="fr-CA"/>
        </w:rPr>
        <w:sectPr w:rsidR="006B6926" w:rsidRPr="00C50A5C" w:rsidSect="006B6926">
          <w:headerReference w:type="default"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p w:rsidR="008112A9" w:rsidRPr="002E0C7E" w:rsidRDefault="00004B8E"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66350E">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6350E">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6350E">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6350E">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6350E">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6350E">
            <w:pPr>
              <w:widowControl w:val="0"/>
              <w:jc w:val="center"/>
              <w:rPr>
                <w:rFonts w:ascii="Arial" w:hAnsi="Arial"/>
                <w:sz w:val="14"/>
              </w:rPr>
            </w:pPr>
            <w:r w:rsidRPr="002E0C7E">
              <w:rPr>
                <w:rFonts w:ascii="Arial" w:hAnsi="Arial"/>
                <w:b/>
                <w:sz w:val="14"/>
              </w:rPr>
              <w:t>DECEMBER - DÉCEMBRE</w:t>
            </w:r>
          </w:p>
        </w:tc>
      </w:tr>
      <w:tr w:rsidR="008112A9" w:rsidRPr="002E0C7E" w:rsidTr="0066350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M</w:t>
            </w:r>
          </w:p>
          <w:p w:rsidR="008112A9" w:rsidRPr="002E0C7E" w:rsidRDefault="008112A9" w:rsidP="0066350E">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W</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F</w:t>
            </w:r>
          </w:p>
          <w:p w:rsidR="008112A9" w:rsidRPr="002E0C7E" w:rsidRDefault="008112A9" w:rsidP="0066350E">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M</w:t>
            </w:r>
          </w:p>
          <w:p w:rsidR="008112A9" w:rsidRPr="002E0C7E" w:rsidRDefault="008112A9" w:rsidP="0066350E">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W</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F</w:t>
            </w:r>
          </w:p>
          <w:p w:rsidR="008112A9" w:rsidRPr="002E0C7E" w:rsidRDefault="008112A9" w:rsidP="0066350E">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M</w:t>
            </w:r>
          </w:p>
          <w:p w:rsidR="008112A9" w:rsidRPr="002E0C7E" w:rsidRDefault="008112A9" w:rsidP="0066350E">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W</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F</w:t>
            </w:r>
          </w:p>
          <w:p w:rsidR="008112A9" w:rsidRPr="002E0C7E" w:rsidRDefault="008112A9" w:rsidP="0066350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S</w:t>
            </w:r>
          </w:p>
        </w:tc>
      </w:tr>
      <w:tr w:rsidR="008112A9" w:rsidRPr="002E0C7E" w:rsidTr="0066350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66350E">
            <w:pPr>
              <w:widowControl w:val="0"/>
              <w:jc w:val="center"/>
              <w:rPr>
                <w:rFonts w:ascii="Arial" w:hAnsi="Arial"/>
                <w:b/>
                <w:sz w:val="14"/>
              </w:rPr>
            </w:pPr>
            <w:r>
              <w:rPr>
                <w:rFonts w:ascii="Arial" w:hAnsi="Arial"/>
                <w:b/>
                <w:sz w:val="14"/>
              </w:rPr>
              <w:t>M</w:t>
            </w:r>
          </w:p>
          <w:p w:rsidR="008112A9" w:rsidRPr="002E0C7E" w:rsidRDefault="008112A9" w:rsidP="0066350E">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6</w:t>
            </w:r>
          </w:p>
        </w:tc>
      </w:tr>
      <w:tr w:rsidR="008112A9" w:rsidRPr="002E0C7E" w:rsidTr="0066350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66350E">
            <w:pPr>
              <w:widowControl w:val="0"/>
              <w:jc w:val="center"/>
              <w:rPr>
                <w:rFonts w:ascii="Arial" w:hAnsi="Arial"/>
                <w:b/>
                <w:sz w:val="14"/>
              </w:rPr>
            </w:pPr>
            <w:r>
              <w:rPr>
                <w:rFonts w:ascii="Arial" w:hAnsi="Arial"/>
                <w:b/>
                <w:sz w:val="14"/>
              </w:rPr>
              <w:t>M</w:t>
            </w:r>
          </w:p>
          <w:p w:rsidR="008112A9" w:rsidRPr="002E0C7E" w:rsidRDefault="008112A9" w:rsidP="0066350E">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66350E">
            <w:pPr>
              <w:widowControl w:val="0"/>
              <w:jc w:val="center"/>
              <w:rPr>
                <w:rFonts w:ascii="Arial" w:hAnsi="Arial"/>
                <w:b/>
                <w:sz w:val="14"/>
              </w:rPr>
            </w:pPr>
          </w:p>
          <w:p w:rsidR="008112A9" w:rsidRPr="002E0C7E" w:rsidRDefault="008112A9" w:rsidP="0066350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b/>
                <w:sz w:val="14"/>
              </w:rPr>
              <w:t>M</w:t>
            </w:r>
          </w:p>
          <w:p w:rsidR="008112A9" w:rsidRPr="002E0C7E" w:rsidRDefault="008112A9" w:rsidP="0066350E">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13</w:t>
            </w:r>
          </w:p>
        </w:tc>
      </w:tr>
      <w:tr w:rsidR="008112A9" w:rsidRPr="002E0C7E" w:rsidTr="0066350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66350E">
            <w:pPr>
              <w:widowControl w:val="0"/>
              <w:jc w:val="center"/>
              <w:rPr>
                <w:rFonts w:ascii="Arial" w:hAnsi="Arial"/>
                <w:b/>
                <w:sz w:val="14"/>
              </w:rPr>
            </w:pPr>
            <w:r>
              <w:rPr>
                <w:rFonts w:ascii="Arial" w:hAnsi="Arial"/>
                <w:b/>
                <w:sz w:val="14"/>
              </w:rPr>
              <w:t>H</w:t>
            </w: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66350E">
            <w:pPr>
              <w:widowControl w:val="0"/>
              <w:jc w:val="center"/>
              <w:rPr>
                <w:rFonts w:ascii="Arial" w:hAnsi="Arial"/>
                <w:b/>
                <w:sz w:val="14"/>
              </w:rPr>
            </w:pPr>
            <w:r w:rsidRPr="004F066E">
              <w:rPr>
                <w:rFonts w:ascii="Arial" w:hAnsi="Arial"/>
                <w:b/>
                <w:sz w:val="14"/>
              </w:rPr>
              <w:t>H</w:t>
            </w:r>
          </w:p>
          <w:p w:rsidR="008112A9" w:rsidRPr="002E0C7E" w:rsidRDefault="008112A9" w:rsidP="0066350E">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20</w:t>
            </w:r>
          </w:p>
        </w:tc>
      </w:tr>
      <w:tr w:rsidR="008112A9" w:rsidRPr="002E0C7E" w:rsidTr="0066350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66350E">
            <w:pPr>
              <w:widowControl w:val="0"/>
              <w:jc w:val="center"/>
              <w:rPr>
                <w:rFonts w:ascii="Arial" w:hAnsi="Arial"/>
                <w:b/>
                <w:sz w:val="14"/>
              </w:rPr>
            </w:pPr>
          </w:p>
          <w:p w:rsidR="008112A9" w:rsidRPr="002E0C7E" w:rsidRDefault="008112A9" w:rsidP="0066350E">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66350E">
            <w:pPr>
              <w:widowControl w:val="0"/>
              <w:jc w:val="center"/>
              <w:rPr>
                <w:rFonts w:ascii="Arial" w:hAnsi="Arial"/>
                <w:b/>
                <w:sz w:val="14"/>
              </w:rPr>
            </w:pPr>
            <w:r>
              <w:rPr>
                <w:rFonts w:ascii="Arial" w:hAnsi="Arial"/>
                <w:b/>
                <w:sz w:val="14"/>
              </w:rPr>
              <w:t>H</w:t>
            </w:r>
          </w:p>
          <w:p w:rsidR="008112A9" w:rsidRPr="002E0C7E" w:rsidRDefault="008112A9" w:rsidP="0066350E">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66350E">
            <w:pPr>
              <w:widowControl w:val="0"/>
              <w:jc w:val="center"/>
              <w:rPr>
                <w:rFonts w:ascii="Arial" w:hAnsi="Arial"/>
                <w:b/>
                <w:sz w:val="14"/>
              </w:rPr>
            </w:pPr>
            <w:r>
              <w:rPr>
                <w:rFonts w:ascii="Arial" w:hAnsi="Arial"/>
                <w:b/>
                <w:sz w:val="14"/>
              </w:rPr>
              <w:t>H</w:t>
            </w:r>
          </w:p>
          <w:p w:rsidR="008112A9" w:rsidRPr="002E0C7E" w:rsidRDefault="008112A9" w:rsidP="0066350E">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66350E">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66350E">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66350E">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66350E">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6350E">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6350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6350E">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6350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6350E">
            <w:pPr>
              <w:widowControl w:val="0"/>
              <w:jc w:val="center"/>
              <w:rPr>
                <w:rFonts w:ascii="Arial" w:hAnsi="Arial"/>
                <w:sz w:val="14"/>
              </w:rPr>
            </w:pPr>
            <w:r w:rsidRPr="002E0C7E">
              <w:rPr>
                <w:rFonts w:ascii="Arial" w:hAnsi="Arial"/>
                <w:b/>
                <w:sz w:val="14"/>
              </w:rPr>
              <w:t>MARCH - MARS</w:t>
            </w:r>
          </w:p>
        </w:tc>
      </w:tr>
      <w:tr w:rsidR="008112A9" w:rsidRPr="002E0C7E" w:rsidTr="0066350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M</w:t>
            </w:r>
          </w:p>
          <w:p w:rsidR="008112A9" w:rsidRPr="002E0C7E" w:rsidRDefault="008112A9" w:rsidP="0066350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W</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F</w:t>
            </w:r>
          </w:p>
          <w:p w:rsidR="008112A9" w:rsidRPr="002E0C7E" w:rsidRDefault="008112A9" w:rsidP="0066350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M</w:t>
            </w:r>
          </w:p>
          <w:p w:rsidR="008112A9" w:rsidRPr="002E0C7E" w:rsidRDefault="008112A9" w:rsidP="0066350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W</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F</w:t>
            </w:r>
          </w:p>
          <w:p w:rsidR="008112A9" w:rsidRPr="002E0C7E" w:rsidRDefault="008112A9" w:rsidP="0066350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M</w:t>
            </w:r>
          </w:p>
          <w:p w:rsidR="008112A9" w:rsidRPr="002E0C7E" w:rsidRDefault="008112A9" w:rsidP="0066350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W</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F</w:t>
            </w:r>
          </w:p>
          <w:p w:rsidR="008112A9" w:rsidRPr="002E0C7E" w:rsidRDefault="008112A9" w:rsidP="0066350E">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S</w:t>
            </w:r>
          </w:p>
        </w:tc>
      </w:tr>
      <w:tr w:rsidR="008112A9" w:rsidRPr="002E0C7E" w:rsidTr="0066350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66350E">
            <w:pPr>
              <w:widowControl w:val="0"/>
              <w:jc w:val="center"/>
              <w:rPr>
                <w:rFonts w:ascii="Arial" w:hAnsi="Arial"/>
                <w:b/>
                <w:sz w:val="14"/>
              </w:rPr>
            </w:pPr>
          </w:p>
          <w:p w:rsidR="008112A9" w:rsidRPr="002E0C7E" w:rsidRDefault="008112A9" w:rsidP="0066350E">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66350E">
            <w:pPr>
              <w:widowControl w:val="0"/>
              <w:jc w:val="center"/>
              <w:rPr>
                <w:rFonts w:ascii="Arial" w:hAnsi="Arial"/>
                <w:b/>
                <w:sz w:val="14"/>
              </w:rPr>
            </w:pPr>
          </w:p>
          <w:p w:rsidR="008112A9" w:rsidRPr="002E0C7E" w:rsidRDefault="008112A9" w:rsidP="0066350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66350E">
            <w:pPr>
              <w:widowControl w:val="0"/>
              <w:jc w:val="center"/>
              <w:rPr>
                <w:rFonts w:ascii="Arial" w:hAnsi="Arial"/>
                <w:b/>
                <w:sz w:val="14"/>
              </w:rPr>
            </w:pPr>
            <w:r w:rsidRPr="004F066E">
              <w:rPr>
                <w:rFonts w:ascii="Arial" w:hAnsi="Arial"/>
                <w:b/>
                <w:sz w:val="14"/>
              </w:rPr>
              <w:t>H</w:t>
            </w:r>
          </w:p>
          <w:p w:rsidR="008112A9" w:rsidRPr="002E0C7E" w:rsidRDefault="008112A9" w:rsidP="0066350E">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7</w:t>
            </w:r>
          </w:p>
        </w:tc>
      </w:tr>
      <w:tr w:rsidR="008112A9" w:rsidRPr="002E0C7E" w:rsidTr="0066350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66350E">
            <w:pPr>
              <w:widowControl w:val="0"/>
              <w:jc w:val="center"/>
              <w:rPr>
                <w:rFonts w:ascii="Arial" w:hAnsi="Arial"/>
                <w:b/>
                <w:sz w:val="14"/>
              </w:rPr>
            </w:pPr>
            <w:r>
              <w:rPr>
                <w:rFonts w:ascii="Arial" w:hAnsi="Arial"/>
                <w:b/>
                <w:sz w:val="14"/>
              </w:rPr>
              <w:t>M</w:t>
            </w:r>
          </w:p>
          <w:p w:rsidR="008112A9" w:rsidRPr="002E0C7E" w:rsidRDefault="008112A9" w:rsidP="0066350E">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14</w:t>
            </w:r>
          </w:p>
        </w:tc>
      </w:tr>
      <w:tr w:rsidR="008112A9" w:rsidRPr="002E0C7E" w:rsidTr="0066350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66350E">
            <w:pPr>
              <w:widowControl w:val="0"/>
              <w:jc w:val="center"/>
              <w:rPr>
                <w:rFonts w:ascii="Arial" w:hAnsi="Arial"/>
                <w:b/>
                <w:sz w:val="14"/>
              </w:rPr>
            </w:pPr>
            <w:r>
              <w:rPr>
                <w:rFonts w:ascii="Arial" w:hAnsi="Arial"/>
                <w:b/>
                <w:sz w:val="14"/>
              </w:rPr>
              <w:t>M</w:t>
            </w: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66350E">
            <w:pPr>
              <w:widowControl w:val="0"/>
              <w:jc w:val="center"/>
              <w:rPr>
                <w:rFonts w:ascii="Arial" w:hAnsi="Arial"/>
                <w:b/>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66350E">
            <w:pPr>
              <w:widowControl w:val="0"/>
              <w:jc w:val="center"/>
              <w:rPr>
                <w:rFonts w:ascii="Arial" w:hAnsi="Arial"/>
                <w:b/>
                <w:sz w:val="14"/>
              </w:rPr>
            </w:pPr>
            <w:r w:rsidRPr="009900C5">
              <w:rPr>
                <w:rFonts w:ascii="Arial" w:hAnsi="Arial"/>
                <w:b/>
                <w:sz w:val="14"/>
              </w:rPr>
              <w:t>M</w:t>
            </w: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66350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66350E">
            <w:pPr>
              <w:widowControl w:val="0"/>
              <w:jc w:val="center"/>
              <w:rPr>
                <w:rFonts w:ascii="Arial" w:hAnsi="Arial"/>
                <w:b/>
                <w:sz w:val="14"/>
              </w:rPr>
            </w:pPr>
          </w:p>
          <w:p w:rsidR="008112A9" w:rsidRPr="002E0C7E" w:rsidRDefault="008112A9" w:rsidP="0066350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66350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66350E">
            <w:pPr>
              <w:widowControl w:val="0"/>
              <w:jc w:val="center"/>
              <w:rPr>
                <w:rFonts w:ascii="Arial" w:hAnsi="Arial"/>
                <w:b/>
                <w:sz w:val="14"/>
              </w:rPr>
            </w:pPr>
          </w:p>
          <w:p w:rsidR="008112A9" w:rsidRPr="002E0C7E" w:rsidRDefault="008112A9" w:rsidP="0066350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66350E">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6350E">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6350E">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6350E">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6350E">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6350E">
            <w:pPr>
              <w:widowControl w:val="0"/>
              <w:jc w:val="center"/>
              <w:rPr>
                <w:rFonts w:ascii="Arial" w:hAnsi="Arial"/>
                <w:sz w:val="14"/>
              </w:rPr>
            </w:pPr>
            <w:r w:rsidRPr="002E0C7E">
              <w:rPr>
                <w:rFonts w:ascii="Arial" w:hAnsi="Arial"/>
                <w:b/>
                <w:sz w:val="14"/>
              </w:rPr>
              <w:t>JUNE - JUIN</w:t>
            </w:r>
          </w:p>
        </w:tc>
      </w:tr>
      <w:tr w:rsidR="008112A9" w:rsidRPr="002E0C7E" w:rsidTr="0066350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M</w:t>
            </w:r>
          </w:p>
          <w:p w:rsidR="008112A9" w:rsidRPr="002E0C7E" w:rsidRDefault="008112A9" w:rsidP="0066350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W</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F</w:t>
            </w:r>
          </w:p>
          <w:p w:rsidR="008112A9" w:rsidRPr="002E0C7E" w:rsidRDefault="008112A9" w:rsidP="0066350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M</w:t>
            </w:r>
          </w:p>
          <w:p w:rsidR="008112A9" w:rsidRPr="002E0C7E" w:rsidRDefault="008112A9" w:rsidP="0066350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W</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F</w:t>
            </w:r>
          </w:p>
          <w:p w:rsidR="008112A9" w:rsidRPr="002E0C7E" w:rsidRDefault="008112A9" w:rsidP="0066350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S</w:t>
            </w:r>
          </w:p>
          <w:p w:rsidR="008112A9" w:rsidRPr="002E0C7E" w:rsidRDefault="008112A9" w:rsidP="0066350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M</w:t>
            </w:r>
          </w:p>
          <w:p w:rsidR="008112A9" w:rsidRPr="002E0C7E" w:rsidRDefault="008112A9" w:rsidP="0066350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W</w:t>
            </w:r>
          </w:p>
          <w:p w:rsidR="008112A9" w:rsidRPr="002E0C7E" w:rsidRDefault="008112A9" w:rsidP="0066350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T</w:t>
            </w:r>
          </w:p>
          <w:p w:rsidR="008112A9" w:rsidRPr="002E0C7E" w:rsidRDefault="008112A9" w:rsidP="0066350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sidRPr="002E0C7E">
              <w:rPr>
                <w:rFonts w:ascii="Arial" w:hAnsi="Arial"/>
                <w:sz w:val="14"/>
              </w:rPr>
              <w:t>F</w:t>
            </w:r>
          </w:p>
          <w:p w:rsidR="008112A9" w:rsidRPr="002E0C7E" w:rsidRDefault="008112A9" w:rsidP="0066350E">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r>
              <w:rPr>
                <w:rFonts w:ascii="Arial" w:hAnsi="Arial"/>
                <w:sz w:val="14"/>
              </w:rPr>
              <w:t>S</w:t>
            </w:r>
          </w:p>
          <w:p w:rsidR="008112A9" w:rsidRPr="002E0C7E" w:rsidRDefault="008112A9" w:rsidP="0066350E">
            <w:pPr>
              <w:widowControl w:val="0"/>
              <w:jc w:val="center"/>
              <w:rPr>
                <w:rFonts w:ascii="Arial" w:hAnsi="Arial"/>
                <w:sz w:val="14"/>
              </w:rPr>
            </w:pPr>
            <w:r>
              <w:rPr>
                <w:rFonts w:ascii="Arial" w:hAnsi="Arial"/>
                <w:sz w:val="14"/>
              </w:rPr>
              <w:t>S</w:t>
            </w:r>
          </w:p>
        </w:tc>
      </w:tr>
      <w:tr w:rsidR="008112A9" w:rsidRPr="002E0C7E" w:rsidTr="0066350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66350E">
            <w:pPr>
              <w:widowControl w:val="0"/>
              <w:jc w:val="center"/>
              <w:rPr>
                <w:rFonts w:ascii="Arial" w:hAnsi="Arial"/>
                <w:b/>
                <w:sz w:val="14"/>
              </w:rPr>
            </w:pPr>
            <w:r>
              <w:rPr>
                <w:rFonts w:ascii="Arial" w:hAnsi="Arial"/>
                <w:b/>
                <w:sz w:val="14"/>
              </w:rPr>
              <w:t>H</w:t>
            </w:r>
          </w:p>
          <w:p w:rsidR="008112A9" w:rsidRPr="002E0C7E" w:rsidRDefault="008112A9" w:rsidP="0066350E">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b/>
                <w:sz w:val="14"/>
              </w:rPr>
            </w:pPr>
          </w:p>
          <w:p w:rsidR="008112A9" w:rsidRPr="002E0C7E" w:rsidRDefault="008112A9" w:rsidP="0066350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6</w:t>
            </w:r>
          </w:p>
        </w:tc>
      </w:tr>
      <w:tr w:rsidR="008112A9" w:rsidRPr="002E0C7E" w:rsidTr="0066350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66350E">
            <w:pPr>
              <w:widowControl w:val="0"/>
              <w:jc w:val="center"/>
              <w:rPr>
                <w:rFonts w:ascii="Arial" w:hAnsi="Arial"/>
                <w:b/>
                <w:sz w:val="14"/>
              </w:rPr>
            </w:pPr>
            <w:r>
              <w:rPr>
                <w:rFonts w:ascii="Arial" w:hAnsi="Arial"/>
                <w:b/>
                <w:sz w:val="14"/>
              </w:rPr>
              <w:t>H</w:t>
            </w:r>
          </w:p>
          <w:p w:rsidR="008112A9" w:rsidRPr="002E0C7E" w:rsidRDefault="008112A9" w:rsidP="0066350E">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66350E">
            <w:pPr>
              <w:widowControl w:val="0"/>
              <w:jc w:val="center"/>
              <w:rPr>
                <w:rFonts w:ascii="Arial" w:hAnsi="Arial"/>
                <w:b/>
                <w:sz w:val="14"/>
              </w:rPr>
            </w:pPr>
            <w:r>
              <w:rPr>
                <w:rFonts w:ascii="Arial" w:hAnsi="Arial"/>
                <w:b/>
                <w:sz w:val="14"/>
              </w:rPr>
              <w:t>M</w:t>
            </w:r>
          </w:p>
          <w:p w:rsidR="008112A9" w:rsidRPr="002E0C7E" w:rsidRDefault="008112A9" w:rsidP="0066350E">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13</w:t>
            </w:r>
          </w:p>
        </w:tc>
      </w:tr>
      <w:tr w:rsidR="008112A9" w:rsidRPr="002E0C7E" w:rsidTr="0066350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66350E">
            <w:pPr>
              <w:widowControl w:val="0"/>
              <w:jc w:val="center"/>
              <w:rPr>
                <w:rFonts w:ascii="Arial" w:hAnsi="Arial"/>
                <w:b/>
                <w:sz w:val="14"/>
              </w:rPr>
            </w:pPr>
            <w:r>
              <w:rPr>
                <w:rFonts w:ascii="Arial" w:hAnsi="Arial"/>
                <w:b/>
                <w:sz w:val="14"/>
              </w:rPr>
              <w:t>M</w:t>
            </w: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66350E">
            <w:pPr>
              <w:widowControl w:val="0"/>
              <w:jc w:val="center"/>
              <w:rPr>
                <w:rFonts w:ascii="Arial" w:hAnsi="Arial"/>
                <w:b/>
                <w:sz w:val="14"/>
              </w:rPr>
            </w:pPr>
          </w:p>
          <w:p w:rsidR="008112A9" w:rsidRPr="002E0C7E" w:rsidRDefault="008112A9" w:rsidP="0066350E">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66350E">
            <w:pPr>
              <w:widowControl w:val="0"/>
              <w:jc w:val="center"/>
              <w:rPr>
                <w:rFonts w:ascii="Arial" w:hAnsi="Arial"/>
                <w:b/>
                <w:sz w:val="14"/>
              </w:rPr>
            </w:pPr>
            <w:r w:rsidRPr="002453E3">
              <w:rPr>
                <w:rFonts w:ascii="Arial" w:hAnsi="Arial"/>
                <w:b/>
                <w:sz w:val="14"/>
              </w:rPr>
              <w:t>M</w:t>
            </w: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20</w:t>
            </w:r>
          </w:p>
        </w:tc>
      </w:tr>
      <w:tr w:rsidR="008112A9" w:rsidRPr="002E0C7E" w:rsidTr="0066350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66350E">
            <w:pPr>
              <w:widowControl w:val="0"/>
              <w:jc w:val="center"/>
              <w:rPr>
                <w:rFonts w:ascii="Arial" w:hAnsi="Arial"/>
                <w:b/>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66350E">
            <w:pPr>
              <w:widowControl w:val="0"/>
              <w:jc w:val="center"/>
              <w:rPr>
                <w:rFonts w:ascii="Arial" w:hAnsi="Arial"/>
                <w:b/>
                <w:sz w:val="14"/>
              </w:rPr>
            </w:pPr>
            <w:r>
              <w:rPr>
                <w:rFonts w:ascii="Arial" w:hAnsi="Arial"/>
                <w:b/>
                <w:sz w:val="14"/>
              </w:rPr>
              <w:t>H</w:t>
            </w:r>
          </w:p>
          <w:p w:rsidR="008112A9" w:rsidRPr="002E0C7E" w:rsidRDefault="008112A9" w:rsidP="0066350E">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66350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66350E">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66350E">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6350E">
            <w:pPr>
              <w:widowControl w:val="0"/>
              <w:jc w:val="center"/>
              <w:rPr>
                <w:rFonts w:ascii="Arial" w:hAnsi="Arial"/>
                <w:sz w:val="14"/>
              </w:rPr>
            </w:pPr>
          </w:p>
          <w:p w:rsidR="008112A9" w:rsidRPr="002E0C7E" w:rsidRDefault="008112A9" w:rsidP="0066350E">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66350E">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66350E">
            <w:pPr>
              <w:widowControl w:val="0"/>
              <w:rPr>
                <w:rFonts w:ascii="Arial" w:hAnsi="Arial"/>
                <w:sz w:val="16"/>
              </w:rPr>
            </w:pPr>
            <w:r w:rsidRPr="002E0C7E">
              <w:rPr>
                <w:rFonts w:ascii="Arial" w:hAnsi="Arial"/>
                <w:sz w:val="16"/>
              </w:rPr>
              <w:t>Sittings of the court:</w:t>
            </w:r>
          </w:p>
          <w:p w:rsidR="008112A9" w:rsidRPr="002E0C7E" w:rsidRDefault="008112A9" w:rsidP="0066350E">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66350E">
            <w:pPr>
              <w:widowControl w:val="0"/>
              <w:rPr>
                <w:rFonts w:ascii="Arial" w:hAnsi="Arial"/>
                <w:sz w:val="16"/>
              </w:rPr>
            </w:pPr>
          </w:p>
          <w:p w:rsidR="008112A9" w:rsidRPr="002E0C7E" w:rsidRDefault="008112A9" w:rsidP="0066350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663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663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663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663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663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66350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663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663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663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663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66350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663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663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66350E">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6635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74"/>
      <w:footerReference w:type="default" r:id="rId7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BD2" w:rsidRDefault="00505BD2" w:rsidP="00A87207">
      <w:r>
        <w:separator/>
      </w:r>
    </w:p>
  </w:endnote>
  <w:endnote w:type="continuationSeparator" w:id="0">
    <w:p w:rsidR="00505BD2" w:rsidRDefault="00505BD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237788">
    <w:pPr>
      <w:pStyle w:val="Footer"/>
      <w:rPr>
        <w:lang w:val="fr-CA"/>
      </w:rPr>
    </w:pPr>
    <w:r>
      <w:rPr>
        <w:lang w:val="fr-CA"/>
      </w:rPr>
      <w:pict>
        <v:rect id="_x0000_i1053" style="width:480.95pt;height:1pt" o:hralign="center" o:hrstd="t" o:hrnoshade="t" o:hr="t" fillcolor="black [3213]" stroked="f"/>
      </w:pict>
    </w:r>
  </w:p>
  <w:p w:rsidR="00505BD2" w:rsidRDefault="00505BD2" w:rsidP="00245129">
    <w:pPr>
      <w:tabs>
        <w:tab w:val="center" w:pos="4680"/>
      </w:tabs>
    </w:pPr>
    <w:r>
      <w:tab/>
    </w:r>
    <w:r w:rsidRPr="0009648D">
      <w:t xml:space="preserve">- </w:t>
    </w:r>
    <w:r w:rsidR="00237788">
      <w:fldChar w:fldCharType="begin"/>
    </w:r>
    <w:r w:rsidR="00237788">
      <w:instrText xml:space="preserve"> PAGE   \* MERGEFORMAT </w:instrText>
    </w:r>
    <w:r w:rsidR="00237788">
      <w:fldChar w:fldCharType="separate"/>
    </w:r>
    <w:r w:rsidR="00237788">
      <w:rPr>
        <w:noProof/>
      </w:rPr>
      <w:t>1601</w:t>
    </w:r>
    <w:r w:rsidR="00237788">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5BD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5BD2" w:rsidRDefault="00505BD2">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237788" w:rsidP="00755F22">
    <w:pPr>
      <w:tabs>
        <w:tab w:val="left" w:pos="-1440"/>
        <w:tab w:val="left" w:pos="-720"/>
      </w:tabs>
    </w:pPr>
    <w:r>
      <w:pict>
        <v:rect id="_x0000_i1061" style="width:480.95pt;height:1pt" o:hralign="center" o:hrstd="t" o:hrnoshade="t" o:hr="t" fillcolor="black [3213]" stroked="f"/>
      </w:pict>
    </w:r>
  </w:p>
  <w:p w:rsidR="00505BD2" w:rsidRDefault="00505BD2" w:rsidP="00EB2B90">
    <w:pPr>
      <w:tabs>
        <w:tab w:val="center" w:pos="4680"/>
      </w:tabs>
    </w:pPr>
    <w:r>
      <w:tab/>
      <w:t xml:space="preserve">- </w:t>
    </w:r>
    <w:r w:rsidR="00237788">
      <w:fldChar w:fldCharType="begin"/>
    </w:r>
    <w:r w:rsidR="00237788">
      <w:instrText xml:space="preserve"> PAGE   \* MERGEFORMAT </w:instrText>
    </w:r>
    <w:r w:rsidR="00237788">
      <w:fldChar w:fldCharType="separate"/>
    </w:r>
    <w:r w:rsidR="00237788">
      <w:rPr>
        <w:noProof/>
      </w:rPr>
      <w:t>1614</w:t>
    </w:r>
    <w:r w:rsidR="00237788">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237788" w:rsidP="00EB2B90">
    <w:pPr>
      <w:tabs>
        <w:tab w:val="center" w:pos="4680"/>
      </w:tabs>
    </w:pPr>
    <w:r>
      <w:pict>
        <v:rect id="_x0000_i1062" style="width:480.95pt;height:1pt" o:hralign="center" o:hrstd="t" o:hrnoshade="t" o:hr="t" fillcolor="black [3213]" stroked="f"/>
      </w:pict>
    </w:r>
  </w:p>
  <w:p w:rsidR="00505BD2" w:rsidRPr="0031432F" w:rsidRDefault="00505BD2" w:rsidP="00EB2B90">
    <w:pPr>
      <w:tabs>
        <w:tab w:val="center" w:pos="4680"/>
      </w:tabs>
    </w:pPr>
    <w:r>
      <w:tab/>
      <w:t xml:space="preserve">- </w:t>
    </w:r>
    <w:r w:rsidR="00237788">
      <w:fldChar w:fldCharType="begin"/>
    </w:r>
    <w:r w:rsidR="00237788">
      <w:instrText xml:space="preserve"> PAGE   \* MERGEFORMAT </w:instrText>
    </w:r>
    <w:r w:rsidR="00237788">
      <w:fldChar w:fldCharType="separate"/>
    </w:r>
    <w:r w:rsidR="00237788">
      <w:rPr>
        <w:noProof/>
      </w:rPr>
      <w:t>1609</w:t>
    </w:r>
    <w:r w:rsidR="00237788">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5BD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5BD2" w:rsidRDefault="00505BD2">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237788" w:rsidP="00732DB7">
    <w:r>
      <w:pict>
        <v:rect id="_x0000_i1069" style="width:480.95pt;height:1pt" o:hralign="center" o:hrstd="t" o:hrnoshade="t" o:hr="t" fillcolor="black" stroked="f"/>
      </w:pict>
    </w:r>
  </w:p>
  <w:p w:rsidR="00505BD2" w:rsidRDefault="00505BD2">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237788">
    <w:pPr>
      <w:pStyle w:val="Footer"/>
    </w:pPr>
    <w:r>
      <w:pict>
        <v:rect id="_x0000_i1070" style="width:480.95pt;height:1pt" o:hralign="center" o:hrstd="t" o:hrnoshade="t" o:hr="t" fillcolor="black" stroked="f"/>
      </w:pict>
    </w:r>
  </w:p>
  <w:p w:rsidR="00505BD2" w:rsidRPr="00283C52" w:rsidRDefault="00505BD2">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5BD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5BD2" w:rsidRDefault="00505BD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237788" w:rsidP="00732DB7">
    <w:r>
      <w:pict>
        <v:rect id="_x0000_i1073" style="width:480.95pt;height:1pt" o:hralign="center" o:hrstd="t" o:hrnoshade="t" o:hr="t" fillcolor="black" stroked="f"/>
      </w:pict>
    </w:r>
  </w:p>
  <w:p w:rsidR="00505BD2" w:rsidRDefault="00505BD2">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237788">
    <w:pPr>
      <w:pStyle w:val="Footer"/>
    </w:pPr>
    <w:r>
      <w:pict>
        <v:rect id="_x0000_i1074" style="width:480.95pt;height:1pt" o:hralign="center" o:hrstd="t" o:hrnoshade="t" o:hr="t" fillcolor="black [3213]" stroked="f"/>
      </w:pict>
    </w:r>
  </w:p>
  <w:p w:rsidR="00505BD2" w:rsidRPr="003C2C0F" w:rsidRDefault="00505BD2" w:rsidP="00697C62">
    <w:pPr>
      <w:tabs>
        <w:tab w:val="center" w:pos="4680"/>
      </w:tabs>
    </w:pPr>
    <w:r>
      <w:tab/>
      <w:t xml:space="preserve">- </w:t>
    </w:r>
    <w:r w:rsidR="00237788">
      <w:fldChar w:fldCharType="begin"/>
    </w:r>
    <w:r w:rsidR="00237788">
      <w:instrText xml:space="preserve"> PAGE   \* MERGEFORMAT </w:instrText>
    </w:r>
    <w:r w:rsidR="00237788">
      <w:fldChar w:fldCharType="separate"/>
    </w:r>
    <w:r w:rsidR="00237788">
      <w:rPr>
        <w:noProof/>
      </w:rPr>
      <w:t>1622</w:t>
    </w:r>
    <w:r w:rsidR="00237788">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5BD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5BD2" w:rsidRDefault="00505BD2">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05BD2" w:rsidRDefault="00237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7" style="width:480.95pt;height:1pt" o:hralign="center" o:hrstd="t" o:hrnoshade="t" o:hr="t" fillcolor="black [3213]" stroked="f"/>
      </w:pict>
    </w:r>
  </w:p>
  <w:p w:rsidR="00505BD2" w:rsidRDefault="00505BD2" w:rsidP="00782AE4">
    <w:pPr>
      <w:tabs>
        <w:tab w:val="center" w:pos="4680"/>
      </w:tabs>
    </w:pPr>
    <w:r>
      <w:tab/>
      <w:t xml:space="preserve">- </w:t>
    </w:r>
    <w:r w:rsidR="00004B8E" w:rsidRPr="001775C1">
      <w:rPr>
        <w:szCs w:val="24"/>
      </w:rPr>
      <w:fldChar w:fldCharType="begin"/>
    </w:r>
    <w:r w:rsidRPr="001775C1">
      <w:rPr>
        <w:szCs w:val="24"/>
      </w:rPr>
      <w:instrText xml:space="preserve"> PAGE   \* MERGEFORMAT </w:instrText>
    </w:r>
    <w:r w:rsidR="00004B8E" w:rsidRPr="001775C1">
      <w:rPr>
        <w:szCs w:val="24"/>
      </w:rPr>
      <w:fldChar w:fldCharType="separate"/>
    </w:r>
    <w:r w:rsidR="00237788">
      <w:rPr>
        <w:noProof/>
        <w:szCs w:val="24"/>
      </w:rPr>
      <w:t>1630</w:t>
    </w:r>
    <w:r w:rsidR="00004B8E"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237788" w:rsidP="00782AE4">
    <w:pPr>
      <w:tabs>
        <w:tab w:val="center" w:pos="4680"/>
      </w:tabs>
    </w:pPr>
    <w:r>
      <w:pict>
        <v:rect id="_x0000_i1078" style="width:480.95pt;height:1pt" o:hralign="center" o:hrstd="t" o:hrnoshade="t" o:hr="t" fillcolor="black [3213]" stroked="f"/>
      </w:pict>
    </w:r>
  </w:p>
  <w:p w:rsidR="00505BD2" w:rsidRDefault="00505BD2" w:rsidP="00782AE4">
    <w:pPr>
      <w:tabs>
        <w:tab w:val="center" w:pos="4680"/>
      </w:tabs>
    </w:pPr>
    <w:r>
      <w:tab/>
      <w:t xml:space="preserve">- </w:t>
    </w:r>
    <w:r w:rsidR="00004B8E" w:rsidRPr="001775C1">
      <w:rPr>
        <w:szCs w:val="24"/>
      </w:rPr>
      <w:fldChar w:fldCharType="begin"/>
    </w:r>
    <w:r w:rsidRPr="001775C1">
      <w:rPr>
        <w:szCs w:val="24"/>
      </w:rPr>
      <w:instrText xml:space="preserve"> PAGE   \* MERGEFORMAT </w:instrText>
    </w:r>
    <w:r w:rsidR="00004B8E" w:rsidRPr="001775C1">
      <w:rPr>
        <w:szCs w:val="24"/>
      </w:rPr>
      <w:fldChar w:fldCharType="separate"/>
    </w:r>
    <w:r w:rsidR="00237788">
      <w:rPr>
        <w:noProof/>
        <w:szCs w:val="24"/>
      </w:rPr>
      <w:t>1624</w:t>
    </w:r>
    <w:r w:rsidR="00004B8E"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237788">
    <w:r>
      <w:rPr>
        <w:lang w:val="fr-CA"/>
      </w:rPr>
      <w:pict>
        <v:rect id="_x0000_i1081" style="width:480.95pt;height:1pt" o:hralign="center" o:hrstd="t" o:hrnoshade="t" o:hr="t" fillcolor="black [3213]" stroked="f"/>
      </w:pict>
    </w:r>
  </w:p>
  <w:p w:rsidR="00505BD2" w:rsidRDefault="00505BD2" w:rsidP="006B6926">
    <w:pPr>
      <w:tabs>
        <w:tab w:val="center" w:pos="4680"/>
      </w:tabs>
    </w:pPr>
    <w:r>
      <w:tab/>
      <w:t xml:space="preserve">- </w:t>
    </w:r>
    <w:r w:rsidR="00237788">
      <w:fldChar w:fldCharType="begin"/>
    </w:r>
    <w:r w:rsidR="00237788">
      <w:instrText xml:space="preserve">PAGE </w:instrText>
    </w:r>
    <w:r w:rsidR="00237788">
      <w:fldChar w:fldCharType="separate"/>
    </w:r>
    <w:r>
      <w:rPr>
        <w:noProof/>
      </w:rPr>
      <w:t>1643</w:t>
    </w:r>
    <w:r w:rsidR="00237788">
      <w:rPr>
        <w:noProof/>
      </w:rP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237788" w:rsidP="006B6926">
    <w:pPr>
      <w:tabs>
        <w:tab w:val="center" w:pos="4680"/>
      </w:tabs>
      <w:rPr>
        <w:lang w:val="fr-CA"/>
      </w:rPr>
    </w:pPr>
    <w:r>
      <w:rPr>
        <w:lang w:val="fr-CA"/>
      </w:rPr>
      <w:pict>
        <v:rect id="_x0000_i1082" style="width:480.95pt;height:1pt" o:hralign="center" o:hrstd="t" o:hrnoshade="t" o:hr="t" fillcolor="black [3213]" stroked="f"/>
      </w:pict>
    </w:r>
  </w:p>
  <w:p w:rsidR="00505BD2" w:rsidRDefault="00505BD2" w:rsidP="006B6926">
    <w:pPr>
      <w:tabs>
        <w:tab w:val="center" w:pos="4680"/>
      </w:tabs>
    </w:pPr>
    <w:r>
      <w:tab/>
      <w:t xml:space="preserve">- </w:t>
    </w:r>
    <w:r w:rsidR="00237788">
      <w:fldChar w:fldCharType="begin"/>
    </w:r>
    <w:r w:rsidR="00237788">
      <w:instrText xml:space="preserve">PAGE </w:instrText>
    </w:r>
    <w:r w:rsidR="00237788">
      <w:fldChar w:fldCharType="separate"/>
    </w:r>
    <w:r w:rsidR="00237788">
      <w:rPr>
        <w:noProof/>
      </w:rPr>
      <w:t>1631</w:t>
    </w:r>
    <w:r w:rsidR="00237788">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Pr="00924065" w:rsidRDefault="00505BD2"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237788" w:rsidP="00A87207">
    <w:pPr>
      <w:pStyle w:val="Footer"/>
    </w:pPr>
    <w:r>
      <w:pict>
        <v:rect id="_x0000_i1039" style="width:480.95pt;height:1pt" o:hralign="center" o:hrstd="t" o:hrnoshade="t" o:hr="t" fillcolor="black [3213]" stroked="f"/>
      </w:pict>
    </w:r>
  </w:p>
  <w:p w:rsidR="00505BD2" w:rsidRPr="00B7374B" w:rsidRDefault="00505BD2" w:rsidP="00B7374B">
    <w:pPr>
      <w:tabs>
        <w:tab w:val="center" w:pos="4680"/>
      </w:tabs>
      <w:rPr>
        <w:szCs w:val="24"/>
      </w:rPr>
    </w:pPr>
    <w:r w:rsidRPr="00954D22">
      <w:rPr>
        <w:szCs w:val="24"/>
      </w:rPr>
      <w:tab/>
      <w:t xml:space="preserve">- </w:t>
    </w:r>
    <w:r w:rsidR="00004B8E" w:rsidRPr="00954D22">
      <w:rPr>
        <w:szCs w:val="24"/>
      </w:rPr>
      <w:fldChar w:fldCharType="begin"/>
    </w:r>
    <w:r w:rsidRPr="00954D22">
      <w:rPr>
        <w:szCs w:val="24"/>
      </w:rPr>
      <w:instrText xml:space="preserve"> PAGE   \* MERGEFORMAT </w:instrText>
    </w:r>
    <w:r w:rsidR="00004B8E" w:rsidRPr="00954D22">
      <w:rPr>
        <w:szCs w:val="24"/>
      </w:rPr>
      <w:fldChar w:fldCharType="separate"/>
    </w:r>
    <w:r w:rsidR="00237788">
      <w:rPr>
        <w:noProof/>
        <w:szCs w:val="24"/>
      </w:rPr>
      <w:t>1599</w:t>
    </w:r>
    <w:r w:rsidR="00004B8E"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237788" w:rsidP="00755F22">
    <w:pPr>
      <w:tabs>
        <w:tab w:val="left" w:pos="-1440"/>
        <w:tab w:val="left" w:pos="-720"/>
      </w:tabs>
    </w:pPr>
    <w:r>
      <w:pict>
        <v:rect id="_x0000_i1040" style="width:480.95pt;height:1pt" o:hralign="center" o:hrstd="t" o:hrnoshade="t" o:hr="t" fillcolor="black [3213]" stroked="f"/>
      </w:pict>
    </w:r>
  </w:p>
  <w:p w:rsidR="00505BD2" w:rsidRPr="00954D22" w:rsidRDefault="00505BD2" w:rsidP="00B7374B">
    <w:pPr>
      <w:tabs>
        <w:tab w:val="center" w:pos="4680"/>
      </w:tabs>
      <w:rPr>
        <w:szCs w:val="24"/>
      </w:rPr>
    </w:pPr>
    <w:r w:rsidRPr="00954D22">
      <w:rPr>
        <w:szCs w:val="24"/>
      </w:rPr>
      <w:tab/>
      <w:t xml:space="preserve">- </w:t>
    </w:r>
    <w:r w:rsidR="00004B8E">
      <w:rPr>
        <w:szCs w:val="24"/>
      </w:rPr>
      <w:fldChar w:fldCharType="begin"/>
    </w:r>
    <w:r>
      <w:rPr>
        <w:szCs w:val="24"/>
      </w:rPr>
      <w:instrText xml:space="preserve"> PAGE   \* MERGEFORMAT </w:instrText>
    </w:r>
    <w:r w:rsidR="00004B8E">
      <w:rPr>
        <w:szCs w:val="24"/>
      </w:rPr>
      <w:fldChar w:fldCharType="separate"/>
    </w:r>
    <w:r w:rsidR="00237788">
      <w:rPr>
        <w:noProof/>
        <w:szCs w:val="24"/>
      </w:rPr>
      <w:t>1598</w:t>
    </w:r>
    <w:r w:rsidR="00004B8E">
      <w:rPr>
        <w:szCs w:val="24"/>
      </w:rPr>
      <w:fldChar w:fldCharType="end"/>
    </w:r>
    <w:r w:rsidRPr="00954D22">
      <w:rPr>
        <w:szCs w:val="24"/>
      </w:rPr>
      <w:t xml:space="preserve"> -</w:t>
    </w:r>
  </w:p>
  <w:p w:rsidR="00505BD2" w:rsidRDefault="00505BD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237788" w:rsidP="00A87207">
    <w:pPr>
      <w:pStyle w:val="Footer"/>
    </w:pPr>
    <w:r>
      <w:pict>
        <v:rect id="_x0000_i1042" style="width:480.95pt;height:1pt" o:hralign="center" o:hrstd="t" o:hrnoshade="t" o:hr="t" fillcolor="black [3213]" stroked="f"/>
      </w:pict>
    </w:r>
  </w:p>
  <w:p w:rsidR="00505BD2" w:rsidRPr="00B7374B" w:rsidRDefault="00505BD2" w:rsidP="00B7374B">
    <w:pPr>
      <w:tabs>
        <w:tab w:val="center" w:pos="4680"/>
      </w:tabs>
      <w:rPr>
        <w:szCs w:val="24"/>
      </w:rPr>
    </w:pPr>
    <w:r w:rsidRPr="00954D22">
      <w:rPr>
        <w:szCs w:val="24"/>
      </w:rPr>
      <w:tab/>
      <w:t xml:space="preserve">- </w:t>
    </w:r>
    <w:r w:rsidR="00004B8E" w:rsidRPr="00954D22">
      <w:rPr>
        <w:szCs w:val="24"/>
      </w:rPr>
      <w:fldChar w:fldCharType="begin"/>
    </w:r>
    <w:r w:rsidRPr="00954D22">
      <w:rPr>
        <w:szCs w:val="24"/>
      </w:rPr>
      <w:instrText xml:space="preserve"> PAGE   \* MERGEFORMAT </w:instrText>
    </w:r>
    <w:r w:rsidR="00004B8E" w:rsidRPr="00954D22">
      <w:rPr>
        <w:szCs w:val="24"/>
      </w:rPr>
      <w:fldChar w:fldCharType="separate"/>
    </w:r>
    <w:r>
      <w:rPr>
        <w:noProof/>
        <w:szCs w:val="24"/>
      </w:rPr>
      <w:t>1601</w:t>
    </w:r>
    <w:r w:rsidR="00004B8E"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237788"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505BD2" w:rsidRPr="00954D22" w:rsidRDefault="00505BD2" w:rsidP="00B7374B">
    <w:pPr>
      <w:tabs>
        <w:tab w:val="center" w:pos="4680"/>
      </w:tabs>
      <w:rPr>
        <w:szCs w:val="24"/>
      </w:rPr>
    </w:pPr>
    <w:r w:rsidRPr="00954D22">
      <w:rPr>
        <w:szCs w:val="24"/>
      </w:rPr>
      <w:tab/>
      <w:t xml:space="preserve">- </w:t>
    </w:r>
    <w:r w:rsidR="00004B8E" w:rsidRPr="00954D22">
      <w:rPr>
        <w:szCs w:val="24"/>
      </w:rPr>
      <w:fldChar w:fldCharType="begin"/>
    </w:r>
    <w:r w:rsidRPr="00954D22">
      <w:rPr>
        <w:szCs w:val="24"/>
      </w:rPr>
      <w:instrText xml:space="preserve"> PAGE   \* MERGEFORMAT </w:instrText>
    </w:r>
    <w:r w:rsidR="00004B8E" w:rsidRPr="00954D22">
      <w:rPr>
        <w:szCs w:val="24"/>
      </w:rPr>
      <w:fldChar w:fldCharType="separate"/>
    </w:r>
    <w:r w:rsidR="00237788">
      <w:rPr>
        <w:noProof/>
        <w:szCs w:val="24"/>
      </w:rPr>
      <w:t>1600</w:t>
    </w:r>
    <w:r w:rsidR="00004B8E"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05BD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05BD2" w:rsidRDefault="00505BD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2377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505BD2" w:rsidRPr="0009648D" w:rsidRDefault="00505BD2" w:rsidP="00ED7E83">
    <w:pPr>
      <w:tabs>
        <w:tab w:val="center" w:pos="4680"/>
      </w:tabs>
    </w:pPr>
    <w:r>
      <w:tab/>
    </w:r>
    <w:r w:rsidRPr="0009648D">
      <w:t xml:space="preserve">- </w:t>
    </w:r>
    <w:r w:rsidR="00237788">
      <w:fldChar w:fldCharType="begin"/>
    </w:r>
    <w:r w:rsidR="00237788">
      <w:instrText xml:space="preserve"> PAGE   \* MERGEFORMAT </w:instrText>
    </w:r>
    <w:r w:rsidR="00237788">
      <w:fldChar w:fldCharType="separate"/>
    </w:r>
    <w:r w:rsidR="00237788">
      <w:rPr>
        <w:noProof/>
      </w:rPr>
      <w:t>1608</w:t>
    </w:r>
    <w:r w:rsidR="00237788">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BD2" w:rsidRDefault="00505BD2" w:rsidP="00A87207">
      <w:r>
        <w:separator/>
      </w:r>
    </w:p>
  </w:footnote>
  <w:footnote w:type="continuationSeparator" w:id="0">
    <w:p w:rsidR="00505BD2" w:rsidRDefault="00505BD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05BD2">
      <w:tc>
        <w:tcPr>
          <w:tcW w:w="4230" w:type="dxa"/>
          <w:tcMar>
            <w:left w:w="0" w:type="dxa"/>
            <w:right w:w="0" w:type="dxa"/>
          </w:tcMar>
        </w:tcPr>
        <w:p w:rsidR="00505BD2"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05BD2" w:rsidRDefault="00505B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5BD2" w:rsidRDefault="00505B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05BD2">
      <w:trPr>
        <w:gridAfter w:val="2"/>
        <w:wAfter w:w="5250" w:type="dxa"/>
      </w:trPr>
      <w:tc>
        <w:tcPr>
          <w:tcW w:w="4230" w:type="dxa"/>
          <w:tcMar>
            <w:left w:w="0" w:type="dxa"/>
            <w:right w:w="0" w:type="dxa"/>
          </w:tcMar>
        </w:tcPr>
        <w:p w:rsidR="00505BD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05BD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05BD2" w:rsidRPr="00755F22" w:rsidTr="00245129">
      <w:tc>
        <w:tcPr>
          <w:tcW w:w="4230" w:type="dxa"/>
          <w:tcMar>
            <w:left w:w="0" w:type="dxa"/>
            <w:right w:w="0" w:type="dxa"/>
          </w:tcMar>
        </w:tcPr>
        <w:p w:rsidR="00505BD2" w:rsidRPr="00755F22" w:rsidRDefault="00505BD2" w:rsidP="00831CA9">
          <w:pPr>
            <w:keepNext/>
            <w:keepLines/>
            <w:rPr>
              <w:sz w:val="20"/>
              <w:szCs w:val="20"/>
            </w:rPr>
          </w:pPr>
          <w:r w:rsidRPr="00755F22">
            <w:rPr>
              <w:sz w:val="20"/>
              <w:szCs w:val="20"/>
            </w:rPr>
            <w:t>MOTIONS</w:t>
          </w:r>
        </w:p>
      </w:tc>
      <w:tc>
        <w:tcPr>
          <w:tcW w:w="1170" w:type="dxa"/>
          <w:tcMar>
            <w:left w:w="0" w:type="dxa"/>
            <w:right w:w="0" w:type="dxa"/>
          </w:tcMar>
        </w:tcPr>
        <w:p w:rsidR="00505BD2" w:rsidRPr="00755F22" w:rsidRDefault="00505BD2" w:rsidP="00831CA9">
          <w:pPr>
            <w:keepLines/>
            <w:jc w:val="center"/>
            <w:rPr>
              <w:sz w:val="20"/>
              <w:szCs w:val="20"/>
            </w:rPr>
          </w:pPr>
        </w:p>
        <w:p w:rsidR="00505BD2" w:rsidRPr="00755F22" w:rsidRDefault="00505BD2" w:rsidP="00831CA9">
          <w:pPr>
            <w:keepLines/>
            <w:tabs>
              <w:tab w:val="left" w:pos="-1440"/>
              <w:tab w:val="left" w:pos="-720"/>
            </w:tabs>
            <w:jc w:val="center"/>
            <w:rPr>
              <w:sz w:val="20"/>
              <w:szCs w:val="20"/>
            </w:rPr>
          </w:pPr>
        </w:p>
      </w:tc>
      <w:tc>
        <w:tcPr>
          <w:tcW w:w="4080" w:type="dxa"/>
          <w:tcMar>
            <w:left w:w="0" w:type="dxa"/>
            <w:right w:w="0" w:type="dxa"/>
          </w:tcMar>
        </w:tcPr>
        <w:p w:rsidR="00505BD2" w:rsidRPr="00BA6468" w:rsidRDefault="00505BD2" w:rsidP="00BA6468">
          <w:pPr>
            <w:keepLines/>
            <w:rPr>
              <w:sz w:val="20"/>
              <w:szCs w:val="20"/>
              <w:lang w:val="fr-CA"/>
            </w:rPr>
          </w:pPr>
          <w:r w:rsidRPr="00BA6468">
            <w:rPr>
              <w:sz w:val="20"/>
              <w:szCs w:val="20"/>
              <w:lang w:val="fr-CA"/>
            </w:rPr>
            <w:t>REQUÊTES</w:t>
          </w:r>
        </w:p>
      </w:tc>
    </w:tr>
  </w:tbl>
  <w:p w:rsidR="00505BD2" w:rsidRDefault="00505BD2"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05BD2" w:rsidRPr="001362C4">
      <w:tc>
        <w:tcPr>
          <w:tcW w:w="4200" w:type="dxa"/>
          <w:tcMar>
            <w:left w:w="0" w:type="dxa"/>
            <w:right w:w="0" w:type="dxa"/>
          </w:tcMar>
        </w:tcPr>
        <w:p w:rsidR="00505BD2"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505BD2"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5BD2" w:rsidRPr="00283C52" w:rsidRDefault="00505B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505BD2" w:rsidRPr="00283C5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505BD2" w:rsidRPr="00283C5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05BD2" w:rsidRPr="001362C4" w:rsidTr="00245129">
      <w:tc>
        <w:tcPr>
          <w:tcW w:w="4200" w:type="dxa"/>
          <w:tcMar>
            <w:left w:w="0" w:type="dxa"/>
            <w:right w:w="0" w:type="dxa"/>
          </w:tcMar>
        </w:tcPr>
        <w:p w:rsidR="00505BD2" w:rsidRPr="00732DB7" w:rsidRDefault="00505BD2"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505BD2" w:rsidRPr="00732DB7" w:rsidRDefault="00505BD2" w:rsidP="00732DB7">
          <w:pPr>
            <w:keepNext/>
            <w:keepLines/>
            <w:tabs>
              <w:tab w:val="left" w:pos="-1440"/>
              <w:tab w:val="left" w:pos="-720"/>
            </w:tabs>
            <w:jc w:val="center"/>
            <w:rPr>
              <w:sz w:val="20"/>
              <w:szCs w:val="20"/>
            </w:rPr>
          </w:pPr>
        </w:p>
        <w:p w:rsidR="00505BD2" w:rsidRPr="00732DB7" w:rsidRDefault="00505BD2" w:rsidP="00732DB7">
          <w:pPr>
            <w:keepNext/>
            <w:keepLines/>
            <w:tabs>
              <w:tab w:val="left" w:pos="-1440"/>
              <w:tab w:val="left" w:pos="-720"/>
            </w:tabs>
            <w:jc w:val="center"/>
            <w:rPr>
              <w:sz w:val="20"/>
              <w:szCs w:val="20"/>
            </w:rPr>
          </w:pPr>
        </w:p>
        <w:p w:rsidR="00505BD2" w:rsidRPr="00732DB7" w:rsidRDefault="00505BD2" w:rsidP="00732DB7">
          <w:pPr>
            <w:keepNext/>
            <w:keepLines/>
            <w:tabs>
              <w:tab w:val="left" w:pos="-1440"/>
              <w:tab w:val="left" w:pos="-720"/>
            </w:tabs>
            <w:jc w:val="center"/>
            <w:rPr>
              <w:sz w:val="20"/>
              <w:szCs w:val="20"/>
            </w:rPr>
          </w:pPr>
        </w:p>
      </w:tc>
      <w:tc>
        <w:tcPr>
          <w:tcW w:w="4080" w:type="dxa"/>
          <w:tcMar>
            <w:left w:w="0" w:type="dxa"/>
            <w:right w:w="0" w:type="dxa"/>
          </w:tcMar>
        </w:tcPr>
        <w:p w:rsidR="00505BD2" w:rsidRPr="00732DB7" w:rsidRDefault="00505BD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505BD2" w:rsidRPr="00283C52" w:rsidRDefault="00505BD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05BD2" w:rsidRPr="001362C4">
      <w:tc>
        <w:tcPr>
          <w:tcW w:w="4200" w:type="dxa"/>
          <w:tcMar>
            <w:left w:w="0" w:type="dxa"/>
            <w:right w:w="0" w:type="dxa"/>
          </w:tcMar>
        </w:tcPr>
        <w:p w:rsidR="00505BD2"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505BD2"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505BD2"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505BD2" w:rsidRPr="003C2C0F" w:rsidRDefault="00505B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505BD2" w:rsidRPr="003C2C0F"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505BD2" w:rsidRPr="003C2C0F"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05BD2" w:rsidRPr="001362C4" w:rsidTr="00245129">
      <w:tc>
        <w:tcPr>
          <w:tcW w:w="4200" w:type="dxa"/>
          <w:tcMar>
            <w:left w:w="0" w:type="dxa"/>
            <w:right w:w="0" w:type="dxa"/>
          </w:tcMar>
        </w:tcPr>
        <w:p w:rsidR="00505BD2" w:rsidRPr="00FF6EEC" w:rsidRDefault="00505BD2" w:rsidP="00FF6EEC">
          <w:pPr>
            <w:rPr>
              <w:sz w:val="20"/>
              <w:szCs w:val="20"/>
            </w:rPr>
          </w:pPr>
          <w:r w:rsidRPr="00FF6EEC">
            <w:rPr>
              <w:sz w:val="20"/>
              <w:szCs w:val="20"/>
            </w:rPr>
            <w:t>PRONOUNCEMENTS OF APPEALS RESERVED</w:t>
          </w:r>
        </w:p>
      </w:tc>
      <w:tc>
        <w:tcPr>
          <w:tcW w:w="1200" w:type="dxa"/>
          <w:tcMar>
            <w:left w:w="0" w:type="dxa"/>
            <w:right w:w="0" w:type="dxa"/>
          </w:tcMar>
        </w:tcPr>
        <w:p w:rsidR="00505BD2" w:rsidRPr="00FF6EEC" w:rsidRDefault="00505BD2" w:rsidP="00FF6EEC">
          <w:pPr>
            <w:jc w:val="center"/>
            <w:rPr>
              <w:sz w:val="20"/>
              <w:szCs w:val="20"/>
            </w:rPr>
          </w:pPr>
        </w:p>
        <w:p w:rsidR="00505BD2" w:rsidRPr="00FF6EEC" w:rsidRDefault="00505BD2" w:rsidP="00FF6EEC">
          <w:pPr>
            <w:jc w:val="center"/>
            <w:rPr>
              <w:sz w:val="20"/>
              <w:szCs w:val="20"/>
            </w:rPr>
          </w:pPr>
        </w:p>
        <w:p w:rsidR="00505BD2" w:rsidRPr="00FF6EEC" w:rsidRDefault="00505BD2" w:rsidP="00FF6EEC">
          <w:pPr>
            <w:jc w:val="center"/>
            <w:rPr>
              <w:sz w:val="20"/>
              <w:szCs w:val="20"/>
            </w:rPr>
          </w:pPr>
        </w:p>
      </w:tc>
      <w:tc>
        <w:tcPr>
          <w:tcW w:w="4080" w:type="dxa"/>
          <w:tcMar>
            <w:left w:w="0" w:type="dxa"/>
            <w:right w:w="0" w:type="dxa"/>
          </w:tcMar>
        </w:tcPr>
        <w:p w:rsidR="00505BD2" w:rsidRPr="00FF6EEC" w:rsidRDefault="00505BD2" w:rsidP="00FF6EEC">
          <w:pPr>
            <w:rPr>
              <w:sz w:val="20"/>
              <w:szCs w:val="20"/>
              <w:lang w:val="fr-CA"/>
            </w:rPr>
          </w:pPr>
          <w:r w:rsidRPr="00FF6EEC">
            <w:rPr>
              <w:sz w:val="20"/>
              <w:szCs w:val="20"/>
              <w:lang w:val="fr-CA"/>
            </w:rPr>
            <w:t>JUGEMENTS RENDUS SUR LES APPELS EN DÉLIBÉRÉ</w:t>
          </w:r>
        </w:p>
      </w:tc>
    </w:tr>
  </w:tbl>
  <w:p w:rsidR="00505BD2" w:rsidRPr="003C2C0F" w:rsidRDefault="00505BD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05BD2">
      <w:tc>
        <w:tcPr>
          <w:tcW w:w="4230" w:type="dxa"/>
          <w:tcMar>
            <w:left w:w="0" w:type="dxa"/>
            <w:right w:w="0" w:type="dxa"/>
          </w:tcMar>
        </w:tcPr>
        <w:p w:rsidR="00505BD2"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05BD2"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05BD2"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05BD2"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5BD2"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05BD2" w:rsidRDefault="00505B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05BD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05BD2"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05BD2" w:rsidRPr="00782AE4" w:rsidTr="00245129">
      <w:tc>
        <w:tcPr>
          <w:tcW w:w="4230" w:type="dxa"/>
          <w:tcMar>
            <w:left w:w="0" w:type="dxa"/>
            <w:right w:w="0" w:type="dxa"/>
          </w:tcMar>
        </w:tcPr>
        <w:p w:rsidR="00505BD2" w:rsidRPr="00782AE4" w:rsidRDefault="00505BD2" w:rsidP="00102926">
          <w:pPr>
            <w:keepNext/>
            <w:keepLines/>
            <w:tabs>
              <w:tab w:val="left" w:pos="-1440"/>
              <w:tab w:val="left" w:pos="-720"/>
            </w:tabs>
            <w:rPr>
              <w:sz w:val="20"/>
              <w:szCs w:val="20"/>
            </w:rPr>
          </w:pPr>
          <w:r w:rsidRPr="00782AE4">
            <w:rPr>
              <w:sz w:val="20"/>
              <w:szCs w:val="20"/>
            </w:rPr>
            <w:t xml:space="preserve">HEADNOTES OF RECENT </w:t>
          </w:r>
        </w:p>
        <w:p w:rsidR="00505BD2" w:rsidRPr="00782AE4"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05BD2" w:rsidRDefault="00505BD2" w:rsidP="00102926">
          <w:pPr>
            <w:keepNext/>
            <w:keepLines/>
            <w:tabs>
              <w:tab w:val="left" w:pos="-1440"/>
              <w:tab w:val="left" w:pos="-720"/>
            </w:tabs>
            <w:jc w:val="center"/>
            <w:rPr>
              <w:sz w:val="20"/>
              <w:szCs w:val="20"/>
            </w:rPr>
          </w:pPr>
        </w:p>
        <w:p w:rsidR="00505BD2" w:rsidRDefault="00505BD2" w:rsidP="00102926">
          <w:pPr>
            <w:keepNext/>
            <w:keepLines/>
            <w:tabs>
              <w:tab w:val="left" w:pos="-1440"/>
              <w:tab w:val="left" w:pos="-720"/>
            </w:tabs>
            <w:jc w:val="center"/>
            <w:rPr>
              <w:sz w:val="20"/>
              <w:szCs w:val="20"/>
            </w:rPr>
          </w:pPr>
        </w:p>
        <w:p w:rsidR="00505BD2" w:rsidRPr="00782AE4" w:rsidRDefault="00505BD2" w:rsidP="00102926">
          <w:pPr>
            <w:keepNext/>
            <w:keepLines/>
            <w:tabs>
              <w:tab w:val="left" w:pos="-1440"/>
              <w:tab w:val="left" w:pos="-720"/>
            </w:tabs>
            <w:jc w:val="center"/>
            <w:rPr>
              <w:sz w:val="20"/>
              <w:szCs w:val="20"/>
            </w:rPr>
          </w:pPr>
        </w:p>
      </w:tc>
      <w:tc>
        <w:tcPr>
          <w:tcW w:w="4080" w:type="dxa"/>
          <w:tcMar>
            <w:left w:w="0" w:type="dxa"/>
            <w:right w:w="0" w:type="dxa"/>
          </w:tcMar>
        </w:tcPr>
        <w:p w:rsidR="00505BD2" w:rsidRPr="00102926"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05BD2" w:rsidRPr="00782AE4" w:rsidRDefault="00505BD2" w:rsidP="00102926">
          <w:pPr>
            <w:keepLines/>
            <w:tabs>
              <w:tab w:val="left" w:pos="-1440"/>
              <w:tab w:val="left" w:pos="-720"/>
            </w:tabs>
            <w:rPr>
              <w:sz w:val="20"/>
              <w:szCs w:val="20"/>
            </w:rPr>
          </w:pPr>
          <w:r w:rsidRPr="00102926">
            <w:rPr>
              <w:sz w:val="20"/>
              <w:szCs w:val="20"/>
              <w:lang w:val="fr-CA"/>
            </w:rPr>
            <w:t>RÉCENTS</w:t>
          </w:r>
        </w:p>
      </w:tc>
    </w:tr>
  </w:tbl>
  <w:p w:rsidR="00505BD2" w:rsidRDefault="00505BD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505BD2" w:rsidRPr="001362C4" w:rsidTr="00245129">
      <w:tc>
        <w:tcPr>
          <w:tcW w:w="4320" w:type="dxa"/>
        </w:tcPr>
        <w:p w:rsidR="00505BD2" w:rsidRPr="006B6926" w:rsidRDefault="00505BD2" w:rsidP="006B6926">
          <w:pPr>
            <w:keepNext/>
            <w:keepLines/>
            <w:rPr>
              <w:bCs/>
              <w:sz w:val="20"/>
              <w:szCs w:val="20"/>
              <w:lang w:val="en-GB"/>
            </w:rPr>
          </w:pPr>
          <w:r w:rsidRPr="006B6926">
            <w:rPr>
              <w:bCs/>
              <w:sz w:val="20"/>
              <w:szCs w:val="20"/>
              <w:lang w:val="en-GB"/>
            </w:rPr>
            <w:t>SUPREME COURT REPORTS</w:t>
          </w:r>
        </w:p>
      </w:tc>
      <w:tc>
        <w:tcPr>
          <w:tcW w:w="840" w:type="dxa"/>
        </w:tcPr>
        <w:p w:rsidR="00505BD2" w:rsidRDefault="00505BD2" w:rsidP="006B6926">
          <w:pPr>
            <w:jc w:val="center"/>
            <w:rPr>
              <w:bCs/>
              <w:sz w:val="20"/>
              <w:szCs w:val="20"/>
              <w:lang w:val="en-GB"/>
            </w:rPr>
          </w:pPr>
        </w:p>
        <w:p w:rsidR="00505BD2" w:rsidRPr="006B6926" w:rsidRDefault="00505BD2" w:rsidP="006B6926">
          <w:pPr>
            <w:jc w:val="center"/>
            <w:rPr>
              <w:bCs/>
              <w:sz w:val="20"/>
              <w:szCs w:val="20"/>
              <w:lang w:val="en-GB"/>
            </w:rPr>
          </w:pPr>
        </w:p>
      </w:tc>
      <w:tc>
        <w:tcPr>
          <w:tcW w:w="4320" w:type="dxa"/>
        </w:tcPr>
        <w:p w:rsidR="00505BD2" w:rsidRPr="006B6926" w:rsidRDefault="00505BD2" w:rsidP="006B6926">
          <w:pPr>
            <w:keepNext/>
            <w:keepLines/>
            <w:rPr>
              <w:bCs/>
              <w:sz w:val="20"/>
              <w:szCs w:val="20"/>
              <w:lang w:val="fr-CA"/>
            </w:rPr>
          </w:pPr>
          <w:r w:rsidRPr="006B6926">
            <w:rPr>
              <w:bCs/>
              <w:sz w:val="20"/>
              <w:szCs w:val="20"/>
              <w:lang w:val="fr-CA"/>
            </w:rPr>
            <w:t>RECUEIL DES ARRÊTS DE LA COUR SUPRÊME</w:t>
          </w:r>
        </w:p>
      </w:tc>
    </w:tr>
  </w:tbl>
  <w:p w:rsidR="00505BD2" w:rsidRPr="000924F7" w:rsidRDefault="00505BD2">
    <w:pPr>
      <w:pStyle w:val="Header"/>
      <w:rPr>
        <w:lang w:val="fr-CA"/>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05BD2" w:rsidRPr="0044776A" w:rsidTr="00245129">
      <w:tc>
        <w:tcPr>
          <w:tcW w:w="4290" w:type="dxa"/>
          <w:tcMar>
            <w:left w:w="0" w:type="dxa"/>
            <w:right w:w="0" w:type="dxa"/>
          </w:tcMar>
        </w:tcPr>
        <w:p w:rsidR="00505BD2" w:rsidRPr="0044776A" w:rsidRDefault="00505BD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05BD2" w:rsidRPr="0044776A" w:rsidRDefault="00505BD2" w:rsidP="002E2327">
          <w:pPr>
            <w:keepNext/>
            <w:keepLines/>
            <w:tabs>
              <w:tab w:val="left" w:pos="-1440"/>
              <w:tab w:val="left" w:pos="-720"/>
            </w:tabs>
            <w:jc w:val="center"/>
            <w:rPr>
              <w:sz w:val="20"/>
              <w:szCs w:val="20"/>
            </w:rPr>
          </w:pPr>
        </w:p>
        <w:p w:rsidR="00505BD2" w:rsidRPr="0044776A" w:rsidRDefault="00505BD2" w:rsidP="002E2327">
          <w:pPr>
            <w:keepNext/>
            <w:keepLines/>
            <w:tabs>
              <w:tab w:val="left" w:pos="-1440"/>
              <w:tab w:val="left" w:pos="-720"/>
            </w:tabs>
            <w:jc w:val="center"/>
            <w:rPr>
              <w:sz w:val="20"/>
              <w:szCs w:val="20"/>
            </w:rPr>
          </w:pPr>
        </w:p>
        <w:p w:rsidR="00505BD2" w:rsidRPr="0044776A" w:rsidRDefault="00505BD2" w:rsidP="002E2327">
          <w:pPr>
            <w:keepNext/>
            <w:keepLines/>
            <w:tabs>
              <w:tab w:val="left" w:pos="-1440"/>
              <w:tab w:val="left" w:pos="-720"/>
            </w:tabs>
            <w:jc w:val="center"/>
            <w:rPr>
              <w:sz w:val="20"/>
              <w:szCs w:val="20"/>
            </w:rPr>
          </w:pPr>
        </w:p>
      </w:tc>
      <w:tc>
        <w:tcPr>
          <w:tcW w:w="4320" w:type="dxa"/>
          <w:tcMar>
            <w:left w:w="0" w:type="dxa"/>
            <w:right w:w="0" w:type="dxa"/>
          </w:tcMar>
        </w:tcPr>
        <w:p w:rsidR="00505BD2" w:rsidRPr="0044776A" w:rsidRDefault="00505BD2" w:rsidP="002E2327">
          <w:pPr>
            <w:keepLines/>
            <w:rPr>
              <w:sz w:val="20"/>
              <w:szCs w:val="20"/>
              <w:lang w:val="fr-CA"/>
            </w:rPr>
          </w:pPr>
          <w:r w:rsidRPr="0044776A">
            <w:rPr>
              <w:sz w:val="20"/>
              <w:szCs w:val="20"/>
              <w:lang w:val="fr-CA"/>
            </w:rPr>
            <w:t>DEMANDES D'AUTORISATION D'APPEL DÉPOSÉES</w:t>
          </w:r>
        </w:p>
      </w:tc>
    </w:tr>
  </w:tbl>
  <w:p w:rsidR="00505BD2" w:rsidRDefault="00505B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05BD2" w:rsidRPr="001362C4" w:rsidTr="00245129">
      <w:tc>
        <w:tcPr>
          <w:tcW w:w="4200" w:type="dxa"/>
          <w:tcMar>
            <w:left w:w="0" w:type="dxa"/>
            <w:right w:w="0" w:type="dxa"/>
          </w:tcMar>
        </w:tcPr>
        <w:p w:rsidR="00505BD2" w:rsidRPr="0044776A" w:rsidRDefault="00505BD2" w:rsidP="0044776A">
          <w:pPr>
            <w:keepNext/>
            <w:keepLines/>
            <w:widowControl w:val="0"/>
            <w:rPr>
              <w:sz w:val="20"/>
              <w:szCs w:val="20"/>
            </w:rPr>
          </w:pPr>
          <w:r>
            <w:rPr>
              <w:sz w:val="20"/>
              <w:szCs w:val="20"/>
            </w:rPr>
            <w:t>APPLICATIONS FOR LEAVE</w:t>
          </w:r>
        </w:p>
        <w:p w:rsidR="00505BD2" w:rsidRPr="0044776A" w:rsidRDefault="00505BD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05BD2" w:rsidRPr="0044776A" w:rsidRDefault="00505BD2" w:rsidP="0044776A">
          <w:pPr>
            <w:keepNext/>
            <w:keepLines/>
            <w:widowControl w:val="0"/>
            <w:jc w:val="center"/>
            <w:rPr>
              <w:sz w:val="20"/>
              <w:szCs w:val="20"/>
            </w:rPr>
          </w:pPr>
        </w:p>
        <w:p w:rsidR="00505BD2" w:rsidRPr="0044776A" w:rsidRDefault="00505BD2" w:rsidP="0044776A">
          <w:pPr>
            <w:keepNext/>
            <w:keepLines/>
            <w:widowControl w:val="0"/>
            <w:jc w:val="center"/>
            <w:rPr>
              <w:sz w:val="20"/>
              <w:szCs w:val="20"/>
            </w:rPr>
          </w:pPr>
        </w:p>
        <w:p w:rsidR="00505BD2" w:rsidRPr="0044776A" w:rsidRDefault="00505BD2" w:rsidP="0044776A">
          <w:pPr>
            <w:keepNext/>
            <w:keepLines/>
            <w:widowControl w:val="0"/>
            <w:jc w:val="center"/>
            <w:rPr>
              <w:sz w:val="20"/>
              <w:szCs w:val="20"/>
            </w:rPr>
          </w:pPr>
        </w:p>
      </w:tc>
      <w:tc>
        <w:tcPr>
          <w:tcW w:w="4080" w:type="dxa"/>
          <w:tcMar>
            <w:left w:w="0" w:type="dxa"/>
            <w:right w:w="0" w:type="dxa"/>
          </w:tcMar>
        </w:tcPr>
        <w:p w:rsidR="00505BD2" w:rsidRPr="0044776A" w:rsidRDefault="00505BD2" w:rsidP="0044776A">
          <w:pPr>
            <w:keepLines/>
            <w:widowControl w:val="0"/>
            <w:rPr>
              <w:sz w:val="20"/>
              <w:szCs w:val="20"/>
              <w:lang w:val="fr-CA"/>
            </w:rPr>
          </w:pPr>
          <w:r w:rsidRPr="0044776A">
            <w:rPr>
              <w:sz w:val="20"/>
              <w:szCs w:val="20"/>
              <w:lang w:val="fr-CA"/>
            </w:rPr>
            <w:t>DEMANDES SOUMISES À LA COUR DEPUIS LA DERNIÈRE PARUTION</w:t>
          </w:r>
        </w:p>
        <w:p w:rsidR="00505BD2" w:rsidRPr="0044776A" w:rsidRDefault="00505BD2" w:rsidP="0044776A">
          <w:pPr>
            <w:widowControl w:val="0"/>
            <w:rPr>
              <w:sz w:val="20"/>
              <w:szCs w:val="20"/>
              <w:lang w:val="fr-CA"/>
            </w:rPr>
          </w:pPr>
        </w:p>
      </w:tc>
    </w:tr>
  </w:tbl>
  <w:p w:rsidR="00505BD2" w:rsidRPr="002E2327" w:rsidRDefault="00505BD2">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D2" w:rsidRDefault="00505BD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05BD2" w:rsidRPr="001362C4">
      <w:tc>
        <w:tcPr>
          <w:tcW w:w="4200" w:type="dxa"/>
          <w:tcMar>
            <w:left w:w="0" w:type="dxa"/>
            <w:right w:w="0" w:type="dxa"/>
          </w:tcMar>
        </w:tcPr>
        <w:p w:rsidR="00505BD2"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05BD2"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05BD2" w:rsidRDefault="00505B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05BD2" w:rsidRPr="00FF6BA5" w:rsidRDefault="00505B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05BD2" w:rsidRPr="00FF6BA5"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05BD2" w:rsidRPr="00FF6BA5"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05BD2" w:rsidRPr="00FF6BA5" w:rsidRDefault="00505B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05BD2" w:rsidRPr="001362C4" w:rsidTr="00245129">
      <w:tc>
        <w:tcPr>
          <w:tcW w:w="4200" w:type="dxa"/>
          <w:tcMar>
            <w:left w:w="0" w:type="dxa"/>
            <w:right w:w="0" w:type="dxa"/>
          </w:tcMar>
        </w:tcPr>
        <w:p w:rsidR="00505BD2" w:rsidRPr="00755F22"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05BD2" w:rsidRPr="00755F22" w:rsidRDefault="00505B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05BD2" w:rsidRPr="00755F22" w:rsidRDefault="00505BD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05BD2" w:rsidRPr="00755F22" w:rsidRDefault="00505BD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05BD2" w:rsidRPr="00755F22" w:rsidRDefault="00505BD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05BD2" w:rsidRPr="00755F22" w:rsidRDefault="00505BD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05BD2" w:rsidRPr="00FF6BA5" w:rsidRDefault="00505BD2"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71697"/>
  </w:hdrShapeDefaults>
  <w:footnotePr>
    <w:footnote w:id="-1"/>
    <w:footnote w:id="0"/>
  </w:footnotePr>
  <w:endnotePr>
    <w:endnote w:id="-1"/>
    <w:endnote w:id="0"/>
  </w:endnotePr>
  <w:compat>
    <w:compatSetting w:name="compatibilityMode" w:uri="http://schemas.microsoft.com/office/word" w:val="12"/>
  </w:compat>
  <w:rsids>
    <w:rsidRoot w:val="00EC4319"/>
    <w:rsid w:val="00004B8E"/>
    <w:rsid w:val="0003223B"/>
    <w:rsid w:val="000327B2"/>
    <w:rsid w:val="00043881"/>
    <w:rsid w:val="0004528B"/>
    <w:rsid w:val="00061EDE"/>
    <w:rsid w:val="00091FA6"/>
    <w:rsid w:val="00096BD9"/>
    <w:rsid w:val="000B3C9A"/>
    <w:rsid w:val="000B40A2"/>
    <w:rsid w:val="000B4624"/>
    <w:rsid w:val="000B63AF"/>
    <w:rsid w:val="000C0ACD"/>
    <w:rsid w:val="000C0D2A"/>
    <w:rsid w:val="000C5CE8"/>
    <w:rsid w:val="000E2959"/>
    <w:rsid w:val="000F0B60"/>
    <w:rsid w:val="000F6286"/>
    <w:rsid w:val="00102926"/>
    <w:rsid w:val="0010587F"/>
    <w:rsid w:val="00111C6B"/>
    <w:rsid w:val="0012102B"/>
    <w:rsid w:val="0013369E"/>
    <w:rsid w:val="00134238"/>
    <w:rsid w:val="001362C4"/>
    <w:rsid w:val="00164E6D"/>
    <w:rsid w:val="00183454"/>
    <w:rsid w:val="00186043"/>
    <w:rsid w:val="001A47E1"/>
    <w:rsid w:val="001B157C"/>
    <w:rsid w:val="001B4006"/>
    <w:rsid w:val="001B47E2"/>
    <w:rsid w:val="001B5C23"/>
    <w:rsid w:val="001C1AF7"/>
    <w:rsid w:val="001C2EF3"/>
    <w:rsid w:val="001C5072"/>
    <w:rsid w:val="001D0D5F"/>
    <w:rsid w:val="001D3BF7"/>
    <w:rsid w:val="001D6B8C"/>
    <w:rsid w:val="001F1F83"/>
    <w:rsid w:val="001F40DF"/>
    <w:rsid w:val="002021A9"/>
    <w:rsid w:val="002139A7"/>
    <w:rsid w:val="00215F7C"/>
    <w:rsid w:val="002226D2"/>
    <w:rsid w:val="0022323B"/>
    <w:rsid w:val="002267C9"/>
    <w:rsid w:val="00237788"/>
    <w:rsid w:val="002410B8"/>
    <w:rsid w:val="00242AEE"/>
    <w:rsid w:val="00245129"/>
    <w:rsid w:val="00245879"/>
    <w:rsid w:val="00262483"/>
    <w:rsid w:val="00267FD5"/>
    <w:rsid w:val="00274D34"/>
    <w:rsid w:val="00283746"/>
    <w:rsid w:val="00283ED8"/>
    <w:rsid w:val="002868D0"/>
    <w:rsid w:val="002A008C"/>
    <w:rsid w:val="002A27D1"/>
    <w:rsid w:val="002A4AFA"/>
    <w:rsid w:val="002B516C"/>
    <w:rsid w:val="002C592F"/>
    <w:rsid w:val="002D72EB"/>
    <w:rsid w:val="002E2327"/>
    <w:rsid w:val="002E3583"/>
    <w:rsid w:val="002E5576"/>
    <w:rsid w:val="003107C6"/>
    <w:rsid w:val="00331B52"/>
    <w:rsid w:val="003359D3"/>
    <w:rsid w:val="003427B8"/>
    <w:rsid w:val="00355967"/>
    <w:rsid w:val="003771B1"/>
    <w:rsid w:val="00382C47"/>
    <w:rsid w:val="00384384"/>
    <w:rsid w:val="003866AE"/>
    <w:rsid w:val="003B3977"/>
    <w:rsid w:val="003E1D4C"/>
    <w:rsid w:val="004137A0"/>
    <w:rsid w:val="00422D9A"/>
    <w:rsid w:val="00431E67"/>
    <w:rsid w:val="00432989"/>
    <w:rsid w:val="00440E24"/>
    <w:rsid w:val="0044776A"/>
    <w:rsid w:val="00457003"/>
    <w:rsid w:val="00460AFC"/>
    <w:rsid w:val="00470FA8"/>
    <w:rsid w:val="0047471F"/>
    <w:rsid w:val="004A6177"/>
    <w:rsid w:val="004B195E"/>
    <w:rsid w:val="004B66B4"/>
    <w:rsid w:val="004B7F60"/>
    <w:rsid w:val="004C1AAC"/>
    <w:rsid w:val="004E1E0A"/>
    <w:rsid w:val="004F090E"/>
    <w:rsid w:val="00501F3C"/>
    <w:rsid w:val="00505BD2"/>
    <w:rsid w:val="0052229C"/>
    <w:rsid w:val="00527CC7"/>
    <w:rsid w:val="00545ECF"/>
    <w:rsid w:val="00571CA4"/>
    <w:rsid w:val="00582136"/>
    <w:rsid w:val="00596881"/>
    <w:rsid w:val="005B6EE2"/>
    <w:rsid w:val="005C6840"/>
    <w:rsid w:val="005F1ED8"/>
    <w:rsid w:val="005F263E"/>
    <w:rsid w:val="00600252"/>
    <w:rsid w:val="00612A40"/>
    <w:rsid w:val="00615A51"/>
    <w:rsid w:val="0062714A"/>
    <w:rsid w:val="0066350E"/>
    <w:rsid w:val="006670A1"/>
    <w:rsid w:val="00675479"/>
    <w:rsid w:val="00680709"/>
    <w:rsid w:val="00696BF9"/>
    <w:rsid w:val="00697C62"/>
    <w:rsid w:val="006A0CAD"/>
    <w:rsid w:val="006A329B"/>
    <w:rsid w:val="006A7EB8"/>
    <w:rsid w:val="006B4C4C"/>
    <w:rsid w:val="006B6926"/>
    <w:rsid w:val="006C3F47"/>
    <w:rsid w:val="006C5F7A"/>
    <w:rsid w:val="006E06AF"/>
    <w:rsid w:val="006F350F"/>
    <w:rsid w:val="00732DB7"/>
    <w:rsid w:val="0074238B"/>
    <w:rsid w:val="00745EF7"/>
    <w:rsid w:val="00755F22"/>
    <w:rsid w:val="00766E4A"/>
    <w:rsid w:val="007820CE"/>
    <w:rsid w:val="00782AE4"/>
    <w:rsid w:val="0079724F"/>
    <w:rsid w:val="007A3EAE"/>
    <w:rsid w:val="007A602B"/>
    <w:rsid w:val="007C04FC"/>
    <w:rsid w:val="007C47C2"/>
    <w:rsid w:val="007D3E0F"/>
    <w:rsid w:val="007E4282"/>
    <w:rsid w:val="007F387B"/>
    <w:rsid w:val="00802863"/>
    <w:rsid w:val="008076A2"/>
    <w:rsid w:val="008112A9"/>
    <w:rsid w:val="00815B3C"/>
    <w:rsid w:val="0081610A"/>
    <w:rsid w:val="00824CBB"/>
    <w:rsid w:val="0082783A"/>
    <w:rsid w:val="00831CA9"/>
    <w:rsid w:val="00850E1F"/>
    <w:rsid w:val="0085476B"/>
    <w:rsid w:val="0086340B"/>
    <w:rsid w:val="00890FEB"/>
    <w:rsid w:val="00895E7E"/>
    <w:rsid w:val="008A0FD9"/>
    <w:rsid w:val="008A5C1A"/>
    <w:rsid w:val="008C03DD"/>
    <w:rsid w:val="008D292F"/>
    <w:rsid w:val="008E03DC"/>
    <w:rsid w:val="00902E51"/>
    <w:rsid w:val="00924065"/>
    <w:rsid w:val="00926130"/>
    <w:rsid w:val="00930D68"/>
    <w:rsid w:val="00932DB4"/>
    <w:rsid w:val="00941A4B"/>
    <w:rsid w:val="00946242"/>
    <w:rsid w:val="0095096B"/>
    <w:rsid w:val="00970CD3"/>
    <w:rsid w:val="009723FA"/>
    <w:rsid w:val="00984546"/>
    <w:rsid w:val="00996510"/>
    <w:rsid w:val="009C3747"/>
    <w:rsid w:val="009D1F15"/>
    <w:rsid w:val="009D555E"/>
    <w:rsid w:val="009F3024"/>
    <w:rsid w:val="00A0355E"/>
    <w:rsid w:val="00A1791A"/>
    <w:rsid w:val="00A375D1"/>
    <w:rsid w:val="00A51D10"/>
    <w:rsid w:val="00A52A83"/>
    <w:rsid w:val="00A54194"/>
    <w:rsid w:val="00A6552C"/>
    <w:rsid w:val="00A87207"/>
    <w:rsid w:val="00A935AA"/>
    <w:rsid w:val="00A956D3"/>
    <w:rsid w:val="00AB2201"/>
    <w:rsid w:val="00AB292F"/>
    <w:rsid w:val="00AB7EC2"/>
    <w:rsid w:val="00AD1D34"/>
    <w:rsid w:val="00AD3259"/>
    <w:rsid w:val="00AF1715"/>
    <w:rsid w:val="00AF3904"/>
    <w:rsid w:val="00B010C0"/>
    <w:rsid w:val="00B06F48"/>
    <w:rsid w:val="00B1010D"/>
    <w:rsid w:val="00B22E2A"/>
    <w:rsid w:val="00B274D8"/>
    <w:rsid w:val="00B4740D"/>
    <w:rsid w:val="00B61629"/>
    <w:rsid w:val="00B7374B"/>
    <w:rsid w:val="00B90DC0"/>
    <w:rsid w:val="00BA116A"/>
    <w:rsid w:val="00BA5582"/>
    <w:rsid w:val="00BA6468"/>
    <w:rsid w:val="00BB18FF"/>
    <w:rsid w:val="00BB1D44"/>
    <w:rsid w:val="00BD06DA"/>
    <w:rsid w:val="00BD4217"/>
    <w:rsid w:val="00BF25F3"/>
    <w:rsid w:val="00C07506"/>
    <w:rsid w:val="00C1697B"/>
    <w:rsid w:val="00C21644"/>
    <w:rsid w:val="00C21CB5"/>
    <w:rsid w:val="00C46376"/>
    <w:rsid w:val="00C50A5C"/>
    <w:rsid w:val="00C50FDF"/>
    <w:rsid w:val="00C63381"/>
    <w:rsid w:val="00C73D06"/>
    <w:rsid w:val="00C73E1B"/>
    <w:rsid w:val="00C759B4"/>
    <w:rsid w:val="00C77713"/>
    <w:rsid w:val="00C85BB7"/>
    <w:rsid w:val="00CA2DEA"/>
    <w:rsid w:val="00CB189A"/>
    <w:rsid w:val="00CB3520"/>
    <w:rsid w:val="00CB43D5"/>
    <w:rsid w:val="00CC38D9"/>
    <w:rsid w:val="00CC4D84"/>
    <w:rsid w:val="00CE1123"/>
    <w:rsid w:val="00CE198A"/>
    <w:rsid w:val="00CF0368"/>
    <w:rsid w:val="00CF08C8"/>
    <w:rsid w:val="00CF0EF3"/>
    <w:rsid w:val="00CF125F"/>
    <w:rsid w:val="00D004FC"/>
    <w:rsid w:val="00D55DAC"/>
    <w:rsid w:val="00D64901"/>
    <w:rsid w:val="00D76BDF"/>
    <w:rsid w:val="00D862C1"/>
    <w:rsid w:val="00D93B50"/>
    <w:rsid w:val="00D94028"/>
    <w:rsid w:val="00D94670"/>
    <w:rsid w:val="00DA46F6"/>
    <w:rsid w:val="00DD0B49"/>
    <w:rsid w:val="00DE0502"/>
    <w:rsid w:val="00DE349D"/>
    <w:rsid w:val="00DE4A61"/>
    <w:rsid w:val="00E06DFA"/>
    <w:rsid w:val="00E20A0A"/>
    <w:rsid w:val="00E240C2"/>
    <w:rsid w:val="00E356C7"/>
    <w:rsid w:val="00E41A5A"/>
    <w:rsid w:val="00E45FE4"/>
    <w:rsid w:val="00E50A36"/>
    <w:rsid w:val="00E64FA7"/>
    <w:rsid w:val="00E667E0"/>
    <w:rsid w:val="00E770CB"/>
    <w:rsid w:val="00E81F39"/>
    <w:rsid w:val="00E87A06"/>
    <w:rsid w:val="00E903A1"/>
    <w:rsid w:val="00E940EB"/>
    <w:rsid w:val="00E9703F"/>
    <w:rsid w:val="00EA08A2"/>
    <w:rsid w:val="00EB2B90"/>
    <w:rsid w:val="00EC4319"/>
    <w:rsid w:val="00ED7546"/>
    <w:rsid w:val="00ED7E83"/>
    <w:rsid w:val="00EE091F"/>
    <w:rsid w:val="00EE5E40"/>
    <w:rsid w:val="00EF4B63"/>
    <w:rsid w:val="00F0068D"/>
    <w:rsid w:val="00F00909"/>
    <w:rsid w:val="00F0576D"/>
    <w:rsid w:val="00F14E6D"/>
    <w:rsid w:val="00F15EA8"/>
    <w:rsid w:val="00F16C8D"/>
    <w:rsid w:val="00F23C5B"/>
    <w:rsid w:val="00F26C61"/>
    <w:rsid w:val="00F33CCE"/>
    <w:rsid w:val="00F36628"/>
    <w:rsid w:val="00F40249"/>
    <w:rsid w:val="00F526C8"/>
    <w:rsid w:val="00F761A3"/>
    <w:rsid w:val="00F9272D"/>
    <w:rsid w:val="00F9518C"/>
    <w:rsid w:val="00FA316E"/>
    <w:rsid w:val="00FA59EF"/>
    <w:rsid w:val="00FB19A2"/>
    <w:rsid w:val="00FD3F23"/>
    <w:rsid w:val="00FF3ED1"/>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615A51"/>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31E67"/>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Party">
    <w:name w:val="SCC.Lsoc.Party"/>
    <w:basedOn w:val="Normal"/>
    <w:next w:val="Normal"/>
    <w:link w:val="SCCLsocPartyChar"/>
    <w:rsid w:val="00CF0EF3"/>
    <w:pPr>
      <w:jc w:val="center"/>
    </w:pPr>
    <w:rPr>
      <w:b/>
      <w:szCs w:val="24"/>
    </w:rPr>
  </w:style>
  <w:style w:type="character" w:customStyle="1" w:styleId="SCCLsocPartyChar">
    <w:name w:val="SCC.Lsoc.Party Char"/>
    <w:basedOn w:val="DefaultParagraphFont"/>
    <w:link w:val="SCCLsocParty"/>
    <w:rsid w:val="00CF0EF3"/>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on/onca/doc/2014/2014onca47/2014onca47.html?searchUrlHash=AAAAAQAOMjAxMyBPTlNDIDEyOTAAAAAAAQ" TargetMode="External"/><Relationship Id="rId39" Type="http://schemas.openxmlformats.org/officeDocument/2006/relationships/header" Target="header11.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footer" Target="footer12.xml"/><Relationship Id="rId47" Type="http://schemas.openxmlformats.org/officeDocument/2006/relationships/hyperlink" Target="http://www.scc-csc.ca/case-dossier/info/sum-som-eng.aspx?cas=35591" TargetMode="External"/><Relationship Id="rId50" Type="http://schemas.openxmlformats.org/officeDocument/2006/relationships/header" Target="header14.xml"/><Relationship Id="rId55" Type="http://schemas.openxmlformats.org/officeDocument/2006/relationships/footer" Target="footer16.xml"/><Relationship Id="rId63" Type="http://schemas.openxmlformats.org/officeDocument/2006/relationships/hyperlink" Target="http://www.scc-csc.ca/case-dossier/info/sum-som-fra.aspx?cas=35231" TargetMode="External"/><Relationship Id="rId68" Type="http://schemas.openxmlformats.org/officeDocument/2006/relationships/header" Target="header22.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fr/ca/caf/doc/2014/2014caf78/2014caf78.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anlii.ca/t/g703d" TargetMode="Externa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yperlink" Target="http://www.scc-csc.ca/case-dossier/info/sum-som-eng.aspx?cas=35644" TargetMode="External"/><Relationship Id="rId53" Type="http://schemas.openxmlformats.org/officeDocument/2006/relationships/footer" Target="footer15.xml"/><Relationship Id="rId58" Type="http://schemas.openxmlformats.org/officeDocument/2006/relationships/footer" Target="footer17.xml"/><Relationship Id="rId66" Type="http://schemas.openxmlformats.org/officeDocument/2006/relationships/footer" Target="footer20.xml"/><Relationship Id="rId74"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on/onca/doc/2014/2014onca47/2014onca47.html?searchUrlHash=AAAAAQAOMjAxMyBPTlNDIDEyOTAAAAAAAQ" TargetMode="External"/><Relationship Id="rId36" Type="http://schemas.openxmlformats.org/officeDocument/2006/relationships/footer" Target="footer9.xml"/><Relationship Id="rId49" Type="http://schemas.openxmlformats.org/officeDocument/2006/relationships/hyperlink" Target="http://www.scc-csc.ca/case-dossier/info/sum-som-eng.aspx?cas=35665" TargetMode="External"/><Relationship Id="rId57" Type="http://schemas.openxmlformats.org/officeDocument/2006/relationships/header" Target="header18.xml"/><Relationship Id="rId61" Type="http://schemas.openxmlformats.org/officeDocument/2006/relationships/footer" Target="footer19.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canlii.ca/t/g703d" TargetMode="External"/><Relationship Id="rId44" Type="http://schemas.openxmlformats.org/officeDocument/2006/relationships/footer" Target="footer13.xml"/><Relationship Id="rId52" Type="http://schemas.openxmlformats.org/officeDocument/2006/relationships/footer" Target="footer14.xml"/><Relationship Id="rId60" Type="http://schemas.openxmlformats.org/officeDocument/2006/relationships/header" Target="header19.xml"/><Relationship Id="rId65" Type="http://schemas.openxmlformats.org/officeDocument/2006/relationships/header" Target="header21.xml"/><Relationship Id="rId73"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on/onsc/doc/2013/2013onsc1290/2013onsc1290.html?searchUrlHash=AAAAAQAOMjAxMyBPTlNDIDEyOTAAAAAAAQ" TargetMode="External"/><Relationship Id="rId30" Type="http://schemas.openxmlformats.org/officeDocument/2006/relationships/hyperlink" Target="http://www.canlii.org/fr/ca/caf/doc/2014/2014caf78/2014caf78.html" TargetMode="External"/><Relationship Id="rId35" Type="http://schemas.openxmlformats.org/officeDocument/2006/relationships/footer" Target="footer8.xml"/><Relationship Id="rId43" Type="http://schemas.openxmlformats.org/officeDocument/2006/relationships/header" Target="header13.xml"/><Relationship Id="rId48" Type="http://schemas.openxmlformats.org/officeDocument/2006/relationships/hyperlink" Target="http://www.scc-csc.ca/case-dossier/info/sum-som-eng.aspx?cas=35690" TargetMode="External"/><Relationship Id="rId56" Type="http://schemas.openxmlformats.org/officeDocument/2006/relationships/header" Target="header17.xml"/><Relationship Id="rId64" Type="http://schemas.openxmlformats.org/officeDocument/2006/relationships/header" Target="header20.xml"/><Relationship Id="rId69" Type="http://schemas.openxmlformats.org/officeDocument/2006/relationships/footer" Target="footer22.xml"/><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15.xml"/><Relationship Id="rId72" Type="http://schemas.openxmlformats.org/officeDocument/2006/relationships/header" Target="header2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on/onsc/doc/2013/2013onsc1290/2013onsc1290.html?searchUrlHash=AAAAAQAOMjAxMyBPTlNDIDEyOTAAAAAAAQ" TargetMode="External"/><Relationship Id="rId33" Type="http://schemas.openxmlformats.org/officeDocument/2006/relationships/header" Target="header8.xml"/><Relationship Id="rId38" Type="http://schemas.openxmlformats.org/officeDocument/2006/relationships/footer" Target="footer10.xml"/><Relationship Id="rId46" Type="http://schemas.openxmlformats.org/officeDocument/2006/relationships/hyperlink" Target="http://www.scc-csc.ca/case-dossier/info/sum-som-fra.aspx?cas=35496" TargetMode="External"/><Relationship Id="rId59" Type="http://schemas.openxmlformats.org/officeDocument/2006/relationships/footer" Target="footer18.xml"/><Relationship Id="rId67" Type="http://schemas.openxmlformats.org/officeDocument/2006/relationships/footer" Target="footer21.xml"/><Relationship Id="rId20" Type="http://schemas.openxmlformats.org/officeDocument/2006/relationships/footer" Target="footer5.xml"/><Relationship Id="rId41" Type="http://schemas.openxmlformats.org/officeDocument/2006/relationships/footer" Target="footer11.xml"/><Relationship Id="rId54" Type="http://schemas.openxmlformats.org/officeDocument/2006/relationships/header" Target="header16.xml"/><Relationship Id="rId62" Type="http://schemas.openxmlformats.org/officeDocument/2006/relationships/hyperlink" Target="http://www.scc-csc.ca/case-dossier/info/sum-som-fra.aspx?cas=35226" TargetMode="External"/><Relationship Id="rId70" Type="http://schemas.openxmlformats.org/officeDocument/2006/relationships/header" Target="header23.xml"/><Relationship Id="rId75"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1DDD0-8301-4C87-A06D-069FFC2C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13537</Words>
  <Characters>77163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2014-10-09T13:09:00Z</dcterms:created>
  <dcterms:modified xsi:type="dcterms:W3CDTF">2015-11-30T15:07:00Z</dcterms:modified>
</cp:coreProperties>
</file>