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F638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F638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F638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F638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F638F" w:rsidTr="002E5576">
        <w:tc>
          <w:tcPr>
            <w:tcW w:w="4518" w:type="dxa"/>
          </w:tcPr>
          <w:p w:rsidR="00BF25F3" w:rsidRPr="002E2327" w:rsidRDefault="009E7629"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9E7629"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F638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F638F"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7F638F">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7F638F">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C128A"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Pr>
          <w:lang w:val="fr-CA"/>
        </w:rPr>
        <w:t>22</w:t>
      </w:r>
      <w:r w:rsidR="00440E24" w:rsidRPr="00675479">
        <w:rPr>
          <w:lang w:val="fr-CA"/>
        </w:rPr>
        <w:t>, 201</w:t>
      </w:r>
      <w:r w:rsidR="00020DC3">
        <w:rPr>
          <w:lang w:val="fr-CA"/>
        </w:rPr>
        <w:t>5</w:t>
      </w:r>
      <w:r w:rsidR="00F0068D" w:rsidRPr="00675479">
        <w:rPr>
          <w:lang w:val="fr-CA"/>
        </w:rPr>
        <w:tab/>
      </w:r>
      <w:r w:rsidR="004256B4">
        <w:rPr>
          <w:lang w:val="fr-CA"/>
        </w:rPr>
        <w:t>896</w:t>
      </w:r>
      <w:r w:rsidR="00F0068D" w:rsidRPr="00675479">
        <w:rPr>
          <w:lang w:val="fr-CA"/>
        </w:rPr>
        <w:t xml:space="preserve"> - </w:t>
      </w:r>
      <w:r w:rsidR="00BB597E">
        <w:rPr>
          <w:lang w:val="fr-CA"/>
        </w:rPr>
        <w:t>938</w:t>
      </w:r>
      <w:r w:rsidR="00440E24" w:rsidRPr="00675479">
        <w:rPr>
          <w:lang w:val="fr-CA"/>
        </w:rPr>
        <w:tab/>
      </w:r>
      <w:r w:rsidR="00440E24" w:rsidRPr="002E2327">
        <w:rPr>
          <w:lang w:val="fr-CA"/>
        </w:rPr>
        <w:t>Le</w:t>
      </w:r>
      <w:r w:rsidR="00C73D06">
        <w:rPr>
          <w:lang w:val="fr-CA"/>
        </w:rPr>
        <w:t xml:space="preserve"> </w:t>
      </w:r>
      <w:r>
        <w:rPr>
          <w:lang w:val="fr-CA"/>
        </w:rPr>
        <w:t>22</w:t>
      </w:r>
      <w:r w:rsidR="00C73D06">
        <w:rPr>
          <w:lang w:val="fr-CA"/>
        </w:rPr>
        <w:t xml:space="preserve"> </w:t>
      </w:r>
      <w:r>
        <w:rPr>
          <w:lang w:val="fr-CA"/>
        </w:rPr>
        <w:t>m</w:t>
      </w:r>
      <w:r w:rsidR="00440E24" w:rsidRPr="002E2327">
        <w:rPr>
          <w:lang w:val="fr-CA"/>
        </w:rPr>
        <w:t>ai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DC128A" w:rsidRDefault="00440E24" w:rsidP="00440E24">
      <w:pPr>
        <w:pBdr>
          <w:bottom w:val="single" w:sz="6" w:space="1" w:color="auto"/>
        </w:pBdr>
        <w:tabs>
          <w:tab w:val="right" w:pos="9360"/>
        </w:tabs>
        <w:rPr>
          <w:sz w:val="18"/>
          <w:szCs w:val="18"/>
          <w:lang w:val="fr-CA"/>
        </w:rPr>
      </w:pPr>
      <w:r w:rsidRPr="00DC128A">
        <w:rPr>
          <w:sz w:val="18"/>
          <w:szCs w:val="18"/>
          <w:lang w:val="fr-CA"/>
        </w:rPr>
        <w:t>© Supreme Court of Canada (201</w:t>
      </w:r>
      <w:r w:rsidR="00020DC3" w:rsidRPr="00DC128A">
        <w:rPr>
          <w:sz w:val="18"/>
          <w:szCs w:val="18"/>
          <w:lang w:val="fr-CA"/>
        </w:rPr>
        <w:t>5</w:t>
      </w:r>
      <w:r w:rsidRPr="00DC128A">
        <w:rPr>
          <w:sz w:val="18"/>
          <w:szCs w:val="18"/>
          <w:lang w:val="fr-CA"/>
        </w:rPr>
        <w:t>)</w:t>
      </w:r>
      <w:r w:rsidRPr="00DC128A">
        <w:rPr>
          <w:sz w:val="18"/>
          <w:szCs w:val="18"/>
          <w:lang w:val="fr-CA"/>
        </w:rPr>
        <w:tab/>
        <w:t>© Cour suprême du Canada (201</w:t>
      </w:r>
      <w:r w:rsidR="00020DC3" w:rsidRPr="00DC128A">
        <w:rPr>
          <w:sz w:val="18"/>
          <w:szCs w:val="18"/>
          <w:lang w:val="fr-CA"/>
        </w:rPr>
        <w:t>5</w:t>
      </w:r>
      <w:r w:rsidRPr="00DC128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F26666">
            <w:pPr>
              <w:tabs>
                <w:tab w:val="right" w:pos="9360"/>
              </w:tabs>
              <w:rPr>
                <w:rFonts w:cs="Times New Roman"/>
                <w:sz w:val="20"/>
                <w:szCs w:val="20"/>
              </w:rPr>
            </w:pPr>
          </w:p>
        </w:tc>
        <w:tc>
          <w:tcPr>
            <w:tcW w:w="1980" w:type="dxa"/>
          </w:tcPr>
          <w:p w:rsidR="0095096B" w:rsidRPr="002E2327" w:rsidRDefault="00380344" w:rsidP="0095096B">
            <w:pPr>
              <w:jc w:val="center"/>
              <w:rPr>
                <w:rFonts w:cs="Times New Roman"/>
                <w:sz w:val="20"/>
                <w:szCs w:val="20"/>
              </w:rPr>
            </w:pPr>
            <w:r>
              <w:rPr>
                <w:rFonts w:cs="Times New Roman"/>
                <w:sz w:val="20"/>
                <w:szCs w:val="20"/>
              </w:rPr>
              <w:t>896</w:t>
            </w:r>
            <w:r w:rsidR="009E7629" w:rsidRPr="002E2327">
              <w:rPr>
                <w:rFonts w:cs="Times New Roman"/>
                <w:sz w:val="20"/>
                <w:szCs w:val="20"/>
              </w:rPr>
              <w:fldChar w:fldCharType="begin"/>
            </w:r>
            <w:r w:rsidR="0095096B" w:rsidRPr="002E2327">
              <w:rPr>
                <w:rFonts w:cs="Times New Roman"/>
                <w:sz w:val="20"/>
                <w:szCs w:val="20"/>
              </w:rPr>
              <w:instrText xml:space="preserve"> SEQ CHAPTER \h \r 1</w:instrText>
            </w:r>
            <w:r w:rsidR="009E7629"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87ACB" w:rsidP="0095096B">
            <w:pPr>
              <w:jc w:val="center"/>
              <w:rPr>
                <w:rFonts w:cs="Times New Roman"/>
                <w:sz w:val="20"/>
                <w:szCs w:val="20"/>
              </w:rPr>
            </w:pPr>
            <w:r>
              <w:rPr>
                <w:rFonts w:cs="Times New Roman"/>
                <w:sz w:val="20"/>
                <w:szCs w:val="20"/>
              </w:rPr>
              <w:t>897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26666" w:rsidP="0095096B">
            <w:pPr>
              <w:jc w:val="center"/>
              <w:rPr>
                <w:rFonts w:cs="Times New Roman"/>
                <w:sz w:val="20"/>
                <w:szCs w:val="20"/>
              </w:rPr>
            </w:pPr>
            <w:r>
              <w:rPr>
                <w:rFonts w:cs="Times New Roman"/>
                <w:sz w:val="20"/>
                <w:szCs w:val="20"/>
              </w:rPr>
              <w:t xml:space="preserve">898 </w:t>
            </w:r>
            <w:r w:rsidR="0095096B" w:rsidRPr="002E2327">
              <w:rPr>
                <w:rFonts w:cs="Times New Roman"/>
                <w:sz w:val="20"/>
                <w:szCs w:val="20"/>
              </w:rPr>
              <w:t>-</w:t>
            </w:r>
            <w:r>
              <w:rPr>
                <w:rFonts w:cs="Times New Roman"/>
                <w:sz w:val="20"/>
                <w:szCs w:val="20"/>
              </w:rPr>
              <w:t xml:space="preserve"> 913</w:t>
            </w:r>
          </w:p>
          <w:p w:rsidR="0095096B" w:rsidRDefault="0095096B" w:rsidP="0095096B">
            <w:pPr>
              <w:jc w:val="center"/>
              <w:rPr>
                <w:rFonts w:cs="Times New Roman"/>
                <w:sz w:val="20"/>
                <w:szCs w:val="20"/>
              </w:rPr>
            </w:pPr>
          </w:p>
          <w:p w:rsidR="00F26666" w:rsidRPr="002E2327" w:rsidRDefault="00F26666" w:rsidP="0095096B">
            <w:pPr>
              <w:jc w:val="center"/>
              <w:rPr>
                <w:rFonts w:cs="Times New Roman"/>
                <w:sz w:val="20"/>
                <w:szCs w:val="20"/>
              </w:rPr>
            </w:pPr>
          </w:p>
          <w:p w:rsidR="0095096B" w:rsidRPr="002E2327" w:rsidRDefault="00F26666" w:rsidP="0095096B">
            <w:pPr>
              <w:jc w:val="center"/>
              <w:rPr>
                <w:rFonts w:cs="Times New Roman"/>
                <w:sz w:val="20"/>
                <w:szCs w:val="20"/>
              </w:rPr>
            </w:pPr>
            <w:r>
              <w:rPr>
                <w:rFonts w:cs="Times New Roman"/>
                <w:sz w:val="20"/>
                <w:szCs w:val="20"/>
              </w:rPr>
              <w:t xml:space="preserve">914 </w:t>
            </w:r>
            <w:r w:rsidR="0095096B" w:rsidRPr="002E2327">
              <w:rPr>
                <w:rFonts w:cs="Times New Roman"/>
                <w:sz w:val="20"/>
                <w:szCs w:val="20"/>
              </w:rPr>
              <w:t>-</w:t>
            </w:r>
            <w:r>
              <w:rPr>
                <w:rFonts w:cs="Times New Roman"/>
                <w:sz w:val="20"/>
                <w:szCs w:val="20"/>
              </w:rPr>
              <w:t xml:space="preserve"> 915</w:t>
            </w:r>
          </w:p>
          <w:p w:rsidR="0095096B" w:rsidRPr="002E2327" w:rsidRDefault="0095096B" w:rsidP="0095096B">
            <w:pPr>
              <w:jc w:val="center"/>
              <w:rPr>
                <w:rFonts w:cs="Times New Roman"/>
                <w:sz w:val="20"/>
                <w:szCs w:val="20"/>
              </w:rPr>
            </w:pPr>
          </w:p>
          <w:p w:rsidR="0095096B" w:rsidRPr="002E2327" w:rsidRDefault="00F26666" w:rsidP="0095096B">
            <w:pPr>
              <w:jc w:val="center"/>
              <w:rPr>
                <w:rFonts w:cs="Times New Roman"/>
                <w:sz w:val="20"/>
                <w:szCs w:val="20"/>
              </w:rPr>
            </w:pPr>
            <w:r>
              <w:rPr>
                <w:rFonts w:cs="Times New Roman"/>
                <w:sz w:val="20"/>
                <w:szCs w:val="20"/>
              </w:rPr>
              <w:t>916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A02CB" w:rsidP="0095096B">
            <w:pPr>
              <w:jc w:val="center"/>
              <w:rPr>
                <w:rFonts w:cs="Times New Roman"/>
                <w:sz w:val="20"/>
                <w:szCs w:val="20"/>
              </w:rPr>
            </w:pPr>
            <w:r>
              <w:rPr>
                <w:rFonts w:cs="Times New Roman"/>
                <w:sz w:val="20"/>
                <w:szCs w:val="20"/>
              </w:rPr>
              <w:t xml:space="preserve">917 </w:t>
            </w:r>
            <w:r w:rsidR="0095096B" w:rsidRPr="002E2327">
              <w:rPr>
                <w:rFonts w:cs="Times New Roman"/>
                <w:sz w:val="20"/>
                <w:szCs w:val="20"/>
              </w:rPr>
              <w:t>-</w:t>
            </w:r>
            <w:r>
              <w:rPr>
                <w:rFonts w:cs="Times New Roman"/>
                <w:sz w:val="20"/>
                <w:szCs w:val="20"/>
              </w:rPr>
              <w:t xml:space="preserve"> 920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26666" w:rsidP="0095096B">
            <w:pPr>
              <w:jc w:val="center"/>
              <w:rPr>
                <w:rFonts w:cs="Times New Roman"/>
                <w:sz w:val="20"/>
                <w:szCs w:val="20"/>
              </w:rPr>
            </w:pPr>
            <w:r>
              <w:rPr>
                <w:rFonts w:cs="Times New Roman"/>
                <w:sz w:val="20"/>
                <w:szCs w:val="20"/>
              </w:rPr>
              <w:t xml:space="preserve">921 </w:t>
            </w:r>
            <w:r w:rsidR="0095096B" w:rsidRPr="002E2327">
              <w:rPr>
                <w:rFonts w:cs="Times New Roman"/>
                <w:sz w:val="20"/>
                <w:szCs w:val="20"/>
              </w:rPr>
              <w:t>-</w:t>
            </w:r>
            <w:r>
              <w:rPr>
                <w:rFonts w:cs="Times New Roman"/>
                <w:sz w:val="20"/>
                <w:szCs w:val="20"/>
              </w:rPr>
              <w:t xml:space="preserve"> 922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26666" w:rsidP="0095096B">
            <w:pPr>
              <w:jc w:val="center"/>
              <w:rPr>
                <w:rFonts w:cs="Times New Roman"/>
                <w:sz w:val="20"/>
                <w:szCs w:val="20"/>
              </w:rPr>
            </w:pPr>
            <w:r>
              <w:rPr>
                <w:rFonts w:cs="Times New Roman"/>
                <w:sz w:val="20"/>
                <w:szCs w:val="20"/>
              </w:rPr>
              <w:t xml:space="preserve">923 </w:t>
            </w:r>
            <w:r w:rsidR="0095096B" w:rsidRPr="002E2327">
              <w:rPr>
                <w:rFonts w:cs="Times New Roman"/>
                <w:sz w:val="20"/>
                <w:szCs w:val="20"/>
              </w:rPr>
              <w:t>-</w:t>
            </w:r>
            <w:r w:rsidR="00C71B27">
              <w:rPr>
                <w:rFonts w:cs="Times New Roman"/>
                <w:sz w:val="20"/>
                <w:szCs w:val="20"/>
              </w:rPr>
              <w:t xml:space="preserve"> 938</w:t>
            </w:r>
          </w:p>
          <w:p w:rsidR="00A87207" w:rsidRPr="002E2327" w:rsidRDefault="00A87207" w:rsidP="00F26666">
            <w:pPr>
              <w:jc w:val="center"/>
              <w:rPr>
                <w:rFonts w:cs="Times New Roman"/>
                <w:sz w:val="20"/>
                <w:szCs w:val="20"/>
              </w:rPr>
            </w:pPr>
          </w:p>
        </w:tc>
        <w:tc>
          <w:tcPr>
            <w:tcW w:w="3888" w:type="dxa"/>
          </w:tcPr>
          <w:p w:rsidR="0095096B" w:rsidRPr="002E2327" w:rsidRDefault="009E7629"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F26666">
            <w:pPr>
              <w:tabs>
                <w:tab w:val="right" w:pos="9360"/>
              </w:tabs>
              <w:rPr>
                <w:rFonts w:cs="Times New Roman"/>
                <w:sz w:val="20"/>
                <w:szCs w:val="20"/>
                <w:lang w:val="fr-CA"/>
              </w:rPr>
            </w:pPr>
          </w:p>
        </w:tc>
      </w:tr>
    </w:tbl>
    <w:p w:rsidR="0095096B" w:rsidRDefault="0095096B" w:rsidP="0095096B">
      <w:pPr>
        <w:tabs>
          <w:tab w:val="right" w:pos="9360"/>
        </w:tabs>
        <w:rPr>
          <w:sz w:val="20"/>
          <w:szCs w:val="20"/>
        </w:rPr>
      </w:pPr>
    </w:p>
    <w:p w:rsidR="00F87ACB" w:rsidRDefault="00F87ACB" w:rsidP="0095096B">
      <w:pPr>
        <w:tabs>
          <w:tab w:val="right" w:pos="9360"/>
        </w:tabs>
        <w:rPr>
          <w:sz w:val="20"/>
          <w:szCs w:val="20"/>
        </w:rPr>
      </w:pPr>
    </w:p>
    <w:p w:rsidR="00F87ACB" w:rsidRDefault="00F87ACB" w:rsidP="0095096B">
      <w:pPr>
        <w:tabs>
          <w:tab w:val="right" w:pos="9360"/>
        </w:tabs>
        <w:rPr>
          <w:sz w:val="20"/>
          <w:szCs w:val="20"/>
        </w:rPr>
      </w:pPr>
    </w:p>
    <w:p w:rsidR="00F87ACB" w:rsidRDefault="00F87ACB" w:rsidP="0095096B">
      <w:pPr>
        <w:tabs>
          <w:tab w:val="right" w:pos="9360"/>
        </w:tabs>
        <w:rPr>
          <w:sz w:val="20"/>
          <w:szCs w:val="20"/>
        </w:rPr>
      </w:pPr>
    </w:p>
    <w:p w:rsidR="00F87ACB" w:rsidRPr="00F87ACB" w:rsidRDefault="00F87ACB" w:rsidP="0095096B">
      <w:pPr>
        <w:tabs>
          <w:tab w:val="right" w:pos="9360"/>
        </w:tabs>
        <w:rPr>
          <w:sz w:val="20"/>
          <w:szCs w:val="20"/>
        </w:rPr>
      </w:pPr>
    </w:p>
    <w:tbl>
      <w:tblPr>
        <w:tblStyle w:val="TableGrid"/>
        <w:tblW w:w="0" w:type="auto"/>
        <w:tblLook w:val="04A0" w:firstRow="1" w:lastRow="0" w:firstColumn="1" w:lastColumn="0" w:noHBand="0" w:noVBand="1"/>
      </w:tblPr>
      <w:tblGrid>
        <w:gridCol w:w="9576"/>
      </w:tblGrid>
      <w:tr w:rsidR="0079724F" w:rsidRPr="007F638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FA3F0C" w:rsidRPr="00FA3F0C" w:rsidTr="003B3977">
        <w:tc>
          <w:tcPr>
            <w:tcW w:w="4320" w:type="dxa"/>
            <w:shd w:val="clear" w:color="auto" w:fill="auto"/>
          </w:tcPr>
          <w:p w:rsidR="00FA3F0C" w:rsidRPr="00C05442" w:rsidRDefault="00FA3F0C" w:rsidP="005F1ED8">
            <w:pPr>
              <w:rPr>
                <w:b/>
                <w:sz w:val="20"/>
                <w:szCs w:val="20"/>
              </w:rPr>
            </w:pPr>
            <w:r w:rsidRPr="00C05442">
              <w:rPr>
                <w:b/>
                <w:sz w:val="20"/>
                <w:szCs w:val="20"/>
              </w:rPr>
              <w:t>Erich Chemama</w:t>
            </w:r>
          </w:p>
          <w:p w:rsidR="00FA3F0C" w:rsidRPr="00A935AA" w:rsidRDefault="00FA3F0C" w:rsidP="005F1ED8">
            <w:pPr>
              <w:tabs>
                <w:tab w:val="left" w:pos="-1440"/>
                <w:tab w:val="left" w:pos="-720"/>
              </w:tabs>
              <w:rPr>
                <w:sz w:val="20"/>
                <w:szCs w:val="20"/>
              </w:rPr>
            </w:pPr>
            <w:r w:rsidRPr="00C05442">
              <w:rPr>
                <w:sz w:val="20"/>
                <w:szCs w:val="20"/>
              </w:rPr>
              <w:tab/>
            </w:r>
            <w:r>
              <w:rPr>
                <w:sz w:val="20"/>
                <w:szCs w:val="20"/>
              </w:rPr>
              <w:t xml:space="preserve">Erich Chemama </w:t>
            </w:r>
          </w:p>
          <w:p w:rsidR="00FA3F0C" w:rsidRPr="00FA3F0C" w:rsidRDefault="00FA3F0C" w:rsidP="005F1ED8">
            <w:pPr>
              <w:tabs>
                <w:tab w:val="left" w:pos="-1440"/>
                <w:tab w:val="left" w:pos="-720"/>
              </w:tabs>
              <w:rPr>
                <w:sz w:val="20"/>
                <w:szCs w:val="20"/>
              </w:rPr>
            </w:pPr>
          </w:p>
          <w:p w:rsidR="00FA3F0C" w:rsidRPr="00FA3F0C" w:rsidRDefault="00FA3F0C" w:rsidP="005F1ED8">
            <w:pPr>
              <w:tabs>
                <w:tab w:val="left" w:pos="-1440"/>
                <w:tab w:val="left" w:pos="-720"/>
              </w:tabs>
              <w:rPr>
                <w:sz w:val="20"/>
                <w:szCs w:val="20"/>
              </w:rPr>
            </w:pPr>
            <w:r w:rsidRPr="00FA3F0C">
              <w:rPr>
                <w:sz w:val="20"/>
                <w:szCs w:val="20"/>
              </w:rPr>
              <w:tab/>
              <w:t>v. (364</w:t>
            </w:r>
            <w:r>
              <w:rPr>
                <w:sz w:val="20"/>
                <w:szCs w:val="20"/>
              </w:rPr>
              <w:t>31</w:t>
            </w:r>
            <w:r w:rsidRPr="00FA3F0C">
              <w:rPr>
                <w:sz w:val="20"/>
                <w:szCs w:val="20"/>
              </w:rPr>
              <w:t>)</w:t>
            </w:r>
          </w:p>
          <w:p w:rsidR="00FA3F0C" w:rsidRPr="00FA3F0C" w:rsidRDefault="00FA3F0C" w:rsidP="005F1ED8">
            <w:pPr>
              <w:tabs>
                <w:tab w:val="left" w:pos="-1440"/>
                <w:tab w:val="left" w:pos="-720"/>
              </w:tabs>
              <w:rPr>
                <w:sz w:val="20"/>
                <w:szCs w:val="20"/>
              </w:rPr>
            </w:pPr>
          </w:p>
          <w:p w:rsidR="00FA3F0C" w:rsidRPr="00FA3F0C" w:rsidRDefault="00FA3F0C" w:rsidP="005F1ED8">
            <w:pPr>
              <w:tabs>
                <w:tab w:val="left" w:pos="-1440"/>
                <w:tab w:val="left" w:pos="-720"/>
              </w:tabs>
              <w:rPr>
                <w:b/>
                <w:sz w:val="20"/>
                <w:szCs w:val="20"/>
              </w:rPr>
            </w:pPr>
            <w:r w:rsidRPr="00FA3F0C">
              <w:rPr>
                <w:b/>
                <w:sz w:val="20"/>
                <w:szCs w:val="20"/>
              </w:rPr>
              <w:t>Her Majesty the Queen</w:t>
            </w:r>
            <w:r w:rsidRPr="00FA3F0C">
              <w:rPr>
                <w:sz w:val="20"/>
                <w:szCs w:val="20"/>
              </w:rPr>
              <w:t xml:space="preserve"> </w:t>
            </w:r>
            <w:r w:rsidRPr="00FA3F0C">
              <w:rPr>
                <w:b/>
                <w:sz w:val="20"/>
                <w:szCs w:val="20"/>
              </w:rPr>
              <w:t>(Que.)</w:t>
            </w:r>
          </w:p>
          <w:p w:rsidR="00FA3F0C" w:rsidRPr="00FA3F0C" w:rsidRDefault="00FA3F0C" w:rsidP="005F1ED8">
            <w:pPr>
              <w:tabs>
                <w:tab w:val="left" w:pos="-1440"/>
                <w:tab w:val="left" w:pos="-720"/>
              </w:tabs>
              <w:rPr>
                <w:sz w:val="20"/>
                <w:szCs w:val="20"/>
                <w:lang w:val="fr-CA"/>
              </w:rPr>
            </w:pPr>
            <w:r w:rsidRPr="00FA3F0C">
              <w:rPr>
                <w:sz w:val="20"/>
                <w:szCs w:val="20"/>
              </w:rPr>
              <w:tab/>
            </w:r>
            <w:r w:rsidRPr="00FA3F0C">
              <w:rPr>
                <w:sz w:val="20"/>
                <w:szCs w:val="20"/>
                <w:lang w:val="fr-CA"/>
              </w:rPr>
              <w:t>Robert Benoit</w:t>
            </w:r>
          </w:p>
          <w:p w:rsidR="00FA3F0C" w:rsidRPr="00FA3F0C" w:rsidRDefault="00FA3F0C" w:rsidP="005F1ED8">
            <w:pPr>
              <w:tabs>
                <w:tab w:val="left" w:pos="-1440"/>
                <w:tab w:val="left" w:pos="-720"/>
              </w:tabs>
              <w:rPr>
                <w:sz w:val="20"/>
                <w:szCs w:val="20"/>
                <w:lang w:val="fr-CA"/>
              </w:rPr>
            </w:pPr>
            <w:r w:rsidRPr="00FA3F0C">
              <w:rPr>
                <w:sz w:val="20"/>
                <w:szCs w:val="20"/>
                <w:lang w:val="fr-CA"/>
              </w:rPr>
              <w:tab/>
              <w:t xml:space="preserve">Poursuites criminelles et pénales du </w:t>
            </w:r>
            <w:r>
              <w:rPr>
                <w:sz w:val="20"/>
                <w:szCs w:val="20"/>
                <w:lang w:val="fr-CA"/>
              </w:rPr>
              <w:tab/>
            </w:r>
            <w:r w:rsidRPr="00FA3F0C">
              <w:rPr>
                <w:sz w:val="20"/>
                <w:szCs w:val="20"/>
                <w:lang w:val="fr-CA"/>
              </w:rPr>
              <w:t>Québec</w:t>
            </w:r>
          </w:p>
          <w:p w:rsidR="00FA3F0C" w:rsidRPr="00FA3F0C" w:rsidRDefault="00FA3F0C" w:rsidP="005F1ED8">
            <w:pPr>
              <w:tabs>
                <w:tab w:val="left" w:pos="-1440"/>
                <w:tab w:val="left" w:pos="-720"/>
              </w:tabs>
              <w:rPr>
                <w:sz w:val="20"/>
                <w:szCs w:val="20"/>
                <w:lang w:val="fr-CA"/>
              </w:rPr>
            </w:pPr>
          </w:p>
          <w:p w:rsidR="00FA3F0C" w:rsidRPr="00A935AA" w:rsidRDefault="00FA3F0C" w:rsidP="004A64E5">
            <w:pPr>
              <w:rPr>
                <w:sz w:val="20"/>
                <w:szCs w:val="20"/>
              </w:rPr>
            </w:pPr>
            <w:r w:rsidRPr="00A935AA">
              <w:rPr>
                <w:sz w:val="20"/>
                <w:szCs w:val="20"/>
              </w:rPr>
              <w:t xml:space="preserve">FILING DATE: </w:t>
            </w:r>
            <w:r>
              <w:rPr>
                <w:sz w:val="20"/>
                <w:szCs w:val="20"/>
              </w:rPr>
              <w:t>07</w:t>
            </w:r>
            <w:r w:rsidRPr="00A935AA">
              <w:rPr>
                <w:sz w:val="20"/>
                <w:szCs w:val="20"/>
              </w:rPr>
              <w:t>.</w:t>
            </w:r>
            <w:r>
              <w:rPr>
                <w:sz w:val="20"/>
                <w:szCs w:val="20"/>
              </w:rPr>
              <w:t>04</w:t>
            </w:r>
            <w:r w:rsidRPr="00A935AA">
              <w:rPr>
                <w:sz w:val="20"/>
                <w:szCs w:val="20"/>
              </w:rPr>
              <w:t>.201</w:t>
            </w:r>
            <w:r>
              <w:rPr>
                <w:sz w:val="20"/>
                <w:szCs w:val="20"/>
              </w:rPr>
              <w:t>5</w:t>
            </w:r>
            <w:r w:rsidR="007F638F">
              <w:rPr>
                <w:sz w:val="20"/>
                <w:szCs w:val="20"/>
                <w:lang w:val="fr-CA"/>
              </w:rPr>
              <w:pict>
                <v:rect id="_x0000_i1025" style="width:108pt;height:1pt" o:hrpct="0" o:hralign="center" o:hrstd="t" o:hrnoshade="t" o:hr="t" fillcolor="black [3213]" stroked="f"/>
              </w:pict>
            </w:r>
          </w:p>
        </w:tc>
        <w:tc>
          <w:tcPr>
            <w:tcW w:w="1181" w:type="dxa"/>
            <w:shd w:val="clear" w:color="auto" w:fill="auto"/>
          </w:tcPr>
          <w:p w:rsidR="00FA3F0C" w:rsidRPr="00A935AA" w:rsidRDefault="00FA3F0C" w:rsidP="00242AEE">
            <w:pPr>
              <w:jc w:val="center"/>
              <w:rPr>
                <w:sz w:val="20"/>
                <w:szCs w:val="20"/>
              </w:rPr>
            </w:pPr>
          </w:p>
          <w:p w:rsidR="00FA3F0C" w:rsidRPr="00A935AA" w:rsidRDefault="00FA3F0C" w:rsidP="00242AEE">
            <w:pPr>
              <w:jc w:val="center"/>
              <w:rPr>
                <w:sz w:val="20"/>
                <w:szCs w:val="20"/>
              </w:rPr>
            </w:pPr>
          </w:p>
          <w:p w:rsidR="00FA3F0C" w:rsidRPr="00A935AA" w:rsidRDefault="00FA3F0C" w:rsidP="00242AEE">
            <w:pPr>
              <w:jc w:val="center"/>
              <w:rPr>
                <w:sz w:val="20"/>
                <w:szCs w:val="20"/>
              </w:rPr>
            </w:pPr>
          </w:p>
          <w:p w:rsidR="00FA3F0C" w:rsidRPr="00A935AA" w:rsidRDefault="00FA3F0C" w:rsidP="00242AEE">
            <w:pPr>
              <w:jc w:val="center"/>
              <w:rPr>
                <w:sz w:val="20"/>
                <w:szCs w:val="20"/>
              </w:rPr>
            </w:pPr>
          </w:p>
          <w:p w:rsidR="00FA3F0C" w:rsidRPr="00A935AA" w:rsidRDefault="00FA3F0C" w:rsidP="00242AEE">
            <w:pPr>
              <w:jc w:val="center"/>
              <w:rPr>
                <w:sz w:val="20"/>
                <w:szCs w:val="20"/>
              </w:rPr>
            </w:pPr>
          </w:p>
          <w:p w:rsidR="00FA3F0C" w:rsidRPr="00A935AA" w:rsidRDefault="00FA3F0C" w:rsidP="00242AEE">
            <w:pPr>
              <w:jc w:val="center"/>
              <w:rPr>
                <w:sz w:val="20"/>
                <w:szCs w:val="20"/>
              </w:rPr>
            </w:pPr>
          </w:p>
          <w:p w:rsidR="00FA3F0C" w:rsidRPr="00A935AA" w:rsidRDefault="00FA3F0C" w:rsidP="00242AEE">
            <w:pPr>
              <w:jc w:val="center"/>
              <w:rPr>
                <w:sz w:val="20"/>
                <w:szCs w:val="20"/>
              </w:rPr>
            </w:pPr>
          </w:p>
          <w:p w:rsidR="00FA3F0C" w:rsidRPr="00A935AA" w:rsidRDefault="00FA3F0C" w:rsidP="00242AEE">
            <w:pPr>
              <w:jc w:val="center"/>
              <w:rPr>
                <w:sz w:val="20"/>
                <w:szCs w:val="20"/>
              </w:rPr>
            </w:pPr>
          </w:p>
          <w:p w:rsidR="00FA3F0C" w:rsidRPr="00A935AA" w:rsidRDefault="00FA3F0C" w:rsidP="00242AEE">
            <w:pPr>
              <w:jc w:val="center"/>
              <w:rPr>
                <w:sz w:val="20"/>
                <w:szCs w:val="20"/>
              </w:rPr>
            </w:pPr>
          </w:p>
          <w:p w:rsidR="00FA3F0C" w:rsidRPr="00A935AA" w:rsidRDefault="00FA3F0C" w:rsidP="00242AEE">
            <w:pPr>
              <w:jc w:val="center"/>
              <w:rPr>
                <w:sz w:val="20"/>
                <w:szCs w:val="20"/>
              </w:rPr>
            </w:pPr>
          </w:p>
          <w:p w:rsidR="00FA3F0C" w:rsidRPr="00A935AA" w:rsidRDefault="00FA3F0C" w:rsidP="00242AEE">
            <w:pPr>
              <w:jc w:val="center"/>
              <w:rPr>
                <w:sz w:val="20"/>
                <w:szCs w:val="20"/>
              </w:rPr>
            </w:pPr>
          </w:p>
          <w:p w:rsidR="00FA3F0C" w:rsidRPr="00A935AA" w:rsidRDefault="00FA3F0C" w:rsidP="00242AEE">
            <w:pPr>
              <w:jc w:val="center"/>
              <w:rPr>
                <w:sz w:val="20"/>
                <w:szCs w:val="20"/>
              </w:rPr>
            </w:pPr>
          </w:p>
        </w:tc>
        <w:tc>
          <w:tcPr>
            <w:tcW w:w="4320" w:type="dxa"/>
            <w:shd w:val="clear" w:color="auto" w:fill="auto"/>
          </w:tcPr>
          <w:p w:rsidR="00FA3F0C" w:rsidRPr="00FA3F0C" w:rsidRDefault="00FA3F0C" w:rsidP="00FA3F0C">
            <w:pPr>
              <w:rPr>
                <w:b/>
                <w:sz w:val="20"/>
                <w:szCs w:val="20"/>
                <w:lang w:val="fr-CA"/>
              </w:rPr>
            </w:pPr>
            <w:r w:rsidRPr="00FA3F0C">
              <w:rPr>
                <w:b/>
                <w:sz w:val="20"/>
                <w:szCs w:val="20"/>
                <w:lang w:val="fr-CA"/>
              </w:rPr>
              <w:t>J.C.B.</w:t>
            </w:r>
          </w:p>
          <w:p w:rsidR="00FA3F0C" w:rsidRPr="00A935AA" w:rsidRDefault="00FA3F0C" w:rsidP="00FA3F0C">
            <w:pPr>
              <w:keepNext/>
              <w:keepLines/>
              <w:tabs>
                <w:tab w:val="left" w:pos="-1440"/>
                <w:tab w:val="left" w:pos="-720"/>
              </w:tabs>
              <w:rPr>
                <w:sz w:val="20"/>
                <w:szCs w:val="20"/>
                <w:lang w:val="fr-CA"/>
              </w:rPr>
            </w:pPr>
            <w:r w:rsidRPr="00FA3F0C">
              <w:rPr>
                <w:sz w:val="20"/>
                <w:szCs w:val="20"/>
                <w:lang w:val="fr-CA"/>
              </w:rPr>
              <w:tab/>
            </w:r>
            <w:r>
              <w:rPr>
                <w:sz w:val="20"/>
                <w:szCs w:val="20"/>
                <w:lang w:val="fr-CA"/>
              </w:rPr>
              <w:t>J.C.B.</w:t>
            </w:r>
          </w:p>
          <w:p w:rsidR="00FA3F0C" w:rsidRPr="00FA3F0C" w:rsidRDefault="00FA3F0C" w:rsidP="00FA3F0C">
            <w:pPr>
              <w:keepNext/>
              <w:keepLines/>
              <w:tabs>
                <w:tab w:val="left" w:pos="-1440"/>
                <w:tab w:val="left" w:pos="-720"/>
              </w:tabs>
              <w:rPr>
                <w:sz w:val="20"/>
                <w:szCs w:val="20"/>
                <w:lang w:val="fr-CA"/>
              </w:rPr>
            </w:pPr>
          </w:p>
          <w:p w:rsidR="00FA3F0C" w:rsidRPr="00FA3F0C" w:rsidRDefault="00FA3F0C" w:rsidP="00FA3F0C">
            <w:pPr>
              <w:keepNext/>
              <w:keepLines/>
              <w:tabs>
                <w:tab w:val="left" w:pos="-1440"/>
                <w:tab w:val="left" w:pos="-720"/>
              </w:tabs>
              <w:rPr>
                <w:sz w:val="20"/>
                <w:szCs w:val="20"/>
                <w:lang w:val="fr-CA"/>
              </w:rPr>
            </w:pPr>
            <w:r w:rsidRPr="00FA3F0C">
              <w:rPr>
                <w:sz w:val="20"/>
                <w:szCs w:val="20"/>
                <w:lang w:val="fr-CA"/>
              </w:rPr>
              <w:tab/>
              <w:t>v. (36408)</w:t>
            </w:r>
          </w:p>
          <w:p w:rsidR="00FA3F0C" w:rsidRPr="00FA3F0C" w:rsidRDefault="00FA3F0C" w:rsidP="00FA3F0C">
            <w:pPr>
              <w:keepNext/>
              <w:keepLines/>
              <w:tabs>
                <w:tab w:val="left" w:pos="-1440"/>
                <w:tab w:val="left" w:pos="-720"/>
              </w:tabs>
              <w:rPr>
                <w:sz w:val="20"/>
                <w:szCs w:val="20"/>
                <w:lang w:val="fr-CA"/>
              </w:rPr>
            </w:pPr>
          </w:p>
          <w:p w:rsidR="00FA3F0C" w:rsidRPr="00FA3F0C" w:rsidRDefault="00FA3F0C" w:rsidP="00FA3F0C">
            <w:pPr>
              <w:keepNext/>
              <w:keepLines/>
              <w:tabs>
                <w:tab w:val="left" w:pos="-1440"/>
                <w:tab w:val="left" w:pos="-720"/>
              </w:tabs>
              <w:rPr>
                <w:b/>
                <w:sz w:val="20"/>
                <w:szCs w:val="20"/>
              </w:rPr>
            </w:pPr>
            <w:r w:rsidRPr="00FA3F0C">
              <w:rPr>
                <w:b/>
                <w:sz w:val="20"/>
                <w:szCs w:val="20"/>
                <w:lang w:val="fr-CA"/>
              </w:rPr>
              <w:t xml:space="preserve">H.J.C. et al. </w:t>
            </w:r>
            <w:r w:rsidRPr="00FA3F0C">
              <w:rPr>
                <w:b/>
                <w:sz w:val="20"/>
                <w:szCs w:val="20"/>
              </w:rPr>
              <w:t>(Alta.)</w:t>
            </w:r>
          </w:p>
          <w:p w:rsidR="00FA3F0C" w:rsidRPr="00FA3F0C" w:rsidRDefault="00FA3F0C" w:rsidP="00FA3F0C">
            <w:pPr>
              <w:keepNext/>
              <w:keepLines/>
              <w:tabs>
                <w:tab w:val="left" w:pos="-1440"/>
                <w:tab w:val="left" w:pos="-720"/>
              </w:tabs>
              <w:rPr>
                <w:sz w:val="20"/>
                <w:szCs w:val="20"/>
              </w:rPr>
            </w:pPr>
            <w:r w:rsidRPr="00FA3F0C">
              <w:rPr>
                <w:sz w:val="20"/>
                <w:szCs w:val="20"/>
              </w:rPr>
              <w:tab/>
              <w:t>Brian Forestell</w:t>
            </w:r>
          </w:p>
          <w:p w:rsidR="00FA3F0C" w:rsidRPr="00FA3F0C" w:rsidRDefault="00FA3F0C" w:rsidP="00FA3F0C">
            <w:pPr>
              <w:keepNext/>
              <w:keepLines/>
              <w:tabs>
                <w:tab w:val="left" w:pos="-1440"/>
                <w:tab w:val="left" w:pos="-720"/>
              </w:tabs>
              <w:rPr>
                <w:sz w:val="20"/>
                <w:szCs w:val="20"/>
              </w:rPr>
            </w:pPr>
            <w:r w:rsidRPr="00FA3F0C">
              <w:rPr>
                <w:sz w:val="20"/>
                <w:szCs w:val="20"/>
              </w:rPr>
              <w:tab/>
              <w:t>Forestell Law Office</w:t>
            </w:r>
          </w:p>
          <w:p w:rsidR="00FA3F0C" w:rsidRPr="00FA3F0C" w:rsidRDefault="00FA3F0C" w:rsidP="00FA3F0C">
            <w:pPr>
              <w:keepNext/>
              <w:keepLines/>
              <w:tabs>
                <w:tab w:val="left" w:pos="-1440"/>
                <w:tab w:val="left" w:pos="-720"/>
              </w:tabs>
              <w:rPr>
                <w:sz w:val="20"/>
                <w:szCs w:val="20"/>
              </w:rPr>
            </w:pPr>
          </w:p>
          <w:p w:rsidR="00FA3F0C" w:rsidRPr="00A935AA" w:rsidRDefault="00FA3F0C" w:rsidP="00FA3F0C">
            <w:pPr>
              <w:rPr>
                <w:sz w:val="20"/>
                <w:szCs w:val="20"/>
              </w:rPr>
            </w:pPr>
            <w:r w:rsidRPr="00A935AA">
              <w:rPr>
                <w:sz w:val="20"/>
                <w:szCs w:val="20"/>
              </w:rPr>
              <w:t>FILING DATE: 2</w:t>
            </w:r>
            <w:r>
              <w:rPr>
                <w:sz w:val="20"/>
                <w:szCs w:val="20"/>
              </w:rPr>
              <w:t>7</w:t>
            </w:r>
            <w:r w:rsidRPr="00A935AA">
              <w:rPr>
                <w:sz w:val="20"/>
                <w:szCs w:val="20"/>
              </w:rPr>
              <w:t>.0</w:t>
            </w:r>
            <w:r>
              <w:rPr>
                <w:sz w:val="20"/>
                <w:szCs w:val="20"/>
              </w:rPr>
              <w:t>4</w:t>
            </w:r>
            <w:r w:rsidRPr="00A935AA">
              <w:rPr>
                <w:sz w:val="20"/>
                <w:szCs w:val="20"/>
              </w:rPr>
              <w:t>.201</w:t>
            </w:r>
            <w:r>
              <w:rPr>
                <w:sz w:val="20"/>
                <w:szCs w:val="20"/>
              </w:rPr>
              <w:t>5</w:t>
            </w:r>
            <w:r w:rsidR="007F638F">
              <w:rPr>
                <w:sz w:val="20"/>
                <w:szCs w:val="20"/>
                <w:lang w:val="fr-CA"/>
              </w:rPr>
              <w:pict>
                <v:rect id="_x0000_i1026" style="width:108pt;height:1pt" o:hrpct="0" o:hralign="center" o:hrstd="t" o:hrnoshade="t" o:hr="t" fillcolor="black [3213]" stroked="f"/>
              </w:pict>
            </w:r>
          </w:p>
        </w:tc>
      </w:tr>
      <w:tr w:rsidR="00FA3F0C" w:rsidRPr="00A935AA" w:rsidTr="003B3977">
        <w:tc>
          <w:tcPr>
            <w:tcW w:w="4320" w:type="dxa"/>
            <w:shd w:val="clear" w:color="auto" w:fill="auto"/>
          </w:tcPr>
          <w:p w:rsidR="00FA3F0C" w:rsidRPr="00FA3F0C" w:rsidRDefault="00FA3F0C" w:rsidP="003B3977">
            <w:pPr>
              <w:rPr>
                <w:b/>
                <w:sz w:val="20"/>
                <w:szCs w:val="20"/>
                <w:lang w:val="fr-CA"/>
              </w:rPr>
            </w:pPr>
          </w:p>
          <w:p w:rsidR="00FA3F0C" w:rsidRPr="00FA3F0C" w:rsidRDefault="00FA3F0C" w:rsidP="003B3977">
            <w:pPr>
              <w:rPr>
                <w:b/>
                <w:sz w:val="20"/>
                <w:szCs w:val="20"/>
                <w:lang w:val="fr-CA"/>
              </w:rPr>
            </w:pPr>
            <w:r>
              <w:rPr>
                <w:b/>
                <w:sz w:val="20"/>
                <w:szCs w:val="20"/>
                <w:lang w:val="fr-CA"/>
              </w:rPr>
              <w:t>Procureur générale du Québec</w:t>
            </w:r>
          </w:p>
          <w:p w:rsidR="00FA3F0C" w:rsidRPr="00806A5B" w:rsidRDefault="00FA3F0C" w:rsidP="00FA3F0C">
            <w:pPr>
              <w:keepNext/>
              <w:keepLines/>
              <w:tabs>
                <w:tab w:val="left" w:pos="-1440"/>
                <w:tab w:val="left" w:pos="-720"/>
              </w:tabs>
              <w:rPr>
                <w:sz w:val="20"/>
                <w:szCs w:val="20"/>
                <w:lang w:val="fr-CA"/>
              </w:rPr>
            </w:pPr>
            <w:r w:rsidRPr="00FA3F0C">
              <w:rPr>
                <w:sz w:val="20"/>
                <w:szCs w:val="20"/>
                <w:lang w:val="fr-CA"/>
              </w:rPr>
              <w:tab/>
            </w:r>
            <w:r>
              <w:rPr>
                <w:sz w:val="20"/>
                <w:szCs w:val="20"/>
                <w:lang w:val="fr-CA"/>
              </w:rPr>
              <w:t>Joc</w:t>
            </w:r>
            <w:r w:rsidRPr="00806A5B">
              <w:rPr>
                <w:sz w:val="20"/>
                <w:szCs w:val="20"/>
                <w:lang w:val="fr-CA"/>
              </w:rPr>
              <w:t>e</w:t>
            </w:r>
            <w:r>
              <w:rPr>
                <w:sz w:val="20"/>
                <w:szCs w:val="20"/>
                <w:lang w:val="fr-CA"/>
              </w:rPr>
              <w:t>lyn</w:t>
            </w:r>
            <w:r w:rsidRPr="00806A5B">
              <w:rPr>
                <w:sz w:val="20"/>
                <w:szCs w:val="20"/>
                <w:lang w:val="fr-CA"/>
              </w:rPr>
              <w:t>e P</w:t>
            </w:r>
            <w:r>
              <w:rPr>
                <w:sz w:val="20"/>
                <w:szCs w:val="20"/>
                <w:lang w:val="fr-CA"/>
              </w:rPr>
              <w:t>r</w:t>
            </w:r>
            <w:r w:rsidRPr="00806A5B">
              <w:rPr>
                <w:sz w:val="20"/>
                <w:szCs w:val="20"/>
                <w:lang w:val="fr-CA"/>
              </w:rPr>
              <w:t>o</w:t>
            </w:r>
            <w:r>
              <w:rPr>
                <w:sz w:val="20"/>
                <w:szCs w:val="20"/>
                <w:lang w:val="fr-CA"/>
              </w:rPr>
              <w:t>vos</w:t>
            </w:r>
            <w:r w:rsidRPr="00806A5B">
              <w:rPr>
                <w:sz w:val="20"/>
                <w:szCs w:val="20"/>
                <w:lang w:val="fr-CA"/>
              </w:rPr>
              <w:t>t</w:t>
            </w:r>
          </w:p>
          <w:p w:rsidR="00FA3F0C" w:rsidRPr="00806A5B" w:rsidRDefault="00FA3F0C" w:rsidP="00FA3F0C">
            <w:pPr>
              <w:keepNext/>
              <w:keepLines/>
              <w:tabs>
                <w:tab w:val="left" w:pos="-1440"/>
                <w:tab w:val="left" w:pos="-720"/>
              </w:tabs>
              <w:rPr>
                <w:sz w:val="20"/>
                <w:szCs w:val="20"/>
                <w:lang w:val="fr-CA"/>
              </w:rPr>
            </w:pPr>
            <w:r w:rsidRPr="00806A5B">
              <w:rPr>
                <w:sz w:val="20"/>
                <w:szCs w:val="20"/>
                <w:lang w:val="fr-CA"/>
              </w:rPr>
              <w:tab/>
            </w:r>
            <w:r>
              <w:rPr>
                <w:sz w:val="20"/>
                <w:szCs w:val="20"/>
                <w:lang w:val="fr-CA"/>
              </w:rPr>
              <w:t>Bern</w:t>
            </w:r>
            <w:r w:rsidRPr="00806A5B">
              <w:rPr>
                <w:sz w:val="20"/>
                <w:szCs w:val="20"/>
                <w:lang w:val="fr-CA"/>
              </w:rPr>
              <w:t>ar</w:t>
            </w:r>
            <w:r>
              <w:rPr>
                <w:sz w:val="20"/>
                <w:szCs w:val="20"/>
                <w:lang w:val="fr-CA"/>
              </w:rPr>
              <w:t>d</w:t>
            </w:r>
            <w:r w:rsidRPr="00806A5B">
              <w:rPr>
                <w:sz w:val="20"/>
                <w:szCs w:val="20"/>
                <w:lang w:val="fr-CA"/>
              </w:rPr>
              <w:t xml:space="preserve">, </w:t>
            </w:r>
            <w:r>
              <w:rPr>
                <w:sz w:val="20"/>
                <w:szCs w:val="20"/>
                <w:lang w:val="fr-CA"/>
              </w:rPr>
              <w:t>R</w:t>
            </w:r>
            <w:r w:rsidRPr="00806A5B">
              <w:rPr>
                <w:sz w:val="20"/>
                <w:szCs w:val="20"/>
                <w:lang w:val="fr-CA"/>
              </w:rPr>
              <w:t>o</w:t>
            </w:r>
            <w:r>
              <w:rPr>
                <w:sz w:val="20"/>
                <w:szCs w:val="20"/>
                <w:lang w:val="fr-CA"/>
              </w:rPr>
              <w:t>y &amp;</w:t>
            </w:r>
            <w:r w:rsidRPr="00806A5B">
              <w:rPr>
                <w:sz w:val="20"/>
                <w:szCs w:val="20"/>
                <w:lang w:val="fr-CA"/>
              </w:rPr>
              <w:t xml:space="preserve"> Associés</w:t>
            </w:r>
          </w:p>
          <w:p w:rsidR="00FA3F0C" w:rsidRPr="00806A5B" w:rsidRDefault="00FA3F0C" w:rsidP="00FA3F0C">
            <w:pPr>
              <w:keepNext/>
              <w:keepLines/>
              <w:tabs>
                <w:tab w:val="left" w:pos="-1440"/>
                <w:tab w:val="left" w:pos="-720"/>
              </w:tabs>
              <w:rPr>
                <w:sz w:val="20"/>
                <w:szCs w:val="20"/>
                <w:lang w:val="fr-CA"/>
              </w:rPr>
            </w:pPr>
          </w:p>
          <w:p w:rsidR="00FA3F0C" w:rsidRPr="00806A5B" w:rsidRDefault="00FA3F0C" w:rsidP="00FA3F0C">
            <w:pPr>
              <w:keepNext/>
              <w:keepLines/>
              <w:tabs>
                <w:tab w:val="left" w:pos="-1440"/>
                <w:tab w:val="left" w:pos="-720"/>
              </w:tabs>
              <w:rPr>
                <w:sz w:val="20"/>
                <w:szCs w:val="20"/>
                <w:lang w:val="fr-CA"/>
              </w:rPr>
            </w:pPr>
            <w:r w:rsidRPr="00806A5B">
              <w:rPr>
                <w:sz w:val="20"/>
                <w:szCs w:val="20"/>
                <w:lang w:val="fr-CA"/>
              </w:rPr>
              <w:tab/>
              <w:t>c. (36</w:t>
            </w:r>
            <w:r>
              <w:rPr>
                <w:sz w:val="20"/>
                <w:szCs w:val="20"/>
                <w:lang w:val="fr-CA"/>
              </w:rPr>
              <w:t>409</w:t>
            </w:r>
            <w:r w:rsidRPr="00806A5B">
              <w:rPr>
                <w:sz w:val="20"/>
                <w:szCs w:val="20"/>
                <w:lang w:val="fr-CA"/>
              </w:rPr>
              <w:t>)</w:t>
            </w:r>
          </w:p>
          <w:p w:rsidR="00FA3F0C" w:rsidRPr="00806A5B" w:rsidRDefault="00FA3F0C" w:rsidP="00FA3F0C">
            <w:pPr>
              <w:keepNext/>
              <w:keepLines/>
              <w:tabs>
                <w:tab w:val="left" w:pos="-1440"/>
                <w:tab w:val="left" w:pos="-720"/>
              </w:tabs>
              <w:rPr>
                <w:sz w:val="20"/>
                <w:szCs w:val="20"/>
                <w:lang w:val="fr-CA"/>
              </w:rPr>
            </w:pPr>
          </w:p>
          <w:p w:rsidR="00FA3F0C" w:rsidRPr="00806A5B" w:rsidRDefault="00FA3F0C" w:rsidP="00FA3F0C">
            <w:pPr>
              <w:keepNext/>
              <w:keepLines/>
              <w:tabs>
                <w:tab w:val="left" w:pos="-1440"/>
                <w:tab w:val="left" w:pos="-720"/>
              </w:tabs>
              <w:rPr>
                <w:b/>
                <w:sz w:val="20"/>
                <w:szCs w:val="20"/>
                <w:lang w:val="fr-CA"/>
              </w:rPr>
            </w:pPr>
            <w:r w:rsidRPr="00806A5B">
              <w:rPr>
                <w:b/>
                <w:sz w:val="20"/>
                <w:szCs w:val="20"/>
                <w:lang w:val="fr-CA"/>
              </w:rPr>
              <w:t>S</w:t>
            </w:r>
            <w:r>
              <w:rPr>
                <w:b/>
                <w:sz w:val="20"/>
                <w:szCs w:val="20"/>
                <w:lang w:val="fr-CA"/>
              </w:rPr>
              <w:t>yndic</w:t>
            </w:r>
            <w:r w:rsidRPr="00806A5B">
              <w:rPr>
                <w:b/>
                <w:sz w:val="20"/>
                <w:szCs w:val="20"/>
                <w:lang w:val="fr-CA"/>
              </w:rPr>
              <w:t>a</w:t>
            </w:r>
            <w:r>
              <w:rPr>
                <w:b/>
                <w:sz w:val="20"/>
                <w:szCs w:val="20"/>
                <w:lang w:val="fr-CA"/>
              </w:rPr>
              <w:t>t des enseignants du CÉGEP de Sh</w:t>
            </w:r>
            <w:r w:rsidRPr="00806A5B">
              <w:rPr>
                <w:b/>
                <w:sz w:val="20"/>
                <w:szCs w:val="20"/>
                <w:lang w:val="fr-CA"/>
              </w:rPr>
              <w:t>a</w:t>
            </w:r>
            <w:r>
              <w:rPr>
                <w:b/>
                <w:sz w:val="20"/>
                <w:szCs w:val="20"/>
                <w:lang w:val="fr-CA"/>
              </w:rPr>
              <w:t>winig</w:t>
            </w:r>
            <w:r w:rsidRPr="00806A5B">
              <w:rPr>
                <w:b/>
                <w:sz w:val="20"/>
                <w:szCs w:val="20"/>
                <w:lang w:val="fr-CA"/>
              </w:rPr>
              <w:t>a</w:t>
            </w:r>
            <w:r>
              <w:rPr>
                <w:b/>
                <w:sz w:val="20"/>
                <w:szCs w:val="20"/>
                <w:lang w:val="fr-CA"/>
              </w:rPr>
              <w:t>n (FNEEQ-CSN)</w:t>
            </w:r>
            <w:r w:rsidRPr="00806A5B">
              <w:rPr>
                <w:b/>
                <w:sz w:val="20"/>
                <w:szCs w:val="20"/>
                <w:lang w:val="fr-CA"/>
              </w:rPr>
              <w:t xml:space="preserve"> (Qc)</w:t>
            </w:r>
          </w:p>
          <w:p w:rsidR="00FA3F0C" w:rsidRDefault="00FA3F0C" w:rsidP="00FA3F0C">
            <w:pPr>
              <w:keepNext/>
              <w:keepLines/>
              <w:tabs>
                <w:tab w:val="left" w:pos="-1440"/>
                <w:tab w:val="left" w:pos="-720"/>
              </w:tabs>
              <w:rPr>
                <w:sz w:val="20"/>
                <w:szCs w:val="20"/>
                <w:lang w:val="fr-CA"/>
              </w:rPr>
            </w:pPr>
            <w:r w:rsidRPr="00806A5B">
              <w:rPr>
                <w:sz w:val="20"/>
                <w:szCs w:val="20"/>
                <w:lang w:val="fr-CA"/>
              </w:rPr>
              <w:tab/>
            </w:r>
            <w:r>
              <w:rPr>
                <w:sz w:val="20"/>
                <w:szCs w:val="20"/>
                <w:lang w:val="fr-CA"/>
              </w:rPr>
              <w:t>Marius Ménard</w:t>
            </w:r>
          </w:p>
          <w:p w:rsidR="00FA3F0C" w:rsidRPr="00806A5B" w:rsidRDefault="00FA3F0C" w:rsidP="00FA3F0C">
            <w:pPr>
              <w:keepNext/>
              <w:keepLines/>
              <w:tabs>
                <w:tab w:val="left" w:pos="-1440"/>
                <w:tab w:val="left" w:pos="-720"/>
              </w:tabs>
              <w:rPr>
                <w:sz w:val="20"/>
                <w:szCs w:val="20"/>
                <w:lang w:val="fr-CA"/>
              </w:rPr>
            </w:pPr>
            <w:r>
              <w:rPr>
                <w:sz w:val="20"/>
                <w:szCs w:val="20"/>
                <w:lang w:val="fr-CA"/>
              </w:rPr>
              <w:tab/>
              <w:t>Ménard Milliard Caux</w:t>
            </w:r>
          </w:p>
          <w:p w:rsidR="00FA3F0C" w:rsidRPr="00806A5B" w:rsidRDefault="00FA3F0C" w:rsidP="00FA3F0C">
            <w:pPr>
              <w:keepNext/>
              <w:keepLines/>
              <w:tabs>
                <w:tab w:val="left" w:pos="-1440"/>
                <w:tab w:val="left" w:pos="-720"/>
              </w:tabs>
              <w:rPr>
                <w:sz w:val="20"/>
                <w:szCs w:val="20"/>
                <w:lang w:val="fr-CA"/>
              </w:rPr>
            </w:pPr>
          </w:p>
          <w:p w:rsidR="00FA3F0C" w:rsidRPr="00C05442" w:rsidRDefault="00FA3F0C" w:rsidP="00FA3F0C">
            <w:pPr>
              <w:rPr>
                <w:sz w:val="20"/>
                <w:szCs w:val="20"/>
                <w:lang w:val="fr-CA"/>
              </w:rPr>
            </w:pPr>
            <w:r>
              <w:rPr>
                <w:sz w:val="20"/>
                <w:szCs w:val="20"/>
                <w:lang w:val="fr-CA"/>
              </w:rPr>
              <w:t xml:space="preserve">et entre </w:t>
            </w:r>
          </w:p>
        </w:tc>
        <w:tc>
          <w:tcPr>
            <w:tcW w:w="1181" w:type="dxa"/>
            <w:shd w:val="clear" w:color="auto" w:fill="auto"/>
          </w:tcPr>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tc>
        <w:tc>
          <w:tcPr>
            <w:tcW w:w="4320" w:type="dxa"/>
            <w:shd w:val="clear" w:color="auto" w:fill="auto"/>
          </w:tcPr>
          <w:p w:rsidR="00FA3F0C" w:rsidRPr="00A935AA" w:rsidRDefault="004A64E5" w:rsidP="00FA3F0C">
            <w:pPr>
              <w:rPr>
                <w:b/>
                <w:sz w:val="20"/>
                <w:szCs w:val="20"/>
              </w:rPr>
            </w:pPr>
            <w:r>
              <w:rPr>
                <w:b/>
                <w:sz w:val="20"/>
                <w:szCs w:val="20"/>
              </w:rPr>
              <w:t>Peter Donaldson</w:t>
            </w:r>
          </w:p>
          <w:p w:rsidR="00FA3F0C" w:rsidRPr="00A935AA" w:rsidRDefault="00FA3F0C" w:rsidP="00FA3F0C">
            <w:pPr>
              <w:tabs>
                <w:tab w:val="left" w:pos="-1440"/>
                <w:tab w:val="left" w:pos="-720"/>
              </w:tabs>
              <w:rPr>
                <w:sz w:val="20"/>
                <w:szCs w:val="20"/>
              </w:rPr>
            </w:pPr>
            <w:r w:rsidRPr="00A935AA">
              <w:rPr>
                <w:sz w:val="20"/>
                <w:szCs w:val="20"/>
              </w:rPr>
              <w:tab/>
            </w:r>
            <w:r w:rsidR="004A64E5">
              <w:rPr>
                <w:sz w:val="20"/>
                <w:szCs w:val="20"/>
              </w:rPr>
              <w:t>Daniel Matson</w:t>
            </w:r>
          </w:p>
          <w:p w:rsidR="00FA3F0C" w:rsidRPr="00A935AA" w:rsidRDefault="00FA3F0C" w:rsidP="00FA3F0C">
            <w:pPr>
              <w:tabs>
                <w:tab w:val="left" w:pos="-1440"/>
                <w:tab w:val="left" w:pos="-720"/>
              </w:tabs>
              <w:rPr>
                <w:sz w:val="20"/>
                <w:szCs w:val="20"/>
              </w:rPr>
            </w:pPr>
            <w:r w:rsidRPr="00A935AA">
              <w:rPr>
                <w:sz w:val="20"/>
                <w:szCs w:val="20"/>
              </w:rPr>
              <w:tab/>
            </w:r>
            <w:r w:rsidR="004A64E5">
              <w:rPr>
                <w:sz w:val="20"/>
                <w:szCs w:val="20"/>
              </w:rPr>
              <w:t>Johansen Law Firm</w:t>
            </w:r>
          </w:p>
          <w:p w:rsidR="00FA3F0C" w:rsidRPr="00A935AA" w:rsidRDefault="00FA3F0C" w:rsidP="00FA3F0C">
            <w:pPr>
              <w:tabs>
                <w:tab w:val="left" w:pos="-1440"/>
                <w:tab w:val="left" w:pos="-720"/>
              </w:tabs>
              <w:rPr>
                <w:sz w:val="20"/>
                <w:szCs w:val="20"/>
              </w:rPr>
            </w:pPr>
          </w:p>
          <w:p w:rsidR="00FA3F0C" w:rsidRPr="00A935AA" w:rsidRDefault="00FA3F0C" w:rsidP="00FA3F0C">
            <w:pPr>
              <w:tabs>
                <w:tab w:val="left" w:pos="-1440"/>
                <w:tab w:val="left" w:pos="-720"/>
              </w:tabs>
              <w:rPr>
                <w:sz w:val="20"/>
                <w:szCs w:val="20"/>
              </w:rPr>
            </w:pPr>
            <w:r w:rsidRPr="00A935AA">
              <w:rPr>
                <w:sz w:val="20"/>
                <w:szCs w:val="20"/>
              </w:rPr>
              <w:tab/>
              <w:t>v. (3</w:t>
            </w:r>
            <w:r w:rsidR="004A64E5">
              <w:rPr>
                <w:sz w:val="20"/>
                <w:szCs w:val="20"/>
              </w:rPr>
              <w:t>6420</w:t>
            </w:r>
            <w:r w:rsidRPr="00A935AA">
              <w:rPr>
                <w:sz w:val="20"/>
                <w:szCs w:val="20"/>
              </w:rPr>
              <w:t>)</w:t>
            </w:r>
          </w:p>
          <w:p w:rsidR="00FA3F0C" w:rsidRPr="00A935AA" w:rsidRDefault="00FA3F0C" w:rsidP="00FA3F0C">
            <w:pPr>
              <w:tabs>
                <w:tab w:val="left" w:pos="-1440"/>
                <w:tab w:val="left" w:pos="-720"/>
              </w:tabs>
              <w:rPr>
                <w:sz w:val="20"/>
                <w:szCs w:val="20"/>
              </w:rPr>
            </w:pPr>
          </w:p>
          <w:p w:rsidR="004A64E5" w:rsidRDefault="004A64E5" w:rsidP="00FA3F0C">
            <w:pPr>
              <w:tabs>
                <w:tab w:val="left" w:pos="-1440"/>
                <w:tab w:val="left" w:pos="-720"/>
              </w:tabs>
              <w:rPr>
                <w:b/>
                <w:sz w:val="20"/>
                <w:szCs w:val="20"/>
              </w:rPr>
            </w:pPr>
            <w:r>
              <w:rPr>
                <w:b/>
                <w:sz w:val="20"/>
                <w:szCs w:val="20"/>
              </w:rPr>
              <w:t xml:space="preserve">Western Grain Storage By-Products Ltd. </w:t>
            </w:r>
          </w:p>
          <w:p w:rsidR="00FA3F0C" w:rsidRPr="00A935AA" w:rsidRDefault="00FA3F0C" w:rsidP="00FA3F0C">
            <w:pPr>
              <w:tabs>
                <w:tab w:val="left" w:pos="-1440"/>
                <w:tab w:val="left" w:pos="-720"/>
              </w:tabs>
              <w:rPr>
                <w:b/>
                <w:sz w:val="20"/>
                <w:szCs w:val="20"/>
              </w:rPr>
            </w:pPr>
            <w:r w:rsidRPr="00A935AA">
              <w:rPr>
                <w:b/>
                <w:sz w:val="20"/>
                <w:szCs w:val="20"/>
              </w:rPr>
              <w:t>(</w:t>
            </w:r>
            <w:r w:rsidR="004A64E5">
              <w:rPr>
                <w:b/>
                <w:sz w:val="20"/>
                <w:szCs w:val="20"/>
              </w:rPr>
              <w:t>F.C</w:t>
            </w:r>
            <w:r w:rsidRPr="00A935AA">
              <w:rPr>
                <w:b/>
                <w:sz w:val="20"/>
                <w:szCs w:val="20"/>
              </w:rPr>
              <w:t>.)</w:t>
            </w:r>
          </w:p>
          <w:p w:rsidR="00FA3F0C" w:rsidRPr="00A935AA" w:rsidRDefault="00FA3F0C" w:rsidP="00FA3F0C">
            <w:pPr>
              <w:tabs>
                <w:tab w:val="left" w:pos="-1440"/>
                <w:tab w:val="left" w:pos="-720"/>
              </w:tabs>
              <w:rPr>
                <w:sz w:val="20"/>
                <w:szCs w:val="20"/>
              </w:rPr>
            </w:pPr>
            <w:r w:rsidRPr="00A935AA">
              <w:rPr>
                <w:sz w:val="20"/>
                <w:szCs w:val="20"/>
              </w:rPr>
              <w:tab/>
            </w:r>
            <w:r w:rsidR="004A64E5">
              <w:rPr>
                <w:sz w:val="20"/>
                <w:szCs w:val="20"/>
              </w:rPr>
              <w:t>Chantelle Bryson</w:t>
            </w:r>
          </w:p>
          <w:p w:rsidR="00FA3F0C" w:rsidRPr="00A935AA" w:rsidRDefault="00FA3F0C" w:rsidP="00FA3F0C">
            <w:pPr>
              <w:tabs>
                <w:tab w:val="left" w:pos="-1440"/>
                <w:tab w:val="left" w:pos="-720"/>
              </w:tabs>
              <w:rPr>
                <w:sz w:val="20"/>
                <w:szCs w:val="20"/>
              </w:rPr>
            </w:pPr>
            <w:r w:rsidRPr="00A935AA">
              <w:rPr>
                <w:sz w:val="20"/>
                <w:szCs w:val="20"/>
              </w:rPr>
              <w:tab/>
            </w:r>
            <w:r w:rsidR="004A64E5">
              <w:rPr>
                <w:sz w:val="20"/>
                <w:szCs w:val="20"/>
              </w:rPr>
              <w:t>Weiler Maloney Nelson</w:t>
            </w:r>
          </w:p>
          <w:p w:rsidR="00FA3F0C" w:rsidRPr="00A935AA" w:rsidRDefault="00FA3F0C" w:rsidP="00FA3F0C">
            <w:pPr>
              <w:tabs>
                <w:tab w:val="left" w:pos="-1440"/>
                <w:tab w:val="left" w:pos="-720"/>
              </w:tabs>
              <w:rPr>
                <w:sz w:val="20"/>
                <w:szCs w:val="20"/>
              </w:rPr>
            </w:pPr>
          </w:p>
          <w:p w:rsidR="00FA3F0C" w:rsidRPr="00A935AA" w:rsidRDefault="00FA3F0C" w:rsidP="004A64E5">
            <w:pPr>
              <w:rPr>
                <w:sz w:val="20"/>
                <w:szCs w:val="20"/>
              </w:rPr>
            </w:pPr>
            <w:r w:rsidRPr="00A935AA">
              <w:rPr>
                <w:sz w:val="20"/>
                <w:szCs w:val="20"/>
              </w:rPr>
              <w:t xml:space="preserve">FILING DATE: </w:t>
            </w:r>
            <w:r w:rsidR="004A64E5">
              <w:rPr>
                <w:sz w:val="20"/>
                <w:szCs w:val="20"/>
              </w:rPr>
              <w:t>04</w:t>
            </w:r>
            <w:r w:rsidRPr="00A935AA">
              <w:rPr>
                <w:sz w:val="20"/>
                <w:szCs w:val="20"/>
              </w:rPr>
              <w:t>.0</w:t>
            </w:r>
            <w:r w:rsidR="004A64E5">
              <w:rPr>
                <w:sz w:val="20"/>
                <w:szCs w:val="20"/>
              </w:rPr>
              <w:t>5</w:t>
            </w:r>
            <w:r w:rsidRPr="00A935AA">
              <w:rPr>
                <w:sz w:val="20"/>
                <w:szCs w:val="20"/>
              </w:rPr>
              <w:t>.201</w:t>
            </w:r>
            <w:r w:rsidR="004A64E5">
              <w:rPr>
                <w:sz w:val="20"/>
                <w:szCs w:val="20"/>
              </w:rPr>
              <w:t>5</w:t>
            </w:r>
            <w:r w:rsidR="007F638F">
              <w:rPr>
                <w:sz w:val="20"/>
                <w:szCs w:val="20"/>
                <w:lang w:val="fr-CA"/>
              </w:rPr>
              <w:pict>
                <v:rect id="_x0000_i1027" style="width:108pt;height:1pt" o:hrpct="0" o:hralign="center" o:hrstd="t" o:hrnoshade="t" o:hr="t" fillcolor="black [3213]" stroked="f"/>
              </w:pict>
            </w:r>
          </w:p>
        </w:tc>
      </w:tr>
      <w:tr w:rsidR="00FA3F0C" w:rsidRPr="007F638F" w:rsidTr="003B3977">
        <w:tc>
          <w:tcPr>
            <w:tcW w:w="4320" w:type="dxa"/>
            <w:shd w:val="clear" w:color="auto" w:fill="auto"/>
          </w:tcPr>
          <w:p w:rsidR="004A64E5" w:rsidRPr="004A64E5" w:rsidRDefault="004A64E5" w:rsidP="005F1ED8">
            <w:pPr>
              <w:rPr>
                <w:sz w:val="20"/>
                <w:szCs w:val="20"/>
              </w:rPr>
            </w:pPr>
          </w:p>
          <w:p w:rsidR="00FA3F0C" w:rsidRPr="00C05442" w:rsidRDefault="00FA3F0C" w:rsidP="005F1ED8">
            <w:pPr>
              <w:rPr>
                <w:b/>
                <w:sz w:val="20"/>
                <w:szCs w:val="20"/>
                <w:lang w:val="fr-CA"/>
              </w:rPr>
            </w:pPr>
            <w:r w:rsidRPr="00C05442">
              <w:rPr>
                <w:b/>
                <w:sz w:val="20"/>
                <w:szCs w:val="20"/>
                <w:lang w:val="fr-CA"/>
              </w:rPr>
              <w:t>Collège Shawinigan</w:t>
            </w:r>
          </w:p>
          <w:p w:rsidR="00FA3F0C" w:rsidRPr="00C05442" w:rsidRDefault="00FA3F0C" w:rsidP="00FA3F0C">
            <w:pPr>
              <w:keepNext/>
              <w:keepLines/>
              <w:tabs>
                <w:tab w:val="left" w:pos="-1440"/>
                <w:tab w:val="left" w:pos="-720"/>
              </w:tabs>
              <w:rPr>
                <w:sz w:val="20"/>
                <w:szCs w:val="20"/>
                <w:lang w:val="fr-CA"/>
              </w:rPr>
            </w:pPr>
            <w:r w:rsidRPr="00C05442">
              <w:rPr>
                <w:sz w:val="20"/>
                <w:szCs w:val="20"/>
                <w:lang w:val="fr-CA"/>
              </w:rPr>
              <w:tab/>
              <w:t>Nancy Bergeron</w:t>
            </w:r>
          </w:p>
          <w:p w:rsidR="00FA3F0C" w:rsidRPr="00C05442" w:rsidRDefault="00FA3F0C" w:rsidP="00FA3F0C">
            <w:pPr>
              <w:keepNext/>
              <w:keepLines/>
              <w:tabs>
                <w:tab w:val="left" w:pos="-1440"/>
                <w:tab w:val="left" w:pos="-720"/>
              </w:tabs>
              <w:rPr>
                <w:sz w:val="20"/>
                <w:szCs w:val="20"/>
                <w:lang w:val="fr-CA"/>
              </w:rPr>
            </w:pPr>
            <w:r w:rsidRPr="00C05442">
              <w:rPr>
                <w:sz w:val="20"/>
                <w:szCs w:val="20"/>
                <w:lang w:val="fr-CA"/>
              </w:rPr>
              <w:tab/>
              <w:t>Ellefsen Bergeron Tremblay</w:t>
            </w:r>
          </w:p>
          <w:p w:rsidR="00FA3F0C" w:rsidRPr="00C05442" w:rsidRDefault="00FA3F0C" w:rsidP="00FA3F0C">
            <w:pPr>
              <w:keepNext/>
              <w:keepLines/>
              <w:tabs>
                <w:tab w:val="left" w:pos="-1440"/>
                <w:tab w:val="left" w:pos="-720"/>
              </w:tabs>
              <w:rPr>
                <w:sz w:val="20"/>
                <w:szCs w:val="20"/>
                <w:lang w:val="fr-CA"/>
              </w:rPr>
            </w:pPr>
          </w:p>
          <w:p w:rsidR="00FA3F0C" w:rsidRPr="00C05442" w:rsidRDefault="00FA3F0C" w:rsidP="00FA3F0C">
            <w:pPr>
              <w:keepNext/>
              <w:keepLines/>
              <w:tabs>
                <w:tab w:val="left" w:pos="-1440"/>
                <w:tab w:val="left" w:pos="-720"/>
              </w:tabs>
              <w:rPr>
                <w:sz w:val="20"/>
                <w:szCs w:val="20"/>
                <w:lang w:val="fr-CA"/>
              </w:rPr>
            </w:pPr>
            <w:r w:rsidRPr="00C05442">
              <w:rPr>
                <w:sz w:val="20"/>
                <w:szCs w:val="20"/>
                <w:lang w:val="fr-CA"/>
              </w:rPr>
              <w:tab/>
            </w:r>
            <w:r w:rsidR="00C65FD0" w:rsidRPr="00C05442">
              <w:rPr>
                <w:sz w:val="20"/>
                <w:szCs w:val="20"/>
                <w:lang w:val="fr-CA"/>
              </w:rPr>
              <w:t>c</w:t>
            </w:r>
            <w:r w:rsidRPr="00C05442">
              <w:rPr>
                <w:sz w:val="20"/>
                <w:szCs w:val="20"/>
                <w:lang w:val="fr-CA"/>
              </w:rPr>
              <w:t>. (36409)</w:t>
            </w:r>
          </w:p>
          <w:p w:rsidR="00FA3F0C" w:rsidRPr="00C05442" w:rsidRDefault="00FA3F0C" w:rsidP="00FA3F0C">
            <w:pPr>
              <w:keepNext/>
              <w:keepLines/>
              <w:tabs>
                <w:tab w:val="left" w:pos="-1440"/>
                <w:tab w:val="left" w:pos="-720"/>
              </w:tabs>
              <w:rPr>
                <w:sz w:val="20"/>
                <w:szCs w:val="20"/>
                <w:lang w:val="fr-CA"/>
              </w:rPr>
            </w:pPr>
          </w:p>
          <w:p w:rsidR="00FA3F0C" w:rsidRPr="00806A5B" w:rsidRDefault="00FA3F0C" w:rsidP="00FA3F0C">
            <w:pPr>
              <w:keepNext/>
              <w:keepLines/>
              <w:tabs>
                <w:tab w:val="left" w:pos="-1440"/>
                <w:tab w:val="left" w:pos="-720"/>
              </w:tabs>
              <w:rPr>
                <w:b/>
                <w:sz w:val="20"/>
                <w:szCs w:val="20"/>
                <w:lang w:val="fr-CA"/>
              </w:rPr>
            </w:pPr>
            <w:r w:rsidRPr="00C05442">
              <w:rPr>
                <w:b/>
                <w:sz w:val="20"/>
                <w:szCs w:val="20"/>
                <w:lang w:val="fr-CA"/>
              </w:rPr>
              <w:t xml:space="preserve">Syndicat des </w:t>
            </w:r>
            <w:r>
              <w:rPr>
                <w:b/>
                <w:sz w:val="20"/>
                <w:szCs w:val="20"/>
                <w:lang w:val="fr-CA"/>
              </w:rPr>
              <w:t>enseignants du CÉGEP de Sh</w:t>
            </w:r>
            <w:r w:rsidRPr="00806A5B">
              <w:rPr>
                <w:b/>
                <w:sz w:val="20"/>
                <w:szCs w:val="20"/>
                <w:lang w:val="fr-CA"/>
              </w:rPr>
              <w:t>a</w:t>
            </w:r>
            <w:r>
              <w:rPr>
                <w:b/>
                <w:sz w:val="20"/>
                <w:szCs w:val="20"/>
                <w:lang w:val="fr-CA"/>
              </w:rPr>
              <w:t>winig</w:t>
            </w:r>
            <w:r w:rsidRPr="00806A5B">
              <w:rPr>
                <w:b/>
                <w:sz w:val="20"/>
                <w:szCs w:val="20"/>
                <w:lang w:val="fr-CA"/>
              </w:rPr>
              <w:t>a</w:t>
            </w:r>
            <w:r>
              <w:rPr>
                <w:b/>
                <w:sz w:val="20"/>
                <w:szCs w:val="20"/>
                <w:lang w:val="fr-CA"/>
              </w:rPr>
              <w:t>n (FNEEQ-CSN)</w:t>
            </w:r>
            <w:r w:rsidRPr="00806A5B">
              <w:rPr>
                <w:b/>
                <w:sz w:val="20"/>
                <w:szCs w:val="20"/>
                <w:lang w:val="fr-CA"/>
              </w:rPr>
              <w:t xml:space="preserve"> (Qc)</w:t>
            </w:r>
          </w:p>
          <w:p w:rsidR="00FA3F0C" w:rsidRDefault="00FA3F0C" w:rsidP="00FA3F0C">
            <w:pPr>
              <w:keepNext/>
              <w:keepLines/>
              <w:tabs>
                <w:tab w:val="left" w:pos="-1440"/>
                <w:tab w:val="left" w:pos="-720"/>
              </w:tabs>
              <w:rPr>
                <w:sz w:val="20"/>
                <w:szCs w:val="20"/>
                <w:lang w:val="fr-CA"/>
              </w:rPr>
            </w:pPr>
            <w:r w:rsidRPr="00806A5B">
              <w:rPr>
                <w:sz w:val="20"/>
                <w:szCs w:val="20"/>
                <w:lang w:val="fr-CA"/>
              </w:rPr>
              <w:tab/>
            </w:r>
            <w:r>
              <w:rPr>
                <w:sz w:val="20"/>
                <w:szCs w:val="20"/>
                <w:lang w:val="fr-CA"/>
              </w:rPr>
              <w:t>Marius Ménard</w:t>
            </w:r>
          </w:p>
          <w:p w:rsidR="00FA3F0C" w:rsidRPr="00806A5B" w:rsidRDefault="00FA3F0C" w:rsidP="00FA3F0C">
            <w:pPr>
              <w:keepNext/>
              <w:keepLines/>
              <w:tabs>
                <w:tab w:val="left" w:pos="-1440"/>
                <w:tab w:val="left" w:pos="-720"/>
              </w:tabs>
              <w:rPr>
                <w:sz w:val="20"/>
                <w:szCs w:val="20"/>
                <w:lang w:val="fr-CA"/>
              </w:rPr>
            </w:pPr>
            <w:r>
              <w:rPr>
                <w:sz w:val="20"/>
                <w:szCs w:val="20"/>
                <w:lang w:val="fr-CA"/>
              </w:rPr>
              <w:tab/>
              <w:t>Ménard Milliard Caux</w:t>
            </w:r>
          </w:p>
          <w:p w:rsidR="00FA3F0C" w:rsidRPr="00C05442" w:rsidRDefault="00FA3F0C" w:rsidP="00FA3F0C">
            <w:pPr>
              <w:keepNext/>
              <w:keepLines/>
              <w:tabs>
                <w:tab w:val="left" w:pos="-1440"/>
                <w:tab w:val="left" w:pos="-720"/>
              </w:tabs>
              <w:rPr>
                <w:sz w:val="20"/>
                <w:szCs w:val="20"/>
                <w:lang w:val="fr-CA"/>
              </w:rPr>
            </w:pPr>
          </w:p>
          <w:p w:rsidR="00FA3F0C" w:rsidRPr="00C05442" w:rsidRDefault="00FA3F0C" w:rsidP="00FA3F0C">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28</w:t>
            </w:r>
            <w:r w:rsidRPr="00806A5B">
              <w:rPr>
                <w:sz w:val="20"/>
                <w:szCs w:val="20"/>
                <w:lang w:val="fr-CA"/>
              </w:rPr>
              <w:t>.0</w:t>
            </w:r>
            <w:r>
              <w:rPr>
                <w:sz w:val="20"/>
                <w:szCs w:val="20"/>
                <w:lang w:val="fr-CA"/>
              </w:rPr>
              <w:t>4</w:t>
            </w:r>
            <w:r w:rsidRPr="00806A5B">
              <w:rPr>
                <w:sz w:val="20"/>
                <w:szCs w:val="20"/>
                <w:lang w:val="fr-CA"/>
              </w:rPr>
              <w:t>.201</w:t>
            </w:r>
            <w:r>
              <w:rPr>
                <w:sz w:val="20"/>
                <w:szCs w:val="20"/>
                <w:lang w:val="fr-CA"/>
              </w:rPr>
              <w:t>5</w:t>
            </w:r>
            <w:r w:rsidR="007F638F">
              <w:rPr>
                <w:sz w:val="20"/>
                <w:szCs w:val="20"/>
                <w:lang w:val="fr-CA"/>
              </w:rPr>
              <w:pict>
                <v:rect id="_x0000_i1028" style="width:108pt;height:1pt" o:hrpct="0" o:hralign="center" o:hrstd="t" o:hrnoshade="t" o:hr="t" fillcolor="black [3213]" stroked="f"/>
              </w:pict>
            </w:r>
          </w:p>
        </w:tc>
        <w:tc>
          <w:tcPr>
            <w:tcW w:w="1181" w:type="dxa"/>
            <w:shd w:val="clear" w:color="auto" w:fill="auto"/>
          </w:tcPr>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p w:rsidR="00FA3F0C" w:rsidRPr="00C05442" w:rsidRDefault="00FA3F0C" w:rsidP="00242AEE">
            <w:pPr>
              <w:jc w:val="center"/>
              <w:rPr>
                <w:sz w:val="20"/>
                <w:szCs w:val="20"/>
                <w:lang w:val="fr-CA"/>
              </w:rPr>
            </w:pPr>
          </w:p>
        </w:tc>
        <w:tc>
          <w:tcPr>
            <w:tcW w:w="4320" w:type="dxa"/>
            <w:shd w:val="clear" w:color="auto" w:fill="auto"/>
          </w:tcPr>
          <w:p w:rsidR="00FA3F0C" w:rsidRPr="00806A5B" w:rsidRDefault="00FA3F0C" w:rsidP="00FA3F0C">
            <w:pPr>
              <w:rPr>
                <w:sz w:val="20"/>
                <w:szCs w:val="20"/>
                <w:lang w:val="fr-CA"/>
              </w:rPr>
            </w:pPr>
          </w:p>
        </w:tc>
      </w:tr>
    </w:tbl>
    <w:p w:rsidR="006C3F47" w:rsidRPr="00A7151D" w:rsidRDefault="006C3F47" w:rsidP="0095096B">
      <w:pPr>
        <w:tabs>
          <w:tab w:val="right" w:pos="9360"/>
        </w:tabs>
        <w:rPr>
          <w:sz w:val="20"/>
          <w:szCs w:val="20"/>
          <w:lang w:val="fr-CA"/>
        </w:rPr>
      </w:pPr>
    </w:p>
    <w:p w:rsidR="00D94028" w:rsidRPr="00A7151D" w:rsidRDefault="00D94028" w:rsidP="0095096B">
      <w:pPr>
        <w:tabs>
          <w:tab w:val="right" w:pos="9360"/>
        </w:tabs>
        <w:rPr>
          <w:sz w:val="20"/>
          <w:szCs w:val="20"/>
          <w:lang w:val="fr-CA"/>
        </w:rPr>
      </w:pPr>
    </w:p>
    <w:p w:rsidR="00242AEE" w:rsidRPr="00A7151D" w:rsidRDefault="00242AEE" w:rsidP="0095096B">
      <w:pPr>
        <w:tabs>
          <w:tab w:val="right" w:pos="9360"/>
        </w:tabs>
        <w:rPr>
          <w:sz w:val="20"/>
          <w:szCs w:val="20"/>
          <w:lang w:val="fr-CA"/>
        </w:rPr>
      </w:pPr>
    </w:p>
    <w:p w:rsidR="00242AEE" w:rsidRPr="00A7151D" w:rsidRDefault="00242AEE" w:rsidP="0095096B">
      <w:pPr>
        <w:tabs>
          <w:tab w:val="right" w:pos="9360"/>
        </w:tabs>
        <w:rPr>
          <w:sz w:val="20"/>
          <w:szCs w:val="20"/>
          <w:lang w:val="fr-CA"/>
        </w:rPr>
        <w:sectPr w:rsidR="00242AEE" w:rsidRPr="00A7151D" w:rsidSect="00380344">
          <w:headerReference w:type="default" r:id="rId16"/>
          <w:footerReference w:type="default" r:id="rId17"/>
          <w:headerReference w:type="first" r:id="rId18"/>
          <w:footerReference w:type="first" r:id="rId19"/>
          <w:pgSz w:w="12240" w:h="15840"/>
          <w:pgMar w:top="720" w:right="965" w:bottom="1080" w:left="1656" w:header="706" w:footer="706" w:gutter="0"/>
          <w:pgNumType w:start="89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F638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0535E5" w:rsidP="00CB3520">
      <w:pPr>
        <w:widowControl w:val="0"/>
        <w:rPr>
          <w:b/>
          <w:sz w:val="20"/>
          <w:szCs w:val="20"/>
        </w:rPr>
      </w:pPr>
      <w:r>
        <w:rPr>
          <w:b/>
          <w:sz w:val="20"/>
          <w:szCs w:val="20"/>
        </w:rPr>
        <w:t>M</w:t>
      </w:r>
      <w:r w:rsidR="00CB3520">
        <w:rPr>
          <w:b/>
          <w:sz w:val="20"/>
          <w:szCs w:val="20"/>
        </w:rPr>
        <w:t xml:space="preserve">AY </w:t>
      </w:r>
      <w:r w:rsidR="00020DC3">
        <w:rPr>
          <w:b/>
          <w:sz w:val="20"/>
          <w:szCs w:val="20"/>
        </w:rPr>
        <w:t>1</w:t>
      </w:r>
      <w:r>
        <w:rPr>
          <w:b/>
          <w:sz w:val="20"/>
          <w:szCs w:val="20"/>
        </w:rPr>
        <w:t>9</w:t>
      </w:r>
      <w:r w:rsidR="00CB3520" w:rsidRPr="00C50A5C">
        <w:rPr>
          <w:b/>
          <w:sz w:val="20"/>
          <w:szCs w:val="20"/>
        </w:rPr>
        <w:t>, 201</w:t>
      </w:r>
      <w:r w:rsidR="00020DC3">
        <w:rPr>
          <w:b/>
          <w:sz w:val="20"/>
          <w:szCs w:val="20"/>
        </w:rPr>
        <w:t>5</w:t>
      </w:r>
      <w:r w:rsidR="00CB3520" w:rsidRPr="00C50A5C">
        <w:rPr>
          <w:b/>
          <w:sz w:val="20"/>
          <w:szCs w:val="20"/>
        </w:rPr>
        <w:t xml:space="preserve"> / LE </w:t>
      </w:r>
      <w:r w:rsidR="00020DC3">
        <w:rPr>
          <w:b/>
          <w:sz w:val="20"/>
          <w:szCs w:val="20"/>
        </w:rPr>
        <w:t>1</w:t>
      </w:r>
      <w:r>
        <w:rPr>
          <w:b/>
          <w:sz w:val="20"/>
          <w:szCs w:val="20"/>
        </w:rPr>
        <w:t>9</w:t>
      </w:r>
      <w:r w:rsidR="00CB3520">
        <w:rPr>
          <w:b/>
          <w:sz w:val="20"/>
          <w:szCs w:val="20"/>
        </w:rPr>
        <w:t xml:space="preserve"> </w:t>
      </w:r>
      <w:r>
        <w:rPr>
          <w:b/>
          <w:sz w:val="20"/>
          <w:szCs w:val="20"/>
        </w:rPr>
        <w:t>M</w:t>
      </w:r>
      <w:r w:rsidR="00CB3520">
        <w:rPr>
          <w:b/>
          <w:sz w:val="20"/>
          <w:szCs w:val="20"/>
        </w:rPr>
        <w:t>AI</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4A5186" w:rsidP="00CB3520">
      <w:pPr>
        <w:pStyle w:val="ListParagraph"/>
        <w:widowControl w:val="0"/>
        <w:numPr>
          <w:ilvl w:val="0"/>
          <w:numId w:val="1"/>
        </w:numPr>
        <w:ind w:hanging="720"/>
        <w:jc w:val="both"/>
        <w:rPr>
          <w:sz w:val="20"/>
          <w:szCs w:val="20"/>
        </w:rPr>
      </w:pPr>
      <w:r w:rsidRPr="004A5186">
        <w:rPr>
          <w:i/>
          <w:sz w:val="20"/>
          <w:szCs w:val="20"/>
        </w:rPr>
        <w:t>George Wilcox v. Attorney General of Canada on behalf of the United States of America et al.</w:t>
      </w:r>
      <w:r w:rsidRPr="004A5186">
        <w:rPr>
          <w:sz w:val="20"/>
          <w:szCs w:val="20"/>
        </w:rPr>
        <w:t xml:space="preserve"> (B.C.) (Crim.) (By Leave)</w:t>
      </w:r>
      <w:r w:rsidRPr="00C50A5C">
        <w:rPr>
          <w:sz w:val="20"/>
          <w:szCs w:val="20"/>
        </w:rPr>
        <w:t xml:space="preserve"> </w:t>
      </w:r>
      <w:r w:rsidR="00CB3520" w:rsidRPr="00C50A5C">
        <w:rPr>
          <w:sz w:val="20"/>
          <w:szCs w:val="20"/>
        </w:rPr>
        <w:t>(3</w:t>
      </w:r>
      <w:r w:rsidR="00CB3520">
        <w:rPr>
          <w:sz w:val="20"/>
          <w:szCs w:val="20"/>
        </w:rPr>
        <w:t>6</w:t>
      </w:r>
      <w:r>
        <w:rPr>
          <w:sz w:val="20"/>
          <w:szCs w:val="20"/>
        </w:rPr>
        <w:t>335</w:t>
      </w:r>
      <w:r w:rsidR="00CB3520" w:rsidRPr="00C50A5C">
        <w:rPr>
          <w:sz w:val="20"/>
          <w:szCs w:val="20"/>
        </w:rPr>
        <w:t>)</w:t>
      </w:r>
    </w:p>
    <w:p w:rsidR="00CB3520" w:rsidRPr="00C50A5C" w:rsidRDefault="00CB3520" w:rsidP="00CB3520">
      <w:pPr>
        <w:widowControl w:val="0"/>
        <w:jc w:val="both"/>
        <w:rPr>
          <w:sz w:val="20"/>
          <w:szCs w:val="20"/>
        </w:rPr>
      </w:pPr>
    </w:p>
    <w:p w:rsidR="00CB3520" w:rsidRPr="004A5186" w:rsidRDefault="004A5186" w:rsidP="00CB3520">
      <w:pPr>
        <w:pStyle w:val="ListParagraph"/>
        <w:widowControl w:val="0"/>
        <w:numPr>
          <w:ilvl w:val="0"/>
          <w:numId w:val="1"/>
        </w:numPr>
        <w:ind w:hanging="720"/>
        <w:jc w:val="both"/>
        <w:rPr>
          <w:sz w:val="20"/>
          <w:szCs w:val="20"/>
          <w:lang w:val="fr-CA"/>
        </w:rPr>
      </w:pPr>
      <w:r w:rsidRPr="004A5186">
        <w:rPr>
          <w:i/>
          <w:sz w:val="20"/>
          <w:szCs w:val="20"/>
          <w:lang w:val="fr-CA"/>
        </w:rPr>
        <w:t>Nadèje Merceus c. Sa Majesté la Reine</w:t>
      </w:r>
      <w:r w:rsidRPr="004A5186">
        <w:rPr>
          <w:sz w:val="20"/>
          <w:szCs w:val="20"/>
          <w:lang w:val="fr-CA"/>
        </w:rPr>
        <w:t xml:space="preserve"> (Qc) (Crim.) (Autorisation) </w:t>
      </w:r>
      <w:r w:rsidR="00CB3520" w:rsidRPr="004A5186">
        <w:rPr>
          <w:sz w:val="20"/>
          <w:szCs w:val="20"/>
          <w:lang w:val="fr-CA"/>
        </w:rPr>
        <w:t>(36</w:t>
      </w:r>
      <w:r w:rsidRPr="004A5186">
        <w:rPr>
          <w:sz w:val="20"/>
          <w:szCs w:val="20"/>
          <w:lang w:val="fr-CA"/>
        </w:rPr>
        <w:t>262</w:t>
      </w:r>
      <w:r w:rsidR="00CB3520" w:rsidRPr="004A5186">
        <w:rPr>
          <w:sz w:val="20"/>
          <w:szCs w:val="20"/>
          <w:lang w:val="fr-CA"/>
        </w:rPr>
        <w:t>)</w:t>
      </w:r>
    </w:p>
    <w:p w:rsidR="00CB3520" w:rsidRPr="004A5186" w:rsidRDefault="00CB3520" w:rsidP="00CB3520">
      <w:pPr>
        <w:widowControl w:val="0"/>
        <w:jc w:val="both"/>
        <w:rPr>
          <w:sz w:val="20"/>
          <w:szCs w:val="20"/>
          <w:lang w:val="fr-CA"/>
        </w:rPr>
      </w:pPr>
    </w:p>
    <w:p w:rsidR="004A5186" w:rsidRPr="004A5186" w:rsidRDefault="004A5186" w:rsidP="00CB3520">
      <w:pPr>
        <w:widowControl w:val="0"/>
        <w:jc w:val="both"/>
        <w:rPr>
          <w:sz w:val="20"/>
          <w:szCs w:val="20"/>
          <w:lang w:val="fr-CA"/>
        </w:rPr>
      </w:pPr>
    </w:p>
    <w:p w:rsidR="004A5186" w:rsidRPr="004A5186" w:rsidRDefault="004A5186" w:rsidP="004A5186">
      <w:pPr>
        <w:widowControl w:val="0"/>
        <w:jc w:val="center"/>
        <w:rPr>
          <w:b/>
          <w:sz w:val="20"/>
          <w:szCs w:val="20"/>
          <w:lang w:val="fr-CA"/>
        </w:rPr>
      </w:pPr>
      <w:r w:rsidRPr="004A5186">
        <w:rPr>
          <w:b/>
          <w:sz w:val="20"/>
          <w:szCs w:val="20"/>
          <w:lang w:val="fr-CA"/>
        </w:rPr>
        <w:t>CORAM: Abella, Karakatsanis and Côté JJ.</w:t>
      </w:r>
    </w:p>
    <w:p w:rsidR="004A5186" w:rsidRPr="00C50A5C" w:rsidRDefault="004A5186" w:rsidP="004A5186">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4A5186" w:rsidRPr="004A5186" w:rsidRDefault="004A5186" w:rsidP="00CB3520">
      <w:pPr>
        <w:widowControl w:val="0"/>
        <w:jc w:val="both"/>
        <w:rPr>
          <w:sz w:val="20"/>
          <w:szCs w:val="20"/>
          <w:lang w:val="fr-CA"/>
        </w:rPr>
      </w:pPr>
    </w:p>
    <w:p w:rsidR="00CB3520" w:rsidRPr="004A5186" w:rsidRDefault="004A5186" w:rsidP="00CB3520">
      <w:pPr>
        <w:pStyle w:val="ListParagraph"/>
        <w:widowControl w:val="0"/>
        <w:numPr>
          <w:ilvl w:val="0"/>
          <w:numId w:val="1"/>
        </w:numPr>
        <w:ind w:hanging="720"/>
        <w:jc w:val="both"/>
        <w:rPr>
          <w:sz w:val="20"/>
          <w:szCs w:val="20"/>
          <w:lang w:val="fr-CA"/>
        </w:rPr>
      </w:pPr>
      <w:r w:rsidRPr="004A5186">
        <w:rPr>
          <w:i/>
          <w:sz w:val="20"/>
          <w:szCs w:val="20"/>
          <w:lang w:val="fr-CA"/>
        </w:rPr>
        <w:t>Frank Antoine Joseph c. Sa Majesté la Reine</w:t>
      </w:r>
      <w:r w:rsidRPr="004A5186">
        <w:rPr>
          <w:sz w:val="20"/>
          <w:szCs w:val="20"/>
          <w:lang w:val="fr-CA"/>
        </w:rPr>
        <w:t xml:space="preserve"> (Qc) (Crim.) (Autorisation) </w:t>
      </w:r>
      <w:r w:rsidR="00CB3520" w:rsidRPr="004A5186">
        <w:rPr>
          <w:sz w:val="20"/>
          <w:szCs w:val="20"/>
          <w:lang w:val="fr-CA"/>
        </w:rPr>
        <w:t>(3</w:t>
      </w:r>
      <w:r w:rsidRPr="004A5186">
        <w:rPr>
          <w:sz w:val="20"/>
          <w:szCs w:val="20"/>
          <w:lang w:val="fr-CA"/>
        </w:rPr>
        <w:t>6286</w:t>
      </w:r>
      <w:r w:rsidR="00CB3520" w:rsidRPr="004A5186">
        <w:rPr>
          <w:sz w:val="20"/>
          <w:szCs w:val="20"/>
          <w:lang w:val="fr-CA"/>
        </w:rPr>
        <w:t>)</w:t>
      </w:r>
    </w:p>
    <w:p w:rsidR="00CB3520" w:rsidRPr="004A5186" w:rsidRDefault="00CB3520" w:rsidP="00CB3520">
      <w:pPr>
        <w:widowControl w:val="0"/>
        <w:rPr>
          <w:sz w:val="20"/>
          <w:szCs w:val="20"/>
          <w:lang w:val="fr-CA"/>
        </w:rPr>
      </w:pPr>
    </w:p>
    <w:p w:rsidR="00CB3520" w:rsidRPr="00C50A5C" w:rsidRDefault="004A5186" w:rsidP="00CB3520">
      <w:pPr>
        <w:pStyle w:val="ListParagraph"/>
        <w:widowControl w:val="0"/>
        <w:numPr>
          <w:ilvl w:val="0"/>
          <w:numId w:val="1"/>
        </w:numPr>
        <w:ind w:hanging="720"/>
        <w:jc w:val="both"/>
        <w:rPr>
          <w:sz w:val="20"/>
          <w:szCs w:val="20"/>
        </w:rPr>
      </w:pPr>
      <w:r w:rsidRPr="004A5186">
        <w:rPr>
          <w:i/>
          <w:sz w:val="20"/>
          <w:szCs w:val="20"/>
        </w:rPr>
        <w:t>A.K. v. Batshaw Youth and Family Centers</w:t>
      </w:r>
      <w:r w:rsidRPr="004A5186">
        <w:rPr>
          <w:sz w:val="20"/>
          <w:szCs w:val="20"/>
        </w:rPr>
        <w:t xml:space="preserve"> (Que.) (Civil) (By Leave)</w:t>
      </w:r>
      <w:r w:rsidRPr="00C50A5C">
        <w:rPr>
          <w:sz w:val="20"/>
          <w:szCs w:val="20"/>
        </w:rPr>
        <w:t xml:space="preserve"> </w:t>
      </w:r>
      <w:r w:rsidR="00CB3520" w:rsidRPr="00C50A5C">
        <w:rPr>
          <w:sz w:val="20"/>
          <w:szCs w:val="20"/>
        </w:rPr>
        <w:t>(3</w:t>
      </w:r>
      <w:r w:rsidR="00CB3520">
        <w:rPr>
          <w:sz w:val="20"/>
          <w:szCs w:val="20"/>
        </w:rPr>
        <w:t>6</w:t>
      </w:r>
      <w:r>
        <w:rPr>
          <w:sz w:val="20"/>
          <w:szCs w:val="20"/>
        </w:rPr>
        <w:t>326</w:t>
      </w:r>
      <w:r w:rsidR="00CB3520" w:rsidRPr="00C50A5C">
        <w:rPr>
          <w:sz w:val="20"/>
          <w:szCs w:val="20"/>
        </w:rPr>
        <w:t>)</w:t>
      </w:r>
    </w:p>
    <w:p w:rsidR="00CB3520" w:rsidRDefault="00CB3520" w:rsidP="00CB3520">
      <w:pPr>
        <w:widowControl w:val="0"/>
        <w:jc w:val="both"/>
        <w:rPr>
          <w:sz w:val="20"/>
          <w:szCs w:val="20"/>
        </w:rPr>
      </w:pPr>
    </w:p>
    <w:p w:rsidR="00CB3520" w:rsidRPr="004A5186" w:rsidRDefault="004A5186" w:rsidP="00CB3520">
      <w:pPr>
        <w:pStyle w:val="ListParagraph"/>
        <w:widowControl w:val="0"/>
        <w:numPr>
          <w:ilvl w:val="0"/>
          <w:numId w:val="1"/>
        </w:numPr>
        <w:ind w:hanging="720"/>
        <w:jc w:val="both"/>
        <w:rPr>
          <w:sz w:val="20"/>
          <w:szCs w:val="20"/>
          <w:lang w:val="fr-CA"/>
        </w:rPr>
      </w:pPr>
      <w:r w:rsidRPr="004A5186">
        <w:rPr>
          <w:i/>
          <w:sz w:val="20"/>
          <w:szCs w:val="20"/>
          <w:lang w:val="fr-CA"/>
        </w:rPr>
        <w:t>Albert Benhaim et al. c. Cathie St-Germain, personnellement et en sa qualité de tutrice à son fils mineur dont le</w:t>
      </w:r>
      <w:r w:rsidR="00CB7F47">
        <w:rPr>
          <w:i/>
          <w:sz w:val="20"/>
          <w:szCs w:val="20"/>
          <w:lang w:val="fr-CA"/>
        </w:rPr>
        <w:t xml:space="preserve"> nom est gardé confidentiel et autre</w:t>
      </w:r>
      <w:r w:rsidRPr="004A5186">
        <w:rPr>
          <w:sz w:val="20"/>
          <w:szCs w:val="20"/>
          <w:lang w:val="fr-CA"/>
        </w:rPr>
        <w:t xml:space="preserve"> (Qc) (Civile) (Autorisation) </w:t>
      </w:r>
      <w:r w:rsidR="00CB3520" w:rsidRPr="004A5186">
        <w:rPr>
          <w:sz w:val="20"/>
          <w:szCs w:val="20"/>
          <w:lang w:val="fr-CA"/>
        </w:rPr>
        <w:t>(36</w:t>
      </w:r>
      <w:r w:rsidRPr="004A5186">
        <w:rPr>
          <w:sz w:val="20"/>
          <w:szCs w:val="20"/>
          <w:lang w:val="fr-CA"/>
        </w:rPr>
        <w:t>29</w:t>
      </w:r>
      <w:r w:rsidR="00CB3520" w:rsidRPr="004A5186">
        <w:rPr>
          <w:sz w:val="20"/>
          <w:szCs w:val="20"/>
          <w:lang w:val="fr-CA"/>
        </w:rPr>
        <w:t>1)</w:t>
      </w:r>
    </w:p>
    <w:p w:rsidR="00CB3520" w:rsidRPr="004A5186" w:rsidRDefault="00CB3520" w:rsidP="00CB3520">
      <w:pPr>
        <w:widowControl w:val="0"/>
        <w:rPr>
          <w:sz w:val="20"/>
          <w:szCs w:val="20"/>
          <w:lang w:val="fr-CA"/>
        </w:rPr>
      </w:pPr>
    </w:p>
    <w:p w:rsidR="00CB3520" w:rsidRPr="004A5186" w:rsidRDefault="00CB3520" w:rsidP="00CB3520">
      <w:pPr>
        <w:widowControl w:val="0"/>
        <w:rPr>
          <w:sz w:val="20"/>
          <w:szCs w:val="20"/>
          <w:lang w:val="fr-CA"/>
        </w:rPr>
      </w:pPr>
    </w:p>
    <w:p w:rsidR="004A5186" w:rsidRPr="00C50A5C" w:rsidRDefault="004A5186" w:rsidP="004A5186">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4A5186" w:rsidRPr="00C50A5C" w:rsidRDefault="004A5186" w:rsidP="004A5186">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CB3520" w:rsidRPr="00C16CB3" w:rsidRDefault="00CB3520" w:rsidP="00CB3520">
      <w:pPr>
        <w:widowControl w:val="0"/>
        <w:jc w:val="both"/>
        <w:rPr>
          <w:sz w:val="20"/>
          <w:szCs w:val="20"/>
          <w:lang w:val="fr-CA"/>
        </w:rPr>
      </w:pPr>
    </w:p>
    <w:p w:rsidR="00CB3520" w:rsidRPr="004A5186" w:rsidRDefault="004A5186" w:rsidP="00CB3520">
      <w:pPr>
        <w:pStyle w:val="ListParagraph"/>
        <w:widowControl w:val="0"/>
        <w:numPr>
          <w:ilvl w:val="0"/>
          <w:numId w:val="1"/>
        </w:numPr>
        <w:ind w:hanging="720"/>
        <w:jc w:val="both"/>
        <w:rPr>
          <w:sz w:val="20"/>
          <w:szCs w:val="20"/>
        </w:rPr>
      </w:pPr>
      <w:r w:rsidRPr="00CB7F47">
        <w:rPr>
          <w:i/>
          <w:sz w:val="20"/>
          <w:szCs w:val="20"/>
        </w:rPr>
        <w:t>Ayanle Omar v. Her Majesty the Queen et a</w:t>
      </w:r>
      <w:r w:rsidR="00CB7F47" w:rsidRPr="00CB7F47">
        <w:rPr>
          <w:i/>
          <w:sz w:val="20"/>
          <w:szCs w:val="20"/>
        </w:rPr>
        <w:t>l.</w:t>
      </w:r>
      <w:r w:rsidRPr="00CB7F47">
        <w:rPr>
          <w:sz w:val="20"/>
          <w:szCs w:val="20"/>
        </w:rPr>
        <w:t xml:space="preserve"> </w:t>
      </w:r>
      <w:r w:rsidRPr="004A5186">
        <w:rPr>
          <w:sz w:val="20"/>
          <w:szCs w:val="20"/>
          <w:lang w:val="fr-CA"/>
        </w:rPr>
        <w:t xml:space="preserve">(Ont.) </w:t>
      </w:r>
      <w:r w:rsidRPr="004A5186">
        <w:rPr>
          <w:sz w:val="20"/>
          <w:szCs w:val="20"/>
        </w:rPr>
        <w:t xml:space="preserve">(Crim.) (By Leave) </w:t>
      </w:r>
      <w:r w:rsidR="00CB3520" w:rsidRPr="004A5186">
        <w:rPr>
          <w:sz w:val="20"/>
          <w:szCs w:val="20"/>
        </w:rPr>
        <w:t>(36</w:t>
      </w:r>
      <w:r w:rsidRPr="004A5186">
        <w:rPr>
          <w:sz w:val="20"/>
          <w:szCs w:val="20"/>
        </w:rPr>
        <w:t>250</w:t>
      </w:r>
      <w:r w:rsidR="00CB3520" w:rsidRPr="004A5186">
        <w:rPr>
          <w:sz w:val="20"/>
          <w:szCs w:val="20"/>
        </w:rPr>
        <w:t>)</w:t>
      </w:r>
    </w:p>
    <w:p w:rsidR="00CB3520" w:rsidRPr="004A5186" w:rsidRDefault="00CB3520" w:rsidP="00CB3520">
      <w:pPr>
        <w:widowControl w:val="0"/>
        <w:jc w:val="both"/>
        <w:rPr>
          <w:sz w:val="20"/>
          <w:szCs w:val="20"/>
        </w:rPr>
      </w:pPr>
    </w:p>
    <w:p w:rsidR="00CB3520" w:rsidRPr="009C5D38" w:rsidRDefault="004A5186" w:rsidP="00CB3520">
      <w:pPr>
        <w:pStyle w:val="ListParagraph"/>
        <w:widowControl w:val="0"/>
        <w:numPr>
          <w:ilvl w:val="0"/>
          <w:numId w:val="1"/>
        </w:numPr>
        <w:ind w:hanging="720"/>
        <w:jc w:val="both"/>
        <w:rPr>
          <w:sz w:val="20"/>
          <w:szCs w:val="20"/>
        </w:rPr>
      </w:pPr>
      <w:r w:rsidRPr="004A5186">
        <w:rPr>
          <w:i/>
          <w:sz w:val="20"/>
          <w:szCs w:val="20"/>
        </w:rPr>
        <w:t>Sweetgrass First Nation v. Rath &amp; Company</w:t>
      </w:r>
      <w:r w:rsidRPr="004A5186">
        <w:rPr>
          <w:sz w:val="20"/>
          <w:szCs w:val="20"/>
        </w:rPr>
        <w:t xml:space="preserve"> (Alta.) (Civil) (By Leave)</w:t>
      </w:r>
      <w:r w:rsidRPr="009C5D38">
        <w:rPr>
          <w:sz w:val="20"/>
          <w:szCs w:val="20"/>
        </w:rPr>
        <w:t xml:space="preserve"> </w:t>
      </w:r>
      <w:r w:rsidR="00CB3520" w:rsidRPr="009C5D38">
        <w:rPr>
          <w:sz w:val="20"/>
          <w:szCs w:val="20"/>
        </w:rPr>
        <w:t>(363</w:t>
      </w:r>
      <w:r>
        <w:rPr>
          <w:sz w:val="20"/>
          <w:szCs w:val="20"/>
        </w:rPr>
        <w:t>0</w:t>
      </w:r>
      <w:r w:rsidR="00CB3520" w:rsidRPr="009C5D38">
        <w:rPr>
          <w:sz w:val="20"/>
          <w:szCs w:val="20"/>
        </w:rPr>
        <w:t>3)</w:t>
      </w:r>
    </w:p>
    <w:p w:rsidR="00CB3520" w:rsidRDefault="00CB3520" w:rsidP="00CB3520">
      <w:pPr>
        <w:widowControl w:val="0"/>
        <w:jc w:val="both"/>
        <w:rPr>
          <w:sz w:val="20"/>
          <w:szCs w:val="20"/>
        </w:rPr>
      </w:pPr>
    </w:p>
    <w:p w:rsidR="002E2327" w:rsidRDefault="007F638F" w:rsidP="002E2327">
      <w:pPr>
        <w:widowControl w:val="0"/>
        <w:rPr>
          <w:sz w:val="20"/>
          <w:szCs w:val="20"/>
        </w:rPr>
      </w:pPr>
      <w:r>
        <w:rPr>
          <w:sz w:val="20"/>
          <w:szCs w:val="20"/>
        </w:rPr>
        <w:pict>
          <v:rect id="_x0000_i1031" style="width:2in;height:1pt" o:hrpct="0" o:hralign="center" o:hrstd="t" o:hrnoshade="t" o:hr="t" fillcolor="black [3213]" stroked="f"/>
        </w:pict>
      </w:r>
    </w:p>
    <w:p w:rsidR="00D94028" w:rsidRDefault="00D94028" w:rsidP="002E2327">
      <w:pPr>
        <w:widowControl w:val="0"/>
        <w:rPr>
          <w:sz w:val="20"/>
          <w:szCs w:val="20"/>
        </w:rPr>
      </w:pPr>
    </w:p>
    <w:p w:rsidR="004A5186" w:rsidRPr="004A5186" w:rsidRDefault="004A5186" w:rsidP="004A5186">
      <w:pPr>
        <w:widowControl w:val="0"/>
        <w:rPr>
          <w:sz w:val="20"/>
          <w:szCs w:val="20"/>
        </w:rPr>
      </w:pPr>
    </w:p>
    <w:p w:rsidR="00D94028" w:rsidRDefault="00D94028" w:rsidP="004A5186">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F638F"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C05442" w:rsidP="000E2959">
      <w:pPr>
        <w:rPr>
          <w:b/>
          <w:sz w:val="20"/>
          <w:szCs w:val="20"/>
        </w:rPr>
      </w:pPr>
      <w:r>
        <w:rPr>
          <w:b/>
          <w:sz w:val="20"/>
          <w:szCs w:val="20"/>
        </w:rPr>
        <w:t>M</w:t>
      </w:r>
      <w:r w:rsidR="000E2959" w:rsidRPr="00C50A5C">
        <w:rPr>
          <w:b/>
          <w:sz w:val="20"/>
          <w:szCs w:val="20"/>
        </w:rPr>
        <w:t>A</w:t>
      </w:r>
      <w:r w:rsidR="000E2959">
        <w:rPr>
          <w:b/>
          <w:sz w:val="20"/>
          <w:szCs w:val="20"/>
        </w:rPr>
        <w:t>Y</w:t>
      </w:r>
      <w:r w:rsidR="000E2959" w:rsidRPr="00C50A5C">
        <w:rPr>
          <w:b/>
          <w:sz w:val="20"/>
          <w:szCs w:val="20"/>
        </w:rPr>
        <w:t xml:space="preserve"> 2</w:t>
      </w:r>
      <w:r>
        <w:rPr>
          <w:b/>
          <w:sz w:val="20"/>
          <w:szCs w:val="20"/>
        </w:rPr>
        <w:t>1</w:t>
      </w:r>
      <w:r w:rsidR="000E2959" w:rsidRPr="00C50A5C">
        <w:rPr>
          <w:b/>
          <w:sz w:val="20"/>
          <w:szCs w:val="20"/>
        </w:rPr>
        <w:t>, 201</w:t>
      </w:r>
      <w:r w:rsidR="00681F61">
        <w:rPr>
          <w:b/>
          <w:sz w:val="20"/>
          <w:szCs w:val="20"/>
        </w:rPr>
        <w:t>5</w:t>
      </w:r>
      <w:r w:rsidR="000E2959" w:rsidRPr="00C50A5C">
        <w:rPr>
          <w:b/>
          <w:sz w:val="20"/>
          <w:szCs w:val="20"/>
        </w:rPr>
        <w:t xml:space="preserve"> / LE 2</w:t>
      </w:r>
      <w:r>
        <w:rPr>
          <w:b/>
          <w:sz w:val="20"/>
          <w:szCs w:val="20"/>
        </w:rPr>
        <w:t>1</w:t>
      </w:r>
      <w:r w:rsidR="000E2959" w:rsidRPr="00C50A5C">
        <w:rPr>
          <w:b/>
          <w:sz w:val="20"/>
          <w:szCs w:val="20"/>
        </w:rPr>
        <w:t xml:space="preserve"> </w:t>
      </w:r>
      <w:r>
        <w:rPr>
          <w:b/>
          <w:sz w:val="20"/>
          <w:szCs w:val="20"/>
        </w:rPr>
        <w:t>M</w:t>
      </w:r>
      <w:r w:rsidR="000E2959" w:rsidRPr="00C50A5C">
        <w:rPr>
          <w:b/>
          <w:sz w:val="20"/>
          <w:szCs w:val="20"/>
        </w:rPr>
        <w:t>AI 201</w:t>
      </w:r>
      <w:r w:rsidR="00681F61">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093D" w:rsidRPr="004F280C" w:rsidTr="00042164">
        <w:trPr>
          <w:cantSplit/>
        </w:trPr>
        <w:tc>
          <w:tcPr>
            <w:tcW w:w="1458" w:type="dxa"/>
          </w:tcPr>
          <w:p w:rsidR="005D093D" w:rsidRPr="004F280C" w:rsidRDefault="005D093D" w:rsidP="00042164">
            <w:pPr>
              <w:rPr>
                <w:sz w:val="20"/>
                <w:szCs w:val="20"/>
              </w:rPr>
            </w:pPr>
            <w:r w:rsidRPr="004F280C">
              <w:rPr>
                <w:rStyle w:val="SCCFileNumberChar"/>
                <w:sz w:val="20"/>
                <w:szCs w:val="20"/>
              </w:rPr>
              <w:t>36123</w:t>
            </w:r>
          </w:p>
          <w:p w:rsidR="005D093D" w:rsidRPr="004F280C" w:rsidRDefault="005D093D" w:rsidP="00042164">
            <w:pPr>
              <w:rPr>
                <w:b/>
                <w:sz w:val="20"/>
                <w:szCs w:val="20"/>
                <w:lang w:val="fr-CA"/>
              </w:rPr>
            </w:pPr>
          </w:p>
        </w:tc>
        <w:tc>
          <w:tcPr>
            <w:tcW w:w="8118" w:type="dxa"/>
          </w:tcPr>
          <w:p w:rsidR="005D093D" w:rsidRPr="004F280C" w:rsidRDefault="005D093D" w:rsidP="00042164">
            <w:pPr>
              <w:jc w:val="both"/>
              <w:rPr>
                <w:sz w:val="20"/>
                <w:szCs w:val="20"/>
              </w:rPr>
            </w:pPr>
            <w:r w:rsidRPr="004F280C">
              <w:rPr>
                <w:rStyle w:val="SCCLsocChar"/>
                <w:sz w:val="20"/>
                <w:szCs w:val="20"/>
                <w:lang w:val="en-CA"/>
              </w:rPr>
              <w:t>Krayzel Corporation v. Equitable Trust Company AND BETWEEN Lougheed Block Inc., Neil John Ri</w:t>
            </w:r>
            <w:r w:rsidR="00C90CB8">
              <w:rPr>
                <w:rStyle w:val="SCCLsocChar"/>
                <w:sz w:val="20"/>
                <w:szCs w:val="20"/>
                <w:lang w:val="en-CA"/>
              </w:rPr>
              <w:t>chardson, Hugh Daryl Richardson and</w:t>
            </w:r>
            <w:r w:rsidRPr="004F280C">
              <w:rPr>
                <w:rStyle w:val="SCCLsocChar"/>
                <w:sz w:val="20"/>
                <w:szCs w:val="20"/>
                <w:lang w:val="en-CA"/>
              </w:rPr>
              <w:t xml:space="preserve"> Heritage Property Corporation v. Equitable Trust Company</w:t>
            </w:r>
            <w:r w:rsidRPr="004F280C">
              <w:rPr>
                <w:sz w:val="20"/>
                <w:szCs w:val="20"/>
              </w:rPr>
              <w:t xml:space="preserve"> (Alta.) (Civil) (By Leave)</w:t>
            </w:r>
          </w:p>
          <w:p w:rsidR="005D093D" w:rsidRPr="004F280C" w:rsidRDefault="005D093D" w:rsidP="00042164">
            <w:pPr>
              <w:jc w:val="both"/>
              <w:rPr>
                <w:sz w:val="20"/>
                <w:szCs w:val="20"/>
              </w:rPr>
            </w:pPr>
          </w:p>
        </w:tc>
      </w:tr>
      <w:tr w:rsidR="005D093D" w:rsidRPr="004F280C" w:rsidTr="00042164">
        <w:trPr>
          <w:cantSplit/>
        </w:trPr>
        <w:tc>
          <w:tcPr>
            <w:tcW w:w="1458" w:type="dxa"/>
          </w:tcPr>
          <w:p w:rsidR="005D093D" w:rsidRPr="004F280C" w:rsidRDefault="005D093D" w:rsidP="00042164">
            <w:pPr>
              <w:rPr>
                <w:sz w:val="20"/>
                <w:szCs w:val="20"/>
              </w:rPr>
            </w:pPr>
            <w:r w:rsidRPr="004F280C">
              <w:rPr>
                <w:sz w:val="20"/>
                <w:szCs w:val="20"/>
              </w:rPr>
              <w:t>Coram :</w:t>
            </w:r>
          </w:p>
        </w:tc>
        <w:tc>
          <w:tcPr>
            <w:tcW w:w="8118" w:type="dxa"/>
          </w:tcPr>
          <w:p w:rsidR="005D093D" w:rsidRPr="004F280C" w:rsidRDefault="005D093D" w:rsidP="00042164">
            <w:pPr>
              <w:rPr>
                <w:sz w:val="20"/>
                <w:szCs w:val="20"/>
              </w:rPr>
            </w:pPr>
            <w:r w:rsidRPr="004F280C">
              <w:rPr>
                <w:rStyle w:val="SCCCoramChar"/>
                <w:sz w:val="20"/>
                <w:szCs w:val="20"/>
                <w:lang w:val="en-CA"/>
              </w:rPr>
              <w:t>McLachlin C.J. and Wagner and Gascon JJ.</w:t>
            </w:r>
          </w:p>
          <w:p w:rsidR="005D093D" w:rsidRPr="004F280C" w:rsidRDefault="005D093D" w:rsidP="00042164">
            <w:pPr>
              <w:rPr>
                <w:sz w:val="20"/>
                <w:szCs w:val="20"/>
                <w:u w:val="single"/>
              </w:rPr>
            </w:pPr>
          </w:p>
        </w:tc>
      </w:tr>
      <w:tr w:rsidR="005D093D" w:rsidRPr="007F638F" w:rsidTr="00042164">
        <w:trPr>
          <w:cantSplit/>
        </w:trPr>
        <w:tc>
          <w:tcPr>
            <w:tcW w:w="9576" w:type="dxa"/>
            <w:gridSpan w:val="2"/>
          </w:tcPr>
          <w:p w:rsidR="005D093D" w:rsidRPr="004F280C" w:rsidRDefault="005D093D" w:rsidP="00042164">
            <w:pPr>
              <w:pStyle w:val="SCCShortJudgment"/>
              <w:rPr>
                <w:szCs w:val="20"/>
                <w:lang w:val="fr-CA"/>
              </w:rPr>
            </w:pPr>
            <w:r w:rsidRPr="004F280C">
              <w:rPr>
                <w:szCs w:val="20"/>
              </w:rPr>
              <w:t xml:space="preserve">The motion for an extension of time to serve and file the application for leave to appeal is granted.  The motion to file a joint leave application is granted.  The application for leave to appeal from the judgment of the Court of Appeal of Alberta (Calgary), Numbers 1201-0249-AC and 1201-0254-AC, 2014 ABCA 234, dated July 22, 2014, is granted with costs in the cause. </w:t>
            </w:r>
            <w:r w:rsidRPr="004F280C">
              <w:rPr>
                <w:szCs w:val="20"/>
                <w:lang w:val="fr-CA"/>
              </w:rPr>
              <w:t>The motion to file separate appeal submissions is dismissed.</w:t>
            </w:r>
          </w:p>
          <w:p w:rsidR="005D093D" w:rsidRPr="004F280C" w:rsidRDefault="005D093D" w:rsidP="00042164">
            <w:pPr>
              <w:pStyle w:val="SCCShortJudgment"/>
              <w:ind w:firstLine="0"/>
              <w:rPr>
                <w:szCs w:val="20"/>
                <w:lang w:val="fr-CA"/>
              </w:rPr>
            </w:pPr>
          </w:p>
          <w:p w:rsidR="005D093D" w:rsidRPr="004F280C" w:rsidRDefault="005D093D" w:rsidP="00772617">
            <w:pPr>
              <w:pStyle w:val="SCCShortJudgment"/>
              <w:rPr>
                <w:szCs w:val="20"/>
                <w:lang w:val="fr-CA"/>
              </w:rPr>
            </w:pPr>
            <w:r w:rsidRPr="004F280C">
              <w:rPr>
                <w:szCs w:val="20"/>
                <w:lang w:val="fr-CA"/>
              </w:rPr>
              <w:t>La requête en prorogation du délai de signification et de dépôt de la demande d’autorisation d’appel est accueillie.  La requête pour déposer une demande d’autorisation conjointe est accueillie.  La demande d’autorisation d’appel de l’arrêt de la Cour d</w:t>
            </w:r>
            <w:r w:rsidR="00772617">
              <w:rPr>
                <w:szCs w:val="20"/>
                <w:lang w:val="fr-CA"/>
              </w:rPr>
              <w:t>’</w:t>
            </w:r>
            <w:r w:rsidRPr="004F280C">
              <w:rPr>
                <w:szCs w:val="20"/>
                <w:lang w:val="fr-CA"/>
              </w:rPr>
              <w:t>appel de l’Alberta (Calgary), numéros 1201-0249-AC et 1201-0254-AC, 2014 ABCA 234, daté du 22 juillet 2014, est accueillie avec dépens selon l’issue de la cause. La requête pour déposer des soumissions d’appel séparées est rejetée.</w:t>
            </w:r>
          </w:p>
        </w:tc>
      </w:tr>
    </w:tbl>
    <w:p w:rsidR="00C05442" w:rsidRPr="005D093D" w:rsidRDefault="00C05442" w:rsidP="000E2959">
      <w:pPr>
        <w:rPr>
          <w:sz w:val="20"/>
          <w:szCs w:val="20"/>
          <w:lang w:val="fr-CA"/>
        </w:rPr>
      </w:pPr>
    </w:p>
    <w:p w:rsidR="00C05442" w:rsidRPr="001B157C" w:rsidRDefault="00C05442" w:rsidP="00C05442">
      <w:pPr>
        <w:rPr>
          <w:sz w:val="20"/>
          <w:szCs w:val="20"/>
          <w:u w:val="single"/>
        </w:rPr>
      </w:pPr>
      <w:r w:rsidRPr="001B157C">
        <w:rPr>
          <w:sz w:val="20"/>
          <w:szCs w:val="20"/>
          <w:u w:val="single"/>
        </w:rPr>
        <w:t>CASE SUMMARY</w:t>
      </w:r>
    </w:p>
    <w:p w:rsidR="00C05442" w:rsidRDefault="00C05442" w:rsidP="00C054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05442" w:rsidRPr="00B92494" w:rsidTr="00AD4BE1">
        <w:tc>
          <w:tcPr>
            <w:tcW w:w="5000" w:type="pct"/>
            <w:gridSpan w:val="3"/>
          </w:tcPr>
          <w:p w:rsidR="00C05442" w:rsidRPr="00B92494" w:rsidRDefault="00C05442" w:rsidP="00AD4BE1">
            <w:pPr>
              <w:jc w:val="both"/>
              <w:rPr>
                <w:rFonts w:eastAsia="Calibri"/>
                <w:sz w:val="20"/>
                <w:szCs w:val="20"/>
              </w:rPr>
            </w:pPr>
            <w:r w:rsidRPr="00B92494">
              <w:rPr>
                <w:rFonts w:eastAsia="Calibri"/>
                <w:sz w:val="20"/>
                <w:szCs w:val="20"/>
              </w:rPr>
              <w:t xml:space="preserve">Interest — Mortgages — Rate of interest — Whether proper interpretation of s. 8 of </w:t>
            </w:r>
            <w:r w:rsidRPr="00B92494">
              <w:rPr>
                <w:rFonts w:eastAsia="Calibri"/>
                <w:i/>
                <w:sz w:val="20"/>
                <w:szCs w:val="20"/>
              </w:rPr>
              <w:t>Interest Act</w:t>
            </w:r>
            <w:r w:rsidRPr="00B92494">
              <w:rPr>
                <w:rFonts w:eastAsia="Calibri"/>
                <w:sz w:val="20"/>
                <w:szCs w:val="20"/>
              </w:rPr>
              <w:t xml:space="preserve">, R.S.C. 1985, c. I-15 prohibiting mortgage drafting that has effect of imposing a penalty rate on amounts in arrears, despite not being structured as a penalty — Whether s. 8 of </w:t>
            </w:r>
            <w:r w:rsidRPr="00B92494">
              <w:rPr>
                <w:rFonts w:eastAsia="Calibri"/>
                <w:i/>
                <w:sz w:val="20"/>
                <w:szCs w:val="20"/>
              </w:rPr>
              <w:t>Act</w:t>
            </w:r>
            <w:r w:rsidRPr="00B92494">
              <w:rPr>
                <w:rFonts w:eastAsia="Calibri"/>
                <w:sz w:val="20"/>
                <w:szCs w:val="20"/>
              </w:rPr>
              <w:t xml:space="preserve"> requires a large and liberal reading — Whether s. 8 of </w:t>
            </w:r>
            <w:r w:rsidRPr="00B92494">
              <w:rPr>
                <w:rFonts w:eastAsia="Calibri"/>
                <w:i/>
                <w:sz w:val="20"/>
                <w:szCs w:val="20"/>
              </w:rPr>
              <w:t>Act</w:t>
            </w:r>
            <w:r w:rsidRPr="00B92494">
              <w:rPr>
                <w:rFonts w:eastAsia="Calibri"/>
                <w:sz w:val="20"/>
                <w:szCs w:val="20"/>
              </w:rPr>
              <w:t xml:space="preserve"> prohibits a clause that increases interest rate shortly before maturity — Whether s. 8 of the </w:t>
            </w:r>
            <w:r w:rsidRPr="00B92494">
              <w:rPr>
                <w:rFonts w:eastAsia="Calibri"/>
                <w:i/>
                <w:sz w:val="20"/>
                <w:szCs w:val="20"/>
              </w:rPr>
              <w:t>Act</w:t>
            </w:r>
            <w:r w:rsidRPr="00B92494">
              <w:rPr>
                <w:rFonts w:eastAsia="Calibri"/>
                <w:sz w:val="20"/>
                <w:szCs w:val="20"/>
              </w:rPr>
              <w:t xml:space="preserve"> prohibits a clause that imposes a higher interest rate on default, but is structured as a discount for prompt payment.</w:t>
            </w:r>
          </w:p>
        </w:tc>
      </w:tr>
      <w:tr w:rsidR="00C05442" w:rsidRPr="00B92494" w:rsidTr="00AD4BE1">
        <w:tc>
          <w:tcPr>
            <w:tcW w:w="5000" w:type="pct"/>
            <w:gridSpan w:val="3"/>
          </w:tcPr>
          <w:p w:rsidR="00C05442" w:rsidRPr="00B92494" w:rsidRDefault="00C05442" w:rsidP="00AD4BE1">
            <w:pPr>
              <w:jc w:val="both"/>
              <w:rPr>
                <w:rFonts w:eastAsia="Calibri"/>
                <w:sz w:val="20"/>
                <w:szCs w:val="20"/>
              </w:rPr>
            </w:pPr>
          </w:p>
        </w:tc>
      </w:tr>
      <w:tr w:rsidR="00C05442" w:rsidRPr="00B92494" w:rsidTr="00AD4BE1">
        <w:tc>
          <w:tcPr>
            <w:tcW w:w="5000" w:type="pct"/>
            <w:gridSpan w:val="3"/>
          </w:tcPr>
          <w:p w:rsidR="00C05442" w:rsidRPr="00B92494" w:rsidRDefault="00C05442" w:rsidP="00AD4BE1">
            <w:pPr>
              <w:shd w:val="clear" w:color="auto" w:fill="FFFFFF"/>
              <w:jc w:val="both"/>
              <w:rPr>
                <w:sz w:val="20"/>
                <w:szCs w:val="20"/>
              </w:rPr>
            </w:pPr>
            <w:r w:rsidRPr="00B92494">
              <w:rPr>
                <w:sz w:val="20"/>
                <w:szCs w:val="20"/>
              </w:rPr>
              <w:t xml:space="preserve">The Lougheed Block Inc. (“LBI”) owned a heritage office building in downtown Calgary.  The mortgage principal amount was $27 million.  When it matured in June 2008, the borrower and the lender entered into two successive renewal agreements.  The First Renewal Agreement was effective August 1, 2008.  It made the 25 percent interest rate effective one month before maturity and would apply equally to arrears and money owing that is not in arrears.  </w:t>
            </w:r>
          </w:p>
          <w:p w:rsidR="00C05442" w:rsidRPr="00B92494" w:rsidRDefault="00C05442" w:rsidP="00AD4BE1">
            <w:pPr>
              <w:shd w:val="clear" w:color="auto" w:fill="FFFFFF"/>
              <w:jc w:val="both"/>
              <w:rPr>
                <w:sz w:val="20"/>
                <w:szCs w:val="20"/>
              </w:rPr>
            </w:pPr>
          </w:p>
          <w:p w:rsidR="00C05442" w:rsidRPr="00B92494" w:rsidRDefault="00C05442" w:rsidP="00AD4BE1">
            <w:pPr>
              <w:shd w:val="clear" w:color="auto" w:fill="FFFFFF"/>
              <w:jc w:val="both"/>
              <w:rPr>
                <w:sz w:val="20"/>
                <w:szCs w:val="20"/>
              </w:rPr>
            </w:pPr>
            <w:r w:rsidRPr="00B92494">
              <w:rPr>
                <w:sz w:val="20"/>
                <w:szCs w:val="20"/>
              </w:rPr>
              <w:t xml:space="preserve">When the First Renewal Agreement matured on March 1, 2009, LBI failed to repay.  Equitable offered a Second Renewal Agreement and it was executed April 28, 2009.  The essence of the Second Renewal Agreement was the imposition of a 25 percent interest rate.  The principal amount owing would be reduced in the event of timely monthly payments and repayment of principal by the end of the term. </w:t>
            </w:r>
          </w:p>
          <w:p w:rsidR="00C05442" w:rsidRPr="00B92494" w:rsidRDefault="00C05442" w:rsidP="00AD4BE1">
            <w:pPr>
              <w:shd w:val="clear" w:color="auto" w:fill="FFFFFF"/>
              <w:jc w:val="both"/>
              <w:rPr>
                <w:sz w:val="20"/>
                <w:szCs w:val="20"/>
              </w:rPr>
            </w:pPr>
          </w:p>
          <w:p w:rsidR="00C05442" w:rsidRPr="00B92494" w:rsidRDefault="00C05442" w:rsidP="00AD4BE1">
            <w:pPr>
              <w:shd w:val="clear" w:color="auto" w:fill="FFFFFF"/>
              <w:jc w:val="both"/>
              <w:rPr>
                <w:sz w:val="20"/>
                <w:szCs w:val="20"/>
              </w:rPr>
            </w:pPr>
            <w:r w:rsidRPr="00B92494">
              <w:rPr>
                <w:sz w:val="20"/>
                <w:szCs w:val="20"/>
              </w:rPr>
              <w:t xml:space="preserve">Following the execution of the Second Renewal Agreement, Equitable gave LBI written notice of default and demanded payment of the total amount owing based on the interest rate of 25 percent.  </w:t>
            </w:r>
          </w:p>
          <w:p w:rsidR="00C05442" w:rsidRPr="00B92494" w:rsidRDefault="00C05442" w:rsidP="00AD4BE1">
            <w:pPr>
              <w:shd w:val="clear" w:color="auto" w:fill="FFFFFF"/>
              <w:jc w:val="both"/>
              <w:rPr>
                <w:sz w:val="20"/>
                <w:szCs w:val="20"/>
              </w:rPr>
            </w:pPr>
          </w:p>
          <w:p w:rsidR="00C05442" w:rsidRPr="00B92494" w:rsidRDefault="00C05442" w:rsidP="00AD4BE1">
            <w:pPr>
              <w:jc w:val="both"/>
              <w:rPr>
                <w:rFonts w:eastAsia="Calibri"/>
                <w:sz w:val="20"/>
                <w:szCs w:val="20"/>
              </w:rPr>
            </w:pPr>
            <w:r w:rsidRPr="00B92494">
              <w:rPr>
                <w:rFonts w:eastAsia="Calibri"/>
                <w:sz w:val="20"/>
                <w:szCs w:val="20"/>
              </w:rPr>
              <w:t xml:space="preserve">Some of the applicants sought a declaration that the 25 percent interest rate was contrary to s. 8 of the </w:t>
            </w:r>
            <w:r w:rsidRPr="00B92494">
              <w:rPr>
                <w:rFonts w:eastAsia="Calibri"/>
                <w:i/>
                <w:sz w:val="20"/>
                <w:szCs w:val="20"/>
              </w:rPr>
              <w:t>Interest Act</w:t>
            </w:r>
            <w:r w:rsidRPr="00B92494">
              <w:rPr>
                <w:rFonts w:eastAsia="Calibri"/>
                <w:sz w:val="20"/>
                <w:szCs w:val="20"/>
              </w:rPr>
              <w:t xml:space="preserve">, R.S.C. 1985, c. I-15.  The Master found the First and Second Renewal Agreements violated s. 8 of the </w:t>
            </w:r>
            <w:r w:rsidRPr="00B92494">
              <w:rPr>
                <w:rFonts w:eastAsia="Calibri"/>
                <w:i/>
                <w:sz w:val="20"/>
                <w:szCs w:val="20"/>
              </w:rPr>
              <w:t>Act</w:t>
            </w:r>
            <w:r w:rsidRPr="00B92494">
              <w:rPr>
                <w:rFonts w:eastAsia="Calibri"/>
                <w:sz w:val="20"/>
                <w:szCs w:val="20"/>
              </w:rPr>
              <w:t xml:space="preserve">.  The trial judge allowed the appeal finding s. 8 had not been violated.  A majority of the Court of Appeal dismissed the appeal.  The dissent allowed the appeal in part finding the Second Renewal Agreement violated s. 8.  </w:t>
            </w:r>
          </w:p>
          <w:p w:rsidR="00C05442" w:rsidRPr="00B92494" w:rsidRDefault="00C05442" w:rsidP="00AD4BE1">
            <w:pPr>
              <w:jc w:val="both"/>
              <w:rPr>
                <w:rFonts w:eastAsia="Calibri"/>
                <w:sz w:val="20"/>
                <w:szCs w:val="20"/>
              </w:rPr>
            </w:pPr>
          </w:p>
        </w:tc>
      </w:tr>
      <w:tr w:rsidR="00C05442" w:rsidRPr="00B92494" w:rsidTr="00AD4BE1">
        <w:tc>
          <w:tcPr>
            <w:tcW w:w="2427" w:type="pct"/>
          </w:tcPr>
          <w:p w:rsidR="00C05442" w:rsidRPr="00B92494" w:rsidRDefault="00C05442" w:rsidP="00AD4BE1">
            <w:pPr>
              <w:jc w:val="both"/>
              <w:rPr>
                <w:rFonts w:eastAsia="Calibri"/>
                <w:bCs/>
                <w:sz w:val="20"/>
                <w:szCs w:val="20"/>
              </w:rPr>
            </w:pPr>
            <w:r w:rsidRPr="00B92494">
              <w:rPr>
                <w:rFonts w:eastAsia="Calibri"/>
                <w:bCs/>
                <w:sz w:val="20"/>
                <w:szCs w:val="20"/>
              </w:rPr>
              <w:t>March 21, 2011</w:t>
            </w:r>
          </w:p>
          <w:p w:rsidR="00C05442" w:rsidRPr="00B92494" w:rsidRDefault="00C05442" w:rsidP="00AD4BE1">
            <w:pPr>
              <w:jc w:val="both"/>
              <w:rPr>
                <w:rFonts w:eastAsia="Calibri"/>
                <w:sz w:val="20"/>
                <w:szCs w:val="20"/>
              </w:rPr>
            </w:pPr>
            <w:r w:rsidRPr="00B92494">
              <w:rPr>
                <w:rFonts w:eastAsia="Calibri"/>
                <w:sz w:val="20"/>
                <w:szCs w:val="20"/>
              </w:rPr>
              <w:t>Court of Queen’s Bench of Alberta</w:t>
            </w:r>
          </w:p>
          <w:p w:rsidR="00C05442" w:rsidRPr="00B92494" w:rsidRDefault="00C05442" w:rsidP="00AD4BE1">
            <w:pPr>
              <w:jc w:val="both"/>
              <w:rPr>
                <w:rFonts w:eastAsia="Calibri"/>
                <w:bCs/>
                <w:sz w:val="20"/>
                <w:szCs w:val="20"/>
              </w:rPr>
            </w:pPr>
            <w:bookmarkStart w:id="2" w:name="JusticeTitleStart"/>
            <w:bookmarkEnd w:id="2"/>
            <w:r w:rsidRPr="00B92494">
              <w:rPr>
                <w:rFonts w:eastAsia="Calibri"/>
                <w:bCs/>
                <w:sz w:val="20"/>
                <w:szCs w:val="20"/>
              </w:rPr>
              <w:t>(Master J.B. Hanebury)</w:t>
            </w:r>
          </w:p>
          <w:p w:rsidR="00C05442" w:rsidRPr="00B92494" w:rsidRDefault="007F638F" w:rsidP="00AD4BE1">
            <w:pPr>
              <w:jc w:val="both"/>
              <w:rPr>
                <w:rFonts w:eastAsia="Calibri"/>
                <w:sz w:val="20"/>
                <w:szCs w:val="20"/>
              </w:rPr>
            </w:pPr>
            <w:hyperlink r:id="rId24" w:history="1">
              <w:r w:rsidR="00C05442" w:rsidRPr="00B92494">
                <w:rPr>
                  <w:rFonts w:eastAsia="Calibri"/>
                  <w:bCs/>
                  <w:color w:val="0000FF"/>
                  <w:sz w:val="20"/>
                  <w:szCs w:val="20"/>
                  <w:u w:val="single"/>
                </w:rPr>
                <w:t>2011 ABQB 193</w:t>
              </w:r>
            </w:hyperlink>
          </w:p>
          <w:p w:rsidR="00C05442" w:rsidRPr="00B92494" w:rsidRDefault="00C05442" w:rsidP="00AD4BE1">
            <w:pPr>
              <w:jc w:val="both"/>
              <w:rPr>
                <w:rFonts w:eastAsia="Calibri"/>
                <w:sz w:val="20"/>
                <w:szCs w:val="20"/>
              </w:rPr>
            </w:pPr>
          </w:p>
        </w:tc>
        <w:tc>
          <w:tcPr>
            <w:tcW w:w="243" w:type="pct"/>
          </w:tcPr>
          <w:p w:rsidR="00C05442" w:rsidRPr="00B92494" w:rsidRDefault="00C05442" w:rsidP="00AD4BE1">
            <w:pPr>
              <w:jc w:val="both"/>
              <w:rPr>
                <w:rFonts w:eastAsia="Calibri"/>
                <w:sz w:val="20"/>
                <w:szCs w:val="20"/>
              </w:rPr>
            </w:pPr>
          </w:p>
        </w:tc>
        <w:tc>
          <w:tcPr>
            <w:tcW w:w="2330" w:type="pct"/>
          </w:tcPr>
          <w:p w:rsidR="00C05442" w:rsidRPr="00B92494" w:rsidRDefault="00C05442" w:rsidP="00AD4BE1">
            <w:pPr>
              <w:jc w:val="both"/>
              <w:rPr>
                <w:rFonts w:eastAsia="Calibri"/>
                <w:sz w:val="20"/>
                <w:szCs w:val="20"/>
              </w:rPr>
            </w:pPr>
            <w:r w:rsidRPr="00B92494">
              <w:rPr>
                <w:rFonts w:eastAsia="Calibri"/>
                <w:sz w:val="20"/>
                <w:szCs w:val="20"/>
              </w:rPr>
              <w:t xml:space="preserve">Both First and Second Renewal Agreements violate s. 8 of the </w:t>
            </w:r>
            <w:r w:rsidRPr="00B92494">
              <w:rPr>
                <w:rFonts w:eastAsia="Calibri"/>
                <w:i/>
                <w:sz w:val="20"/>
                <w:szCs w:val="20"/>
              </w:rPr>
              <w:t>Interest Act</w:t>
            </w:r>
            <w:r w:rsidRPr="00B92494">
              <w:rPr>
                <w:rFonts w:eastAsia="Calibri"/>
                <w:sz w:val="20"/>
                <w:szCs w:val="20"/>
              </w:rPr>
              <w:t>, R.S.C. 1985, c. I-15.</w:t>
            </w:r>
          </w:p>
        </w:tc>
      </w:tr>
      <w:tr w:rsidR="00C05442" w:rsidRPr="00B92494" w:rsidTr="00AD4BE1">
        <w:tc>
          <w:tcPr>
            <w:tcW w:w="2427" w:type="pct"/>
          </w:tcPr>
          <w:p w:rsidR="00C05442" w:rsidRPr="00B92494" w:rsidRDefault="00C05442" w:rsidP="00AD4BE1">
            <w:pPr>
              <w:jc w:val="both"/>
              <w:rPr>
                <w:rFonts w:eastAsia="Calibri"/>
                <w:sz w:val="20"/>
                <w:szCs w:val="20"/>
              </w:rPr>
            </w:pPr>
            <w:r w:rsidRPr="00B92494">
              <w:rPr>
                <w:rFonts w:eastAsia="Calibri"/>
                <w:sz w:val="20"/>
                <w:szCs w:val="20"/>
              </w:rPr>
              <w:lastRenderedPageBreak/>
              <w:t>June 29, 2012</w:t>
            </w:r>
          </w:p>
          <w:p w:rsidR="00C05442" w:rsidRPr="00B92494" w:rsidRDefault="00C05442" w:rsidP="00AD4BE1">
            <w:pPr>
              <w:jc w:val="both"/>
              <w:rPr>
                <w:rFonts w:eastAsia="Calibri"/>
                <w:sz w:val="20"/>
                <w:szCs w:val="20"/>
              </w:rPr>
            </w:pPr>
            <w:r w:rsidRPr="00B92494">
              <w:rPr>
                <w:rFonts w:eastAsia="Calibri"/>
                <w:sz w:val="20"/>
                <w:szCs w:val="20"/>
              </w:rPr>
              <w:t>Court of Queen’s Bench of Alberta</w:t>
            </w:r>
          </w:p>
          <w:p w:rsidR="00C05442" w:rsidRPr="00B92494" w:rsidRDefault="00C05442" w:rsidP="00AD4BE1">
            <w:pPr>
              <w:jc w:val="both"/>
              <w:rPr>
                <w:rFonts w:eastAsia="Calibri"/>
                <w:sz w:val="20"/>
                <w:szCs w:val="20"/>
              </w:rPr>
            </w:pPr>
            <w:r w:rsidRPr="00B92494">
              <w:rPr>
                <w:rFonts w:eastAsia="Calibri"/>
                <w:sz w:val="20"/>
                <w:szCs w:val="20"/>
              </w:rPr>
              <w:t>(Romaine J.)</w:t>
            </w:r>
          </w:p>
          <w:p w:rsidR="00C05442" w:rsidRPr="00B92494" w:rsidRDefault="007F638F" w:rsidP="00AD4BE1">
            <w:pPr>
              <w:jc w:val="both"/>
              <w:rPr>
                <w:rFonts w:eastAsia="Calibri"/>
                <w:sz w:val="20"/>
                <w:szCs w:val="20"/>
              </w:rPr>
            </w:pPr>
            <w:hyperlink r:id="rId25" w:history="1">
              <w:r w:rsidR="00C05442" w:rsidRPr="00B92494">
                <w:rPr>
                  <w:rFonts w:eastAsia="Calibri"/>
                  <w:color w:val="0000FF"/>
                  <w:sz w:val="20"/>
                  <w:szCs w:val="20"/>
                  <w:u w:val="single"/>
                </w:rPr>
                <w:t>2012 ABQB 411</w:t>
              </w:r>
            </w:hyperlink>
          </w:p>
          <w:p w:rsidR="00C05442" w:rsidRPr="00B92494" w:rsidRDefault="00C05442" w:rsidP="00AD4BE1">
            <w:pPr>
              <w:jc w:val="both"/>
              <w:rPr>
                <w:rFonts w:eastAsia="Calibri"/>
                <w:sz w:val="20"/>
                <w:szCs w:val="20"/>
              </w:rPr>
            </w:pPr>
          </w:p>
        </w:tc>
        <w:tc>
          <w:tcPr>
            <w:tcW w:w="243" w:type="pct"/>
          </w:tcPr>
          <w:p w:rsidR="00C05442" w:rsidRPr="00B92494" w:rsidRDefault="00C05442" w:rsidP="00AD4BE1">
            <w:pPr>
              <w:jc w:val="both"/>
              <w:rPr>
                <w:rFonts w:eastAsia="Calibri"/>
                <w:sz w:val="20"/>
                <w:szCs w:val="20"/>
              </w:rPr>
            </w:pPr>
          </w:p>
        </w:tc>
        <w:tc>
          <w:tcPr>
            <w:tcW w:w="2330" w:type="pct"/>
          </w:tcPr>
          <w:p w:rsidR="00C05442" w:rsidRPr="00B92494" w:rsidRDefault="00C05442" w:rsidP="00AD4BE1">
            <w:pPr>
              <w:jc w:val="both"/>
              <w:rPr>
                <w:rFonts w:eastAsia="Calibri"/>
                <w:sz w:val="20"/>
                <w:szCs w:val="20"/>
              </w:rPr>
            </w:pPr>
            <w:r w:rsidRPr="00B92494">
              <w:rPr>
                <w:rFonts w:eastAsia="Calibri"/>
                <w:sz w:val="20"/>
                <w:szCs w:val="20"/>
              </w:rPr>
              <w:t>Appeal from Master’s decision with respect to interest provisions of the First Renewal Agreement and the Second Renewal Agreement allowed.</w:t>
            </w:r>
          </w:p>
        </w:tc>
      </w:tr>
      <w:tr w:rsidR="00C05442" w:rsidRPr="00B92494" w:rsidTr="00AD4BE1">
        <w:tc>
          <w:tcPr>
            <w:tcW w:w="2427" w:type="pct"/>
          </w:tcPr>
          <w:p w:rsidR="00C05442" w:rsidRPr="00B92494" w:rsidRDefault="00C05442" w:rsidP="00AD4BE1">
            <w:pPr>
              <w:jc w:val="both"/>
              <w:rPr>
                <w:rFonts w:eastAsia="Calibri"/>
                <w:sz w:val="20"/>
                <w:szCs w:val="20"/>
              </w:rPr>
            </w:pPr>
            <w:r w:rsidRPr="00B92494">
              <w:rPr>
                <w:rFonts w:eastAsia="Calibri"/>
                <w:sz w:val="20"/>
                <w:szCs w:val="20"/>
              </w:rPr>
              <w:t>July 22, 2014</w:t>
            </w:r>
          </w:p>
          <w:p w:rsidR="00C05442" w:rsidRPr="00B92494" w:rsidRDefault="00C05442" w:rsidP="00AD4BE1">
            <w:pPr>
              <w:jc w:val="both"/>
              <w:rPr>
                <w:rFonts w:eastAsia="Calibri"/>
                <w:sz w:val="20"/>
                <w:szCs w:val="20"/>
              </w:rPr>
            </w:pPr>
            <w:r w:rsidRPr="00B92494">
              <w:rPr>
                <w:rFonts w:eastAsia="Calibri"/>
                <w:sz w:val="20"/>
                <w:szCs w:val="20"/>
              </w:rPr>
              <w:t>Court of Appeal of Alberta (Calgary)</w:t>
            </w:r>
          </w:p>
          <w:p w:rsidR="00C05442" w:rsidRPr="00B92494" w:rsidRDefault="00C05442" w:rsidP="00AD4BE1">
            <w:pPr>
              <w:jc w:val="both"/>
              <w:rPr>
                <w:rFonts w:eastAsia="Calibri"/>
                <w:sz w:val="20"/>
                <w:szCs w:val="20"/>
              </w:rPr>
            </w:pPr>
            <w:r w:rsidRPr="00B92494">
              <w:rPr>
                <w:rFonts w:eastAsia="Calibri"/>
                <w:sz w:val="20"/>
                <w:szCs w:val="20"/>
              </w:rPr>
              <w:t xml:space="preserve">(Hunt and Nation JJ.A. and Berger J.A. </w:t>
            </w:r>
          </w:p>
          <w:p w:rsidR="00C05442" w:rsidRPr="00B92494" w:rsidRDefault="00C05442" w:rsidP="00AD4BE1">
            <w:pPr>
              <w:jc w:val="both"/>
              <w:rPr>
                <w:rFonts w:eastAsia="Calibri"/>
                <w:sz w:val="20"/>
                <w:szCs w:val="20"/>
              </w:rPr>
            </w:pPr>
            <w:r w:rsidRPr="00B92494">
              <w:rPr>
                <w:rFonts w:eastAsia="Calibri"/>
                <w:sz w:val="20"/>
                <w:szCs w:val="20"/>
              </w:rPr>
              <w:t>(dissenting))</w:t>
            </w:r>
          </w:p>
          <w:p w:rsidR="00C05442" w:rsidRPr="00B92494" w:rsidRDefault="007F638F" w:rsidP="00AD4BE1">
            <w:pPr>
              <w:jc w:val="both"/>
              <w:rPr>
                <w:rFonts w:eastAsia="Calibri"/>
                <w:sz w:val="20"/>
                <w:szCs w:val="20"/>
              </w:rPr>
            </w:pPr>
            <w:hyperlink r:id="rId26" w:history="1">
              <w:r w:rsidR="00C05442" w:rsidRPr="00B92494">
                <w:rPr>
                  <w:rFonts w:eastAsia="Calibri"/>
                  <w:color w:val="0000FF"/>
                  <w:sz w:val="20"/>
                  <w:szCs w:val="20"/>
                  <w:u w:val="single"/>
                </w:rPr>
                <w:t>2014 ABCA 234</w:t>
              </w:r>
            </w:hyperlink>
          </w:p>
          <w:p w:rsidR="00C05442" w:rsidRPr="00B92494" w:rsidRDefault="00C05442" w:rsidP="00AD4BE1">
            <w:pPr>
              <w:jc w:val="both"/>
              <w:rPr>
                <w:rFonts w:eastAsia="Calibri"/>
                <w:sz w:val="20"/>
                <w:szCs w:val="20"/>
              </w:rPr>
            </w:pPr>
            <w:r w:rsidRPr="00B92494">
              <w:rPr>
                <w:rFonts w:eastAsia="Calibri"/>
                <w:sz w:val="20"/>
                <w:szCs w:val="20"/>
              </w:rPr>
              <w:t xml:space="preserve">File Nos.:1201-0249-AC and 1201-0254-AC </w:t>
            </w:r>
          </w:p>
          <w:p w:rsidR="00C05442" w:rsidRPr="00B92494" w:rsidRDefault="00C05442" w:rsidP="00AD4BE1">
            <w:pPr>
              <w:jc w:val="both"/>
              <w:rPr>
                <w:rFonts w:eastAsia="Calibri"/>
                <w:sz w:val="20"/>
                <w:szCs w:val="20"/>
              </w:rPr>
            </w:pPr>
          </w:p>
        </w:tc>
        <w:tc>
          <w:tcPr>
            <w:tcW w:w="243" w:type="pct"/>
          </w:tcPr>
          <w:p w:rsidR="00C05442" w:rsidRPr="00B92494" w:rsidRDefault="00C05442" w:rsidP="00AD4BE1">
            <w:pPr>
              <w:jc w:val="both"/>
              <w:rPr>
                <w:rFonts w:eastAsia="Calibri"/>
                <w:sz w:val="20"/>
                <w:szCs w:val="20"/>
              </w:rPr>
            </w:pPr>
          </w:p>
        </w:tc>
        <w:tc>
          <w:tcPr>
            <w:tcW w:w="2330" w:type="pct"/>
          </w:tcPr>
          <w:p w:rsidR="00C05442" w:rsidRPr="00B92494" w:rsidRDefault="00C05442" w:rsidP="00AD4BE1">
            <w:pPr>
              <w:jc w:val="both"/>
              <w:rPr>
                <w:rFonts w:eastAsia="Calibri"/>
                <w:sz w:val="20"/>
                <w:szCs w:val="20"/>
              </w:rPr>
            </w:pPr>
            <w:r w:rsidRPr="00B92494">
              <w:rPr>
                <w:rFonts w:eastAsia="Calibri"/>
                <w:sz w:val="20"/>
                <w:szCs w:val="20"/>
              </w:rPr>
              <w:t>Appeal dismissed.</w:t>
            </w:r>
          </w:p>
          <w:p w:rsidR="00C05442" w:rsidRPr="00B92494" w:rsidRDefault="00C05442" w:rsidP="00AD4BE1">
            <w:pPr>
              <w:jc w:val="both"/>
              <w:rPr>
                <w:rFonts w:eastAsia="Calibri"/>
                <w:sz w:val="20"/>
                <w:szCs w:val="20"/>
              </w:rPr>
            </w:pPr>
          </w:p>
        </w:tc>
      </w:tr>
      <w:tr w:rsidR="00C05442" w:rsidRPr="00B92494" w:rsidTr="00AD4BE1">
        <w:tc>
          <w:tcPr>
            <w:tcW w:w="2427" w:type="pct"/>
          </w:tcPr>
          <w:p w:rsidR="00C05442" w:rsidRPr="00B92494" w:rsidRDefault="00C05442" w:rsidP="00AD4BE1">
            <w:pPr>
              <w:jc w:val="both"/>
              <w:rPr>
                <w:rFonts w:eastAsia="Calibri"/>
                <w:sz w:val="20"/>
                <w:szCs w:val="20"/>
              </w:rPr>
            </w:pPr>
            <w:r w:rsidRPr="00B92494">
              <w:rPr>
                <w:rFonts w:eastAsia="Calibri"/>
                <w:sz w:val="20"/>
                <w:szCs w:val="20"/>
              </w:rPr>
              <w:t>September 30, 2014</w:t>
            </w:r>
          </w:p>
          <w:p w:rsidR="00C05442" w:rsidRPr="00B92494" w:rsidRDefault="00C05442" w:rsidP="00AD4BE1">
            <w:pPr>
              <w:jc w:val="both"/>
              <w:rPr>
                <w:rFonts w:eastAsia="Calibri"/>
                <w:sz w:val="20"/>
                <w:szCs w:val="20"/>
              </w:rPr>
            </w:pPr>
            <w:r w:rsidRPr="00B92494">
              <w:rPr>
                <w:rFonts w:eastAsia="Calibri"/>
                <w:sz w:val="20"/>
                <w:szCs w:val="20"/>
              </w:rPr>
              <w:t>Supreme Court of Canada</w:t>
            </w:r>
          </w:p>
          <w:p w:rsidR="00C05442" w:rsidRPr="00B92494" w:rsidRDefault="00C05442" w:rsidP="00AD4BE1">
            <w:pPr>
              <w:jc w:val="both"/>
              <w:rPr>
                <w:rFonts w:eastAsia="Calibri"/>
                <w:sz w:val="20"/>
                <w:szCs w:val="20"/>
              </w:rPr>
            </w:pPr>
          </w:p>
        </w:tc>
        <w:tc>
          <w:tcPr>
            <w:tcW w:w="243" w:type="pct"/>
          </w:tcPr>
          <w:p w:rsidR="00C05442" w:rsidRPr="00B92494" w:rsidRDefault="00C05442" w:rsidP="00AD4BE1">
            <w:pPr>
              <w:jc w:val="both"/>
              <w:rPr>
                <w:rFonts w:eastAsia="Calibri"/>
                <w:sz w:val="20"/>
                <w:szCs w:val="20"/>
              </w:rPr>
            </w:pPr>
          </w:p>
        </w:tc>
        <w:tc>
          <w:tcPr>
            <w:tcW w:w="2330" w:type="pct"/>
          </w:tcPr>
          <w:p w:rsidR="00C05442" w:rsidRPr="00B92494" w:rsidRDefault="00C05442" w:rsidP="00AD4BE1">
            <w:pPr>
              <w:jc w:val="both"/>
              <w:rPr>
                <w:rFonts w:eastAsia="Calibri"/>
                <w:sz w:val="20"/>
                <w:szCs w:val="20"/>
              </w:rPr>
            </w:pPr>
            <w:r w:rsidRPr="00B92494">
              <w:rPr>
                <w:rFonts w:eastAsia="Calibri"/>
                <w:sz w:val="20"/>
                <w:szCs w:val="20"/>
              </w:rPr>
              <w:t>Application for leave to appeal filed.</w:t>
            </w:r>
          </w:p>
          <w:p w:rsidR="00C05442" w:rsidRPr="00B92494" w:rsidRDefault="00C05442" w:rsidP="00AD4BE1">
            <w:pPr>
              <w:jc w:val="both"/>
              <w:rPr>
                <w:rFonts w:eastAsia="Calibri"/>
                <w:sz w:val="20"/>
                <w:szCs w:val="20"/>
              </w:rPr>
            </w:pPr>
          </w:p>
        </w:tc>
      </w:tr>
      <w:tr w:rsidR="00C05442" w:rsidRPr="00B92494" w:rsidTr="00AD4BE1">
        <w:tc>
          <w:tcPr>
            <w:tcW w:w="2427" w:type="pct"/>
          </w:tcPr>
          <w:p w:rsidR="00C05442" w:rsidRPr="00B92494" w:rsidRDefault="00C05442" w:rsidP="00AD4BE1">
            <w:pPr>
              <w:jc w:val="both"/>
              <w:rPr>
                <w:rFonts w:eastAsia="Calibri"/>
                <w:sz w:val="20"/>
                <w:szCs w:val="20"/>
              </w:rPr>
            </w:pPr>
            <w:r w:rsidRPr="00B92494">
              <w:rPr>
                <w:rFonts w:eastAsia="Calibri"/>
                <w:sz w:val="20"/>
                <w:szCs w:val="20"/>
              </w:rPr>
              <w:t>September 30, 2014</w:t>
            </w:r>
          </w:p>
          <w:p w:rsidR="00C05442" w:rsidRPr="00B92494" w:rsidRDefault="00C05442" w:rsidP="00AD4BE1">
            <w:pPr>
              <w:jc w:val="both"/>
              <w:rPr>
                <w:rFonts w:eastAsia="Calibri"/>
                <w:sz w:val="20"/>
                <w:szCs w:val="20"/>
              </w:rPr>
            </w:pPr>
            <w:r w:rsidRPr="00B92494">
              <w:rPr>
                <w:rFonts w:eastAsia="Calibri"/>
                <w:sz w:val="20"/>
                <w:szCs w:val="20"/>
              </w:rPr>
              <w:t>Supreme Court of Canada</w:t>
            </w:r>
          </w:p>
          <w:p w:rsidR="00C05442" w:rsidRPr="00B92494" w:rsidRDefault="00C05442" w:rsidP="00AD4BE1">
            <w:pPr>
              <w:jc w:val="both"/>
              <w:rPr>
                <w:rFonts w:eastAsia="Calibri"/>
                <w:sz w:val="20"/>
                <w:szCs w:val="20"/>
              </w:rPr>
            </w:pPr>
          </w:p>
        </w:tc>
        <w:tc>
          <w:tcPr>
            <w:tcW w:w="243" w:type="pct"/>
          </w:tcPr>
          <w:p w:rsidR="00C05442" w:rsidRPr="00B92494" w:rsidRDefault="00C05442" w:rsidP="00AD4BE1">
            <w:pPr>
              <w:jc w:val="both"/>
              <w:rPr>
                <w:rFonts w:eastAsia="Calibri"/>
                <w:sz w:val="20"/>
                <w:szCs w:val="20"/>
              </w:rPr>
            </w:pPr>
          </w:p>
        </w:tc>
        <w:tc>
          <w:tcPr>
            <w:tcW w:w="2330" w:type="pct"/>
          </w:tcPr>
          <w:p w:rsidR="00C05442" w:rsidRPr="00B92494" w:rsidRDefault="00C05442" w:rsidP="00AD4BE1">
            <w:pPr>
              <w:jc w:val="both"/>
              <w:rPr>
                <w:rFonts w:eastAsia="Calibri"/>
                <w:sz w:val="20"/>
                <w:szCs w:val="20"/>
              </w:rPr>
            </w:pPr>
            <w:r w:rsidRPr="00B92494">
              <w:rPr>
                <w:rFonts w:eastAsia="Calibri"/>
                <w:sz w:val="20"/>
                <w:szCs w:val="20"/>
              </w:rPr>
              <w:t xml:space="preserve">Motion to file joint application for leave to appeal and if leave is granted, that each party make submissions. </w:t>
            </w:r>
          </w:p>
          <w:p w:rsidR="00C05442" w:rsidRPr="00B92494" w:rsidRDefault="00C05442" w:rsidP="00AD4BE1">
            <w:pPr>
              <w:jc w:val="both"/>
              <w:rPr>
                <w:rFonts w:eastAsia="Calibri"/>
                <w:sz w:val="20"/>
                <w:szCs w:val="20"/>
              </w:rPr>
            </w:pPr>
          </w:p>
        </w:tc>
      </w:tr>
      <w:tr w:rsidR="00C05442" w:rsidRPr="00B92494" w:rsidTr="00AD4BE1">
        <w:tc>
          <w:tcPr>
            <w:tcW w:w="2427" w:type="pct"/>
          </w:tcPr>
          <w:p w:rsidR="00C05442" w:rsidRPr="00B92494" w:rsidRDefault="00C05442" w:rsidP="00AD4BE1">
            <w:pPr>
              <w:jc w:val="both"/>
              <w:rPr>
                <w:rFonts w:eastAsia="Calibri"/>
                <w:sz w:val="20"/>
                <w:szCs w:val="20"/>
              </w:rPr>
            </w:pPr>
            <w:r w:rsidRPr="00B92494">
              <w:rPr>
                <w:rFonts w:eastAsia="Calibri"/>
                <w:sz w:val="20"/>
                <w:szCs w:val="20"/>
              </w:rPr>
              <w:t>October 9, 2014</w:t>
            </w:r>
          </w:p>
          <w:p w:rsidR="00C05442" w:rsidRPr="00B92494" w:rsidRDefault="00C05442" w:rsidP="00AD4BE1">
            <w:pPr>
              <w:jc w:val="both"/>
              <w:rPr>
                <w:rFonts w:eastAsia="Calibri"/>
                <w:sz w:val="20"/>
                <w:szCs w:val="20"/>
              </w:rPr>
            </w:pPr>
            <w:r w:rsidRPr="00B92494">
              <w:rPr>
                <w:rFonts w:eastAsia="Calibri"/>
                <w:sz w:val="20"/>
                <w:szCs w:val="20"/>
              </w:rPr>
              <w:t>Supreme Court of Canada</w:t>
            </w:r>
          </w:p>
        </w:tc>
        <w:tc>
          <w:tcPr>
            <w:tcW w:w="243" w:type="pct"/>
          </w:tcPr>
          <w:p w:rsidR="00C05442" w:rsidRPr="00B92494" w:rsidRDefault="00C05442" w:rsidP="00AD4BE1">
            <w:pPr>
              <w:jc w:val="both"/>
              <w:rPr>
                <w:rFonts w:eastAsia="Calibri"/>
                <w:sz w:val="20"/>
                <w:szCs w:val="20"/>
              </w:rPr>
            </w:pPr>
          </w:p>
        </w:tc>
        <w:tc>
          <w:tcPr>
            <w:tcW w:w="2330" w:type="pct"/>
          </w:tcPr>
          <w:p w:rsidR="00C05442" w:rsidRPr="00B92494" w:rsidRDefault="00C05442" w:rsidP="00AD4BE1">
            <w:pPr>
              <w:jc w:val="both"/>
              <w:rPr>
                <w:rFonts w:eastAsia="Calibri"/>
                <w:sz w:val="20"/>
                <w:szCs w:val="20"/>
              </w:rPr>
            </w:pPr>
            <w:r w:rsidRPr="00B92494">
              <w:rPr>
                <w:rFonts w:eastAsia="Calibri"/>
                <w:sz w:val="20"/>
                <w:szCs w:val="20"/>
              </w:rPr>
              <w:t>Motion for extension of time to file and/or serve leave application.</w:t>
            </w:r>
          </w:p>
        </w:tc>
      </w:tr>
    </w:tbl>
    <w:p w:rsidR="00C05442" w:rsidRDefault="00C05442" w:rsidP="000E2959">
      <w:pPr>
        <w:rPr>
          <w:sz w:val="20"/>
          <w:szCs w:val="20"/>
        </w:rPr>
      </w:pPr>
    </w:p>
    <w:p w:rsidR="00C05442" w:rsidRPr="00C50A5C" w:rsidRDefault="007F638F" w:rsidP="00C05442">
      <w:pPr>
        <w:rPr>
          <w:sz w:val="20"/>
          <w:szCs w:val="20"/>
        </w:rPr>
      </w:pPr>
      <w:r>
        <w:rPr>
          <w:sz w:val="20"/>
          <w:szCs w:val="20"/>
          <w:lang w:val="fr-CA"/>
        </w:rPr>
        <w:pict>
          <v:rect id="_x0000_i1034" style="width:2in;height:1pt" o:hrpct="0" o:hralign="center" o:hrstd="t" o:hrnoshade="t" o:hr="t" fillcolor="black [3213]" stroked="f"/>
        </w:pict>
      </w:r>
    </w:p>
    <w:p w:rsidR="00C05442" w:rsidRDefault="00C05442" w:rsidP="00C05442">
      <w:pPr>
        <w:rPr>
          <w:sz w:val="20"/>
          <w:szCs w:val="20"/>
        </w:rPr>
      </w:pPr>
    </w:p>
    <w:p w:rsidR="00C05442" w:rsidRPr="001B157C" w:rsidRDefault="00C05442" w:rsidP="00C05442">
      <w:pPr>
        <w:rPr>
          <w:sz w:val="20"/>
          <w:szCs w:val="20"/>
          <w:u w:val="single"/>
          <w:lang w:val="fr-CA"/>
        </w:rPr>
      </w:pPr>
      <w:r w:rsidRPr="001B157C">
        <w:rPr>
          <w:sz w:val="20"/>
          <w:szCs w:val="20"/>
          <w:u w:val="single"/>
          <w:lang w:val="fr-CA"/>
        </w:rPr>
        <w:t>RÉSUMÉ DE L’AFFAIRE</w:t>
      </w:r>
    </w:p>
    <w:p w:rsidR="00C05442" w:rsidRDefault="00C05442" w:rsidP="00C054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05442" w:rsidRPr="007F638F" w:rsidTr="00AD4BE1">
        <w:tc>
          <w:tcPr>
            <w:tcW w:w="5000" w:type="pct"/>
            <w:gridSpan w:val="3"/>
          </w:tcPr>
          <w:p w:rsidR="00C05442" w:rsidRPr="00B92494" w:rsidRDefault="00C05442" w:rsidP="00AD4BE1">
            <w:pPr>
              <w:jc w:val="both"/>
              <w:rPr>
                <w:rFonts w:eastAsia="Calibri"/>
                <w:sz w:val="20"/>
                <w:szCs w:val="20"/>
                <w:lang w:val="fr-CA"/>
              </w:rPr>
            </w:pPr>
            <w:r w:rsidRPr="00B92494">
              <w:rPr>
                <w:rFonts w:eastAsia="Calibri"/>
                <w:sz w:val="20"/>
                <w:szCs w:val="20"/>
                <w:lang w:val="fr-CA"/>
              </w:rPr>
              <w:t xml:space="preserve">Intérêt — Hypothèques — Taux d’intérêt — Convient-il d’interpréter l’art. 8 de la </w:t>
            </w:r>
            <w:r w:rsidRPr="00B92494">
              <w:rPr>
                <w:rFonts w:eastAsia="Calibri"/>
                <w:i/>
                <w:sz w:val="20"/>
                <w:szCs w:val="20"/>
                <w:lang w:val="fr-CA"/>
              </w:rPr>
              <w:t>Loi sur l’intérêt</w:t>
            </w:r>
            <w:r w:rsidRPr="00B92494">
              <w:rPr>
                <w:rFonts w:eastAsia="Calibri"/>
                <w:sz w:val="20"/>
                <w:szCs w:val="20"/>
                <w:lang w:val="fr-CA"/>
              </w:rPr>
              <w:t xml:space="preserve">, L.R.C. 1985, ch. I-15 comme interdisant la rédaction d’une clause hypothécaire ayant pour effet d’imposer un taux de pénalité sur les montants arriérés, même si elle n’est pas structurée comme une pénalité? — Y a-t-il lieu de donner une interprétation large et libérale de l’art. 8 de la </w:t>
            </w:r>
            <w:r w:rsidRPr="00B92494">
              <w:rPr>
                <w:rFonts w:eastAsia="Calibri"/>
                <w:i/>
                <w:sz w:val="20"/>
                <w:szCs w:val="20"/>
                <w:lang w:val="fr-CA"/>
              </w:rPr>
              <w:t>Loi</w:t>
            </w:r>
            <w:r w:rsidRPr="00B92494">
              <w:rPr>
                <w:rFonts w:eastAsia="Calibri"/>
                <w:sz w:val="20"/>
                <w:szCs w:val="20"/>
                <w:lang w:val="fr-CA"/>
              </w:rPr>
              <w:t xml:space="preserve">? — L’art. 8 de la </w:t>
            </w:r>
            <w:r w:rsidRPr="00B92494">
              <w:rPr>
                <w:rFonts w:eastAsia="Calibri"/>
                <w:i/>
                <w:sz w:val="20"/>
                <w:szCs w:val="20"/>
                <w:lang w:val="fr-CA"/>
              </w:rPr>
              <w:t>Loi</w:t>
            </w:r>
            <w:r w:rsidRPr="00B92494">
              <w:rPr>
                <w:rFonts w:eastAsia="Calibri"/>
                <w:sz w:val="20"/>
                <w:szCs w:val="20"/>
                <w:lang w:val="fr-CA"/>
              </w:rPr>
              <w:t xml:space="preserve"> interdit-il une clause qui accroît le taux d’intérêt peu de temps avant l’échéance? — L’art. 8 de la </w:t>
            </w:r>
            <w:r w:rsidRPr="00B92494">
              <w:rPr>
                <w:rFonts w:eastAsia="Calibri"/>
                <w:i/>
                <w:sz w:val="20"/>
                <w:szCs w:val="20"/>
                <w:lang w:val="fr-CA"/>
              </w:rPr>
              <w:t>Loi</w:t>
            </w:r>
            <w:r w:rsidRPr="00B92494">
              <w:rPr>
                <w:rFonts w:eastAsia="Calibri"/>
                <w:sz w:val="20"/>
                <w:szCs w:val="20"/>
                <w:lang w:val="fr-CA"/>
              </w:rPr>
              <w:t xml:space="preserve"> interdit-il une clause qui impose un taux d’intérêt plus élevé en cas de défaut, mais qui est structurée comme un escompte pour règlement rapide.</w:t>
            </w:r>
          </w:p>
        </w:tc>
      </w:tr>
      <w:tr w:rsidR="00C05442" w:rsidRPr="007F638F" w:rsidTr="00AD4BE1">
        <w:tc>
          <w:tcPr>
            <w:tcW w:w="5000" w:type="pct"/>
            <w:gridSpan w:val="3"/>
          </w:tcPr>
          <w:p w:rsidR="00C05442" w:rsidRPr="00B92494" w:rsidRDefault="00C05442" w:rsidP="00AD4BE1">
            <w:pPr>
              <w:jc w:val="both"/>
              <w:rPr>
                <w:rFonts w:eastAsia="Calibri"/>
                <w:sz w:val="20"/>
                <w:szCs w:val="20"/>
                <w:lang w:val="fr-CA"/>
              </w:rPr>
            </w:pPr>
          </w:p>
        </w:tc>
      </w:tr>
      <w:tr w:rsidR="00C05442" w:rsidRPr="007F638F" w:rsidTr="00AD4BE1">
        <w:tc>
          <w:tcPr>
            <w:tcW w:w="5000" w:type="pct"/>
            <w:gridSpan w:val="3"/>
          </w:tcPr>
          <w:p w:rsidR="00C05442" w:rsidRPr="00B92494" w:rsidRDefault="00C05442" w:rsidP="00AD4BE1">
            <w:pPr>
              <w:shd w:val="clear" w:color="auto" w:fill="FFFFFF"/>
              <w:jc w:val="both"/>
              <w:rPr>
                <w:sz w:val="20"/>
                <w:szCs w:val="20"/>
                <w:lang w:val="fr-CA"/>
              </w:rPr>
            </w:pPr>
            <w:r w:rsidRPr="00B92494">
              <w:rPr>
                <w:sz w:val="20"/>
                <w:szCs w:val="20"/>
                <w:lang w:val="fr-CA"/>
              </w:rPr>
              <w:t>The Lougheed Block Inc. (« LBI ») était propriétaire d’un édifice à bureaux à valeur patrimoniale au centre-ville de Calgary.  Le capital de l’emprunt hypothécaire s’élevait à 27 millions de dollars.  Lorsque l’emprunt est venu à échéance en juin 2008, l’emprunteur et le prêteur ont conclu deux conventions de renouvellement successives.  La première convention de renouvellement est entrée en vigueur le 1</w:t>
            </w:r>
            <w:r w:rsidRPr="00B92494">
              <w:rPr>
                <w:sz w:val="20"/>
                <w:szCs w:val="20"/>
                <w:vertAlign w:val="superscript"/>
                <w:lang w:val="fr-CA"/>
              </w:rPr>
              <w:t>er</w:t>
            </w:r>
            <w:r w:rsidRPr="00B92494">
              <w:rPr>
                <w:sz w:val="20"/>
                <w:szCs w:val="20"/>
                <w:lang w:val="fr-CA"/>
              </w:rPr>
              <w:t xml:space="preserve"> août 2008. Elle stipulait que le taux d’intérêt de 25 pour cent allait prendre effet un mois avant l’échéance et s’appliquerait également aux arriérés et aux sommes dues, mais non arriérées.  </w:t>
            </w:r>
          </w:p>
          <w:p w:rsidR="00C05442" w:rsidRPr="00B92494" w:rsidRDefault="00C05442" w:rsidP="00AD4BE1">
            <w:pPr>
              <w:shd w:val="clear" w:color="auto" w:fill="FFFFFF"/>
              <w:jc w:val="both"/>
              <w:rPr>
                <w:sz w:val="20"/>
                <w:szCs w:val="20"/>
                <w:lang w:val="fr-CA"/>
              </w:rPr>
            </w:pPr>
          </w:p>
          <w:p w:rsidR="00C05442" w:rsidRPr="00B92494" w:rsidRDefault="00C05442" w:rsidP="00AD4BE1">
            <w:pPr>
              <w:shd w:val="clear" w:color="auto" w:fill="FFFFFF"/>
              <w:jc w:val="both"/>
              <w:rPr>
                <w:sz w:val="20"/>
                <w:szCs w:val="20"/>
                <w:lang w:val="fr-CA"/>
              </w:rPr>
            </w:pPr>
            <w:r w:rsidRPr="00B92494">
              <w:rPr>
                <w:sz w:val="20"/>
                <w:szCs w:val="20"/>
                <w:lang w:val="fr-CA"/>
              </w:rPr>
              <w:t>Lorsque la première convention de renouvellement est venue à échéance le 1</w:t>
            </w:r>
            <w:r w:rsidRPr="00B92494">
              <w:rPr>
                <w:sz w:val="20"/>
                <w:szCs w:val="20"/>
                <w:vertAlign w:val="superscript"/>
                <w:lang w:val="fr-CA"/>
              </w:rPr>
              <w:t>er</w:t>
            </w:r>
            <w:r w:rsidRPr="00B92494">
              <w:rPr>
                <w:sz w:val="20"/>
                <w:szCs w:val="20"/>
                <w:lang w:val="fr-CA"/>
              </w:rPr>
              <w:t xml:space="preserve"> mars 2009, LBI n’avait pas remboursé l’emprunt.  Equitable a offert une deuxième convention de renouvellement qui a été conclue le 28 avril 2009.  La stipulation essentielle de la deuxième convention de renouvellement était l’imposition d’un taux d’intérêt de 25 pour cent.  Le capital dû serait réduit si les mensualités étaient payées en temps opportun et si le capital était remboursé à l’échéance de l’emprunt. </w:t>
            </w:r>
          </w:p>
          <w:p w:rsidR="00C05442" w:rsidRPr="00B92494" w:rsidRDefault="00C05442" w:rsidP="00AD4BE1">
            <w:pPr>
              <w:shd w:val="clear" w:color="auto" w:fill="FFFFFF"/>
              <w:jc w:val="both"/>
              <w:rPr>
                <w:sz w:val="20"/>
                <w:szCs w:val="20"/>
                <w:lang w:val="fr-CA"/>
              </w:rPr>
            </w:pPr>
          </w:p>
          <w:p w:rsidR="00C05442" w:rsidRPr="00B92494" w:rsidRDefault="00C05442" w:rsidP="00AD4BE1">
            <w:pPr>
              <w:shd w:val="clear" w:color="auto" w:fill="FFFFFF"/>
              <w:jc w:val="both"/>
              <w:rPr>
                <w:sz w:val="20"/>
                <w:szCs w:val="20"/>
                <w:lang w:val="fr-CA"/>
              </w:rPr>
            </w:pPr>
            <w:r w:rsidRPr="00B92494">
              <w:rPr>
                <w:sz w:val="20"/>
                <w:szCs w:val="20"/>
                <w:lang w:val="fr-CA"/>
              </w:rPr>
              <w:t xml:space="preserve">Après la conclusion de la deuxième convention de renouvellement, Equitable a donné à LBI un avis écrit de défaut et a exigé le remboursement du montant total dû, calculé en fonction du taux d’intérêt de 25 pour cent. </w:t>
            </w:r>
          </w:p>
          <w:p w:rsidR="00C05442" w:rsidRPr="00B92494" w:rsidRDefault="00C05442" w:rsidP="00AD4BE1">
            <w:pPr>
              <w:shd w:val="clear" w:color="auto" w:fill="FFFFFF"/>
              <w:jc w:val="both"/>
              <w:rPr>
                <w:sz w:val="20"/>
                <w:szCs w:val="20"/>
                <w:lang w:val="fr-CA"/>
              </w:rPr>
            </w:pPr>
            <w:r w:rsidRPr="00B92494">
              <w:rPr>
                <w:sz w:val="20"/>
                <w:szCs w:val="20"/>
                <w:lang w:val="fr-CA"/>
              </w:rPr>
              <w:t xml:space="preserve"> </w:t>
            </w:r>
          </w:p>
          <w:p w:rsidR="00C05442" w:rsidRPr="00B92494" w:rsidRDefault="00C05442" w:rsidP="00AD4BE1">
            <w:pPr>
              <w:jc w:val="both"/>
              <w:rPr>
                <w:rFonts w:eastAsia="Calibri"/>
                <w:sz w:val="20"/>
                <w:szCs w:val="20"/>
                <w:lang w:val="fr-CA"/>
              </w:rPr>
            </w:pPr>
            <w:r w:rsidRPr="00B92494">
              <w:rPr>
                <w:rFonts w:eastAsia="Calibri"/>
                <w:sz w:val="20"/>
                <w:szCs w:val="20"/>
                <w:lang w:val="fr-CA"/>
              </w:rPr>
              <w:t xml:space="preserve">Certains demandeurs ont sollicité un jugement déclarant que le taux d’intérêt de 25 pour cent était contraire à l’art. 8 </w:t>
            </w:r>
            <w:r w:rsidRPr="00B92494">
              <w:rPr>
                <w:rFonts w:eastAsia="Calibri"/>
                <w:sz w:val="20"/>
                <w:szCs w:val="20"/>
                <w:lang w:val="fr-CA"/>
              </w:rPr>
              <w:lastRenderedPageBreak/>
              <w:t xml:space="preserve">de la </w:t>
            </w:r>
            <w:r w:rsidRPr="00B92494">
              <w:rPr>
                <w:rFonts w:eastAsia="Calibri"/>
                <w:i/>
                <w:sz w:val="20"/>
                <w:szCs w:val="20"/>
                <w:lang w:val="fr-CA"/>
              </w:rPr>
              <w:t>Loi sur l’intérêt</w:t>
            </w:r>
            <w:r w:rsidRPr="00B92494">
              <w:rPr>
                <w:rFonts w:eastAsia="Calibri"/>
                <w:sz w:val="20"/>
                <w:szCs w:val="20"/>
                <w:lang w:val="fr-CA"/>
              </w:rPr>
              <w:t xml:space="preserve">, L.R.C. 1985, ch. I-15.  Le protonotaire a conclu que les deux conventions de renouvellement violaient l’art. 8 de la </w:t>
            </w:r>
            <w:r w:rsidRPr="00B92494">
              <w:rPr>
                <w:rFonts w:eastAsia="Calibri"/>
                <w:i/>
                <w:sz w:val="20"/>
                <w:szCs w:val="20"/>
                <w:lang w:val="fr-CA"/>
              </w:rPr>
              <w:t>Loi</w:t>
            </w:r>
            <w:r w:rsidRPr="00B92494">
              <w:rPr>
                <w:rFonts w:eastAsia="Calibri"/>
                <w:sz w:val="20"/>
                <w:szCs w:val="20"/>
                <w:lang w:val="fr-CA"/>
              </w:rPr>
              <w:t xml:space="preserve">.  Le juge de première instance a accueilli l’appel, concluant que l’art. 8 n’avait pas été violé.  Les juges majoritaires de la Cour d’appel ont rejeté l’appel.  Le juge dissident aurait accueilli l’appel en partie, concluant que la deuxième convention de renouvellement violait l’art. 8.  </w:t>
            </w:r>
          </w:p>
          <w:p w:rsidR="00C05442" w:rsidRPr="00B92494" w:rsidRDefault="00C05442" w:rsidP="00AD4BE1">
            <w:pPr>
              <w:jc w:val="both"/>
              <w:rPr>
                <w:rFonts w:eastAsia="Calibri"/>
                <w:sz w:val="20"/>
                <w:szCs w:val="20"/>
                <w:lang w:val="fr-CA"/>
              </w:rPr>
            </w:pPr>
          </w:p>
        </w:tc>
      </w:tr>
      <w:tr w:rsidR="00C05442" w:rsidRPr="00B92494" w:rsidTr="00AD4BE1">
        <w:tc>
          <w:tcPr>
            <w:tcW w:w="2427" w:type="pct"/>
          </w:tcPr>
          <w:p w:rsidR="00C05442" w:rsidRPr="00B92494" w:rsidRDefault="00C05442" w:rsidP="00AD4BE1">
            <w:pPr>
              <w:jc w:val="both"/>
              <w:rPr>
                <w:rFonts w:eastAsia="Calibri"/>
                <w:bCs/>
                <w:sz w:val="20"/>
                <w:szCs w:val="20"/>
                <w:lang w:val="fr-CA"/>
              </w:rPr>
            </w:pPr>
            <w:r w:rsidRPr="00B92494">
              <w:rPr>
                <w:rFonts w:eastAsia="Calibri"/>
                <w:bCs/>
                <w:sz w:val="20"/>
                <w:szCs w:val="20"/>
                <w:lang w:val="fr-CA"/>
              </w:rPr>
              <w:lastRenderedPageBreak/>
              <w:t>21 mars 2011</w:t>
            </w:r>
          </w:p>
          <w:p w:rsidR="00C05442" w:rsidRPr="00B92494" w:rsidRDefault="00C05442" w:rsidP="00AD4BE1">
            <w:pPr>
              <w:jc w:val="both"/>
              <w:rPr>
                <w:rFonts w:eastAsia="Calibri"/>
                <w:sz w:val="20"/>
                <w:szCs w:val="20"/>
                <w:lang w:val="fr-CA"/>
              </w:rPr>
            </w:pPr>
            <w:r w:rsidRPr="00B92494">
              <w:rPr>
                <w:rFonts w:eastAsia="Calibri"/>
                <w:sz w:val="20"/>
                <w:szCs w:val="20"/>
                <w:lang w:val="fr-CA"/>
              </w:rPr>
              <w:t>Cour du Banc de la Reine de l’Alberta</w:t>
            </w:r>
          </w:p>
          <w:p w:rsidR="00C05442" w:rsidRPr="00B92494" w:rsidRDefault="00C05442" w:rsidP="00AD4BE1">
            <w:pPr>
              <w:jc w:val="both"/>
              <w:rPr>
                <w:rFonts w:eastAsia="Calibri"/>
                <w:bCs/>
                <w:sz w:val="20"/>
                <w:szCs w:val="20"/>
                <w:lang w:val="fr-CA"/>
              </w:rPr>
            </w:pPr>
            <w:r w:rsidRPr="00B92494">
              <w:rPr>
                <w:rFonts w:eastAsia="Calibri"/>
                <w:bCs/>
                <w:sz w:val="20"/>
                <w:szCs w:val="20"/>
                <w:lang w:val="fr-CA"/>
              </w:rPr>
              <w:t>(Protonotaire Hanebury)</w:t>
            </w:r>
          </w:p>
          <w:p w:rsidR="00C05442" w:rsidRPr="00B92494" w:rsidRDefault="007F638F" w:rsidP="00AD4BE1">
            <w:pPr>
              <w:jc w:val="both"/>
              <w:rPr>
                <w:rFonts w:eastAsia="Calibri"/>
                <w:sz w:val="20"/>
                <w:szCs w:val="20"/>
                <w:lang w:val="fr-CA"/>
              </w:rPr>
            </w:pPr>
            <w:hyperlink r:id="rId27" w:history="1">
              <w:r w:rsidR="00C05442" w:rsidRPr="00B92494">
                <w:rPr>
                  <w:rFonts w:eastAsia="Calibri"/>
                  <w:bCs/>
                  <w:color w:val="0000FF"/>
                  <w:sz w:val="20"/>
                  <w:szCs w:val="20"/>
                  <w:u w:val="single"/>
                  <w:lang w:val="fr-CA"/>
                </w:rPr>
                <w:t>2011 ABQB 193</w:t>
              </w:r>
            </w:hyperlink>
          </w:p>
          <w:p w:rsidR="00C05442" w:rsidRPr="00B92494" w:rsidRDefault="00C05442" w:rsidP="00AD4BE1">
            <w:pPr>
              <w:jc w:val="both"/>
              <w:rPr>
                <w:rFonts w:eastAsia="Calibri"/>
                <w:sz w:val="20"/>
                <w:szCs w:val="20"/>
                <w:lang w:val="fr-CA"/>
              </w:rPr>
            </w:pPr>
          </w:p>
        </w:tc>
        <w:tc>
          <w:tcPr>
            <w:tcW w:w="243" w:type="pct"/>
          </w:tcPr>
          <w:p w:rsidR="00C05442" w:rsidRPr="00B92494" w:rsidRDefault="00C05442" w:rsidP="00AD4BE1">
            <w:pPr>
              <w:jc w:val="both"/>
              <w:rPr>
                <w:rFonts w:eastAsia="Calibri"/>
                <w:sz w:val="20"/>
                <w:szCs w:val="20"/>
                <w:lang w:val="fr-CA"/>
              </w:rPr>
            </w:pPr>
          </w:p>
        </w:tc>
        <w:tc>
          <w:tcPr>
            <w:tcW w:w="2330" w:type="pct"/>
          </w:tcPr>
          <w:p w:rsidR="00C05442" w:rsidRPr="00B92494" w:rsidRDefault="00C05442" w:rsidP="00AD4BE1">
            <w:pPr>
              <w:jc w:val="both"/>
              <w:rPr>
                <w:rFonts w:eastAsia="Calibri"/>
                <w:sz w:val="20"/>
                <w:szCs w:val="20"/>
                <w:lang w:val="fr-CA"/>
              </w:rPr>
            </w:pPr>
            <w:r w:rsidRPr="00B92494">
              <w:rPr>
                <w:rFonts w:eastAsia="Calibri"/>
                <w:sz w:val="20"/>
                <w:szCs w:val="20"/>
                <w:lang w:val="fr-CA"/>
              </w:rPr>
              <w:t xml:space="preserve">Décision portant que les deux conventions de renouvellement violent l’art. 8 de la </w:t>
            </w:r>
            <w:r w:rsidRPr="00B92494">
              <w:rPr>
                <w:rFonts w:eastAsia="Calibri"/>
                <w:i/>
                <w:sz w:val="20"/>
                <w:szCs w:val="20"/>
                <w:lang w:val="fr-CA"/>
              </w:rPr>
              <w:t>Loi sur l’intérêt</w:t>
            </w:r>
            <w:r w:rsidRPr="00B92494">
              <w:rPr>
                <w:rFonts w:eastAsia="Calibri"/>
                <w:sz w:val="20"/>
                <w:szCs w:val="20"/>
                <w:lang w:val="fr-CA"/>
              </w:rPr>
              <w:t>, L.R.C. 1985, ch. I-15.</w:t>
            </w:r>
          </w:p>
        </w:tc>
      </w:tr>
      <w:tr w:rsidR="00C05442" w:rsidRPr="007F638F" w:rsidTr="00AD4BE1">
        <w:tc>
          <w:tcPr>
            <w:tcW w:w="2427" w:type="pct"/>
          </w:tcPr>
          <w:p w:rsidR="00C05442" w:rsidRPr="00B92494" w:rsidRDefault="00C05442" w:rsidP="00AD4BE1">
            <w:pPr>
              <w:jc w:val="both"/>
              <w:rPr>
                <w:rFonts w:eastAsia="Calibri"/>
                <w:sz w:val="20"/>
                <w:szCs w:val="20"/>
                <w:lang w:val="fr-CA"/>
              </w:rPr>
            </w:pPr>
            <w:r w:rsidRPr="00B92494">
              <w:rPr>
                <w:rFonts w:eastAsia="Calibri"/>
                <w:sz w:val="20"/>
                <w:szCs w:val="20"/>
                <w:lang w:val="fr-CA"/>
              </w:rPr>
              <w:t>29 juin 2012</w:t>
            </w:r>
          </w:p>
          <w:p w:rsidR="00C05442" w:rsidRPr="00B92494" w:rsidRDefault="00C05442" w:rsidP="00AD4BE1">
            <w:pPr>
              <w:jc w:val="both"/>
              <w:rPr>
                <w:rFonts w:eastAsia="Calibri"/>
                <w:sz w:val="20"/>
                <w:szCs w:val="20"/>
                <w:lang w:val="fr-CA"/>
              </w:rPr>
            </w:pPr>
            <w:r w:rsidRPr="00B92494">
              <w:rPr>
                <w:rFonts w:eastAsia="Calibri"/>
                <w:sz w:val="20"/>
                <w:szCs w:val="20"/>
                <w:lang w:val="fr-CA"/>
              </w:rPr>
              <w:t>Cour du Banc de la Reine de l’Alberta</w:t>
            </w:r>
          </w:p>
          <w:p w:rsidR="00C05442" w:rsidRPr="00B92494" w:rsidRDefault="00C05442" w:rsidP="00AD4BE1">
            <w:pPr>
              <w:jc w:val="both"/>
              <w:rPr>
                <w:rFonts w:eastAsia="Calibri"/>
                <w:sz w:val="20"/>
                <w:szCs w:val="20"/>
                <w:lang w:val="fr-CA"/>
              </w:rPr>
            </w:pPr>
            <w:r w:rsidRPr="00B92494">
              <w:rPr>
                <w:rFonts w:eastAsia="Calibri"/>
                <w:sz w:val="20"/>
                <w:szCs w:val="20"/>
                <w:lang w:val="fr-CA"/>
              </w:rPr>
              <w:t>(Juge Romaine)</w:t>
            </w:r>
          </w:p>
          <w:p w:rsidR="00C05442" w:rsidRPr="00B92494" w:rsidRDefault="007F638F" w:rsidP="00AD4BE1">
            <w:pPr>
              <w:jc w:val="both"/>
              <w:rPr>
                <w:rFonts w:eastAsia="Calibri"/>
                <w:sz w:val="20"/>
                <w:szCs w:val="20"/>
                <w:lang w:val="fr-CA"/>
              </w:rPr>
            </w:pPr>
            <w:hyperlink r:id="rId28" w:history="1">
              <w:r w:rsidR="00C05442" w:rsidRPr="00B92494">
                <w:rPr>
                  <w:rFonts w:eastAsia="Calibri"/>
                  <w:color w:val="0000FF"/>
                  <w:sz w:val="20"/>
                  <w:szCs w:val="20"/>
                  <w:u w:val="single"/>
                  <w:lang w:val="fr-CA"/>
                </w:rPr>
                <w:t>2012 ABQB 411</w:t>
              </w:r>
            </w:hyperlink>
          </w:p>
          <w:p w:rsidR="00C05442" w:rsidRPr="00B92494" w:rsidRDefault="00C05442" w:rsidP="00AD4BE1">
            <w:pPr>
              <w:jc w:val="both"/>
              <w:rPr>
                <w:rFonts w:eastAsia="Calibri"/>
                <w:sz w:val="20"/>
                <w:szCs w:val="20"/>
                <w:lang w:val="fr-CA"/>
              </w:rPr>
            </w:pPr>
          </w:p>
        </w:tc>
        <w:tc>
          <w:tcPr>
            <w:tcW w:w="243" w:type="pct"/>
          </w:tcPr>
          <w:p w:rsidR="00C05442" w:rsidRPr="00B92494" w:rsidRDefault="00C05442" w:rsidP="00AD4BE1">
            <w:pPr>
              <w:jc w:val="both"/>
              <w:rPr>
                <w:rFonts w:eastAsia="Calibri"/>
                <w:sz w:val="20"/>
                <w:szCs w:val="20"/>
                <w:lang w:val="fr-CA"/>
              </w:rPr>
            </w:pPr>
          </w:p>
        </w:tc>
        <w:tc>
          <w:tcPr>
            <w:tcW w:w="2330" w:type="pct"/>
          </w:tcPr>
          <w:p w:rsidR="00C05442" w:rsidRPr="00B92494" w:rsidRDefault="00C05442" w:rsidP="00AD4BE1">
            <w:pPr>
              <w:jc w:val="both"/>
              <w:rPr>
                <w:rFonts w:eastAsia="Calibri"/>
                <w:sz w:val="20"/>
                <w:szCs w:val="20"/>
                <w:lang w:val="fr-CA"/>
              </w:rPr>
            </w:pPr>
            <w:r w:rsidRPr="00B92494">
              <w:rPr>
                <w:rFonts w:eastAsia="Calibri"/>
                <w:sz w:val="20"/>
                <w:szCs w:val="20"/>
                <w:lang w:val="fr-CA"/>
              </w:rPr>
              <w:t>Décision accueillant l’appel de la décision du protonotaire à l’égard des stipulations sur l’intérêt des deux conventions de renouvellement</w:t>
            </w:r>
          </w:p>
        </w:tc>
      </w:tr>
      <w:tr w:rsidR="00C05442" w:rsidRPr="00B92494" w:rsidTr="00AD4BE1">
        <w:tc>
          <w:tcPr>
            <w:tcW w:w="2427" w:type="pct"/>
          </w:tcPr>
          <w:p w:rsidR="00C05442" w:rsidRPr="00B92494" w:rsidRDefault="00C05442" w:rsidP="00AD4BE1">
            <w:pPr>
              <w:jc w:val="both"/>
              <w:rPr>
                <w:rFonts w:eastAsia="Calibri"/>
                <w:sz w:val="20"/>
                <w:szCs w:val="20"/>
                <w:lang w:val="fr-CA"/>
              </w:rPr>
            </w:pPr>
            <w:r w:rsidRPr="00B92494">
              <w:rPr>
                <w:rFonts w:eastAsia="Calibri"/>
                <w:sz w:val="20"/>
                <w:szCs w:val="20"/>
                <w:lang w:val="fr-CA"/>
              </w:rPr>
              <w:t>22 juillet 2014</w:t>
            </w:r>
          </w:p>
          <w:p w:rsidR="00C05442" w:rsidRPr="00B92494" w:rsidRDefault="00C05442" w:rsidP="00AD4BE1">
            <w:pPr>
              <w:jc w:val="both"/>
              <w:rPr>
                <w:rFonts w:eastAsia="Calibri"/>
                <w:sz w:val="20"/>
                <w:szCs w:val="20"/>
                <w:lang w:val="fr-CA"/>
              </w:rPr>
            </w:pPr>
            <w:r w:rsidRPr="00B92494">
              <w:rPr>
                <w:rFonts w:eastAsia="Calibri"/>
                <w:sz w:val="20"/>
                <w:szCs w:val="20"/>
                <w:lang w:val="fr-CA"/>
              </w:rPr>
              <w:t>Cour d’appel de l’Alberta (Calgary)</w:t>
            </w:r>
          </w:p>
          <w:p w:rsidR="00C05442" w:rsidRPr="00B92494" w:rsidRDefault="00C05442" w:rsidP="00AD4BE1">
            <w:pPr>
              <w:jc w:val="both"/>
              <w:rPr>
                <w:rFonts w:eastAsia="Calibri"/>
                <w:sz w:val="20"/>
                <w:szCs w:val="20"/>
                <w:lang w:val="fr-CA"/>
              </w:rPr>
            </w:pPr>
            <w:r w:rsidRPr="00B92494">
              <w:rPr>
                <w:rFonts w:eastAsia="Calibri"/>
                <w:sz w:val="20"/>
                <w:szCs w:val="20"/>
                <w:lang w:val="fr-CA"/>
              </w:rPr>
              <w:t>(Juges Hunt, Nation et Berger</w:t>
            </w:r>
          </w:p>
          <w:p w:rsidR="00C05442" w:rsidRPr="00B92494" w:rsidRDefault="00C05442" w:rsidP="00AD4BE1">
            <w:pPr>
              <w:jc w:val="both"/>
              <w:rPr>
                <w:rFonts w:eastAsia="Calibri"/>
                <w:sz w:val="20"/>
                <w:szCs w:val="20"/>
                <w:lang w:val="fr-CA"/>
              </w:rPr>
            </w:pPr>
            <w:r w:rsidRPr="00B92494">
              <w:rPr>
                <w:rFonts w:eastAsia="Calibri"/>
                <w:sz w:val="20"/>
                <w:szCs w:val="20"/>
                <w:lang w:val="fr-CA"/>
              </w:rPr>
              <w:t>(dissident))</w:t>
            </w:r>
          </w:p>
          <w:p w:rsidR="00C05442" w:rsidRPr="00B92494" w:rsidRDefault="007F638F" w:rsidP="00AD4BE1">
            <w:pPr>
              <w:jc w:val="both"/>
              <w:rPr>
                <w:rFonts w:eastAsia="Calibri"/>
                <w:sz w:val="20"/>
                <w:szCs w:val="20"/>
                <w:lang w:val="fr-CA"/>
              </w:rPr>
            </w:pPr>
            <w:hyperlink r:id="rId29" w:history="1">
              <w:r w:rsidR="00C05442" w:rsidRPr="00B92494">
                <w:rPr>
                  <w:rFonts w:eastAsia="Calibri"/>
                  <w:color w:val="0000FF"/>
                  <w:sz w:val="20"/>
                  <w:szCs w:val="20"/>
                  <w:u w:val="single"/>
                  <w:lang w:val="fr-CA"/>
                </w:rPr>
                <w:t>2014 ABCA 234</w:t>
              </w:r>
            </w:hyperlink>
          </w:p>
          <w:p w:rsidR="00C05442" w:rsidRPr="00B92494" w:rsidRDefault="00C05442" w:rsidP="00AD4BE1">
            <w:pPr>
              <w:jc w:val="both"/>
              <w:rPr>
                <w:rFonts w:eastAsia="Calibri"/>
                <w:sz w:val="20"/>
                <w:szCs w:val="20"/>
                <w:lang w:val="fr-CA"/>
              </w:rPr>
            </w:pPr>
            <w:r w:rsidRPr="00B92494">
              <w:rPr>
                <w:rFonts w:eastAsia="Calibri"/>
                <w:sz w:val="20"/>
                <w:szCs w:val="20"/>
                <w:lang w:val="fr-CA"/>
              </w:rPr>
              <w:t>N</w:t>
            </w:r>
            <w:r w:rsidRPr="00B92494">
              <w:rPr>
                <w:rFonts w:eastAsia="Calibri"/>
                <w:sz w:val="20"/>
                <w:szCs w:val="20"/>
                <w:vertAlign w:val="superscript"/>
                <w:lang w:val="fr-CA"/>
              </w:rPr>
              <w:t>os</w:t>
            </w:r>
            <w:r w:rsidRPr="00B92494">
              <w:rPr>
                <w:rFonts w:eastAsia="Calibri"/>
                <w:sz w:val="20"/>
                <w:szCs w:val="20"/>
                <w:lang w:val="fr-CA"/>
              </w:rPr>
              <w:t xml:space="preserve"> du greffe : 1201-0249-AC et 1201-0254-AC </w:t>
            </w:r>
          </w:p>
          <w:p w:rsidR="00C05442" w:rsidRPr="00B92494" w:rsidRDefault="00C05442" w:rsidP="00AD4BE1">
            <w:pPr>
              <w:jc w:val="both"/>
              <w:rPr>
                <w:rFonts w:eastAsia="Calibri"/>
                <w:sz w:val="20"/>
                <w:szCs w:val="20"/>
                <w:lang w:val="fr-CA"/>
              </w:rPr>
            </w:pPr>
          </w:p>
        </w:tc>
        <w:tc>
          <w:tcPr>
            <w:tcW w:w="243" w:type="pct"/>
          </w:tcPr>
          <w:p w:rsidR="00C05442" w:rsidRPr="00B92494" w:rsidRDefault="00C05442" w:rsidP="00AD4BE1">
            <w:pPr>
              <w:jc w:val="both"/>
              <w:rPr>
                <w:rFonts w:eastAsia="Calibri"/>
                <w:sz w:val="20"/>
                <w:szCs w:val="20"/>
                <w:lang w:val="fr-CA"/>
              </w:rPr>
            </w:pPr>
          </w:p>
        </w:tc>
        <w:tc>
          <w:tcPr>
            <w:tcW w:w="2330" w:type="pct"/>
          </w:tcPr>
          <w:p w:rsidR="00C05442" w:rsidRPr="00B92494" w:rsidRDefault="00C05442" w:rsidP="00AD4BE1">
            <w:pPr>
              <w:jc w:val="both"/>
              <w:rPr>
                <w:rFonts w:eastAsia="Calibri"/>
                <w:sz w:val="20"/>
                <w:szCs w:val="20"/>
                <w:lang w:val="fr-CA"/>
              </w:rPr>
            </w:pPr>
            <w:r w:rsidRPr="00B92494">
              <w:rPr>
                <w:rFonts w:eastAsia="Calibri"/>
                <w:sz w:val="20"/>
                <w:szCs w:val="20"/>
                <w:lang w:val="fr-CA"/>
              </w:rPr>
              <w:t>Rejet de l’appel.</w:t>
            </w:r>
          </w:p>
          <w:p w:rsidR="00C05442" w:rsidRPr="00B92494" w:rsidRDefault="00C05442" w:rsidP="00AD4BE1">
            <w:pPr>
              <w:jc w:val="both"/>
              <w:rPr>
                <w:rFonts w:eastAsia="Calibri"/>
                <w:sz w:val="20"/>
                <w:szCs w:val="20"/>
                <w:lang w:val="fr-CA"/>
              </w:rPr>
            </w:pPr>
          </w:p>
        </w:tc>
      </w:tr>
      <w:tr w:rsidR="00C05442" w:rsidRPr="007F638F" w:rsidTr="00AD4BE1">
        <w:tc>
          <w:tcPr>
            <w:tcW w:w="2427" w:type="pct"/>
          </w:tcPr>
          <w:p w:rsidR="00C05442" w:rsidRPr="00B92494" w:rsidRDefault="00C05442" w:rsidP="00AD4BE1">
            <w:pPr>
              <w:jc w:val="both"/>
              <w:rPr>
                <w:rFonts w:eastAsia="Calibri"/>
                <w:sz w:val="20"/>
                <w:szCs w:val="20"/>
                <w:lang w:val="fr-CA"/>
              </w:rPr>
            </w:pPr>
            <w:r w:rsidRPr="00B92494">
              <w:rPr>
                <w:rFonts w:eastAsia="Calibri"/>
                <w:sz w:val="20"/>
                <w:szCs w:val="20"/>
                <w:lang w:val="fr-CA"/>
              </w:rPr>
              <w:t>30 septembre 2014</w:t>
            </w:r>
          </w:p>
          <w:p w:rsidR="00C05442" w:rsidRPr="00B92494" w:rsidRDefault="00C05442" w:rsidP="00AD4BE1">
            <w:pPr>
              <w:jc w:val="both"/>
              <w:rPr>
                <w:rFonts w:eastAsia="Calibri"/>
                <w:sz w:val="20"/>
                <w:szCs w:val="20"/>
                <w:lang w:val="fr-CA"/>
              </w:rPr>
            </w:pPr>
            <w:r w:rsidRPr="00B92494">
              <w:rPr>
                <w:rFonts w:eastAsia="Calibri"/>
                <w:sz w:val="20"/>
                <w:szCs w:val="20"/>
                <w:lang w:val="fr-CA"/>
              </w:rPr>
              <w:t>Cour suprême du Canada</w:t>
            </w:r>
          </w:p>
          <w:p w:rsidR="00C05442" w:rsidRPr="00B92494" w:rsidRDefault="00C05442" w:rsidP="00AD4BE1">
            <w:pPr>
              <w:jc w:val="both"/>
              <w:rPr>
                <w:rFonts w:eastAsia="Calibri"/>
                <w:sz w:val="20"/>
                <w:szCs w:val="20"/>
                <w:lang w:val="fr-CA"/>
              </w:rPr>
            </w:pPr>
          </w:p>
        </w:tc>
        <w:tc>
          <w:tcPr>
            <w:tcW w:w="243" w:type="pct"/>
          </w:tcPr>
          <w:p w:rsidR="00C05442" w:rsidRPr="00B92494" w:rsidRDefault="00C05442" w:rsidP="00AD4BE1">
            <w:pPr>
              <w:jc w:val="both"/>
              <w:rPr>
                <w:rFonts w:eastAsia="Calibri"/>
                <w:sz w:val="20"/>
                <w:szCs w:val="20"/>
                <w:lang w:val="fr-CA"/>
              </w:rPr>
            </w:pPr>
          </w:p>
        </w:tc>
        <w:tc>
          <w:tcPr>
            <w:tcW w:w="2330" w:type="pct"/>
          </w:tcPr>
          <w:p w:rsidR="00C05442" w:rsidRPr="00B92494" w:rsidRDefault="00C05442" w:rsidP="00AD4BE1">
            <w:pPr>
              <w:jc w:val="both"/>
              <w:rPr>
                <w:rFonts w:eastAsia="Calibri"/>
                <w:sz w:val="20"/>
                <w:szCs w:val="20"/>
                <w:lang w:val="fr-CA"/>
              </w:rPr>
            </w:pPr>
            <w:r w:rsidRPr="00B92494">
              <w:rPr>
                <w:rFonts w:eastAsia="Calibri"/>
                <w:sz w:val="20"/>
                <w:szCs w:val="20"/>
                <w:lang w:val="fr-CA"/>
              </w:rPr>
              <w:t>Dépôt de la demande d’autorisation d’appel.</w:t>
            </w:r>
          </w:p>
          <w:p w:rsidR="00C05442" w:rsidRPr="00B92494" w:rsidRDefault="00C05442" w:rsidP="00AD4BE1">
            <w:pPr>
              <w:jc w:val="both"/>
              <w:rPr>
                <w:rFonts w:eastAsia="Calibri"/>
                <w:sz w:val="20"/>
                <w:szCs w:val="20"/>
                <w:lang w:val="fr-CA"/>
              </w:rPr>
            </w:pPr>
          </w:p>
        </w:tc>
      </w:tr>
      <w:tr w:rsidR="00C05442" w:rsidRPr="007F638F" w:rsidTr="00AD4BE1">
        <w:tc>
          <w:tcPr>
            <w:tcW w:w="2427" w:type="pct"/>
          </w:tcPr>
          <w:p w:rsidR="00C05442" w:rsidRPr="00B92494" w:rsidRDefault="00C05442" w:rsidP="00AD4BE1">
            <w:pPr>
              <w:jc w:val="both"/>
              <w:rPr>
                <w:rFonts w:eastAsia="Calibri"/>
                <w:sz w:val="20"/>
                <w:szCs w:val="20"/>
                <w:lang w:val="fr-CA"/>
              </w:rPr>
            </w:pPr>
            <w:r w:rsidRPr="00B92494">
              <w:rPr>
                <w:rFonts w:eastAsia="Calibri"/>
                <w:sz w:val="20"/>
                <w:szCs w:val="20"/>
                <w:lang w:val="fr-CA"/>
              </w:rPr>
              <w:t>30 septembre 2014</w:t>
            </w:r>
          </w:p>
          <w:p w:rsidR="00C05442" w:rsidRPr="00B92494" w:rsidRDefault="00C05442" w:rsidP="00AD4BE1">
            <w:pPr>
              <w:jc w:val="both"/>
              <w:rPr>
                <w:rFonts w:eastAsia="Calibri"/>
                <w:sz w:val="20"/>
                <w:szCs w:val="20"/>
                <w:lang w:val="fr-CA"/>
              </w:rPr>
            </w:pPr>
            <w:r w:rsidRPr="00B92494">
              <w:rPr>
                <w:rFonts w:eastAsia="Calibri"/>
                <w:sz w:val="20"/>
                <w:szCs w:val="20"/>
                <w:lang w:val="fr-CA"/>
              </w:rPr>
              <w:t>Cour suprême du Canada</w:t>
            </w:r>
          </w:p>
          <w:p w:rsidR="00C05442" w:rsidRPr="00B92494" w:rsidRDefault="00C05442" w:rsidP="00AD4BE1">
            <w:pPr>
              <w:jc w:val="both"/>
              <w:rPr>
                <w:rFonts w:eastAsia="Calibri"/>
                <w:sz w:val="20"/>
                <w:szCs w:val="20"/>
                <w:lang w:val="fr-CA"/>
              </w:rPr>
            </w:pPr>
          </w:p>
        </w:tc>
        <w:tc>
          <w:tcPr>
            <w:tcW w:w="243" w:type="pct"/>
          </w:tcPr>
          <w:p w:rsidR="00C05442" w:rsidRPr="00B92494" w:rsidRDefault="00C05442" w:rsidP="00AD4BE1">
            <w:pPr>
              <w:jc w:val="both"/>
              <w:rPr>
                <w:rFonts w:eastAsia="Calibri"/>
                <w:sz w:val="20"/>
                <w:szCs w:val="20"/>
                <w:lang w:val="fr-CA"/>
              </w:rPr>
            </w:pPr>
          </w:p>
        </w:tc>
        <w:tc>
          <w:tcPr>
            <w:tcW w:w="2330" w:type="pct"/>
          </w:tcPr>
          <w:p w:rsidR="00C05442" w:rsidRPr="00B92494" w:rsidRDefault="00C05442" w:rsidP="00AD4BE1">
            <w:pPr>
              <w:jc w:val="both"/>
              <w:rPr>
                <w:rFonts w:eastAsia="Calibri"/>
                <w:sz w:val="20"/>
                <w:szCs w:val="20"/>
                <w:lang w:val="fr-CA"/>
              </w:rPr>
            </w:pPr>
            <w:r w:rsidRPr="00B92494">
              <w:rPr>
                <w:rFonts w:eastAsia="Calibri"/>
                <w:sz w:val="20"/>
                <w:szCs w:val="20"/>
                <w:lang w:val="fr-CA"/>
              </w:rPr>
              <w:t xml:space="preserve">Requête en vue de déposer une demande d’autorisation conjointe et, si l’autorisation est accordée, en vue de permettre à chaque partie de présenter des observations. </w:t>
            </w:r>
          </w:p>
          <w:p w:rsidR="00C05442" w:rsidRPr="00B92494" w:rsidRDefault="00C05442" w:rsidP="00AD4BE1">
            <w:pPr>
              <w:jc w:val="both"/>
              <w:rPr>
                <w:rFonts w:eastAsia="Calibri"/>
                <w:sz w:val="20"/>
                <w:szCs w:val="20"/>
                <w:lang w:val="fr-CA"/>
              </w:rPr>
            </w:pPr>
          </w:p>
        </w:tc>
      </w:tr>
      <w:tr w:rsidR="00C05442" w:rsidRPr="007F638F" w:rsidTr="00AD4BE1">
        <w:tc>
          <w:tcPr>
            <w:tcW w:w="2427" w:type="pct"/>
          </w:tcPr>
          <w:p w:rsidR="00C05442" w:rsidRPr="00B92494" w:rsidRDefault="00C05442" w:rsidP="00AD4BE1">
            <w:pPr>
              <w:jc w:val="both"/>
              <w:rPr>
                <w:rFonts w:eastAsia="Calibri"/>
                <w:sz w:val="20"/>
                <w:szCs w:val="20"/>
                <w:lang w:val="fr-CA"/>
              </w:rPr>
            </w:pPr>
            <w:r w:rsidRPr="00B92494">
              <w:rPr>
                <w:rFonts w:eastAsia="Calibri"/>
                <w:sz w:val="20"/>
                <w:szCs w:val="20"/>
                <w:lang w:val="fr-CA"/>
              </w:rPr>
              <w:t>9 octobre 2014</w:t>
            </w:r>
          </w:p>
          <w:p w:rsidR="00C05442" w:rsidRPr="00B92494" w:rsidRDefault="00C05442" w:rsidP="00AD4BE1">
            <w:pPr>
              <w:jc w:val="both"/>
              <w:rPr>
                <w:rFonts w:eastAsia="Calibri"/>
                <w:sz w:val="20"/>
                <w:szCs w:val="20"/>
                <w:lang w:val="fr-CA"/>
              </w:rPr>
            </w:pPr>
            <w:r w:rsidRPr="00B92494">
              <w:rPr>
                <w:rFonts w:eastAsia="Calibri"/>
                <w:sz w:val="20"/>
                <w:szCs w:val="20"/>
                <w:lang w:val="fr-CA"/>
              </w:rPr>
              <w:t>Cour suprême du Canada</w:t>
            </w:r>
          </w:p>
        </w:tc>
        <w:tc>
          <w:tcPr>
            <w:tcW w:w="243" w:type="pct"/>
          </w:tcPr>
          <w:p w:rsidR="00C05442" w:rsidRPr="00B92494" w:rsidRDefault="00C05442" w:rsidP="00AD4BE1">
            <w:pPr>
              <w:jc w:val="both"/>
              <w:rPr>
                <w:rFonts w:eastAsia="Calibri"/>
                <w:sz w:val="20"/>
                <w:szCs w:val="20"/>
                <w:lang w:val="fr-CA"/>
              </w:rPr>
            </w:pPr>
          </w:p>
        </w:tc>
        <w:tc>
          <w:tcPr>
            <w:tcW w:w="2330" w:type="pct"/>
          </w:tcPr>
          <w:p w:rsidR="00C05442" w:rsidRPr="00B92494" w:rsidRDefault="00C05442" w:rsidP="00AD4BE1">
            <w:pPr>
              <w:jc w:val="both"/>
              <w:rPr>
                <w:rFonts w:eastAsia="Calibri"/>
                <w:sz w:val="20"/>
                <w:szCs w:val="20"/>
                <w:lang w:val="fr-CA"/>
              </w:rPr>
            </w:pPr>
            <w:r w:rsidRPr="00B92494">
              <w:rPr>
                <w:rFonts w:eastAsia="Calibri"/>
                <w:sz w:val="20"/>
                <w:szCs w:val="20"/>
                <w:lang w:val="fr-CA"/>
              </w:rPr>
              <w:t>Requête en prorogation du délai de dépôt et de signification de la demande d’autorisation.</w:t>
            </w:r>
          </w:p>
        </w:tc>
      </w:tr>
    </w:tbl>
    <w:p w:rsidR="00C05442" w:rsidRPr="00C05442" w:rsidRDefault="00C05442" w:rsidP="000E2959">
      <w:pPr>
        <w:rPr>
          <w:sz w:val="20"/>
          <w:szCs w:val="20"/>
          <w:lang w:val="fr-CA"/>
        </w:rPr>
      </w:pPr>
    </w:p>
    <w:p w:rsidR="00C05442" w:rsidRDefault="007F638F" w:rsidP="000E2959">
      <w:pPr>
        <w:rPr>
          <w:sz w:val="20"/>
          <w:szCs w:val="20"/>
          <w:lang w:val="fr-CA"/>
        </w:rPr>
      </w:pPr>
      <w:r>
        <w:rPr>
          <w:sz w:val="20"/>
          <w:szCs w:val="20"/>
          <w:lang w:val="fr-CA"/>
        </w:rPr>
        <w:pict>
          <v:rect id="_x0000_i1035" style="width:2in;height:1pt" o:hrpct="0" o:hralign="center" o:hrstd="t" o:hrnoshade="t" o:hr="t" fillcolor="black [3213]" stroked="f"/>
        </w:pict>
      </w:r>
    </w:p>
    <w:p w:rsidR="00C05442" w:rsidRDefault="00C05442"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093D" w:rsidRPr="004F280C" w:rsidTr="00042164">
        <w:trPr>
          <w:cantSplit/>
        </w:trPr>
        <w:tc>
          <w:tcPr>
            <w:tcW w:w="1458" w:type="dxa"/>
          </w:tcPr>
          <w:p w:rsidR="005D093D" w:rsidRPr="004F280C" w:rsidRDefault="005D093D" w:rsidP="00042164">
            <w:pPr>
              <w:rPr>
                <w:sz w:val="20"/>
                <w:szCs w:val="20"/>
              </w:rPr>
            </w:pPr>
            <w:r w:rsidRPr="004F280C">
              <w:rPr>
                <w:rStyle w:val="SCCFileNumberChar"/>
                <w:sz w:val="20"/>
                <w:szCs w:val="20"/>
              </w:rPr>
              <w:t>36277</w:t>
            </w:r>
          </w:p>
          <w:p w:rsidR="005D093D" w:rsidRPr="004F280C" w:rsidRDefault="005D093D" w:rsidP="00042164">
            <w:pPr>
              <w:rPr>
                <w:b/>
                <w:sz w:val="20"/>
                <w:szCs w:val="20"/>
                <w:lang w:val="fr-CA"/>
              </w:rPr>
            </w:pPr>
          </w:p>
        </w:tc>
        <w:tc>
          <w:tcPr>
            <w:tcW w:w="8118" w:type="dxa"/>
          </w:tcPr>
          <w:p w:rsidR="005D093D" w:rsidRPr="004F280C" w:rsidRDefault="005D093D" w:rsidP="00042164">
            <w:pPr>
              <w:rPr>
                <w:sz w:val="20"/>
                <w:szCs w:val="20"/>
              </w:rPr>
            </w:pPr>
            <w:r w:rsidRPr="004F280C">
              <w:rPr>
                <w:rStyle w:val="SCCLsocChar"/>
                <w:sz w:val="20"/>
                <w:szCs w:val="20"/>
                <w:lang w:val="en-CA"/>
              </w:rPr>
              <w:t>Wayne Douglas Moshenko v. Her Majesty the Queen</w:t>
            </w:r>
            <w:r w:rsidRPr="004F280C">
              <w:rPr>
                <w:sz w:val="20"/>
                <w:szCs w:val="20"/>
              </w:rPr>
              <w:t xml:space="preserve"> (Sask.) (Criminal) (By Leave)</w:t>
            </w:r>
          </w:p>
          <w:p w:rsidR="005D093D" w:rsidRPr="004F280C" w:rsidRDefault="005D093D" w:rsidP="00042164">
            <w:pPr>
              <w:rPr>
                <w:sz w:val="20"/>
                <w:szCs w:val="20"/>
              </w:rPr>
            </w:pPr>
          </w:p>
        </w:tc>
      </w:tr>
      <w:tr w:rsidR="005D093D" w:rsidRPr="004F280C" w:rsidTr="00042164">
        <w:trPr>
          <w:cantSplit/>
        </w:trPr>
        <w:tc>
          <w:tcPr>
            <w:tcW w:w="1458" w:type="dxa"/>
          </w:tcPr>
          <w:p w:rsidR="005D093D" w:rsidRPr="004F280C" w:rsidRDefault="005D093D" w:rsidP="00042164">
            <w:pPr>
              <w:rPr>
                <w:sz w:val="20"/>
                <w:szCs w:val="20"/>
              </w:rPr>
            </w:pPr>
            <w:r w:rsidRPr="004F280C">
              <w:rPr>
                <w:sz w:val="20"/>
                <w:szCs w:val="20"/>
              </w:rPr>
              <w:t>Coram :</w:t>
            </w:r>
          </w:p>
        </w:tc>
        <w:tc>
          <w:tcPr>
            <w:tcW w:w="8118" w:type="dxa"/>
          </w:tcPr>
          <w:p w:rsidR="005D093D" w:rsidRPr="004F280C" w:rsidRDefault="005D093D" w:rsidP="00042164">
            <w:pPr>
              <w:rPr>
                <w:sz w:val="20"/>
                <w:szCs w:val="20"/>
              </w:rPr>
            </w:pPr>
            <w:r w:rsidRPr="004F280C">
              <w:rPr>
                <w:rStyle w:val="SCCCoramChar"/>
                <w:sz w:val="20"/>
                <w:szCs w:val="20"/>
                <w:lang w:val="en-CA"/>
              </w:rPr>
              <w:t>McLachlin C.J. and Wagner and Gascon JJ.</w:t>
            </w:r>
          </w:p>
          <w:p w:rsidR="005D093D" w:rsidRPr="004F280C" w:rsidRDefault="005D093D" w:rsidP="00042164">
            <w:pPr>
              <w:rPr>
                <w:sz w:val="20"/>
                <w:szCs w:val="20"/>
                <w:u w:val="single"/>
              </w:rPr>
            </w:pPr>
          </w:p>
        </w:tc>
      </w:tr>
      <w:tr w:rsidR="005D093D" w:rsidRPr="007F638F" w:rsidTr="00042164">
        <w:trPr>
          <w:cantSplit/>
        </w:trPr>
        <w:tc>
          <w:tcPr>
            <w:tcW w:w="9576" w:type="dxa"/>
            <w:gridSpan w:val="2"/>
          </w:tcPr>
          <w:p w:rsidR="005D093D" w:rsidRPr="004F280C" w:rsidRDefault="005D093D" w:rsidP="00042164">
            <w:pPr>
              <w:pStyle w:val="SCCShortJudgment"/>
              <w:rPr>
                <w:szCs w:val="20"/>
              </w:rPr>
            </w:pPr>
            <w:r w:rsidRPr="004F280C">
              <w:rPr>
                <w:szCs w:val="20"/>
              </w:rPr>
              <w:t>The application for leave to appeal from the judgment of the Court of Appeal for Saskatchewan, Number CACR 2363, dated November 25, 2014, is dismissed.</w:t>
            </w:r>
          </w:p>
          <w:p w:rsidR="005D093D" w:rsidRPr="004F280C" w:rsidRDefault="005D093D" w:rsidP="00042164">
            <w:pPr>
              <w:pStyle w:val="SCCShortJudgment"/>
              <w:ind w:firstLine="0"/>
              <w:rPr>
                <w:szCs w:val="20"/>
              </w:rPr>
            </w:pPr>
          </w:p>
          <w:p w:rsidR="005D093D" w:rsidRPr="004F280C" w:rsidRDefault="005D093D" w:rsidP="00042164">
            <w:pPr>
              <w:pStyle w:val="SCCShortJudgment"/>
              <w:rPr>
                <w:szCs w:val="20"/>
                <w:lang w:val="fr-CA"/>
              </w:rPr>
            </w:pPr>
            <w:r w:rsidRPr="004F280C">
              <w:rPr>
                <w:szCs w:val="20"/>
                <w:lang w:val="fr-CA"/>
              </w:rPr>
              <w:t>La demande d’autorisation d’appel de l’arrêt de la Cour d’appel de la Saskatchewan, numéro CACR 2363, daté du 25 novembre 2014, est rejetée.</w:t>
            </w:r>
          </w:p>
        </w:tc>
      </w:tr>
    </w:tbl>
    <w:p w:rsidR="00C05442" w:rsidRPr="005D093D" w:rsidRDefault="00C05442" w:rsidP="00C05442">
      <w:pPr>
        <w:rPr>
          <w:sz w:val="20"/>
          <w:szCs w:val="20"/>
          <w:lang w:val="fr-CA"/>
        </w:rPr>
      </w:pPr>
    </w:p>
    <w:p w:rsidR="00C05442" w:rsidRPr="001B157C" w:rsidRDefault="00C05442" w:rsidP="00C05442">
      <w:pPr>
        <w:rPr>
          <w:sz w:val="20"/>
          <w:szCs w:val="20"/>
          <w:u w:val="single"/>
        </w:rPr>
      </w:pPr>
      <w:r w:rsidRPr="001B157C">
        <w:rPr>
          <w:sz w:val="20"/>
          <w:szCs w:val="20"/>
          <w:u w:val="single"/>
        </w:rPr>
        <w:t>CASE SUMMARY</w:t>
      </w:r>
    </w:p>
    <w:p w:rsidR="00C05442" w:rsidRDefault="00C05442" w:rsidP="00C054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05442" w:rsidRPr="00B92494" w:rsidTr="00AD4BE1">
        <w:tc>
          <w:tcPr>
            <w:tcW w:w="5000" w:type="pct"/>
            <w:gridSpan w:val="3"/>
          </w:tcPr>
          <w:p w:rsidR="00C05442" w:rsidRPr="00B92494" w:rsidRDefault="00C05442" w:rsidP="00AD4BE1">
            <w:pPr>
              <w:jc w:val="both"/>
              <w:rPr>
                <w:rFonts w:eastAsia="Calibri"/>
                <w:sz w:val="20"/>
                <w:szCs w:val="20"/>
              </w:rPr>
            </w:pPr>
            <w:r w:rsidRPr="00B92494">
              <w:rPr>
                <w:rFonts w:eastAsia="Calibri"/>
                <w:i/>
                <w:sz w:val="20"/>
                <w:szCs w:val="20"/>
              </w:rPr>
              <w:t>Charter of Rights</w:t>
            </w:r>
            <w:r w:rsidRPr="00B92494">
              <w:rPr>
                <w:rFonts w:eastAsia="Calibri"/>
                <w:sz w:val="20"/>
                <w:szCs w:val="20"/>
              </w:rPr>
              <w:t xml:space="preserve"> – Right to a fair hearing – Right to equality – Charge to jury – Jury selection – Whether Applicant received effective assistance from counsel at trial – Whether the learned trial judge erred in law by ordering the </w:t>
            </w:r>
            <w:r w:rsidRPr="00B92494">
              <w:rPr>
                <w:rFonts w:eastAsia="Calibri"/>
                <w:sz w:val="20"/>
                <w:szCs w:val="20"/>
              </w:rPr>
              <w:lastRenderedPageBreak/>
              <w:t>selection of talesmen from the streets of Prince Albert, Saskatchewan in order to fill the jury panel – Whether Applicant’s ss. 11(</w:t>
            </w:r>
            <w:r w:rsidRPr="00B92494">
              <w:rPr>
                <w:rFonts w:eastAsia="Calibri"/>
                <w:i/>
                <w:sz w:val="20"/>
                <w:szCs w:val="20"/>
              </w:rPr>
              <w:t>d</w:t>
            </w:r>
            <w:r w:rsidRPr="00B92494">
              <w:rPr>
                <w:rFonts w:eastAsia="Calibri"/>
                <w:sz w:val="20"/>
                <w:szCs w:val="20"/>
              </w:rPr>
              <w:t>), 11(</w:t>
            </w:r>
            <w:r w:rsidRPr="00B92494">
              <w:rPr>
                <w:rFonts w:eastAsia="Calibri"/>
                <w:i/>
                <w:sz w:val="20"/>
                <w:szCs w:val="20"/>
              </w:rPr>
              <w:t>f</w:t>
            </w:r>
            <w:r w:rsidRPr="00B92494">
              <w:rPr>
                <w:rFonts w:eastAsia="Calibri"/>
                <w:sz w:val="20"/>
                <w:szCs w:val="20"/>
              </w:rPr>
              <w:t xml:space="preserve">) and 15 </w:t>
            </w:r>
            <w:r w:rsidRPr="00B92494">
              <w:rPr>
                <w:rFonts w:eastAsia="Calibri"/>
                <w:i/>
                <w:sz w:val="20"/>
                <w:szCs w:val="20"/>
              </w:rPr>
              <w:t>Charter</w:t>
            </w:r>
            <w:r w:rsidRPr="00B92494">
              <w:rPr>
                <w:rFonts w:eastAsia="Calibri"/>
                <w:sz w:val="20"/>
                <w:szCs w:val="20"/>
              </w:rPr>
              <w:t xml:space="preserve"> rights were violated as a result of the absence of Aboriginal people on the jury panel – Whether the Applicant’s s. 11(</w:t>
            </w:r>
            <w:r w:rsidRPr="00B92494">
              <w:rPr>
                <w:rFonts w:eastAsia="Calibri"/>
                <w:i/>
                <w:sz w:val="20"/>
                <w:szCs w:val="20"/>
              </w:rPr>
              <w:t>d</w:t>
            </w:r>
            <w:r w:rsidRPr="00B92494">
              <w:rPr>
                <w:rFonts w:eastAsia="Calibri"/>
                <w:sz w:val="20"/>
                <w:szCs w:val="20"/>
              </w:rPr>
              <w:t xml:space="preserve">) </w:t>
            </w:r>
            <w:r w:rsidRPr="00B92494">
              <w:rPr>
                <w:rFonts w:eastAsia="Calibri"/>
                <w:i/>
                <w:sz w:val="20"/>
                <w:szCs w:val="20"/>
              </w:rPr>
              <w:t>Charter</w:t>
            </w:r>
            <w:r w:rsidRPr="00B92494">
              <w:rPr>
                <w:rFonts w:eastAsia="Calibri"/>
                <w:sz w:val="20"/>
                <w:szCs w:val="20"/>
              </w:rPr>
              <w:t xml:space="preserve"> right was violated as a result of the learned trial judge’s error in her charge to the jury – </w:t>
            </w:r>
            <w:r w:rsidRPr="00B92494">
              <w:rPr>
                <w:rFonts w:eastAsia="Calibri"/>
                <w:i/>
                <w:sz w:val="20"/>
                <w:szCs w:val="20"/>
              </w:rPr>
              <w:t>Charter of Rights and Freedoms</w:t>
            </w:r>
            <w:r w:rsidRPr="00B92494">
              <w:rPr>
                <w:rFonts w:eastAsia="Calibri"/>
                <w:sz w:val="20"/>
                <w:szCs w:val="20"/>
              </w:rPr>
              <w:t xml:space="preserve">, s. 11 and s. 15.  </w:t>
            </w:r>
          </w:p>
        </w:tc>
      </w:tr>
      <w:tr w:rsidR="00C05442" w:rsidRPr="00B92494" w:rsidTr="00AD4BE1">
        <w:tc>
          <w:tcPr>
            <w:tcW w:w="5000" w:type="pct"/>
            <w:gridSpan w:val="3"/>
          </w:tcPr>
          <w:p w:rsidR="00C05442" w:rsidRPr="00B92494" w:rsidRDefault="00C05442" w:rsidP="00AD4BE1">
            <w:pPr>
              <w:jc w:val="both"/>
              <w:rPr>
                <w:rFonts w:eastAsia="Calibri"/>
                <w:sz w:val="20"/>
                <w:szCs w:val="20"/>
              </w:rPr>
            </w:pPr>
          </w:p>
        </w:tc>
      </w:tr>
      <w:tr w:rsidR="00C05442" w:rsidRPr="00B92494" w:rsidTr="00AD4BE1">
        <w:tc>
          <w:tcPr>
            <w:tcW w:w="5000" w:type="pct"/>
            <w:gridSpan w:val="3"/>
          </w:tcPr>
          <w:p w:rsidR="00C05442" w:rsidRPr="00B92494" w:rsidRDefault="00C05442" w:rsidP="00AD4BE1">
            <w:pPr>
              <w:jc w:val="both"/>
              <w:rPr>
                <w:rFonts w:eastAsia="Calibri"/>
                <w:sz w:val="20"/>
                <w:szCs w:val="20"/>
              </w:rPr>
            </w:pPr>
            <w:r w:rsidRPr="00B92494">
              <w:rPr>
                <w:rFonts w:eastAsia="Calibri"/>
                <w:sz w:val="20"/>
                <w:szCs w:val="20"/>
              </w:rPr>
              <w:t xml:space="preserve">Mr. Moshenko was convicted of second degree murder, assault and breach of recognizance pertaining to a peace bond.  He was tried by a judge and jury and was sentenced to life imprisonment with no parole eligibility for a period of 15 years.  Mr. Moshenko appealed his conviction and sentence to the Court of Appeal.  The appeal was dismissed.  </w:t>
            </w:r>
          </w:p>
          <w:p w:rsidR="00C05442" w:rsidRPr="00B92494" w:rsidRDefault="00C05442" w:rsidP="00AD4BE1">
            <w:pPr>
              <w:jc w:val="both"/>
              <w:rPr>
                <w:rFonts w:eastAsia="Calibri"/>
                <w:sz w:val="20"/>
                <w:szCs w:val="20"/>
              </w:rPr>
            </w:pPr>
          </w:p>
        </w:tc>
      </w:tr>
      <w:tr w:rsidR="00C05442" w:rsidRPr="00B92494" w:rsidTr="00AD4BE1">
        <w:tc>
          <w:tcPr>
            <w:tcW w:w="2427" w:type="pct"/>
          </w:tcPr>
          <w:p w:rsidR="00C05442" w:rsidRPr="00B92494" w:rsidRDefault="00C05442" w:rsidP="00AD4BE1">
            <w:pPr>
              <w:jc w:val="both"/>
              <w:rPr>
                <w:rFonts w:eastAsia="Calibri"/>
                <w:sz w:val="20"/>
                <w:szCs w:val="20"/>
              </w:rPr>
            </w:pPr>
            <w:r w:rsidRPr="00B92494">
              <w:rPr>
                <w:rFonts w:eastAsia="Calibri"/>
                <w:sz w:val="20"/>
                <w:szCs w:val="20"/>
              </w:rPr>
              <w:t>October 8, 2013</w:t>
            </w:r>
          </w:p>
          <w:p w:rsidR="00C05442" w:rsidRPr="00B92494" w:rsidRDefault="00C05442" w:rsidP="00AD4BE1">
            <w:pPr>
              <w:jc w:val="both"/>
              <w:rPr>
                <w:rFonts w:eastAsia="Calibri"/>
                <w:sz w:val="20"/>
                <w:szCs w:val="20"/>
              </w:rPr>
            </w:pPr>
            <w:r w:rsidRPr="00B92494">
              <w:rPr>
                <w:rFonts w:eastAsia="Calibri"/>
                <w:sz w:val="20"/>
                <w:szCs w:val="20"/>
              </w:rPr>
              <w:t>Court of Queen’s Bench of Saskatchewan</w:t>
            </w:r>
          </w:p>
          <w:p w:rsidR="00C05442" w:rsidRPr="00B92494" w:rsidRDefault="00C05442" w:rsidP="00AD4BE1">
            <w:pPr>
              <w:jc w:val="both"/>
              <w:rPr>
                <w:rFonts w:eastAsia="Calibri"/>
                <w:sz w:val="20"/>
                <w:szCs w:val="20"/>
              </w:rPr>
            </w:pPr>
            <w:r w:rsidRPr="00B92494">
              <w:rPr>
                <w:rFonts w:eastAsia="Calibri"/>
                <w:sz w:val="20"/>
                <w:szCs w:val="20"/>
              </w:rPr>
              <w:t>(Rothery J.)</w:t>
            </w:r>
          </w:p>
          <w:p w:rsidR="00C05442" w:rsidRPr="00B92494" w:rsidRDefault="00C05442" w:rsidP="00AD4BE1">
            <w:pPr>
              <w:jc w:val="both"/>
              <w:rPr>
                <w:rFonts w:eastAsia="Calibri"/>
                <w:sz w:val="20"/>
                <w:szCs w:val="20"/>
              </w:rPr>
            </w:pPr>
          </w:p>
        </w:tc>
        <w:tc>
          <w:tcPr>
            <w:tcW w:w="243" w:type="pct"/>
          </w:tcPr>
          <w:p w:rsidR="00C05442" w:rsidRPr="00B92494" w:rsidRDefault="00C05442" w:rsidP="00AD4BE1">
            <w:pPr>
              <w:jc w:val="both"/>
              <w:rPr>
                <w:rFonts w:eastAsia="Calibri"/>
                <w:sz w:val="20"/>
                <w:szCs w:val="20"/>
              </w:rPr>
            </w:pPr>
          </w:p>
        </w:tc>
        <w:tc>
          <w:tcPr>
            <w:tcW w:w="2330" w:type="pct"/>
          </w:tcPr>
          <w:p w:rsidR="00C05442" w:rsidRPr="00B92494" w:rsidRDefault="00C05442" w:rsidP="00AD4BE1">
            <w:pPr>
              <w:jc w:val="both"/>
              <w:rPr>
                <w:rFonts w:eastAsia="Calibri"/>
                <w:sz w:val="20"/>
                <w:szCs w:val="20"/>
              </w:rPr>
            </w:pPr>
            <w:r w:rsidRPr="00B92494">
              <w:rPr>
                <w:rFonts w:eastAsia="Calibri"/>
                <w:sz w:val="20"/>
                <w:szCs w:val="20"/>
              </w:rPr>
              <w:t>Applicant convicted of second degree murder, assault and breach of recognizance</w:t>
            </w:r>
          </w:p>
          <w:p w:rsidR="00C05442" w:rsidRPr="00B92494" w:rsidRDefault="00C05442" w:rsidP="00AD4BE1">
            <w:pPr>
              <w:jc w:val="both"/>
              <w:rPr>
                <w:rFonts w:eastAsia="Calibri"/>
                <w:sz w:val="20"/>
                <w:szCs w:val="20"/>
              </w:rPr>
            </w:pPr>
          </w:p>
        </w:tc>
      </w:tr>
      <w:tr w:rsidR="00C05442" w:rsidRPr="00B92494" w:rsidTr="00AD4BE1">
        <w:tc>
          <w:tcPr>
            <w:tcW w:w="2427" w:type="pct"/>
          </w:tcPr>
          <w:p w:rsidR="00C05442" w:rsidRPr="00B92494" w:rsidRDefault="00C05442" w:rsidP="00AD4BE1">
            <w:pPr>
              <w:jc w:val="both"/>
              <w:rPr>
                <w:rFonts w:eastAsia="Calibri"/>
                <w:sz w:val="20"/>
                <w:szCs w:val="20"/>
              </w:rPr>
            </w:pPr>
            <w:r w:rsidRPr="00B92494">
              <w:rPr>
                <w:rFonts w:eastAsia="Calibri"/>
                <w:sz w:val="20"/>
                <w:szCs w:val="20"/>
              </w:rPr>
              <w:t>November 25, 2014</w:t>
            </w:r>
          </w:p>
          <w:p w:rsidR="00C05442" w:rsidRPr="00B92494" w:rsidRDefault="00C05442" w:rsidP="00AD4BE1">
            <w:pPr>
              <w:jc w:val="both"/>
              <w:rPr>
                <w:rFonts w:eastAsia="Calibri"/>
                <w:sz w:val="20"/>
                <w:szCs w:val="20"/>
              </w:rPr>
            </w:pPr>
            <w:r w:rsidRPr="00B92494">
              <w:rPr>
                <w:rFonts w:eastAsia="Calibri"/>
                <w:sz w:val="20"/>
                <w:szCs w:val="20"/>
              </w:rPr>
              <w:t>Court of Appeal for Saskatchewan</w:t>
            </w:r>
          </w:p>
          <w:p w:rsidR="00C05442" w:rsidRPr="00B92494" w:rsidRDefault="00C05442" w:rsidP="00AD4BE1">
            <w:pPr>
              <w:jc w:val="both"/>
              <w:rPr>
                <w:rFonts w:eastAsia="Calibri"/>
                <w:sz w:val="20"/>
                <w:szCs w:val="20"/>
              </w:rPr>
            </w:pPr>
            <w:r w:rsidRPr="00B92494">
              <w:rPr>
                <w:rFonts w:eastAsia="Calibri"/>
                <w:sz w:val="20"/>
                <w:szCs w:val="20"/>
              </w:rPr>
              <w:t>(Richards, Lane and Herauf JJ.A.)</w:t>
            </w:r>
          </w:p>
          <w:p w:rsidR="00C05442" w:rsidRPr="00B92494" w:rsidRDefault="00C05442" w:rsidP="00AD4BE1">
            <w:pPr>
              <w:jc w:val="both"/>
              <w:rPr>
                <w:rFonts w:eastAsia="Calibri"/>
                <w:sz w:val="20"/>
                <w:szCs w:val="20"/>
              </w:rPr>
            </w:pPr>
            <w:r w:rsidRPr="00B92494">
              <w:rPr>
                <w:rFonts w:eastAsia="Calibri"/>
                <w:sz w:val="20"/>
                <w:szCs w:val="20"/>
              </w:rPr>
              <w:t>CACR 2363</w:t>
            </w:r>
          </w:p>
          <w:p w:rsidR="00C05442" w:rsidRPr="00B92494" w:rsidRDefault="00C05442" w:rsidP="00AD4BE1">
            <w:pPr>
              <w:jc w:val="both"/>
              <w:rPr>
                <w:rFonts w:eastAsia="Calibri"/>
                <w:sz w:val="20"/>
                <w:szCs w:val="20"/>
              </w:rPr>
            </w:pPr>
          </w:p>
        </w:tc>
        <w:tc>
          <w:tcPr>
            <w:tcW w:w="243" w:type="pct"/>
          </w:tcPr>
          <w:p w:rsidR="00C05442" w:rsidRPr="00B92494" w:rsidRDefault="00C05442" w:rsidP="00AD4BE1">
            <w:pPr>
              <w:jc w:val="both"/>
              <w:rPr>
                <w:rFonts w:eastAsia="Calibri"/>
                <w:sz w:val="20"/>
                <w:szCs w:val="20"/>
              </w:rPr>
            </w:pPr>
          </w:p>
        </w:tc>
        <w:tc>
          <w:tcPr>
            <w:tcW w:w="2330" w:type="pct"/>
          </w:tcPr>
          <w:p w:rsidR="00C05442" w:rsidRPr="00B92494" w:rsidRDefault="00C05442" w:rsidP="00AD4BE1">
            <w:pPr>
              <w:jc w:val="both"/>
              <w:rPr>
                <w:rFonts w:eastAsia="Calibri"/>
                <w:sz w:val="20"/>
                <w:szCs w:val="20"/>
              </w:rPr>
            </w:pPr>
            <w:r w:rsidRPr="00B92494">
              <w:rPr>
                <w:rFonts w:eastAsia="Calibri"/>
                <w:sz w:val="20"/>
                <w:szCs w:val="20"/>
              </w:rPr>
              <w:t>Appeal dismissed</w:t>
            </w:r>
          </w:p>
          <w:p w:rsidR="00C05442" w:rsidRPr="00B92494" w:rsidRDefault="00C05442" w:rsidP="00AD4BE1">
            <w:pPr>
              <w:jc w:val="both"/>
              <w:rPr>
                <w:rFonts w:eastAsia="Calibri"/>
                <w:sz w:val="20"/>
                <w:szCs w:val="20"/>
              </w:rPr>
            </w:pPr>
          </w:p>
        </w:tc>
      </w:tr>
      <w:tr w:rsidR="00C05442" w:rsidRPr="00B92494" w:rsidTr="00AD4BE1">
        <w:tc>
          <w:tcPr>
            <w:tcW w:w="2427" w:type="pct"/>
          </w:tcPr>
          <w:p w:rsidR="00C05442" w:rsidRPr="00B92494" w:rsidRDefault="00C05442" w:rsidP="00AD4BE1">
            <w:pPr>
              <w:jc w:val="both"/>
              <w:rPr>
                <w:rFonts w:eastAsia="Calibri"/>
                <w:sz w:val="20"/>
                <w:szCs w:val="20"/>
              </w:rPr>
            </w:pPr>
            <w:r w:rsidRPr="00B92494">
              <w:rPr>
                <w:rFonts w:eastAsia="Calibri"/>
                <w:sz w:val="20"/>
                <w:szCs w:val="20"/>
              </w:rPr>
              <w:t>January 26, 2015</w:t>
            </w:r>
          </w:p>
          <w:p w:rsidR="00C05442" w:rsidRPr="00B92494" w:rsidRDefault="00C05442" w:rsidP="00AD4BE1">
            <w:pPr>
              <w:jc w:val="both"/>
              <w:rPr>
                <w:rFonts w:eastAsia="Calibri"/>
                <w:sz w:val="20"/>
                <w:szCs w:val="20"/>
              </w:rPr>
            </w:pPr>
            <w:r w:rsidRPr="00B92494">
              <w:rPr>
                <w:rFonts w:eastAsia="Calibri"/>
                <w:sz w:val="20"/>
                <w:szCs w:val="20"/>
              </w:rPr>
              <w:t>Supreme Court of Canada</w:t>
            </w:r>
          </w:p>
        </w:tc>
        <w:tc>
          <w:tcPr>
            <w:tcW w:w="243" w:type="pct"/>
          </w:tcPr>
          <w:p w:rsidR="00C05442" w:rsidRPr="00B92494" w:rsidRDefault="00C05442" w:rsidP="00AD4BE1">
            <w:pPr>
              <w:jc w:val="both"/>
              <w:rPr>
                <w:rFonts w:eastAsia="Calibri"/>
                <w:sz w:val="20"/>
                <w:szCs w:val="20"/>
              </w:rPr>
            </w:pPr>
          </w:p>
        </w:tc>
        <w:tc>
          <w:tcPr>
            <w:tcW w:w="2330" w:type="pct"/>
          </w:tcPr>
          <w:p w:rsidR="00C05442" w:rsidRPr="00B92494" w:rsidRDefault="00C05442" w:rsidP="00AD4BE1">
            <w:pPr>
              <w:jc w:val="both"/>
              <w:rPr>
                <w:rFonts w:eastAsia="Calibri"/>
                <w:sz w:val="20"/>
                <w:szCs w:val="20"/>
              </w:rPr>
            </w:pPr>
            <w:r w:rsidRPr="00B92494">
              <w:rPr>
                <w:rFonts w:eastAsia="Calibri"/>
                <w:sz w:val="20"/>
                <w:szCs w:val="20"/>
              </w:rPr>
              <w:t>Application for leave to appeal filed</w:t>
            </w:r>
          </w:p>
        </w:tc>
      </w:tr>
    </w:tbl>
    <w:p w:rsidR="00C05442" w:rsidRDefault="00C05442" w:rsidP="00C05442">
      <w:pPr>
        <w:rPr>
          <w:sz w:val="20"/>
          <w:szCs w:val="20"/>
        </w:rPr>
      </w:pPr>
    </w:p>
    <w:p w:rsidR="00C05442" w:rsidRPr="00C50A5C" w:rsidRDefault="007F638F" w:rsidP="00C05442">
      <w:pPr>
        <w:rPr>
          <w:sz w:val="20"/>
          <w:szCs w:val="20"/>
        </w:rPr>
      </w:pPr>
      <w:r>
        <w:rPr>
          <w:sz w:val="20"/>
          <w:szCs w:val="20"/>
          <w:lang w:val="fr-CA"/>
        </w:rPr>
        <w:pict>
          <v:rect id="_x0000_i1036" style="width:2in;height:1pt" o:hrpct="0" o:hralign="center" o:hrstd="t" o:hrnoshade="t" o:hr="t" fillcolor="black [3213]" stroked="f"/>
        </w:pict>
      </w:r>
    </w:p>
    <w:p w:rsidR="00C05442" w:rsidRDefault="00C05442" w:rsidP="00C05442">
      <w:pPr>
        <w:rPr>
          <w:sz w:val="20"/>
          <w:szCs w:val="20"/>
        </w:rPr>
      </w:pPr>
    </w:p>
    <w:p w:rsidR="00C05442" w:rsidRPr="001B157C" w:rsidRDefault="00C05442" w:rsidP="00C05442">
      <w:pPr>
        <w:rPr>
          <w:sz w:val="20"/>
          <w:szCs w:val="20"/>
          <w:u w:val="single"/>
          <w:lang w:val="fr-CA"/>
        </w:rPr>
      </w:pPr>
      <w:r w:rsidRPr="001B157C">
        <w:rPr>
          <w:sz w:val="20"/>
          <w:szCs w:val="20"/>
          <w:u w:val="single"/>
          <w:lang w:val="fr-CA"/>
        </w:rPr>
        <w:t>RÉSUMÉ DE L’AFFAIRE</w:t>
      </w:r>
    </w:p>
    <w:p w:rsidR="00C05442" w:rsidRDefault="00C05442" w:rsidP="00C054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05442" w:rsidRPr="007F638F" w:rsidTr="00AD4BE1">
        <w:tc>
          <w:tcPr>
            <w:tcW w:w="5000" w:type="pct"/>
            <w:gridSpan w:val="3"/>
          </w:tcPr>
          <w:p w:rsidR="00C05442" w:rsidRPr="00B92494" w:rsidRDefault="00C05442" w:rsidP="00AD4BE1">
            <w:pPr>
              <w:jc w:val="both"/>
              <w:rPr>
                <w:rFonts w:eastAsia="Calibri"/>
                <w:sz w:val="20"/>
                <w:szCs w:val="20"/>
                <w:lang w:val="fr-CA"/>
              </w:rPr>
            </w:pPr>
            <w:r w:rsidRPr="00B92494">
              <w:rPr>
                <w:rFonts w:eastAsia="Calibri"/>
                <w:i/>
                <w:sz w:val="20"/>
                <w:szCs w:val="20"/>
                <w:lang w:val="fr-CA"/>
              </w:rPr>
              <w:t>Charte des droits</w:t>
            </w:r>
            <w:r w:rsidRPr="00B92494">
              <w:rPr>
                <w:rFonts w:eastAsia="Calibri"/>
                <w:sz w:val="20"/>
                <w:szCs w:val="20"/>
                <w:lang w:val="fr-CA"/>
              </w:rPr>
              <w:t xml:space="preserve"> – Procès équitable – Droit à l’égalité – Exposé au jury – Sélection du jury – Le demandeur a-t-il reçu une assistance efficace de son avocat au procès? – La juge du procès a-t-elle commis une erreur de droit en ordonnant la sélection de jurés </w:t>
            </w:r>
            <w:r w:rsidRPr="00B92494">
              <w:rPr>
                <w:rFonts w:eastAsia="Calibri"/>
                <w:i/>
                <w:sz w:val="20"/>
                <w:szCs w:val="20"/>
                <w:lang w:val="fr-CA"/>
              </w:rPr>
              <w:t>ad hoc</w:t>
            </w:r>
            <w:r w:rsidRPr="00B92494">
              <w:rPr>
                <w:rFonts w:eastAsia="Calibri"/>
                <w:sz w:val="20"/>
                <w:szCs w:val="20"/>
                <w:lang w:val="fr-CA"/>
              </w:rPr>
              <w:t xml:space="preserve"> convoqués dans les rues de Prince Albert (Saskatchewan) afin de compléter le jury? – Les droits que les art. 11</w:t>
            </w:r>
            <w:r w:rsidRPr="00B92494">
              <w:rPr>
                <w:rFonts w:eastAsia="Calibri"/>
                <w:i/>
                <w:sz w:val="20"/>
                <w:szCs w:val="20"/>
                <w:lang w:val="fr-CA"/>
              </w:rPr>
              <w:t>d</w:t>
            </w:r>
            <w:r w:rsidRPr="00B92494">
              <w:rPr>
                <w:rFonts w:eastAsia="Calibri"/>
                <w:sz w:val="20"/>
                <w:szCs w:val="20"/>
                <w:lang w:val="fr-CA"/>
              </w:rPr>
              <w:t>), 11</w:t>
            </w:r>
            <w:r w:rsidRPr="00B92494">
              <w:rPr>
                <w:rFonts w:eastAsia="Calibri"/>
                <w:i/>
                <w:sz w:val="20"/>
                <w:szCs w:val="20"/>
                <w:lang w:val="fr-CA"/>
              </w:rPr>
              <w:t>f</w:t>
            </w:r>
            <w:r w:rsidRPr="00B92494">
              <w:rPr>
                <w:rFonts w:eastAsia="Calibri"/>
                <w:sz w:val="20"/>
                <w:szCs w:val="20"/>
                <w:lang w:val="fr-CA"/>
              </w:rPr>
              <w:t xml:space="preserve">) et 15 de la </w:t>
            </w:r>
            <w:r w:rsidRPr="00B92494">
              <w:rPr>
                <w:rFonts w:eastAsia="Calibri"/>
                <w:i/>
                <w:sz w:val="20"/>
                <w:szCs w:val="20"/>
                <w:lang w:val="fr-CA"/>
              </w:rPr>
              <w:t>Charte</w:t>
            </w:r>
            <w:r w:rsidRPr="00B92494">
              <w:rPr>
                <w:rFonts w:eastAsia="Calibri"/>
                <w:sz w:val="20"/>
                <w:szCs w:val="20"/>
                <w:lang w:val="fr-CA"/>
              </w:rPr>
              <w:t xml:space="preserve"> garantissent au demandeur ont-ils été violés du fait qu’il ne se trouvait aucun Autochtone sur le jury? – Le droit que l’al. 11</w:t>
            </w:r>
            <w:r w:rsidRPr="00B92494">
              <w:rPr>
                <w:rFonts w:eastAsia="Calibri"/>
                <w:i/>
                <w:sz w:val="20"/>
                <w:szCs w:val="20"/>
                <w:lang w:val="fr-CA"/>
              </w:rPr>
              <w:t>d</w:t>
            </w:r>
            <w:r w:rsidRPr="00B92494">
              <w:rPr>
                <w:rFonts w:eastAsia="Calibri"/>
                <w:sz w:val="20"/>
                <w:szCs w:val="20"/>
                <w:lang w:val="fr-CA"/>
              </w:rPr>
              <w:t xml:space="preserve">) de la </w:t>
            </w:r>
            <w:r w:rsidRPr="00B92494">
              <w:rPr>
                <w:rFonts w:eastAsia="Calibri"/>
                <w:i/>
                <w:sz w:val="20"/>
                <w:szCs w:val="20"/>
                <w:lang w:val="fr-CA"/>
              </w:rPr>
              <w:t>Charte</w:t>
            </w:r>
            <w:r w:rsidRPr="00B92494">
              <w:rPr>
                <w:rFonts w:eastAsia="Calibri"/>
                <w:sz w:val="20"/>
                <w:szCs w:val="20"/>
                <w:lang w:val="fr-CA"/>
              </w:rPr>
              <w:t xml:space="preserve"> garantit au demandeur a-t-il été violé en raison de l’erreur commise par la juge du procès dans son exposé au jury? – </w:t>
            </w:r>
            <w:r w:rsidRPr="00B92494">
              <w:rPr>
                <w:rFonts w:eastAsia="Calibri"/>
                <w:i/>
                <w:sz w:val="20"/>
                <w:szCs w:val="20"/>
                <w:lang w:val="fr-CA"/>
              </w:rPr>
              <w:t>Charte des droits et libertés</w:t>
            </w:r>
            <w:r w:rsidRPr="00B92494">
              <w:rPr>
                <w:rFonts w:eastAsia="Calibri"/>
                <w:sz w:val="20"/>
                <w:szCs w:val="20"/>
                <w:lang w:val="fr-CA"/>
              </w:rPr>
              <w:t xml:space="preserve">, art. 11 et 15.  </w:t>
            </w:r>
          </w:p>
        </w:tc>
      </w:tr>
      <w:tr w:rsidR="00C05442" w:rsidRPr="007F638F" w:rsidTr="00AD4BE1">
        <w:tc>
          <w:tcPr>
            <w:tcW w:w="5000" w:type="pct"/>
            <w:gridSpan w:val="3"/>
          </w:tcPr>
          <w:p w:rsidR="00C05442" w:rsidRPr="00B92494" w:rsidRDefault="00C05442" w:rsidP="00AD4BE1">
            <w:pPr>
              <w:jc w:val="both"/>
              <w:rPr>
                <w:rFonts w:eastAsia="Calibri"/>
                <w:sz w:val="20"/>
                <w:szCs w:val="20"/>
                <w:lang w:val="fr-CA"/>
              </w:rPr>
            </w:pPr>
          </w:p>
        </w:tc>
      </w:tr>
      <w:tr w:rsidR="00C05442" w:rsidRPr="00B92494" w:rsidTr="00AD4BE1">
        <w:tc>
          <w:tcPr>
            <w:tcW w:w="5000" w:type="pct"/>
            <w:gridSpan w:val="3"/>
          </w:tcPr>
          <w:p w:rsidR="00C05442" w:rsidRPr="00B92494" w:rsidRDefault="00C05442" w:rsidP="00AD4BE1">
            <w:pPr>
              <w:jc w:val="both"/>
              <w:rPr>
                <w:rFonts w:eastAsia="Calibri"/>
                <w:sz w:val="20"/>
                <w:szCs w:val="20"/>
                <w:lang w:val="fr-CA"/>
              </w:rPr>
            </w:pPr>
            <w:r w:rsidRPr="00B92494">
              <w:rPr>
                <w:rFonts w:eastAsia="Calibri"/>
                <w:sz w:val="20"/>
                <w:szCs w:val="20"/>
                <w:lang w:val="fr-CA"/>
              </w:rPr>
              <w:t xml:space="preserve">Monsieur Moshenko a été déclaré coupable de meurtre au deuxième degré, de voies de fait et de manquement à l’engagement de ne pas troubler l’ordre public.  À l’issue d’un procès devant juge et jury, il a été condamné à l’emprisonnement à perpétuité sans possibilité de libération conditionnelle avant quinze ans.  Monsieur Moshenko a interjeté appel de sa déclaration de culpabilité et de sa peine à la Cour d’appel.  L’appel a été rejeté.  </w:t>
            </w:r>
          </w:p>
          <w:p w:rsidR="00C05442" w:rsidRPr="00B92494" w:rsidRDefault="00C05442" w:rsidP="00AD4BE1">
            <w:pPr>
              <w:jc w:val="both"/>
              <w:rPr>
                <w:rFonts w:eastAsia="Calibri"/>
                <w:sz w:val="20"/>
                <w:szCs w:val="20"/>
                <w:lang w:val="fr-CA"/>
              </w:rPr>
            </w:pPr>
          </w:p>
        </w:tc>
      </w:tr>
      <w:tr w:rsidR="00C05442" w:rsidRPr="0063742E" w:rsidTr="00AD4BE1">
        <w:tc>
          <w:tcPr>
            <w:tcW w:w="2427" w:type="pct"/>
          </w:tcPr>
          <w:p w:rsidR="00C05442" w:rsidRPr="00B92494" w:rsidRDefault="00C05442" w:rsidP="00AD4BE1">
            <w:pPr>
              <w:jc w:val="both"/>
              <w:rPr>
                <w:rFonts w:eastAsia="Calibri"/>
                <w:sz w:val="20"/>
                <w:szCs w:val="20"/>
                <w:lang w:val="fr-CA"/>
              </w:rPr>
            </w:pPr>
            <w:r w:rsidRPr="00B92494">
              <w:rPr>
                <w:rFonts w:eastAsia="Calibri"/>
                <w:sz w:val="20"/>
                <w:szCs w:val="20"/>
                <w:lang w:val="fr-CA"/>
              </w:rPr>
              <w:t>8 octobre 2013</w:t>
            </w:r>
          </w:p>
          <w:p w:rsidR="00C05442" w:rsidRPr="00B92494" w:rsidRDefault="00C05442" w:rsidP="00AD4BE1">
            <w:pPr>
              <w:jc w:val="both"/>
              <w:rPr>
                <w:rFonts w:eastAsia="Calibri"/>
                <w:sz w:val="20"/>
                <w:szCs w:val="20"/>
                <w:lang w:val="fr-CA"/>
              </w:rPr>
            </w:pPr>
            <w:r w:rsidRPr="00B92494">
              <w:rPr>
                <w:rFonts w:eastAsia="Calibri"/>
                <w:sz w:val="20"/>
                <w:szCs w:val="20"/>
                <w:lang w:val="fr-CA"/>
              </w:rPr>
              <w:t>Cour du Banc de la Reine de la Saskatchewan</w:t>
            </w:r>
          </w:p>
          <w:p w:rsidR="00C05442" w:rsidRPr="00B92494" w:rsidRDefault="00C05442" w:rsidP="00AD4BE1">
            <w:pPr>
              <w:jc w:val="both"/>
              <w:rPr>
                <w:rFonts w:eastAsia="Calibri"/>
                <w:sz w:val="20"/>
                <w:szCs w:val="20"/>
                <w:lang w:val="fr-CA"/>
              </w:rPr>
            </w:pPr>
            <w:r w:rsidRPr="00B92494">
              <w:rPr>
                <w:rFonts w:eastAsia="Calibri"/>
                <w:sz w:val="20"/>
                <w:szCs w:val="20"/>
                <w:lang w:val="fr-CA"/>
              </w:rPr>
              <w:t>(Juge Rothery)</w:t>
            </w:r>
          </w:p>
          <w:p w:rsidR="00C05442" w:rsidRPr="00B92494" w:rsidRDefault="00C05442" w:rsidP="00AD4BE1">
            <w:pPr>
              <w:jc w:val="both"/>
              <w:rPr>
                <w:rFonts w:eastAsia="Calibri"/>
                <w:sz w:val="20"/>
                <w:szCs w:val="20"/>
                <w:lang w:val="fr-CA"/>
              </w:rPr>
            </w:pPr>
          </w:p>
        </w:tc>
        <w:tc>
          <w:tcPr>
            <w:tcW w:w="243" w:type="pct"/>
          </w:tcPr>
          <w:p w:rsidR="00C05442" w:rsidRPr="00B92494" w:rsidRDefault="00C05442" w:rsidP="00AD4BE1">
            <w:pPr>
              <w:jc w:val="both"/>
              <w:rPr>
                <w:rFonts w:eastAsia="Calibri"/>
                <w:sz w:val="20"/>
                <w:szCs w:val="20"/>
                <w:lang w:val="fr-CA"/>
              </w:rPr>
            </w:pPr>
          </w:p>
        </w:tc>
        <w:tc>
          <w:tcPr>
            <w:tcW w:w="2330" w:type="pct"/>
          </w:tcPr>
          <w:p w:rsidR="00C05442" w:rsidRPr="00B92494" w:rsidRDefault="00C05442" w:rsidP="00AD4BE1">
            <w:pPr>
              <w:jc w:val="both"/>
              <w:rPr>
                <w:rFonts w:eastAsia="Calibri"/>
                <w:sz w:val="20"/>
                <w:szCs w:val="20"/>
                <w:lang w:val="fr-CA"/>
              </w:rPr>
            </w:pPr>
            <w:r w:rsidRPr="00B92494">
              <w:rPr>
                <w:rFonts w:eastAsia="Calibri"/>
                <w:sz w:val="20"/>
                <w:szCs w:val="20"/>
                <w:lang w:val="fr-CA"/>
              </w:rPr>
              <w:t xml:space="preserve">Déclaration de culpabilité de meurtre au deuxième degré, de voies de fait et de manquement à un engagement </w:t>
            </w:r>
          </w:p>
        </w:tc>
      </w:tr>
      <w:tr w:rsidR="00C05442" w:rsidRPr="00B92494" w:rsidTr="00AD4BE1">
        <w:tc>
          <w:tcPr>
            <w:tcW w:w="2427" w:type="pct"/>
          </w:tcPr>
          <w:p w:rsidR="00C05442" w:rsidRPr="00B92494" w:rsidRDefault="00C05442" w:rsidP="00AD4BE1">
            <w:pPr>
              <w:jc w:val="both"/>
              <w:rPr>
                <w:rFonts w:eastAsia="Calibri"/>
                <w:sz w:val="20"/>
                <w:szCs w:val="20"/>
                <w:lang w:val="fr-CA"/>
              </w:rPr>
            </w:pPr>
            <w:r w:rsidRPr="00B92494">
              <w:rPr>
                <w:rFonts w:eastAsia="Calibri"/>
                <w:sz w:val="20"/>
                <w:szCs w:val="20"/>
                <w:lang w:val="fr-CA"/>
              </w:rPr>
              <w:t>25 novembre 2014</w:t>
            </w:r>
          </w:p>
          <w:p w:rsidR="00C05442" w:rsidRPr="00B92494" w:rsidRDefault="00C05442" w:rsidP="00AD4BE1">
            <w:pPr>
              <w:jc w:val="both"/>
              <w:rPr>
                <w:rFonts w:eastAsia="Calibri"/>
                <w:sz w:val="20"/>
                <w:szCs w:val="20"/>
                <w:lang w:val="fr-CA"/>
              </w:rPr>
            </w:pPr>
            <w:r w:rsidRPr="00B92494">
              <w:rPr>
                <w:rFonts w:eastAsia="Calibri"/>
                <w:sz w:val="20"/>
                <w:szCs w:val="20"/>
                <w:lang w:val="fr-CA"/>
              </w:rPr>
              <w:t>Cour d’appel de la Saskatchewan</w:t>
            </w:r>
          </w:p>
          <w:p w:rsidR="00C05442" w:rsidRPr="00B92494" w:rsidRDefault="00C05442" w:rsidP="00AD4BE1">
            <w:pPr>
              <w:jc w:val="both"/>
              <w:rPr>
                <w:rFonts w:eastAsia="Calibri"/>
                <w:sz w:val="20"/>
                <w:szCs w:val="20"/>
                <w:lang w:val="fr-CA"/>
              </w:rPr>
            </w:pPr>
            <w:r w:rsidRPr="00B92494">
              <w:rPr>
                <w:rFonts w:eastAsia="Calibri"/>
                <w:sz w:val="20"/>
                <w:szCs w:val="20"/>
                <w:lang w:val="fr-CA"/>
              </w:rPr>
              <w:t>(Juges Richards, Lane et Herauf)</w:t>
            </w:r>
          </w:p>
          <w:p w:rsidR="00C05442" w:rsidRPr="00B92494" w:rsidRDefault="00C05442" w:rsidP="00AD4BE1">
            <w:pPr>
              <w:jc w:val="both"/>
              <w:rPr>
                <w:rFonts w:eastAsia="Calibri"/>
                <w:sz w:val="20"/>
                <w:szCs w:val="20"/>
                <w:lang w:val="fr-CA"/>
              </w:rPr>
            </w:pPr>
            <w:r w:rsidRPr="00B92494">
              <w:rPr>
                <w:rFonts w:eastAsia="Calibri"/>
                <w:sz w:val="20"/>
                <w:szCs w:val="20"/>
                <w:lang w:val="fr-CA"/>
              </w:rPr>
              <w:t>CACR 2363</w:t>
            </w:r>
          </w:p>
          <w:p w:rsidR="00C05442" w:rsidRPr="00B92494" w:rsidRDefault="00C05442" w:rsidP="00AD4BE1">
            <w:pPr>
              <w:jc w:val="both"/>
              <w:rPr>
                <w:rFonts w:eastAsia="Calibri"/>
                <w:sz w:val="20"/>
                <w:szCs w:val="20"/>
                <w:lang w:val="fr-CA"/>
              </w:rPr>
            </w:pPr>
          </w:p>
        </w:tc>
        <w:tc>
          <w:tcPr>
            <w:tcW w:w="243" w:type="pct"/>
          </w:tcPr>
          <w:p w:rsidR="00C05442" w:rsidRPr="00B92494" w:rsidRDefault="00C05442" w:rsidP="00AD4BE1">
            <w:pPr>
              <w:jc w:val="both"/>
              <w:rPr>
                <w:rFonts w:eastAsia="Calibri"/>
                <w:sz w:val="20"/>
                <w:szCs w:val="20"/>
                <w:lang w:val="fr-CA"/>
              </w:rPr>
            </w:pPr>
          </w:p>
        </w:tc>
        <w:tc>
          <w:tcPr>
            <w:tcW w:w="2330" w:type="pct"/>
          </w:tcPr>
          <w:p w:rsidR="00C05442" w:rsidRPr="00B92494" w:rsidRDefault="00C05442" w:rsidP="00AD4BE1">
            <w:pPr>
              <w:jc w:val="both"/>
              <w:rPr>
                <w:rFonts w:eastAsia="Calibri"/>
                <w:sz w:val="20"/>
                <w:szCs w:val="20"/>
                <w:lang w:val="fr-CA"/>
              </w:rPr>
            </w:pPr>
            <w:r w:rsidRPr="00B92494">
              <w:rPr>
                <w:rFonts w:eastAsia="Calibri"/>
                <w:sz w:val="20"/>
                <w:szCs w:val="20"/>
                <w:lang w:val="fr-CA"/>
              </w:rPr>
              <w:t>Rejet de l’appel</w:t>
            </w:r>
          </w:p>
          <w:p w:rsidR="00C05442" w:rsidRPr="00B92494" w:rsidRDefault="00C05442" w:rsidP="00AD4BE1">
            <w:pPr>
              <w:jc w:val="both"/>
              <w:rPr>
                <w:rFonts w:eastAsia="Calibri"/>
                <w:sz w:val="20"/>
                <w:szCs w:val="20"/>
                <w:lang w:val="fr-CA"/>
              </w:rPr>
            </w:pPr>
          </w:p>
        </w:tc>
      </w:tr>
    </w:tbl>
    <w:p w:rsidR="005D093D" w:rsidRDefault="005D093D">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05442" w:rsidRPr="0063742E" w:rsidTr="005D093D">
        <w:trPr>
          <w:cantSplit/>
        </w:trPr>
        <w:tc>
          <w:tcPr>
            <w:tcW w:w="2427" w:type="pct"/>
          </w:tcPr>
          <w:p w:rsidR="00C05442" w:rsidRPr="00B92494" w:rsidRDefault="00C05442" w:rsidP="00AD4BE1">
            <w:pPr>
              <w:jc w:val="both"/>
              <w:rPr>
                <w:rFonts w:eastAsia="Calibri"/>
                <w:sz w:val="20"/>
                <w:szCs w:val="20"/>
                <w:lang w:val="fr-CA"/>
              </w:rPr>
            </w:pPr>
            <w:r w:rsidRPr="00B92494">
              <w:rPr>
                <w:rFonts w:eastAsia="Calibri"/>
                <w:sz w:val="20"/>
                <w:szCs w:val="20"/>
                <w:lang w:val="fr-CA"/>
              </w:rPr>
              <w:lastRenderedPageBreak/>
              <w:t>26 janvier 2015</w:t>
            </w:r>
          </w:p>
          <w:p w:rsidR="00C05442" w:rsidRPr="00B92494" w:rsidRDefault="00C05442" w:rsidP="00AD4BE1">
            <w:pPr>
              <w:jc w:val="both"/>
              <w:rPr>
                <w:rFonts w:eastAsia="Calibri"/>
                <w:sz w:val="20"/>
                <w:szCs w:val="20"/>
                <w:lang w:val="fr-CA"/>
              </w:rPr>
            </w:pPr>
            <w:r w:rsidRPr="00B92494">
              <w:rPr>
                <w:rFonts w:eastAsia="Calibri"/>
                <w:sz w:val="20"/>
                <w:szCs w:val="20"/>
                <w:lang w:val="fr-CA"/>
              </w:rPr>
              <w:t>Cour suprême du Canada</w:t>
            </w:r>
          </w:p>
        </w:tc>
        <w:tc>
          <w:tcPr>
            <w:tcW w:w="243" w:type="pct"/>
          </w:tcPr>
          <w:p w:rsidR="00C05442" w:rsidRPr="00B92494" w:rsidRDefault="00C05442" w:rsidP="00AD4BE1">
            <w:pPr>
              <w:jc w:val="both"/>
              <w:rPr>
                <w:rFonts w:eastAsia="Calibri"/>
                <w:sz w:val="20"/>
                <w:szCs w:val="20"/>
                <w:lang w:val="fr-CA"/>
              </w:rPr>
            </w:pPr>
          </w:p>
        </w:tc>
        <w:tc>
          <w:tcPr>
            <w:tcW w:w="2330" w:type="pct"/>
          </w:tcPr>
          <w:p w:rsidR="00C05442" w:rsidRPr="00B92494" w:rsidRDefault="00C05442" w:rsidP="00AD4BE1">
            <w:pPr>
              <w:jc w:val="both"/>
              <w:rPr>
                <w:rFonts w:eastAsia="Calibri"/>
                <w:sz w:val="20"/>
                <w:szCs w:val="20"/>
                <w:lang w:val="fr-CA"/>
              </w:rPr>
            </w:pPr>
            <w:r w:rsidRPr="00B92494">
              <w:rPr>
                <w:rFonts w:eastAsia="Calibri"/>
                <w:sz w:val="20"/>
                <w:szCs w:val="20"/>
                <w:lang w:val="fr-CA"/>
              </w:rPr>
              <w:t>Dépôt de la demande d’autorisation d’appel</w:t>
            </w:r>
          </w:p>
          <w:p w:rsidR="00C05442" w:rsidRPr="00B92494" w:rsidRDefault="00C05442" w:rsidP="00AD4BE1">
            <w:pPr>
              <w:jc w:val="both"/>
              <w:rPr>
                <w:rFonts w:eastAsia="Calibri"/>
                <w:sz w:val="20"/>
                <w:szCs w:val="20"/>
                <w:lang w:val="fr-CA"/>
              </w:rPr>
            </w:pPr>
          </w:p>
        </w:tc>
      </w:tr>
    </w:tbl>
    <w:p w:rsidR="00C05442" w:rsidRPr="00C05442" w:rsidRDefault="00C05442" w:rsidP="00C05442">
      <w:pPr>
        <w:rPr>
          <w:sz w:val="20"/>
          <w:szCs w:val="20"/>
          <w:lang w:val="fr-CA"/>
        </w:rPr>
      </w:pPr>
    </w:p>
    <w:p w:rsidR="00C05442" w:rsidRDefault="007F638F" w:rsidP="00C05442">
      <w:pPr>
        <w:rPr>
          <w:sz w:val="20"/>
          <w:szCs w:val="20"/>
          <w:lang w:val="fr-CA"/>
        </w:rPr>
      </w:pPr>
      <w:r>
        <w:rPr>
          <w:sz w:val="20"/>
          <w:szCs w:val="20"/>
          <w:lang w:val="fr-CA"/>
        </w:rPr>
        <w:pict>
          <v:rect id="_x0000_i1037" style="width:2in;height:1pt" o:hrpct="0" o:hralign="center" o:hrstd="t" o:hrnoshade="t" o:hr="t" fillcolor="black [3213]" stroked="f"/>
        </w:pict>
      </w:r>
    </w:p>
    <w:p w:rsidR="00C05442" w:rsidRDefault="00C05442" w:rsidP="00C05442">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D093D" w:rsidRPr="004F280C" w:rsidTr="00042164">
        <w:trPr>
          <w:cantSplit/>
        </w:trPr>
        <w:tc>
          <w:tcPr>
            <w:tcW w:w="1458" w:type="dxa"/>
          </w:tcPr>
          <w:p w:rsidR="005D093D" w:rsidRPr="004F280C" w:rsidRDefault="005D093D" w:rsidP="00042164">
            <w:pPr>
              <w:rPr>
                <w:sz w:val="20"/>
                <w:szCs w:val="20"/>
              </w:rPr>
            </w:pPr>
            <w:r w:rsidRPr="004F280C">
              <w:rPr>
                <w:rStyle w:val="SCCFileNumberChar"/>
                <w:sz w:val="20"/>
                <w:szCs w:val="20"/>
              </w:rPr>
              <w:t>36280</w:t>
            </w:r>
          </w:p>
          <w:p w:rsidR="005D093D" w:rsidRPr="004F280C" w:rsidRDefault="005D093D" w:rsidP="00042164">
            <w:pPr>
              <w:rPr>
                <w:b/>
                <w:sz w:val="20"/>
                <w:szCs w:val="20"/>
                <w:lang w:val="fr-CA"/>
              </w:rPr>
            </w:pPr>
          </w:p>
        </w:tc>
        <w:tc>
          <w:tcPr>
            <w:tcW w:w="8118" w:type="dxa"/>
          </w:tcPr>
          <w:p w:rsidR="005D093D" w:rsidRPr="004F280C" w:rsidRDefault="005D093D" w:rsidP="00042164">
            <w:pPr>
              <w:jc w:val="both"/>
              <w:rPr>
                <w:sz w:val="20"/>
                <w:szCs w:val="20"/>
              </w:rPr>
            </w:pPr>
            <w:r w:rsidRPr="004F280C">
              <w:rPr>
                <w:rStyle w:val="SCCLsocChar"/>
                <w:sz w:val="20"/>
                <w:szCs w:val="20"/>
                <w:lang w:val="en-CA"/>
              </w:rPr>
              <w:t>Labourers</w:t>
            </w:r>
            <w:r w:rsidR="00F11558">
              <w:rPr>
                <w:rStyle w:val="SCCLsocChar"/>
                <w:sz w:val="20"/>
                <w:szCs w:val="20"/>
                <w:lang w:val="en-CA"/>
              </w:rPr>
              <w:t>’</w:t>
            </w:r>
            <w:r w:rsidRPr="004F280C">
              <w:rPr>
                <w:rStyle w:val="SCCLsocChar"/>
                <w:sz w:val="20"/>
                <w:szCs w:val="20"/>
                <w:lang w:val="en-CA"/>
              </w:rPr>
              <w:t xml:space="preserve"> International Union, Local 1208 v. Transport and Allied Workers, International Brotherhood of Teamsters, Local 855</w:t>
            </w:r>
            <w:r w:rsidRPr="004F280C">
              <w:rPr>
                <w:sz w:val="20"/>
                <w:szCs w:val="20"/>
              </w:rPr>
              <w:t xml:space="preserve"> (N.L.) (Civil) (By Leave)</w:t>
            </w:r>
          </w:p>
          <w:p w:rsidR="005D093D" w:rsidRPr="004F280C" w:rsidRDefault="005D093D" w:rsidP="00042164">
            <w:pPr>
              <w:jc w:val="both"/>
              <w:rPr>
                <w:sz w:val="20"/>
                <w:szCs w:val="20"/>
              </w:rPr>
            </w:pPr>
          </w:p>
        </w:tc>
      </w:tr>
      <w:tr w:rsidR="005D093D" w:rsidRPr="004F280C" w:rsidTr="00042164">
        <w:trPr>
          <w:cantSplit/>
        </w:trPr>
        <w:tc>
          <w:tcPr>
            <w:tcW w:w="1458" w:type="dxa"/>
          </w:tcPr>
          <w:p w:rsidR="005D093D" w:rsidRPr="004F280C" w:rsidRDefault="005D093D" w:rsidP="00042164">
            <w:pPr>
              <w:rPr>
                <w:sz w:val="20"/>
                <w:szCs w:val="20"/>
              </w:rPr>
            </w:pPr>
            <w:r w:rsidRPr="004F280C">
              <w:rPr>
                <w:sz w:val="20"/>
                <w:szCs w:val="20"/>
              </w:rPr>
              <w:t>Coram :</w:t>
            </w:r>
          </w:p>
        </w:tc>
        <w:tc>
          <w:tcPr>
            <w:tcW w:w="8118" w:type="dxa"/>
          </w:tcPr>
          <w:p w:rsidR="005D093D" w:rsidRPr="004F280C" w:rsidRDefault="005D093D" w:rsidP="00042164">
            <w:pPr>
              <w:rPr>
                <w:sz w:val="20"/>
                <w:szCs w:val="20"/>
              </w:rPr>
            </w:pPr>
            <w:r w:rsidRPr="004F280C">
              <w:rPr>
                <w:rStyle w:val="SCCCoramChar"/>
                <w:sz w:val="20"/>
                <w:szCs w:val="20"/>
                <w:lang w:val="en-CA"/>
              </w:rPr>
              <w:t>Rothstein, Cromwell and Moldaver JJ.</w:t>
            </w:r>
          </w:p>
          <w:p w:rsidR="005D093D" w:rsidRPr="004F280C" w:rsidRDefault="005D093D" w:rsidP="00042164">
            <w:pPr>
              <w:rPr>
                <w:sz w:val="20"/>
                <w:szCs w:val="20"/>
                <w:u w:val="single"/>
              </w:rPr>
            </w:pPr>
          </w:p>
        </w:tc>
      </w:tr>
      <w:tr w:rsidR="005D093D" w:rsidRPr="0063742E" w:rsidTr="00042164">
        <w:trPr>
          <w:cantSplit/>
        </w:trPr>
        <w:tc>
          <w:tcPr>
            <w:tcW w:w="9576" w:type="dxa"/>
            <w:gridSpan w:val="2"/>
          </w:tcPr>
          <w:p w:rsidR="005D093D" w:rsidRPr="004F280C" w:rsidRDefault="005D093D" w:rsidP="00042164">
            <w:pPr>
              <w:pStyle w:val="SCCShortJudgment"/>
              <w:rPr>
                <w:szCs w:val="20"/>
              </w:rPr>
            </w:pPr>
            <w:r w:rsidRPr="004F280C">
              <w:rPr>
                <w:szCs w:val="20"/>
              </w:rPr>
              <w:t>The application for leave to appeal from the judgment of the Supreme Court of Newfoundland and Labrador - Court of Appeal, Number 13/57, 2014 NLCA 45, dated November 28, 2014, is dismissed with costs.</w:t>
            </w:r>
          </w:p>
          <w:p w:rsidR="005D093D" w:rsidRPr="004F280C" w:rsidRDefault="005D093D" w:rsidP="00042164">
            <w:pPr>
              <w:pStyle w:val="SCCShortJudgment"/>
              <w:ind w:firstLine="0"/>
              <w:rPr>
                <w:szCs w:val="20"/>
              </w:rPr>
            </w:pPr>
          </w:p>
          <w:p w:rsidR="005D093D" w:rsidRPr="004F280C" w:rsidRDefault="005D093D" w:rsidP="00042164">
            <w:pPr>
              <w:pStyle w:val="SCCShortJudgment"/>
              <w:rPr>
                <w:szCs w:val="20"/>
                <w:lang w:val="fr-CA"/>
              </w:rPr>
            </w:pPr>
            <w:r w:rsidRPr="004F280C">
              <w:rPr>
                <w:szCs w:val="20"/>
                <w:lang w:val="fr-CA"/>
              </w:rPr>
              <w:t>La demande d’autorisation d’appel de l’arrêt de la Cour suprême de Terre-Neuve-et-Labrador - Cour d’appel, numéro 13/57, 2014 NLCA 45, daté du 28 novembre 2014, est rejetée avec dépens.</w:t>
            </w:r>
          </w:p>
        </w:tc>
      </w:tr>
    </w:tbl>
    <w:p w:rsidR="00C05442" w:rsidRPr="005D093D" w:rsidRDefault="00C05442" w:rsidP="00C05442">
      <w:pPr>
        <w:rPr>
          <w:sz w:val="20"/>
          <w:szCs w:val="20"/>
          <w:lang w:val="fr-CA"/>
        </w:rPr>
      </w:pPr>
    </w:p>
    <w:p w:rsidR="00C05442" w:rsidRPr="001B157C" w:rsidRDefault="00C05442" w:rsidP="00C05442">
      <w:pPr>
        <w:rPr>
          <w:sz w:val="20"/>
          <w:szCs w:val="20"/>
          <w:u w:val="single"/>
        </w:rPr>
      </w:pPr>
      <w:r w:rsidRPr="001B157C">
        <w:rPr>
          <w:sz w:val="20"/>
          <w:szCs w:val="20"/>
          <w:u w:val="single"/>
        </w:rPr>
        <w:t>CASE SUMMARY</w:t>
      </w:r>
    </w:p>
    <w:p w:rsidR="00C05442" w:rsidRDefault="00C05442" w:rsidP="00C054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6917" w:rsidRPr="00B92494" w:rsidTr="00AD4BE1">
        <w:tc>
          <w:tcPr>
            <w:tcW w:w="5000" w:type="pct"/>
            <w:gridSpan w:val="3"/>
          </w:tcPr>
          <w:p w:rsidR="00256917" w:rsidRPr="00B92494" w:rsidRDefault="00256917" w:rsidP="00AD4BE1">
            <w:pPr>
              <w:autoSpaceDE w:val="0"/>
              <w:autoSpaceDN w:val="0"/>
              <w:adjustRightInd w:val="0"/>
              <w:jc w:val="both"/>
              <w:rPr>
                <w:rFonts w:eastAsia="Calibri"/>
                <w:sz w:val="20"/>
                <w:szCs w:val="20"/>
              </w:rPr>
            </w:pPr>
            <w:r w:rsidRPr="00B92494">
              <w:rPr>
                <w:rFonts w:eastAsia="Calibri"/>
                <w:sz w:val="20"/>
                <w:szCs w:val="20"/>
              </w:rPr>
              <w:t>Labour relations – Collective agreement – Dispute resolution – Dispute between two unions over assignment of trucking work on provincial construction project – Parties submitting matter to Umpire for decision – Should the doctrine of exhaustion of alternate remedies apply to the judicial review of decisions in relation to the Green Book process?</w:t>
            </w:r>
          </w:p>
        </w:tc>
      </w:tr>
      <w:tr w:rsidR="00256917" w:rsidRPr="00B92494" w:rsidTr="00AD4BE1">
        <w:tc>
          <w:tcPr>
            <w:tcW w:w="5000" w:type="pct"/>
            <w:gridSpan w:val="3"/>
          </w:tcPr>
          <w:p w:rsidR="00256917" w:rsidRPr="00B92494" w:rsidRDefault="00256917" w:rsidP="00AD4BE1">
            <w:pPr>
              <w:jc w:val="both"/>
              <w:rPr>
                <w:rFonts w:eastAsia="Calibri"/>
                <w:sz w:val="20"/>
                <w:szCs w:val="20"/>
              </w:rPr>
            </w:pPr>
          </w:p>
        </w:tc>
      </w:tr>
      <w:tr w:rsidR="00256917" w:rsidRPr="00B92494" w:rsidTr="00AD4BE1">
        <w:tc>
          <w:tcPr>
            <w:tcW w:w="5000" w:type="pct"/>
            <w:gridSpan w:val="3"/>
          </w:tcPr>
          <w:p w:rsidR="00256917" w:rsidRPr="00B92494" w:rsidRDefault="00256917" w:rsidP="00AD4BE1">
            <w:pPr>
              <w:shd w:val="clear" w:color="auto" w:fill="FFFFFF"/>
              <w:jc w:val="both"/>
              <w:rPr>
                <w:sz w:val="20"/>
                <w:szCs w:val="20"/>
                <w:lang w:eastAsia="en-CA"/>
              </w:rPr>
            </w:pPr>
            <w:r w:rsidRPr="00B92494">
              <w:rPr>
                <w:sz w:val="20"/>
                <w:szCs w:val="20"/>
                <w:lang w:eastAsia="en-CA"/>
              </w:rPr>
              <w:t>The applicant (“Labourers”) and the respondent, (“Teamsters”) were involved in a dispute about the assignment of work at a construction project.  In 2001, the Construction Labour Relations Association of Newfoundland and Labrador Inc. (“CLRA”) on behalf of unionized contractors and the Newfoundland and Labrador Building and Construction Trades Council on behalf of the trade unions entered into a project specific agreement at Carol Lake, Labrador.  Article 5 of the Project Agreement set out a procedure by which jurisdictional disputes between the unions with respect to the work to be assigned to its members was to be resolved.  The Labourers and the Teamsters had competing claims for jurisdiction over the assignment of truck drivers for the project.  The contractor indicated in the work description that they were to build an access road which would require drivers to drive off highway trucks to haul ballast rock from a rock pile two kilometers from the construction site.  The Teamsters contested the work assignment by the contractor to the Labourers and referred the dispute to the Umpire.  The Umpire ruled that the contractor was to change the final assignment of truck drivers to the Teamsters.  The Project Agreement provided the Labourers with recourse from the Umpire’s decision pursuant to a process commonly known as the “Green Book Plan”.  The Labourers chose not to pursue the Green Book Plan option and sought judicial review and an order quashing the decision of the Umpire.</w:t>
            </w:r>
          </w:p>
          <w:p w:rsidR="00256917" w:rsidRPr="00B92494" w:rsidRDefault="00256917" w:rsidP="00AD4BE1">
            <w:pPr>
              <w:shd w:val="clear" w:color="auto" w:fill="FFFFFF"/>
              <w:jc w:val="both"/>
              <w:rPr>
                <w:sz w:val="20"/>
                <w:szCs w:val="20"/>
                <w:lang w:eastAsia="en-CA"/>
              </w:rPr>
            </w:pPr>
          </w:p>
        </w:tc>
      </w:tr>
      <w:tr w:rsidR="00256917" w:rsidRPr="00B92494" w:rsidTr="00AD4BE1">
        <w:tc>
          <w:tcPr>
            <w:tcW w:w="2427" w:type="pct"/>
          </w:tcPr>
          <w:p w:rsidR="00256917" w:rsidRPr="00B92494" w:rsidRDefault="00256917" w:rsidP="00AD4BE1">
            <w:pPr>
              <w:jc w:val="both"/>
              <w:rPr>
                <w:rFonts w:eastAsia="Calibri"/>
                <w:sz w:val="20"/>
                <w:szCs w:val="20"/>
              </w:rPr>
            </w:pPr>
            <w:r w:rsidRPr="00B92494">
              <w:rPr>
                <w:rFonts w:eastAsia="Calibri"/>
                <w:sz w:val="20"/>
                <w:szCs w:val="20"/>
              </w:rPr>
              <w:t>June 16, 2010</w:t>
            </w:r>
          </w:p>
          <w:p w:rsidR="00256917" w:rsidRPr="00B92494" w:rsidRDefault="00256917" w:rsidP="00AD4BE1">
            <w:pPr>
              <w:jc w:val="both"/>
              <w:rPr>
                <w:rFonts w:eastAsia="Calibri"/>
                <w:sz w:val="20"/>
                <w:szCs w:val="20"/>
              </w:rPr>
            </w:pPr>
            <w:r w:rsidRPr="00B92494">
              <w:rPr>
                <w:rFonts w:eastAsia="Calibri"/>
                <w:sz w:val="20"/>
                <w:szCs w:val="20"/>
              </w:rPr>
              <w:t>(Power, Umpire)</w:t>
            </w:r>
          </w:p>
          <w:p w:rsidR="00256917" w:rsidRPr="00B92494" w:rsidRDefault="00256917" w:rsidP="00AD4BE1">
            <w:pPr>
              <w:jc w:val="both"/>
              <w:rPr>
                <w:rFonts w:eastAsia="Calibri"/>
                <w:sz w:val="20"/>
                <w:szCs w:val="20"/>
              </w:rPr>
            </w:pPr>
            <w:r w:rsidRPr="00B92494">
              <w:rPr>
                <w:rFonts w:eastAsia="Calibri"/>
                <w:sz w:val="20"/>
                <w:szCs w:val="20"/>
              </w:rPr>
              <w:t>Unreported</w:t>
            </w:r>
          </w:p>
          <w:p w:rsidR="00256917" w:rsidRPr="00B92494" w:rsidRDefault="00256917" w:rsidP="00AD4BE1">
            <w:pPr>
              <w:jc w:val="both"/>
              <w:rPr>
                <w:rFonts w:eastAsia="Calibri"/>
                <w:sz w:val="20"/>
                <w:szCs w:val="20"/>
              </w:rPr>
            </w:pPr>
          </w:p>
        </w:tc>
        <w:tc>
          <w:tcPr>
            <w:tcW w:w="243" w:type="pct"/>
          </w:tcPr>
          <w:p w:rsidR="00256917" w:rsidRPr="00B92494" w:rsidRDefault="00256917" w:rsidP="00AD4BE1">
            <w:pPr>
              <w:jc w:val="both"/>
              <w:rPr>
                <w:rFonts w:eastAsia="Calibri"/>
                <w:sz w:val="20"/>
                <w:szCs w:val="20"/>
              </w:rPr>
            </w:pPr>
          </w:p>
        </w:tc>
        <w:tc>
          <w:tcPr>
            <w:tcW w:w="2330" w:type="pct"/>
          </w:tcPr>
          <w:p w:rsidR="00256917" w:rsidRPr="00B92494" w:rsidRDefault="00256917" w:rsidP="00AD4BE1">
            <w:pPr>
              <w:jc w:val="both"/>
              <w:rPr>
                <w:rFonts w:eastAsia="Calibri"/>
                <w:sz w:val="20"/>
                <w:szCs w:val="20"/>
              </w:rPr>
            </w:pPr>
            <w:r w:rsidRPr="00B92494">
              <w:rPr>
                <w:rFonts w:eastAsia="Calibri"/>
                <w:sz w:val="20"/>
                <w:szCs w:val="20"/>
              </w:rPr>
              <w:t>Decision by Jurisdictional Umpire that Teamsters entitled to trucking work</w:t>
            </w:r>
          </w:p>
        </w:tc>
      </w:tr>
      <w:tr w:rsidR="00256917" w:rsidRPr="00B92494" w:rsidTr="00AD4BE1">
        <w:tc>
          <w:tcPr>
            <w:tcW w:w="2427" w:type="pct"/>
          </w:tcPr>
          <w:p w:rsidR="00256917" w:rsidRPr="00B92494" w:rsidRDefault="00256917" w:rsidP="00AD4BE1">
            <w:pPr>
              <w:jc w:val="both"/>
              <w:rPr>
                <w:rFonts w:eastAsia="Calibri"/>
                <w:sz w:val="20"/>
                <w:szCs w:val="20"/>
              </w:rPr>
            </w:pPr>
            <w:r w:rsidRPr="00B92494">
              <w:rPr>
                <w:rFonts w:eastAsia="Calibri"/>
                <w:sz w:val="20"/>
                <w:szCs w:val="20"/>
              </w:rPr>
              <w:t>August 18, 2011</w:t>
            </w:r>
          </w:p>
          <w:p w:rsidR="00256917" w:rsidRPr="00B92494" w:rsidRDefault="00256917" w:rsidP="00AD4BE1">
            <w:pPr>
              <w:jc w:val="both"/>
              <w:rPr>
                <w:rFonts w:eastAsia="Calibri"/>
                <w:sz w:val="20"/>
                <w:szCs w:val="20"/>
              </w:rPr>
            </w:pPr>
            <w:r w:rsidRPr="00B92494">
              <w:rPr>
                <w:rFonts w:eastAsia="Calibri"/>
                <w:sz w:val="20"/>
                <w:szCs w:val="20"/>
              </w:rPr>
              <w:t>Supreme Court of Newfoundland &amp; Labrador, Trial Division</w:t>
            </w:r>
          </w:p>
          <w:p w:rsidR="00256917" w:rsidRPr="00B92494" w:rsidRDefault="00256917" w:rsidP="00AD4BE1">
            <w:pPr>
              <w:jc w:val="both"/>
              <w:rPr>
                <w:rFonts w:eastAsia="Calibri"/>
                <w:sz w:val="20"/>
                <w:szCs w:val="20"/>
              </w:rPr>
            </w:pPr>
            <w:r w:rsidRPr="00B92494">
              <w:rPr>
                <w:rFonts w:eastAsia="Calibri"/>
                <w:sz w:val="20"/>
                <w:szCs w:val="20"/>
              </w:rPr>
              <w:t>(Hall J.)</w:t>
            </w:r>
          </w:p>
          <w:p w:rsidR="00256917" w:rsidRPr="00B92494" w:rsidRDefault="007F638F" w:rsidP="00AD4BE1">
            <w:pPr>
              <w:jc w:val="both"/>
              <w:rPr>
                <w:rFonts w:eastAsia="Calibri"/>
                <w:sz w:val="20"/>
                <w:szCs w:val="20"/>
              </w:rPr>
            </w:pPr>
            <w:hyperlink r:id="rId30" w:history="1">
              <w:r w:rsidR="00256917" w:rsidRPr="00B92494">
                <w:rPr>
                  <w:rFonts w:eastAsia="Calibri"/>
                  <w:color w:val="0000FF"/>
                  <w:sz w:val="20"/>
                  <w:szCs w:val="20"/>
                  <w:u w:val="single"/>
                </w:rPr>
                <w:t>2011 NLTD(G) 112</w:t>
              </w:r>
            </w:hyperlink>
          </w:p>
          <w:p w:rsidR="00256917" w:rsidRPr="00B92494" w:rsidRDefault="00256917" w:rsidP="00AD4BE1">
            <w:pPr>
              <w:jc w:val="both"/>
              <w:rPr>
                <w:rFonts w:eastAsia="Calibri"/>
                <w:sz w:val="20"/>
                <w:szCs w:val="20"/>
              </w:rPr>
            </w:pPr>
          </w:p>
        </w:tc>
        <w:tc>
          <w:tcPr>
            <w:tcW w:w="243" w:type="pct"/>
          </w:tcPr>
          <w:p w:rsidR="00256917" w:rsidRPr="00B92494" w:rsidRDefault="00256917" w:rsidP="00AD4BE1">
            <w:pPr>
              <w:jc w:val="both"/>
              <w:rPr>
                <w:rFonts w:eastAsia="Calibri"/>
                <w:sz w:val="20"/>
                <w:szCs w:val="20"/>
              </w:rPr>
            </w:pPr>
          </w:p>
        </w:tc>
        <w:tc>
          <w:tcPr>
            <w:tcW w:w="2330" w:type="pct"/>
          </w:tcPr>
          <w:p w:rsidR="00256917" w:rsidRPr="00B92494" w:rsidRDefault="00256917" w:rsidP="00AD4BE1">
            <w:pPr>
              <w:jc w:val="both"/>
              <w:rPr>
                <w:rFonts w:eastAsia="Calibri"/>
                <w:sz w:val="20"/>
                <w:szCs w:val="20"/>
              </w:rPr>
            </w:pPr>
            <w:r w:rsidRPr="00B92494">
              <w:rPr>
                <w:rFonts w:eastAsia="Calibri"/>
                <w:sz w:val="20"/>
                <w:szCs w:val="20"/>
              </w:rPr>
              <w:t>Decision of Jurisdictional Umpire overturned on appeal</w:t>
            </w:r>
          </w:p>
          <w:p w:rsidR="00256917" w:rsidRPr="00B92494" w:rsidRDefault="00256917" w:rsidP="00AD4BE1">
            <w:pPr>
              <w:jc w:val="both"/>
              <w:rPr>
                <w:rFonts w:eastAsia="Calibri"/>
                <w:sz w:val="20"/>
                <w:szCs w:val="20"/>
              </w:rPr>
            </w:pPr>
          </w:p>
        </w:tc>
      </w:tr>
      <w:tr w:rsidR="00256917" w:rsidRPr="00B92494" w:rsidTr="005D093D">
        <w:trPr>
          <w:cantSplit/>
        </w:trPr>
        <w:tc>
          <w:tcPr>
            <w:tcW w:w="2427" w:type="pct"/>
          </w:tcPr>
          <w:p w:rsidR="00256917" w:rsidRPr="00B92494" w:rsidRDefault="00256917" w:rsidP="00AD4BE1">
            <w:pPr>
              <w:jc w:val="both"/>
              <w:rPr>
                <w:rFonts w:eastAsia="Calibri"/>
                <w:sz w:val="20"/>
                <w:szCs w:val="20"/>
              </w:rPr>
            </w:pPr>
            <w:r w:rsidRPr="00B92494">
              <w:rPr>
                <w:rFonts w:eastAsia="Calibri"/>
                <w:sz w:val="20"/>
                <w:szCs w:val="20"/>
              </w:rPr>
              <w:lastRenderedPageBreak/>
              <w:t>November 28, 2014</w:t>
            </w:r>
          </w:p>
          <w:p w:rsidR="00256917" w:rsidRPr="00B92494" w:rsidRDefault="00256917" w:rsidP="00AD4BE1">
            <w:pPr>
              <w:jc w:val="both"/>
              <w:rPr>
                <w:rFonts w:eastAsia="Calibri"/>
                <w:sz w:val="20"/>
                <w:szCs w:val="20"/>
              </w:rPr>
            </w:pPr>
            <w:r w:rsidRPr="00B92494">
              <w:rPr>
                <w:rFonts w:eastAsia="Calibri"/>
                <w:sz w:val="20"/>
                <w:szCs w:val="20"/>
              </w:rPr>
              <w:t xml:space="preserve">Supreme Court of Newfoundland and </w:t>
            </w:r>
          </w:p>
          <w:p w:rsidR="00256917" w:rsidRPr="00B92494" w:rsidRDefault="00256917" w:rsidP="00AD4BE1">
            <w:pPr>
              <w:jc w:val="both"/>
              <w:rPr>
                <w:rFonts w:eastAsia="Calibri"/>
                <w:sz w:val="20"/>
                <w:szCs w:val="20"/>
              </w:rPr>
            </w:pPr>
            <w:r w:rsidRPr="00B92494">
              <w:rPr>
                <w:rFonts w:eastAsia="Calibri"/>
                <w:sz w:val="20"/>
                <w:szCs w:val="20"/>
              </w:rPr>
              <w:t>Labrador - Court of Appeal</w:t>
            </w:r>
          </w:p>
          <w:p w:rsidR="00256917" w:rsidRPr="00B92494" w:rsidRDefault="00256917" w:rsidP="00AD4BE1">
            <w:pPr>
              <w:jc w:val="both"/>
              <w:rPr>
                <w:rFonts w:eastAsia="Calibri"/>
                <w:sz w:val="20"/>
                <w:szCs w:val="20"/>
              </w:rPr>
            </w:pPr>
            <w:r w:rsidRPr="00B92494">
              <w:rPr>
                <w:rFonts w:eastAsia="Calibri"/>
                <w:sz w:val="20"/>
                <w:szCs w:val="20"/>
              </w:rPr>
              <w:t>(Green, White and Harrington JJ.A.)</w:t>
            </w:r>
          </w:p>
          <w:p w:rsidR="00256917" w:rsidRPr="00B92494" w:rsidRDefault="007F638F" w:rsidP="00AD4BE1">
            <w:pPr>
              <w:jc w:val="both"/>
              <w:rPr>
                <w:rFonts w:eastAsia="Calibri"/>
                <w:sz w:val="20"/>
                <w:szCs w:val="20"/>
              </w:rPr>
            </w:pPr>
            <w:hyperlink r:id="rId31" w:history="1">
              <w:r w:rsidR="00256917" w:rsidRPr="00B92494">
                <w:rPr>
                  <w:rFonts w:eastAsia="Calibri"/>
                  <w:color w:val="0000FF"/>
                  <w:sz w:val="20"/>
                  <w:szCs w:val="20"/>
                  <w:u w:val="single"/>
                </w:rPr>
                <w:t>2014 NLCA 45</w:t>
              </w:r>
            </w:hyperlink>
          </w:p>
          <w:p w:rsidR="00256917" w:rsidRPr="00B92494" w:rsidRDefault="00256917" w:rsidP="00AD4BE1">
            <w:pPr>
              <w:jc w:val="both"/>
              <w:rPr>
                <w:rFonts w:eastAsia="Calibri"/>
                <w:sz w:val="20"/>
                <w:szCs w:val="20"/>
              </w:rPr>
            </w:pPr>
          </w:p>
        </w:tc>
        <w:tc>
          <w:tcPr>
            <w:tcW w:w="243" w:type="pct"/>
          </w:tcPr>
          <w:p w:rsidR="00256917" w:rsidRPr="00B92494" w:rsidRDefault="00256917" w:rsidP="00AD4BE1">
            <w:pPr>
              <w:jc w:val="both"/>
              <w:rPr>
                <w:rFonts w:eastAsia="Calibri"/>
                <w:sz w:val="20"/>
                <w:szCs w:val="20"/>
              </w:rPr>
            </w:pPr>
          </w:p>
        </w:tc>
        <w:tc>
          <w:tcPr>
            <w:tcW w:w="2330" w:type="pct"/>
          </w:tcPr>
          <w:p w:rsidR="00256917" w:rsidRPr="00B92494" w:rsidRDefault="00256917" w:rsidP="00AD4BE1">
            <w:pPr>
              <w:jc w:val="both"/>
              <w:rPr>
                <w:rFonts w:eastAsia="Calibri"/>
                <w:sz w:val="20"/>
                <w:szCs w:val="20"/>
              </w:rPr>
            </w:pPr>
            <w:r w:rsidRPr="00B92494">
              <w:rPr>
                <w:rFonts w:eastAsia="Calibri"/>
                <w:sz w:val="20"/>
                <w:szCs w:val="20"/>
              </w:rPr>
              <w:t>Appeal allowed; decision of Jurisdictional Umpire reinstated</w:t>
            </w:r>
          </w:p>
          <w:p w:rsidR="00256917" w:rsidRPr="00B92494" w:rsidRDefault="00256917" w:rsidP="00AD4BE1">
            <w:pPr>
              <w:jc w:val="both"/>
              <w:rPr>
                <w:rFonts w:eastAsia="Calibri"/>
                <w:sz w:val="20"/>
                <w:szCs w:val="20"/>
              </w:rPr>
            </w:pPr>
          </w:p>
          <w:p w:rsidR="00256917" w:rsidRPr="00B92494" w:rsidRDefault="00256917" w:rsidP="00AD4BE1">
            <w:pPr>
              <w:jc w:val="both"/>
              <w:rPr>
                <w:rFonts w:eastAsia="Calibri"/>
                <w:sz w:val="20"/>
                <w:szCs w:val="20"/>
              </w:rPr>
            </w:pPr>
          </w:p>
        </w:tc>
      </w:tr>
      <w:tr w:rsidR="00256917" w:rsidRPr="00B92494" w:rsidTr="005D093D">
        <w:trPr>
          <w:cantSplit/>
        </w:trPr>
        <w:tc>
          <w:tcPr>
            <w:tcW w:w="2427" w:type="pct"/>
          </w:tcPr>
          <w:p w:rsidR="00256917" w:rsidRPr="00B92494" w:rsidRDefault="00256917" w:rsidP="00AD4BE1">
            <w:pPr>
              <w:jc w:val="both"/>
              <w:rPr>
                <w:rFonts w:eastAsia="Calibri"/>
                <w:sz w:val="20"/>
                <w:szCs w:val="20"/>
              </w:rPr>
            </w:pPr>
            <w:r w:rsidRPr="00B92494">
              <w:rPr>
                <w:rFonts w:eastAsia="Calibri"/>
                <w:sz w:val="20"/>
                <w:szCs w:val="20"/>
              </w:rPr>
              <w:t>January 27, 2015</w:t>
            </w:r>
          </w:p>
          <w:p w:rsidR="00256917" w:rsidRPr="00B92494" w:rsidRDefault="00256917" w:rsidP="00AD4BE1">
            <w:pPr>
              <w:jc w:val="both"/>
              <w:rPr>
                <w:rFonts w:eastAsia="Calibri"/>
                <w:sz w:val="20"/>
                <w:szCs w:val="20"/>
              </w:rPr>
            </w:pPr>
            <w:r w:rsidRPr="00B92494">
              <w:rPr>
                <w:rFonts w:eastAsia="Calibri"/>
                <w:sz w:val="20"/>
                <w:szCs w:val="20"/>
              </w:rPr>
              <w:t>Supreme Court of Canada</w:t>
            </w:r>
          </w:p>
        </w:tc>
        <w:tc>
          <w:tcPr>
            <w:tcW w:w="243" w:type="pct"/>
          </w:tcPr>
          <w:p w:rsidR="00256917" w:rsidRPr="00B92494" w:rsidRDefault="00256917" w:rsidP="00AD4BE1">
            <w:pPr>
              <w:jc w:val="both"/>
              <w:rPr>
                <w:rFonts w:eastAsia="Calibri"/>
                <w:sz w:val="20"/>
                <w:szCs w:val="20"/>
              </w:rPr>
            </w:pPr>
          </w:p>
        </w:tc>
        <w:tc>
          <w:tcPr>
            <w:tcW w:w="2330" w:type="pct"/>
          </w:tcPr>
          <w:p w:rsidR="00256917" w:rsidRPr="00B92494" w:rsidRDefault="00256917" w:rsidP="00AD4BE1">
            <w:pPr>
              <w:jc w:val="both"/>
              <w:rPr>
                <w:rFonts w:eastAsia="Calibri"/>
                <w:sz w:val="20"/>
                <w:szCs w:val="20"/>
              </w:rPr>
            </w:pPr>
            <w:r w:rsidRPr="00B92494">
              <w:rPr>
                <w:rFonts w:eastAsia="Calibri"/>
                <w:sz w:val="20"/>
                <w:szCs w:val="20"/>
              </w:rPr>
              <w:t>Application for leave to appeal filed</w:t>
            </w:r>
          </w:p>
          <w:p w:rsidR="00256917" w:rsidRPr="00B92494" w:rsidRDefault="00256917" w:rsidP="00AD4BE1">
            <w:pPr>
              <w:jc w:val="both"/>
              <w:rPr>
                <w:rFonts w:eastAsia="Calibri"/>
                <w:sz w:val="20"/>
                <w:szCs w:val="20"/>
              </w:rPr>
            </w:pPr>
          </w:p>
        </w:tc>
      </w:tr>
    </w:tbl>
    <w:p w:rsidR="00C05442" w:rsidRDefault="00C05442" w:rsidP="00C05442">
      <w:pPr>
        <w:rPr>
          <w:sz w:val="20"/>
          <w:szCs w:val="20"/>
        </w:rPr>
      </w:pPr>
    </w:p>
    <w:p w:rsidR="00C05442" w:rsidRPr="00C50A5C" w:rsidRDefault="007F638F" w:rsidP="00C05442">
      <w:pPr>
        <w:rPr>
          <w:sz w:val="20"/>
          <w:szCs w:val="20"/>
        </w:rPr>
      </w:pPr>
      <w:r>
        <w:rPr>
          <w:sz w:val="20"/>
          <w:szCs w:val="20"/>
          <w:lang w:val="fr-CA"/>
        </w:rPr>
        <w:pict>
          <v:rect id="_x0000_i1038" style="width:2in;height:1pt" o:hrpct="0" o:hralign="center" o:hrstd="t" o:hrnoshade="t" o:hr="t" fillcolor="black [3213]" stroked="f"/>
        </w:pict>
      </w:r>
    </w:p>
    <w:p w:rsidR="00C05442" w:rsidRDefault="00C05442" w:rsidP="00C05442">
      <w:pPr>
        <w:rPr>
          <w:sz w:val="20"/>
          <w:szCs w:val="20"/>
        </w:rPr>
      </w:pPr>
    </w:p>
    <w:p w:rsidR="00C05442" w:rsidRPr="001B157C" w:rsidRDefault="00C05442" w:rsidP="00C05442">
      <w:pPr>
        <w:rPr>
          <w:sz w:val="20"/>
          <w:szCs w:val="20"/>
          <w:u w:val="single"/>
          <w:lang w:val="fr-CA"/>
        </w:rPr>
      </w:pPr>
      <w:r w:rsidRPr="001B157C">
        <w:rPr>
          <w:sz w:val="20"/>
          <w:szCs w:val="20"/>
          <w:u w:val="single"/>
          <w:lang w:val="fr-CA"/>
        </w:rPr>
        <w:t>RÉSUMÉ DE L’AFFAIRE</w:t>
      </w:r>
    </w:p>
    <w:p w:rsidR="00C05442" w:rsidRDefault="00C05442" w:rsidP="00C054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6917" w:rsidRPr="0063742E" w:rsidTr="00AD4BE1">
        <w:tc>
          <w:tcPr>
            <w:tcW w:w="5000" w:type="pct"/>
            <w:gridSpan w:val="3"/>
          </w:tcPr>
          <w:p w:rsidR="00256917" w:rsidRPr="00B92494" w:rsidRDefault="00256917" w:rsidP="00AD4BE1">
            <w:pPr>
              <w:autoSpaceDE w:val="0"/>
              <w:autoSpaceDN w:val="0"/>
              <w:adjustRightInd w:val="0"/>
              <w:jc w:val="both"/>
              <w:rPr>
                <w:rFonts w:eastAsia="Calibri"/>
                <w:sz w:val="20"/>
                <w:szCs w:val="20"/>
                <w:lang w:val="fr-CA"/>
              </w:rPr>
            </w:pPr>
            <w:r w:rsidRPr="00B92494">
              <w:rPr>
                <w:rFonts w:eastAsia="Calibri"/>
                <w:sz w:val="20"/>
                <w:szCs w:val="20"/>
                <w:lang w:val="fr-CA"/>
              </w:rPr>
              <w:t>Relations du travail – Convention collective – Règlement des différends – Différend opposant deux syndicats sur l’attribution du travail de camionnage dans le cadre d’un projet de construction provincial – Les parties ont soumis la question à un arbitre pour qu’il rende une sentence – Le principe de l’épuisement des autres recours s’applique-t-il au contrôle judiciaire de décisions en lien avec le processus dit « du Livre vert »?</w:t>
            </w:r>
          </w:p>
        </w:tc>
      </w:tr>
      <w:tr w:rsidR="00256917" w:rsidRPr="0063742E" w:rsidTr="00AD4BE1">
        <w:tc>
          <w:tcPr>
            <w:tcW w:w="5000" w:type="pct"/>
            <w:gridSpan w:val="3"/>
          </w:tcPr>
          <w:p w:rsidR="00256917" w:rsidRPr="00B92494" w:rsidRDefault="00256917" w:rsidP="00AD4BE1">
            <w:pPr>
              <w:jc w:val="both"/>
              <w:rPr>
                <w:rFonts w:eastAsia="Calibri"/>
                <w:sz w:val="20"/>
                <w:szCs w:val="20"/>
                <w:lang w:val="fr-CA"/>
              </w:rPr>
            </w:pPr>
          </w:p>
        </w:tc>
      </w:tr>
      <w:tr w:rsidR="00256917" w:rsidRPr="0063742E" w:rsidTr="00AD4BE1">
        <w:tc>
          <w:tcPr>
            <w:tcW w:w="5000" w:type="pct"/>
            <w:gridSpan w:val="3"/>
          </w:tcPr>
          <w:p w:rsidR="00256917" w:rsidRPr="00B92494" w:rsidRDefault="00256917" w:rsidP="00AD4BE1">
            <w:pPr>
              <w:shd w:val="clear" w:color="auto" w:fill="FFFFFF"/>
              <w:jc w:val="both"/>
              <w:rPr>
                <w:sz w:val="20"/>
                <w:szCs w:val="20"/>
                <w:lang w:val="fr-CA" w:eastAsia="en-CA"/>
              </w:rPr>
            </w:pPr>
            <w:r w:rsidRPr="00B92494">
              <w:rPr>
                <w:sz w:val="20"/>
                <w:szCs w:val="20"/>
                <w:lang w:val="fr-CA" w:eastAsia="en-CA"/>
              </w:rPr>
              <w:t xml:space="preserve">Le demandeur (les « journaliers ») et l’intimé, (les « teamsters ») étaient parties à un différend portant sur l’attribution du travail dans le cadre d’un projet de construction.  </w:t>
            </w:r>
            <w:r w:rsidRPr="00B92494">
              <w:rPr>
                <w:sz w:val="20"/>
                <w:szCs w:val="20"/>
                <w:lang w:eastAsia="en-CA"/>
              </w:rPr>
              <w:t xml:space="preserve">En 2001, Construction Labour Relations Association of Newfoundland and Labrador Inc. </w:t>
            </w:r>
            <w:r w:rsidRPr="00B92494">
              <w:rPr>
                <w:sz w:val="20"/>
                <w:szCs w:val="20"/>
                <w:lang w:val="fr-CA" w:eastAsia="en-CA"/>
              </w:rPr>
              <w:t>(« CLRA »), au nom des entrepreneurs syndiqués, et le Newfoundland and Labrador Building and Construction Trades Council, au nom des syndicats, ont conclu un accord relatif à un projet en particulier à Carol Lake (Labrador).  L’article 5 de l’accord prévoyait la procédure de règlement des conflits de compétence entre les syndicats relativement à l’attribution des tâches à leurs membres.  Les journaliers et les teamsters avaient des revendications concurrentes de compétence à l’égard de l’affectation des chauffeurs de camion dans le cadre du projet.  Dans la description des travaux, l’entrepreneur avait indiqué qu’ils devaient construire un chemin d’accès qui obligerait les chauffeurs à conduire des camions hors-route pour transporter du ballast de pierre provenant d’un amas de pierres situé à deux kilomètres du chantier de construction.  Les teamsters ont contesté l’attribution du travail par l’entrepreneur aux journaliers et soumis le différend à l’arbitre.  L’arbitre a statué que l’entrepreneur devait modifier l’attribution finale des chauffeurs de camion en faveur des teamsters.  L’accord relatif au projet permettait aux journaliers d’exercer un recours à l’égard de la sentence de l’arbitre par un processus couramment appelé [</w:t>
            </w:r>
            <w:r w:rsidRPr="00B92494">
              <w:rPr>
                <w:smallCaps/>
                <w:sz w:val="20"/>
                <w:szCs w:val="20"/>
                <w:lang w:val="fr-CA" w:eastAsia="en-CA"/>
              </w:rPr>
              <w:t>traduction</w:t>
            </w:r>
            <w:r w:rsidRPr="00B92494">
              <w:rPr>
                <w:sz w:val="20"/>
                <w:szCs w:val="20"/>
                <w:lang w:val="fr-CA" w:eastAsia="en-CA"/>
              </w:rPr>
              <w:t>] « régime du Livre vert ».  Les journaliers ont choisi de ne pas se prévaloir de ce régime et ont demandé le contrôle judiciaire et une ordonnance annulant la sentence de l’arbitre.</w:t>
            </w:r>
          </w:p>
        </w:tc>
      </w:tr>
      <w:tr w:rsidR="00256917" w:rsidRPr="0063742E" w:rsidTr="00AD4BE1">
        <w:tc>
          <w:tcPr>
            <w:tcW w:w="2427" w:type="pct"/>
          </w:tcPr>
          <w:p w:rsidR="00256917" w:rsidRPr="00B92494" w:rsidRDefault="00256917" w:rsidP="00AD4BE1">
            <w:pPr>
              <w:jc w:val="both"/>
              <w:rPr>
                <w:rFonts w:eastAsia="Calibri"/>
                <w:sz w:val="20"/>
                <w:szCs w:val="20"/>
                <w:lang w:val="fr-CA"/>
              </w:rPr>
            </w:pPr>
            <w:r w:rsidRPr="00B92494">
              <w:rPr>
                <w:rFonts w:eastAsia="Calibri"/>
                <w:sz w:val="20"/>
                <w:szCs w:val="20"/>
                <w:lang w:val="fr-CA"/>
              </w:rPr>
              <w:t>16 juin 2010</w:t>
            </w:r>
          </w:p>
          <w:p w:rsidR="00256917" w:rsidRPr="00B92494" w:rsidRDefault="00256917" w:rsidP="00AD4BE1">
            <w:pPr>
              <w:jc w:val="both"/>
              <w:rPr>
                <w:rFonts w:eastAsia="Calibri"/>
                <w:sz w:val="20"/>
                <w:szCs w:val="20"/>
                <w:lang w:val="fr-CA"/>
              </w:rPr>
            </w:pPr>
            <w:r w:rsidRPr="00B92494">
              <w:rPr>
                <w:rFonts w:eastAsia="Calibri"/>
                <w:sz w:val="20"/>
                <w:szCs w:val="20"/>
                <w:lang w:val="fr-CA"/>
              </w:rPr>
              <w:t>(Arbitre Power)</w:t>
            </w:r>
          </w:p>
          <w:p w:rsidR="00256917" w:rsidRPr="00B92494" w:rsidRDefault="00256917" w:rsidP="00AD4BE1">
            <w:pPr>
              <w:jc w:val="both"/>
              <w:rPr>
                <w:rFonts w:eastAsia="Calibri"/>
                <w:sz w:val="20"/>
                <w:szCs w:val="20"/>
                <w:lang w:val="fr-CA"/>
              </w:rPr>
            </w:pPr>
            <w:r w:rsidRPr="00B92494">
              <w:rPr>
                <w:rFonts w:eastAsia="Calibri"/>
                <w:sz w:val="20"/>
                <w:szCs w:val="20"/>
                <w:lang w:val="fr-CA"/>
              </w:rPr>
              <w:t>Non publié</w:t>
            </w:r>
          </w:p>
          <w:p w:rsidR="00256917" w:rsidRPr="00B92494" w:rsidRDefault="00256917" w:rsidP="00AD4BE1">
            <w:pPr>
              <w:jc w:val="both"/>
              <w:rPr>
                <w:rFonts w:eastAsia="Calibri"/>
                <w:sz w:val="20"/>
                <w:szCs w:val="20"/>
                <w:lang w:val="fr-CA"/>
              </w:rPr>
            </w:pPr>
          </w:p>
        </w:tc>
        <w:tc>
          <w:tcPr>
            <w:tcW w:w="243" w:type="pct"/>
          </w:tcPr>
          <w:p w:rsidR="00256917" w:rsidRPr="00B92494" w:rsidRDefault="00256917" w:rsidP="00AD4BE1">
            <w:pPr>
              <w:jc w:val="both"/>
              <w:rPr>
                <w:rFonts w:eastAsia="Calibri"/>
                <w:sz w:val="20"/>
                <w:szCs w:val="20"/>
                <w:lang w:val="fr-CA"/>
              </w:rPr>
            </w:pPr>
          </w:p>
        </w:tc>
        <w:tc>
          <w:tcPr>
            <w:tcW w:w="2330" w:type="pct"/>
          </w:tcPr>
          <w:p w:rsidR="00256917" w:rsidRPr="00B92494" w:rsidRDefault="00256917" w:rsidP="00AD4BE1">
            <w:pPr>
              <w:jc w:val="both"/>
              <w:rPr>
                <w:rFonts w:eastAsia="Calibri"/>
                <w:sz w:val="20"/>
                <w:szCs w:val="20"/>
                <w:lang w:val="fr-CA"/>
              </w:rPr>
            </w:pPr>
            <w:r w:rsidRPr="00B92494">
              <w:rPr>
                <w:rFonts w:eastAsia="Calibri"/>
                <w:sz w:val="20"/>
                <w:szCs w:val="20"/>
                <w:lang w:val="fr-CA"/>
              </w:rPr>
              <w:t>Sentence de l’arbitre en matière de compétence portant que les teamsters ont droit au travail de camionnage</w:t>
            </w:r>
          </w:p>
        </w:tc>
      </w:tr>
      <w:tr w:rsidR="00256917" w:rsidRPr="0063742E" w:rsidTr="00AD4BE1">
        <w:tc>
          <w:tcPr>
            <w:tcW w:w="2427" w:type="pct"/>
          </w:tcPr>
          <w:p w:rsidR="00256917" w:rsidRPr="00B92494" w:rsidRDefault="00256917" w:rsidP="00AD4BE1">
            <w:pPr>
              <w:jc w:val="both"/>
              <w:rPr>
                <w:rFonts w:eastAsia="Calibri"/>
                <w:sz w:val="20"/>
                <w:szCs w:val="20"/>
                <w:lang w:val="fr-CA"/>
              </w:rPr>
            </w:pPr>
            <w:r w:rsidRPr="00B92494">
              <w:rPr>
                <w:rFonts w:eastAsia="Calibri"/>
                <w:sz w:val="20"/>
                <w:szCs w:val="20"/>
                <w:lang w:val="fr-CA"/>
              </w:rPr>
              <w:t>18 août 2011</w:t>
            </w:r>
          </w:p>
          <w:p w:rsidR="00256917" w:rsidRPr="00B92494" w:rsidRDefault="00256917" w:rsidP="00AD4BE1">
            <w:pPr>
              <w:jc w:val="both"/>
              <w:rPr>
                <w:rFonts w:eastAsia="Calibri"/>
                <w:sz w:val="20"/>
                <w:szCs w:val="20"/>
                <w:lang w:val="fr-CA"/>
              </w:rPr>
            </w:pPr>
            <w:r w:rsidRPr="00B92494">
              <w:rPr>
                <w:rFonts w:eastAsia="Calibri"/>
                <w:sz w:val="20"/>
                <w:szCs w:val="20"/>
                <w:lang w:val="fr-CA"/>
              </w:rPr>
              <w:t>Cour suprême de Terre-Neuve-et-Labrador, Section de première instance</w:t>
            </w:r>
          </w:p>
          <w:p w:rsidR="00256917" w:rsidRPr="00B92494" w:rsidRDefault="00256917" w:rsidP="00AD4BE1">
            <w:pPr>
              <w:jc w:val="both"/>
              <w:rPr>
                <w:rFonts w:eastAsia="Calibri"/>
                <w:sz w:val="20"/>
                <w:szCs w:val="20"/>
                <w:lang w:val="fr-CA"/>
              </w:rPr>
            </w:pPr>
            <w:r w:rsidRPr="00B92494">
              <w:rPr>
                <w:rFonts w:eastAsia="Calibri"/>
                <w:sz w:val="20"/>
                <w:szCs w:val="20"/>
                <w:lang w:val="fr-CA"/>
              </w:rPr>
              <w:t>(Juge Hall)</w:t>
            </w:r>
          </w:p>
          <w:p w:rsidR="00256917" w:rsidRPr="00B92494" w:rsidRDefault="007F638F" w:rsidP="00AD4BE1">
            <w:pPr>
              <w:jc w:val="both"/>
              <w:rPr>
                <w:rFonts w:eastAsia="Calibri"/>
                <w:sz w:val="20"/>
                <w:szCs w:val="20"/>
                <w:lang w:val="fr-CA"/>
              </w:rPr>
            </w:pPr>
            <w:hyperlink r:id="rId32" w:history="1">
              <w:r w:rsidR="00256917" w:rsidRPr="00B92494">
                <w:rPr>
                  <w:rFonts w:eastAsia="Calibri"/>
                  <w:color w:val="0000FF"/>
                  <w:sz w:val="20"/>
                  <w:szCs w:val="20"/>
                  <w:u w:val="single"/>
                  <w:lang w:val="fr-CA"/>
                </w:rPr>
                <w:t>2011 NLTD(G) 112</w:t>
              </w:r>
            </w:hyperlink>
          </w:p>
          <w:p w:rsidR="00256917" w:rsidRPr="00B92494" w:rsidRDefault="00256917" w:rsidP="00AD4BE1">
            <w:pPr>
              <w:jc w:val="both"/>
              <w:rPr>
                <w:rFonts w:eastAsia="Calibri"/>
                <w:sz w:val="20"/>
                <w:szCs w:val="20"/>
                <w:lang w:val="fr-CA"/>
              </w:rPr>
            </w:pPr>
          </w:p>
        </w:tc>
        <w:tc>
          <w:tcPr>
            <w:tcW w:w="243" w:type="pct"/>
          </w:tcPr>
          <w:p w:rsidR="00256917" w:rsidRPr="00B92494" w:rsidRDefault="00256917" w:rsidP="00AD4BE1">
            <w:pPr>
              <w:jc w:val="both"/>
              <w:rPr>
                <w:rFonts w:eastAsia="Calibri"/>
                <w:sz w:val="20"/>
                <w:szCs w:val="20"/>
                <w:lang w:val="fr-CA"/>
              </w:rPr>
            </w:pPr>
          </w:p>
        </w:tc>
        <w:tc>
          <w:tcPr>
            <w:tcW w:w="2330" w:type="pct"/>
          </w:tcPr>
          <w:p w:rsidR="00256917" w:rsidRPr="00B92494" w:rsidRDefault="00256917" w:rsidP="00AD4BE1">
            <w:pPr>
              <w:jc w:val="both"/>
              <w:rPr>
                <w:rFonts w:eastAsia="Calibri"/>
                <w:sz w:val="20"/>
                <w:szCs w:val="20"/>
                <w:lang w:val="fr-CA"/>
              </w:rPr>
            </w:pPr>
            <w:r w:rsidRPr="00B92494">
              <w:rPr>
                <w:rFonts w:eastAsia="Calibri"/>
                <w:sz w:val="20"/>
                <w:szCs w:val="20"/>
                <w:lang w:val="fr-CA"/>
              </w:rPr>
              <w:t>Infirmation en appel de la sentence de l’arbitre en matière de compétence</w:t>
            </w:r>
          </w:p>
          <w:p w:rsidR="00256917" w:rsidRPr="00B92494" w:rsidRDefault="00256917" w:rsidP="00AD4BE1">
            <w:pPr>
              <w:jc w:val="both"/>
              <w:rPr>
                <w:rFonts w:eastAsia="Calibri"/>
                <w:sz w:val="20"/>
                <w:szCs w:val="20"/>
                <w:lang w:val="fr-CA"/>
              </w:rPr>
            </w:pPr>
          </w:p>
        </w:tc>
      </w:tr>
      <w:tr w:rsidR="00256917" w:rsidRPr="0063742E" w:rsidTr="00AD4BE1">
        <w:tc>
          <w:tcPr>
            <w:tcW w:w="2427" w:type="pct"/>
          </w:tcPr>
          <w:p w:rsidR="00256917" w:rsidRPr="00B92494" w:rsidRDefault="00256917" w:rsidP="00AD4BE1">
            <w:pPr>
              <w:jc w:val="both"/>
              <w:rPr>
                <w:rFonts w:eastAsia="Calibri"/>
                <w:sz w:val="20"/>
                <w:szCs w:val="20"/>
                <w:lang w:val="fr-CA"/>
              </w:rPr>
            </w:pPr>
            <w:r w:rsidRPr="00B92494">
              <w:rPr>
                <w:rFonts w:eastAsia="Calibri"/>
                <w:sz w:val="20"/>
                <w:szCs w:val="20"/>
                <w:lang w:val="fr-CA"/>
              </w:rPr>
              <w:t>28 novembre 2014</w:t>
            </w:r>
          </w:p>
          <w:p w:rsidR="00256917" w:rsidRPr="00B92494" w:rsidRDefault="00256917" w:rsidP="00AD4BE1">
            <w:pPr>
              <w:jc w:val="both"/>
              <w:rPr>
                <w:rFonts w:eastAsia="Calibri"/>
                <w:sz w:val="20"/>
                <w:szCs w:val="20"/>
                <w:lang w:val="fr-CA"/>
              </w:rPr>
            </w:pPr>
            <w:r w:rsidRPr="00B92494">
              <w:rPr>
                <w:rFonts w:eastAsia="Calibri"/>
                <w:sz w:val="20"/>
                <w:szCs w:val="20"/>
                <w:lang w:val="fr-CA"/>
              </w:rPr>
              <w:t>Cour suprême de Terre-Neuve-et-Labrador, Cour d’appel</w:t>
            </w:r>
          </w:p>
          <w:p w:rsidR="00256917" w:rsidRPr="00B92494" w:rsidRDefault="00256917" w:rsidP="00AD4BE1">
            <w:pPr>
              <w:jc w:val="both"/>
              <w:rPr>
                <w:rFonts w:eastAsia="Calibri"/>
                <w:sz w:val="20"/>
                <w:szCs w:val="20"/>
              </w:rPr>
            </w:pPr>
            <w:r w:rsidRPr="00B92494">
              <w:rPr>
                <w:rFonts w:eastAsia="Calibri"/>
                <w:sz w:val="20"/>
                <w:szCs w:val="20"/>
              </w:rPr>
              <w:t>(Juges Green, White et Harrington)</w:t>
            </w:r>
          </w:p>
          <w:p w:rsidR="00256917" w:rsidRPr="00B92494" w:rsidRDefault="007F638F" w:rsidP="00AD4BE1">
            <w:pPr>
              <w:jc w:val="both"/>
              <w:rPr>
                <w:rFonts w:eastAsia="Calibri"/>
                <w:sz w:val="20"/>
                <w:szCs w:val="20"/>
                <w:lang w:val="fr-CA"/>
              </w:rPr>
            </w:pPr>
            <w:hyperlink r:id="rId33" w:history="1">
              <w:r w:rsidR="00256917" w:rsidRPr="00B92494">
                <w:rPr>
                  <w:rFonts w:eastAsia="Calibri"/>
                  <w:color w:val="0000FF"/>
                  <w:sz w:val="20"/>
                  <w:szCs w:val="20"/>
                  <w:u w:val="single"/>
                  <w:lang w:val="fr-CA"/>
                </w:rPr>
                <w:t>2014 NLCA 45</w:t>
              </w:r>
            </w:hyperlink>
          </w:p>
          <w:p w:rsidR="00256917" w:rsidRPr="00B92494" w:rsidRDefault="00256917" w:rsidP="00AD4BE1">
            <w:pPr>
              <w:jc w:val="both"/>
              <w:rPr>
                <w:rFonts w:eastAsia="Calibri"/>
                <w:sz w:val="20"/>
                <w:szCs w:val="20"/>
                <w:lang w:val="fr-CA"/>
              </w:rPr>
            </w:pPr>
          </w:p>
        </w:tc>
        <w:tc>
          <w:tcPr>
            <w:tcW w:w="243" w:type="pct"/>
          </w:tcPr>
          <w:p w:rsidR="00256917" w:rsidRPr="00B92494" w:rsidRDefault="00256917" w:rsidP="00AD4BE1">
            <w:pPr>
              <w:jc w:val="both"/>
              <w:rPr>
                <w:rFonts w:eastAsia="Calibri"/>
                <w:sz w:val="20"/>
                <w:szCs w:val="20"/>
                <w:lang w:val="fr-CA"/>
              </w:rPr>
            </w:pPr>
          </w:p>
        </w:tc>
        <w:tc>
          <w:tcPr>
            <w:tcW w:w="2330" w:type="pct"/>
          </w:tcPr>
          <w:p w:rsidR="00256917" w:rsidRPr="00B92494" w:rsidRDefault="00256917" w:rsidP="00AD4BE1">
            <w:pPr>
              <w:jc w:val="both"/>
              <w:rPr>
                <w:rFonts w:eastAsia="Calibri"/>
                <w:sz w:val="20"/>
                <w:szCs w:val="20"/>
                <w:lang w:val="fr-CA"/>
              </w:rPr>
            </w:pPr>
            <w:r w:rsidRPr="00B92494">
              <w:rPr>
                <w:rFonts w:eastAsia="Calibri"/>
                <w:sz w:val="20"/>
                <w:szCs w:val="20"/>
                <w:lang w:val="fr-CA"/>
              </w:rPr>
              <w:t>Arrêt accueillant l’appel; rétablissement de la sentence de l’arbitre en matière de compétence</w:t>
            </w:r>
          </w:p>
          <w:p w:rsidR="00256917" w:rsidRPr="00B92494" w:rsidRDefault="00256917" w:rsidP="00AD4BE1">
            <w:pPr>
              <w:jc w:val="both"/>
              <w:rPr>
                <w:rFonts w:eastAsia="Calibri"/>
                <w:sz w:val="20"/>
                <w:szCs w:val="20"/>
                <w:lang w:val="fr-CA"/>
              </w:rPr>
            </w:pPr>
          </w:p>
          <w:p w:rsidR="00256917" w:rsidRPr="00B92494" w:rsidRDefault="00256917" w:rsidP="00AD4BE1">
            <w:pPr>
              <w:jc w:val="both"/>
              <w:rPr>
                <w:rFonts w:eastAsia="Calibri"/>
                <w:sz w:val="20"/>
                <w:szCs w:val="20"/>
                <w:lang w:val="fr-CA"/>
              </w:rPr>
            </w:pPr>
          </w:p>
        </w:tc>
      </w:tr>
    </w:tbl>
    <w:p w:rsidR="005D093D" w:rsidRPr="00772617" w:rsidRDefault="005D093D">
      <w:pPr>
        <w:rPr>
          <w:lang w:val="fr-CA"/>
        </w:rPr>
      </w:pPr>
      <w:r w:rsidRPr="0077261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6917" w:rsidRPr="0063742E" w:rsidTr="005D093D">
        <w:trPr>
          <w:cantSplit/>
        </w:trPr>
        <w:tc>
          <w:tcPr>
            <w:tcW w:w="2427" w:type="pct"/>
          </w:tcPr>
          <w:p w:rsidR="00256917" w:rsidRPr="00B92494" w:rsidRDefault="00256917" w:rsidP="00AD4BE1">
            <w:pPr>
              <w:jc w:val="both"/>
              <w:rPr>
                <w:rFonts w:eastAsia="Calibri"/>
                <w:sz w:val="20"/>
                <w:szCs w:val="20"/>
                <w:lang w:val="fr-CA"/>
              </w:rPr>
            </w:pPr>
            <w:r w:rsidRPr="00B92494">
              <w:rPr>
                <w:rFonts w:eastAsia="Calibri"/>
                <w:sz w:val="20"/>
                <w:szCs w:val="20"/>
                <w:lang w:val="fr-CA"/>
              </w:rPr>
              <w:lastRenderedPageBreak/>
              <w:t>27 janvier 2015</w:t>
            </w:r>
          </w:p>
          <w:p w:rsidR="00256917" w:rsidRPr="00B92494" w:rsidRDefault="00256917" w:rsidP="00AD4BE1">
            <w:pPr>
              <w:jc w:val="both"/>
              <w:rPr>
                <w:rFonts w:eastAsia="Calibri"/>
                <w:sz w:val="20"/>
                <w:szCs w:val="20"/>
                <w:lang w:val="fr-CA"/>
              </w:rPr>
            </w:pPr>
            <w:r w:rsidRPr="00B92494">
              <w:rPr>
                <w:rFonts w:eastAsia="Calibri"/>
                <w:sz w:val="20"/>
                <w:szCs w:val="20"/>
                <w:lang w:val="fr-CA"/>
              </w:rPr>
              <w:t>Cour suprême du Canada</w:t>
            </w:r>
          </w:p>
        </w:tc>
        <w:tc>
          <w:tcPr>
            <w:tcW w:w="243" w:type="pct"/>
          </w:tcPr>
          <w:p w:rsidR="00256917" w:rsidRPr="00B92494" w:rsidRDefault="00256917" w:rsidP="00AD4BE1">
            <w:pPr>
              <w:jc w:val="both"/>
              <w:rPr>
                <w:rFonts w:eastAsia="Calibri"/>
                <w:sz w:val="20"/>
                <w:szCs w:val="20"/>
                <w:lang w:val="fr-CA"/>
              </w:rPr>
            </w:pPr>
          </w:p>
        </w:tc>
        <w:tc>
          <w:tcPr>
            <w:tcW w:w="2330" w:type="pct"/>
          </w:tcPr>
          <w:p w:rsidR="00256917" w:rsidRPr="00B92494" w:rsidRDefault="00256917" w:rsidP="00AD4BE1">
            <w:pPr>
              <w:jc w:val="both"/>
              <w:rPr>
                <w:rFonts w:eastAsia="Calibri"/>
                <w:sz w:val="20"/>
                <w:szCs w:val="20"/>
                <w:lang w:val="fr-CA"/>
              </w:rPr>
            </w:pPr>
            <w:r w:rsidRPr="00B92494">
              <w:rPr>
                <w:rFonts w:eastAsia="Calibri"/>
                <w:sz w:val="20"/>
                <w:szCs w:val="20"/>
                <w:lang w:val="fr-CA"/>
              </w:rPr>
              <w:t>Dépôt de la demande d’autorisation d’appel</w:t>
            </w:r>
          </w:p>
        </w:tc>
      </w:tr>
    </w:tbl>
    <w:p w:rsidR="00C05442" w:rsidRPr="00256917" w:rsidRDefault="00C05442" w:rsidP="00C05442">
      <w:pPr>
        <w:rPr>
          <w:sz w:val="20"/>
          <w:szCs w:val="20"/>
          <w:lang w:val="fr-CA"/>
        </w:rPr>
      </w:pPr>
    </w:p>
    <w:p w:rsidR="00C05442" w:rsidRDefault="007F638F" w:rsidP="00C05442">
      <w:pPr>
        <w:rPr>
          <w:sz w:val="20"/>
          <w:szCs w:val="20"/>
          <w:lang w:val="fr-CA"/>
        </w:rPr>
      </w:pPr>
      <w:r>
        <w:rPr>
          <w:sz w:val="20"/>
          <w:szCs w:val="20"/>
          <w:lang w:val="fr-CA"/>
        </w:rPr>
        <w:pict>
          <v:rect id="_x0000_i1039" style="width:2in;height:1pt" o:hrpct="0" o:hralign="center" o:hrstd="t" o:hrnoshade="t" o:hr="t" fillcolor="black [3213]" stroked="f"/>
        </w:pict>
      </w:r>
    </w:p>
    <w:p w:rsidR="00C05442" w:rsidRDefault="00C05442" w:rsidP="00C05442">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42164" w:rsidRPr="004F280C" w:rsidTr="00042164">
        <w:trPr>
          <w:cantSplit/>
        </w:trPr>
        <w:tc>
          <w:tcPr>
            <w:tcW w:w="1458" w:type="dxa"/>
          </w:tcPr>
          <w:p w:rsidR="00042164" w:rsidRPr="004F280C" w:rsidRDefault="00042164" w:rsidP="00042164">
            <w:pPr>
              <w:rPr>
                <w:sz w:val="20"/>
                <w:szCs w:val="20"/>
              </w:rPr>
            </w:pPr>
            <w:r w:rsidRPr="004F280C">
              <w:rPr>
                <w:rStyle w:val="SCCFileNumberChar"/>
                <w:sz w:val="20"/>
                <w:szCs w:val="20"/>
              </w:rPr>
              <w:t>36281</w:t>
            </w:r>
          </w:p>
          <w:p w:rsidR="00042164" w:rsidRPr="004F280C" w:rsidRDefault="00042164" w:rsidP="00042164">
            <w:pPr>
              <w:rPr>
                <w:b/>
                <w:sz w:val="20"/>
                <w:szCs w:val="20"/>
                <w:lang w:val="fr-CA"/>
              </w:rPr>
            </w:pPr>
          </w:p>
        </w:tc>
        <w:tc>
          <w:tcPr>
            <w:tcW w:w="8118" w:type="dxa"/>
          </w:tcPr>
          <w:p w:rsidR="00042164" w:rsidRPr="004F280C" w:rsidRDefault="00042164" w:rsidP="00042164">
            <w:pPr>
              <w:rPr>
                <w:sz w:val="20"/>
                <w:szCs w:val="20"/>
              </w:rPr>
            </w:pPr>
            <w:r w:rsidRPr="004F280C">
              <w:rPr>
                <w:rStyle w:val="SCCLsocChar"/>
                <w:sz w:val="20"/>
                <w:szCs w:val="20"/>
                <w:lang w:val="en-CA"/>
              </w:rPr>
              <w:t>Andrew Stevenson v. Her Majesty the Queen</w:t>
            </w:r>
            <w:r w:rsidRPr="004F280C">
              <w:rPr>
                <w:sz w:val="20"/>
                <w:szCs w:val="20"/>
              </w:rPr>
              <w:t xml:space="preserve"> (Ont.) (Criminal) (By Leave)</w:t>
            </w:r>
          </w:p>
          <w:p w:rsidR="00042164" w:rsidRPr="004F280C" w:rsidRDefault="00042164" w:rsidP="00042164">
            <w:pPr>
              <w:rPr>
                <w:sz w:val="20"/>
                <w:szCs w:val="20"/>
              </w:rPr>
            </w:pPr>
          </w:p>
        </w:tc>
      </w:tr>
      <w:tr w:rsidR="00042164" w:rsidRPr="004F280C" w:rsidTr="00042164">
        <w:trPr>
          <w:cantSplit/>
        </w:trPr>
        <w:tc>
          <w:tcPr>
            <w:tcW w:w="1458" w:type="dxa"/>
          </w:tcPr>
          <w:p w:rsidR="00042164" w:rsidRPr="004F280C" w:rsidRDefault="00042164" w:rsidP="00042164">
            <w:pPr>
              <w:rPr>
                <w:sz w:val="20"/>
                <w:szCs w:val="20"/>
              </w:rPr>
            </w:pPr>
            <w:r w:rsidRPr="004F280C">
              <w:rPr>
                <w:sz w:val="20"/>
                <w:szCs w:val="20"/>
              </w:rPr>
              <w:t>Coram :</w:t>
            </w:r>
          </w:p>
        </w:tc>
        <w:tc>
          <w:tcPr>
            <w:tcW w:w="8118" w:type="dxa"/>
          </w:tcPr>
          <w:p w:rsidR="00042164" w:rsidRPr="004F280C" w:rsidRDefault="00042164" w:rsidP="00042164">
            <w:pPr>
              <w:rPr>
                <w:sz w:val="20"/>
                <w:szCs w:val="20"/>
              </w:rPr>
            </w:pPr>
            <w:r w:rsidRPr="004F280C">
              <w:rPr>
                <w:rStyle w:val="SCCCoramChar"/>
                <w:sz w:val="20"/>
                <w:szCs w:val="20"/>
                <w:lang w:val="en-CA"/>
              </w:rPr>
              <w:t>McLachlin C.J. and Wagner and Gascon JJ.</w:t>
            </w:r>
          </w:p>
          <w:p w:rsidR="00042164" w:rsidRPr="004F280C" w:rsidRDefault="00042164" w:rsidP="00042164">
            <w:pPr>
              <w:rPr>
                <w:sz w:val="20"/>
                <w:szCs w:val="20"/>
                <w:u w:val="single"/>
              </w:rPr>
            </w:pPr>
          </w:p>
        </w:tc>
      </w:tr>
      <w:tr w:rsidR="00042164" w:rsidRPr="0063742E" w:rsidTr="00042164">
        <w:trPr>
          <w:cantSplit/>
        </w:trPr>
        <w:tc>
          <w:tcPr>
            <w:tcW w:w="9576" w:type="dxa"/>
            <w:gridSpan w:val="2"/>
          </w:tcPr>
          <w:p w:rsidR="00042164" w:rsidRPr="004F280C" w:rsidRDefault="00042164" w:rsidP="00042164">
            <w:pPr>
              <w:pStyle w:val="SCCShortJudgment"/>
              <w:rPr>
                <w:szCs w:val="20"/>
              </w:rPr>
            </w:pPr>
            <w:r w:rsidRPr="004F280C">
              <w:rPr>
                <w:szCs w:val="20"/>
              </w:rPr>
              <w:t>The motion for an extension of time to serve and file the respondent’s response is granted. The application for leave to appeal from the judgment of the Court of Appeal for Ontario, Number C51209, 2014 ONCA 842, dated November 26, 2014, is dismissed.</w:t>
            </w:r>
          </w:p>
          <w:p w:rsidR="00042164" w:rsidRPr="004F280C" w:rsidRDefault="00042164" w:rsidP="00042164">
            <w:pPr>
              <w:pStyle w:val="SCCShortJudgment"/>
              <w:ind w:firstLine="0"/>
              <w:rPr>
                <w:szCs w:val="20"/>
              </w:rPr>
            </w:pPr>
          </w:p>
          <w:p w:rsidR="00042164" w:rsidRPr="004F280C" w:rsidRDefault="00042164" w:rsidP="00042164">
            <w:pPr>
              <w:pStyle w:val="SCCShortJudgment"/>
              <w:rPr>
                <w:szCs w:val="20"/>
                <w:lang w:val="fr-CA"/>
              </w:rPr>
            </w:pPr>
            <w:r w:rsidRPr="004F280C">
              <w:rPr>
                <w:szCs w:val="20"/>
                <w:lang w:val="fr-CA"/>
              </w:rPr>
              <w:t>La requête en prorogation du délai de signification et de dépôt de la réponse de l’intimée est accueillie. La demande d’autorisation d’appel de l’arrêt de la Cour d’appel de l’Ontario, numéro C51209, 2014 ONCA 842, daté du 26 novembre 2014, est rejetée.</w:t>
            </w:r>
          </w:p>
        </w:tc>
      </w:tr>
    </w:tbl>
    <w:p w:rsidR="00C05442" w:rsidRPr="00042164" w:rsidRDefault="00C05442" w:rsidP="00C05442">
      <w:pPr>
        <w:rPr>
          <w:sz w:val="20"/>
          <w:szCs w:val="20"/>
          <w:lang w:val="fr-CA"/>
        </w:rPr>
      </w:pPr>
    </w:p>
    <w:p w:rsidR="00C05442" w:rsidRPr="001B157C" w:rsidRDefault="00C05442" w:rsidP="00C05442">
      <w:pPr>
        <w:rPr>
          <w:sz w:val="20"/>
          <w:szCs w:val="20"/>
          <w:u w:val="single"/>
        </w:rPr>
      </w:pPr>
      <w:r w:rsidRPr="001B157C">
        <w:rPr>
          <w:sz w:val="20"/>
          <w:szCs w:val="20"/>
          <w:u w:val="single"/>
        </w:rPr>
        <w:t>CASE SUMMARY</w:t>
      </w:r>
    </w:p>
    <w:p w:rsidR="00C05442" w:rsidRDefault="00C05442" w:rsidP="00C054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6917" w:rsidRPr="00B92494" w:rsidTr="00AD4BE1">
        <w:tc>
          <w:tcPr>
            <w:tcW w:w="5000" w:type="pct"/>
            <w:gridSpan w:val="3"/>
          </w:tcPr>
          <w:p w:rsidR="00256917" w:rsidRPr="00B92494" w:rsidRDefault="00256917" w:rsidP="00AD4BE1">
            <w:pPr>
              <w:jc w:val="both"/>
              <w:rPr>
                <w:rFonts w:eastAsia="Calibri"/>
                <w:sz w:val="20"/>
                <w:szCs w:val="20"/>
              </w:rPr>
            </w:pPr>
            <w:r w:rsidRPr="00B92494">
              <w:rPr>
                <w:rFonts w:eastAsia="Calibri"/>
                <w:i/>
                <w:sz w:val="20"/>
                <w:szCs w:val="20"/>
              </w:rPr>
              <w:t>Canadian Charter of Rights and Freedoms</w:t>
            </w:r>
            <w:r w:rsidRPr="00B92494">
              <w:rPr>
                <w:rFonts w:eastAsia="Calibri"/>
                <w:sz w:val="20"/>
                <w:szCs w:val="20"/>
              </w:rPr>
              <w:t xml:space="preserve"> – Criminal law – Evidence – Whether evidence of gun shot residue (GSR) should have been excluded from evidence under s. 24(2) of the </w:t>
            </w:r>
            <w:r w:rsidRPr="00B92494">
              <w:rPr>
                <w:rFonts w:eastAsia="Calibri"/>
                <w:i/>
                <w:sz w:val="20"/>
                <w:szCs w:val="20"/>
              </w:rPr>
              <w:t>Charter</w:t>
            </w:r>
            <w:r w:rsidRPr="00B92494">
              <w:rPr>
                <w:rFonts w:eastAsia="Calibri"/>
                <w:sz w:val="20"/>
                <w:szCs w:val="20"/>
              </w:rPr>
              <w:t xml:space="preserve"> – Search and seizure – Section 8 of the </w:t>
            </w:r>
            <w:r w:rsidRPr="00B92494">
              <w:rPr>
                <w:rFonts w:eastAsia="Calibri"/>
                <w:i/>
                <w:sz w:val="20"/>
                <w:szCs w:val="20"/>
              </w:rPr>
              <w:t>Charter</w:t>
            </w:r>
            <w:r w:rsidRPr="00B92494">
              <w:rPr>
                <w:rFonts w:eastAsia="Calibri"/>
                <w:sz w:val="20"/>
                <w:szCs w:val="20"/>
              </w:rPr>
              <w:t xml:space="preserve"> – Admissibility of applicant’s statements to police – </w:t>
            </w:r>
            <w:r w:rsidRPr="00B92494">
              <w:rPr>
                <w:rFonts w:eastAsia="Calibri"/>
                <w:iCs/>
                <w:sz w:val="20"/>
                <w:szCs w:val="20"/>
              </w:rPr>
              <w:t xml:space="preserve">Is a traditional probative value vs. prejudicial effect analysis sufficient to guard against a miscarriage of justice in relation to scientific forensic evidence where there is evidence of contamination </w:t>
            </w:r>
            <w:r w:rsidRPr="00B92494">
              <w:rPr>
                <w:rFonts w:eastAsia="Calibri"/>
                <w:sz w:val="20"/>
                <w:szCs w:val="20"/>
              </w:rPr>
              <w:t xml:space="preserve">– </w:t>
            </w:r>
            <w:r w:rsidRPr="00B92494">
              <w:rPr>
                <w:rFonts w:eastAsia="Calibri"/>
                <w:iCs/>
                <w:sz w:val="20"/>
                <w:szCs w:val="20"/>
              </w:rPr>
              <w:t xml:space="preserve">In cases where particles characteristic of GSR are found on an accused, should evidence about the existence of non-GSR one- and two-element particles be left with the trier of fact as evidence capable of supporting the conclusion that the accused discharged a firearm </w:t>
            </w:r>
            <w:r w:rsidRPr="00B92494">
              <w:rPr>
                <w:rFonts w:eastAsia="Calibri"/>
                <w:sz w:val="20"/>
                <w:szCs w:val="20"/>
              </w:rPr>
              <w:t xml:space="preserve">– </w:t>
            </w:r>
            <w:r w:rsidRPr="00B92494">
              <w:rPr>
                <w:rFonts w:eastAsia="Calibri"/>
                <w:iCs/>
                <w:sz w:val="20"/>
                <w:szCs w:val="20"/>
              </w:rPr>
              <w:t>What limits should be placed on when triers of fact can rely on exculpatory post-arrest utterances of an accused to support an inference of guilt</w:t>
            </w:r>
            <w:r w:rsidRPr="00B92494">
              <w:rPr>
                <w:rFonts w:eastAsia="Calibri"/>
                <w:sz w:val="20"/>
                <w:szCs w:val="20"/>
              </w:rPr>
              <w:t xml:space="preserve"> –</w:t>
            </w:r>
            <w:r w:rsidRPr="00B92494">
              <w:rPr>
                <w:rFonts w:eastAsia="Calibri"/>
                <w:iCs/>
                <w:sz w:val="20"/>
                <w:szCs w:val="20"/>
              </w:rPr>
              <w:t xml:space="preserve"> Did the Court of Appeal err in the assessment of the s. 24(2) </w:t>
            </w:r>
            <w:r w:rsidRPr="00B92494">
              <w:rPr>
                <w:rFonts w:eastAsia="Calibri"/>
                <w:i/>
                <w:iCs/>
                <w:sz w:val="20"/>
                <w:szCs w:val="20"/>
              </w:rPr>
              <w:t xml:space="preserve">Charter </w:t>
            </w:r>
            <w:r w:rsidRPr="00B92494">
              <w:rPr>
                <w:rFonts w:eastAsia="Calibri"/>
                <w:iCs/>
                <w:sz w:val="20"/>
                <w:szCs w:val="20"/>
              </w:rPr>
              <w:t xml:space="preserve">factors </w:t>
            </w:r>
            <w:r w:rsidRPr="00B92494">
              <w:rPr>
                <w:rFonts w:eastAsia="Calibri"/>
                <w:sz w:val="20"/>
                <w:szCs w:val="20"/>
              </w:rPr>
              <w:t xml:space="preserve">– </w:t>
            </w:r>
            <w:r w:rsidRPr="00B92494">
              <w:rPr>
                <w:rFonts w:eastAsia="Calibri"/>
                <w:iCs/>
                <w:sz w:val="20"/>
                <w:szCs w:val="20"/>
              </w:rPr>
              <w:t xml:space="preserve">Does the power to search incident to an investigative detention extend to taking preparatory steps towards preserving potential evidence </w:t>
            </w:r>
            <w:r w:rsidRPr="00B92494">
              <w:rPr>
                <w:rFonts w:eastAsia="Calibri"/>
                <w:sz w:val="20"/>
                <w:szCs w:val="20"/>
              </w:rPr>
              <w:t xml:space="preserve">– </w:t>
            </w:r>
            <w:r w:rsidRPr="00B92494">
              <w:rPr>
                <w:rFonts w:eastAsia="Calibri"/>
                <w:i/>
                <w:iCs/>
                <w:sz w:val="20"/>
                <w:szCs w:val="20"/>
              </w:rPr>
              <w:t>Charter of Rights</w:t>
            </w:r>
            <w:r w:rsidRPr="00B92494">
              <w:rPr>
                <w:rFonts w:eastAsia="Calibri"/>
                <w:iCs/>
                <w:sz w:val="20"/>
                <w:szCs w:val="20"/>
              </w:rPr>
              <w:t>, ss. 8, 24(2).</w:t>
            </w:r>
          </w:p>
        </w:tc>
      </w:tr>
      <w:tr w:rsidR="00256917" w:rsidRPr="00B92494" w:rsidTr="00AD4BE1">
        <w:tc>
          <w:tcPr>
            <w:tcW w:w="5000" w:type="pct"/>
            <w:gridSpan w:val="3"/>
          </w:tcPr>
          <w:p w:rsidR="00256917" w:rsidRPr="00B92494" w:rsidRDefault="00256917" w:rsidP="00AD4BE1">
            <w:pPr>
              <w:jc w:val="both"/>
              <w:rPr>
                <w:rFonts w:eastAsia="Calibri"/>
                <w:sz w:val="20"/>
                <w:szCs w:val="20"/>
              </w:rPr>
            </w:pPr>
          </w:p>
        </w:tc>
      </w:tr>
      <w:tr w:rsidR="00256917" w:rsidRPr="00B92494" w:rsidTr="00AD4BE1">
        <w:tc>
          <w:tcPr>
            <w:tcW w:w="5000" w:type="pct"/>
            <w:gridSpan w:val="3"/>
          </w:tcPr>
          <w:p w:rsidR="00256917" w:rsidRPr="00B92494" w:rsidRDefault="00256917" w:rsidP="00AD4BE1">
            <w:pPr>
              <w:jc w:val="both"/>
              <w:rPr>
                <w:rFonts w:eastAsia="Calibri"/>
                <w:sz w:val="20"/>
                <w:szCs w:val="20"/>
              </w:rPr>
            </w:pPr>
            <w:r w:rsidRPr="00B92494">
              <w:rPr>
                <w:rFonts w:eastAsia="Calibri"/>
                <w:sz w:val="20"/>
                <w:szCs w:val="20"/>
              </w:rPr>
              <w:t>The applicant is Ms. Stevenson’s estranged husband.  Ms. Stevenson was shot in the head as she was leaving for work.  The applicant was arrested and charged with her murder.  After a trial by judge and jury, the applicant was convicted of first degree murder.  The conviction appeal was dismissed.</w:t>
            </w:r>
          </w:p>
          <w:p w:rsidR="00256917" w:rsidRPr="00B92494" w:rsidRDefault="00256917" w:rsidP="00AD4BE1">
            <w:pPr>
              <w:jc w:val="both"/>
              <w:rPr>
                <w:rFonts w:eastAsia="Calibri"/>
                <w:sz w:val="20"/>
                <w:szCs w:val="20"/>
              </w:rPr>
            </w:pPr>
          </w:p>
        </w:tc>
      </w:tr>
      <w:tr w:rsidR="00256917" w:rsidRPr="00B92494" w:rsidTr="00AD4BE1">
        <w:tc>
          <w:tcPr>
            <w:tcW w:w="2427" w:type="pct"/>
          </w:tcPr>
          <w:p w:rsidR="00256917" w:rsidRPr="00B92494" w:rsidRDefault="00256917" w:rsidP="00AD4BE1">
            <w:pPr>
              <w:jc w:val="both"/>
              <w:rPr>
                <w:rFonts w:eastAsia="Calibri"/>
                <w:sz w:val="20"/>
                <w:szCs w:val="20"/>
              </w:rPr>
            </w:pPr>
            <w:r w:rsidRPr="00B92494">
              <w:rPr>
                <w:rFonts w:eastAsia="Calibri"/>
                <w:sz w:val="20"/>
                <w:szCs w:val="20"/>
              </w:rPr>
              <w:t>October 7, 2009</w:t>
            </w:r>
          </w:p>
          <w:p w:rsidR="00256917" w:rsidRPr="00B92494" w:rsidRDefault="00256917" w:rsidP="00AD4BE1">
            <w:pPr>
              <w:jc w:val="both"/>
              <w:rPr>
                <w:rFonts w:eastAsia="Calibri"/>
                <w:sz w:val="20"/>
                <w:szCs w:val="20"/>
              </w:rPr>
            </w:pPr>
            <w:r w:rsidRPr="00B92494">
              <w:rPr>
                <w:rFonts w:eastAsia="Calibri"/>
                <w:sz w:val="20"/>
                <w:szCs w:val="20"/>
              </w:rPr>
              <w:t>Ontario Superior Court of Justice</w:t>
            </w:r>
          </w:p>
          <w:p w:rsidR="00256917" w:rsidRPr="00B92494" w:rsidRDefault="00256917" w:rsidP="00AD4BE1">
            <w:pPr>
              <w:jc w:val="both"/>
              <w:rPr>
                <w:rFonts w:eastAsia="Calibri"/>
                <w:sz w:val="20"/>
                <w:szCs w:val="20"/>
              </w:rPr>
            </w:pPr>
            <w:r w:rsidRPr="00B92494">
              <w:rPr>
                <w:rFonts w:eastAsia="Calibri"/>
                <w:sz w:val="20"/>
                <w:szCs w:val="20"/>
              </w:rPr>
              <w:t>(Ratushny J.)</w:t>
            </w:r>
          </w:p>
          <w:p w:rsidR="00256917" w:rsidRPr="00B92494" w:rsidRDefault="00256917" w:rsidP="00AD4BE1">
            <w:pPr>
              <w:jc w:val="both"/>
              <w:rPr>
                <w:rFonts w:eastAsia="Calibri"/>
                <w:sz w:val="20"/>
                <w:szCs w:val="20"/>
              </w:rPr>
            </w:pPr>
            <w:r w:rsidRPr="00B92494">
              <w:rPr>
                <w:rFonts w:eastAsia="Calibri"/>
                <w:sz w:val="20"/>
                <w:szCs w:val="20"/>
              </w:rPr>
              <w:t xml:space="preserve"> </w:t>
            </w:r>
          </w:p>
        </w:tc>
        <w:tc>
          <w:tcPr>
            <w:tcW w:w="243" w:type="pct"/>
          </w:tcPr>
          <w:p w:rsidR="00256917" w:rsidRPr="00B92494" w:rsidRDefault="00256917" w:rsidP="00AD4BE1">
            <w:pPr>
              <w:jc w:val="both"/>
              <w:rPr>
                <w:rFonts w:eastAsia="Calibri"/>
                <w:sz w:val="20"/>
                <w:szCs w:val="20"/>
              </w:rPr>
            </w:pPr>
          </w:p>
        </w:tc>
        <w:tc>
          <w:tcPr>
            <w:tcW w:w="2330" w:type="pct"/>
          </w:tcPr>
          <w:p w:rsidR="00256917" w:rsidRPr="00B92494" w:rsidRDefault="00256917" w:rsidP="00AD4BE1">
            <w:pPr>
              <w:jc w:val="both"/>
              <w:rPr>
                <w:rFonts w:eastAsia="Calibri"/>
                <w:sz w:val="20"/>
                <w:szCs w:val="20"/>
              </w:rPr>
            </w:pPr>
            <w:r w:rsidRPr="00B92494">
              <w:rPr>
                <w:rFonts w:eastAsia="Calibri"/>
                <w:sz w:val="20"/>
                <w:szCs w:val="20"/>
              </w:rPr>
              <w:t>Conviction:  first degree murder</w:t>
            </w:r>
          </w:p>
          <w:p w:rsidR="00256917" w:rsidRPr="00B92494" w:rsidRDefault="00256917" w:rsidP="00AD4BE1">
            <w:pPr>
              <w:jc w:val="both"/>
              <w:rPr>
                <w:rFonts w:eastAsia="Calibri"/>
                <w:sz w:val="20"/>
                <w:szCs w:val="20"/>
              </w:rPr>
            </w:pPr>
          </w:p>
          <w:p w:rsidR="00256917" w:rsidRPr="00B92494" w:rsidRDefault="00256917" w:rsidP="00AD4BE1">
            <w:pPr>
              <w:jc w:val="both"/>
              <w:rPr>
                <w:rFonts w:eastAsia="Calibri"/>
                <w:sz w:val="20"/>
                <w:szCs w:val="20"/>
              </w:rPr>
            </w:pPr>
          </w:p>
        </w:tc>
      </w:tr>
      <w:tr w:rsidR="00256917" w:rsidRPr="00B92494" w:rsidTr="00AD4BE1">
        <w:tc>
          <w:tcPr>
            <w:tcW w:w="2427" w:type="pct"/>
          </w:tcPr>
          <w:p w:rsidR="00256917" w:rsidRPr="00B92494" w:rsidRDefault="00256917" w:rsidP="00AD4BE1">
            <w:pPr>
              <w:jc w:val="both"/>
              <w:rPr>
                <w:rFonts w:eastAsia="Calibri"/>
                <w:sz w:val="20"/>
                <w:szCs w:val="20"/>
              </w:rPr>
            </w:pPr>
            <w:r w:rsidRPr="00B92494">
              <w:rPr>
                <w:rFonts w:eastAsia="Calibri"/>
                <w:sz w:val="20"/>
                <w:szCs w:val="20"/>
              </w:rPr>
              <w:t>November 26, 2014</w:t>
            </w:r>
          </w:p>
          <w:p w:rsidR="00256917" w:rsidRPr="00B92494" w:rsidRDefault="00256917" w:rsidP="00AD4BE1">
            <w:pPr>
              <w:jc w:val="both"/>
              <w:rPr>
                <w:rFonts w:eastAsia="Calibri"/>
                <w:sz w:val="20"/>
                <w:szCs w:val="20"/>
              </w:rPr>
            </w:pPr>
            <w:r w:rsidRPr="00B92494">
              <w:rPr>
                <w:rFonts w:eastAsia="Calibri"/>
                <w:sz w:val="20"/>
                <w:szCs w:val="20"/>
              </w:rPr>
              <w:t>Court of Appeal for Ontario</w:t>
            </w:r>
          </w:p>
          <w:p w:rsidR="00256917" w:rsidRPr="00B92494" w:rsidRDefault="00256917" w:rsidP="00AD4BE1">
            <w:pPr>
              <w:jc w:val="both"/>
              <w:rPr>
                <w:rFonts w:eastAsia="Calibri"/>
                <w:sz w:val="20"/>
                <w:szCs w:val="20"/>
              </w:rPr>
            </w:pPr>
            <w:r w:rsidRPr="00B92494">
              <w:rPr>
                <w:rFonts w:eastAsia="Calibri"/>
                <w:sz w:val="20"/>
                <w:szCs w:val="20"/>
              </w:rPr>
              <w:t>(Doherty, Rouleau, Epstein  JJ.A.)</w:t>
            </w:r>
          </w:p>
          <w:p w:rsidR="00256917" w:rsidRPr="00B92494" w:rsidRDefault="00256917" w:rsidP="00AD4BE1">
            <w:pPr>
              <w:jc w:val="both"/>
              <w:rPr>
                <w:rFonts w:eastAsia="Calibri"/>
                <w:sz w:val="20"/>
                <w:szCs w:val="20"/>
              </w:rPr>
            </w:pPr>
            <w:r w:rsidRPr="00B92494">
              <w:rPr>
                <w:rFonts w:eastAsia="Calibri"/>
                <w:sz w:val="20"/>
                <w:szCs w:val="20"/>
              </w:rPr>
              <w:t>2014 ONCA 842; C51209</w:t>
            </w:r>
          </w:p>
          <w:p w:rsidR="00256917" w:rsidRPr="00B92494" w:rsidRDefault="007F638F" w:rsidP="00AD4BE1">
            <w:pPr>
              <w:jc w:val="both"/>
              <w:rPr>
                <w:rFonts w:eastAsia="Calibri"/>
                <w:sz w:val="20"/>
                <w:szCs w:val="20"/>
              </w:rPr>
            </w:pPr>
            <w:hyperlink r:id="rId34" w:history="1">
              <w:r w:rsidR="00256917" w:rsidRPr="00B92494">
                <w:rPr>
                  <w:color w:val="0000FF"/>
                  <w:sz w:val="20"/>
                  <w:szCs w:val="20"/>
                  <w:u w:val="single"/>
                </w:rPr>
                <w:t>http://canlii.ca/t/gfdfp</w:t>
              </w:r>
            </w:hyperlink>
          </w:p>
          <w:p w:rsidR="00256917" w:rsidRPr="00B92494" w:rsidRDefault="00256917" w:rsidP="00AD4BE1">
            <w:pPr>
              <w:jc w:val="both"/>
              <w:rPr>
                <w:rFonts w:eastAsia="Calibri"/>
                <w:sz w:val="20"/>
                <w:szCs w:val="20"/>
              </w:rPr>
            </w:pPr>
          </w:p>
        </w:tc>
        <w:tc>
          <w:tcPr>
            <w:tcW w:w="243" w:type="pct"/>
          </w:tcPr>
          <w:p w:rsidR="00256917" w:rsidRPr="00B92494" w:rsidRDefault="00256917" w:rsidP="00AD4BE1">
            <w:pPr>
              <w:jc w:val="both"/>
              <w:rPr>
                <w:rFonts w:eastAsia="Calibri"/>
                <w:sz w:val="20"/>
                <w:szCs w:val="20"/>
              </w:rPr>
            </w:pPr>
          </w:p>
        </w:tc>
        <w:tc>
          <w:tcPr>
            <w:tcW w:w="2330" w:type="pct"/>
          </w:tcPr>
          <w:p w:rsidR="00256917" w:rsidRPr="00B92494" w:rsidRDefault="00256917" w:rsidP="00AD4BE1">
            <w:pPr>
              <w:jc w:val="both"/>
              <w:rPr>
                <w:rFonts w:eastAsia="Calibri"/>
                <w:sz w:val="20"/>
                <w:szCs w:val="20"/>
              </w:rPr>
            </w:pPr>
            <w:r w:rsidRPr="00B92494">
              <w:rPr>
                <w:rFonts w:eastAsia="Calibri"/>
                <w:sz w:val="20"/>
                <w:szCs w:val="20"/>
              </w:rPr>
              <w:t>Conviction appeal dismissed</w:t>
            </w:r>
          </w:p>
          <w:p w:rsidR="00256917" w:rsidRPr="00B92494" w:rsidRDefault="00256917" w:rsidP="00AD4BE1">
            <w:pPr>
              <w:jc w:val="both"/>
              <w:rPr>
                <w:rFonts w:eastAsia="Calibri"/>
                <w:sz w:val="20"/>
                <w:szCs w:val="20"/>
              </w:rPr>
            </w:pPr>
          </w:p>
          <w:p w:rsidR="00256917" w:rsidRPr="00B92494" w:rsidRDefault="00256917" w:rsidP="00AD4BE1">
            <w:pPr>
              <w:jc w:val="both"/>
              <w:rPr>
                <w:rFonts w:eastAsia="Calibri"/>
                <w:sz w:val="20"/>
                <w:szCs w:val="20"/>
              </w:rPr>
            </w:pPr>
          </w:p>
        </w:tc>
      </w:tr>
      <w:tr w:rsidR="00256917" w:rsidRPr="00B92494" w:rsidTr="00AD4BE1">
        <w:tc>
          <w:tcPr>
            <w:tcW w:w="2427" w:type="pct"/>
          </w:tcPr>
          <w:p w:rsidR="00256917" w:rsidRPr="00B92494" w:rsidRDefault="00256917" w:rsidP="00AD4BE1">
            <w:pPr>
              <w:jc w:val="both"/>
              <w:rPr>
                <w:rFonts w:eastAsia="Calibri"/>
                <w:sz w:val="20"/>
                <w:szCs w:val="20"/>
              </w:rPr>
            </w:pPr>
            <w:r w:rsidRPr="00B92494">
              <w:rPr>
                <w:rFonts w:eastAsia="Calibri"/>
                <w:sz w:val="20"/>
                <w:szCs w:val="20"/>
              </w:rPr>
              <w:t>January 23, 2015</w:t>
            </w:r>
          </w:p>
          <w:p w:rsidR="00256917" w:rsidRPr="00B92494" w:rsidRDefault="00256917" w:rsidP="00AD4BE1">
            <w:pPr>
              <w:jc w:val="both"/>
              <w:rPr>
                <w:rFonts w:eastAsia="Calibri"/>
                <w:sz w:val="20"/>
                <w:szCs w:val="20"/>
              </w:rPr>
            </w:pPr>
            <w:r w:rsidRPr="00B92494">
              <w:rPr>
                <w:rFonts w:eastAsia="Calibri"/>
                <w:sz w:val="20"/>
                <w:szCs w:val="20"/>
              </w:rPr>
              <w:t>Supreme Court of Canada</w:t>
            </w:r>
          </w:p>
          <w:p w:rsidR="00256917" w:rsidRPr="00B92494" w:rsidRDefault="00256917" w:rsidP="00AD4BE1">
            <w:pPr>
              <w:jc w:val="both"/>
              <w:rPr>
                <w:rFonts w:eastAsia="Calibri"/>
                <w:sz w:val="20"/>
                <w:szCs w:val="20"/>
              </w:rPr>
            </w:pPr>
          </w:p>
        </w:tc>
        <w:tc>
          <w:tcPr>
            <w:tcW w:w="243" w:type="pct"/>
          </w:tcPr>
          <w:p w:rsidR="00256917" w:rsidRPr="00B92494" w:rsidRDefault="00256917" w:rsidP="00AD4BE1">
            <w:pPr>
              <w:jc w:val="both"/>
              <w:rPr>
                <w:rFonts w:eastAsia="Calibri"/>
                <w:sz w:val="20"/>
                <w:szCs w:val="20"/>
              </w:rPr>
            </w:pPr>
          </w:p>
        </w:tc>
        <w:tc>
          <w:tcPr>
            <w:tcW w:w="2330" w:type="pct"/>
          </w:tcPr>
          <w:p w:rsidR="00256917" w:rsidRPr="00B92494" w:rsidRDefault="00256917" w:rsidP="00AD4BE1">
            <w:pPr>
              <w:jc w:val="both"/>
              <w:rPr>
                <w:rFonts w:eastAsia="Calibri"/>
                <w:sz w:val="20"/>
                <w:szCs w:val="20"/>
              </w:rPr>
            </w:pPr>
            <w:r w:rsidRPr="00B92494">
              <w:rPr>
                <w:rFonts w:eastAsia="Calibri"/>
                <w:sz w:val="20"/>
                <w:szCs w:val="20"/>
              </w:rPr>
              <w:t>Application for leave to appeal filed</w:t>
            </w:r>
          </w:p>
          <w:p w:rsidR="00256917" w:rsidRPr="00B92494" w:rsidRDefault="00256917" w:rsidP="00AD4BE1">
            <w:pPr>
              <w:jc w:val="both"/>
              <w:rPr>
                <w:rFonts w:eastAsia="Calibri"/>
                <w:sz w:val="20"/>
                <w:szCs w:val="20"/>
              </w:rPr>
            </w:pPr>
          </w:p>
        </w:tc>
      </w:tr>
    </w:tbl>
    <w:p w:rsidR="00042164" w:rsidRDefault="00042164">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6917" w:rsidRPr="00B92494" w:rsidTr="00042164">
        <w:trPr>
          <w:cantSplit/>
        </w:trPr>
        <w:tc>
          <w:tcPr>
            <w:tcW w:w="2427" w:type="pct"/>
          </w:tcPr>
          <w:p w:rsidR="00256917" w:rsidRPr="00B92494" w:rsidRDefault="00256917" w:rsidP="00AD4BE1">
            <w:pPr>
              <w:jc w:val="both"/>
              <w:rPr>
                <w:rFonts w:eastAsia="Calibri"/>
                <w:b/>
                <w:sz w:val="20"/>
                <w:szCs w:val="20"/>
              </w:rPr>
            </w:pPr>
            <w:r w:rsidRPr="00B92494">
              <w:rPr>
                <w:rFonts w:eastAsia="Calibri"/>
                <w:sz w:val="20"/>
                <w:szCs w:val="20"/>
              </w:rPr>
              <w:lastRenderedPageBreak/>
              <w:t xml:space="preserve">April 9, 2015 </w:t>
            </w:r>
          </w:p>
          <w:p w:rsidR="00256917" w:rsidRPr="00B92494" w:rsidRDefault="00256917" w:rsidP="00AD4BE1">
            <w:pPr>
              <w:jc w:val="both"/>
              <w:rPr>
                <w:rFonts w:eastAsia="Calibri"/>
                <w:sz w:val="20"/>
                <w:szCs w:val="20"/>
              </w:rPr>
            </w:pPr>
            <w:r w:rsidRPr="00B92494">
              <w:rPr>
                <w:rFonts w:eastAsia="Calibri"/>
                <w:sz w:val="20"/>
                <w:szCs w:val="20"/>
              </w:rPr>
              <w:t>Supreme Court of Canada</w:t>
            </w:r>
          </w:p>
        </w:tc>
        <w:tc>
          <w:tcPr>
            <w:tcW w:w="243" w:type="pct"/>
          </w:tcPr>
          <w:p w:rsidR="00256917" w:rsidRPr="00B92494" w:rsidRDefault="00256917" w:rsidP="00AD4BE1">
            <w:pPr>
              <w:jc w:val="both"/>
              <w:rPr>
                <w:rFonts w:eastAsia="Calibri"/>
                <w:sz w:val="20"/>
                <w:szCs w:val="20"/>
              </w:rPr>
            </w:pPr>
          </w:p>
        </w:tc>
        <w:tc>
          <w:tcPr>
            <w:tcW w:w="2330" w:type="pct"/>
          </w:tcPr>
          <w:p w:rsidR="00256917" w:rsidRPr="00B92494" w:rsidRDefault="00256917" w:rsidP="00AD4BE1">
            <w:pPr>
              <w:jc w:val="both"/>
              <w:rPr>
                <w:rFonts w:eastAsia="Calibri"/>
                <w:sz w:val="20"/>
                <w:szCs w:val="20"/>
              </w:rPr>
            </w:pPr>
            <w:r w:rsidRPr="00B92494">
              <w:rPr>
                <w:rFonts w:eastAsia="Calibri"/>
                <w:sz w:val="20"/>
                <w:szCs w:val="20"/>
              </w:rPr>
              <w:t>Respondent’s motion for an extension of time to serve and file the response filed</w:t>
            </w:r>
          </w:p>
        </w:tc>
      </w:tr>
    </w:tbl>
    <w:p w:rsidR="00C05442" w:rsidRDefault="00C05442" w:rsidP="00C05442">
      <w:pPr>
        <w:rPr>
          <w:sz w:val="20"/>
          <w:szCs w:val="20"/>
        </w:rPr>
      </w:pPr>
    </w:p>
    <w:p w:rsidR="00C05442" w:rsidRPr="00C50A5C" w:rsidRDefault="007F638F" w:rsidP="00C05442">
      <w:pPr>
        <w:rPr>
          <w:sz w:val="20"/>
          <w:szCs w:val="20"/>
        </w:rPr>
      </w:pPr>
      <w:r>
        <w:rPr>
          <w:sz w:val="20"/>
          <w:szCs w:val="20"/>
          <w:lang w:val="fr-CA"/>
        </w:rPr>
        <w:pict>
          <v:rect id="_x0000_i1040" style="width:2in;height:1pt" o:hrpct="0" o:hralign="center" o:hrstd="t" o:hrnoshade="t" o:hr="t" fillcolor="black [3213]" stroked="f"/>
        </w:pict>
      </w:r>
    </w:p>
    <w:p w:rsidR="00C05442" w:rsidRDefault="00C05442" w:rsidP="00C05442">
      <w:pPr>
        <w:rPr>
          <w:sz w:val="20"/>
          <w:szCs w:val="20"/>
        </w:rPr>
      </w:pPr>
    </w:p>
    <w:p w:rsidR="00C05442" w:rsidRPr="001B157C" w:rsidRDefault="00C05442" w:rsidP="00C05442">
      <w:pPr>
        <w:rPr>
          <w:sz w:val="20"/>
          <w:szCs w:val="20"/>
          <w:u w:val="single"/>
          <w:lang w:val="fr-CA"/>
        </w:rPr>
      </w:pPr>
      <w:r w:rsidRPr="001B157C">
        <w:rPr>
          <w:sz w:val="20"/>
          <w:szCs w:val="20"/>
          <w:u w:val="single"/>
          <w:lang w:val="fr-CA"/>
        </w:rPr>
        <w:t>RÉSUMÉ DE L’AFFAIRE</w:t>
      </w:r>
    </w:p>
    <w:p w:rsidR="00C05442" w:rsidRDefault="00C05442" w:rsidP="00C054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6917" w:rsidRPr="0063742E" w:rsidTr="00AD4BE1">
        <w:tc>
          <w:tcPr>
            <w:tcW w:w="5000" w:type="pct"/>
            <w:gridSpan w:val="3"/>
          </w:tcPr>
          <w:p w:rsidR="00256917" w:rsidRPr="00B92494" w:rsidRDefault="00256917" w:rsidP="00AD4BE1">
            <w:pPr>
              <w:jc w:val="both"/>
              <w:rPr>
                <w:rFonts w:eastAsia="Calibri"/>
                <w:sz w:val="20"/>
                <w:szCs w:val="20"/>
                <w:lang w:val="fr-CA"/>
              </w:rPr>
            </w:pPr>
            <w:r w:rsidRPr="00B92494">
              <w:rPr>
                <w:rFonts w:eastAsia="Calibri"/>
                <w:i/>
                <w:sz w:val="20"/>
                <w:szCs w:val="20"/>
                <w:lang w:val="fr-CA"/>
              </w:rPr>
              <w:t>Charte canadienne des droits et libertés</w:t>
            </w:r>
            <w:r w:rsidRPr="00B92494">
              <w:rPr>
                <w:rFonts w:eastAsia="Calibri"/>
                <w:sz w:val="20"/>
                <w:szCs w:val="20"/>
                <w:lang w:val="fr-CA"/>
              </w:rPr>
              <w:t xml:space="preserve"> – Droit criminel – Preuve – La preuve de résidus de poudre aurait-elle dû être exclue en application du par. 24(2) de la </w:t>
            </w:r>
            <w:r w:rsidRPr="00B92494">
              <w:rPr>
                <w:rFonts w:eastAsia="Calibri"/>
                <w:i/>
                <w:sz w:val="20"/>
                <w:szCs w:val="20"/>
                <w:lang w:val="fr-CA"/>
              </w:rPr>
              <w:t>Charte</w:t>
            </w:r>
            <w:r w:rsidRPr="00B92494">
              <w:rPr>
                <w:rFonts w:eastAsia="Calibri"/>
                <w:sz w:val="20"/>
                <w:szCs w:val="20"/>
                <w:lang w:val="fr-CA"/>
              </w:rPr>
              <w:t xml:space="preserve">? – Fouilles et perquisitions – Article 8 de la </w:t>
            </w:r>
            <w:r w:rsidRPr="00B92494">
              <w:rPr>
                <w:rFonts w:eastAsia="Calibri"/>
                <w:i/>
                <w:sz w:val="20"/>
                <w:szCs w:val="20"/>
                <w:lang w:val="fr-CA"/>
              </w:rPr>
              <w:t>Charte</w:t>
            </w:r>
            <w:r w:rsidRPr="00B92494">
              <w:rPr>
                <w:rFonts w:eastAsia="Calibri"/>
                <w:sz w:val="20"/>
                <w:szCs w:val="20"/>
                <w:lang w:val="fr-CA"/>
              </w:rPr>
              <w:t xml:space="preserve"> – Admissibilité des déclarations du demandeur aux policiers – </w:t>
            </w:r>
            <w:r w:rsidRPr="00B92494">
              <w:rPr>
                <w:rFonts w:eastAsia="Calibri"/>
                <w:iCs/>
                <w:sz w:val="20"/>
                <w:szCs w:val="20"/>
                <w:lang w:val="fr-CA"/>
              </w:rPr>
              <w:t xml:space="preserve">L’analyse classique qui consiste à mettre en balance la valeur probante et l’effet préjudiciable suffit-elle à prévenir les erreurs judiciaires en lien avec de la preuve médico-légale dans les cas où il y a preuve de contamination?  </w:t>
            </w:r>
            <w:r w:rsidRPr="00B92494">
              <w:rPr>
                <w:rFonts w:eastAsia="Calibri"/>
                <w:sz w:val="20"/>
                <w:szCs w:val="20"/>
                <w:lang w:val="fr-CA"/>
              </w:rPr>
              <w:t xml:space="preserve">– </w:t>
            </w:r>
            <w:r w:rsidRPr="00B92494">
              <w:rPr>
                <w:rFonts w:eastAsia="Calibri"/>
                <w:iCs/>
                <w:sz w:val="20"/>
                <w:szCs w:val="20"/>
                <w:lang w:val="fr-CA"/>
              </w:rPr>
              <w:t xml:space="preserve">Dans les cas où des particules caractéristiques des résidus de poudre sont trouvées sur l’accusé, la preuve de l’existence de particules composées d’un ou de deux éléments, c’est-à-dire qui ne sont pas des résidus de poudre, devrait-elle être laissée au juge des faits comme preuve susceptible d’appuyer la conclusion selon laquelle l’accusé avait déchargé une arme à feu? </w:t>
            </w:r>
            <w:r w:rsidRPr="00B92494">
              <w:rPr>
                <w:rFonts w:eastAsia="Calibri"/>
                <w:sz w:val="20"/>
                <w:szCs w:val="20"/>
                <w:lang w:val="fr-CA"/>
              </w:rPr>
              <w:t xml:space="preserve">– </w:t>
            </w:r>
            <w:r w:rsidRPr="00B92494">
              <w:rPr>
                <w:rFonts w:eastAsia="Calibri"/>
                <w:iCs/>
                <w:sz w:val="20"/>
                <w:szCs w:val="20"/>
                <w:lang w:val="fr-CA"/>
              </w:rPr>
              <w:t xml:space="preserve">Quelles limites devraient être imposées lorsque les juges des faits peuvent s’appuyer sur les déclarations disculpatoires de l’accusé prononcées après l’arrestation au soutien d’une inférence de culpabilité? </w:t>
            </w:r>
            <w:r w:rsidRPr="00B92494">
              <w:rPr>
                <w:rFonts w:eastAsia="Calibri"/>
                <w:sz w:val="20"/>
                <w:szCs w:val="20"/>
                <w:lang w:val="fr-CA"/>
              </w:rPr>
              <w:t>–</w:t>
            </w:r>
            <w:r w:rsidRPr="00B92494">
              <w:rPr>
                <w:rFonts w:eastAsia="Calibri"/>
                <w:iCs/>
                <w:sz w:val="20"/>
                <w:szCs w:val="20"/>
                <w:lang w:val="fr-CA"/>
              </w:rPr>
              <w:t xml:space="preserve"> La Cour d’appel s’est-elle trompée dans son appréciation des facteurs en lien avec le par. 24(2) de la </w:t>
            </w:r>
            <w:r w:rsidRPr="00B92494">
              <w:rPr>
                <w:rFonts w:eastAsia="Calibri"/>
                <w:i/>
                <w:iCs/>
                <w:sz w:val="20"/>
                <w:szCs w:val="20"/>
                <w:lang w:val="fr-CA"/>
              </w:rPr>
              <w:t>Charte</w:t>
            </w:r>
            <w:r w:rsidRPr="00B92494">
              <w:rPr>
                <w:rFonts w:eastAsia="Calibri"/>
                <w:iCs/>
                <w:sz w:val="20"/>
                <w:szCs w:val="20"/>
                <w:lang w:val="fr-CA"/>
              </w:rPr>
              <w:t>?</w:t>
            </w:r>
            <w:r w:rsidRPr="00B92494">
              <w:rPr>
                <w:rFonts w:eastAsia="Calibri"/>
                <w:i/>
                <w:iCs/>
                <w:sz w:val="20"/>
                <w:szCs w:val="20"/>
                <w:lang w:val="fr-CA"/>
              </w:rPr>
              <w:t xml:space="preserve"> </w:t>
            </w:r>
            <w:r w:rsidRPr="00B92494">
              <w:rPr>
                <w:rFonts w:eastAsia="Calibri"/>
                <w:sz w:val="20"/>
                <w:szCs w:val="20"/>
                <w:lang w:val="fr-CA"/>
              </w:rPr>
              <w:t xml:space="preserve">– </w:t>
            </w:r>
            <w:r w:rsidRPr="00B92494">
              <w:rPr>
                <w:rFonts w:eastAsia="Calibri"/>
                <w:iCs/>
                <w:sz w:val="20"/>
                <w:szCs w:val="20"/>
                <w:lang w:val="fr-CA"/>
              </w:rPr>
              <w:t xml:space="preserve">Le pouvoir de fouille accessoire à une détention aux fins d’enquête va-t-il jusqu’à la prise de mesures préparatoires visant à conserver d’éventuels éléments de preuve? </w:t>
            </w:r>
            <w:r w:rsidRPr="00B92494">
              <w:rPr>
                <w:rFonts w:eastAsia="Calibri"/>
                <w:sz w:val="20"/>
                <w:szCs w:val="20"/>
                <w:lang w:val="fr-CA"/>
              </w:rPr>
              <w:t xml:space="preserve">– </w:t>
            </w:r>
            <w:r w:rsidRPr="00B92494">
              <w:rPr>
                <w:rFonts w:eastAsia="Calibri"/>
                <w:i/>
                <w:iCs/>
                <w:sz w:val="20"/>
                <w:szCs w:val="20"/>
                <w:lang w:val="fr-CA"/>
              </w:rPr>
              <w:t>Charte des droits</w:t>
            </w:r>
            <w:r w:rsidRPr="00B92494">
              <w:rPr>
                <w:rFonts w:eastAsia="Calibri"/>
                <w:iCs/>
                <w:sz w:val="20"/>
                <w:szCs w:val="20"/>
                <w:lang w:val="fr-CA"/>
              </w:rPr>
              <w:t>, art. 8, 24(2).</w:t>
            </w:r>
          </w:p>
        </w:tc>
      </w:tr>
      <w:tr w:rsidR="00256917" w:rsidRPr="0063742E" w:rsidTr="00AD4BE1">
        <w:tc>
          <w:tcPr>
            <w:tcW w:w="5000" w:type="pct"/>
            <w:gridSpan w:val="3"/>
          </w:tcPr>
          <w:p w:rsidR="00256917" w:rsidRPr="00B92494" w:rsidRDefault="00256917" w:rsidP="00AD4BE1">
            <w:pPr>
              <w:jc w:val="both"/>
              <w:rPr>
                <w:rFonts w:eastAsia="Calibri"/>
                <w:sz w:val="20"/>
                <w:szCs w:val="20"/>
                <w:lang w:val="fr-CA"/>
              </w:rPr>
            </w:pPr>
          </w:p>
        </w:tc>
      </w:tr>
      <w:tr w:rsidR="00256917" w:rsidRPr="00B92494" w:rsidTr="00AD4BE1">
        <w:tc>
          <w:tcPr>
            <w:tcW w:w="5000" w:type="pct"/>
            <w:gridSpan w:val="3"/>
          </w:tcPr>
          <w:p w:rsidR="00256917" w:rsidRPr="00B92494" w:rsidRDefault="00256917" w:rsidP="00AD4BE1">
            <w:pPr>
              <w:jc w:val="both"/>
              <w:rPr>
                <w:rFonts w:eastAsia="Calibri"/>
                <w:sz w:val="20"/>
                <w:szCs w:val="20"/>
                <w:lang w:val="fr-CA"/>
              </w:rPr>
            </w:pPr>
            <w:r w:rsidRPr="00B92494">
              <w:rPr>
                <w:rFonts w:eastAsia="Calibri"/>
                <w:sz w:val="20"/>
                <w:szCs w:val="20"/>
                <w:lang w:val="fr-CA"/>
              </w:rPr>
              <w:t>Le demandeur est l’ex-conjoint de Mme Stevenson.  Madame Stevenson a été abattue d’un coup de feu à la tête alors qu’elle était sur son départ pour se rendre au travail.  Le demandeur a été arrêté et accusé de meurtre.  À l’issue d’un procès devant juge et jury, le demandeur a été déclaré coupable de meurtre au premier degré.  L’appel de la déclaration de culpabilité a été rejeté.</w:t>
            </w:r>
          </w:p>
          <w:p w:rsidR="00256917" w:rsidRPr="00B92494" w:rsidRDefault="00256917" w:rsidP="00AD4BE1">
            <w:pPr>
              <w:jc w:val="both"/>
              <w:rPr>
                <w:rFonts w:eastAsia="Calibri"/>
                <w:sz w:val="20"/>
                <w:szCs w:val="20"/>
                <w:lang w:val="fr-CA"/>
              </w:rPr>
            </w:pPr>
          </w:p>
        </w:tc>
      </w:tr>
      <w:tr w:rsidR="00256917" w:rsidRPr="0063742E" w:rsidTr="00AD4BE1">
        <w:tc>
          <w:tcPr>
            <w:tcW w:w="2427" w:type="pct"/>
          </w:tcPr>
          <w:p w:rsidR="00256917" w:rsidRPr="00B92494" w:rsidRDefault="00256917" w:rsidP="00AD4BE1">
            <w:pPr>
              <w:jc w:val="both"/>
              <w:rPr>
                <w:rFonts w:eastAsia="Calibri"/>
                <w:sz w:val="20"/>
                <w:szCs w:val="20"/>
                <w:lang w:val="fr-CA"/>
              </w:rPr>
            </w:pPr>
            <w:r w:rsidRPr="00B92494">
              <w:rPr>
                <w:rFonts w:eastAsia="Calibri"/>
                <w:sz w:val="20"/>
                <w:szCs w:val="20"/>
                <w:lang w:val="fr-CA"/>
              </w:rPr>
              <w:t>7 octobre 2009</w:t>
            </w:r>
          </w:p>
          <w:p w:rsidR="00256917" w:rsidRPr="00B92494" w:rsidRDefault="00256917" w:rsidP="00AD4BE1">
            <w:pPr>
              <w:jc w:val="both"/>
              <w:rPr>
                <w:rFonts w:eastAsia="Calibri"/>
                <w:sz w:val="20"/>
                <w:szCs w:val="20"/>
                <w:lang w:val="fr-CA"/>
              </w:rPr>
            </w:pPr>
            <w:r w:rsidRPr="00B92494">
              <w:rPr>
                <w:rFonts w:eastAsia="Calibri"/>
                <w:sz w:val="20"/>
                <w:szCs w:val="20"/>
                <w:lang w:val="fr-CA"/>
              </w:rPr>
              <w:t>Cour supérieure de justice de l’Ontario</w:t>
            </w:r>
          </w:p>
          <w:p w:rsidR="00256917" w:rsidRPr="00B92494" w:rsidRDefault="00256917" w:rsidP="00AD4BE1">
            <w:pPr>
              <w:jc w:val="both"/>
              <w:rPr>
                <w:rFonts w:eastAsia="Calibri"/>
                <w:sz w:val="20"/>
                <w:szCs w:val="20"/>
                <w:lang w:val="fr-CA"/>
              </w:rPr>
            </w:pPr>
            <w:r w:rsidRPr="00B92494">
              <w:rPr>
                <w:rFonts w:eastAsia="Calibri"/>
                <w:sz w:val="20"/>
                <w:szCs w:val="20"/>
                <w:lang w:val="fr-CA"/>
              </w:rPr>
              <w:t>(Juge Ratushny)</w:t>
            </w:r>
          </w:p>
          <w:p w:rsidR="00256917" w:rsidRPr="00B92494" w:rsidRDefault="00256917" w:rsidP="00AD4BE1">
            <w:pPr>
              <w:jc w:val="both"/>
              <w:rPr>
                <w:rFonts w:eastAsia="Calibri"/>
                <w:sz w:val="20"/>
                <w:szCs w:val="20"/>
                <w:lang w:val="fr-CA"/>
              </w:rPr>
            </w:pPr>
            <w:r w:rsidRPr="00B92494">
              <w:rPr>
                <w:rFonts w:eastAsia="Calibri"/>
                <w:sz w:val="20"/>
                <w:szCs w:val="20"/>
                <w:lang w:val="fr-CA"/>
              </w:rPr>
              <w:t xml:space="preserve"> </w:t>
            </w:r>
          </w:p>
        </w:tc>
        <w:tc>
          <w:tcPr>
            <w:tcW w:w="243" w:type="pct"/>
          </w:tcPr>
          <w:p w:rsidR="00256917" w:rsidRPr="00B92494" w:rsidRDefault="00256917" w:rsidP="00AD4BE1">
            <w:pPr>
              <w:jc w:val="both"/>
              <w:rPr>
                <w:rFonts w:eastAsia="Calibri"/>
                <w:sz w:val="20"/>
                <w:szCs w:val="20"/>
                <w:lang w:val="fr-CA"/>
              </w:rPr>
            </w:pPr>
          </w:p>
        </w:tc>
        <w:tc>
          <w:tcPr>
            <w:tcW w:w="2330" w:type="pct"/>
          </w:tcPr>
          <w:p w:rsidR="00256917" w:rsidRPr="00B92494" w:rsidRDefault="00256917" w:rsidP="00AD4BE1">
            <w:pPr>
              <w:jc w:val="both"/>
              <w:rPr>
                <w:rFonts w:eastAsia="Calibri"/>
                <w:sz w:val="20"/>
                <w:szCs w:val="20"/>
                <w:lang w:val="fr-CA"/>
              </w:rPr>
            </w:pPr>
            <w:r w:rsidRPr="00B92494">
              <w:rPr>
                <w:rFonts w:eastAsia="Calibri"/>
                <w:sz w:val="20"/>
                <w:szCs w:val="20"/>
                <w:lang w:val="fr-CA"/>
              </w:rPr>
              <w:t>Déclaration de culpabilité : meurtre au premier degré</w:t>
            </w:r>
          </w:p>
          <w:p w:rsidR="00256917" w:rsidRPr="00B92494" w:rsidRDefault="00256917" w:rsidP="00AD4BE1">
            <w:pPr>
              <w:jc w:val="both"/>
              <w:rPr>
                <w:rFonts w:eastAsia="Calibri"/>
                <w:sz w:val="20"/>
                <w:szCs w:val="20"/>
                <w:lang w:val="fr-CA"/>
              </w:rPr>
            </w:pPr>
          </w:p>
          <w:p w:rsidR="00256917" w:rsidRPr="00B92494" w:rsidRDefault="00256917" w:rsidP="00AD4BE1">
            <w:pPr>
              <w:jc w:val="both"/>
              <w:rPr>
                <w:rFonts w:eastAsia="Calibri"/>
                <w:sz w:val="20"/>
                <w:szCs w:val="20"/>
                <w:lang w:val="fr-CA"/>
              </w:rPr>
            </w:pPr>
          </w:p>
        </w:tc>
      </w:tr>
      <w:tr w:rsidR="00256917" w:rsidRPr="0063742E" w:rsidTr="00AD4BE1">
        <w:tc>
          <w:tcPr>
            <w:tcW w:w="2427" w:type="pct"/>
          </w:tcPr>
          <w:p w:rsidR="00256917" w:rsidRPr="00B92494" w:rsidRDefault="00256917" w:rsidP="00AD4BE1">
            <w:pPr>
              <w:jc w:val="both"/>
              <w:rPr>
                <w:rFonts w:eastAsia="Calibri"/>
                <w:sz w:val="20"/>
                <w:szCs w:val="20"/>
                <w:lang w:val="fr-CA"/>
              </w:rPr>
            </w:pPr>
            <w:r w:rsidRPr="00B92494">
              <w:rPr>
                <w:rFonts w:eastAsia="Calibri"/>
                <w:sz w:val="20"/>
                <w:szCs w:val="20"/>
                <w:lang w:val="fr-CA"/>
              </w:rPr>
              <w:t>26 novembre 2014</w:t>
            </w:r>
          </w:p>
          <w:p w:rsidR="00256917" w:rsidRPr="00B92494" w:rsidRDefault="00256917" w:rsidP="00AD4BE1">
            <w:pPr>
              <w:jc w:val="both"/>
              <w:rPr>
                <w:rFonts w:eastAsia="Calibri"/>
                <w:sz w:val="20"/>
                <w:szCs w:val="20"/>
                <w:lang w:val="fr-CA"/>
              </w:rPr>
            </w:pPr>
            <w:r w:rsidRPr="00B92494">
              <w:rPr>
                <w:rFonts w:eastAsia="Calibri"/>
                <w:sz w:val="20"/>
                <w:szCs w:val="20"/>
                <w:lang w:val="fr-CA"/>
              </w:rPr>
              <w:t>Cour d’appel de l’Ontario</w:t>
            </w:r>
          </w:p>
          <w:p w:rsidR="00256917" w:rsidRPr="00B92494" w:rsidRDefault="00256917" w:rsidP="00AD4BE1">
            <w:pPr>
              <w:jc w:val="both"/>
              <w:rPr>
                <w:rFonts w:eastAsia="Calibri"/>
                <w:sz w:val="20"/>
                <w:szCs w:val="20"/>
                <w:lang w:val="fr-CA"/>
              </w:rPr>
            </w:pPr>
            <w:r w:rsidRPr="00B92494">
              <w:rPr>
                <w:rFonts w:eastAsia="Calibri"/>
                <w:sz w:val="20"/>
                <w:szCs w:val="20"/>
                <w:lang w:val="fr-CA"/>
              </w:rPr>
              <w:t>(Juges Doherty, Rouleau et Epstein)</w:t>
            </w:r>
          </w:p>
          <w:p w:rsidR="00256917" w:rsidRPr="00B92494" w:rsidRDefault="00256917" w:rsidP="00AD4BE1">
            <w:pPr>
              <w:jc w:val="both"/>
              <w:rPr>
                <w:rFonts w:eastAsia="Calibri"/>
                <w:sz w:val="20"/>
                <w:szCs w:val="20"/>
              </w:rPr>
            </w:pPr>
            <w:r w:rsidRPr="00B92494">
              <w:rPr>
                <w:rFonts w:eastAsia="Calibri"/>
                <w:sz w:val="20"/>
                <w:szCs w:val="20"/>
              </w:rPr>
              <w:t>2014 ONCA 842; C51209</w:t>
            </w:r>
          </w:p>
          <w:p w:rsidR="00256917" w:rsidRPr="00B92494" w:rsidRDefault="007F638F" w:rsidP="00AD4BE1">
            <w:pPr>
              <w:jc w:val="both"/>
              <w:rPr>
                <w:rFonts w:eastAsia="Calibri"/>
                <w:sz w:val="20"/>
                <w:szCs w:val="20"/>
              </w:rPr>
            </w:pPr>
            <w:hyperlink r:id="rId35" w:history="1">
              <w:r w:rsidR="00256917" w:rsidRPr="00B92494">
                <w:rPr>
                  <w:color w:val="0000FF"/>
                  <w:sz w:val="20"/>
                  <w:szCs w:val="20"/>
                  <w:u w:val="single"/>
                </w:rPr>
                <w:t>http://canlii.ca/t/gfdfp</w:t>
              </w:r>
            </w:hyperlink>
          </w:p>
          <w:p w:rsidR="00256917" w:rsidRPr="00B92494" w:rsidRDefault="00256917" w:rsidP="00AD4BE1">
            <w:pPr>
              <w:jc w:val="both"/>
              <w:rPr>
                <w:rFonts w:eastAsia="Calibri"/>
                <w:sz w:val="20"/>
                <w:szCs w:val="20"/>
              </w:rPr>
            </w:pPr>
          </w:p>
        </w:tc>
        <w:tc>
          <w:tcPr>
            <w:tcW w:w="243" w:type="pct"/>
          </w:tcPr>
          <w:p w:rsidR="00256917" w:rsidRPr="00B92494" w:rsidRDefault="00256917" w:rsidP="00AD4BE1">
            <w:pPr>
              <w:jc w:val="both"/>
              <w:rPr>
                <w:rFonts w:eastAsia="Calibri"/>
                <w:sz w:val="20"/>
                <w:szCs w:val="20"/>
              </w:rPr>
            </w:pPr>
          </w:p>
        </w:tc>
        <w:tc>
          <w:tcPr>
            <w:tcW w:w="2330" w:type="pct"/>
          </w:tcPr>
          <w:p w:rsidR="00256917" w:rsidRPr="00B92494" w:rsidRDefault="00256917" w:rsidP="00AD4BE1">
            <w:pPr>
              <w:jc w:val="both"/>
              <w:rPr>
                <w:rFonts w:eastAsia="Calibri"/>
                <w:sz w:val="20"/>
                <w:szCs w:val="20"/>
                <w:lang w:val="fr-CA"/>
              </w:rPr>
            </w:pPr>
            <w:r w:rsidRPr="00B92494">
              <w:rPr>
                <w:rFonts w:eastAsia="Calibri"/>
                <w:sz w:val="20"/>
                <w:szCs w:val="20"/>
                <w:lang w:val="fr-CA"/>
              </w:rPr>
              <w:t>Rejet de l’appel de la déclaration de culpabilité</w:t>
            </w:r>
          </w:p>
          <w:p w:rsidR="00256917" w:rsidRPr="00B92494" w:rsidRDefault="00256917" w:rsidP="00AD4BE1">
            <w:pPr>
              <w:jc w:val="both"/>
              <w:rPr>
                <w:rFonts w:eastAsia="Calibri"/>
                <w:sz w:val="20"/>
                <w:szCs w:val="20"/>
                <w:lang w:val="fr-CA"/>
              </w:rPr>
            </w:pPr>
          </w:p>
          <w:p w:rsidR="00256917" w:rsidRPr="00B92494" w:rsidRDefault="00256917" w:rsidP="00AD4BE1">
            <w:pPr>
              <w:jc w:val="both"/>
              <w:rPr>
                <w:rFonts w:eastAsia="Calibri"/>
                <w:sz w:val="20"/>
                <w:szCs w:val="20"/>
                <w:lang w:val="fr-CA"/>
              </w:rPr>
            </w:pPr>
          </w:p>
        </w:tc>
      </w:tr>
      <w:tr w:rsidR="00256917" w:rsidRPr="0063742E" w:rsidTr="00AD4BE1">
        <w:tc>
          <w:tcPr>
            <w:tcW w:w="2427" w:type="pct"/>
          </w:tcPr>
          <w:p w:rsidR="00256917" w:rsidRPr="00B92494" w:rsidRDefault="00256917" w:rsidP="00AD4BE1">
            <w:pPr>
              <w:jc w:val="both"/>
              <w:rPr>
                <w:rFonts w:eastAsia="Calibri"/>
                <w:sz w:val="20"/>
                <w:szCs w:val="20"/>
                <w:lang w:val="fr-CA"/>
              </w:rPr>
            </w:pPr>
            <w:r w:rsidRPr="00B92494">
              <w:rPr>
                <w:rFonts w:eastAsia="Calibri"/>
                <w:sz w:val="20"/>
                <w:szCs w:val="20"/>
                <w:lang w:val="fr-CA"/>
              </w:rPr>
              <w:t>23 janvier 2015</w:t>
            </w:r>
          </w:p>
          <w:p w:rsidR="00256917" w:rsidRPr="00B92494" w:rsidRDefault="00256917" w:rsidP="00AD4BE1">
            <w:pPr>
              <w:jc w:val="both"/>
              <w:rPr>
                <w:rFonts w:eastAsia="Calibri"/>
                <w:sz w:val="20"/>
                <w:szCs w:val="20"/>
                <w:lang w:val="fr-CA"/>
              </w:rPr>
            </w:pPr>
            <w:r w:rsidRPr="00B92494">
              <w:rPr>
                <w:rFonts w:eastAsia="Calibri"/>
                <w:sz w:val="20"/>
                <w:szCs w:val="20"/>
                <w:lang w:val="fr-CA"/>
              </w:rPr>
              <w:t>Cour suprême du Canada</w:t>
            </w:r>
          </w:p>
          <w:p w:rsidR="00256917" w:rsidRPr="00B92494" w:rsidRDefault="00256917" w:rsidP="00AD4BE1">
            <w:pPr>
              <w:jc w:val="both"/>
              <w:rPr>
                <w:rFonts w:eastAsia="Calibri"/>
                <w:sz w:val="20"/>
                <w:szCs w:val="20"/>
                <w:lang w:val="fr-CA"/>
              </w:rPr>
            </w:pPr>
          </w:p>
        </w:tc>
        <w:tc>
          <w:tcPr>
            <w:tcW w:w="243" w:type="pct"/>
          </w:tcPr>
          <w:p w:rsidR="00256917" w:rsidRPr="00B92494" w:rsidRDefault="00256917" w:rsidP="00AD4BE1">
            <w:pPr>
              <w:jc w:val="both"/>
              <w:rPr>
                <w:rFonts w:eastAsia="Calibri"/>
                <w:sz w:val="20"/>
                <w:szCs w:val="20"/>
                <w:lang w:val="fr-CA"/>
              </w:rPr>
            </w:pPr>
          </w:p>
        </w:tc>
        <w:tc>
          <w:tcPr>
            <w:tcW w:w="2330" w:type="pct"/>
          </w:tcPr>
          <w:p w:rsidR="00256917" w:rsidRPr="00B92494" w:rsidRDefault="00256917" w:rsidP="00AD4BE1">
            <w:pPr>
              <w:jc w:val="both"/>
              <w:rPr>
                <w:rFonts w:eastAsia="Calibri"/>
                <w:sz w:val="20"/>
                <w:szCs w:val="20"/>
                <w:lang w:val="fr-CA"/>
              </w:rPr>
            </w:pPr>
            <w:r w:rsidRPr="00B92494">
              <w:rPr>
                <w:rFonts w:eastAsia="Calibri"/>
                <w:sz w:val="20"/>
                <w:szCs w:val="20"/>
                <w:lang w:val="fr-CA"/>
              </w:rPr>
              <w:t>Dépôt de la demande d’autorisation d’appel</w:t>
            </w:r>
          </w:p>
          <w:p w:rsidR="00256917" w:rsidRPr="00B92494" w:rsidRDefault="00256917" w:rsidP="00AD4BE1">
            <w:pPr>
              <w:jc w:val="both"/>
              <w:rPr>
                <w:rFonts w:eastAsia="Calibri"/>
                <w:sz w:val="20"/>
                <w:szCs w:val="20"/>
                <w:lang w:val="fr-CA"/>
              </w:rPr>
            </w:pPr>
          </w:p>
        </w:tc>
      </w:tr>
      <w:tr w:rsidR="00256917" w:rsidRPr="0063742E" w:rsidTr="00AD4BE1">
        <w:tc>
          <w:tcPr>
            <w:tcW w:w="2427" w:type="pct"/>
          </w:tcPr>
          <w:p w:rsidR="00256917" w:rsidRPr="00B92494" w:rsidRDefault="00256917" w:rsidP="00AD4BE1">
            <w:pPr>
              <w:jc w:val="both"/>
              <w:rPr>
                <w:rFonts w:eastAsia="Calibri"/>
                <w:b/>
                <w:sz w:val="20"/>
                <w:szCs w:val="20"/>
                <w:lang w:val="fr-CA"/>
              </w:rPr>
            </w:pPr>
            <w:r w:rsidRPr="00B92494">
              <w:rPr>
                <w:rFonts w:eastAsia="Calibri"/>
                <w:sz w:val="20"/>
                <w:szCs w:val="20"/>
                <w:lang w:val="fr-CA"/>
              </w:rPr>
              <w:t xml:space="preserve">9 avril 2015 </w:t>
            </w:r>
          </w:p>
          <w:p w:rsidR="00256917" w:rsidRPr="00B92494" w:rsidRDefault="00256917" w:rsidP="00AD4BE1">
            <w:pPr>
              <w:jc w:val="both"/>
              <w:rPr>
                <w:rFonts w:eastAsia="Calibri"/>
                <w:sz w:val="20"/>
                <w:szCs w:val="20"/>
                <w:lang w:val="fr-CA"/>
              </w:rPr>
            </w:pPr>
            <w:r w:rsidRPr="00B92494">
              <w:rPr>
                <w:rFonts w:eastAsia="Calibri"/>
                <w:sz w:val="20"/>
                <w:szCs w:val="20"/>
                <w:lang w:val="fr-CA"/>
              </w:rPr>
              <w:t>Cour suprême du Canada</w:t>
            </w:r>
          </w:p>
        </w:tc>
        <w:tc>
          <w:tcPr>
            <w:tcW w:w="243" w:type="pct"/>
          </w:tcPr>
          <w:p w:rsidR="00256917" w:rsidRPr="00B92494" w:rsidRDefault="00256917" w:rsidP="00AD4BE1">
            <w:pPr>
              <w:jc w:val="both"/>
              <w:rPr>
                <w:rFonts w:eastAsia="Calibri"/>
                <w:sz w:val="20"/>
                <w:szCs w:val="20"/>
                <w:lang w:val="fr-CA"/>
              </w:rPr>
            </w:pPr>
          </w:p>
        </w:tc>
        <w:tc>
          <w:tcPr>
            <w:tcW w:w="2330" w:type="pct"/>
          </w:tcPr>
          <w:p w:rsidR="00256917" w:rsidRPr="00B92494" w:rsidRDefault="00256917" w:rsidP="00AD4BE1">
            <w:pPr>
              <w:jc w:val="both"/>
              <w:rPr>
                <w:rFonts w:eastAsia="Calibri"/>
                <w:sz w:val="20"/>
                <w:szCs w:val="20"/>
                <w:lang w:val="fr-CA"/>
              </w:rPr>
            </w:pPr>
            <w:r w:rsidRPr="00B92494">
              <w:rPr>
                <w:rFonts w:eastAsia="Calibri"/>
                <w:sz w:val="20"/>
                <w:szCs w:val="20"/>
                <w:lang w:val="fr-CA"/>
              </w:rPr>
              <w:t>Dépôt de la requête de l’intimée en prorogation du délai de signification et de dépôt de la réponse</w:t>
            </w:r>
          </w:p>
        </w:tc>
      </w:tr>
    </w:tbl>
    <w:p w:rsidR="00C05442" w:rsidRPr="00256917" w:rsidRDefault="00C05442" w:rsidP="00C05442">
      <w:pPr>
        <w:rPr>
          <w:sz w:val="20"/>
          <w:szCs w:val="20"/>
          <w:lang w:val="fr-CA"/>
        </w:rPr>
      </w:pPr>
    </w:p>
    <w:p w:rsidR="00C05442" w:rsidRDefault="007F638F" w:rsidP="00C05442">
      <w:pPr>
        <w:rPr>
          <w:sz w:val="20"/>
          <w:szCs w:val="20"/>
          <w:lang w:val="fr-CA"/>
        </w:rPr>
      </w:pPr>
      <w:r>
        <w:rPr>
          <w:sz w:val="20"/>
          <w:szCs w:val="20"/>
          <w:lang w:val="fr-CA"/>
        </w:rPr>
        <w:pict>
          <v:rect id="_x0000_i1041" style="width:2in;height:1pt" o:hrpct="0" o:hralign="center" o:hrstd="t" o:hrnoshade="t" o:hr="t" fillcolor="black [3213]" stroked="f"/>
        </w:pict>
      </w:r>
    </w:p>
    <w:p w:rsidR="00C05442" w:rsidRDefault="00C05442" w:rsidP="00C05442">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42164" w:rsidRPr="004F280C" w:rsidTr="00042164">
        <w:trPr>
          <w:cantSplit/>
        </w:trPr>
        <w:tc>
          <w:tcPr>
            <w:tcW w:w="1458" w:type="dxa"/>
          </w:tcPr>
          <w:p w:rsidR="00042164" w:rsidRPr="004F280C" w:rsidRDefault="00042164" w:rsidP="00042164">
            <w:pPr>
              <w:rPr>
                <w:sz w:val="20"/>
                <w:szCs w:val="20"/>
              </w:rPr>
            </w:pPr>
            <w:r w:rsidRPr="004F280C">
              <w:rPr>
                <w:rStyle w:val="SCCFileNumberChar"/>
                <w:sz w:val="20"/>
                <w:szCs w:val="20"/>
              </w:rPr>
              <w:t>36294</w:t>
            </w:r>
          </w:p>
          <w:p w:rsidR="00042164" w:rsidRPr="004F280C" w:rsidRDefault="00042164" w:rsidP="00042164">
            <w:pPr>
              <w:rPr>
                <w:b/>
                <w:sz w:val="20"/>
                <w:szCs w:val="20"/>
                <w:lang w:val="fr-CA"/>
              </w:rPr>
            </w:pPr>
          </w:p>
        </w:tc>
        <w:tc>
          <w:tcPr>
            <w:tcW w:w="8118" w:type="dxa"/>
          </w:tcPr>
          <w:p w:rsidR="00042164" w:rsidRPr="004F280C" w:rsidRDefault="00042164" w:rsidP="00042164">
            <w:pPr>
              <w:jc w:val="both"/>
              <w:rPr>
                <w:sz w:val="20"/>
                <w:szCs w:val="20"/>
              </w:rPr>
            </w:pPr>
            <w:r w:rsidRPr="004F280C">
              <w:rPr>
                <w:rStyle w:val="SCCLsocChar"/>
                <w:sz w:val="20"/>
                <w:szCs w:val="20"/>
                <w:lang w:val="en-CA"/>
              </w:rPr>
              <w:t>Vincorp Financial Ltd. v. Corporation of the County of Oxford</w:t>
            </w:r>
            <w:r w:rsidR="00606E8D">
              <w:rPr>
                <w:rStyle w:val="SCCLsocChar"/>
                <w:sz w:val="20"/>
                <w:szCs w:val="20"/>
                <w:lang w:val="en-CA"/>
              </w:rPr>
              <w:t xml:space="preserve"> and</w:t>
            </w:r>
            <w:r w:rsidRPr="004F280C">
              <w:rPr>
                <w:rStyle w:val="SCCLsocChar"/>
                <w:sz w:val="20"/>
                <w:szCs w:val="20"/>
                <w:lang w:val="en-CA"/>
              </w:rPr>
              <w:t xml:space="preserve"> Corporation of the City of Woodstock AND BETWEEN Blandford Square Developments Limited v. Corporation of the County of Oxford</w:t>
            </w:r>
            <w:r w:rsidR="00606E8D">
              <w:rPr>
                <w:rStyle w:val="SCCLsocChar"/>
                <w:sz w:val="20"/>
                <w:szCs w:val="20"/>
                <w:lang w:val="en-CA"/>
              </w:rPr>
              <w:t xml:space="preserve"> and</w:t>
            </w:r>
            <w:r w:rsidRPr="004F280C">
              <w:rPr>
                <w:rStyle w:val="SCCLsocChar"/>
                <w:sz w:val="20"/>
                <w:szCs w:val="20"/>
                <w:lang w:val="en-CA"/>
              </w:rPr>
              <w:t xml:space="preserve"> Corporation of the City of Woodstock</w:t>
            </w:r>
            <w:r w:rsidRPr="004F280C">
              <w:rPr>
                <w:sz w:val="20"/>
                <w:szCs w:val="20"/>
              </w:rPr>
              <w:t xml:space="preserve"> (Ont.) (Civil) (By Leave)</w:t>
            </w:r>
          </w:p>
          <w:p w:rsidR="00042164" w:rsidRPr="004F280C" w:rsidRDefault="00042164" w:rsidP="00042164">
            <w:pPr>
              <w:jc w:val="both"/>
              <w:rPr>
                <w:sz w:val="20"/>
                <w:szCs w:val="20"/>
              </w:rPr>
            </w:pPr>
          </w:p>
        </w:tc>
      </w:tr>
      <w:tr w:rsidR="00042164" w:rsidRPr="004F280C" w:rsidTr="00042164">
        <w:trPr>
          <w:cantSplit/>
        </w:trPr>
        <w:tc>
          <w:tcPr>
            <w:tcW w:w="1458" w:type="dxa"/>
          </w:tcPr>
          <w:p w:rsidR="00042164" w:rsidRPr="004F280C" w:rsidRDefault="00042164" w:rsidP="00042164">
            <w:pPr>
              <w:rPr>
                <w:sz w:val="20"/>
                <w:szCs w:val="20"/>
              </w:rPr>
            </w:pPr>
            <w:r w:rsidRPr="004F280C">
              <w:rPr>
                <w:sz w:val="20"/>
                <w:szCs w:val="20"/>
              </w:rPr>
              <w:t>Coram :</w:t>
            </w:r>
          </w:p>
        </w:tc>
        <w:tc>
          <w:tcPr>
            <w:tcW w:w="8118" w:type="dxa"/>
          </w:tcPr>
          <w:p w:rsidR="00042164" w:rsidRPr="004F280C" w:rsidRDefault="00042164" w:rsidP="00042164">
            <w:pPr>
              <w:rPr>
                <w:sz w:val="20"/>
                <w:szCs w:val="20"/>
              </w:rPr>
            </w:pPr>
            <w:r w:rsidRPr="004F280C">
              <w:rPr>
                <w:rStyle w:val="SCCCoramChar"/>
                <w:sz w:val="20"/>
                <w:szCs w:val="20"/>
                <w:lang w:val="en-CA"/>
              </w:rPr>
              <w:t>McLachlin C.J. and Wagner and Gascon JJ.</w:t>
            </w:r>
          </w:p>
          <w:p w:rsidR="00042164" w:rsidRPr="004F280C" w:rsidRDefault="00042164" w:rsidP="00042164">
            <w:pPr>
              <w:rPr>
                <w:sz w:val="20"/>
                <w:szCs w:val="20"/>
                <w:u w:val="single"/>
              </w:rPr>
            </w:pPr>
          </w:p>
        </w:tc>
      </w:tr>
      <w:tr w:rsidR="00042164" w:rsidRPr="0063742E" w:rsidTr="00042164">
        <w:trPr>
          <w:cantSplit/>
        </w:trPr>
        <w:tc>
          <w:tcPr>
            <w:tcW w:w="9576" w:type="dxa"/>
            <w:gridSpan w:val="2"/>
          </w:tcPr>
          <w:p w:rsidR="00042164" w:rsidRPr="004F280C" w:rsidRDefault="00042164" w:rsidP="00042164">
            <w:pPr>
              <w:pStyle w:val="SCCShortJudgment"/>
              <w:rPr>
                <w:szCs w:val="20"/>
              </w:rPr>
            </w:pPr>
            <w:r w:rsidRPr="004F280C">
              <w:rPr>
                <w:szCs w:val="20"/>
              </w:rPr>
              <w:lastRenderedPageBreak/>
              <w:t>The application for leave to appeal from the judgment of the Court of Appeal for Ontario, Numbers C58816 and C58851, 2014 ONCA 876, dated December 8, 2014, is dismissed with costs.</w:t>
            </w:r>
          </w:p>
          <w:p w:rsidR="00042164" w:rsidRPr="004F280C" w:rsidRDefault="00042164" w:rsidP="00042164">
            <w:pPr>
              <w:pStyle w:val="SCCShortJudgment"/>
              <w:ind w:firstLine="0"/>
              <w:rPr>
                <w:szCs w:val="20"/>
              </w:rPr>
            </w:pPr>
          </w:p>
          <w:p w:rsidR="00042164" w:rsidRPr="004F280C" w:rsidRDefault="00042164" w:rsidP="00042164">
            <w:pPr>
              <w:pStyle w:val="SCCShortJudgment"/>
              <w:rPr>
                <w:szCs w:val="20"/>
                <w:lang w:val="fr-CA"/>
              </w:rPr>
            </w:pPr>
            <w:r w:rsidRPr="004F280C">
              <w:rPr>
                <w:szCs w:val="20"/>
                <w:lang w:val="fr-CA"/>
              </w:rPr>
              <w:t>La demande d’autorisation d’appel de l’arrêt de la Cour d’appel de l’Ontario, numéros C58816 et C58851, 2014 ONCA 876, daté du 8 décembre 2014, est rejetée avec dépens.</w:t>
            </w:r>
          </w:p>
        </w:tc>
      </w:tr>
    </w:tbl>
    <w:p w:rsidR="00C05442" w:rsidRPr="00042164" w:rsidRDefault="00C05442" w:rsidP="00C05442">
      <w:pPr>
        <w:rPr>
          <w:sz w:val="20"/>
          <w:szCs w:val="20"/>
          <w:lang w:val="fr-CA"/>
        </w:rPr>
      </w:pPr>
    </w:p>
    <w:p w:rsidR="00C05442" w:rsidRPr="001B157C" w:rsidRDefault="00C05442" w:rsidP="00C05442">
      <w:pPr>
        <w:rPr>
          <w:sz w:val="20"/>
          <w:szCs w:val="20"/>
          <w:u w:val="single"/>
        </w:rPr>
      </w:pPr>
      <w:r w:rsidRPr="001B157C">
        <w:rPr>
          <w:sz w:val="20"/>
          <w:szCs w:val="20"/>
          <w:u w:val="single"/>
        </w:rPr>
        <w:t>CASE SUMMARY</w:t>
      </w:r>
    </w:p>
    <w:p w:rsidR="00C05442" w:rsidRDefault="00C05442" w:rsidP="00C054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303F1" w:rsidRPr="00B92494" w:rsidTr="00AD4BE1">
        <w:tc>
          <w:tcPr>
            <w:tcW w:w="5000" w:type="pct"/>
            <w:gridSpan w:val="3"/>
          </w:tcPr>
          <w:p w:rsidR="00C303F1" w:rsidRPr="00B92494" w:rsidRDefault="00C303F1" w:rsidP="00AD4BE1">
            <w:pPr>
              <w:jc w:val="both"/>
              <w:rPr>
                <w:rFonts w:eastAsia="Calibri"/>
                <w:sz w:val="20"/>
                <w:szCs w:val="20"/>
              </w:rPr>
            </w:pPr>
            <w:r w:rsidRPr="00B92494">
              <w:rPr>
                <w:rFonts w:eastAsia="Calibri"/>
                <w:sz w:val="20"/>
                <w:szCs w:val="20"/>
              </w:rPr>
              <w:t xml:space="preserve">Municipal law – Expropriation – Municipality expropriating parcel of land from applicants and selling to purchaser for commercial development – Does a municipality have the power to expropriate land from one private commercial interest and to immediately sell that land to another private commercial interest at less than fair market value and in breach of a statutory prohibition? – Does the test to determine a breach of Section 106 incorporate a community interest analysis whereby the anticipated benefits to a municipality are weighed against the cost of the financial assistance or bonus in light of the principles enunciated by this Court in </w:t>
            </w:r>
            <w:r w:rsidRPr="00B92494">
              <w:rPr>
                <w:rFonts w:eastAsia="Calibri"/>
                <w:i/>
                <w:iCs/>
                <w:sz w:val="20"/>
                <w:szCs w:val="20"/>
              </w:rPr>
              <w:t>Antrim Truck Centre Ltd v Ontario (Transportation)</w:t>
            </w:r>
            <w:r w:rsidRPr="00B92494">
              <w:rPr>
                <w:rFonts w:eastAsia="Calibri"/>
                <w:iCs/>
                <w:sz w:val="20"/>
                <w:szCs w:val="20"/>
              </w:rPr>
              <w:t xml:space="preserve">, </w:t>
            </w:r>
            <w:r w:rsidRPr="00B92494">
              <w:rPr>
                <w:rFonts w:eastAsia="Calibri"/>
                <w:sz w:val="20"/>
                <w:szCs w:val="20"/>
              </w:rPr>
              <w:t>2013 SCC 13</w:t>
            </w:r>
            <w:r w:rsidRPr="00B92494">
              <w:rPr>
                <w:rFonts w:eastAsia="Calibri"/>
                <w:i/>
                <w:iCs/>
                <w:sz w:val="20"/>
                <w:szCs w:val="20"/>
              </w:rPr>
              <w:t>?</w:t>
            </w:r>
            <w:r w:rsidRPr="00B92494">
              <w:rPr>
                <w:rFonts w:eastAsia="Calibri"/>
                <w:sz w:val="20"/>
                <w:szCs w:val="20"/>
              </w:rPr>
              <w:t xml:space="preserve"> – In the event that Question #1 and 2 are answered in the negative, does the original landowner have a claim for damages?</w:t>
            </w:r>
          </w:p>
        </w:tc>
      </w:tr>
      <w:tr w:rsidR="00C303F1" w:rsidRPr="00B92494" w:rsidTr="00AD4BE1">
        <w:tc>
          <w:tcPr>
            <w:tcW w:w="5000" w:type="pct"/>
            <w:gridSpan w:val="3"/>
          </w:tcPr>
          <w:p w:rsidR="00C303F1" w:rsidRPr="00B92494" w:rsidRDefault="00C303F1" w:rsidP="00AD4BE1">
            <w:pPr>
              <w:jc w:val="both"/>
              <w:rPr>
                <w:rFonts w:eastAsia="Calibri"/>
                <w:sz w:val="20"/>
                <w:szCs w:val="20"/>
              </w:rPr>
            </w:pPr>
          </w:p>
        </w:tc>
      </w:tr>
      <w:tr w:rsidR="00C303F1" w:rsidRPr="00B92494" w:rsidTr="00AD4BE1">
        <w:tc>
          <w:tcPr>
            <w:tcW w:w="5000" w:type="pct"/>
            <w:gridSpan w:val="3"/>
          </w:tcPr>
          <w:p w:rsidR="00C303F1" w:rsidRPr="00B92494" w:rsidRDefault="00C303F1" w:rsidP="00AD4BE1">
            <w:pPr>
              <w:shd w:val="clear" w:color="auto" w:fill="FFFFFF"/>
              <w:jc w:val="both"/>
              <w:rPr>
                <w:sz w:val="20"/>
                <w:szCs w:val="20"/>
                <w:lang w:eastAsia="en-CA"/>
              </w:rPr>
            </w:pPr>
            <w:r w:rsidRPr="00B92494">
              <w:rPr>
                <w:sz w:val="20"/>
                <w:szCs w:val="20"/>
                <w:lang w:eastAsia="en-CA"/>
              </w:rPr>
              <w:t xml:space="preserve">In late 2004, Toyota Motor Manufacturing North America Inc. (“Toyota”) was searching for a site to build a new manufacturing plant in North America.  It had a number of key requirements, including that the property had to be at least 1,000 acres in size.  One of the sites that met Toyota’s requirements was located in Woodstock, Ontario.  This site consisted of 28 separate properties, one of which was the “mall lands”, so called because it had a mall on the 91 acre lot.  The applicant, Blandford Square Developments Limited (“Blandford”) was the registered owner of the mall lands and the applicant, Vincorp Financial Ltd. (“Vincorp”) was the holder of a first and second mortgage.  In February 2005, the Corporation of the County of Oxford (“Oxford”) commenced the process of acquiring the 28 properties to provide for the development of the Toyota plant.  Oxford negotiated the purchase of 27 of these parcels of land but was unable to negotiate the purchase of the mall lands.  Oxford then undertook all necessary steps to expropriate those lands.  A few months later, Oxford transferred the 1,000 acres, including the mall lands, to Toyota.  Toyota proceeded to build a new manufacturing plant on the site.  Oxford offered the applicants $4.2 million in compensation for the expropriated mall lands pursuant to </w:t>
            </w:r>
            <w:hyperlink r:id="rId36" w:anchor="sec25_smooth" w:history="1">
              <w:r w:rsidRPr="00B92494">
                <w:rPr>
                  <w:sz w:val="20"/>
                  <w:szCs w:val="20"/>
                  <w:lang w:eastAsia="en-CA"/>
                </w:rPr>
                <w:t>s. 25</w:t>
              </w:r>
            </w:hyperlink>
            <w:r w:rsidRPr="00B92494">
              <w:rPr>
                <w:sz w:val="20"/>
                <w:szCs w:val="20"/>
                <w:lang w:eastAsia="en-CA"/>
              </w:rPr>
              <w:t xml:space="preserve"> of the </w:t>
            </w:r>
            <w:hyperlink r:id="rId37" w:history="1">
              <w:r w:rsidRPr="00B92494">
                <w:rPr>
                  <w:i/>
                  <w:iCs/>
                  <w:sz w:val="20"/>
                  <w:szCs w:val="20"/>
                  <w:lang w:eastAsia="en-CA"/>
                </w:rPr>
                <w:t>Expropriations Act</w:t>
              </w:r>
              <w:r w:rsidRPr="00B92494">
                <w:rPr>
                  <w:sz w:val="20"/>
                  <w:szCs w:val="20"/>
                  <w:lang w:eastAsia="en-CA"/>
                </w:rPr>
                <w:t>, R.S.O. 1990, c. E.26</w:t>
              </w:r>
            </w:hyperlink>
            <w:r w:rsidRPr="00B92494">
              <w:rPr>
                <w:sz w:val="20"/>
                <w:szCs w:val="20"/>
                <w:lang w:eastAsia="en-CA"/>
              </w:rPr>
              <w:t xml:space="preserve"> but it was not accepted.  The applicants brought an action against Oxford, alleging that the transfer of the mall lands to Toyota was unlawful and without jurisdiction because it conferred a bonus on Toyota at their expense, contrary to </w:t>
            </w:r>
            <w:hyperlink r:id="rId38" w:anchor="sec106_smooth" w:history="1">
              <w:r w:rsidRPr="00B92494">
                <w:rPr>
                  <w:sz w:val="20"/>
                  <w:szCs w:val="20"/>
                  <w:lang w:eastAsia="en-CA"/>
                </w:rPr>
                <w:t>s. 106</w:t>
              </w:r>
            </w:hyperlink>
            <w:r w:rsidRPr="00B92494">
              <w:rPr>
                <w:sz w:val="20"/>
                <w:szCs w:val="20"/>
                <w:lang w:eastAsia="en-CA"/>
              </w:rPr>
              <w:t xml:space="preserve"> of the </w:t>
            </w:r>
            <w:hyperlink r:id="rId39" w:history="1">
              <w:r w:rsidRPr="00B92494">
                <w:rPr>
                  <w:i/>
                  <w:iCs/>
                  <w:sz w:val="20"/>
                  <w:szCs w:val="20"/>
                  <w:lang w:eastAsia="en-CA"/>
                </w:rPr>
                <w:t>Municipal Act, 2001</w:t>
              </w:r>
              <w:r w:rsidRPr="00B92494">
                <w:rPr>
                  <w:sz w:val="20"/>
                  <w:szCs w:val="20"/>
                  <w:lang w:eastAsia="en-CA"/>
                </w:rPr>
                <w:t>, S.O. 2001, c. 25</w:t>
              </w:r>
            </w:hyperlink>
            <w:r w:rsidRPr="00B92494">
              <w:rPr>
                <w:sz w:val="20"/>
                <w:szCs w:val="20"/>
                <w:lang w:eastAsia="en-CA"/>
              </w:rPr>
              <w:t>.  The parties submitted an agreed statement of facts and three questions to the court.</w:t>
            </w:r>
          </w:p>
          <w:p w:rsidR="00C303F1" w:rsidRPr="00B92494" w:rsidRDefault="00C303F1" w:rsidP="00AD4BE1">
            <w:pPr>
              <w:shd w:val="clear" w:color="auto" w:fill="FFFFFF"/>
              <w:jc w:val="both"/>
              <w:rPr>
                <w:sz w:val="20"/>
                <w:szCs w:val="20"/>
                <w:lang w:eastAsia="en-CA"/>
              </w:rPr>
            </w:pPr>
          </w:p>
        </w:tc>
      </w:tr>
      <w:tr w:rsidR="00C303F1" w:rsidRPr="00B92494" w:rsidTr="00AD4BE1">
        <w:tc>
          <w:tcPr>
            <w:tcW w:w="2427" w:type="pct"/>
          </w:tcPr>
          <w:p w:rsidR="00C303F1" w:rsidRPr="00B92494" w:rsidRDefault="00C303F1" w:rsidP="00AD4BE1">
            <w:pPr>
              <w:jc w:val="both"/>
              <w:rPr>
                <w:rFonts w:eastAsia="Calibri"/>
                <w:sz w:val="20"/>
                <w:szCs w:val="20"/>
              </w:rPr>
            </w:pPr>
            <w:r w:rsidRPr="00B92494">
              <w:rPr>
                <w:rFonts w:eastAsia="Calibri"/>
                <w:sz w:val="20"/>
                <w:szCs w:val="20"/>
              </w:rPr>
              <w:t>April 30, 2014</w:t>
            </w:r>
          </w:p>
          <w:p w:rsidR="00C303F1" w:rsidRPr="00B92494" w:rsidRDefault="00C303F1" w:rsidP="00AD4BE1">
            <w:pPr>
              <w:jc w:val="both"/>
              <w:rPr>
                <w:rFonts w:eastAsia="Calibri"/>
                <w:sz w:val="20"/>
                <w:szCs w:val="20"/>
              </w:rPr>
            </w:pPr>
            <w:r w:rsidRPr="00B92494">
              <w:rPr>
                <w:rFonts w:eastAsia="Calibri"/>
                <w:sz w:val="20"/>
                <w:szCs w:val="20"/>
              </w:rPr>
              <w:t>Ontario Superior Court of Justice</w:t>
            </w:r>
          </w:p>
          <w:p w:rsidR="00C303F1" w:rsidRPr="00B92494" w:rsidRDefault="00C303F1" w:rsidP="00AD4BE1">
            <w:pPr>
              <w:jc w:val="both"/>
              <w:rPr>
                <w:rFonts w:eastAsia="Calibri"/>
                <w:sz w:val="20"/>
                <w:szCs w:val="20"/>
              </w:rPr>
            </w:pPr>
            <w:r w:rsidRPr="00B92494">
              <w:rPr>
                <w:rFonts w:eastAsia="Calibri"/>
                <w:sz w:val="20"/>
                <w:szCs w:val="20"/>
              </w:rPr>
              <w:t>(Horkins J.)</w:t>
            </w:r>
          </w:p>
          <w:p w:rsidR="00C303F1" w:rsidRPr="00B92494" w:rsidRDefault="007F638F" w:rsidP="00AD4BE1">
            <w:pPr>
              <w:jc w:val="both"/>
              <w:rPr>
                <w:rFonts w:eastAsia="Calibri"/>
                <w:sz w:val="20"/>
                <w:szCs w:val="20"/>
              </w:rPr>
            </w:pPr>
            <w:hyperlink r:id="rId40" w:history="1">
              <w:r w:rsidR="00C303F1" w:rsidRPr="00B92494">
                <w:rPr>
                  <w:rFonts w:eastAsia="Calibri"/>
                  <w:color w:val="0000FF"/>
                  <w:sz w:val="20"/>
                  <w:szCs w:val="20"/>
                  <w:u w:val="single"/>
                </w:rPr>
                <w:t>2014 ONSC 2580</w:t>
              </w:r>
            </w:hyperlink>
          </w:p>
          <w:p w:rsidR="00C303F1" w:rsidRPr="00B92494" w:rsidRDefault="00C303F1" w:rsidP="00AD4BE1">
            <w:pPr>
              <w:jc w:val="both"/>
              <w:rPr>
                <w:rFonts w:eastAsia="Calibri"/>
                <w:sz w:val="20"/>
                <w:szCs w:val="20"/>
              </w:rPr>
            </w:pPr>
          </w:p>
        </w:tc>
        <w:tc>
          <w:tcPr>
            <w:tcW w:w="243" w:type="pct"/>
          </w:tcPr>
          <w:p w:rsidR="00C303F1" w:rsidRPr="00B92494" w:rsidRDefault="00C303F1" w:rsidP="00AD4BE1">
            <w:pPr>
              <w:jc w:val="both"/>
              <w:rPr>
                <w:rFonts w:eastAsia="Calibri"/>
                <w:sz w:val="20"/>
                <w:szCs w:val="20"/>
              </w:rPr>
            </w:pPr>
          </w:p>
        </w:tc>
        <w:tc>
          <w:tcPr>
            <w:tcW w:w="2330" w:type="pct"/>
          </w:tcPr>
          <w:p w:rsidR="00C303F1" w:rsidRPr="00B92494" w:rsidRDefault="00C303F1" w:rsidP="00AD4BE1">
            <w:pPr>
              <w:jc w:val="both"/>
              <w:rPr>
                <w:rFonts w:eastAsia="Calibri"/>
                <w:sz w:val="20"/>
                <w:szCs w:val="20"/>
              </w:rPr>
            </w:pPr>
            <w:r w:rsidRPr="00B92494">
              <w:rPr>
                <w:rFonts w:eastAsia="Calibri"/>
                <w:sz w:val="20"/>
                <w:szCs w:val="20"/>
              </w:rPr>
              <w:t>Finding that expropriation lawful and that purchaser did not receive a bonus on the transfer of land from the municipality</w:t>
            </w:r>
          </w:p>
          <w:p w:rsidR="00C303F1" w:rsidRPr="00B92494" w:rsidRDefault="00C303F1" w:rsidP="00AD4BE1">
            <w:pPr>
              <w:jc w:val="both"/>
              <w:rPr>
                <w:rFonts w:eastAsia="Calibri"/>
                <w:sz w:val="20"/>
                <w:szCs w:val="20"/>
              </w:rPr>
            </w:pPr>
          </w:p>
        </w:tc>
      </w:tr>
      <w:tr w:rsidR="00C303F1" w:rsidRPr="00B92494" w:rsidTr="00AD4BE1">
        <w:tc>
          <w:tcPr>
            <w:tcW w:w="2427" w:type="pct"/>
          </w:tcPr>
          <w:p w:rsidR="00C303F1" w:rsidRPr="00B92494" w:rsidRDefault="00C303F1" w:rsidP="00AD4BE1">
            <w:pPr>
              <w:jc w:val="both"/>
              <w:rPr>
                <w:rFonts w:eastAsia="Calibri"/>
                <w:sz w:val="20"/>
                <w:szCs w:val="20"/>
              </w:rPr>
            </w:pPr>
            <w:r w:rsidRPr="00B92494">
              <w:rPr>
                <w:rFonts w:eastAsia="Calibri"/>
                <w:sz w:val="20"/>
                <w:szCs w:val="20"/>
              </w:rPr>
              <w:t>December 8, 2014</w:t>
            </w:r>
          </w:p>
          <w:p w:rsidR="00C303F1" w:rsidRPr="00B92494" w:rsidRDefault="00C303F1" w:rsidP="00AD4BE1">
            <w:pPr>
              <w:jc w:val="both"/>
              <w:rPr>
                <w:rFonts w:eastAsia="Calibri"/>
                <w:sz w:val="20"/>
                <w:szCs w:val="20"/>
              </w:rPr>
            </w:pPr>
            <w:r w:rsidRPr="00B92494">
              <w:rPr>
                <w:rFonts w:eastAsia="Calibri"/>
                <w:sz w:val="20"/>
                <w:szCs w:val="20"/>
              </w:rPr>
              <w:t>Court of Appeal for Ontario</w:t>
            </w:r>
          </w:p>
          <w:p w:rsidR="00C303F1" w:rsidRPr="00B92494" w:rsidRDefault="00C303F1" w:rsidP="00AD4BE1">
            <w:pPr>
              <w:jc w:val="both"/>
              <w:rPr>
                <w:rFonts w:eastAsia="Calibri"/>
                <w:sz w:val="20"/>
                <w:szCs w:val="20"/>
              </w:rPr>
            </w:pPr>
            <w:r w:rsidRPr="00B92494">
              <w:rPr>
                <w:rFonts w:eastAsia="Calibri"/>
                <w:sz w:val="20"/>
                <w:szCs w:val="20"/>
              </w:rPr>
              <w:t>(Rouleau, Pardu and van Rensburg JJ.A.)</w:t>
            </w:r>
          </w:p>
          <w:p w:rsidR="00C303F1" w:rsidRPr="00B92494" w:rsidRDefault="007F638F" w:rsidP="00AD4BE1">
            <w:pPr>
              <w:jc w:val="both"/>
              <w:rPr>
                <w:rFonts w:eastAsia="Calibri"/>
                <w:sz w:val="20"/>
                <w:szCs w:val="20"/>
              </w:rPr>
            </w:pPr>
            <w:hyperlink r:id="rId41" w:history="1">
              <w:r w:rsidR="00C303F1" w:rsidRPr="00B92494">
                <w:rPr>
                  <w:rFonts w:eastAsia="Calibri"/>
                  <w:color w:val="0000FF"/>
                  <w:sz w:val="20"/>
                  <w:szCs w:val="20"/>
                  <w:u w:val="single"/>
                </w:rPr>
                <w:t>2014 ONCA 876</w:t>
              </w:r>
            </w:hyperlink>
          </w:p>
          <w:p w:rsidR="00C303F1" w:rsidRPr="00B92494" w:rsidRDefault="00C303F1" w:rsidP="00AD4BE1">
            <w:pPr>
              <w:jc w:val="both"/>
              <w:rPr>
                <w:rFonts w:eastAsia="Calibri"/>
                <w:sz w:val="20"/>
                <w:szCs w:val="20"/>
              </w:rPr>
            </w:pPr>
          </w:p>
        </w:tc>
        <w:tc>
          <w:tcPr>
            <w:tcW w:w="243" w:type="pct"/>
          </w:tcPr>
          <w:p w:rsidR="00C303F1" w:rsidRPr="00B92494" w:rsidRDefault="00C303F1" w:rsidP="00AD4BE1">
            <w:pPr>
              <w:jc w:val="both"/>
              <w:rPr>
                <w:rFonts w:eastAsia="Calibri"/>
                <w:sz w:val="20"/>
                <w:szCs w:val="20"/>
              </w:rPr>
            </w:pPr>
          </w:p>
        </w:tc>
        <w:tc>
          <w:tcPr>
            <w:tcW w:w="2330" w:type="pct"/>
          </w:tcPr>
          <w:p w:rsidR="00C303F1" w:rsidRPr="00B92494" w:rsidRDefault="00C303F1" w:rsidP="00AD4BE1">
            <w:pPr>
              <w:jc w:val="both"/>
              <w:rPr>
                <w:rFonts w:eastAsia="Calibri"/>
                <w:sz w:val="20"/>
                <w:szCs w:val="20"/>
              </w:rPr>
            </w:pPr>
            <w:r w:rsidRPr="00B92494">
              <w:rPr>
                <w:rFonts w:eastAsia="Calibri"/>
                <w:sz w:val="20"/>
                <w:szCs w:val="20"/>
              </w:rPr>
              <w:t>Applicants’ appeal dismissed</w:t>
            </w:r>
          </w:p>
          <w:p w:rsidR="00C303F1" w:rsidRPr="00B92494" w:rsidRDefault="00C303F1" w:rsidP="00AD4BE1">
            <w:pPr>
              <w:jc w:val="both"/>
              <w:rPr>
                <w:rFonts w:eastAsia="Calibri"/>
                <w:sz w:val="20"/>
                <w:szCs w:val="20"/>
              </w:rPr>
            </w:pPr>
          </w:p>
        </w:tc>
      </w:tr>
      <w:tr w:rsidR="00C303F1" w:rsidRPr="00B92494" w:rsidTr="00AD4BE1">
        <w:tc>
          <w:tcPr>
            <w:tcW w:w="2427" w:type="pct"/>
          </w:tcPr>
          <w:p w:rsidR="00C303F1" w:rsidRPr="00B92494" w:rsidRDefault="00C303F1" w:rsidP="00AD4BE1">
            <w:pPr>
              <w:jc w:val="both"/>
              <w:rPr>
                <w:rFonts w:eastAsia="Calibri"/>
                <w:sz w:val="20"/>
                <w:szCs w:val="20"/>
              </w:rPr>
            </w:pPr>
            <w:r w:rsidRPr="00B92494">
              <w:rPr>
                <w:rFonts w:eastAsia="Calibri"/>
                <w:sz w:val="20"/>
                <w:szCs w:val="20"/>
              </w:rPr>
              <w:t>February 4, 2015</w:t>
            </w:r>
          </w:p>
          <w:p w:rsidR="00C303F1" w:rsidRPr="00B92494" w:rsidRDefault="00C303F1" w:rsidP="00AD4BE1">
            <w:pPr>
              <w:jc w:val="both"/>
              <w:rPr>
                <w:rFonts w:eastAsia="Calibri"/>
                <w:sz w:val="20"/>
                <w:szCs w:val="20"/>
              </w:rPr>
            </w:pPr>
            <w:r w:rsidRPr="00B92494">
              <w:rPr>
                <w:rFonts w:eastAsia="Calibri"/>
                <w:sz w:val="20"/>
                <w:szCs w:val="20"/>
              </w:rPr>
              <w:t>Supreme Court of Canada</w:t>
            </w:r>
          </w:p>
        </w:tc>
        <w:tc>
          <w:tcPr>
            <w:tcW w:w="243" w:type="pct"/>
          </w:tcPr>
          <w:p w:rsidR="00C303F1" w:rsidRPr="00B92494" w:rsidRDefault="00C303F1" w:rsidP="00AD4BE1">
            <w:pPr>
              <w:jc w:val="both"/>
              <w:rPr>
                <w:rFonts w:eastAsia="Calibri"/>
                <w:sz w:val="20"/>
                <w:szCs w:val="20"/>
              </w:rPr>
            </w:pPr>
          </w:p>
        </w:tc>
        <w:tc>
          <w:tcPr>
            <w:tcW w:w="2330" w:type="pct"/>
          </w:tcPr>
          <w:p w:rsidR="00C303F1" w:rsidRPr="00B92494" w:rsidRDefault="00C303F1" w:rsidP="00AD4BE1">
            <w:pPr>
              <w:jc w:val="both"/>
              <w:rPr>
                <w:rFonts w:eastAsia="Calibri"/>
                <w:sz w:val="20"/>
                <w:szCs w:val="20"/>
              </w:rPr>
            </w:pPr>
            <w:r w:rsidRPr="00B92494">
              <w:rPr>
                <w:rFonts w:eastAsia="Calibri"/>
                <w:sz w:val="20"/>
                <w:szCs w:val="20"/>
              </w:rPr>
              <w:t>Application for leave to appeal filed</w:t>
            </w:r>
          </w:p>
          <w:p w:rsidR="00C303F1" w:rsidRPr="00B92494" w:rsidRDefault="00C303F1" w:rsidP="00AD4BE1">
            <w:pPr>
              <w:jc w:val="both"/>
              <w:rPr>
                <w:rFonts w:eastAsia="Calibri"/>
                <w:sz w:val="20"/>
                <w:szCs w:val="20"/>
              </w:rPr>
            </w:pPr>
          </w:p>
        </w:tc>
      </w:tr>
    </w:tbl>
    <w:p w:rsidR="00C05442" w:rsidRDefault="00C05442" w:rsidP="00C05442">
      <w:pPr>
        <w:rPr>
          <w:sz w:val="20"/>
          <w:szCs w:val="20"/>
        </w:rPr>
      </w:pPr>
    </w:p>
    <w:p w:rsidR="00C05442" w:rsidRPr="00C50A5C" w:rsidRDefault="007F638F" w:rsidP="00C05442">
      <w:pPr>
        <w:rPr>
          <w:sz w:val="20"/>
          <w:szCs w:val="20"/>
        </w:rPr>
      </w:pPr>
      <w:r>
        <w:rPr>
          <w:sz w:val="20"/>
          <w:szCs w:val="20"/>
          <w:lang w:val="fr-CA"/>
        </w:rPr>
        <w:pict>
          <v:rect id="_x0000_i1042" style="width:2in;height:1pt" o:hrpct="0" o:hralign="center" o:hrstd="t" o:hrnoshade="t" o:hr="t" fillcolor="black [3213]" stroked="f"/>
        </w:pict>
      </w:r>
    </w:p>
    <w:p w:rsidR="00042164" w:rsidRDefault="00042164">
      <w:pPr>
        <w:rPr>
          <w:sz w:val="20"/>
          <w:szCs w:val="20"/>
        </w:rPr>
      </w:pPr>
    </w:p>
    <w:p w:rsidR="00042164" w:rsidRDefault="00042164">
      <w:pPr>
        <w:rPr>
          <w:sz w:val="20"/>
          <w:szCs w:val="20"/>
        </w:rPr>
      </w:pPr>
      <w:r>
        <w:rPr>
          <w:sz w:val="20"/>
          <w:szCs w:val="20"/>
        </w:rPr>
        <w:br w:type="page"/>
      </w:r>
    </w:p>
    <w:p w:rsidR="00C05442" w:rsidRPr="001B157C" w:rsidRDefault="00C05442" w:rsidP="00C05442">
      <w:pPr>
        <w:rPr>
          <w:sz w:val="20"/>
          <w:szCs w:val="20"/>
          <w:u w:val="single"/>
          <w:lang w:val="fr-CA"/>
        </w:rPr>
      </w:pPr>
      <w:r w:rsidRPr="001B157C">
        <w:rPr>
          <w:sz w:val="20"/>
          <w:szCs w:val="20"/>
          <w:u w:val="single"/>
          <w:lang w:val="fr-CA"/>
        </w:rPr>
        <w:lastRenderedPageBreak/>
        <w:t>RÉSUMÉ DE L’AFFAIRE</w:t>
      </w:r>
    </w:p>
    <w:p w:rsidR="00C05442" w:rsidRDefault="00C05442" w:rsidP="00C054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303F1" w:rsidRPr="0063742E" w:rsidTr="00AD4BE1">
        <w:tc>
          <w:tcPr>
            <w:tcW w:w="5000" w:type="pct"/>
            <w:gridSpan w:val="3"/>
          </w:tcPr>
          <w:p w:rsidR="00C303F1" w:rsidRPr="00B92494" w:rsidRDefault="00C303F1" w:rsidP="00AD4BE1">
            <w:pPr>
              <w:jc w:val="both"/>
              <w:rPr>
                <w:rFonts w:eastAsia="Calibri"/>
                <w:sz w:val="20"/>
                <w:szCs w:val="20"/>
                <w:lang w:val="fr-CA"/>
              </w:rPr>
            </w:pPr>
            <w:r w:rsidRPr="00B92494">
              <w:rPr>
                <w:rFonts w:eastAsia="Calibri"/>
                <w:sz w:val="20"/>
                <w:szCs w:val="20"/>
                <w:lang w:val="fr-CA"/>
              </w:rPr>
              <w:t xml:space="preserve">Droit municipal – Expropriation – La municipalité a exproprié des demanderesses une parcelle de terrain qu’elle a vendue à un acheteur pour le développement commercial – Une municipalité a-t-elle le pouvoir d’exproprier le bien-fonds d’un intérêt commercial privé et de vendre immédiatement le bien-fonds à un autre intérêt commercial privé à un prix inférieur à la juste valeur marchande et en contravention d’une interdiction légale? – Le critère pour déterminer s’il y a eu un manquement à l’article 106 incorpore-t-il l’analyse de l’intérêt de la collectivité par laquelle les avantages anticipés pour la municipalité sont soupesés par rapport au coût de l’aide financière ou d’une prime à la lumière des principes énoncés par cette Cour dans </w:t>
            </w:r>
            <w:r w:rsidRPr="00B92494">
              <w:rPr>
                <w:rFonts w:eastAsia="Calibri"/>
                <w:i/>
                <w:iCs/>
                <w:sz w:val="20"/>
                <w:szCs w:val="20"/>
                <w:lang w:val="fr-CA"/>
              </w:rPr>
              <w:t>Antrim Truck Centre Ltd c. Ontario (Transports)</w:t>
            </w:r>
            <w:r w:rsidRPr="00B92494">
              <w:rPr>
                <w:rFonts w:eastAsia="Calibri"/>
                <w:iCs/>
                <w:sz w:val="20"/>
                <w:szCs w:val="20"/>
                <w:lang w:val="fr-CA"/>
              </w:rPr>
              <w:t xml:space="preserve">, </w:t>
            </w:r>
            <w:r w:rsidRPr="00B92494">
              <w:rPr>
                <w:rFonts w:eastAsia="Calibri"/>
                <w:sz w:val="20"/>
                <w:szCs w:val="20"/>
                <w:lang w:val="fr-CA"/>
              </w:rPr>
              <w:t>2013 CSC 13</w:t>
            </w:r>
            <w:r w:rsidRPr="00B92494">
              <w:rPr>
                <w:rFonts w:eastAsia="Calibri"/>
                <w:i/>
                <w:iCs/>
                <w:sz w:val="20"/>
                <w:szCs w:val="20"/>
                <w:lang w:val="fr-CA"/>
              </w:rPr>
              <w:t>?</w:t>
            </w:r>
            <w:r w:rsidRPr="00B92494">
              <w:rPr>
                <w:rFonts w:eastAsia="Calibri"/>
                <w:sz w:val="20"/>
                <w:szCs w:val="20"/>
                <w:lang w:val="fr-CA"/>
              </w:rPr>
              <w:t xml:space="preserve"> – Si les questions 1 et 2 se répondent par la négative, le propriétaire foncier initial a-t-il un recours en dommages-intérêts?</w:t>
            </w:r>
          </w:p>
        </w:tc>
      </w:tr>
      <w:tr w:rsidR="00C303F1" w:rsidRPr="0063742E" w:rsidTr="00AD4BE1">
        <w:tc>
          <w:tcPr>
            <w:tcW w:w="5000" w:type="pct"/>
            <w:gridSpan w:val="3"/>
          </w:tcPr>
          <w:p w:rsidR="00C303F1" w:rsidRPr="00B92494" w:rsidRDefault="00C303F1" w:rsidP="00AD4BE1">
            <w:pPr>
              <w:jc w:val="both"/>
              <w:rPr>
                <w:rFonts w:eastAsia="Calibri"/>
                <w:sz w:val="20"/>
                <w:szCs w:val="20"/>
                <w:lang w:val="fr-CA"/>
              </w:rPr>
            </w:pPr>
          </w:p>
        </w:tc>
      </w:tr>
      <w:tr w:rsidR="00C303F1" w:rsidRPr="0063742E" w:rsidTr="00AD4BE1">
        <w:tc>
          <w:tcPr>
            <w:tcW w:w="5000" w:type="pct"/>
            <w:gridSpan w:val="3"/>
          </w:tcPr>
          <w:p w:rsidR="00C303F1" w:rsidRPr="00B92494" w:rsidRDefault="00C303F1" w:rsidP="00AD4BE1">
            <w:pPr>
              <w:shd w:val="clear" w:color="auto" w:fill="FFFFFF"/>
              <w:jc w:val="both"/>
              <w:rPr>
                <w:sz w:val="20"/>
                <w:szCs w:val="20"/>
                <w:lang w:val="fr-CA" w:eastAsia="en-CA"/>
              </w:rPr>
            </w:pPr>
            <w:r w:rsidRPr="00B92494">
              <w:rPr>
                <w:sz w:val="20"/>
                <w:szCs w:val="20"/>
                <w:lang w:eastAsia="en-CA"/>
              </w:rPr>
              <w:t xml:space="preserve">Vers la fin de 2004, Toyota Motor Manufacturing North America Inc. </w:t>
            </w:r>
            <w:r w:rsidRPr="00B92494">
              <w:rPr>
                <w:sz w:val="20"/>
                <w:szCs w:val="20"/>
                <w:lang w:val="fr-CA" w:eastAsia="en-CA"/>
              </w:rPr>
              <w:t>(« Toyota ») cherchait un emplacement pour la construction d’une nouvelle usine de fabrication en Amérique du Nord.  Elle avait un certain nombre d’exigences essentielles, notamment que le bien-fonds ait une superficie d’au moins mille acres.  Un des emplacements qui répondait aux exigences de Toyota était situé à Woodstock (Ontario).  L’emplacement était constitué de 28 biens-fonds distincts, dont un lot de 91 acres désigné [</w:t>
            </w:r>
            <w:r w:rsidRPr="00B92494">
              <w:rPr>
                <w:smallCaps/>
                <w:sz w:val="20"/>
                <w:szCs w:val="20"/>
                <w:lang w:val="fr-CA" w:eastAsia="en-CA"/>
              </w:rPr>
              <w:t>traduction</w:t>
            </w:r>
            <w:r w:rsidRPr="00B92494">
              <w:rPr>
                <w:sz w:val="20"/>
                <w:szCs w:val="20"/>
                <w:lang w:val="fr-CA" w:eastAsia="en-CA"/>
              </w:rPr>
              <w:t xml:space="preserve">] « bien-fonds du mail », parce qu’un mail s’y trouvait.  La demanderesse, Blandford Square Developments Limited (« Blandford ») était la propriétaire enregistrée du bien-fonds du mail et la demanderesse Vincorp Financial Ltd. (« Vincorp ») était titulaire de créances hypothécaires de premier et de deuxième rang.  En février 2005, la Corporation du Comté d’Oxford (« Oxford ») a entrepris le processus d’acquisition des 28 biens-fonds pour permettre l’aménagement de l’usine de Toyota.  Oxford a négocié l’achat de 27 de ces parcelles, mais n’a pas pu négocier l’achat du bien-fonds du mail.  Oxford a ensuite entrepris toutes les démarches nécessaires pour exproprier ce bien-fonds.  Quelques mois plus tard, Oxford a transféré les mille acres, y compris le bien-fonds du mail, à Toyota.  Toyota a ensuite construit une nouvelle usine de fabrication à l’emplacement.  Oxford a offert aux demanderesses la somme de 4,2 millions de dollars en indemnité pour le bien-fonds du mail en application de l’art. 25 de la </w:t>
            </w:r>
            <w:hyperlink r:id="rId42" w:history="1">
              <w:r w:rsidRPr="00B92494">
                <w:rPr>
                  <w:i/>
                  <w:iCs/>
                  <w:sz w:val="20"/>
                  <w:szCs w:val="20"/>
                  <w:lang w:val="fr-CA" w:eastAsia="en-CA"/>
                </w:rPr>
                <w:t>Loi sur l’expropriation</w:t>
              </w:r>
              <w:r w:rsidRPr="00B92494">
                <w:rPr>
                  <w:sz w:val="20"/>
                  <w:szCs w:val="20"/>
                  <w:lang w:val="fr-CA" w:eastAsia="en-CA"/>
                </w:rPr>
                <w:t>, L.R.O. 1990, ch. E.26</w:t>
              </w:r>
            </w:hyperlink>
            <w:r w:rsidRPr="00B92494">
              <w:rPr>
                <w:sz w:val="20"/>
                <w:szCs w:val="20"/>
                <w:lang w:val="fr-CA" w:eastAsia="en-CA"/>
              </w:rPr>
              <w:t>, mais cette offre n’a pas été acceptée.  Les demanderesses ont intenté une action contre Oxford, alléguant que le transfert du bien-fonds du mail à Toyota était illégal et au-delà des compétences d’Oxford, parce qu’il conférait une prime à Toyota à leur dépens, contrairement à l’art</w:t>
            </w:r>
            <w:hyperlink r:id="rId43" w:anchor="sec106_smooth" w:history="1">
              <w:r w:rsidRPr="00B92494">
                <w:rPr>
                  <w:sz w:val="20"/>
                  <w:szCs w:val="20"/>
                  <w:lang w:val="fr-CA" w:eastAsia="en-CA"/>
                </w:rPr>
                <w:t>. 106</w:t>
              </w:r>
            </w:hyperlink>
            <w:r w:rsidRPr="00B92494">
              <w:rPr>
                <w:sz w:val="20"/>
                <w:szCs w:val="20"/>
                <w:lang w:val="fr-CA" w:eastAsia="en-CA"/>
              </w:rPr>
              <w:t xml:space="preserve"> de la </w:t>
            </w:r>
            <w:hyperlink r:id="rId44" w:history="1">
              <w:r w:rsidRPr="00B92494">
                <w:rPr>
                  <w:i/>
                  <w:iCs/>
                  <w:sz w:val="20"/>
                  <w:szCs w:val="20"/>
                  <w:lang w:val="fr-CA" w:eastAsia="en-CA"/>
                </w:rPr>
                <w:t>Loi municipale de 2001</w:t>
              </w:r>
              <w:r w:rsidRPr="00B92494">
                <w:rPr>
                  <w:sz w:val="20"/>
                  <w:szCs w:val="20"/>
                  <w:lang w:val="fr-CA" w:eastAsia="en-CA"/>
                </w:rPr>
                <w:t>, L.O. 2001, ch. 25</w:t>
              </w:r>
            </w:hyperlink>
            <w:r w:rsidRPr="00B92494">
              <w:rPr>
                <w:sz w:val="20"/>
                <w:szCs w:val="20"/>
                <w:lang w:val="fr-CA" w:eastAsia="en-CA"/>
              </w:rPr>
              <w:t>.  Les parties ont présenté un exposé conjoint des faits et trois questions à la cour.</w:t>
            </w:r>
          </w:p>
          <w:p w:rsidR="00C303F1" w:rsidRPr="00B92494" w:rsidRDefault="00C303F1" w:rsidP="00AD4BE1">
            <w:pPr>
              <w:shd w:val="clear" w:color="auto" w:fill="FFFFFF"/>
              <w:jc w:val="both"/>
              <w:rPr>
                <w:sz w:val="20"/>
                <w:szCs w:val="20"/>
                <w:lang w:val="fr-CA" w:eastAsia="en-CA"/>
              </w:rPr>
            </w:pPr>
          </w:p>
        </w:tc>
      </w:tr>
      <w:tr w:rsidR="00C303F1" w:rsidRPr="0063742E" w:rsidTr="00AD4BE1">
        <w:tc>
          <w:tcPr>
            <w:tcW w:w="2427" w:type="pct"/>
          </w:tcPr>
          <w:p w:rsidR="00C303F1" w:rsidRPr="00B92494" w:rsidRDefault="00C303F1" w:rsidP="00AD4BE1">
            <w:pPr>
              <w:jc w:val="both"/>
              <w:rPr>
                <w:rFonts w:eastAsia="Calibri"/>
                <w:sz w:val="20"/>
                <w:szCs w:val="20"/>
                <w:lang w:val="fr-CA"/>
              </w:rPr>
            </w:pPr>
            <w:r w:rsidRPr="00B92494">
              <w:rPr>
                <w:rFonts w:eastAsia="Calibri"/>
                <w:sz w:val="20"/>
                <w:szCs w:val="20"/>
                <w:lang w:val="fr-CA"/>
              </w:rPr>
              <w:t>30 avril 2014</w:t>
            </w:r>
          </w:p>
          <w:p w:rsidR="00C303F1" w:rsidRPr="00B92494" w:rsidRDefault="00C303F1" w:rsidP="00AD4BE1">
            <w:pPr>
              <w:jc w:val="both"/>
              <w:rPr>
                <w:rFonts w:eastAsia="Calibri"/>
                <w:sz w:val="20"/>
                <w:szCs w:val="20"/>
                <w:lang w:val="fr-CA"/>
              </w:rPr>
            </w:pPr>
            <w:r w:rsidRPr="00B92494">
              <w:rPr>
                <w:rFonts w:eastAsia="Calibri"/>
                <w:sz w:val="20"/>
                <w:szCs w:val="20"/>
                <w:lang w:val="fr-CA"/>
              </w:rPr>
              <w:t>Cour supérieure de justice de l’Ontario</w:t>
            </w:r>
          </w:p>
          <w:p w:rsidR="00C303F1" w:rsidRPr="00B92494" w:rsidRDefault="00C303F1" w:rsidP="00AD4BE1">
            <w:pPr>
              <w:jc w:val="both"/>
              <w:rPr>
                <w:rFonts w:eastAsia="Calibri"/>
                <w:sz w:val="20"/>
                <w:szCs w:val="20"/>
                <w:lang w:val="fr-CA"/>
              </w:rPr>
            </w:pPr>
            <w:r w:rsidRPr="00B92494">
              <w:rPr>
                <w:rFonts w:eastAsia="Calibri"/>
                <w:sz w:val="20"/>
                <w:szCs w:val="20"/>
                <w:lang w:val="fr-CA"/>
              </w:rPr>
              <w:t>(Juge Horkins)</w:t>
            </w:r>
          </w:p>
          <w:p w:rsidR="00C303F1" w:rsidRPr="00B92494" w:rsidRDefault="007F638F" w:rsidP="00AD4BE1">
            <w:pPr>
              <w:jc w:val="both"/>
              <w:rPr>
                <w:rFonts w:eastAsia="Calibri"/>
                <w:sz w:val="20"/>
                <w:szCs w:val="20"/>
                <w:lang w:val="fr-CA"/>
              </w:rPr>
            </w:pPr>
            <w:hyperlink r:id="rId45" w:history="1">
              <w:r w:rsidR="00C303F1" w:rsidRPr="00B92494">
                <w:rPr>
                  <w:rFonts w:eastAsia="Calibri"/>
                  <w:color w:val="0000FF"/>
                  <w:sz w:val="20"/>
                  <w:szCs w:val="20"/>
                  <w:u w:val="single"/>
                  <w:lang w:val="fr-CA"/>
                </w:rPr>
                <w:t>2014 ONSC 2580</w:t>
              </w:r>
            </w:hyperlink>
          </w:p>
          <w:p w:rsidR="00C303F1" w:rsidRPr="00B92494" w:rsidRDefault="00C303F1" w:rsidP="00AD4BE1">
            <w:pPr>
              <w:jc w:val="both"/>
              <w:rPr>
                <w:rFonts w:eastAsia="Calibri"/>
                <w:sz w:val="20"/>
                <w:szCs w:val="20"/>
                <w:lang w:val="fr-CA"/>
              </w:rPr>
            </w:pPr>
          </w:p>
        </w:tc>
        <w:tc>
          <w:tcPr>
            <w:tcW w:w="243" w:type="pct"/>
          </w:tcPr>
          <w:p w:rsidR="00C303F1" w:rsidRPr="00B92494" w:rsidRDefault="00C303F1" w:rsidP="00AD4BE1">
            <w:pPr>
              <w:jc w:val="both"/>
              <w:rPr>
                <w:rFonts w:eastAsia="Calibri"/>
                <w:sz w:val="20"/>
                <w:szCs w:val="20"/>
                <w:lang w:val="fr-CA"/>
              </w:rPr>
            </w:pPr>
          </w:p>
        </w:tc>
        <w:tc>
          <w:tcPr>
            <w:tcW w:w="2330" w:type="pct"/>
          </w:tcPr>
          <w:p w:rsidR="00C303F1" w:rsidRPr="00B92494" w:rsidRDefault="00C303F1" w:rsidP="00AD4BE1">
            <w:pPr>
              <w:jc w:val="both"/>
              <w:rPr>
                <w:rFonts w:eastAsia="Calibri"/>
                <w:sz w:val="20"/>
                <w:szCs w:val="20"/>
                <w:lang w:val="fr-CA"/>
              </w:rPr>
            </w:pPr>
            <w:r w:rsidRPr="00B92494">
              <w:rPr>
                <w:rFonts w:eastAsia="Calibri"/>
                <w:sz w:val="20"/>
                <w:szCs w:val="20"/>
                <w:lang w:val="fr-CA"/>
              </w:rPr>
              <w:t xml:space="preserve">Conclusion selon laquelle l’expropriation était légale et que l’acheteur n’avait pas reçu de prime à l’occasion du transfert du bien-fonds de la municipalité </w:t>
            </w:r>
          </w:p>
          <w:p w:rsidR="00C303F1" w:rsidRPr="00B92494" w:rsidRDefault="00C303F1" w:rsidP="00AD4BE1">
            <w:pPr>
              <w:jc w:val="both"/>
              <w:rPr>
                <w:rFonts w:eastAsia="Calibri"/>
                <w:sz w:val="20"/>
                <w:szCs w:val="20"/>
                <w:lang w:val="fr-CA"/>
              </w:rPr>
            </w:pPr>
          </w:p>
        </w:tc>
      </w:tr>
      <w:tr w:rsidR="00C303F1" w:rsidRPr="00B92494" w:rsidTr="00AD4BE1">
        <w:tc>
          <w:tcPr>
            <w:tcW w:w="2427" w:type="pct"/>
          </w:tcPr>
          <w:p w:rsidR="00C303F1" w:rsidRPr="00B92494" w:rsidRDefault="00C303F1" w:rsidP="00AD4BE1">
            <w:pPr>
              <w:jc w:val="both"/>
              <w:rPr>
                <w:rFonts w:eastAsia="Calibri"/>
                <w:sz w:val="20"/>
                <w:szCs w:val="20"/>
                <w:lang w:val="fr-CA"/>
              </w:rPr>
            </w:pPr>
            <w:r w:rsidRPr="00B92494">
              <w:rPr>
                <w:rFonts w:eastAsia="Calibri"/>
                <w:sz w:val="20"/>
                <w:szCs w:val="20"/>
                <w:lang w:val="fr-CA"/>
              </w:rPr>
              <w:t>8 décembre 2014</w:t>
            </w:r>
          </w:p>
          <w:p w:rsidR="00C303F1" w:rsidRPr="00B92494" w:rsidRDefault="00C303F1" w:rsidP="00AD4BE1">
            <w:pPr>
              <w:jc w:val="both"/>
              <w:rPr>
                <w:rFonts w:eastAsia="Calibri"/>
                <w:sz w:val="20"/>
                <w:szCs w:val="20"/>
                <w:lang w:val="fr-CA"/>
              </w:rPr>
            </w:pPr>
            <w:r w:rsidRPr="00B92494">
              <w:rPr>
                <w:rFonts w:eastAsia="Calibri"/>
                <w:sz w:val="20"/>
                <w:szCs w:val="20"/>
                <w:lang w:val="fr-CA"/>
              </w:rPr>
              <w:t>Cour d’appel de l’Ontario</w:t>
            </w:r>
          </w:p>
          <w:p w:rsidR="00C303F1" w:rsidRPr="00B92494" w:rsidRDefault="00C303F1" w:rsidP="00AD4BE1">
            <w:pPr>
              <w:jc w:val="both"/>
              <w:rPr>
                <w:rFonts w:eastAsia="Calibri"/>
                <w:sz w:val="20"/>
                <w:szCs w:val="20"/>
                <w:lang w:val="fr-CA"/>
              </w:rPr>
            </w:pPr>
            <w:r w:rsidRPr="00B92494">
              <w:rPr>
                <w:rFonts w:eastAsia="Calibri"/>
                <w:sz w:val="20"/>
                <w:szCs w:val="20"/>
                <w:lang w:val="fr-CA"/>
              </w:rPr>
              <w:t>(Juges Rouleau, Pardu et van Rensburg)</w:t>
            </w:r>
          </w:p>
          <w:p w:rsidR="00C303F1" w:rsidRPr="00B92494" w:rsidRDefault="007F638F" w:rsidP="00AD4BE1">
            <w:pPr>
              <w:jc w:val="both"/>
              <w:rPr>
                <w:rFonts w:eastAsia="Calibri"/>
                <w:sz w:val="20"/>
                <w:szCs w:val="20"/>
                <w:lang w:val="fr-CA"/>
              </w:rPr>
            </w:pPr>
            <w:hyperlink r:id="rId46" w:history="1">
              <w:r w:rsidR="00C303F1" w:rsidRPr="00B92494">
                <w:rPr>
                  <w:rFonts w:eastAsia="Calibri"/>
                  <w:color w:val="0000FF"/>
                  <w:sz w:val="20"/>
                  <w:szCs w:val="20"/>
                  <w:u w:val="single"/>
                  <w:lang w:val="fr-CA"/>
                </w:rPr>
                <w:t>2014 ONCA 876</w:t>
              </w:r>
            </w:hyperlink>
          </w:p>
          <w:p w:rsidR="00C303F1" w:rsidRPr="00B92494" w:rsidRDefault="00C303F1" w:rsidP="00AD4BE1">
            <w:pPr>
              <w:jc w:val="both"/>
              <w:rPr>
                <w:rFonts w:eastAsia="Calibri"/>
                <w:sz w:val="20"/>
                <w:szCs w:val="20"/>
                <w:lang w:val="fr-CA"/>
              </w:rPr>
            </w:pPr>
          </w:p>
        </w:tc>
        <w:tc>
          <w:tcPr>
            <w:tcW w:w="243" w:type="pct"/>
          </w:tcPr>
          <w:p w:rsidR="00C303F1" w:rsidRPr="00B92494" w:rsidRDefault="00C303F1" w:rsidP="00AD4BE1">
            <w:pPr>
              <w:jc w:val="both"/>
              <w:rPr>
                <w:rFonts w:eastAsia="Calibri"/>
                <w:sz w:val="20"/>
                <w:szCs w:val="20"/>
                <w:lang w:val="fr-CA"/>
              </w:rPr>
            </w:pPr>
          </w:p>
        </w:tc>
        <w:tc>
          <w:tcPr>
            <w:tcW w:w="2330" w:type="pct"/>
          </w:tcPr>
          <w:p w:rsidR="00C303F1" w:rsidRPr="00B92494" w:rsidRDefault="00C303F1" w:rsidP="00AD4BE1">
            <w:pPr>
              <w:jc w:val="both"/>
              <w:rPr>
                <w:rFonts w:eastAsia="Calibri"/>
                <w:sz w:val="20"/>
                <w:szCs w:val="20"/>
                <w:lang w:val="fr-CA"/>
              </w:rPr>
            </w:pPr>
            <w:r w:rsidRPr="00B92494">
              <w:rPr>
                <w:rFonts w:eastAsia="Calibri"/>
                <w:sz w:val="20"/>
                <w:szCs w:val="20"/>
                <w:lang w:val="fr-CA"/>
              </w:rPr>
              <w:t>Rejet de l’appel des demanderesses</w:t>
            </w:r>
          </w:p>
          <w:p w:rsidR="00C303F1" w:rsidRPr="00B92494" w:rsidRDefault="00C303F1" w:rsidP="00AD4BE1">
            <w:pPr>
              <w:jc w:val="both"/>
              <w:rPr>
                <w:rFonts w:eastAsia="Calibri"/>
                <w:sz w:val="20"/>
                <w:szCs w:val="20"/>
                <w:lang w:val="fr-CA"/>
              </w:rPr>
            </w:pPr>
          </w:p>
        </w:tc>
      </w:tr>
      <w:tr w:rsidR="00C303F1" w:rsidRPr="0063742E" w:rsidTr="00AD4BE1">
        <w:tc>
          <w:tcPr>
            <w:tcW w:w="2427" w:type="pct"/>
          </w:tcPr>
          <w:p w:rsidR="00C303F1" w:rsidRPr="00B92494" w:rsidRDefault="00C303F1" w:rsidP="00AD4BE1">
            <w:pPr>
              <w:jc w:val="both"/>
              <w:rPr>
                <w:rFonts w:eastAsia="Calibri"/>
                <w:sz w:val="20"/>
                <w:szCs w:val="20"/>
                <w:lang w:val="fr-CA"/>
              </w:rPr>
            </w:pPr>
            <w:r w:rsidRPr="00B92494">
              <w:rPr>
                <w:rFonts w:eastAsia="Calibri"/>
                <w:sz w:val="20"/>
                <w:szCs w:val="20"/>
                <w:lang w:val="fr-CA"/>
              </w:rPr>
              <w:t>4 février 2015</w:t>
            </w:r>
          </w:p>
          <w:p w:rsidR="00C303F1" w:rsidRPr="00B92494" w:rsidRDefault="00C303F1" w:rsidP="00AD4BE1">
            <w:pPr>
              <w:jc w:val="both"/>
              <w:rPr>
                <w:rFonts w:eastAsia="Calibri"/>
                <w:sz w:val="20"/>
                <w:szCs w:val="20"/>
                <w:lang w:val="fr-CA"/>
              </w:rPr>
            </w:pPr>
            <w:r w:rsidRPr="00B92494">
              <w:rPr>
                <w:rFonts w:eastAsia="Calibri"/>
                <w:sz w:val="20"/>
                <w:szCs w:val="20"/>
                <w:lang w:val="fr-CA"/>
              </w:rPr>
              <w:t>Cour suprême du Canada</w:t>
            </w:r>
          </w:p>
        </w:tc>
        <w:tc>
          <w:tcPr>
            <w:tcW w:w="243" w:type="pct"/>
          </w:tcPr>
          <w:p w:rsidR="00C303F1" w:rsidRPr="00B92494" w:rsidRDefault="00C303F1" w:rsidP="00AD4BE1">
            <w:pPr>
              <w:jc w:val="both"/>
              <w:rPr>
                <w:rFonts w:eastAsia="Calibri"/>
                <w:sz w:val="20"/>
                <w:szCs w:val="20"/>
                <w:lang w:val="fr-CA"/>
              </w:rPr>
            </w:pPr>
          </w:p>
        </w:tc>
        <w:tc>
          <w:tcPr>
            <w:tcW w:w="2330" w:type="pct"/>
          </w:tcPr>
          <w:p w:rsidR="00C303F1" w:rsidRPr="00B92494" w:rsidRDefault="00C303F1" w:rsidP="00AD4BE1">
            <w:pPr>
              <w:jc w:val="both"/>
              <w:rPr>
                <w:rFonts w:eastAsia="Calibri"/>
                <w:sz w:val="20"/>
                <w:szCs w:val="20"/>
                <w:lang w:val="fr-CA"/>
              </w:rPr>
            </w:pPr>
            <w:r w:rsidRPr="00B92494">
              <w:rPr>
                <w:rFonts w:eastAsia="Calibri"/>
                <w:sz w:val="20"/>
                <w:szCs w:val="20"/>
                <w:lang w:val="fr-CA"/>
              </w:rPr>
              <w:t>Dépôt de la demande d’autorisation d’appel</w:t>
            </w:r>
          </w:p>
        </w:tc>
      </w:tr>
    </w:tbl>
    <w:p w:rsidR="00C05442" w:rsidRPr="00C303F1" w:rsidRDefault="00C05442" w:rsidP="00C05442">
      <w:pPr>
        <w:rPr>
          <w:sz w:val="20"/>
          <w:szCs w:val="20"/>
          <w:lang w:val="fr-CA"/>
        </w:rPr>
      </w:pPr>
    </w:p>
    <w:p w:rsidR="00C05442" w:rsidRDefault="007F638F" w:rsidP="00C05442">
      <w:pPr>
        <w:rPr>
          <w:sz w:val="20"/>
          <w:szCs w:val="20"/>
          <w:lang w:val="fr-CA"/>
        </w:rPr>
      </w:pPr>
      <w:r>
        <w:rPr>
          <w:sz w:val="20"/>
          <w:szCs w:val="20"/>
          <w:lang w:val="fr-CA"/>
        </w:rPr>
        <w:pict>
          <v:rect id="_x0000_i1043" style="width:2in;height:1pt" o:hrpct="0" o:hralign="center" o:hrstd="t" o:hrnoshade="t" o:hr="t" fillcolor="black [3213]" stroked="f"/>
        </w:pict>
      </w:r>
    </w:p>
    <w:p w:rsidR="00C05442" w:rsidRDefault="00C05442" w:rsidP="00C05442">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42164" w:rsidRPr="004F280C" w:rsidTr="00042164">
        <w:trPr>
          <w:cantSplit/>
        </w:trPr>
        <w:tc>
          <w:tcPr>
            <w:tcW w:w="1458" w:type="dxa"/>
          </w:tcPr>
          <w:p w:rsidR="00042164" w:rsidRPr="004F280C" w:rsidRDefault="00042164" w:rsidP="00042164">
            <w:pPr>
              <w:rPr>
                <w:sz w:val="20"/>
                <w:szCs w:val="20"/>
              </w:rPr>
            </w:pPr>
            <w:r w:rsidRPr="004F280C">
              <w:rPr>
                <w:rStyle w:val="SCCFileNumberChar"/>
                <w:sz w:val="20"/>
                <w:szCs w:val="20"/>
              </w:rPr>
              <w:t>36298</w:t>
            </w:r>
          </w:p>
          <w:p w:rsidR="00042164" w:rsidRPr="004F280C" w:rsidRDefault="00042164" w:rsidP="00042164">
            <w:pPr>
              <w:rPr>
                <w:b/>
                <w:sz w:val="20"/>
                <w:szCs w:val="20"/>
                <w:lang w:val="fr-CA"/>
              </w:rPr>
            </w:pPr>
          </w:p>
        </w:tc>
        <w:tc>
          <w:tcPr>
            <w:tcW w:w="8118" w:type="dxa"/>
          </w:tcPr>
          <w:p w:rsidR="00042164" w:rsidRPr="004F280C" w:rsidRDefault="00042164" w:rsidP="00042164">
            <w:pPr>
              <w:jc w:val="both"/>
              <w:rPr>
                <w:sz w:val="20"/>
                <w:szCs w:val="20"/>
              </w:rPr>
            </w:pPr>
            <w:r w:rsidRPr="0054408C">
              <w:rPr>
                <w:rStyle w:val="SCCLsocChar"/>
                <w:sz w:val="20"/>
                <w:szCs w:val="20"/>
                <w:lang w:val="en-CA"/>
              </w:rPr>
              <w:t>François Yvon Latreille</w:t>
            </w:r>
            <w:r w:rsidR="00555355" w:rsidRPr="0054408C">
              <w:rPr>
                <w:rStyle w:val="SCCLsocChar"/>
                <w:sz w:val="20"/>
                <w:szCs w:val="20"/>
                <w:lang w:val="en-CA"/>
              </w:rPr>
              <w:t xml:space="preserve"> and</w:t>
            </w:r>
            <w:r w:rsidRPr="0054408C">
              <w:rPr>
                <w:rStyle w:val="SCCLsocChar"/>
                <w:sz w:val="20"/>
                <w:szCs w:val="20"/>
                <w:lang w:val="en-CA"/>
              </w:rPr>
              <w:t xml:space="preserve"> Samia Benmiloud v. Tarion Warranty Corporation</w:t>
            </w:r>
            <w:r w:rsidRPr="0054408C">
              <w:rPr>
                <w:sz w:val="20"/>
                <w:szCs w:val="20"/>
              </w:rPr>
              <w:t xml:space="preserve"> (Ont.) </w:t>
            </w:r>
            <w:r w:rsidRPr="004F280C">
              <w:rPr>
                <w:sz w:val="20"/>
                <w:szCs w:val="20"/>
              </w:rPr>
              <w:t>(Civil) (By</w:t>
            </w:r>
            <w:r>
              <w:rPr>
                <w:szCs w:val="20"/>
              </w:rPr>
              <w:t> </w:t>
            </w:r>
            <w:r w:rsidRPr="004F280C">
              <w:rPr>
                <w:sz w:val="20"/>
                <w:szCs w:val="20"/>
              </w:rPr>
              <w:t>Leave)</w:t>
            </w:r>
          </w:p>
          <w:p w:rsidR="00042164" w:rsidRPr="004F280C" w:rsidRDefault="00042164" w:rsidP="00042164">
            <w:pPr>
              <w:jc w:val="both"/>
              <w:rPr>
                <w:sz w:val="20"/>
                <w:szCs w:val="20"/>
              </w:rPr>
            </w:pPr>
          </w:p>
        </w:tc>
      </w:tr>
      <w:tr w:rsidR="00042164" w:rsidRPr="004F280C" w:rsidTr="00042164">
        <w:trPr>
          <w:cantSplit/>
        </w:trPr>
        <w:tc>
          <w:tcPr>
            <w:tcW w:w="1458" w:type="dxa"/>
          </w:tcPr>
          <w:p w:rsidR="00042164" w:rsidRPr="004F280C" w:rsidRDefault="00042164" w:rsidP="00042164">
            <w:pPr>
              <w:rPr>
                <w:sz w:val="20"/>
                <w:szCs w:val="20"/>
              </w:rPr>
            </w:pPr>
            <w:r w:rsidRPr="004F280C">
              <w:rPr>
                <w:sz w:val="20"/>
                <w:szCs w:val="20"/>
              </w:rPr>
              <w:t>Coram :</w:t>
            </w:r>
          </w:p>
        </w:tc>
        <w:tc>
          <w:tcPr>
            <w:tcW w:w="8118" w:type="dxa"/>
          </w:tcPr>
          <w:p w:rsidR="00042164" w:rsidRPr="004F280C" w:rsidRDefault="00042164" w:rsidP="00042164">
            <w:pPr>
              <w:rPr>
                <w:sz w:val="20"/>
                <w:szCs w:val="20"/>
              </w:rPr>
            </w:pPr>
            <w:r w:rsidRPr="004F280C">
              <w:rPr>
                <w:rStyle w:val="SCCCoramChar"/>
                <w:sz w:val="20"/>
                <w:szCs w:val="20"/>
                <w:lang w:val="en-CA"/>
              </w:rPr>
              <w:t>Rothstein, Cromwell and Moldaver JJ.</w:t>
            </w:r>
          </w:p>
          <w:p w:rsidR="00042164" w:rsidRPr="004F280C" w:rsidRDefault="00042164" w:rsidP="00042164">
            <w:pPr>
              <w:rPr>
                <w:sz w:val="20"/>
                <w:szCs w:val="20"/>
                <w:u w:val="single"/>
              </w:rPr>
            </w:pPr>
          </w:p>
        </w:tc>
      </w:tr>
      <w:tr w:rsidR="00042164" w:rsidRPr="0063742E" w:rsidTr="00042164">
        <w:trPr>
          <w:cantSplit/>
        </w:trPr>
        <w:tc>
          <w:tcPr>
            <w:tcW w:w="9576" w:type="dxa"/>
            <w:gridSpan w:val="2"/>
          </w:tcPr>
          <w:p w:rsidR="00042164" w:rsidRPr="004F280C" w:rsidRDefault="00042164" w:rsidP="00042164">
            <w:pPr>
              <w:pStyle w:val="SCCShortJudgment"/>
              <w:rPr>
                <w:szCs w:val="20"/>
              </w:rPr>
            </w:pPr>
            <w:r w:rsidRPr="004F280C">
              <w:rPr>
                <w:szCs w:val="20"/>
              </w:rPr>
              <w:lastRenderedPageBreak/>
              <w:t xml:space="preserve">The application for leave to appeal from the judgment of the Court of Appeal for Ontario, Number C59041, 2014 ONCA 904, dated December 10, 2014, is dismissed with costs in accordance with the Tariff of fees and disbursements set out in Schedule B of the </w:t>
            </w:r>
            <w:r w:rsidRPr="00507D8E">
              <w:rPr>
                <w:i/>
                <w:szCs w:val="20"/>
              </w:rPr>
              <w:t>Rules of the Supreme Court of Canada</w:t>
            </w:r>
            <w:r w:rsidRPr="004F280C">
              <w:rPr>
                <w:szCs w:val="20"/>
              </w:rPr>
              <w:t>.</w:t>
            </w:r>
          </w:p>
          <w:p w:rsidR="00042164" w:rsidRPr="004F280C" w:rsidRDefault="00042164" w:rsidP="00042164">
            <w:pPr>
              <w:pStyle w:val="SCCShortJudgment"/>
              <w:ind w:firstLine="0"/>
              <w:rPr>
                <w:szCs w:val="20"/>
              </w:rPr>
            </w:pPr>
          </w:p>
          <w:p w:rsidR="00042164" w:rsidRPr="004F280C" w:rsidRDefault="00042164" w:rsidP="00042164">
            <w:pPr>
              <w:pStyle w:val="SCCShortJudgment"/>
              <w:rPr>
                <w:szCs w:val="20"/>
                <w:lang w:val="fr-CA"/>
              </w:rPr>
            </w:pPr>
            <w:r w:rsidRPr="004F280C">
              <w:rPr>
                <w:szCs w:val="20"/>
                <w:lang w:val="fr-CA"/>
              </w:rPr>
              <w:t xml:space="preserve">La demande d’autorisation d’appel de l’arrêt de la Cour d’appel de l’Ontario, numéro C59041, 2014 ONCA 904, daté du 10 décembre 2014, est rejetée avec dépens conformément au Tarif des honoraires et débours énoncé à l’annexe B des </w:t>
            </w:r>
            <w:r w:rsidRPr="00507D8E">
              <w:rPr>
                <w:i/>
                <w:szCs w:val="20"/>
                <w:lang w:val="fr-CA"/>
              </w:rPr>
              <w:t>Règles de la Cour suprême du Canada</w:t>
            </w:r>
            <w:r w:rsidRPr="004F280C">
              <w:rPr>
                <w:szCs w:val="20"/>
                <w:lang w:val="fr-CA"/>
              </w:rPr>
              <w:t>.</w:t>
            </w:r>
          </w:p>
        </w:tc>
      </w:tr>
    </w:tbl>
    <w:p w:rsidR="00C05442" w:rsidRPr="00042164" w:rsidRDefault="00C05442" w:rsidP="00C05442">
      <w:pPr>
        <w:rPr>
          <w:sz w:val="20"/>
          <w:szCs w:val="20"/>
          <w:lang w:val="fr-CA"/>
        </w:rPr>
      </w:pPr>
    </w:p>
    <w:p w:rsidR="00C05442" w:rsidRPr="001B157C" w:rsidRDefault="00C05442" w:rsidP="00C05442">
      <w:pPr>
        <w:rPr>
          <w:sz w:val="20"/>
          <w:szCs w:val="20"/>
          <w:u w:val="single"/>
        </w:rPr>
      </w:pPr>
      <w:r w:rsidRPr="001B157C">
        <w:rPr>
          <w:sz w:val="20"/>
          <w:szCs w:val="20"/>
          <w:u w:val="single"/>
        </w:rPr>
        <w:t>CASE SUMMARY</w:t>
      </w:r>
    </w:p>
    <w:p w:rsidR="00C05442" w:rsidRDefault="00C05442" w:rsidP="00C054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D4BE1" w:rsidRPr="00B92494" w:rsidTr="00AD4BE1">
        <w:tc>
          <w:tcPr>
            <w:tcW w:w="5000" w:type="pct"/>
            <w:gridSpan w:val="3"/>
          </w:tcPr>
          <w:p w:rsidR="00AD4BE1" w:rsidRPr="00B92494" w:rsidRDefault="00AD4BE1" w:rsidP="00AD4BE1">
            <w:pPr>
              <w:jc w:val="both"/>
              <w:rPr>
                <w:rFonts w:eastAsia="Calibri"/>
                <w:sz w:val="20"/>
                <w:szCs w:val="20"/>
              </w:rPr>
            </w:pPr>
            <w:r w:rsidRPr="00B92494">
              <w:rPr>
                <w:rFonts w:eastAsia="Calibri"/>
                <w:sz w:val="20"/>
                <w:szCs w:val="20"/>
              </w:rPr>
              <w:t xml:space="preserve">Legislation – Interpretation – Property – Condominium – Whether the Court of Appeal erred in finding that all of a statute’s provisions be read together and that each be given meaning if that requires giving a particular section a meaning that the words of the section cannot possibly bear – Whether the Court of Appeal erred in finding that all of a statute’s provisions be read together and that each be given a meaning if that requires interpreting the initial wording of s. 15 of the Ontario New Home Warranty Act which reads “For the purposes of Sections 13 and 14” to mean “notwithstanding the purpose of Section 14” which is to define the class of persons entitled to receive payment out of the guarantee fund – Whether the Court of Appeal erred in finding that the legislation is clear in that s. 15(a) cannot be read and understood as compatible with s. 14 – </w:t>
            </w:r>
            <w:r w:rsidRPr="00B92494">
              <w:rPr>
                <w:rFonts w:eastAsia="Calibri"/>
                <w:i/>
                <w:sz w:val="20"/>
                <w:szCs w:val="20"/>
              </w:rPr>
              <w:t>Ontario New Home Warranties Plan Act</w:t>
            </w:r>
            <w:r w:rsidRPr="00B92494">
              <w:rPr>
                <w:rFonts w:eastAsia="Calibri"/>
                <w:sz w:val="20"/>
                <w:szCs w:val="20"/>
              </w:rPr>
              <w:t>, R.S.O. 1990 c. O.31, ss. 13-15.</w:t>
            </w:r>
          </w:p>
        </w:tc>
      </w:tr>
      <w:tr w:rsidR="00AD4BE1" w:rsidRPr="00B92494" w:rsidTr="00AD4BE1">
        <w:tc>
          <w:tcPr>
            <w:tcW w:w="5000" w:type="pct"/>
            <w:gridSpan w:val="3"/>
          </w:tcPr>
          <w:p w:rsidR="00AD4BE1" w:rsidRPr="00B92494" w:rsidRDefault="00AD4BE1" w:rsidP="00AD4BE1">
            <w:pPr>
              <w:jc w:val="both"/>
              <w:rPr>
                <w:rFonts w:eastAsia="Calibri"/>
                <w:sz w:val="20"/>
                <w:szCs w:val="20"/>
              </w:rPr>
            </w:pPr>
          </w:p>
        </w:tc>
      </w:tr>
      <w:tr w:rsidR="00AD4BE1" w:rsidRPr="00B92494" w:rsidTr="00AD4BE1">
        <w:tc>
          <w:tcPr>
            <w:tcW w:w="5000" w:type="pct"/>
            <w:gridSpan w:val="3"/>
          </w:tcPr>
          <w:p w:rsidR="00AD4BE1" w:rsidRPr="00B92494" w:rsidRDefault="00AD4BE1" w:rsidP="00AD4BE1">
            <w:pPr>
              <w:jc w:val="both"/>
              <w:rPr>
                <w:rFonts w:eastAsia="Calibri"/>
                <w:sz w:val="20"/>
                <w:szCs w:val="20"/>
              </w:rPr>
            </w:pPr>
            <w:r w:rsidRPr="00B92494">
              <w:rPr>
                <w:rFonts w:eastAsia="Calibri"/>
                <w:sz w:val="20"/>
                <w:szCs w:val="20"/>
              </w:rPr>
              <w:t xml:space="preserve">The Respondent, Tarion Warranty Corporation (“Tarion”) commenced an action against the Applicants, Latreille and Benmiloud to recover monies it paid out of the Guarantee Fund established under the </w:t>
            </w:r>
            <w:r w:rsidRPr="00B92494">
              <w:rPr>
                <w:rFonts w:eastAsia="Calibri"/>
                <w:i/>
                <w:sz w:val="20"/>
                <w:szCs w:val="20"/>
              </w:rPr>
              <w:t>Ontario New Home Warranties Plan Act</w:t>
            </w:r>
            <w:r w:rsidRPr="00B92494">
              <w:rPr>
                <w:rFonts w:eastAsia="Calibri"/>
                <w:sz w:val="20"/>
                <w:szCs w:val="20"/>
              </w:rPr>
              <w:t>, R.S.O. 1990, c. O.31 (“</w:t>
            </w:r>
            <w:r w:rsidRPr="00B92494">
              <w:rPr>
                <w:rFonts w:eastAsia="Calibri"/>
                <w:i/>
                <w:sz w:val="20"/>
                <w:szCs w:val="20"/>
              </w:rPr>
              <w:t>ONHWP Act</w:t>
            </w:r>
            <w:r w:rsidRPr="00B92494">
              <w:rPr>
                <w:rFonts w:eastAsia="Calibri"/>
                <w:sz w:val="20"/>
                <w:szCs w:val="20"/>
              </w:rPr>
              <w:t>”), in respect of warranty claims made by Ottawa Carleton Standard Condominium Corporation No. 737 (“OCC 737”).  The warranty claims arose from alleged defects and deficiencies in the common elements of an 11 unit condominium building in Ottawa.  The Condo Building was constructed by a now bankrupt corporation known as Domaines du Marche (“Domaines”).  Domaines was registered with Tarion and was the builder, vendor and declarant of the condo.  As a result, Tarion paid the cost to repair the warranted deficiencies out of the Guarantee Fund and then invoiced Domaines for these amounts.  Those invoices were paid, to the extent of $220,000, by way of a drawdown on a letter of credit posted by Domaines.  The remaining sum, approximately $111,000 remains outstanding.</w:t>
            </w:r>
          </w:p>
          <w:p w:rsidR="00AD4BE1" w:rsidRPr="00B92494" w:rsidRDefault="00AD4BE1" w:rsidP="00AD4BE1">
            <w:pPr>
              <w:jc w:val="both"/>
              <w:rPr>
                <w:rFonts w:eastAsia="Calibri"/>
                <w:sz w:val="20"/>
                <w:szCs w:val="20"/>
              </w:rPr>
            </w:pPr>
          </w:p>
          <w:p w:rsidR="00AD4BE1" w:rsidRPr="00B92494" w:rsidRDefault="00AD4BE1" w:rsidP="00AD4BE1">
            <w:pPr>
              <w:jc w:val="both"/>
              <w:rPr>
                <w:rFonts w:eastAsia="Calibri"/>
                <w:sz w:val="20"/>
                <w:szCs w:val="20"/>
              </w:rPr>
            </w:pPr>
            <w:r w:rsidRPr="00B92494">
              <w:rPr>
                <w:rFonts w:eastAsia="Calibri"/>
                <w:sz w:val="20"/>
                <w:szCs w:val="20"/>
              </w:rPr>
              <w:t xml:space="preserve">Latreille is the indemnitor of Domaines.  In this action, Tarion is suing Latreille to recover the remaining $111,000, pursuant to this indemnity.  Tarion is also suing Benmiloud, who is the spouse of Latreille, to set aside an alleged fraudulent conveyance from Latreille to Benmiloud.  Latreille argued that OCC 737 has no right of action for breach of warranty under the </w:t>
            </w:r>
            <w:r w:rsidRPr="00B92494">
              <w:rPr>
                <w:rFonts w:eastAsia="Calibri"/>
                <w:i/>
                <w:sz w:val="20"/>
                <w:szCs w:val="20"/>
              </w:rPr>
              <w:t>ONHWP Act</w:t>
            </w:r>
            <w:r w:rsidRPr="00B92494">
              <w:rPr>
                <w:rFonts w:eastAsia="Calibri"/>
                <w:sz w:val="20"/>
                <w:szCs w:val="20"/>
              </w:rPr>
              <w:t xml:space="preserve"> in respect of the repairs to the common elements, because OCC 737 does not fall within the warranty provisions of the </w:t>
            </w:r>
            <w:r w:rsidRPr="00B92494">
              <w:rPr>
                <w:rFonts w:eastAsia="Calibri"/>
                <w:i/>
                <w:sz w:val="20"/>
                <w:szCs w:val="20"/>
              </w:rPr>
              <w:t>ONHWP Act</w:t>
            </w:r>
            <w:r w:rsidRPr="00B92494">
              <w:rPr>
                <w:rFonts w:eastAsia="Calibri"/>
                <w:sz w:val="20"/>
                <w:szCs w:val="20"/>
              </w:rPr>
              <w:t>. Latreille also filed a counterclaim for damages of $220,000 arising from the alleged improper drawdown of the letter of credit posted by Domaines.</w:t>
            </w:r>
          </w:p>
          <w:p w:rsidR="00AD4BE1" w:rsidRPr="00B92494" w:rsidRDefault="00AD4BE1" w:rsidP="00AD4BE1">
            <w:pPr>
              <w:jc w:val="both"/>
              <w:rPr>
                <w:rFonts w:eastAsia="Calibri"/>
                <w:sz w:val="20"/>
                <w:szCs w:val="20"/>
              </w:rPr>
            </w:pPr>
          </w:p>
          <w:p w:rsidR="00AD4BE1" w:rsidRPr="00B92494" w:rsidRDefault="00AD4BE1" w:rsidP="00AD4BE1">
            <w:pPr>
              <w:jc w:val="both"/>
              <w:rPr>
                <w:rFonts w:eastAsia="Calibri"/>
                <w:sz w:val="20"/>
                <w:szCs w:val="20"/>
              </w:rPr>
            </w:pPr>
            <w:r w:rsidRPr="00B92494">
              <w:rPr>
                <w:rFonts w:eastAsia="Calibri"/>
                <w:sz w:val="20"/>
                <w:szCs w:val="20"/>
              </w:rPr>
              <w:t>Latreille and Benmiloud’s motion for summary judgment was dismissed. Latreille, as indemnifier for Domaines, was declared to be personally liable to make good to Tarion, any deficiency in respect of the warranty claims processed by Tarion for the common elements at OCC 737.  Latreille and Benmiloud’s appeal was subsequently dismissed.</w:t>
            </w:r>
          </w:p>
          <w:p w:rsidR="00AD4BE1" w:rsidRPr="00B92494" w:rsidRDefault="00AD4BE1" w:rsidP="00AD4BE1">
            <w:pPr>
              <w:jc w:val="both"/>
              <w:rPr>
                <w:rFonts w:eastAsia="Calibri"/>
                <w:sz w:val="20"/>
                <w:szCs w:val="20"/>
              </w:rPr>
            </w:pPr>
          </w:p>
        </w:tc>
      </w:tr>
      <w:tr w:rsidR="00AD4BE1" w:rsidRPr="00B92494" w:rsidTr="00AD4BE1">
        <w:tc>
          <w:tcPr>
            <w:tcW w:w="2427" w:type="pct"/>
          </w:tcPr>
          <w:p w:rsidR="00AD4BE1" w:rsidRPr="00B92494" w:rsidRDefault="00AD4BE1" w:rsidP="00AD4BE1">
            <w:pPr>
              <w:jc w:val="both"/>
              <w:rPr>
                <w:rFonts w:eastAsia="Calibri"/>
                <w:sz w:val="20"/>
                <w:szCs w:val="20"/>
              </w:rPr>
            </w:pPr>
            <w:r w:rsidRPr="00B92494">
              <w:rPr>
                <w:rFonts w:eastAsia="Calibri"/>
                <w:sz w:val="20"/>
                <w:szCs w:val="20"/>
              </w:rPr>
              <w:t>June 9, 2014</w:t>
            </w:r>
          </w:p>
          <w:p w:rsidR="00AD4BE1" w:rsidRPr="00B92494" w:rsidRDefault="00AD4BE1" w:rsidP="00AD4BE1">
            <w:pPr>
              <w:jc w:val="both"/>
              <w:rPr>
                <w:rFonts w:eastAsia="Calibri"/>
                <w:sz w:val="20"/>
                <w:szCs w:val="20"/>
              </w:rPr>
            </w:pPr>
            <w:r w:rsidRPr="00B92494">
              <w:rPr>
                <w:rFonts w:eastAsia="Calibri"/>
                <w:sz w:val="20"/>
                <w:szCs w:val="20"/>
              </w:rPr>
              <w:t>Ontario Superior Court of Justice</w:t>
            </w:r>
          </w:p>
          <w:p w:rsidR="00AD4BE1" w:rsidRPr="00B92494" w:rsidRDefault="00AD4BE1" w:rsidP="00AD4BE1">
            <w:pPr>
              <w:jc w:val="both"/>
              <w:rPr>
                <w:rFonts w:eastAsia="Calibri"/>
                <w:sz w:val="20"/>
                <w:szCs w:val="20"/>
              </w:rPr>
            </w:pPr>
            <w:r w:rsidRPr="00B92494">
              <w:rPr>
                <w:rFonts w:eastAsia="Calibri"/>
                <w:sz w:val="20"/>
                <w:szCs w:val="20"/>
              </w:rPr>
              <w:t>(Stinson J.)</w:t>
            </w:r>
          </w:p>
          <w:p w:rsidR="00AD4BE1" w:rsidRPr="00B92494" w:rsidRDefault="00AD4BE1" w:rsidP="00AD4BE1">
            <w:pPr>
              <w:jc w:val="both"/>
              <w:rPr>
                <w:rFonts w:eastAsia="Calibri"/>
                <w:sz w:val="20"/>
                <w:szCs w:val="20"/>
              </w:rPr>
            </w:pPr>
            <w:r w:rsidRPr="00B92494">
              <w:rPr>
                <w:rFonts w:eastAsia="Calibri"/>
                <w:sz w:val="20"/>
                <w:szCs w:val="20"/>
              </w:rPr>
              <w:t>2014 ONSC 3628</w:t>
            </w:r>
          </w:p>
          <w:p w:rsidR="00AD4BE1" w:rsidRPr="00B92494" w:rsidRDefault="00AD4BE1" w:rsidP="00AD4BE1">
            <w:pPr>
              <w:jc w:val="both"/>
              <w:rPr>
                <w:rFonts w:eastAsia="Calibri"/>
                <w:sz w:val="20"/>
                <w:szCs w:val="20"/>
              </w:rPr>
            </w:pPr>
          </w:p>
        </w:tc>
        <w:tc>
          <w:tcPr>
            <w:tcW w:w="243" w:type="pct"/>
          </w:tcPr>
          <w:p w:rsidR="00AD4BE1" w:rsidRPr="00B92494" w:rsidRDefault="00AD4BE1" w:rsidP="00AD4BE1">
            <w:pPr>
              <w:jc w:val="both"/>
              <w:rPr>
                <w:rFonts w:eastAsia="Calibri"/>
                <w:sz w:val="20"/>
                <w:szCs w:val="20"/>
              </w:rPr>
            </w:pPr>
          </w:p>
        </w:tc>
        <w:tc>
          <w:tcPr>
            <w:tcW w:w="2330" w:type="pct"/>
          </w:tcPr>
          <w:p w:rsidR="00AD4BE1" w:rsidRPr="00B92494" w:rsidRDefault="00AD4BE1" w:rsidP="00AD4BE1">
            <w:pPr>
              <w:jc w:val="both"/>
              <w:rPr>
                <w:rFonts w:eastAsia="Calibri"/>
                <w:sz w:val="20"/>
                <w:szCs w:val="20"/>
              </w:rPr>
            </w:pPr>
            <w:r w:rsidRPr="00B92494">
              <w:rPr>
                <w:rFonts w:eastAsia="Calibri"/>
                <w:sz w:val="20"/>
                <w:szCs w:val="20"/>
              </w:rPr>
              <w:t>Motion for summary judgment dismissed; Declaration made that Latreille personally liable to Tarion</w:t>
            </w:r>
          </w:p>
          <w:p w:rsidR="00AD4BE1" w:rsidRPr="00B92494" w:rsidRDefault="00AD4BE1" w:rsidP="00AD4BE1">
            <w:pPr>
              <w:jc w:val="both"/>
              <w:rPr>
                <w:rFonts w:eastAsia="Calibri"/>
                <w:sz w:val="20"/>
                <w:szCs w:val="20"/>
              </w:rPr>
            </w:pPr>
          </w:p>
        </w:tc>
      </w:tr>
      <w:tr w:rsidR="00AD4BE1" w:rsidRPr="00B92494" w:rsidTr="00AD4BE1">
        <w:tc>
          <w:tcPr>
            <w:tcW w:w="2427" w:type="pct"/>
          </w:tcPr>
          <w:p w:rsidR="00AD4BE1" w:rsidRPr="00B92494" w:rsidRDefault="00AD4BE1" w:rsidP="00AD4BE1">
            <w:pPr>
              <w:jc w:val="both"/>
              <w:rPr>
                <w:rFonts w:eastAsia="Calibri"/>
                <w:sz w:val="20"/>
                <w:szCs w:val="20"/>
              </w:rPr>
            </w:pPr>
            <w:r w:rsidRPr="00B92494">
              <w:rPr>
                <w:rFonts w:eastAsia="Calibri"/>
                <w:sz w:val="20"/>
                <w:szCs w:val="20"/>
              </w:rPr>
              <w:t>December 1</w:t>
            </w:r>
            <w:r w:rsidR="00772617">
              <w:rPr>
                <w:rFonts w:eastAsia="Calibri"/>
                <w:sz w:val="20"/>
                <w:szCs w:val="20"/>
              </w:rPr>
              <w:t>0</w:t>
            </w:r>
            <w:r w:rsidRPr="00B92494">
              <w:rPr>
                <w:rFonts w:eastAsia="Calibri"/>
                <w:sz w:val="20"/>
                <w:szCs w:val="20"/>
              </w:rPr>
              <w:t>, 2014</w:t>
            </w:r>
          </w:p>
          <w:p w:rsidR="00AD4BE1" w:rsidRPr="00B92494" w:rsidRDefault="00AD4BE1" w:rsidP="00AD4BE1">
            <w:pPr>
              <w:jc w:val="both"/>
              <w:rPr>
                <w:rFonts w:eastAsia="Calibri"/>
                <w:sz w:val="20"/>
                <w:szCs w:val="20"/>
              </w:rPr>
            </w:pPr>
            <w:r w:rsidRPr="00B92494">
              <w:rPr>
                <w:rFonts w:eastAsia="Calibri"/>
                <w:sz w:val="20"/>
                <w:szCs w:val="20"/>
              </w:rPr>
              <w:t>Court of Appeal for Ontario</w:t>
            </w:r>
          </w:p>
          <w:p w:rsidR="00AD4BE1" w:rsidRPr="00B92494" w:rsidRDefault="00AD4BE1" w:rsidP="00AD4BE1">
            <w:pPr>
              <w:jc w:val="both"/>
              <w:rPr>
                <w:rFonts w:eastAsia="Calibri"/>
                <w:sz w:val="20"/>
                <w:szCs w:val="20"/>
              </w:rPr>
            </w:pPr>
            <w:r w:rsidRPr="00B92494">
              <w:rPr>
                <w:rFonts w:eastAsia="Calibri"/>
                <w:sz w:val="20"/>
                <w:szCs w:val="20"/>
              </w:rPr>
              <w:t>(Cronk, Juriansz and Epstein JJ.A.)</w:t>
            </w:r>
          </w:p>
          <w:p w:rsidR="00AD4BE1" w:rsidRPr="00B92494" w:rsidRDefault="00AD4BE1" w:rsidP="00AD4BE1">
            <w:pPr>
              <w:jc w:val="both"/>
              <w:rPr>
                <w:rFonts w:eastAsia="Calibri"/>
                <w:sz w:val="20"/>
                <w:szCs w:val="20"/>
              </w:rPr>
            </w:pPr>
            <w:r w:rsidRPr="00B92494">
              <w:rPr>
                <w:rFonts w:eastAsia="Calibri"/>
                <w:sz w:val="20"/>
                <w:szCs w:val="20"/>
              </w:rPr>
              <w:t>2014 ONCA 904; C59041</w:t>
            </w:r>
          </w:p>
          <w:p w:rsidR="00AD4BE1" w:rsidRPr="00B92494" w:rsidRDefault="007F638F" w:rsidP="00AD4BE1">
            <w:pPr>
              <w:jc w:val="both"/>
              <w:rPr>
                <w:rFonts w:eastAsia="Calibri"/>
                <w:sz w:val="20"/>
                <w:szCs w:val="20"/>
              </w:rPr>
            </w:pPr>
            <w:hyperlink r:id="rId47" w:history="1">
              <w:r w:rsidR="00AD4BE1" w:rsidRPr="00B92494">
                <w:rPr>
                  <w:rFonts w:eastAsia="Calibri"/>
                  <w:color w:val="0000FF"/>
                  <w:sz w:val="20"/>
                  <w:szCs w:val="20"/>
                  <w:u w:val="single"/>
                </w:rPr>
                <w:t>http://canlii.ca/t/gfnvz</w:t>
              </w:r>
            </w:hyperlink>
          </w:p>
          <w:p w:rsidR="00AD4BE1" w:rsidRPr="00B92494" w:rsidRDefault="00AD4BE1" w:rsidP="00AD4BE1">
            <w:pPr>
              <w:jc w:val="both"/>
              <w:rPr>
                <w:rFonts w:eastAsia="Calibri"/>
                <w:sz w:val="20"/>
                <w:szCs w:val="20"/>
              </w:rPr>
            </w:pPr>
          </w:p>
        </w:tc>
        <w:tc>
          <w:tcPr>
            <w:tcW w:w="243" w:type="pct"/>
          </w:tcPr>
          <w:p w:rsidR="00AD4BE1" w:rsidRPr="00B92494" w:rsidRDefault="00AD4BE1" w:rsidP="00AD4BE1">
            <w:pPr>
              <w:jc w:val="both"/>
              <w:rPr>
                <w:rFonts w:eastAsia="Calibri"/>
                <w:sz w:val="20"/>
                <w:szCs w:val="20"/>
              </w:rPr>
            </w:pPr>
          </w:p>
        </w:tc>
        <w:tc>
          <w:tcPr>
            <w:tcW w:w="2330" w:type="pct"/>
          </w:tcPr>
          <w:p w:rsidR="00AD4BE1" w:rsidRPr="00B92494" w:rsidRDefault="00AD4BE1" w:rsidP="00AD4BE1">
            <w:pPr>
              <w:jc w:val="both"/>
              <w:rPr>
                <w:rFonts w:eastAsia="Calibri"/>
                <w:sz w:val="20"/>
                <w:szCs w:val="20"/>
              </w:rPr>
            </w:pPr>
            <w:r w:rsidRPr="00B92494">
              <w:rPr>
                <w:rFonts w:eastAsia="Calibri"/>
                <w:sz w:val="20"/>
                <w:szCs w:val="20"/>
              </w:rPr>
              <w:t>Appeal dismissed</w:t>
            </w:r>
          </w:p>
          <w:p w:rsidR="00AD4BE1" w:rsidRPr="00B92494" w:rsidRDefault="00AD4BE1" w:rsidP="00AD4BE1">
            <w:pPr>
              <w:jc w:val="both"/>
              <w:rPr>
                <w:rFonts w:eastAsia="Calibri"/>
                <w:sz w:val="20"/>
                <w:szCs w:val="20"/>
              </w:rPr>
            </w:pPr>
          </w:p>
        </w:tc>
      </w:tr>
      <w:tr w:rsidR="00AD4BE1" w:rsidRPr="00B92494" w:rsidTr="00AD4BE1">
        <w:tc>
          <w:tcPr>
            <w:tcW w:w="2427" w:type="pct"/>
          </w:tcPr>
          <w:p w:rsidR="00AD4BE1" w:rsidRPr="00B92494" w:rsidRDefault="00AD4BE1" w:rsidP="00AD4BE1">
            <w:pPr>
              <w:jc w:val="both"/>
              <w:rPr>
                <w:rFonts w:eastAsia="Calibri"/>
                <w:sz w:val="20"/>
                <w:szCs w:val="20"/>
              </w:rPr>
            </w:pPr>
            <w:r w:rsidRPr="00B92494">
              <w:rPr>
                <w:rFonts w:eastAsia="Calibri"/>
                <w:sz w:val="20"/>
                <w:szCs w:val="20"/>
              </w:rPr>
              <w:lastRenderedPageBreak/>
              <w:t>February 11, 2015</w:t>
            </w:r>
          </w:p>
          <w:p w:rsidR="00AD4BE1" w:rsidRPr="00B92494" w:rsidRDefault="00AD4BE1" w:rsidP="00AD4BE1">
            <w:pPr>
              <w:jc w:val="both"/>
              <w:rPr>
                <w:rFonts w:eastAsia="Calibri"/>
                <w:sz w:val="20"/>
                <w:szCs w:val="20"/>
              </w:rPr>
            </w:pPr>
            <w:r w:rsidRPr="00B92494">
              <w:rPr>
                <w:rFonts w:eastAsia="Calibri"/>
                <w:sz w:val="20"/>
                <w:szCs w:val="20"/>
              </w:rPr>
              <w:t>Supreme Court of Canada</w:t>
            </w:r>
          </w:p>
        </w:tc>
        <w:tc>
          <w:tcPr>
            <w:tcW w:w="243" w:type="pct"/>
          </w:tcPr>
          <w:p w:rsidR="00AD4BE1" w:rsidRPr="00B92494" w:rsidRDefault="00AD4BE1" w:rsidP="00AD4BE1">
            <w:pPr>
              <w:jc w:val="both"/>
              <w:rPr>
                <w:rFonts w:eastAsia="Calibri"/>
                <w:sz w:val="20"/>
                <w:szCs w:val="20"/>
              </w:rPr>
            </w:pPr>
          </w:p>
        </w:tc>
        <w:tc>
          <w:tcPr>
            <w:tcW w:w="2330" w:type="pct"/>
          </w:tcPr>
          <w:p w:rsidR="00AD4BE1" w:rsidRPr="00B92494" w:rsidRDefault="00AD4BE1" w:rsidP="00AD4BE1">
            <w:pPr>
              <w:jc w:val="both"/>
              <w:rPr>
                <w:rFonts w:eastAsia="Calibri"/>
                <w:sz w:val="20"/>
                <w:szCs w:val="20"/>
              </w:rPr>
            </w:pPr>
            <w:r w:rsidRPr="00B92494">
              <w:rPr>
                <w:rFonts w:eastAsia="Calibri"/>
                <w:sz w:val="20"/>
                <w:szCs w:val="20"/>
              </w:rPr>
              <w:t>Application for leave to appeal filed</w:t>
            </w:r>
          </w:p>
          <w:p w:rsidR="00AD4BE1" w:rsidRPr="00B92494" w:rsidRDefault="00AD4BE1" w:rsidP="00AD4BE1">
            <w:pPr>
              <w:jc w:val="both"/>
              <w:rPr>
                <w:rFonts w:eastAsia="Calibri"/>
                <w:sz w:val="20"/>
                <w:szCs w:val="20"/>
              </w:rPr>
            </w:pPr>
          </w:p>
        </w:tc>
      </w:tr>
    </w:tbl>
    <w:p w:rsidR="00C05442" w:rsidRDefault="00C05442" w:rsidP="00C05442">
      <w:pPr>
        <w:rPr>
          <w:sz w:val="20"/>
          <w:szCs w:val="20"/>
        </w:rPr>
      </w:pPr>
    </w:p>
    <w:p w:rsidR="00C05442" w:rsidRPr="00C50A5C" w:rsidRDefault="007F638F" w:rsidP="00C05442">
      <w:pPr>
        <w:rPr>
          <w:sz w:val="20"/>
          <w:szCs w:val="20"/>
        </w:rPr>
      </w:pPr>
      <w:r>
        <w:rPr>
          <w:sz w:val="20"/>
          <w:szCs w:val="20"/>
          <w:lang w:val="fr-CA"/>
        </w:rPr>
        <w:pict>
          <v:rect id="_x0000_i1044" style="width:2in;height:1pt" o:hrpct="0" o:hralign="center" o:hrstd="t" o:hrnoshade="t" o:hr="t" fillcolor="black [3213]" stroked="f"/>
        </w:pict>
      </w:r>
    </w:p>
    <w:p w:rsidR="00C05442" w:rsidRDefault="00C05442" w:rsidP="00C05442">
      <w:pPr>
        <w:rPr>
          <w:sz w:val="20"/>
          <w:szCs w:val="20"/>
        </w:rPr>
      </w:pPr>
    </w:p>
    <w:p w:rsidR="00C05442" w:rsidRPr="001B157C" w:rsidRDefault="00C05442" w:rsidP="00C05442">
      <w:pPr>
        <w:rPr>
          <w:sz w:val="20"/>
          <w:szCs w:val="20"/>
          <w:u w:val="single"/>
          <w:lang w:val="fr-CA"/>
        </w:rPr>
      </w:pPr>
      <w:r w:rsidRPr="001B157C">
        <w:rPr>
          <w:sz w:val="20"/>
          <w:szCs w:val="20"/>
          <w:u w:val="single"/>
          <w:lang w:val="fr-CA"/>
        </w:rPr>
        <w:t>RÉSUMÉ DE L’AFFAIRE</w:t>
      </w:r>
    </w:p>
    <w:p w:rsidR="00C05442" w:rsidRDefault="00C05442" w:rsidP="00C054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D4BE1" w:rsidRPr="00B92494" w:rsidTr="00AD4BE1">
        <w:tc>
          <w:tcPr>
            <w:tcW w:w="5000" w:type="pct"/>
            <w:gridSpan w:val="3"/>
          </w:tcPr>
          <w:p w:rsidR="00AD4BE1" w:rsidRPr="00B92494" w:rsidRDefault="00AD4BE1" w:rsidP="00AD4BE1">
            <w:pPr>
              <w:jc w:val="both"/>
              <w:rPr>
                <w:rFonts w:eastAsia="Calibri"/>
                <w:sz w:val="20"/>
                <w:szCs w:val="20"/>
                <w:lang w:val="fr-CA"/>
              </w:rPr>
            </w:pPr>
            <w:r w:rsidRPr="00B92494">
              <w:rPr>
                <w:rFonts w:eastAsia="Calibri"/>
                <w:sz w:val="20"/>
                <w:szCs w:val="20"/>
                <w:lang w:val="fr-CA"/>
              </w:rPr>
              <w:t xml:space="preserve">Législation – Interprétation – Biens – Condominiums – La Cour d’appel a-t-elle commis une erreur en concluant que toutes les dispositions d’une loi devaient être lues en corrélation et que chaque disposition devait recevoir un sens si cette conclusion oblige de donner à un article en particulier une interprétation que le libellé de l’article ne permet absolument pas – La Cour d’appel a-t-elle commis une erreur en concluant que toutes les dispositions d’une loi devaient être lues en corrélation et que chaque disposition devait recevoir un sens si cette conclusion oblige d’interpréter le libellé introductif de l’art. 15 de la loi sur les garanties des logements neufs qui se lit : « Pour l’application des articles 13 et 14 » comme voulant dire « malgré l’objet de l’article 14 » qui est de définir la catégorie de personnes qui ont droit de recevoir un paiement du fonds de garantie? – La Cour d’appel a-t-elle commis une erreur en concluant que la loi était claire en ce sens où l’al. 15a) ne pouvait être lu et compris comme compatible avec l’art. 14? – </w:t>
            </w:r>
            <w:r w:rsidRPr="00B92494">
              <w:rPr>
                <w:rFonts w:eastAsia="Calibri"/>
                <w:i/>
                <w:sz w:val="20"/>
                <w:szCs w:val="20"/>
                <w:lang w:val="fr-CA"/>
              </w:rPr>
              <w:t>Loi sur le Régime de garanties des logements neufs de l’Ontario</w:t>
            </w:r>
            <w:r w:rsidRPr="00B92494">
              <w:rPr>
                <w:rFonts w:eastAsia="Calibri"/>
                <w:sz w:val="20"/>
                <w:szCs w:val="20"/>
                <w:lang w:val="fr-CA"/>
              </w:rPr>
              <w:t>, L.R.O. 1990 ch. O.31, art. 13-15.</w:t>
            </w:r>
          </w:p>
        </w:tc>
      </w:tr>
      <w:tr w:rsidR="00AD4BE1" w:rsidRPr="00B92494" w:rsidTr="00AD4BE1">
        <w:tc>
          <w:tcPr>
            <w:tcW w:w="5000" w:type="pct"/>
            <w:gridSpan w:val="3"/>
          </w:tcPr>
          <w:p w:rsidR="00AD4BE1" w:rsidRPr="00B92494" w:rsidRDefault="00AD4BE1" w:rsidP="00AD4BE1">
            <w:pPr>
              <w:jc w:val="both"/>
              <w:rPr>
                <w:rFonts w:eastAsia="Calibri"/>
                <w:sz w:val="20"/>
                <w:szCs w:val="20"/>
                <w:lang w:val="fr-CA"/>
              </w:rPr>
            </w:pPr>
          </w:p>
        </w:tc>
      </w:tr>
      <w:tr w:rsidR="00AD4BE1" w:rsidRPr="0063742E" w:rsidTr="00AD4BE1">
        <w:tc>
          <w:tcPr>
            <w:tcW w:w="5000" w:type="pct"/>
            <w:gridSpan w:val="3"/>
          </w:tcPr>
          <w:p w:rsidR="00AD4BE1" w:rsidRPr="00B92494" w:rsidRDefault="00AD4BE1" w:rsidP="00AD4BE1">
            <w:pPr>
              <w:jc w:val="both"/>
              <w:rPr>
                <w:rFonts w:eastAsia="Calibri"/>
                <w:sz w:val="20"/>
                <w:szCs w:val="20"/>
                <w:lang w:val="fr-CA"/>
              </w:rPr>
            </w:pPr>
            <w:r w:rsidRPr="00B92494">
              <w:rPr>
                <w:rFonts w:eastAsia="Calibri"/>
                <w:sz w:val="20"/>
                <w:szCs w:val="20"/>
                <w:lang w:val="fr-CA"/>
              </w:rPr>
              <w:t xml:space="preserve">L’intimée, Tarion Warranty Corporation (« Tarion ») a intenté une action contre les demandeurs, M. Latreille et Mme Benmiloud, pour recouvrer des sommes d’argent qu’elle avait versées à partir du fonds de garantie établi en application de la </w:t>
            </w:r>
            <w:r w:rsidRPr="00B92494">
              <w:rPr>
                <w:rFonts w:eastAsia="Calibri"/>
                <w:i/>
                <w:sz w:val="20"/>
                <w:szCs w:val="20"/>
                <w:lang w:val="fr-CA"/>
              </w:rPr>
              <w:t>Loi sur le Régime de garanties des logements neufs de l’Ontario</w:t>
            </w:r>
            <w:r w:rsidRPr="00B92494">
              <w:rPr>
                <w:rFonts w:eastAsia="Calibri"/>
                <w:sz w:val="20"/>
                <w:szCs w:val="20"/>
                <w:lang w:val="fr-CA"/>
              </w:rPr>
              <w:t>, L.R.O. 1990 ch. O.31 (la « </w:t>
            </w:r>
            <w:r w:rsidRPr="00B92494">
              <w:rPr>
                <w:rFonts w:eastAsia="Calibri"/>
                <w:i/>
                <w:sz w:val="20"/>
                <w:szCs w:val="20"/>
                <w:lang w:val="fr-CA"/>
              </w:rPr>
              <w:t>Loi</w:t>
            </w:r>
            <w:r w:rsidRPr="00B92494">
              <w:rPr>
                <w:rFonts w:eastAsia="Calibri"/>
                <w:sz w:val="20"/>
                <w:szCs w:val="20"/>
                <w:lang w:val="fr-CA"/>
              </w:rPr>
              <w:t> »), à l’égard de réclamations en garantie faites par Ottawa Carleton Standard Condominium Corporation No. 737 (« OCC 737 »).  Les réclamations en garantie découlaient de présumés vices et déficiences touchant les éléments communs d’un immeuble en condominium de onze appartements à Ottawa.  L’immeuble en condominium avait été construit par la société Domaines du Marché (« Domaines »), maintenant en faillite. Domaines était inscrite auprès de Tarion et était le constructeur, le vendeur et le déclarant du condominium.  En conséquence, Tarion a payé le coût de réparation des déficiences garanties à partir du fonds de garantie, puis a facturé Domaines pour ces montants.  Ces factures ont été payées, à concurrence de 220 000 $, par voie de prélèvement sur une lettre de crédit donnée en garantie par Domaines. Le solde, d’environ 111 000 $, demeure impayé.</w:t>
            </w:r>
          </w:p>
          <w:p w:rsidR="00AD4BE1" w:rsidRPr="00B92494" w:rsidRDefault="00AD4BE1" w:rsidP="00AD4BE1">
            <w:pPr>
              <w:jc w:val="both"/>
              <w:rPr>
                <w:rFonts w:eastAsia="Calibri"/>
                <w:sz w:val="20"/>
                <w:szCs w:val="20"/>
                <w:lang w:val="fr-CA"/>
              </w:rPr>
            </w:pPr>
          </w:p>
          <w:p w:rsidR="00AD4BE1" w:rsidRPr="00B92494" w:rsidRDefault="00AD4BE1" w:rsidP="00AD4BE1">
            <w:pPr>
              <w:jc w:val="both"/>
              <w:rPr>
                <w:rFonts w:eastAsia="Calibri"/>
                <w:sz w:val="20"/>
                <w:szCs w:val="20"/>
                <w:lang w:val="fr-CA"/>
              </w:rPr>
            </w:pPr>
            <w:r w:rsidRPr="00B92494">
              <w:rPr>
                <w:rFonts w:eastAsia="Calibri"/>
                <w:sz w:val="20"/>
                <w:szCs w:val="20"/>
                <w:lang w:val="fr-CA"/>
              </w:rPr>
              <w:t xml:space="preserve">Monsieur Latreille est le garant de Domaines.  En l’espèce, Tarion poursuit M. Latreille pour recouvrer le solde de 111 000 $ sur le fondement de cette garantie.  Tarion poursuit également Mme Benmiloud, l’épouse de M. Latreille, pour faire annuler un transport présumé frauduleux de M. Latreille à M. Benmiloud.  Monsieur Latreille a prétendu qu’OCC 737 n’avait aucun droit d’action en violation de garantie fondé sur la </w:t>
            </w:r>
            <w:r w:rsidRPr="00B92494">
              <w:rPr>
                <w:rFonts w:eastAsia="Calibri"/>
                <w:i/>
                <w:sz w:val="20"/>
                <w:szCs w:val="20"/>
                <w:lang w:val="fr-CA"/>
              </w:rPr>
              <w:t>Loi</w:t>
            </w:r>
            <w:r w:rsidRPr="00B92494">
              <w:rPr>
                <w:rFonts w:eastAsia="Calibri"/>
                <w:sz w:val="20"/>
                <w:szCs w:val="20"/>
                <w:lang w:val="fr-CA"/>
              </w:rPr>
              <w:t xml:space="preserve"> à l’égard des réparations des parties communes, puisque l’OCC 737 n’est pas visée par les dispositions en matière de garantie de la </w:t>
            </w:r>
            <w:r w:rsidRPr="00B92494">
              <w:rPr>
                <w:rFonts w:eastAsia="Calibri"/>
                <w:i/>
                <w:sz w:val="20"/>
                <w:szCs w:val="20"/>
                <w:lang w:val="fr-CA"/>
              </w:rPr>
              <w:t>Loi</w:t>
            </w:r>
            <w:r w:rsidRPr="00B92494">
              <w:rPr>
                <w:rFonts w:eastAsia="Calibri"/>
                <w:sz w:val="20"/>
                <w:szCs w:val="20"/>
                <w:lang w:val="fr-CA"/>
              </w:rPr>
              <w:t>.  Monsieur Latreille a également déposé une demande reconventionnelle en dommages-intérêts de 220 000 $ découlant du prélèvement censément irrégulier sur la lettre de crédit donnée en garantie par Domaines.</w:t>
            </w:r>
          </w:p>
          <w:p w:rsidR="00AD4BE1" w:rsidRPr="00B92494" w:rsidRDefault="00AD4BE1" w:rsidP="00AD4BE1">
            <w:pPr>
              <w:jc w:val="both"/>
              <w:rPr>
                <w:rFonts w:eastAsia="Calibri"/>
                <w:sz w:val="20"/>
                <w:szCs w:val="20"/>
                <w:lang w:val="fr-CA"/>
              </w:rPr>
            </w:pPr>
          </w:p>
          <w:p w:rsidR="00AD4BE1" w:rsidRPr="00B92494" w:rsidRDefault="00AD4BE1" w:rsidP="00AD4BE1">
            <w:pPr>
              <w:jc w:val="both"/>
              <w:rPr>
                <w:rFonts w:eastAsia="Calibri"/>
                <w:sz w:val="20"/>
                <w:szCs w:val="20"/>
                <w:lang w:val="fr-CA"/>
              </w:rPr>
            </w:pPr>
            <w:r w:rsidRPr="00B92494">
              <w:rPr>
                <w:rFonts w:eastAsia="Calibri"/>
                <w:sz w:val="20"/>
                <w:szCs w:val="20"/>
                <w:lang w:val="fr-CA"/>
              </w:rPr>
              <w:t>La motion en jugement sommaire de M. Latreille et de Mme Benmiloud a été rejetée.  Monsieur Latreille, en sa qualité de garant de Domaines, a été déclaré personnellement tenu d’indemniser Tarion pour tout déficit à l’égard des réclamations en garantie traitées par Tarion relativement aux parties communes d’OCC 737.  L’appel de M. Latreille et de Mme Benmiloud a été subséquemment rejeté.</w:t>
            </w:r>
          </w:p>
          <w:p w:rsidR="00AD4BE1" w:rsidRPr="00B92494" w:rsidRDefault="00AD4BE1" w:rsidP="00AD4BE1">
            <w:pPr>
              <w:jc w:val="both"/>
              <w:rPr>
                <w:rFonts w:eastAsia="Calibri"/>
                <w:sz w:val="20"/>
                <w:szCs w:val="20"/>
                <w:lang w:val="fr-CA"/>
              </w:rPr>
            </w:pPr>
          </w:p>
        </w:tc>
      </w:tr>
      <w:tr w:rsidR="00AD4BE1" w:rsidRPr="0063742E" w:rsidTr="00AD4BE1">
        <w:tc>
          <w:tcPr>
            <w:tcW w:w="2427" w:type="pct"/>
          </w:tcPr>
          <w:p w:rsidR="00AD4BE1" w:rsidRPr="00B92494" w:rsidRDefault="00AD4BE1" w:rsidP="00AD4BE1">
            <w:pPr>
              <w:jc w:val="both"/>
              <w:rPr>
                <w:rFonts w:eastAsia="Calibri"/>
                <w:sz w:val="20"/>
                <w:szCs w:val="20"/>
                <w:lang w:val="fr-CA"/>
              </w:rPr>
            </w:pPr>
            <w:r w:rsidRPr="00B92494">
              <w:rPr>
                <w:rFonts w:eastAsia="Calibri"/>
                <w:sz w:val="20"/>
                <w:szCs w:val="20"/>
                <w:lang w:val="fr-CA"/>
              </w:rPr>
              <w:t>9 juin 2014</w:t>
            </w:r>
          </w:p>
          <w:p w:rsidR="00AD4BE1" w:rsidRPr="00B92494" w:rsidRDefault="00AD4BE1" w:rsidP="00AD4BE1">
            <w:pPr>
              <w:jc w:val="both"/>
              <w:rPr>
                <w:rFonts w:eastAsia="Calibri"/>
                <w:sz w:val="20"/>
                <w:szCs w:val="20"/>
                <w:lang w:val="fr-CA"/>
              </w:rPr>
            </w:pPr>
            <w:r w:rsidRPr="00B92494">
              <w:rPr>
                <w:rFonts w:eastAsia="Calibri"/>
                <w:sz w:val="20"/>
                <w:szCs w:val="20"/>
                <w:lang w:val="fr-CA"/>
              </w:rPr>
              <w:t>Cour supérieure de justice de l’Ontario</w:t>
            </w:r>
          </w:p>
          <w:p w:rsidR="00AD4BE1" w:rsidRPr="00B92494" w:rsidRDefault="00AD4BE1" w:rsidP="00AD4BE1">
            <w:pPr>
              <w:jc w:val="both"/>
              <w:rPr>
                <w:rFonts w:eastAsia="Calibri"/>
                <w:sz w:val="20"/>
                <w:szCs w:val="20"/>
                <w:lang w:val="fr-CA"/>
              </w:rPr>
            </w:pPr>
            <w:r w:rsidRPr="00B92494">
              <w:rPr>
                <w:rFonts w:eastAsia="Calibri"/>
                <w:sz w:val="20"/>
                <w:szCs w:val="20"/>
                <w:lang w:val="fr-CA"/>
              </w:rPr>
              <w:t>(Juge Stinson)</w:t>
            </w:r>
          </w:p>
          <w:p w:rsidR="00AD4BE1" w:rsidRPr="00B92494" w:rsidRDefault="00AD4BE1" w:rsidP="00AD4BE1">
            <w:pPr>
              <w:jc w:val="both"/>
              <w:rPr>
                <w:rFonts w:eastAsia="Calibri"/>
                <w:sz w:val="20"/>
                <w:szCs w:val="20"/>
                <w:lang w:val="fr-CA"/>
              </w:rPr>
            </w:pPr>
            <w:r w:rsidRPr="00B92494">
              <w:rPr>
                <w:rFonts w:eastAsia="Calibri"/>
                <w:sz w:val="20"/>
                <w:szCs w:val="20"/>
                <w:lang w:val="fr-CA"/>
              </w:rPr>
              <w:t>2014 ONSC 3628</w:t>
            </w:r>
          </w:p>
          <w:p w:rsidR="00AD4BE1" w:rsidRPr="00B92494" w:rsidRDefault="00AD4BE1" w:rsidP="00AD4BE1">
            <w:pPr>
              <w:jc w:val="both"/>
              <w:rPr>
                <w:rFonts w:eastAsia="Calibri"/>
                <w:sz w:val="20"/>
                <w:szCs w:val="20"/>
                <w:lang w:val="fr-CA"/>
              </w:rPr>
            </w:pPr>
          </w:p>
        </w:tc>
        <w:tc>
          <w:tcPr>
            <w:tcW w:w="243" w:type="pct"/>
          </w:tcPr>
          <w:p w:rsidR="00AD4BE1" w:rsidRPr="00B92494" w:rsidRDefault="00AD4BE1" w:rsidP="00AD4BE1">
            <w:pPr>
              <w:jc w:val="both"/>
              <w:rPr>
                <w:rFonts w:eastAsia="Calibri"/>
                <w:sz w:val="20"/>
                <w:szCs w:val="20"/>
                <w:lang w:val="fr-CA"/>
              </w:rPr>
            </w:pPr>
          </w:p>
        </w:tc>
        <w:tc>
          <w:tcPr>
            <w:tcW w:w="2330" w:type="pct"/>
          </w:tcPr>
          <w:p w:rsidR="00AD4BE1" w:rsidRPr="00B92494" w:rsidRDefault="00AD4BE1" w:rsidP="00AD4BE1">
            <w:pPr>
              <w:jc w:val="both"/>
              <w:rPr>
                <w:rFonts w:eastAsia="Calibri"/>
                <w:sz w:val="20"/>
                <w:szCs w:val="20"/>
                <w:lang w:val="fr-CA"/>
              </w:rPr>
            </w:pPr>
            <w:r w:rsidRPr="00B92494">
              <w:rPr>
                <w:rFonts w:eastAsia="Calibri"/>
                <w:sz w:val="20"/>
                <w:szCs w:val="20"/>
                <w:lang w:val="fr-CA"/>
              </w:rPr>
              <w:t>Rejet de la motion en jugement sommaire; déclaration portant que M. Latreille est personnellement responsable à l’endroit de Tarion</w:t>
            </w:r>
          </w:p>
          <w:p w:rsidR="00AD4BE1" w:rsidRPr="00B92494" w:rsidRDefault="00AD4BE1" w:rsidP="00AD4BE1">
            <w:pPr>
              <w:jc w:val="both"/>
              <w:rPr>
                <w:rFonts w:eastAsia="Calibri"/>
                <w:sz w:val="20"/>
                <w:szCs w:val="20"/>
                <w:lang w:val="fr-CA"/>
              </w:rPr>
            </w:pPr>
          </w:p>
        </w:tc>
      </w:tr>
      <w:tr w:rsidR="00AD4BE1" w:rsidRPr="00B92494" w:rsidTr="00042164">
        <w:trPr>
          <w:cantSplit/>
        </w:trPr>
        <w:tc>
          <w:tcPr>
            <w:tcW w:w="2427" w:type="pct"/>
          </w:tcPr>
          <w:p w:rsidR="00AD4BE1" w:rsidRPr="00B92494" w:rsidRDefault="00AD4BE1" w:rsidP="00AD4BE1">
            <w:pPr>
              <w:jc w:val="both"/>
              <w:rPr>
                <w:rFonts w:eastAsia="Calibri"/>
                <w:sz w:val="20"/>
                <w:szCs w:val="20"/>
                <w:lang w:val="fr-CA"/>
              </w:rPr>
            </w:pPr>
            <w:r w:rsidRPr="00B92494">
              <w:rPr>
                <w:rFonts w:eastAsia="Calibri"/>
                <w:sz w:val="20"/>
                <w:szCs w:val="20"/>
                <w:lang w:val="fr-CA"/>
              </w:rPr>
              <w:lastRenderedPageBreak/>
              <w:t>1</w:t>
            </w:r>
            <w:r w:rsidR="00772617">
              <w:rPr>
                <w:rFonts w:eastAsia="Calibri"/>
                <w:sz w:val="20"/>
                <w:szCs w:val="20"/>
                <w:lang w:val="fr-CA"/>
              </w:rPr>
              <w:t>0</w:t>
            </w:r>
            <w:r w:rsidRPr="00B92494">
              <w:rPr>
                <w:rFonts w:eastAsia="Calibri"/>
                <w:sz w:val="20"/>
                <w:szCs w:val="20"/>
                <w:lang w:val="fr-CA"/>
              </w:rPr>
              <w:t xml:space="preserve"> décembre 2014</w:t>
            </w:r>
          </w:p>
          <w:p w:rsidR="00AD4BE1" w:rsidRPr="00B92494" w:rsidRDefault="00AD4BE1" w:rsidP="00AD4BE1">
            <w:pPr>
              <w:jc w:val="both"/>
              <w:rPr>
                <w:rFonts w:eastAsia="Calibri"/>
                <w:sz w:val="20"/>
                <w:szCs w:val="20"/>
                <w:lang w:val="fr-CA"/>
              </w:rPr>
            </w:pPr>
            <w:r w:rsidRPr="00B92494">
              <w:rPr>
                <w:rFonts w:eastAsia="Calibri"/>
                <w:sz w:val="20"/>
                <w:szCs w:val="20"/>
                <w:lang w:val="fr-CA"/>
              </w:rPr>
              <w:t>Cour d’appel de l’Ontario</w:t>
            </w:r>
          </w:p>
          <w:p w:rsidR="00AD4BE1" w:rsidRPr="00B92494" w:rsidRDefault="00AD4BE1" w:rsidP="00AD4BE1">
            <w:pPr>
              <w:jc w:val="both"/>
              <w:rPr>
                <w:rFonts w:eastAsia="Calibri"/>
                <w:sz w:val="20"/>
                <w:szCs w:val="20"/>
                <w:lang w:val="fr-CA"/>
              </w:rPr>
            </w:pPr>
            <w:r w:rsidRPr="00B92494">
              <w:rPr>
                <w:rFonts w:eastAsia="Calibri"/>
                <w:sz w:val="20"/>
                <w:szCs w:val="20"/>
                <w:lang w:val="fr-CA"/>
              </w:rPr>
              <w:t>(Juges Cronk, Juriansz et Epstein)</w:t>
            </w:r>
          </w:p>
          <w:p w:rsidR="00AD4BE1" w:rsidRPr="00B92494" w:rsidRDefault="00AD4BE1" w:rsidP="00AD4BE1">
            <w:pPr>
              <w:jc w:val="both"/>
              <w:rPr>
                <w:rFonts w:eastAsia="Calibri"/>
                <w:sz w:val="20"/>
                <w:szCs w:val="20"/>
              </w:rPr>
            </w:pPr>
            <w:r w:rsidRPr="00B92494">
              <w:rPr>
                <w:rFonts w:eastAsia="Calibri"/>
                <w:sz w:val="20"/>
                <w:szCs w:val="20"/>
              </w:rPr>
              <w:t>2014 ONCA 904; C59041</w:t>
            </w:r>
          </w:p>
          <w:p w:rsidR="00AD4BE1" w:rsidRPr="00B92494" w:rsidRDefault="007F638F" w:rsidP="00AD4BE1">
            <w:pPr>
              <w:jc w:val="both"/>
              <w:rPr>
                <w:rFonts w:eastAsia="Calibri"/>
                <w:sz w:val="20"/>
                <w:szCs w:val="20"/>
              </w:rPr>
            </w:pPr>
            <w:hyperlink r:id="rId48" w:history="1">
              <w:r w:rsidR="00AD4BE1" w:rsidRPr="00B92494">
                <w:rPr>
                  <w:rFonts w:eastAsia="Calibri"/>
                  <w:color w:val="0000FF"/>
                  <w:sz w:val="20"/>
                  <w:szCs w:val="20"/>
                  <w:u w:val="single"/>
                </w:rPr>
                <w:t>http://canlii.ca/t/gfnvz</w:t>
              </w:r>
            </w:hyperlink>
          </w:p>
          <w:p w:rsidR="00AD4BE1" w:rsidRPr="00B92494" w:rsidRDefault="00AD4BE1" w:rsidP="00AD4BE1">
            <w:pPr>
              <w:jc w:val="both"/>
              <w:rPr>
                <w:rFonts w:eastAsia="Calibri"/>
                <w:sz w:val="20"/>
                <w:szCs w:val="20"/>
              </w:rPr>
            </w:pPr>
          </w:p>
        </w:tc>
        <w:tc>
          <w:tcPr>
            <w:tcW w:w="243" w:type="pct"/>
          </w:tcPr>
          <w:p w:rsidR="00AD4BE1" w:rsidRPr="00B92494" w:rsidRDefault="00AD4BE1" w:rsidP="00AD4BE1">
            <w:pPr>
              <w:jc w:val="both"/>
              <w:rPr>
                <w:rFonts w:eastAsia="Calibri"/>
                <w:sz w:val="20"/>
                <w:szCs w:val="20"/>
              </w:rPr>
            </w:pPr>
          </w:p>
        </w:tc>
        <w:tc>
          <w:tcPr>
            <w:tcW w:w="2330" w:type="pct"/>
          </w:tcPr>
          <w:p w:rsidR="00AD4BE1" w:rsidRPr="00B92494" w:rsidRDefault="00AD4BE1" w:rsidP="00AD4BE1">
            <w:pPr>
              <w:jc w:val="both"/>
              <w:rPr>
                <w:rFonts w:eastAsia="Calibri"/>
                <w:sz w:val="20"/>
                <w:szCs w:val="20"/>
                <w:lang w:val="fr-CA"/>
              </w:rPr>
            </w:pPr>
            <w:r w:rsidRPr="00B92494">
              <w:rPr>
                <w:rFonts w:eastAsia="Calibri"/>
                <w:sz w:val="20"/>
                <w:szCs w:val="20"/>
                <w:lang w:val="fr-CA"/>
              </w:rPr>
              <w:t>Rejet de l’appel</w:t>
            </w:r>
          </w:p>
          <w:p w:rsidR="00AD4BE1" w:rsidRPr="00B92494" w:rsidRDefault="00AD4BE1" w:rsidP="00AD4BE1">
            <w:pPr>
              <w:jc w:val="both"/>
              <w:rPr>
                <w:rFonts w:eastAsia="Calibri"/>
                <w:sz w:val="20"/>
                <w:szCs w:val="20"/>
                <w:lang w:val="fr-CA"/>
              </w:rPr>
            </w:pPr>
          </w:p>
        </w:tc>
      </w:tr>
      <w:tr w:rsidR="00AD4BE1" w:rsidRPr="0063742E" w:rsidTr="00042164">
        <w:trPr>
          <w:cantSplit/>
        </w:trPr>
        <w:tc>
          <w:tcPr>
            <w:tcW w:w="2427" w:type="pct"/>
          </w:tcPr>
          <w:p w:rsidR="00AD4BE1" w:rsidRPr="00B92494" w:rsidRDefault="00AD4BE1" w:rsidP="00AD4BE1">
            <w:pPr>
              <w:jc w:val="both"/>
              <w:rPr>
                <w:rFonts w:eastAsia="Calibri"/>
                <w:sz w:val="20"/>
                <w:szCs w:val="20"/>
                <w:lang w:val="fr-CA"/>
              </w:rPr>
            </w:pPr>
            <w:r w:rsidRPr="00B92494">
              <w:rPr>
                <w:rFonts w:eastAsia="Calibri"/>
                <w:sz w:val="20"/>
                <w:szCs w:val="20"/>
                <w:lang w:val="fr-CA"/>
              </w:rPr>
              <w:t>11 février 2015</w:t>
            </w:r>
          </w:p>
          <w:p w:rsidR="00AD4BE1" w:rsidRPr="00B92494" w:rsidRDefault="00AD4BE1" w:rsidP="00AD4BE1">
            <w:pPr>
              <w:jc w:val="both"/>
              <w:rPr>
                <w:rFonts w:eastAsia="Calibri"/>
                <w:sz w:val="20"/>
                <w:szCs w:val="20"/>
                <w:lang w:val="fr-CA"/>
              </w:rPr>
            </w:pPr>
            <w:r w:rsidRPr="00B92494">
              <w:rPr>
                <w:rFonts w:eastAsia="Calibri"/>
                <w:sz w:val="20"/>
                <w:szCs w:val="20"/>
                <w:lang w:val="fr-CA"/>
              </w:rPr>
              <w:t>Cour suprême du Canada</w:t>
            </w:r>
          </w:p>
        </w:tc>
        <w:tc>
          <w:tcPr>
            <w:tcW w:w="243" w:type="pct"/>
          </w:tcPr>
          <w:p w:rsidR="00AD4BE1" w:rsidRPr="00B92494" w:rsidRDefault="00AD4BE1" w:rsidP="00AD4BE1">
            <w:pPr>
              <w:jc w:val="both"/>
              <w:rPr>
                <w:rFonts w:eastAsia="Calibri"/>
                <w:sz w:val="20"/>
                <w:szCs w:val="20"/>
                <w:lang w:val="fr-CA"/>
              </w:rPr>
            </w:pPr>
          </w:p>
        </w:tc>
        <w:tc>
          <w:tcPr>
            <w:tcW w:w="2330" w:type="pct"/>
          </w:tcPr>
          <w:p w:rsidR="00AD4BE1" w:rsidRPr="00B92494" w:rsidRDefault="00AD4BE1" w:rsidP="00AD4BE1">
            <w:pPr>
              <w:jc w:val="both"/>
              <w:rPr>
                <w:rFonts w:eastAsia="Calibri"/>
                <w:sz w:val="20"/>
                <w:szCs w:val="20"/>
                <w:lang w:val="fr-CA"/>
              </w:rPr>
            </w:pPr>
            <w:r w:rsidRPr="00B92494">
              <w:rPr>
                <w:rFonts w:eastAsia="Calibri"/>
                <w:sz w:val="20"/>
                <w:szCs w:val="20"/>
                <w:lang w:val="fr-CA"/>
              </w:rPr>
              <w:t>Dépôt de la demande d’autorisation d’appel</w:t>
            </w:r>
          </w:p>
          <w:p w:rsidR="00AD4BE1" w:rsidRPr="00B92494" w:rsidRDefault="00AD4BE1" w:rsidP="00AD4BE1">
            <w:pPr>
              <w:jc w:val="both"/>
              <w:rPr>
                <w:rFonts w:eastAsia="Calibri"/>
                <w:sz w:val="20"/>
                <w:szCs w:val="20"/>
                <w:lang w:val="fr-CA"/>
              </w:rPr>
            </w:pPr>
          </w:p>
        </w:tc>
      </w:tr>
    </w:tbl>
    <w:p w:rsidR="00C05442" w:rsidRPr="00AD4BE1" w:rsidRDefault="00C05442" w:rsidP="00C05442">
      <w:pPr>
        <w:rPr>
          <w:sz w:val="20"/>
          <w:szCs w:val="20"/>
          <w:lang w:val="fr-CA"/>
        </w:rPr>
      </w:pPr>
    </w:p>
    <w:p w:rsidR="00C05442" w:rsidRDefault="007F638F" w:rsidP="00C05442">
      <w:pPr>
        <w:rPr>
          <w:sz w:val="20"/>
          <w:szCs w:val="20"/>
          <w:lang w:val="fr-CA"/>
        </w:rPr>
      </w:pPr>
      <w:r>
        <w:rPr>
          <w:sz w:val="20"/>
          <w:szCs w:val="20"/>
          <w:lang w:val="fr-CA"/>
        </w:rPr>
        <w:pict>
          <v:rect id="_x0000_i1045" style="width:2in;height:1pt" o:hrpct="0" o:hralign="center" o:hrstd="t" o:hrnoshade="t" o:hr="t" fillcolor="black [3213]" stroked="f"/>
        </w:pict>
      </w:r>
    </w:p>
    <w:p w:rsidR="00C05442" w:rsidRDefault="00C05442" w:rsidP="00C05442">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42164" w:rsidRPr="004F280C" w:rsidTr="00042164">
        <w:trPr>
          <w:cantSplit/>
        </w:trPr>
        <w:tc>
          <w:tcPr>
            <w:tcW w:w="1458" w:type="dxa"/>
          </w:tcPr>
          <w:p w:rsidR="00042164" w:rsidRPr="004F280C" w:rsidRDefault="00042164" w:rsidP="00042164">
            <w:pPr>
              <w:rPr>
                <w:sz w:val="20"/>
                <w:szCs w:val="20"/>
              </w:rPr>
            </w:pPr>
            <w:r w:rsidRPr="004F280C">
              <w:rPr>
                <w:rStyle w:val="SCCFileNumberChar"/>
                <w:sz w:val="20"/>
                <w:szCs w:val="20"/>
              </w:rPr>
              <w:t>36317</w:t>
            </w:r>
          </w:p>
          <w:p w:rsidR="00042164" w:rsidRPr="004F280C" w:rsidRDefault="00042164" w:rsidP="00042164">
            <w:pPr>
              <w:rPr>
                <w:b/>
                <w:sz w:val="20"/>
                <w:szCs w:val="20"/>
                <w:lang w:val="fr-CA"/>
              </w:rPr>
            </w:pPr>
          </w:p>
        </w:tc>
        <w:tc>
          <w:tcPr>
            <w:tcW w:w="8118" w:type="dxa"/>
          </w:tcPr>
          <w:p w:rsidR="00042164" w:rsidRPr="004F280C" w:rsidRDefault="00042164" w:rsidP="00042164">
            <w:pPr>
              <w:rPr>
                <w:sz w:val="20"/>
                <w:szCs w:val="20"/>
              </w:rPr>
            </w:pPr>
            <w:r w:rsidRPr="004F280C">
              <w:rPr>
                <w:rStyle w:val="SCCLsocChar"/>
                <w:sz w:val="20"/>
                <w:szCs w:val="20"/>
                <w:lang w:val="en-CA"/>
              </w:rPr>
              <w:t>Dennis Garry Stewart v. Her Majesty the Queen</w:t>
            </w:r>
            <w:r w:rsidRPr="004F280C">
              <w:rPr>
                <w:sz w:val="20"/>
                <w:szCs w:val="20"/>
              </w:rPr>
              <w:t xml:space="preserve"> (N.S.) (Criminal) (By Leave)</w:t>
            </w:r>
          </w:p>
          <w:p w:rsidR="00042164" w:rsidRPr="004F280C" w:rsidRDefault="00042164" w:rsidP="00042164">
            <w:pPr>
              <w:rPr>
                <w:sz w:val="20"/>
                <w:szCs w:val="20"/>
              </w:rPr>
            </w:pPr>
          </w:p>
        </w:tc>
      </w:tr>
      <w:tr w:rsidR="00042164" w:rsidRPr="004F280C" w:rsidTr="00042164">
        <w:trPr>
          <w:cantSplit/>
        </w:trPr>
        <w:tc>
          <w:tcPr>
            <w:tcW w:w="1458" w:type="dxa"/>
          </w:tcPr>
          <w:p w:rsidR="00042164" w:rsidRPr="004F280C" w:rsidRDefault="00042164" w:rsidP="00042164">
            <w:pPr>
              <w:rPr>
                <w:sz w:val="20"/>
                <w:szCs w:val="20"/>
              </w:rPr>
            </w:pPr>
            <w:r w:rsidRPr="004F280C">
              <w:rPr>
                <w:sz w:val="20"/>
                <w:szCs w:val="20"/>
              </w:rPr>
              <w:t>Coram :</w:t>
            </w:r>
          </w:p>
        </w:tc>
        <w:tc>
          <w:tcPr>
            <w:tcW w:w="8118" w:type="dxa"/>
          </w:tcPr>
          <w:p w:rsidR="00042164" w:rsidRPr="004F280C" w:rsidRDefault="00042164" w:rsidP="00042164">
            <w:pPr>
              <w:rPr>
                <w:sz w:val="20"/>
                <w:szCs w:val="20"/>
              </w:rPr>
            </w:pPr>
            <w:r w:rsidRPr="004F280C">
              <w:rPr>
                <w:rStyle w:val="SCCCoramChar"/>
                <w:sz w:val="20"/>
                <w:szCs w:val="20"/>
                <w:lang w:val="en-CA"/>
              </w:rPr>
              <w:t>Rothstein, Cromwell and Moldaver JJ.</w:t>
            </w:r>
          </w:p>
          <w:p w:rsidR="00042164" w:rsidRPr="004F280C" w:rsidRDefault="00042164" w:rsidP="00042164">
            <w:pPr>
              <w:rPr>
                <w:sz w:val="20"/>
                <w:szCs w:val="20"/>
                <w:u w:val="single"/>
              </w:rPr>
            </w:pPr>
          </w:p>
        </w:tc>
      </w:tr>
      <w:tr w:rsidR="00042164" w:rsidRPr="0063742E" w:rsidTr="00042164">
        <w:trPr>
          <w:cantSplit/>
        </w:trPr>
        <w:tc>
          <w:tcPr>
            <w:tcW w:w="9576" w:type="dxa"/>
            <w:gridSpan w:val="2"/>
          </w:tcPr>
          <w:p w:rsidR="00042164" w:rsidRPr="004F280C" w:rsidRDefault="00042164" w:rsidP="00042164">
            <w:pPr>
              <w:pStyle w:val="SCCShortJudgment"/>
              <w:rPr>
                <w:szCs w:val="20"/>
              </w:rPr>
            </w:pPr>
            <w:r w:rsidRPr="004F280C">
              <w:rPr>
                <w:szCs w:val="20"/>
              </w:rPr>
              <w:t>The motion for an extension of time to serve and file the application for leave to appeal is granted. The motion to appoint counsel is dismissed. The application for leave to appeal from the judgment of the Nova Scotia Court of Appeal, Number CAC 419615, 2014 NSCA 56, dated June 3, 2014, is dismissed.</w:t>
            </w:r>
          </w:p>
          <w:p w:rsidR="00042164" w:rsidRPr="004F280C" w:rsidRDefault="00042164" w:rsidP="00042164">
            <w:pPr>
              <w:pStyle w:val="SCCShortJudgment"/>
              <w:ind w:firstLine="0"/>
              <w:rPr>
                <w:szCs w:val="20"/>
              </w:rPr>
            </w:pPr>
          </w:p>
          <w:p w:rsidR="00042164" w:rsidRPr="004F280C" w:rsidRDefault="00042164" w:rsidP="00042164">
            <w:pPr>
              <w:pStyle w:val="SCCShortJudgment"/>
              <w:rPr>
                <w:szCs w:val="20"/>
                <w:lang w:val="fr-CA"/>
              </w:rPr>
            </w:pPr>
            <w:r w:rsidRPr="004F280C">
              <w:rPr>
                <w:szCs w:val="20"/>
                <w:lang w:val="fr-CA"/>
              </w:rPr>
              <w:t>La requête en prorogation du délai de signification et de dépôt de la demande d’autorisation d’appel est accueillie. La requête en nomination d’un procureur est rejetée. La demande d’autorisation d’appel de l’arrêt de la Cour d’appel de la Nouvelle-Écosse, numéro CAC 419615, 2014 NSCA 56, daté du 3 juin 2014, est rejetée.</w:t>
            </w:r>
          </w:p>
        </w:tc>
      </w:tr>
    </w:tbl>
    <w:p w:rsidR="00C05442" w:rsidRPr="00042164" w:rsidRDefault="00C05442" w:rsidP="00C05442">
      <w:pPr>
        <w:rPr>
          <w:sz w:val="20"/>
          <w:szCs w:val="20"/>
          <w:lang w:val="fr-CA"/>
        </w:rPr>
      </w:pPr>
    </w:p>
    <w:p w:rsidR="00C05442" w:rsidRPr="001B157C" w:rsidRDefault="00C05442" w:rsidP="00C05442">
      <w:pPr>
        <w:rPr>
          <w:sz w:val="20"/>
          <w:szCs w:val="20"/>
          <w:u w:val="single"/>
        </w:rPr>
      </w:pPr>
      <w:r w:rsidRPr="001B157C">
        <w:rPr>
          <w:sz w:val="20"/>
          <w:szCs w:val="20"/>
          <w:u w:val="single"/>
        </w:rPr>
        <w:t>CASE SUMMARY</w:t>
      </w:r>
    </w:p>
    <w:p w:rsidR="00C05442" w:rsidRDefault="00C05442" w:rsidP="00C054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D4BE1" w:rsidRPr="00B92494" w:rsidTr="00AD4BE1">
        <w:tc>
          <w:tcPr>
            <w:tcW w:w="5000" w:type="pct"/>
            <w:gridSpan w:val="3"/>
          </w:tcPr>
          <w:p w:rsidR="00AD4BE1" w:rsidRPr="00B92494" w:rsidRDefault="00AD4BE1" w:rsidP="00AD4BE1">
            <w:pPr>
              <w:jc w:val="both"/>
              <w:rPr>
                <w:rFonts w:eastAsia="Calibri"/>
                <w:smallCaps/>
                <w:sz w:val="20"/>
                <w:szCs w:val="20"/>
              </w:rPr>
            </w:pPr>
            <w:r w:rsidRPr="00B92494">
              <w:rPr>
                <w:rFonts w:eastAsia="Calibri"/>
                <w:smallCaps/>
                <w:sz w:val="20"/>
                <w:szCs w:val="20"/>
              </w:rPr>
              <w:t xml:space="preserve">(Publication </w:t>
            </w:r>
            <w:r>
              <w:rPr>
                <w:rFonts w:eastAsia="Calibri"/>
                <w:smallCaps/>
                <w:sz w:val="20"/>
              </w:rPr>
              <w:t>B</w:t>
            </w:r>
            <w:r w:rsidRPr="00B92494">
              <w:rPr>
                <w:rFonts w:eastAsia="Calibri"/>
                <w:smallCaps/>
                <w:sz w:val="20"/>
                <w:szCs w:val="20"/>
              </w:rPr>
              <w:t xml:space="preserve">an in </w:t>
            </w:r>
            <w:r>
              <w:rPr>
                <w:rFonts w:eastAsia="Calibri"/>
                <w:smallCaps/>
                <w:sz w:val="20"/>
              </w:rPr>
              <w:t>C</w:t>
            </w:r>
            <w:r w:rsidRPr="00B92494">
              <w:rPr>
                <w:rFonts w:eastAsia="Calibri"/>
                <w:smallCaps/>
                <w:sz w:val="20"/>
                <w:szCs w:val="20"/>
              </w:rPr>
              <w:t>ase)</w:t>
            </w:r>
          </w:p>
          <w:p w:rsidR="00AD4BE1" w:rsidRPr="00B92494" w:rsidRDefault="00AD4BE1" w:rsidP="00AD4BE1">
            <w:pPr>
              <w:jc w:val="both"/>
              <w:rPr>
                <w:rFonts w:eastAsia="Calibri"/>
                <w:sz w:val="20"/>
                <w:szCs w:val="20"/>
              </w:rPr>
            </w:pPr>
          </w:p>
          <w:p w:rsidR="00AD4BE1" w:rsidRPr="00B92494" w:rsidRDefault="00AD4BE1" w:rsidP="00AD4BE1">
            <w:pPr>
              <w:jc w:val="both"/>
              <w:rPr>
                <w:rFonts w:eastAsia="Calibri"/>
                <w:sz w:val="20"/>
                <w:szCs w:val="20"/>
              </w:rPr>
            </w:pPr>
            <w:r w:rsidRPr="00B92494">
              <w:rPr>
                <w:rFonts w:eastAsia="Calibri"/>
                <w:i/>
                <w:sz w:val="20"/>
                <w:szCs w:val="20"/>
              </w:rPr>
              <w:t xml:space="preserve">Charter of Rights – </w:t>
            </w:r>
            <w:r w:rsidRPr="00B92494">
              <w:rPr>
                <w:rFonts w:eastAsia="Calibri"/>
                <w:sz w:val="20"/>
                <w:szCs w:val="20"/>
              </w:rPr>
              <w:t xml:space="preserve">Right to counsel – Whether Applicant was denied the right to defence counsel pursuant to </w:t>
            </w:r>
            <w:r w:rsidRPr="00B92494">
              <w:rPr>
                <w:rFonts w:eastAsia="Calibri"/>
                <w:i/>
                <w:sz w:val="20"/>
                <w:szCs w:val="20"/>
              </w:rPr>
              <w:t>Criminal Code</w:t>
            </w:r>
            <w:r w:rsidRPr="00B92494">
              <w:rPr>
                <w:rFonts w:eastAsia="Calibri"/>
                <w:sz w:val="20"/>
                <w:szCs w:val="20"/>
              </w:rPr>
              <w:t>, R.S.C. 1985, c. C-46, s. 684.</w:t>
            </w:r>
          </w:p>
        </w:tc>
      </w:tr>
      <w:tr w:rsidR="00AD4BE1" w:rsidRPr="00B92494" w:rsidTr="00AD4BE1">
        <w:tc>
          <w:tcPr>
            <w:tcW w:w="5000" w:type="pct"/>
            <w:gridSpan w:val="3"/>
          </w:tcPr>
          <w:p w:rsidR="00AD4BE1" w:rsidRPr="00B92494" w:rsidRDefault="00AD4BE1" w:rsidP="00AD4BE1">
            <w:pPr>
              <w:jc w:val="both"/>
              <w:rPr>
                <w:rFonts w:eastAsia="Calibri"/>
                <w:sz w:val="20"/>
                <w:szCs w:val="20"/>
              </w:rPr>
            </w:pPr>
          </w:p>
        </w:tc>
      </w:tr>
      <w:tr w:rsidR="00AD4BE1" w:rsidRPr="00B92494" w:rsidTr="00AD4BE1">
        <w:tc>
          <w:tcPr>
            <w:tcW w:w="5000" w:type="pct"/>
            <w:gridSpan w:val="3"/>
          </w:tcPr>
          <w:p w:rsidR="00AD4BE1" w:rsidRPr="00B92494" w:rsidRDefault="00AD4BE1" w:rsidP="00AD4BE1">
            <w:pPr>
              <w:jc w:val="both"/>
              <w:rPr>
                <w:rFonts w:eastAsia="Calibri"/>
                <w:sz w:val="20"/>
                <w:szCs w:val="20"/>
              </w:rPr>
            </w:pPr>
            <w:r w:rsidRPr="00B92494">
              <w:rPr>
                <w:rFonts w:eastAsia="Calibri"/>
                <w:sz w:val="20"/>
                <w:szCs w:val="20"/>
              </w:rPr>
              <w:t>Mr. Stewart pleaded guilty to a series of summary and indictable offences involving what the sentencing judge described as “predatory sexual activity against children”.  He also pleaded guilty to related indictable offences for breaches of undertaking and trafficking in a controlled substance.  Mr. Stewart was sentenced to five years’ imprisonment.  He then sought to appeal both his conviction and sentence.</w:t>
            </w:r>
          </w:p>
          <w:p w:rsidR="00AD4BE1" w:rsidRPr="00B92494" w:rsidRDefault="00AD4BE1" w:rsidP="00AD4BE1">
            <w:pPr>
              <w:jc w:val="both"/>
              <w:rPr>
                <w:rFonts w:eastAsia="Calibri"/>
                <w:sz w:val="20"/>
                <w:szCs w:val="20"/>
              </w:rPr>
            </w:pPr>
          </w:p>
          <w:p w:rsidR="00AD4BE1" w:rsidRPr="00B92494" w:rsidRDefault="00AD4BE1" w:rsidP="00AD4BE1">
            <w:pPr>
              <w:jc w:val="both"/>
              <w:rPr>
                <w:rFonts w:eastAsia="Calibri"/>
                <w:sz w:val="20"/>
                <w:szCs w:val="20"/>
              </w:rPr>
            </w:pPr>
            <w:r w:rsidRPr="00B92494">
              <w:rPr>
                <w:rFonts w:eastAsia="Calibri"/>
                <w:sz w:val="20"/>
                <w:szCs w:val="20"/>
              </w:rPr>
              <w:t xml:space="preserve">Nova Scotia Legal Aid had agreed to represent Mr. Stewart, provided that his appeal was confined to sentence only.  Initially, this was acceptable to Mr. Stewart, however shortly thereafter, Mr. Stewart sought to have a “state appointed lawyer” appointed by the Court of Appeal and he wished to appeal both his conviction and sentence.  The legal aid lawyer was then withdrawn as solicitor of record for Mr. Stewart.  Mr. Stewart then brought a motion to have counsel appointed pursuant to s. 684 of the </w:t>
            </w:r>
            <w:r w:rsidRPr="00B92494">
              <w:rPr>
                <w:rFonts w:eastAsia="Calibri"/>
                <w:i/>
                <w:sz w:val="20"/>
                <w:szCs w:val="20"/>
              </w:rPr>
              <w:t>Criminal Code</w:t>
            </w:r>
            <w:r w:rsidRPr="00B92494">
              <w:rPr>
                <w:rFonts w:eastAsia="Calibri"/>
                <w:sz w:val="20"/>
                <w:szCs w:val="20"/>
              </w:rPr>
              <w:t>.  The request was denied by the Court of Appeal.</w:t>
            </w:r>
          </w:p>
          <w:p w:rsidR="00AD4BE1" w:rsidRPr="00B92494" w:rsidRDefault="00AD4BE1" w:rsidP="00AD4BE1">
            <w:pPr>
              <w:jc w:val="both"/>
              <w:rPr>
                <w:rFonts w:eastAsia="Calibri"/>
                <w:sz w:val="20"/>
                <w:szCs w:val="20"/>
              </w:rPr>
            </w:pPr>
          </w:p>
        </w:tc>
      </w:tr>
      <w:tr w:rsidR="00AD4BE1" w:rsidRPr="00B92494" w:rsidTr="00AD4BE1">
        <w:tc>
          <w:tcPr>
            <w:tcW w:w="2427" w:type="pct"/>
          </w:tcPr>
          <w:p w:rsidR="00AD4BE1" w:rsidRPr="00B92494" w:rsidRDefault="00AD4BE1" w:rsidP="00AD4BE1">
            <w:pPr>
              <w:jc w:val="both"/>
              <w:rPr>
                <w:rFonts w:eastAsia="Calibri"/>
                <w:sz w:val="20"/>
                <w:szCs w:val="20"/>
              </w:rPr>
            </w:pPr>
            <w:r w:rsidRPr="00B92494">
              <w:rPr>
                <w:rFonts w:eastAsia="Calibri"/>
                <w:sz w:val="20"/>
                <w:szCs w:val="20"/>
              </w:rPr>
              <w:t>August 9, 2013</w:t>
            </w:r>
          </w:p>
          <w:p w:rsidR="00AD4BE1" w:rsidRPr="00B92494" w:rsidRDefault="00AD4BE1" w:rsidP="00AD4BE1">
            <w:pPr>
              <w:jc w:val="both"/>
              <w:rPr>
                <w:rFonts w:eastAsia="Calibri"/>
                <w:sz w:val="20"/>
                <w:szCs w:val="20"/>
              </w:rPr>
            </w:pPr>
            <w:r w:rsidRPr="00B92494">
              <w:rPr>
                <w:rFonts w:eastAsia="Calibri"/>
                <w:sz w:val="20"/>
                <w:szCs w:val="20"/>
              </w:rPr>
              <w:t>Provincial Court of Nova Scotia</w:t>
            </w:r>
          </w:p>
          <w:p w:rsidR="00AD4BE1" w:rsidRPr="00B92494" w:rsidRDefault="00AD4BE1" w:rsidP="00AD4BE1">
            <w:pPr>
              <w:jc w:val="both"/>
              <w:rPr>
                <w:rFonts w:eastAsia="Calibri"/>
                <w:sz w:val="20"/>
                <w:szCs w:val="20"/>
              </w:rPr>
            </w:pPr>
            <w:r w:rsidRPr="00B92494">
              <w:rPr>
                <w:rFonts w:eastAsia="Calibri"/>
                <w:sz w:val="20"/>
                <w:szCs w:val="20"/>
              </w:rPr>
              <w:t>(Atwood J.)</w:t>
            </w:r>
          </w:p>
          <w:p w:rsidR="00AD4BE1" w:rsidRPr="00B92494" w:rsidRDefault="00AD4BE1" w:rsidP="00AD4BE1">
            <w:pPr>
              <w:jc w:val="both"/>
              <w:rPr>
                <w:rFonts w:eastAsia="Calibri"/>
                <w:sz w:val="20"/>
                <w:szCs w:val="20"/>
              </w:rPr>
            </w:pPr>
            <w:r w:rsidRPr="00B92494">
              <w:rPr>
                <w:rFonts w:eastAsia="Calibri"/>
                <w:sz w:val="20"/>
                <w:szCs w:val="20"/>
              </w:rPr>
              <w:t>2013 NSPC 64</w:t>
            </w:r>
          </w:p>
          <w:p w:rsidR="00AD4BE1" w:rsidRPr="00B92494" w:rsidRDefault="00AD4BE1" w:rsidP="00AD4BE1">
            <w:pPr>
              <w:jc w:val="both"/>
              <w:rPr>
                <w:rFonts w:eastAsia="Calibri"/>
                <w:sz w:val="20"/>
                <w:szCs w:val="20"/>
              </w:rPr>
            </w:pPr>
          </w:p>
        </w:tc>
        <w:tc>
          <w:tcPr>
            <w:tcW w:w="243" w:type="pct"/>
          </w:tcPr>
          <w:p w:rsidR="00AD4BE1" w:rsidRPr="00B92494" w:rsidRDefault="00AD4BE1" w:rsidP="00AD4BE1">
            <w:pPr>
              <w:jc w:val="both"/>
              <w:rPr>
                <w:rFonts w:eastAsia="Calibri"/>
                <w:sz w:val="20"/>
                <w:szCs w:val="20"/>
              </w:rPr>
            </w:pPr>
          </w:p>
        </w:tc>
        <w:tc>
          <w:tcPr>
            <w:tcW w:w="2330" w:type="pct"/>
          </w:tcPr>
          <w:p w:rsidR="00AD4BE1" w:rsidRPr="00B92494" w:rsidRDefault="00AD4BE1" w:rsidP="00AD4BE1">
            <w:pPr>
              <w:jc w:val="both"/>
              <w:rPr>
                <w:rFonts w:eastAsia="Calibri"/>
                <w:sz w:val="20"/>
                <w:szCs w:val="20"/>
              </w:rPr>
            </w:pPr>
            <w:r w:rsidRPr="00B92494">
              <w:rPr>
                <w:rFonts w:eastAsia="Calibri"/>
                <w:sz w:val="20"/>
                <w:szCs w:val="20"/>
              </w:rPr>
              <w:t>Applicant sentenced to five years</w:t>
            </w:r>
          </w:p>
          <w:p w:rsidR="00AD4BE1" w:rsidRPr="00B92494" w:rsidRDefault="00AD4BE1" w:rsidP="00AD4BE1">
            <w:pPr>
              <w:jc w:val="both"/>
              <w:rPr>
                <w:rFonts w:eastAsia="Calibri"/>
                <w:sz w:val="20"/>
                <w:szCs w:val="20"/>
              </w:rPr>
            </w:pPr>
          </w:p>
        </w:tc>
      </w:tr>
      <w:tr w:rsidR="00AD4BE1" w:rsidRPr="00B92494" w:rsidTr="006D21D4">
        <w:trPr>
          <w:cantSplit/>
        </w:trPr>
        <w:tc>
          <w:tcPr>
            <w:tcW w:w="2427" w:type="pct"/>
          </w:tcPr>
          <w:p w:rsidR="00AD4BE1" w:rsidRPr="00B92494" w:rsidRDefault="00AD4BE1" w:rsidP="00AD4BE1">
            <w:pPr>
              <w:jc w:val="both"/>
              <w:rPr>
                <w:rFonts w:eastAsia="Calibri"/>
                <w:sz w:val="20"/>
                <w:szCs w:val="20"/>
              </w:rPr>
            </w:pPr>
            <w:r w:rsidRPr="00B92494">
              <w:rPr>
                <w:rFonts w:eastAsia="Calibri"/>
                <w:sz w:val="20"/>
                <w:szCs w:val="20"/>
              </w:rPr>
              <w:lastRenderedPageBreak/>
              <w:t>June 3, 2014</w:t>
            </w:r>
          </w:p>
          <w:p w:rsidR="00AD4BE1" w:rsidRPr="00B92494" w:rsidRDefault="00AD4BE1" w:rsidP="00AD4BE1">
            <w:pPr>
              <w:jc w:val="both"/>
              <w:rPr>
                <w:rFonts w:eastAsia="Calibri"/>
                <w:sz w:val="20"/>
                <w:szCs w:val="20"/>
              </w:rPr>
            </w:pPr>
            <w:r w:rsidRPr="00B92494">
              <w:rPr>
                <w:rFonts w:eastAsia="Calibri"/>
                <w:sz w:val="20"/>
                <w:szCs w:val="20"/>
              </w:rPr>
              <w:t>Nova Scotia Court of Appeal</w:t>
            </w:r>
          </w:p>
          <w:p w:rsidR="00AD4BE1" w:rsidRPr="00B92494" w:rsidRDefault="00AD4BE1" w:rsidP="00AD4BE1">
            <w:pPr>
              <w:jc w:val="both"/>
              <w:rPr>
                <w:rFonts w:eastAsia="Calibri"/>
                <w:sz w:val="20"/>
                <w:szCs w:val="20"/>
              </w:rPr>
            </w:pPr>
            <w:r w:rsidRPr="00B92494">
              <w:rPr>
                <w:rFonts w:eastAsia="Calibri"/>
                <w:sz w:val="20"/>
                <w:szCs w:val="20"/>
              </w:rPr>
              <w:t>(Bryson J.A.)</w:t>
            </w:r>
          </w:p>
          <w:p w:rsidR="00AD4BE1" w:rsidRPr="00B92494" w:rsidRDefault="00AD4BE1" w:rsidP="00AD4BE1">
            <w:pPr>
              <w:jc w:val="both"/>
              <w:rPr>
                <w:rFonts w:eastAsia="Calibri"/>
                <w:sz w:val="20"/>
                <w:szCs w:val="20"/>
              </w:rPr>
            </w:pPr>
            <w:r w:rsidRPr="00B92494">
              <w:rPr>
                <w:rFonts w:eastAsia="Calibri"/>
                <w:sz w:val="20"/>
                <w:szCs w:val="20"/>
              </w:rPr>
              <w:t>2014 NSCA 56; CAC419615</w:t>
            </w:r>
          </w:p>
          <w:p w:rsidR="00AD4BE1" w:rsidRPr="00B92494" w:rsidRDefault="007F638F" w:rsidP="00AD4BE1">
            <w:pPr>
              <w:jc w:val="both"/>
              <w:rPr>
                <w:rFonts w:eastAsia="Calibri"/>
                <w:sz w:val="20"/>
                <w:szCs w:val="20"/>
              </w:rPr>
            </w:pPr>
            <w:hyperlink r:id="rId49" w:history="1">
              <w:r w:rsidR="00AD4BE1" w:rsidRPr="00B92494">
                <w:rPr>
                  <w:rFonts w:eastAsia="Calibri"/>
                  <w:color w:val="0000FF"/>
                  <w:sz w:val="20"/>
                  <w:szCs w:val="20"/>
                  <w:u w:val="single"/>
                </w:rPr>
                <w:t>http://canlii.ca/t/g7448</w:t>
              </w:r>
            </w:hyperlink>
          </w:p>
          <w:p w:rsidR="00AD4BE1" w:rsidRPr="00B92494" w:rsidRDefault="00AD4BE1" w:rsidP="00AD4BE1">
            <w:pPr>
              <w:jc w:val="both"/>
              <w:rPr>
                <w:rFonts w:eastAsia="Calibri"/>
                <w:sz w:val="20"/>
                <w:szCs w:val="20"/>
              </w:rPr>
            </w:pPr>
          </w:p>
        </w:tc>
        <w:tc>
          <w:tcPr>
            <w:tcW w:w="243" w:type="pct"/>
          </w:tcPr>
          <w:p w:rsidR="00AD4BE1" w:rsidRPr="00B92494" w:rsidRDefault="00AD4BE1" w:rsidP="00AD4BE1">
            <w:pPr>
              <w:jc w:val="both"/>
              <w:rPr>
                <w:rFonts w:eastAsia="Calibri"/>
                <w:sz w:val="20"/>
                <w:szCs w:val="20"/>
              </w:rPr>
            </w:pPr>
          </w:p>
        </w:tc>
        <w:tc>
          <w:tcPr>
            <w:tcW w:w="2330" w:type="pct"/>
          </w:tcPr>
          <w:p w:rsidR="00AD4BE1" w:rsidRPr="00B92494" w:rsidRDefault="00AD4BE1" w:rsidP="00AD4BE1">
            <w:pPr>
              <w:jc w:val="both"/>
              <w:rPr>
                <w:rFonts w:eastAsia="Calibri"/>
                <w:sz w:val="20"/>
                <w:szCs w:val="20"/>
              </w:rPr>
            </w:pPr>
            <w:r w:rsidRPr="00B92494">
              <w:rPr>
                <w:rFonts w:eastAsia="Calibri"/>
                <w:sz w:val="20"/>
                <w:szCs w:val="20"/>
              </w:rPr>
              <w:t>Motion to appoint counsel dismissed</w:t>
            </w:r>
          </w:p>
          <w:p w:rsidR="00AD4BE1" w:rsidRPr="00B92494" w:rsidRDefault="00AD4BE1" w:rsidP="00AD4BE1">
            <w:pPr>
              <w:jc w:val="both"/>
              <w:rPr>
                <w:rFonts w:eastAsia="Calibri"/>
                <w:sz w:val="20"/>
                <w:szCs w:val="20"/>
              </w:rPr>
            </w:pPr>
          </w:p>
        </w:tc>
      </w:tr>
      <w:tr w:rsidR="00AD4BE1" w:rsidRPr="00B92494" w:rsidTr="006D21D4">
        <w:trPr>
          <w:cantSplit/>
        </w:trPr>
        <w:tc>
          <w:tcPr>
            <w:tcW w:w="2427" w:type="pct"/>
          </w:tcPr>
          <w:p w:rsidR="00AD4BE1" w:rsidRPr="00B92494" w:rsidRDefault="00AD4BE1" w:rsidP="00AD4BE1">
            <w:pPr>
              <w:jc w:val="both"/>
              <w:rPr>
                <w:rFonts w:eastAsia="Calibri"/>
                <w:sz w:val="20"/>
                <w:szCs w:val="20"/>
              </w:rPr>
            </w:pPr>
            <w:r w:rsidRPr="00B92494">
              <w:rPr>
                <w:rFonts w:eastAsia="Calibri"/>
                <w:sz w:val="20"/>
                <w:szCs w:val="20"/>
              </w:rPr>
              <w:t>December 31, 2014</w:t>
            </w:r>
          </w:p>
          <w:p w:rsidR="00AD4BE1" w:rsidRPr="00B92494" w:rsidRDefault="00AD4BE1" w:rsidP="00AD4BE1">
            <w:pPr>
              <w:jc w:val="both"/>
              <w:rPr>
                <w:rFonts w:eastAsia="Calibri"/>
                <w:sz w:val="20"/>
                <w:szCs w:val="20"/>
              </w:rPr>
            </w:pPr>
            <w:r w:rsidRPr="00B92494">
              <w:rPr>
                <w:rFonts w:eastAsia="Calibri"/>
                <w:sz w:val="20"/>
                <w:szCs w:val="20"/>
              </w:rPr>
              <w:t>Supreme Court of Canada</w:t>
            </w:r>
          </w:p>
          <w:p w:rsidR="00AD4BE1" w:rsidRPr="00B92494" w:rsidRDefault="00AD4BE1" w:rsidP="00AD4BE1">
            <w:pPr>
              <w:jc w:val="both"/>
              <w:rPr>
                <w:rFonts w:eastAsia="Calibri"/>
                <w:sz w:val="20"/>
                <w:szCs w:val="20"/>
              </w:rPr>
            </w:pPr>
          </w:p>
        </w:tc>
        <w:tc>
          <w:tcPr>
            <w:tcW w:w="243" w:type="pct"/>
          </w:tcPr>
          <w:p w:rsidR="00AD4BE1" w:rsidRPr="00B92494" w:rsidRDefault="00AD4BE1" w:rsidP="00AD4BE1">
            <w:pPr>
              <w:jc w:val="both"/>
              <w:rPr>
                <w:rFonts w:eastAsia="Calibri"/>
                <w:sz w:val="20"/>
                <w:szCs w:val="20"/>
              </w:rPr>
            </w:pPr>
          </w:p>
        </w:tc>
        <w:tc>
          <w:tcPr>
            <w:tcW w:w="2330" w:type="pct"/>
          </w:tcPr>
          <w:p w:rsidR="00AD4BE1" w:rsidRPr="00B92494" w:rsidRDefault="00AD4BE1" w:rsidP="00AD4BE1">
            <w:pPr>
              <w:jc w:val="both"/>
              <w:rPr>
                <w:rFonts w:eastAsia="Calibri"/>
                <w:sz w:val="20"/>
                <w:szCs w:val="20"/>
              </w:rPr>
            </w:pPr>
            <w:r w:rsidRPr="00B92494">
              <w:rPr>
                <w:rFonts w:eastAsia="Calibri"/>
                <w:sz w:val="20"/>
                <w:szCs w:val="20"/>
              </w:rPr>
              <w:t>Application for leave to appeal filed</w:t>
            </w:r>
          </w:p>
          <w:p w:rsidR="00AD4BE1" w:rsidRPr="00B92494" w:rsidRDefault="00AD4BE1" w:rsidP="00AD4BE1">
            <w:pPr>
              <w:jc w:val="both"/>
              <w:rPr>
                <w:rFonts w:eastAsia="Calibri"/>
                <w:sz w:val="20"/>
                <w:szCs w:val="20"/>
              </w:rPr>
            </w:pPr>
          </w:p>
        </w:tc>
      </w:tr>
      <w:tr w:rsidR="00AD4BE1" w:rsidRPr="00B92494" w:rsidTr="006D21D4">
        <w:trPr>
          <w:cantSplit/>
        </w:trPr>
        <w:tc>
          <w:tcPr>
            <w:tcW w:w="2427" w:type="pct"/>
          </w:tcPr>
          <w:p w:rsidR="00AD4BE1" w:rsidRPr="00B92494" w:rsidRDefault="00AD4BE1" w:rsidP="00AD4BE1">
            <w:pPr>
              <w:jc w:val="both"/>
              <w:rPr>
                <w:rFonts w:eastAsia="Calibri"/>
                <w:sz w:val="20"/>
                <w:szCs w:val="20"/>
              </w:rPr>
            </w:pPr>
            <w:r w:rsidRPr="00B92494">
              <w:rPr>
                <w:rFonts w:eastAsia="Calibri"/>
                <w:sz w:val="20"/>
                <w:szCs w:val="20"/>
              </w:rPr>
              <w:t>April 13, 2015</w:t>
            </w:r>
          </w:p>
          <w:p w:rsidR="00AD4BE1" w:rsidRPr="00B92494" w:rsidRDefault="00AD4BE1" w:rsidP="00AD4BE1">
            <w:pPr>
              <w:jc w:val="both"/>
              <w:rPr>
                <w:rFonts w:eastAsia="Calibri"/>
                <w:sz w:val="20"/>
                <w:szCs w:val="20"/>
              </w:rPr>
            </w:pPr>
            <w:r w:rsidRPr="00B92494">
              <w:rPr>
                <w:rFonts w:eastAsia="Calibri"/>
                <w:sz w:val="20"/>
                <w:szCs w:val="20"/>
              </w:rPr>
              <w:t>Supreme Court of Canada</w:t>
            </w:r>
          </w:p>
        </w:tc>
        <w:tc>
          <w:tcPr>
            <w:tcW w:w="243" w:type="pct"/>
          </w:tcPr>
          <w:p w:rsidR="00AD4BE1" w:rsidRPr="00B92494" w:rsidRDefault="00AD4BE1" w:rsidP="00AD4BE1">
            <w:pPr>
              <w:jc w:val="both"/>
              <w:rPr>
                <w:rFonts w:eastAsia="Calibri"/>
                <w:sz w:val="20"/>
                <w:szCs w:val="20"/>
              </w:rPr>
            </w:pPr>
          </w:p>
        </w:tc>
        <w:tc>
          <w:tcPr>
            <w:tcW w:w="2330" w:type="pct"/>
          </w:tcPr>
          <w:p w:rsidR="00AD4BE1" w:rsidRPr="00B92494" w:rsidRDefault="00AD4BE1" w:rsidP="00AD4BE1">
            <w:pPr>
              <w:jc w:val="both"/>
              <w:rPr>
                <w:rFonts w:eastAsia="Calibri"/>
                <w:sz w:val="20"/>
                <w:szCs w:val="20"/>
              </w:rPr>
            </w:pPr>
            <w:r w:rsidRPr="00B92494">
              <w:rPr>
                <w:rFonts w:eastAsia="Calibri"/>
                <w:sz w:val="20"/>
                <w:szCs w:val="20"/>
              </w:rPr>
              <w:t>Motion for extension of time to serve and file application for leave to appeal filed</w:t>
            </w:r>
          </w:p>
        </w:tc>
      </w:tr>
    </w:tbl>
    <w:p w:rsidR="00C05442" w:rsidRDefault="00C05442" w:rsidP="00C05442">
      <w:pPr>
        <w:rPr>
          <w:sz w:val="20"/>
          <w:szCs w:val="20"/>
        </w:rPr>
      </w:pPr>
    </w:p>
    <w:p w:rsidR="00C05442" w:rsidRPr="00C50A5C" w:rsidRDefault="007F638F" w:rsidP="00C05442">
      <w:pPr>
        <w:rPr>
          <w:sz w:val="20"/>
          <w:szCs w:val="20"/>
        </w:rPr>
      </w:pPr>
      <w:r>
        <w:rPr>
          <w:sz w:val="20"/>
          <w:szCs w:val="20"/>
          <w:lang w:val="fr-CA"/>
        </w:rPr>
        <w:pict>
          <v:rect id="_x0000_i1046" style="width:2in;height:1pt" o:hrpct="0" o:hralign="center" o:hrstd="t" o:hrnoshade="t" o:hr="t" fillcolor="black [3213]" stroked="f"/>
        </w:pict>
      </w:r>
    </w:p>
    <w:p w:rsidR="00C05442" w:rsidRDefault="00C05442" w:rsidP="00C05442">
      <w:pPr>
        <w:rPr>
          <w:sz w:val="20"/>
          <w:szCs w:val="20"/>
        </w:rPr>
      </w:pPr>
    </w:p>
    <w:p w:rsidR="00C05442" w:rsidRPr="001B157C" w:rsidRDefault="00C05442" w:rsidP="00C05442">
      <w:pPr>
        <w:rPr>
          <w:sz w:val="20"/>
          <w:szCs w:val="20"/>
          <w:u w:val="single"/>
          <w:lang w:val="fr-CA"/>
        </w:rPr>
      </w:pPr>
      <w:r w:rsidRPr="001B157C">
        <w:rPr>
          <w:sz w:val="20"/>
          <w:szCs w:val="20"/>
          <w:u w:val="single"/>
          <w:lang w:val="fr-CA"/>
        </w:rPr>
        <w:t>RÉSUMÉ DE L’AFFAIRE</w:t>
      </w:r>
    </w:p>
    <w:p w:rsidR="00C05442" w:rsidRDefault="00C05442" w:rsidP="00C054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D4BE1" w:rsidRPr="00B92494" w:rsidTr="00AD4BE1">
        <w:tc>
          <w:tcPr>
            <w:tcW w:w="5000" w:type="pct"/>
            <w:gridSpan w:val="3"/>
          </w:tcPr>
          <w:p w:rsidR="00AD4BE1" w:rsidRPr="00B92494" w:rsidRDefault="00AD4BE1" w:rsidP="00AD4BE1">
            <w:pPr>
              <w:jc w:val="both"/>
              <w:rPr>
                <w:rFonts w:eastAsia="Calibri"/>
                <w:smallCaps/>
                <w:sz w:val="20"/>
                <w:szCs w:val="20"/>
                <w:lang w:val="fr-CA"/>
              </w:rPr>
            </w:pPr>
            <w:r w:rsidRPr="00B92494">
              <w:rPr>
                <w:rFonts w:eastAsia="Calibri"/>
                <w:smallCaps/>
                <w:sz w:val="20"/>
                <w:szCs w:val="20"/>
                <w:lang w:val="fr-CA"/>
              </w:rPr>
              <w:t>(Ordonnance de non-publication dans le dossier)</w:t>
            </w:r>
          </w:p>
          <w:p w:rsidR="00AD4BE1" w:rsidRPr="00B92494" w:rsidRDefault="00AD4BE1" w:rsidP="00AD4BE1">
            <w:pPr>
              <w:jc w:val="both"/>
              <w:rPr>
                <w:rFonts w:eastAsia="Calibri"/>
                <w:sz w:val="20"/>
                <w:szCs w:val="20"/>
                <w:lang w:val="fr-CA"/>
              </w:rPr>
            </w:pPr>
          </w:p>
          <w:p w:rsidR="00AD4BE1" w:rsidRPr="00B92494" w:rsidRDefault="00AD4BE1" w:rsidP="00AD4BE1">
            <w:pPr>
              <w:jc w:val="both"/>
              <w:rPr>
                <w:rFonts w:eastAsia="Calibri"/>
                <w:sz w:val="20"/>
                <w:szCs w:val="20"/>
                <w:lang w:val="fr-CA"/>
              </w:rPr>
            </w:pPr>
            <w:r w:rsidRPr="00B92494">
              <w:rPr>
                <w:rFonts w:eastAsia="Calibri"/>
                <w:i/>
                <w:sz w:val="20"/>
                <w:szCs w:val="20"/>
                <w:lang w:val="fr-CA"/>
              </w:rPr>
              <w:t xml:space="preserve">Charte des droits – </w:t>
            </w:r>
            <w:r w:rsidRPr="00B92494">
              <w:rPr>
                <w:rFonts w:eastAsia="Calibri"/>
                <w:sz w:val="20"/>
                <w:szCs w:val="20"/>
                <w:lang w:val="fr-CA"/>
              </w:rPr>
              <w:t xml:space="preserve">Droit à l’assistance d’un avocat – Le demandeur a-t-il été privé du droit à l’assistance d’un avocat pour assurer sa défense en application du </w:t>
            </w:r>
            <w:r w:rsidRPr="00B92494">
              <w:rPr>
                <w:rFonts w:eastAsia="Calibri"/>
                <w:i/>
                <w:sz w:val="20"/>
                <w:szCs w:val="20"/>
                <w:lang w:val="fr-CA"/>
              </w:rPr>
              <w:t>Code criminel</w:t>
            </w:r>
            <w:r w:rsidRPr="00B92494">
              <w:rPr>
                <w:rFonts w:eastAsia="Calibri"/>
                <w:sz w:val="20"/>
                <w:szCs w:val="20"/>
                <w:lang w:val="fr-CA"/>
              </w:rPr>
              <w:t>, L.R.C. 1985, ch. C-46, art. 684?</w:t>
            </w:r>
          </w:p>
        </w:tc>
      </w:tr>
      <w:tr w:rsidR="00AD4BE1" w:rsidRPr="00B92494" w:rsidTr="00AD4BE1">
        <w:tc>
          <w:tcPr>
            <w:tcW w:w="5000" w:type="pct"/>
            <w:gridSpan w:val="3"/>
          </w:tcPr>
          <w:p w:rsidR="00AD4BE1" w:rsidRPr="00B92494" w:rsidRDefault="00AD4BE1" w:rsidP="00AD4BE1">
            <w:pPr>
              <w:jc w:val="both"/>
              <w:rPr>
                <w:rFonts w:eastAsia="Calibri"/>
                <w:sz w:val="20"/>
                <w:szCs w:val="20"/>
                <w:lang w:val="fr-CA"/>
              </w:rPr>
            </w:pPr>
          </w:p>
        </w:tc>
      </w:tr>
      <w:tr w:rsidR="00AD4BE1" w:rsidRPr="00B92494" w:rsidTr="00AD4BE1">
        <w:tc>
          <w:tcPr>
            <w:tcW w:w="5000" w:type="pct"/>
            <w:gridSpan w:val="3"/>
          </w:tcPr>
          <w:p w:rsidR="00AD4BE1" w:rsidRPr="00B92494" w:rsidRDefault="00AD4BE1" w:rsidP="00AD4BE1">
            <w:pPr>
              <w:jc w:val="both"/>
              <w:rPr>
                <w:rFonts w:eastAsia="Calibri"/>
                <w:sz w:val="20"/>
                <w:szCs w:val="20"/>
                <w:lang w:val="fr-CA"/>
              </w:rPr>
            </w:pPr>
            <w:r w:rsidRPr="00B92494">
              <w:rPr>
                <w:rFonts w:eastAsia="Calibri"/>
                <w:sz w:val="20"/>
                <w:szCs w:val="20"/>
                <w:lang w:val="fr-CA"/>
              </w:rPr>
              <w:t>Monsieur Stewart a plaidé coupable à une série d’infractions punissables par procédure sommaire ou par mise en accusation relativement à ce que le juge qui a prononcé la peine a qualifié [</w:t>
            </w:r>
            <w:r w:rsidRPr="00B92494">
              <w:rPr>
                <w:rFonts w:eastAsia="Calibri"/>
                <w:smallCaps/>
                <w:sz w:val="20"/>
                <w:szCs w:val="20"/>
                <w:lang w:val="fr-CA"/>
              </w:rPr>
              <w:t>traduction</w:t>
            </w:r>
            <w:r w:rsidRPr="00B92494">
              <w:rPr>
                <w:rFonts w:eastAsia="Calibri"/>
                <w:sz w:val="20"/>
                <w:szCs w:val="20"/>
                <w:lang w:val="fr-CA"/>
              </w:rPr>
              <w:t>] « d’activité sexuelle de prédation contre les enfants ».  Il a également plaidé coupable à des infractions connexes punissables par mise en accusation, à savoir des manquements à un engagement et le trafic d’une substance désignée.  Monsieur Stewart a été condamné à une peine d’emprisonnement de cinq ans.  Il a ensuite voulu interjeter appel de sa déclaration de culpabilité et de sa peine.</w:t>
            </w:r>
          </w:p>
          <w:p w:rsidR="00AD4BE1" w:rsidRPr="00B92494" w:rsidRDefault="00AD4BE1" w:rsidP="00AD4BE1">
            <w:pPr>
              <w:jc w:val="both"/>
              <w:rPr>
                <w:rFonts w:eastAsia="Calibri"/>
                <w:sz w:val="20"/>
                <w:szCs w:val="20"/>
                <w:lang w:val="fr-CA"/>
              </w:rPr>
            </w:pPr>
          </w:p>
          <w:p w:rsidR="00AD4BE1" w:rsidRPr="00B92494" w:rsidRDefault="00AD4BE1" w:rsidP="00AD4BE1">
            <w:pPr>
              <w:jc w:val="both"/>
              <w:rPr>
                <w:rFonts w:eastAsia="Calibri"/>
                <w:sz w:val="20"/>
                <w:szCs w:val="20"/>
                <w:lang w:val="fr-CA"/>
              </w:rPr>
            </w:pPr>
            <w:r w:rsidRPr="00B92494">
              <w:rPr>
                <w:rFonts w:eastAsia="Calibri"/>
                <w:sz w:val="20"/>
                <w:szCs w:val="20"/>
                <w:lang w:val="fr-CA"/>
              </w:rPr>
              <w:t xml:space="preserve">Le service d’aide juridique de la Nouvelle-Écosse avait accepté de représenter M. Stewart, pourvu que son appel se limite à la peine.  Au départ, M. Stewart s’est dit d’accord, mais peu de temps après, il a demandé que la Cour d’appel lui nomme un avocat « commis d’office » et il a dit vouloir interjeter appel de sa déclaration de culpabilité et de sa peine.  L’avocat de l’aide juridique a alors été retiré comme avocat commis d’office pour M. Stewart.  Monsieur Stewart a alors présenté une requête en nomination d’un avocat fondée sur l’art. 684 du </w:t>
            </w:r>
            <w:r w:rsidRPr="00B92494">
              <w:rPr>
                <w:rFonts w:eastAsia="Calibri"/>
                <w:i/>
                <w:sz w:val="20"/>
                <w:szCs w:val="20"/>
                <w:lang w:val="fr-CA"/>
              </w:rPr>
              <w:t>Code criminel</w:t>
            </w:r>
            <w:r w:rsidRPr="00B92494">
              <w:rPr>
                <w:rFonts w:eastAsia="Calibri"/>
                <w:sz w:val="20"/>
                <w:szCs w:val="20"/>
                <w:lang w:val="fr-CA"/>
              </w:rPr>
              <w:t>.  La Cour d’appel a rejeté la requête.</w:t>
            </w:r>
          </w:p>
          <w:p w:rsidR="00AD4BE1" w:rsidRPr="00B92494" w:rsidRDefault="00AD4BE1" w:rsidP="00AD4BE1">
            <w:pPr>
              <w:jc w:val="both"/>
              <w:rPr>
                <w:rFonts w:eastAsia="Calibri"/>
                <w:sz w:val="20"/>
                <w:szCs w:val="20"/>
                <w:lang w:val="fr-CA"/>
              </w:rPr>
            </w:pPr>
          </w:p>
        </w:tc>
      </w:tr>
      <w:tr w:rsidR="00AD4BE1" w:rsidRPr="0063742E" w:rsidTr="00AD4BE1">
        <w:tc>
          <w:tcPr>
            <w:tcW w:w="2427" w:type="pct"/>
          </w:tcPr>
          <w:p w:rsidR="00AD4BE1" w:rsidRPr="00B92494" w:rsidRDefault="00AD4BE1" w:rsidP="00AD4BE1">
            <w:pPr>
              <w:jc w:val="both"/>
              <w:rPr>
                <w:rFonts w:eastAsia="Calibri"/>
                <w:sz w:val="20"/>
                <w:szCs w:val="20"/>
                <w:lang w:val="fr-CA"/>
              </w:rPr>
            </w:pPr>
            <w:r w:rsidRPr="00B92494">
              <w:rPr>
                <w:rFonts w:eastAsia="Calibri"/>
                <w:sz w:val="20"/>
                <w:szCs w:val="20"/>
                <w:lang w:val="fr-CA"/>
              </w:rPr>
              <w:t>9 août 2013</w:t>
            </w:r>
          </w:p>
          <w:p w:rsidR="00AD4BE1" w:rsidRPr="00B92494" w:rsidRDefault="00AD4BE1" w:rsidP="00AD4BE1">
            <w:pPr>
              <w:jc w:val="both"/>
              <w:rPr>
                <w:rFonts w:eastAsia="Calibri"/>
                <w:sz w:val="20"/>
                <w:szCs w:val="20"/>
                <w:lang w:val="fr-CA"/>
              </w:rPr>
            </w:pPr>
            <w:r w:rsidRPr="00B92494">
              <w:rPr>
                <w:rFonts w:eastAsia="Calibri"/>
                <w:sz w:val="20"/>
                <w:szCs w:val="20"/>
                <w:lang w:val="fr-CA"/>
              </w:rPr>
              <w:t>Cour provinciale de la Nouvelle-Écosse</w:t>
            </w:r>
          </w:p>
          <w:p w:rsidR="00AD4BE1" w:rsidRPr="00B92494" w:rsidRDefault="00AD4BE1" w:rsidP="00AD4BE1">
            <w:pPr>
              <w:jc w:val="both"/>
              <w:rPr>
                <w:rFonts w:eastAsia="Calibri"/>
                <w:sz w:val="20"/>
                <w:szCs w:val="20"/>
                <w:lang w:val="fr-CA"/>
              </w:rPr>
            </w:pPr>
            <w:r w:rsidRPr="00B92494">
              <w:rPr>
                <w:rFonts w:eastAsia="Calibri"/>
                <w:sz w:val="20"/>
                <w:szCs w:val="20"/>
                <w:lang w:val="fr-CA"/>
              </w:rPr>
              <w:t>(Juge Atwood)</w:t>
            </w:r>
          </w:p>
          <w:p w:rsidR="00AD4BE1" w:rsidRPr="00B92494" w:rsidRDefault="00AD4BE1" w:rsidP="00AD4BE1">
            <w:pPr>
              <w:jc w:val="both"/>
              <w:rPr>
                <w:rFonts w:eastAsia="Calibri"/>
                <w:sz w:val="20"/>
                <w:szCs w:val="20"/>
                <w:lang w:val="fr-CA"/>
              </w:rPr>
            </w:pPr>
            <w:r w:rsidRPr="00B92494">
              <w:rPr>
                <w:rFonts w:eastAsia="Calibri"/>
                <w:sz w:val="20"/>
                <w:szCs w:val="20"/>
                <w:lang w:val="fr-CA"/>
              </w:rPr>
              <w:t>2013 NSPC 64</w:t>
            </w:r>
          </w:p>
          <w:p w:rsidR="00AD4BE1" w:rsidRPr="00B92494" w:rsidRDefault="00AD4BE1" w:rsidP="00AD4BE1">
            <w:pPr>
              <w:jc w:val="both"/>
              <w:rPr>
                <w:rFonts w:eastAsia="Calibri"/>
                <w:sz w:val="20"/>
                <w:szCs w:val="20"/>
                <w:lang w:val="fr-CA"/>
              </w:rPr>
            </w:pPr>
          </w:p>
        </w:tc>
        <w:tc>
          <w:tcPr>
            <w:tcW w:w="243" w:type="pct"/>
          </w:tcPr>
          <w:p w:rsidR="00AD4BE1" w:rsidRPr="00B92494" w:rsidRDefault="00AD4BE1" w:rsidP="00AD4BE1">
            <w:pPr>
              <w:jc w:val="both"/>
              <w:rPr>
                <w:rFonts w:eastAsia="Calibri"/>
                <w:sz w:val="20"/>
                <w:szCs w:val="20"/>
                <w:lang w:val="fr-CA"/>
              </w:rPr>
            </w:pPr>
          </w:p>
        </w:tc>
        <w:tc>
          <w:tcPr>
            <w:tcW w:w="2330" w:type="pct"/>
          </w:tcPr>
          <w:p w:rsidR="00AD4BE1" w:rsidRPr="00B92494" w:rsidRDefault="00AD4BE1" w:rsidP="00AD4BE1">
            <w:pPr>
              <w:jc w:val="both"/>
              <w:rPr>
                <w:rFonts w:eastAsia="Calibri"/>
                <w:sz w:val="20"/>
                <w:szCs w:val="20"/>
                <w:lang w:val="fr-CA"/>
              </w:rPr>
            </w:pPr>
            <w:r w:rsidRPr="00B92494">
              <w:rPr>
                <w:rFonts w:eastAsia="Calibri"/>
                <w:sz w:val="20"/>
                <w:szCs w:val="20"/>
                <w:lang w:val="fr-CA"/>
              </w:rPr>
              <w:t xml:space="preserve">Condamnation du demandeur à une peine de cinq ans </w:t>
            </w:r>
          </w:p>
          <w:p w:rsidR="00AD4BE1" w:rsidRPr="00B92494" w:rsidRDefault="00AD4BE1" w:rsidP="00AD4BE1">
            <w:pPr>
              <w:jc w:val="both"/>
              <w:rPr>
                <w:rFonts w:eastAsia="Calibri"/>
                <w:sz w:val="20"/>
                <w:szCs w:val="20"/>
                <w:lang w:val="fr-CA"/>
              </w:rPr>
            </w:pPr>
          </w:p>
        </w:tc>
      </w:tr>
      <w:tr w:rsidR="00AD4BE1" w:rsidRPr="0063742E" w:rsidTr="00AD4BE1">
        <w:tc>
          <w:tcPr>
            <w:tcW w:w="2427" w:type="pct"/>
          </w:tcPr>
          <w:p w:rsidR="00AD4BE1" w:rsidRPr="00B92494" w:rsidRDefault="00AD4BE1" w:rsidP="00AD4BE1">
            <w:pPr>
              <w:jc w:val="both"/>
              <w:rPr>
                <w:rFonts w:eastAsia="Calibri"/>
                <w:sz w:val="20"/>
                <w:szCs w:val="20"/>
                <w:lang w:val="fr-CA"/>
              </w:rPr>
            </w:pPr>
            <w:r w:rsidRPr="00B92494">
              <w:rPr>
                <w:rFonts w:eastAsia="Calibri"/>
                <w:sz w:val="20"/>
                <w:szCs w:val="20"/>
                <w:lang w:val="fr-CA"/>
              </w:rPr>
              <w:t>3 juin 2014</w:t>
            </w:r>
          </w:p>
          <w:p w:rsidR="00AD4BE1" w:rsidRPr="00B92494" w:rsidRDefault="00AD4BE1" w:rsidP="00AD4BE1">
            <w:pPr>
              <w:jc w:val="both"/>
              <w:rPr>
                <w:rFonts w:eastAsia="Calibri"/>
                <w:sz w:val="20"/>
                <w:szCs w:val="20"/>
                <w:lang w:val="fr-CA"/>
              </w:rPr>
            </w:pPr>
            <w:r w:rsidRPr="00B92494">
              <w:rPr>
                <w:rFonts w:eastAsia="Calibri"/>
                <w:sz w:val="20"/>
                <w:szCs w:val="20"/>
                <w:lang w:val="fr-CA"/>
              </w:rPr>
              <w:t>Cour d’appel de la Nouvelle-Écosse</w:t>
            </w:r>
          </w:p>
          <w:p w:rsidR="00AD4BE1" w:rsidRPr="00B92494" w:rsidRDefault="00AD4BE1" w:rsidP="00AD4BE1">
            <w:pPr>
              <w:jc w:val="both"/>
              <w:rPr>
                <w:rFonts w:eastAsia="Calibri"/>
                <w:sz w:val="20"/>
                <w:szCs w:val="20"/>
                <w:lang w:val="fr-CA"/>
              </w:rPr>
            </w:pPr>
            <w:r w:rsidRPr="00B92494">
              <w:rPr>
                <w:rFonts w:eastAsia="Calibri"/>
                <w:sz w:val="20"/>
                <w:szCs w:val="20"/>
                <w:lang w:val="fr-CA"/>
              </w:rPr>
              <w:t>(Juge Bryson)</w:t>
            </w:r>
          </w:p>
          <w:p w:rsidR="00AD4BE1" w:rsidRPr="00B92494" w:rsidRDefault="00AD4BE1" w:rsidP="00AD4BE1">
            <w:pPr>
              <w:jc w:val="both"/>
              <w:rPr>
                <w:rFonts w:eastAsia="Calibri"/>
                <w:sz w:val="20"/>
                <w:szCs w:val="20"/>
                <w:lang w:val="fr-CA"/>
              </w:rPr>
            </w:pPr>
            <w:r w:rsidRPr="00B92494">
              <w:rPr>
                <w:rFonts w:eastAsia="Calibri"/>
                <w:sz w:val="20"/>
                <w:szCs w:val="20"/>
                <w:lang w:val="fr-CA"/>
              </w:rPr>
              <w:t>2014 NSCA 56; CAC419615</w:t>
            </w:r>
          </w:p>
          <w:p w:rsidR="00AD4BE1" w:rsidRPr="00B92494" w:rsidRDefault="007F638F" w:rsidP="00AD4BE1">
            <w:pPr>
              <w:jc w:val="both"/>
              <w:rPr>
                <w:rFonts w:eastAsia="Calibri"/>
                <w:sz w:val="20"/>
                <w:szCs w:val="20"/>
                <w:lang w:val="fr-CA"/>
              </w:rPr>
            </w:pPr>
            <w:hyperlink r:id="rId50" w:history="1">
              <w:r w:rsidR="00AD4BE1" w:rsidRPr="00B92494">
                <w:rPr>
                  <w:rFonts w:eastAsia="Calibri"/>
                  <w:color w:val="0000FF"/>
                  <w:sz w:val="20"/>
                  <w:szCs w:val="20"/>
                  <w:u w:val="single"/>
                  <w:lang w:val="fr-CA"/>
                </w:rPr>
                <w:t>http://canlii.ca/t/g7448</w:t>
              </w:r>
            </w:hyperlink>
          </w:p>
          <w:p w:rsidR="00AD4BE1" w:rsidRPr="00B92494" w:rsidRDefault="00AD4BE1" w:rsidP="00AD4BE1">
            <w:pPr>
              <w:jc w:val="both"/>
              <w:rPr>
                <w:rFonts w:eastAsia="Calibri"/>
                <w:sz w:val="20"/>
                <w:szCs w:val="20"/>
                <w:lang w:val="fr-CA"/>
              </w:rPr>
            </w:pPr>
          </w:p>
        </w:tc>
        <w:tc>
          <w:tcPr>
            <w:tcW w:w="243" w:type="pct"/>
          </w:tcPr>
          <w:p w:rsidR="00AD4BE1" w:rsidRPr="00B92494" w:rsidRDefault="00AD4BE1" w:rsidP="00AD4BE1">
            <w:pPr>
              <w:jc w:val="both"/>
              <w:rPr>
                <w:rFonts w:eastAsia="Calibri"/>
                <w:sz w:val="20"/>
                <w:szCs w:val="20"/>
                <w:lang w:val="fr-CA"/>
              </w:rPr>
            </w:pPr>
          </w:p>
        </w:tc>
        <w:tc>
          <w:tcPr>
            <w:tcW w:w="2330" w:type="pct"/>
          </w:tcPr>
          <w:p w:rsidR="00AD4BE1" w:rsidRPr="00B92494" w:rsidRDefault="00AD4BE1" w:rsidP="00AD4BE1">
            <w:pPr>
              <w:jc w:val="both"/>
              <w:rPr>
                <w:rFonts w:eastAsia="Calibri"/>
                <w:sz w:val="20"/>
                <w:szCs w:val="20"/>
                <w:lang w:val="fr-CA"/>
              </w:rPr>
            </w:pPr>
            <w:r w:rsidRPr="00B92494">
              <w:rPr>
                <w:rFonts w:eastAsia="Calibri"/>
                <w:sz w:val="20"/>
                <w:szCs w:val="20"/>
                <w:lang w:val="fr-CA"/>
              </w:rPr>
              <w:t>Rejet de la requête en nomination d’un avocat</w:t>
            </w:r>
          </w:p>
          <w:p w:rsidR="00AD4BE1" w:rsidRPr="00B92494" w:rsidRDefault="00AD4BE1" w:rsidP="00AD4BE1">
            <w:pPr>
              <w:jc w:val="both"/>
              <w:rPr>
                <w:rFonts w:eastAsia="Calibri"/>
                <w:sz w:val="20"/>
                <w:szCs w:val="20"/>
                <w:lang w:val="fr-CA"/>
              </w:rPr>
            </w:pPr>
          </w:p>
        </w:tc>
      </w:tr>
      <w:tr w:rsidR="00AD4BE1" w:rsidRPr="0063742E" w:rsidTr="00AD4BE1">
        <w:tc>
          <w:tcPr>
            <w:tcW w:w="2427" w:type="pct"/>
          </w:tcPr>
          <w:p w:rsidR="00AD4BE1" w:rsidRPr="00B92494" w:rsidRDefault="00AD4BE1" w:rsidP="00AD4BE1">
            <w:pPr>
              <w:jc w:val="both"/>
              <w:rPr>
                <w:rFonts w:eastAsia="Calibri"/>
                <w:sz w:val="20"/>
                <w:szCs w:val="20"/>
                <w:lang w:val="fr-CA"/>
              </w:rPr>
            </w:pPr>
            <w:r w:rsidRPr="00B92494">
              <w:rPr>
                <w:rFonts w:eastAsia="Calibri"/>
                <w:sz w:val="20"/>
                <w:szCs w:val="20"/>
                <w:lang w:val="fr-CA"/>
              </w:rPr>
              <w:t>31 décembre 2014</w:t>
            </w:r>
          </w:p>
          <w:p w:rsidR="00AD4BE1" w:rsidRPr="00B92494" w:rsidRDefault="00AD4BE1" w:rsidP="00AD4BE1">
            <w:pPr>
              <w:jc w:val="both"/>
              <w:rPr>
                <w:rFonts w:eastAsia="Calibri"/>
                <w:sz w:val="20"/>
                <w:szCs w:val="20"/>
                <w:lang w:val="fr-CA"/>
              </w:rPr>
            </w:pPr>
            <w:r w:rsidRPr="00B92494">
              <w:rPr>
                <w:rFonts w:eastAsia="Calibri"/>
                <w:sz w:val="20"/>
                <w:szCs w:val="20"/>
                <w:lang w:val="fr-CA"/>
              </w:rPr>
              <w:t>Cour suprême du Canada</w:t>
            </w:r>
          </w:p>
          <w:p w:rsidR="00AD4BE1" w:rsidRPr="00B92494" w:rsidRDefault="00AD4BE1" w:rsidP="00AD4BE1">
            <w:pPr>
              <w:jc w:val="both"/>
              <w:rPr>
                <w:rFonts w:eastAsia="Calibri"/>
                <w:sz w:val="20"/>
                <w:szCs w:val="20"/>
                <w:lang w:val="fr-CA"/>
              </w:rPr>
            </w:pPr>
          </w:p>
        </w:tc>
        <w:tc>
          <w:tcPr>
            <w:tcW w:w="243" w:type="pct"/>
          </w:tcPr>
          <w:p w:rsidR="00AD4BE1" w:rsidRPr="00B92494" w:rsidRDefault="00AD4BE1" w:rsidP="00AD4BE1">
            <w:pPr>
              <w:jc w:val="both"/>
              <w:rPr>
                <w:rFonts w:eastAsia="Calibri"/>
                <w:sz w:val="20"/>
                <w:szCs w:val="20"/>
                <w:lang w:val="fr-CA"/>
              </w:rPr>
            </w:pPr>
          </w:p>
        </w:tc>
        <w:tc>
          <w:tcPr>
            <w:tcW w:w="2330" w:type="pct"/>
          </w:tcPr>
          <w:p w:rsidR="00AD4BE1" w:rsidRPr="00B92494" w:rsidRDefault="00AD4BE1" w:rsidP="00AD4BE1">
            <w:pPr>
              <w:jc w:val="both"/>
              <w:rPr>
                <w:rFonts w:eastAsia="Calibri"/>
                <w:sz w:val="20"/>
                <w:szCs w:val="20"/>
                <w:lang w:val="fr-CA"/>
              </w:rPr>
            </w:pPr>
            <w:r w:rsidRPr="00B92494">
              <w:rPr>
                <w:rFonts w:eastAsia="Calibri"/>
                <w:sz w:val="20"/>
                <w:szCs w:val="20"/>
                <w:lang w:val="fr-CA"/>
              </w:rPr>
              <w:t>Dépôt de la demande d’autorisation d’appel</w:t>
            </w:r>
          </w:p>
          <w:p w:rsidR="00AD4BE1" w:rsidRPr="00B92494" w:rsidRDefault="00AD4BE1" w:rsidP="00AD4BE1">
            <w:pPr>
              <w:jc w:val="both"/>
              <w:rPr>
                <w:rFonts w:eastAsia="Calibri"/>
                <w:sz w:val="20"/>
                <w:szCs w:val="20"/>
                <w:lang w:val="fr-CA"/>
              </w:rPr>
            </w:pPr>
          </w:p>
        </w:tc>
      </w:tr>
      <w:tr w:rsidR="00AD4BE1" w:rsidRPr="0063742E" w:rsidTr="006D21D4">
        <w:trPr>
          <w:cantSplit/>
        </w:trPr>
        <w:tc>
          <w:tcPr>
            <w:tcW w:w="2427" w:type="pct"/>
          </w:tcPr>
          <w:p w:rsidR="00AD4BE1" w:rsidRPr="00B92494" w:rsidRDefault="00AD4BE1" w:rsidP="00AD4BE1">
            <w:pPr>
              <w:jc w:val="both"/>
              <w:rPr>
                <w:rFonts w:eastAsia="Calibri"/>
                <w:sz w:val="20"/>
                <w:szCs w:val="20"/>
                <w:lang w:val="fr-CA"/>
              </w:rPr>
            </w:pPr>
            <w:r w:rsidRPr="00B92494">
              <w:rPr>
                <w:rFonts w:eastAsia="Calibri"/>
                <w:sz w:val="20"/>
                <w:szCs w:val="20"/>
                <w:lang w:val="fr-CA"/>
              </w:rPr>
              <w:lastRenderedPageBreak/>
              <w:t>13 avril 2015</w:t>
            </w:r>
          </w:p>
          <w:p w:rsidR="00AD4BE1" w:rsidRPr="00B92494" w:rsidRDefault="00AD4BE1" w:rsidP="00AD4BE1">
            <w:pPr>
              <w:jc w:val="both"/>
              <w:rPr>
                <w:rFonts w:eastAsia="Calibri"/>
                <w:sz w:val="20"/>
                <w:szCs w:val="20"/>
                <w:lang w:val="fr-CA"/>
              </w:rPr>
            </w:pPr>
            <w:r w:rsidRPr="00B92494">
              <w:rPr>
                <w:rFonts w:eastAsia="Calibri"/>
                <w:sz w:val="20"/>
                <w:szCs w:val="20"/>
                <w:lang w:val="fr-CA"/>
              </w:rPr>
              <w:t>Cour suprême du Canada</w:t>
            </w:r>
          </w:p>
        </w:tc>
        <w:tc>
          <w:tcPr>
            <w:tcW w:w="243" w:type="pct"/>
          </w:tcPr>
          <w:p w:rsidR="00AD4BE1" w:rsidRPr="00B92494" w:rsidRDefault="00AD4BE1" w:rsidP="00AD4BE1">
            <w:pPr>
              <w:jc w:val="both"/>
              <w:rPr>
                <w:rFonts w:eastAsia="Calibri"/>
                <w:sz w:val="20"/>
                <w:szCs w:val="20"/>
                <w:lang w:val="fr-CA"/>
              </w:rPr>
            </w:pPr>
          </w:p>
        </w:tc>
        <w:tc>
          <w:tcPr>
            <w:tcW w:w="2330" w:type="pct"/>
          </w:tcPr>
          <w:p w:rsidR="00AD4BE1" w:rsidRPr="00B92494" w:rsidRDefault="00AD4BE1" w:rsidP="00AD4BE1">
            <w:pPr>
              <w:jc w:val="both"/>
              <w:rPr>
                <w:rFonts w:eastAsia="Calibri"/>
                <w:sz w:val="20"/>
                <w:szCs w:val="20"/>
                <w:lang w:val="fr-CA"/>
              </w:rPr>
            </w:pPr>
            <w:r w:rsidRPr="00B92494">
              <w:rPr>
                <w:rFonts w:eastAsia="Calibri"/>
                <w:sz w:val="20"/>
                <w:szCs w:val="20"/>
                <w:lang w:val="fr-CA"/>
              </w:rPr>
              <w:t>Dépôt de la requête en prorogation du délai de signification et de dépôt de la demande d’autorisation d’appel</w:t>
            </w:r>
          </w:p>
        </w:tc>
      </w:tr>
    </w:tbl>
    <w:p w:rsidR="00C05442" w:rsidRPr="00AD4BE1" w:rsidRDefault="00C05442" w:rsidP="00C05442">
      <w:pPr>
        <w:rPr>
          <w:sz w:val="20"/>
          <w:szCs w:val="20"/>
          <w:lang w:val="fr-CA"/>
        </w:rPr>
      </w:pPr>
    </w:p>
    <w:p w:rsidR="00C05442" w:rsidRDefault="007F638F" w:rsidP="00C05442">
      <w:pPr>
        <w:rPr>
          <w:sz w:val="20"/>
          <w:szCs w:val="20"/>
          <w:lang w:val="fr-CA"/>
        </w:rPr>
      </w:pPr>
      <w:r>
        <w:rPr>
          <w:sz w:val="20"/>
          <w:szCs w:val="20"/>
          <w:lang w:val="fr-CA"/>
        </w:rPr>
        <w:pict>
          <v:rect id="_x0000_i1047" style="width:2in;height:1pt" o:hrpct="0" o:hralign="center" o:hrstd="t" o:hrnoshade="t" o:hr="t" fillcolor="black [3213]" stroked="f"/>
        </w:pict>
      </w:r>
    </w:p>
    <w:p w:rsidR="00C05442" w:rsidRDefault="00C05442" w:rsidP="00C05442">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D21D4" w:rsidRPr="004F280C" w:rsidTr="009B0522">
        <w:trPr>
          <w:cantSplit/>
        </w:trPr>
        <w:tc>
          <w:tcPr>
            <w:tcW w:w="1458" w:type="dxa"/>
          </w:tcPr>
          <w:p w:rsidR="006D21D4" w:rsidRPr="004F280C" w:rsidRDefault="006D21D4" w:rsidP="009B0522">
            <w:pPr>
              <w:rPr>
                <w:sz w:val="20"/>
                <w:szCs w:val="20"/>
              </w:rPr>
            </w:pPr>
            <w:r w:rsidRPr="004F280C">
              <w:rPr>
                <w:rStyle w:val="SCCFileNumberChar"/>
                <w:sz w:val="20"/>
                <w:szCs w:val="20"/>
              </w:rPr>
              <w:t>36318</w:t>
            </w:r>
          </w:p>
          <w:p w:rsidR="006D21D4" w:rsidRPr="004F280C" w:rsidRDefault="006D21D4" w:rsidP="009B0522">
            <w:pPr>
              <w:rPr>
                <w:b/>
                <w:sz w:val="20"/>
                <w:szCs w:val="20"/>
                <w:lang w:val="fr-CA"/>
              </w:rPr>
            </w:pPr>
          </w:p>
        </w:tc>
        <w:tc>
          <w:tcPr>
            <w:tcW w:w="8118" w:type="dxa"/>
          </w:tcPr>
          <w:p w:rsidR="006D21D4" w:rsidRPr="004F280C" w:rsidRDefault="006D21D4" w:rsidP="009B0522">
            <w:pPr>
              <w:rPr>
                <w:sz w:val="20"/>
                <w:szCs w:val="20"/>
              </w:rPr>
            </w:pPr>
            <w:r w:rsidRPr="004F280C">
              <w:rPr>
                <w:rStyle w:val="SCCLsocChar"/>
                <w:sz w:val="20"/>
                <w:szCs w:val="20"/>
                <w:lang w:val="en-CA"/>
              </w:rPr>
              <w:t>Outhonesavan K. Bounpraseuth v. York University</w:t>
            </w:r>
            <w:r w:rsidRPr="004F280C">
              <w:rPr>
                <w:sz w:val="20"/>
                <w:szCs w:val="20"/>
              </w:rPr>
              <w:t xml:space="preserve"> (Ont.) (Civil) (By Leave)</w:t>
            </w:r>
          </w:p>
          <w:p w:rsidR="006D21D4" w:rsidRPr="004F280C" w:rsidRDefault="006D21D4" w:rsidP="009B0522">
            <w:pPr>
              <w:rPr>
                <w:sz w:val="20"/>
                <w:szCs w:val="20"/>
              </w:rPr>
            </w:pPr>
          </w:p>
        </w:tc>
      </w:tr>
      <w:tr w:rsidR="006D21D4" w:rsidRPr="004F280C" w:rsidTr="009B0522">
        <w:trPr>
          <w:cantSplit/>
        </w:trPr>
        <w:tc>
          <w:tcPr>
            <w:tcW w:w="1458" w:type="dxa"/>
          </w:tcPr>
          <w:p w:rsidR="006D21D4" w:rsidRPr="004F280C" w:rsidRDefault="006D21D4" w:rsidP="009B0522">
            <w:pPr>
              <w:rPr>
                <w:sz w:val="20"/>
                <w:szCs w:val="20"/>
              </w:rPr>
            </w:pPr>
            <w:r w:rsidRPr="004F280C">
              <w:rPr>
                <w:sz w:val="20"/>
                <w:szCs w:val="20"/>
              </w:rPr>
              <w:t>Coram :</w:t>
            </w:r>
          </w:p>
        </w:tc>
        <w:tc>
          <w:tcPr>
            <w:tcW w:w="8118" w:type="dxa"/>
          </w:tcPr>
          <w:p w:rsidR="006D21D4" w:rsidRPr="004F280C" w:rsidRDefault="006D21D4" w:rsidP="009B0522">
            <w:pPr>
              <w:rPr>
                <w:sz w:val="20"/>
                <w:szCs w:val="20"/>
              </w:rPr>
            </w:pPr>
            <w:r w:rsidRPr="004F280C">
              <w:rPr>
                <w:rStyle w:val="SCCCoramChar"/>
                <w:sz w:val="20"/>
                <w:szCs w:val="20"/>
                <w:lang w:val="en-CA"/>
              </w:rPr>
              <w:t>Rothstein, Cromwell and Moldaver JJ.</w:t>
            </w:r>
          </w:p>
          <w:p w:rsidR="006D21D4" w:rsidRPr="004F280C" w:rsidRDefault="006D21D4" w:rsidP="009B0522">
            <w:pPr>
              <w:rPr>
                <w:sz w:val="20"/>
                <w:szCs w:val="20"/>
                <w:u w:val="single"/>
              </w:rPr>
            </w:pPr>
          </w:p>
        </w:tc>
      </w:tr>
      <w:tr w:rsidR="006D21D4" w:rsidRPr="004F280C" w:rsidTr="009B0522">
        <w:trPr>
          <w:cantSplit/>
        </w:trPr>
        <w:tc>
          <w:tcPr>
            <w:tcW w:w="9576" w:type="dxa"/>
            <w:gridSpan w:val="2"/>
          </w:tcPr>
          <w:p w:rsidR="006D21D4" w:rsidRPr="004F280C" w:rsidRDefault="006D21D4" w:rsidP="009B0522">
            <w:pPr>
              <w:pStyle w:val="SCCShortJudgment"/>
              <w:rPr>
                <w:szCs w:val="20"/>
              </w:rPr>
            </w:pPr>
            <w:r w:rsidRPr="004F280C">
              <w:rPr>
                <w:szCs w:val="20"/>
              </w:rPr>
              <w:t>The motion for a sealing order is dismissed. The motion for an extension of time to serve and file the application for leave to appeal is dismissed. In any event, had such motion been granted, the application for leave to appeal from the judgment of the Court of Appeal for Ontario, Number C58221, 2014 ONCA 390, dated May 13, 2014, would have been dismissed. Costs are awarded to the respondent in the amount of $1,225.00.</w:t>
            </w:r>
          </w:p>
          <w:p w:rsidR="006D21D4" w:rsidRPr="004F280C" w:rsidRDefault="006D21D4" w:rsidP="009B0522">
            <w:pPr>
              <w:pStyle w:val="SCCShortJudgment"/>
              <w:ind w:firstLine="0"/>
              <w:rPr>
                <w:szCs w:val="20"/>
              </w:rPr>
            </w:pPr>
          </w:p>
          <w:p w:rsidR="006D21D4" w:rsidRPr="004F280C" w:rsidRDefault="006D21D4" w:rsidP="009B0522">
            <w:pPr>
              <w:pStyle w:val="SCCShortJudgment"/>
              <w:rPr>
                <w:szCs w:val="20"/>
              </w:rPr>
            </w:pPr>
            <w:r w:rsidRPr="004F280C">
              <w:rPr>
                <w:szCs w:val="20"/>
                <w:lang w:val="fr-CA"/>
              </w:rPr>
              <w:t xml:space="preserve">La requête visant à obtenir une ordonnance de mise sous scellés est rejetée. La requête de prorogation du délai de signification et de dépôt de la demande d’autorisation d’appel est rejetée. Quoiqu’il en soit, même si la requête avait été accueillie, la demande d’autorisation d’appel de l’arrêt de la Cour d’appel de l’Ontario, numéro C58221, 2014 ONCA 390, daté du 13 mai 2014, aurait été rejetée. </w:t>
            </w:r>
            <w:r w:rsidRPr="004F280C">
              <w:rPr>
                <w:szCs w:val="20"/>
              </w:rPr>
              <w:t>Les dépens sont accordés à l’intimée au montant de 1 225,00 $.</w:t>
            </w:r>
          </w:p>
        </w:tc>
      </w:tr>
    </w:tbl>
    <w:p w:rsidR="00C05442" w:rsidRDefault="00C05442" w:rsidP="00C05442">
      <w:pPr>
        <w:rPr>
          <w:sz w:val="20"/>
          <w:szCs w:val="20"/>
        </w:rPr>
      </w:pPr>
    </w:p>
    <w:p w:rsidR="00C05442" w:rsidRPr="001B157C" w:rsidRDefault="00C05442" w:rsidP="00C05442">
      <w:pPr>
        <w:rPr>
          <w:sz w:val="20"/>
          <w:szCs w:val="20"/>
          <w:u w:val="single"/>
        </w:rPr>
      </w:pPr>
      <w:r w:rsidRPr="001B157C">
        <w:rPr>
          <w:sz w:val="20"/>
          <w:szCs w:val="20"/>
          <w:u w:val="single"/>
        </w:rPr>
        <w:t>CASE SUMMARY</w:t>
      </w:r>
    </w:p>
    <w:p w:rsidR="00C05442" w:rsidRDefault="00C05442" w:rsidP="00C054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C3EAC" w:rsidRPr="00B92494" w:rsidTr="00345C87">
        <w:tc>
          <w:tcPr>
            <w:tcW w:w="5000" w:type="pct"/>
            <w:gridSpan w:val="3"/>
          </w:tcPr>
          <w:p w:rsidR="00DC3EAC" w:rsidRPr="00B92494" w:rsidRDefault="00DC3EAC" w:rsidP="00345C87">
            <w:pPr>
              <w:jc w:val="both"/>
              <w:rPr>
                <w:rFonts w:eastAsia="Calibri"/>
                <w:smallCaps/>
                <w:sz w:val="20"/>
              </w:rPr>
            </w:pPr>
            <w:r w:rsidRPr="00B92494">
              <w:rPr>
                <w:rFonts w:eastAsia="Calibri"/>
                <w:smallCaps/>
                <w:sz w:val="20"/>
              </w:rPr>
              <w:t xml:space="preserve">(Court </w:t>
            </w:r>
            <w:r>
              <w:rPr>
                <w:rFonts w:eastAsia="Calibri"/>
                <w:smallCaps/>
                <w:sz w:val="20"/>
              </w:rPr>
              <w:t>F</w:t>
            </w:r>
            <w:r w:rsidRPr="00B92494">
              <w:rPr>
                <w:rFonts w:eastAsia="Calibri"/>
                <w:smallCaps/>
                <w:sz w:val="20"/>
              </w:rPr>
              <w:t xml:space="preserve">ile </w:t>
            </w:r>
            <w:r>
              <w:rPr>
                <w:rFonts w:eastAsia="Calibri"/>
                <w:smallCaps/>
                <w:sz w:val="20"/>
              </w:rPr>
              <w:t>C</w:t>
            </w:r>
            <w:r w:rsidRPr="00B92494">
              <w:rPr>
                <w:rFonts w:eastAsia="Calibri"/>
                <w:smallCaps/>
                <w:sz w:val="20"/>
              </w:rPr>
              <w:t xml:space="preserve">ontains </w:t>
            </w:r>
            <w:r>
              <w:rPr>
                <w:rFonts w:eastAsia="Calibri"/>
                <w:smallCaps/>
                <w:sz w:val="20"/>
              </w:rPr>
              <w:t>I</w:t>
            </w:r>
            <w:r w:rsidRPr="00B92494">
              <w:rPr>
                <w:rFonts w:eastAsia="Calibri"/>
                <w:smallCaps/>
                <w:sz w:val="20"/>
              </w:rPr>
              <w:t xml:space="preserve">nformation </w:t>
            </w:r>
            <w:r>
              <w:rPr>
                <w:rFonts w:eastAsia="Calibri"/>
                <w:smallCaps/>
                <w:sz w:val="20"/>
              </w:rPr>
              <w:t>T</w:t>
            </w:r>
            <w:r w:rsidRPr="00B92494">
              <w:rPr>
                <w:rFonts w:eastAsia="Calibri"/>
                <w:smallCaps/>
                <w:sz w:val="20"/>
              </w:rPr>
              <w:t xml:space="preserve">hat is not </w:t>
            </w:r>
            <w:r>
              <w:rPr>
                <w:rFonts w:eastAsia="Calibri"/>
                <w:smallCaps/>
                <w:sz w:val="20"/>
              </w:rPr>
              <w:t>A</w:t>
            </w:r>
            <w:r w:rsidRPr="00B92494">
              <w:rPr>
                <w:rFonts w:eastAsia="Calibri"/>
                <w:smallCaps/>
                <w:sz w:val="20"/>
              </w:rPr>
              <w:t xml:space="preserve">vailable for </w:t>
            </w:r>
            <w:r>
              <w:rPr>
                <w:rFonts w:eastAsia="Calibri"/>
                <w:smallCaps/>
                <w:sz w:val="20"/>
              </w:rPr>
              <w:t>I</w:t>
            </w:r>
            <w:r w:rsidRPr="00B92494">
              <w:rPr>
                <w:rFonts w:eastAsia="Calibri"/>
                <w:smallCaps/>
                <w:sz w:val="20"/>
              </w:rPr>
              <w:t xml:space="preserve">nspection by the </w:t>
            </w:r>
            <w:r>
              <w:rPr>
                <w:rFonts w:eastAsia="Calibri"/>
                <w:smallCaps/>
                <w:sz w:val="20"/>
              </w:rPr>
              <w:t>P</w:t>
            </w:r>
            <w:r w:rsidRPr="00B92494">
              <w:rPr>
                <w:rFonts w:eastAsia="Calibri"/>
                <w:smallCaps/>
                <w:sz w:val="20"/>
              </w:rPr>
              <w:t>ublic)</w:t>
            </w:r>
          </w:p>
          <w:p w:rsidR="00DC3EAC" w:rsidRPr="00B92494" w:rsidRDefault="00DC3EAC" w:rsidP="00345C87">
            <w:pPr>
              <w:jc w:val="both"/>
              <w:rPr>
                <w:rFonts w:eastAsia="Calibri"/>
                <w:sz w:val="20"/>
              </w:rPr>
            </w:pPr>
          </w:p>
          <w:p w:rsidR="00DC3EAC" w:rsidRPr="00B92494" w:rsidRDefault="00DC3EAC" w:rsidP="00345C87">
            <w:pPr>
              <w:jc w:val="both"/>
              <w:rPr>
                <w:rFonts w:eastAsia="Calibri"/>
                <w:sz w:val="20"/>
              </w:rPr>
            </w:pPr>
            <w:r w:rsidRPr="00B92494">
              <w:rPr>
                <w:rFonts w:eastAsia="Calibri"/>
                <w:i/>
                <w:sz w:val="20"/>
              </w:rPr>
              <w:t>Charter of Rights</w:t>
            </w:r>
            <w:r w:rsidRPr="00B92494">
              <w:rPr>
                <w:rFonts w:eastAsia="Calibri"/>
                <w:sz w:val="20"/>
              </w:rPr>
              <w:t xml:space="preserve"> – Right to security of the person – Judgments and orders – Summary judgments –Applicant’s statement of claim struck for being statute-barred and as disclosing no reasonable cause of action – Whether lower courts erred in determining the issues of facts and law relating to the applicant’s circumstances within the three courses he took at York University</w:t>
            </w:r>
          </w:p>
        </w:tc>
      </w:tr>
      <w:tr w:rsidR="00DC3EAC" w:rsidRPr="00B92494" w:rsidTr="00345C87">
        <w:tc>
          <w:tcPr>
            <w:tcW w:w="5000" w:type="pct"/>
            <w:gridSpan w:val="3"/>
          </w:tcPr>
          <w:p w:rsidR="00DC3EAC" w:rsidRPr="00B92494" w:rsidRDefault="00DC3EAC" w:rsidP="00345C87">
            <w:pPr>
              <w:jc w:val="both"/>
              <w:rPr>
                <w:rFonts w:eastAsia="Calibri"/>
                <w:sz w:val="20"/>
              </w:rPr>
            </w:pPr>
          </w:p>
        </w:tc>
      </w:tr>
      <w:tr w:rsidR="00DC3EAC" w:rsidRPr="00B92494" w:rsidTr="00345C87">
        <w:tc>
          <w:tcPr>
            <w:tcW w:w="5000" w:type="pct"/>
            <w:gridSpan w:val="3"/>
          </w:tcPr>
          <w:p w:rsidR="00DC3EAC" w:rsidRPr="00B92494" w:rsidRDefault="00DC3EAC" w:rsidP="00345C87">
            <w:pPr>
              <w:jc w:val="both"/>
              <w:rPr>
                <w:rFonts w:eastAsia="Calibri"/>
                <w:sz w:val="20"/>
              </w:rPr>
            </w:pPr>
            <w:r w:rsidRPr="00B92494">
              <w:rPr>
                <w:rFonts w:eastAsia="Calibri"/>
                <w:sz w:val="20"/>
              </w:rPr>
              <w:t>In the 2000s, the applicant was a student at York University who was dissatisfied with the grades he received in three of his courses.  He alleged that he was entitled to graduate in 2004 and that the University failed to graduate him until 2010.  He sought to appeal those grades through the University’s internal review process but was not happy with the result.  Mr. Bounpraseuth brought an action against the University claiming damages because he lost five years of work experience and income because of the low marks and delay in graduation.  The University brought a motion to strike his statement of claim.</w:t>
            </w:r>
          </w:p>
          <w:p w:rsidR="00DC3EAC" w:rsidRPr="00B92494" w:rsidRDefault="00DC3EAC" w:rsidP="00345C87">
            <w:pPr>
              <w:jc w:val="both"/>
              <w:rPr>
                <w:rFonts w:eastAsia="Calibri"/>
                <w:sz w:val="20"/>
              </w:rPr>
            </w:pPr>
          </w:p>
        </w:tc>
      </w:tr>
      <w:tr w:rsidR="00DC3EAC" w:rsidRPr="00B92494" w:rsidTr="00345C87">
        <w:tc>
          <w:tcPr>
            <w:tcW w:w="2427" w:type="pct"/>
          </w:tcPr>
          <w:p w:rsidR="00DC3EAC" w:rsidRPr="00B92494" w:rsidRDefault="00DC3EAC" w:rsidP="00345C87">
            <w:pPr>
              <w:jc w:val="both"/>
              <w:rPr>
                <w:rFonts w:eastAsia="Calibri"/>
                <w:sz w:val="20"/>
              </w:rPr>
            </w:pPr>
            <w:r w:rsidRPr="00B92494">
              <w:rPr>
                <w:rFonts w:eastAsia="Calibri"/>
                <w:sz w:val="20"/>
              </w:rPr>
              <w:t>February 13, 2013</w:t>
            </w:r>
          </w:p>
          <w:p w:rsidR="00DC3EAC" w:rsidRPr="00B92494" w:rsidRDefault="00DC3EAC" w:rsidP="00345C87">
            <w:pPr>
              <w:jc w:val="both"/>
              <w:rPr>
                <w:rFonts w:eastAsia="Calibri"/>
                <w:sz w:val="20"/>
              </w:rPr>
            </w:pPr>
            <w:r w:rsidRPr="00B92494">
              <w:rPr>
                <w:rFonts w:eastAsia="Calibri"/>
                <w:sz w:val="20"/>
              </w:rPr>
              <w:t>Ontario Superior Court of Justice</w:t>
            </w:r>
          </w:p>
          <w:p w:rsidR="00DC3EAC" w:rsidRPr="00B92494" w:rsidRDefault="00DC3EAC" w:rsidP="00345C87">
            <w:pPr>
              <w:jc w:val="both"/>
              <w:rPr>
                <w:rFonts w:eastAsia="Calibri"/>
                <w:sz w:val="20"/>
              </w:rPr>
            </w:pPr>
            <w:r w:rsidRPr="00B92494">
              <w:rPr>
                <w:rFonts w:eastAsia="Calibri"/>
                <w:sz w:val="20"/>
              </w:rPr>
              <w:t>(Tzimas J.)</w:t>
            </w:r>
          </w:p>
          <w:p w:rsidR="00DC3EAC" w:rsidRPr="00B92494" w:rsidRDefault="00DC3EAC" w:rsidP="00345C87">
            <w:pPr>
              <w:jc w:val="both"/>
              <w:rPr>
                <w:rFonts w:eastAsia="Calibri"/>
                <w:sz w:val="20"/>
              </w:rPr>
            </w:pPr>
            <w:r w:rsidRPr="00B92494">
              <w:rPr>
                <w:rFonts w:eastAsia="Calibri"/>
                <w:sz w:val="20"/>
              </w:rPr>
              <w:t>Unreported</w:t>
            </w:r>
          </w:p>
          <w:p w:rsidR="00DC3EAC" w:rsidRPr="00B92494" w:rsidRDefault="00DC3EAC" w:rsidP="00345C87">
            <w:pPr>
              <w:jc w:val="both"/>
              <w:rPr>
                <w:rFonts w:eastAsia="Calibri"/>
                <w:sz w:val="20"/>
              </w:rPr>
            </w:pPr>
          </w:p>
        </w:tc>
        <w:tc>
          <w:tcPr>
            <w:tcW w:w="243" w:type="pct"/>
          </w:tcPr>
          <w:p w:rsidR="00DC3EAC" w:rsidRPr="00B92494" w:rsidRDefault="00DC3EAC" w:rsidP="00345C87">
            <w:pPr>
              <w:jc w:val="both"/>
              <w:rPr>
                <w:rFonts w:eastAsia="Calibri"/>
                <w:sz w:val="20"/>
              </w:rPr>
            </w:pPr>
          </w:p>
        </w:tc>
        <w:tc>
          <w:tcPr>
            <w:tcW w:w="2330" w:type="pct"/>
          </w:tcPr>
          <w:p w:rsidR="00DC3EAC" w:rsidRPr="00B92494" w:rsidRDefault="00DC3EAC" w:rsidP="00345C87">
            <w:pPr>
              <w:jc w:val="both"/>
              <w:rPr>
                <w:rFonts w:eastAsia="Calibri"/>
                <w:sz w:val="20"/>
              </w:rPr>
            </w:pPr>
            <w:r w:rsidRPr="00B92494">
              <w:rPr>
                <w:rFonts w:eastAsia="Calibri"/>
                <w:sz w:val="20"/>
              </w:rPr>
              <w:t>Respondent’s motion to strike statement of claim granted with no leave to amend.  Applicant’s action dismissed</w:t>
            </w:r>
          </w:p>
          <w:p w:rsidR="00DC3EAC" w:rsidRPr="00B92494" w:rsidRDefault="00DC3EAC" w:rsidP="00345C87">
            <w:pPr>
              <w:jc w:val="both"/>
              <w:rPr>
                <w:rFonts w:eastAsia="Calibri"/>
                <w:sz w:val="20"/>
              </w:rPr>
            </w:pPr>
          </w:p>
        </w:tc>
      </w:tr>
      <w:tr w:rsidR="00DC3EAC" w:rsidRPr="00B92494" w:rsidTr="00345C87">
        <w:tc>
          <w:tcPr>
            <w:tcW w:w="2427" w:type="pct"/>
          </w:tcPr>
          <w:p w:rsidR="00DC3EAC" w:rsidRPr="00B92494" w:rsidRDefault="00DC3EAC" w:rsidP="00345C87">
            <w:pPr>
              <w:jc w:val="both"/>
              <w:rPr>
                <w:rFonts w:eastAsia="Calibri"/>
                <w:sz w:val="20"/>
              </w:rPr>
            </w:pPr>
            <w:r w:rsidRPr="00B92494">
              <w:rPr>
                <w:rFonts w:eastAsia="Calibri"/>
                <w:sz w:val="20"/>
              </w:rPr>
              <w:t>May 13, 2014</w:t>
            </w:r>
          </w:p>
          <w:p w:rsidR="00DC3EAC" w:rsidRPr="00B92494" w:rsidRDefault="00DC3EAC" w:rsidP="00345C87">
            <w:pPr>
              <w:jc w:val="both"/>
              <w:rPr>
                <w:rFonts w:eastAsia="Calibri"/>
                <w:sz w:val="20"/>
              </w:rPr>
            </w:pPr>
            <w:r w:rsidRPr="00B92494">
              <w:rPr>
                <w:rFonts w:eastAsia="Calibri"/>
                <w:sz w:val="20"/>
              </w:rPr>
              <w:t>Court of Appeal for Ontario</w:t>
            </w:r>
          </w:p>
          <w:p w:rsidR="00DC3EAC" w:rsidRPr="00B92494" w:rsidRDefault="00DC3EAC" w:rsidP="00345C87">
            <w:pPr>
              <w:jc w:val="both"/>
              <w:rPr>
                <w:rFonts w:eastAsia="Calibri"/>
                <w:sz w:val="20"/>
              </w:rPr>
            </w:pPr>
            <w:r w:rsidRPr="00B92494">
              <w:rPr>
                <w:rFonts w:eastAsia="Calibri"/>
                <w:sz w:val="20"/>
              </w:rPr>
              <w:t>(Doherty, Gillese and Hourigan JJ.A.)</w:t>
            </w:r>
          </w:p>
          <w:p w:rsidR="00DC3EAC" w:rsidRPr="00B92494" w:rsidRDefault="007F638F" w:rsidP="00345C87">
            <w:pPr>
              <w:jc w:val="both"/>
              <w:rPr>
                <w:rFonts w:eastAsia="Calibri"/>
                <w:sz w:val="20"/>
              </w:rPr>
            </w:pPr>
            <w:hyperlink r:id="rId51" w:history="1">
              <w:r w:rsidR="00DC3EAC" w:rsidRPr="00B92494">
                <w:rPr>
                  <w:rFonts w:eastAsia="Calibri"/>
                  <w:color w:val="0000FF"/>
                  <w:sz w:val="20"/>
                  <w:u w:val="single"/>
                </w:rPr>
                <w:t>2014 ONCA 390</w:t>
              </w:r>
            </w:hyperlink>
          </w:p>
          <w:p w:rsidR="00DC3EAC" w:rsidRPr="00B92494" w:rsidRDefault="00DC3EAC" w:rsidP="00345C87">
            <w:pPr>
              <w:jc w:val="both"/>
              <w:rPr>
                <w:rFonts w:eastAsia="Calibri"/>
                <w:sz w:val="20"/>
              </w:rPr>
            </w:pPr>
          </w:p>
        </w:tc>
        <w:tc>
          <w:tcPr>
            <w:tcW w:w="243" w:type="pct"/>
          </w:tcPr>
          <w:p w:rsidR="00DC3EAC" w:rsidRPr="00B92494" w:rsidRDefault="00DC3EAC" w:rsidP="00345C87">
            <w:pPr>
              <w:jc w:val="both"/>
              <w:rPr>
                <w:rFonts w:eastAsia="Calibri"/>
                <w:sz w:val="20"/>
              </w:rPr>
            </w:pPr>
          </w:p>
        </w:tc>
        <w:tc>
          <w:tcPr>
            <w:tcW w:w="2330" w:type="pct"/>
          </w:tcPr>
          <w:p w:rsidR="00DC3EAC" w:rsidRPr="00B92494" w:rsidRDefault="00DC3EAC" w:rsidP="00345C87">
            <w:pPr>
              <w:jc w:val="both"/>
              <w:rPr>
                <w:rFonts w:eastAsia="Calibri"/>
                <w:sz w:val="20"/>
              </w:rPr>
            </w:pPr>
            <w:r w:rsidRPr="00B92494">
              <w:rPr>
                <w:rFonts w:eastAsia="Calibri"/>
                <w:sz w:val="20"/>
              </w:rPr>
              <w:t>Applicant’s appeal dismissed</w:t>
            </w:r>
          </w:p>
          <w:p w:rsidR="00DC3EAC" w:rsidRPr="00B92494" w:rsidRDefault="00DC3EAC" w:rsidP="00345C87">
            <w:pPr>
              <w:jc w:val="both"/>
              <w:rPr>
                <w:rFonts w:eastAsia="Calibri"/>
                <w:sz w:val="20"/>
              </w:rPr>
            </w:pPr>
          </w:p>
        </w:tc>
      </w:tr>
    </w:tbl>
    <w:p w:rsidR="006D21D4" w:rsidRDefault="006D21D4">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C3EAC" w:rsidRPr="00B92494" w:rsidTr="006D21D4">
        <w:trPr>
          <w:cantSplit/>
        </w:trPr>
        <w:tc>
          <w:tcPr>
            <w:tcW w:w="2427" w:type="pct"/>
          </w:tcPr>
          <w:p w:rsidR="00DC3EAC" w:rsidRPr="00B92494" w:rsidRDefault="00DC3EAC" w:rsidP="00345C87">
            <w:pPr>
              <w:jc w:val="both"/>
              <w:rPr>
                <w:rFonts w:eastAsia="Calibri"/>
                <w:sz w:val="20"/>
              </w:rPr>
            </w:pPr>
            <w:r w:rsidRPr="00B92494">
              <w:rPr>
                <w:rFonts w:eastAsia="Calibri"/>
                <w:sz w:val="20"/>
              </w:rPr>
              <w:lastRenderedPageBreak/>
              <w:t>February 19, 2015</w:t>
            </w:r>
          </w:p>
          <w:p w:rsidR="00DC3EAC" w:rsidRPr="00B92494" w:rsidRDefault="00DC3EAC" w:rsidP="00345C87">
            <w:pPr>
              <w:jc w:val="both"/>
              <w:rPr>
                <w:rFonts w:eastAsia="Calibri"/>
                <w:sz w:val="20"/>
              </w:rPr>
            </w:pPr>
            <w:r w:rsidRPr="00B92494">
              <w:rPr>
                <w:rFonts w:eastAsia="Calibri"/>
                <w:sz w:val="20"/>
              </w:rPr>
              <w:t>Supreme Court of Canada</w:t>
            </w:r>
          </w:p>
        </w:tc>
        <w:tc>
          <w:tcPr>
            <w:tcW w:w="243" w:type="pct"/>
          </w:tcPr>
          <w:p w:rsidR="00DC3EAC" w:rsidRPr="00B92494" w:rsidRDefault="00DC3EAC" w:rsidP="00345C87">
            <w:pPr>
              <w:jc w:val="both"/>
              <w:rPr>
                <w:rFonts w:eastAsia="Calibri"/>
                <w:sz w:val="20"/>
              </w:rPr>
            </w:pPr>
          </w:p>
        </w:tc>
        <w:tc>
          <w:tcPr>
            <w:tcW w:w="2330" w:type="pct"/>
          </w:tcPr>
          <w:p w:rsidR="00DC3EAC" w:rsidRPr="00B92494" w:rsidRDefault="00DC3EAC" w:rsidP="00345C87">
            <w:pPr>
              <w:jc w:val="both"/>
              <w:rPr>
                <w:rFonts w:eastAsia="Calibri"/>
                <w:sz w:val="20"/>
              </w:rPr>
            </w:pPr>
            <w:r w:rsidRPr="00B92494">
              <w:rPr>
                <w:rFonts w:eastAsia="Calibri"/>
                <w:sz w:val="20"/>
              </w:rPr>
              <w:t>Application for leave to appeal filed</w:t>
            </w:r>
          </w:p>
          <w:p w:rsidR="00DC3EAC" w:rsidRPr="00B92494" w:rsidRDefault="00DC3EAC" w:rsidP="00345C87">
            <w:pPr>
              <w:jc w:val="both"/>
              <w:rPr>
                <w:rFonts w:eastAsia="Calibri"/>
                <w:sz w:val="20"/>
              </w:rPr>
            </w:pPr>
          </w:p>
        </w:tc>
      </w:tr>
    </w:tbl>
    <w:p w:rsidR="00C05442" w:rsidRDefault="00C05442" w:rsidP="00C05442">
      <w:pPr>
        <w:rPr>
          <w:sz w:val="20"/>
          <w:szCs w:val="20"/>
        </w:rPr>
      </w:pPr>
    </w:p>
    <w:p w:rsidR="00C05442" w:rsidRPr="00C50A5C" w:rsidRDefault="007F638F" w:rsidP="00C05442">
      <w:pPr>
        <w:rPr>
          <w:sz w:val="20"/>
          <w:szCs w:val="20"/>
        </w:rPr>
      </w:pPr>
      <w:r>
        <w:rPr>
          <w:sz w:val="20"/>
          <w:szCs w:val="20"/>
          <w:lang w:val="fr-CA"/>
        </w:rPr>
        <w:pict>
          <v:rect id="_x0000_i1048" style="width:2in;height:1pt" o:hrpct="0" o:hralign="center" o:hrstd="t" o:hrnoshade="t" o:hr="t" fillcolor="black [3213]" stroked="f"/>
        </w:pict>
      </w:r>
    </w:p>
    <w:p w:rsidR="00C05442" w:rsidRDefault="00C05442" w:rsidP="00C05442">
      <w:pPr>
        <w:rPr>
          <w:sz w:val="20"/>
          <w:szCs w:val="20"/>
        </w:rPr>
      </w:pPr>
    </w:p>
    <w:p w:rsidR="00C05442" w:rsidRPr="001B157C" w:rsidRDefault="00C05442" w:rsidP="00C05442">
      <w:pPr>
        <w:rPr>
          <w:sz w:val="20"/>
          <w:szCs w:val="20"/>
          <w:u w:val="single"/>
          <w:lang w:val="fr-CA"/>
        </w:rPr>
      </w:pPr>
      <w:r w:rsidRPr="001B157C">
        <w:rPr>
          <w:sz w:val="20"/>
          <w:szCs w:val="20"/>
          <w:u w:val="single"/>
          <w:lang w:val="fr-CA"/>
        </w:rPr>
        <w:t>RÉSUMÉ DE L’AFFAIRE</w:t>
      </w:r>
    </w:p>
    <w:p w:rsidR="00C05442" w:rsidRDefault="00C05442" w:rsidP="00C0544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C3EAC" w:rsidRPr="0063742E" w:rsidTr="00345C87">
        <w:tc>
          <w:tcPr>
            <w:tcW w:w="5000" w:type="pct"/>
            <w:gridSpan w:val="3"/>
          </w:tcPr>
          <w:p w:rsidR="00DC3EAC" w:rsidRPr="00B92494" w:rsidRDefault="00DC3EAC" w:rsidP="00345C87">
            <w:pPr>
              <w:jc w:val="both"/>
              <w:rPr>
                <w:rFonts w:eastAsia="Calibri"/>
                <w:smallCaps/>
                <w:sz w:val="20"/>
                <w:lang w:val="fr-CA"/>
              </w:rPr>
            </w:pPr>
            <w:r w:rsidRPr="00B92494">
              <w:rPr>
                <w:rFonts w:eastAsia="Calibri"/>
                <w:smallCaps/>
                <w:sz w:val="20"/>
                <w:lang w:val="fr-CA"/>
              </w:rPr>
              <w:t>(Le dossier de la Cour renferme des données que le public n’est pas autorisé à consulter)</w:t>
            </w:r>
          </w:p>
          <w:p w:rsidR="00DC3EAC" w:rsidRPr="00B92494" w:rsidRDefault="00DC3EAC" w:rsidP="00345C87">
            <w:pPr>
              <w:jc w:val="both"/>
              <w:rPr>
                <w:rFonts w:eastAsia="Calibri"/>
                <w:sz w:val="20"/>
                <w:lang w:val="fr-CA"/>
              </w:rPr>
            </w:pPr>
          </w:p>
          <w:p w:rsidR="00DC3EAC" w:rsidRPr="00B92494" w:rsidRDefault="00DC3EAC" w:rsidP="00345C87">
            <w:pPr>
              <w:jc w:val="both"/>
              <w:rPr>
                <w:rFonts w:eastAsia="Calibri"/>
                <w:sz w:val="20"/>
                <w:lang w:val="fr-CA"/>
              </w:rPr>
            </w:pPr>
            <w:r w:rsidRPr="00B92494">
              <w:rPr>
                <w:rFonts w:eastAsia="Calibri"/>
                <w:i/>
                <w:sz w:val="20"/>
                <w:lang w:val="fr-CA"/>
              </w:rPr>
              <w:t>Charte des droits</w:t>
            </w:r>
            <w:r w:rsidRPr="00B92494">
              <w:rPr>
                <w:rFonts w:eastAsia="Calibri"/>
                <w:sz w:val="20"/>
                <w:lang w:val="fr-CA"/>
              </w:rPr>
              <w:t xml:space="preserve"> – Droit à la sécurité de la personne – Jugements et ordonnances – Jugements sommaires – La déclaration du demandeur a été radiée pour cause de prescription et parce qu’elle ne révélait aucune cause d’action fondée – Les juridictions inférieures ont-elles commis une erreur en statuant sur les questions de fait et de droit relatives à la situation du demandeur dans les trois cours qu’il a suivis à l’Université York? </w:t>
            </w:r>
          </w:p>
        </w:tc>
      </w:tr>
      <w:tr w:rsidR="00DC3EAC" w:rsidRPr="0063742E" w:rsidTr="00345C87">
        <w:tc>
          <w:tcPr>
            <w:tcW w:w="5000" w:type="pct"/>
            <w:gridSpan w:val="3"/>
          </w:tcPr>
          <w:p w:rsidR="00DC3EAC" w:rsidRPr="00B92494" w:rsidRDefault="00DC3EAC" w:rsidP="00345C87">
            <w:pPr>
              <w:jc w:val="both"/>
              <w:rPr>
                <w:rFonts w:eastAsia="Calibri"/>
                <w:sz w:val="20"/>
                <w:lang w:val="fr-CA"/>
              </w:rPr>
            </w:pPr>
          </w:p>
        </w:tc>
      </w:tr>
      <w:tr w:rsidR="00DC3EAC" w:rsidRPr="0063742E" w:rsidTr="00345C87">
        <w:tc>
          <w:tcPr>
            <w:tcW w:w="5000" w:type="pct"/>
            <w:gridSpan w:val="3"/>
          </w:tcPr>
          <w:p w:rsidR="00DC3EAC" w:rsidRPr="00B92494" w:rsidRDefault="00DC3EAC" w:rsidP="00345C87">
            <w:pPr>
              <w:jc w:val="both"/>
              <w:rPr>
                <w:rFonts w:eastAsia="Calibri"/>
                <w:sz w:val="20"/>
                <w:lang w:val="fr-CA"/>
              </w:rPr>
            </w:pPr>
            <w:r w:rsidRPr="00B92494">
              <w:rPr>
                <w:rFonts w:eastAsia="Calibri"/>
                <w:sz w:val="20"/>
                <w:lang w:val="fr-CA"/>
              </w:rPr>
              <w:t>Dans les années 2000, le demandeur était étudiant à l’Université York et il était insatisfait des notes qu’il avait obtenues dans trois de ses cours.  Selon lui, il aurait eu le droit d’obtenir son diplôme en 2004 et ce n’est qu’en 2010 que l’Université le lui aurait décerné.  Il a tenté de faire appel de ces notes par le processus de révision interne de l’Université, mais il était mécontent du résultat.  Monsieur Bounpraseuth a intenté une action en dommages-intérêts contre l’Université, alléguant avoir perdu cinq années d’expérience de travail et de revenus en raison des notes faibles et du retard à obtenir son diplôme.  L’Université a présenté une motion en radiation de sa déclaration.</w:t>
            </w:r>
          </w:p>
          <w:p w:rsidR="00DC3EAC" w:rsidRPr="00B92494" w:rsidRDefault="00DC3EAC" w:rsidP="00345C87">
            <w:pPr>
              <w:jc w:val="both"/>
              <w:rPr>
                <w:rFonts w:eastAsia="Calibri"/>
                <w:sz w:val="20"/>
                <w:lang w:val="fr-CA"/>
              </w:rPr>
            </w:pPr>
          </w:p>
        </w:tc>
      </w:tr>
      <w:tr w:rsidR="00DC3EAC" w:rsidRPr="00B92494" w:rsidTr="00345C87">
        <w:tc>
          <w:tcPr>
            <w:tcW w:w="2427" w:type="pct"/>
          </w:tcPr>
          <w:p w:rsidR="00DC3EAC" w:rsidRPr="00B92494" w:rsidRDefault="00DC3EAC" w:rsidP="00345C87">
            <w:pPr>
              <w:jc w:val="both"/>
              <w:rPr>
                <w:rFonts w:eastAsia="Calibri"/>
                <w:sz w:val="20"/>
                <w:lang w:val="fr-CA"/>
              </w:rPr>
            </w:pPr>
            <w:r w:rsidRPr="00B92494">
              <w:rPr>
                <w:rFonts w:eastAsia="Calibri"/>
                <w:sz w:val="20"/>
                <w:lang w:val="fr-CA"/>
              </w:rPr>
              <w:t>13 février 2013</w:t>
            </w:r>
          </w:p>
          <w:p w:rsidR="00DC3EAC" w:rsidRPr="00B92494" w:rsidRDefault="00DC3EAC" w:rsidP="00345C87">
            <w:pPr>
              <w:jc w:val="both"/>
              <w:rPr>
                <w:rFonts w:eastAsia="Calibri"/>
                <w:sz w:val="20"/>
                <w:lang w:val="fr-CA"/>
              </w:rPr>
            </w:pPr>
            <w:r w:rsidRPr="00B92494">
              <w:rPr>
                <w:rFonts w:eastAsia="Calibri"/>
                <w:sz w:val="20"/>
                <w:lang w:val="fr-CA"/>
              </w:rPr>
              <w:t>Cour supérieure de justice de l’Ontario</w:t>
            </w:r>
          </w:p>
          <w:p w:rsidR="00DC3EAC" w:rsidRPr="00B92494" w:rsidRDefault="00DC3EAC" w:rsidP="00345C87">
            <w:pPr>
              <w:jc w:val="both"/>
              <w:rPr>
                <w:rFonts w:eastAsia="Calibri"/>
                <w:sz w:val="20"/>
                <w:lang w:val="fr-CA"/>
              </w:rPr>
            </w:pPr>
            <w:r w:rsidRPr="00B92494">
              <w:rPr>
                <w:rFonts w:eastAsia="Calibri"/>
                <w:sz w:val="20"/>
                <w:lang w:val="fr-CA"/>
              </w:rPr>
              <w:t>(Juge Tzimas)</w:t>
            </w:r>
          </w:p>
          <w:p w:rsidR="00DC3EAC" w:rsidRPr="00B92494" w:rsidRDefault="00DC3EAC" w:rsidP="00345C87">
            <w:pPr>
              <w:jc w:val="both"/>
              <w:rPr>
                <w:rFonts w:eastAsia="Calibri"/>
                <w:sz w:val="20"/>
                <w:lang w:val="fr-CA"/>
              </w:rPr>
            </w:pPr>
            <w:r w:rsidRPr="00B92494">
              <w:rPr>
                <w:rFonts w:eastAsia="Calibri"/>
                <w:sz w:val="20"/>
                <w:lang w:val="fr-CA"/>
              </w:rPr>
              <w:t>Non publié</w:t>
            </w:r>
          </w:p>
          <w:p w:rsidR="00DC3EAC" w:rsidRPr="00B92494" w:rsidRDefault="00DC3EAC" w:rsidP="00345C87">
            <w:pPr>
              <w:jc w:val="both"/>
              <w:rPr>
                <w:rFonts w:eastAsia="Calibri"/>
                <w:sz w:val="20"/>
                <w:lang w:val="fr-CA"/>
              </w:rPr>
            </w:pPr>
          </w:p>
        </w:tc>
        <w:tc>
          <w:tcPr>
            <w:tcW w:w="243" w:type="pct"/>
          </w:tcPr>
          <w:p w:rsidR="00DC3EAC" w:rsidRPr="00B92494" w:rsidRDefault="00DC3EAC" w:rsidP="00345C87">
            <w:pPr>
              <w:jc w:val="both"/>
              <w:rPr>
                <w:rFonts w:eastAsia="Calibri"/>
                <w:sz w:val="20"/>
                <w:lang w:val="fr-CA"/>
              </w:rPr>
            </w:pPr>
          </w:p>
        </w:tc>
        <w:tc>
          <w:tcPr>
            <w:tcW w:w="2330" w:type="pct"/>
          </w:tcPr>
          <w:p w:rsidR="00DC3EAC" w:rsidRPr="00B92494" w:rsidRDefault="00DC3EAC" w:rsidP="00345C87">
            <w:pPr>
              <w:jc w:val="both"/>
              <w:rPr>
                <w:rFonts w:eastAsia="Calibri"/>
                <w:sz w:val="20"/>
                <w:lang w:val="fr-CA"/>
              </w:rPr>
            </w:pPr>
            <w:r w:rsidRPr="00B92494">
              <w:rPr>
                <w:rFonts w:eastAsia="Calibri"/>
                <w:sz w:val="20"/>
                <w:lang w:val="fr-CA"/>
              </w:rPr>
              <w:t>Jugement accueillant la requête de l’intimée en radiation de la déclaration sans autorisation de la modifier.  Rejet de l’action du demandeur</w:t>
            </w:r>
          </w:p>
          <w:p w:rsidR="00DC3EAC" w:rsidRPr="00B92494" w:rsidRDefault="00DC3EAC" w:rsidP="00345C87">
            <w:pPr>
              <w:jc w:val="both"/>
              <w:rPr>
                <w:rFonts w:eastAsia="Calibri"/>
                <w:sz w:val="20"/>
                <w:lang w:val="fr-CA"/>
              </w:rPr>
            </w:pPr>
          </w:p>
        </w:tc>
      </w:tr>
      <w:tr w:rsidR="00DC3EAC" w:rsidRPr="00B92494" w:rsidTr="00345C87">
        <w:tc>
          <w:tcPr>
            <w:tcW w:w="2427" w:type="pct"/>
          </w:tcPr>
          <w:p w:rsidR="00DC3EAC" w:rsidRPr="00B92494" w:rsidRDefault="00DC3EAC" w:rsidP="00345C87">
            <w:pPr>
              <w:jc w:val="both"/>
              <w:rPr>
                <w:rFonts w:eastAsia="Calibri"/>
                <w:sz w:val="20"/>
                <w:lang w:val="fr-CA"/>
              </w:rPr>
            </w:pPr>
            <w:r w:rsidRPr="00B92494">
              <w:rPr>
                <w:rFonts w:eastAsia="Calibri"/>
                <w:sz w:val="20"/>
                <w:lang w:val="fr-CA"/>
              </w:rPr>
              <w:t>13 mai 2014</w:t>
            </w:r>
          </w:p>
          <w:p w:rsidR="00DC3EAC" w:rsidRPr="00B92494" w:rsidRDefault="00DC3EAC" w:rsidP="00345C87">
            <w:pPr>
              <w:jc w:val="both"/>
              <w:rPr>
                <w:rFonts w:eastAsia="Calibri"/>
                <w:sz w:val="20"/>
                <w:lang w:val="fr-CA"/>
              </w:rPr>
            </w:pPr>
            <w:r w:rsidRPr="00B92494">
              <w:rPr>
                <w:rFonts w:eastAsia="Calibri"/>
                <w:sz w:val="20"/>
                <w:lang w:val="fr-CA"/>
              </w:rPr>
              <w:t>Cour d’appel de l’Ontario</w:t>
            </w:r>
          </w:p>
          <w:p w:rsidR="00DC3EAC" w:rsidRPr="00B92494" w:rsidRDefault="00DC3EAC" w:rsidP="00345C87">
            <w:pPr>
              <w:jc w:val="both"/>
              <w:rPr>
                <w:rFonts w:eastAsia="Calibri"/>
                <w:sz w:val="20"/>
                <w:lang w:val="fr-CA"/>
              </w:rPr>
            </w:pPr>
            <w:r w:rsidRPr="00B92494">
              <w:rPr>
                <w:rFonts w:eastAsia="Calibri"/>
                <w:sz w:val="20"/>
                <w:lang w:val="fr-CA"/>
              </w:rPr>
              <w:t>(Juges Doherty, Gillese et Hourigan)</w:t>
            </w:r>
          </w:p>
          <w:p w:rsidR="00DC3EAC" w:rsidRPr="00B92494" w:rsidRDefault="007F638F" w:rsidP="00345C87">
            <w:pPr>
              <w:jc w:val="both"/>
              <w:rPr>
                <w:rFonts w:eastAsia="Calibri"/>
                <w:sz w:val="20"/>
                <w:lang w:val="fr-CA"/>
              </w:rPr>
            </w:pPr>
            <w:hyperlink r:id="rId52" w:history="1">
              <w:r w:rsidR="00DC3EAC" w:rsidRPr="00B92494">
                <w:rPr>
                  <w:rFonts w:eastAsia="Calibri"/>
                  <w:color w:val="0000FF"/>
                  <w:sz w:val="20"/>
                  <w:u w:val="single"/>
                  <w:lang w:val="fr-CA"/>
                </w:rPr>
                <w:t>2014 ONCA 390</w:t>
              </w:r>
            </w:hyperlink>
          </w:p>
          <w:p w:rsidR="00DC3EAC" w:rsidRPr="00B92494" w:rsidRDefault="00DC3EAC" w:rsidP="00345C87">
            <w:pPr>
              <w:jc w:val="both"/>
              <w:rPr>
                <w:rFonts w:eastAsia="Calibri"/>
                <w:sz w:val="20"/>
                <w:lang w:val="fr-CA"/>
              </w:rPr>
            </w:pPr>
          </w:p>
        </w:tc>
        <w:tc>
          <w:tcPr>
            <w:tcW w:w="243" w:type="pct"/>
          </w:tcPr>
          <w:p w:rsidR="00DC3EAC" w:rsidRPr="00B92494" w:rsidRDefault="00DC3EAC" w:rsidP="00345C87">
            <w:pPr>
              <w:jc w:val="both"/>
              <w:rPr>
                <w:rFonts w:eastAsia="Calibri"/>
                <w:sz w:val="20"/>
                <w:lang w:val="fr-CA"/>
              </w:rPr>
            </w:pPr>
          </w:p>
        </w:tc>
        <w:tc>
          <w:tcPr>
            <w:tcW w:w="2330" w:type="pct"/>
          </w:tcPr>
          <w:p w:rsidR="00DC3EAC" w:rsidRPr="00B92494" w:rsidRDefault="00DC3EAC" w:rsidP="00345C87">
            <w:pPr>
              <w:jc w:val="both"/>
              <w:rPr>
                <w:rFonts w:eastAsia="Calibri"/>
                <w:sz w:val="20"/>
                <w:lang w:val="fr-CA"/>
              </w:rPr>
            </w:pPr>
            <w:r w:rsidRPr="00B92494">
              <w:rPr>
                <w:rFonts w:eastAsia="Calibri"/>
                <w:sz w:val="20"/>
                <w:lang w:val="fr-CA"/>
              </w:rPr>
              <w:t>Rejet de l’appel du demandeur</w:t>
            </w:r>
          </w:p>
          <w:p w:rsidR="00DC3EAC" w:rsidRPr="00B92494" w:rsidRDefault="00DC3EAC" w:rsidP="00345C87">
            <w:pPr>
              <w:jc w:val="both"/>
              <w:rPr>
                <w:rFonts w:eastAsia="Calibri"/>
                <w:sz w:val="20"/>
                <w:lang w:val="fr-CA"/>
              </w:rPr>
            </w:pPr>
          </w:p>
        </w:tc>
      </w:tr>
      <w:tr w:rsidR="00DC3EAC" w:rsidRPr="0063742E" w:rsidTr="00345C87">
        <w:tc>
          <w:tcPr>
            <w:tcW w:w="2427" w:type="pct"/>
          </w:tcPr>
          <w:p w:rsidR="00DC3EAC" w:rsidRPr="00B92494" w:rsidRDefault="00DC3EAC" w:rsidP="00345C87">
            <w:pPr>
              <w:jc w:val="both"/>
              <w:rPr>
                <w:rFonts w:eastAsia="Calibri"/>
                <w:sz w:val="20"/>
                <w:lang w:val="fr-CA"/>
              </w:rPr>
            </w:pPr>
            <w:r w:rsidRPr="00B92494">
              <w:rPr>
                <w:rFonts w:eastAsia="Calibri"/>
                <w:sz w:val="20"/>
                <w:lang w:val="fr-CA"/>
              </w:rPr>
              <w:t>19 février 2015</w:t>
            </w:r>
          </w:p>
          <w:p w:rsidR="00DC3EAC" w:rsidRPr="00B92494" w:rsidRDefault="00DC3EAC" w:rsidP="00345C87">
            <w:pPr>
              <w:jc w:val="both"/>
              <w:rPr>
                <w:rFonts w:eastAsia="Calibri"/>
                <w:sz w:val="20"/>
                <w:lang w:val="fr-CA"/>
              </w:rPr>
            </w:pPr>
            <w:r w:rsidRPr="00B92494">
              <w:rPr>
                <w:rFonts w:eastAsia="Calibri"/>
                <w:sz w:val="20"/>
                <w:lang w:val="fr-CA"/>
              </w:rPr>
              <w:t>Cour suprême du Canada</w:t>
            </w:r>
          </w:p>
        </w:tc>
        <w:tc>
          <w:tcPr>
            <w:tcW w:w="243" w:type="pct"/>
          </w:tcPr>
          <w:p w:rsidR="00DC3EAC" w:rsidRPr="00B92494" w:rsidRDefault="00DC3EAC" w:rsidP="00345C87">
            <w:pPr>
              <w:jc w:val="both"/>
              <w:rPr>
                <w:rFonts w:eastAsia="Calibri"/>
                <w:sz w:val="20"/>
                <w:lang w:val="fr-CA"/>
              </w:rPr>
            </w:pPr>
          </w:p>
        </w:tc>
        <w:tc>
          <w:tcPr>
            <w:tcW w:w="2330" w:type="pct"/>
          </w:tcPr>
          <w:p w:rsidR="00DC3EAC" w:rsidRPr="00B92494" w:rsidRDefault="00DC3EAC" w:rsidP="00345C87">
            <w:pPr>
              <w:jc w:val="both"/>
              <w:rPr>
                <w:rFonts w:eastAsia="Calibri"/>
                <w:sz w:val="20"/>
                <w:lang w:val="fr-CA"/>
              </w:rPr>
            </w:pPr>
            <w:r w:rsidRPr="00B92494">
              <w:rPr>
                <w:rFonts w:eastAsia="Calibri"/>
                <w:sz w:val="20"/>
                <w:lang w:val="fr-CA"/>
              </w:rPr>
              <w:t>Dépôt de la demande d’autorisation d’appel</w:t>
            </w:r>
          </w:p>
          <w:p w:rsidR="00DC3EAC" w:rsidRPr="00B92494" w:rsidRDefault="00DC3EAC" w:rsidP="00345C87">
            <w:pPr>
              <w:jc w:val="both"/>
              <w:rPr>
                <w:rFonts w:eastAsia="Calibri"/>
                <w:sz w:val="20"/>
                <w:lang w:val="fr-CA"/>
              </w:rPr>
            </w:pPr>
          </w:p>
        </w:tc>
      </w:tr>
    </w:tbl>
    <w:p w:rsidR="00C05442" w:rsidRPr="00DC3EAC" w:rsidRDefault="00C05442" w:rsidP="00C05442">
      <w:pPr>
        <w:rPr>
          <w:sz w:val="20"/>
          <w:szCs w:val="20"/>
          <w:lang w:val="fr-CA"/>
        </w:rPr>
      </w:pPr>
    </w:p>
    <w:p w:rsidR="00C05442" w:rsidRDefault="007F638F" w:rsidP="00C05442">
      <w:pPr>
        <w:rPr>
          <w:sz w:val="20"/>
          <w:szCs w:val="20"/>
          <w:lang w:val="fr-CA"/>
        </w:rPr>
      </w:pPr>
      <w:r>
        <w:rPr>
          <w:sz w:val="20"/>
          <w:szCs w:val="20"/>
          <w:lang w:val="fr-CA"/>
        </w:rPr>
        <w:pict>
          <v:rect id="_x0000_i1049" style="width:2in;height:1pt" o:hrpct="0" o:hralign="center" o:hrstd="t" o:hrnoshade="t" o:hr="t" fillcolor="black [3213]" stroked="f"/>
        </w:pict>
      </w:r>
    </w:p>
    <w:p w:rsidR="00C05442" w:rsidRDefault="00C05442" w:rsidP="00C05442">
      <w:pPr>
        <w:rPr>
          <w:sz w:val="20"/>
          <w:szCs w:val="20"/>
          <w:lang w:val="fr-CA"/>
        </w:rPr>
      </w:pPr>
    </w:p>
    <w:p w:rsidR="00C05442" w:rsidRDefault="00C05442" w:rsidP="000E2959">
      <w:pPr>
        <w:rPr>
          <w:sz w:val="20"/>
          <w:szCs w:val="20"/>
        </w:rPr>
      </w:pPr>
    </w:p>
    <w:p w:rsidR="00C05442" w:rsidRDefault="00C05442" w:rsidP="000E2959">
      <w:pPr>
        <w:rPr>
          <w:sz w:val="20"/>
          <w:szCs w:val="20"/>
        </w:rPr>
      </w:pPr>
    </w:p>
    <w:p w:rsidR="000E2959" w:rsidRPr="00345C87"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A7121" w:rsidRPr="008A7121" w:rsidRDefault="008A7121" w:rsidP="008A7121">
      <w:pPr>
        <w:tabs>
          <w:tab w:val="left" w:pos="-1440"/>
          <w:tab w:val="left" w:pos="-720"/>
        </w:tabs>
        <w:jc w:val="both"/>
        <w:rPr>
          <w:rFonts w:eastAsia="Times New Roman" w:cs="Times New Roman"/>
          <w:sz w:val="20"/>
          <w:szCs w:val="20"/>
          <w:lang w:val="fr-CA" w:eastAsia="en-CA"/>
        </w:rPr>
      </w:pPr>
      <w:r w:rsidRPr="008A7121">
        <w:rPr>
          <w:rFonts w:eastAsia="Times New Roman" w:cs="Times New Roman"/>
          <w:sz w:val="20"/>
          <w:szCs w:val="20"/>
          <w:lang w:val="fr-CA" w:eastAsia="en-CA"/>
        </w:rPr>
        <w:t>11.05.2015</w:t>
      </w:r>
    </w:p>
    <w:p w:rsidR="008A7121" w:rsidRPr="008A7121" w:rsidRDefault="008A7121" w:rsidP="008A7121">
      <w:pPr>
        <w:tabs>
          <w:tab w:val="left" w:pos="-1440"/>
          <w:tab w:val="left" w:pos="-720"/>
        </w:tabs>
        <w:jc w:val="both"/>
        <w:rPr>
          <w:rFonts w:eastAsia="Times New Roman" w:cs="Times New Roman"/>
          <w:sz w:val="20"/>
          <w:szCs w:val="20"/>
          <w:lang w:eastAsia="en-CA"/>
        </w:rPr>
      </w:pPr>
    </w:p>
    <w:p w:rsidR="008A7121" w:rsidRPr="008A7121" w:rsidRDefault="008A7121" w:rsidP="008A7121">
      <w:pPr>
        <w:tabs>
          <w:tab w:val="left" w:pos="-1440"/>
          <w:tab w:val="left" w:pos="-720"/>
        </w:tabs>
        <w:jc w:val="both"/>
        <w:rPr>
          <w:rFonts w:eastAsia="Times New Roman" w:cs="Times New Roman"/>
          <w:sz w:val="20"/>
          <w:szCs w:val="20"/>
          <w:lang w:val="fr-CA" w:eastAsia="en-CA"/>
        </w:rPr>
      </w:pPr>
      <w:r w:rsidRPr="008A7121">
        <w:rPr>
          <w:rFonts w:eastAsia="Times New Roman" w:cs="Times New Roman"/>
          <w:sz w:val="20"/>
          <w:szCs w:val="20"/>
          <w:lang w:val="fr-CA" w:eastAsia="en-CA"/>
        </w:rPr>
        <w:t>Before / Devant:   WAGNER J. / LE JUGE WAGNER</w:t>
      </w:r>
    </w:p>
    <w:p w:rsidR="008A7121" w:rsidRPr="008A7121" w:rsidRDefault="008A7121" w:rsidP="008A7121">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8A7121" w:rsidRPr="0063742E" w:rsidTr="005F50E0">
        <w:tc>
          <w:tcPr>
            <w:tcW w:w="4338" w:type="dxa"/>
            <w:gridSpan w:val="2"/>
          </w:tcPr>
          <w:p w:rsidR="008A7121" w:rsidRPr="008A7121" w:rsidRDefault="008A7121" w:rsidP="008A7121">
            <w:pPr>
              <w:jc w:val="both"/>
              <w:rPr>
                <w:b/>
              </w:rPr>
            </w:pPr>
            <w:r w:rsidRPr="008A7121">
              <w:rPr>
                <w:b/>
                <w:lang w:val="en-US"/>
              </w:rPr>
              <w:t xml:space="preserve">Order on interventions with respect to oral argument </w:t>
            </w:r>
            <w:r w:rsidR="009E7629" w:rsidRPr="008A7121">
              <w:rPr>
                <w:b/>
                <w:lang w:val="en-US"/>
              </w:rPr>
              <w:fldChar w:fldCharType="begin"/>
            </w:r>
            <w:r w:rsidRPr="008A7121">
              <w:rPr>
                <w:b/>
              </w:rPr>
              <w:instrText xml:space="preserve"> SEQ CHAPTER \h \r 1</w:instrText>
            </w:r>
            <w:r w:rsidR="009E7629" w:rsidRPr="008A7121">
              <w:rPr>
                <w:b/>
                <w:lang w:val="en-US"/>
              </w:rPr>
              <w:fldChar w:fldCharType="end"/>
            </w:r>
          </w:p>
        </w:tc>
        <w:tc>
          <w:tcPr>
            <w:tcW w:w="1170" w:type="dxa"/>
          </w:tcPr>
          <w:p w:rsidR="008A7121" w:rsidRPr="008A7121" w:rsidRDefault="008A7121" w:rsidP="008A7121"/>
          <w:p w:rsidR="008A7121" w:rsidRPr="008A7121" w:rsidRDefault="008A7121" w:rsidP="008A7121"/>
          <w:p w:rsidR="008A7121" w:rsidRPr="008A7121" w:rsidRDefault="008A7121" w:rsidP="008A7121"/>
        </w:tc>
        <w:tc>
          <w:tcPr>
            <w:tcW w:w="4327" w:type="dxa"/>
          </w:tcPr>
          <w:p w:rsidR="008A7121" w:rsidRPr="008A7121" w:rsidRDefault="008A7121" w:rsidP="008A7121">
            <w:pPr>
              <w:jc w:val="both"/>
              <w:rPr>
                <w:b/>
                <w:lang w:val="fr-CA"/>
              </w:rPr>
            </w:pPr>
            <w:r w:rsidRPr="008A7121">
              <w:rPr>
                <w:b/>
                <w:lang w:val="fr-CA"/>
              </w:rPr>
              <w:t>Ordonnance relative à la présentation d’une plaidoirie orale par les intervenants</w:t>
            </w:r>
            <w:r w:rsidR="009E7629" w:rsidRPr="008A7121">
              <w:rPr>
                <w:b/>
                <w:lang w:val="en-US"/>
              </w:rPr>
              <w:fldChar w:fldCharType="begin"/>
            </w:r>
            <w:r w:rsidRPr="008A7121">
              <w:rPr>
                <w:b/>
                <w:lang w:val="fr-CA"/>
              </w:rPr>
              <w:instrText xml:space="preserve"> SEQ CHAPTER \h \r 1</w:instrText>
            </w:r>
            <w:r w:rsidR="009E7629" w:rsidRPr="008A7121">
              <w:rPr>
                <w:b/>
                <w:lang w:val="en-US"/>
              </w:rPr>
              <w:fldChar w:fldCharType="end"/>
            </w:r>
          </w:p>
        </w:tc>
      </w:tr>
      <w:tr w:rsidR="008A7121" w:rsidRPr="008A7121" w:rsidTr="005F50E0">
        <w:trPr>
          <w:trHeight w:hRule="exact" w:val="360"/>
        </w:trPr>
        <w:tc>
          <w:tcPr>
            <w:tcW w:w="1368" w:type="dxa"/>
          </w:tcPr>
          <w:p w:rsidR="008A7121" w:rsidRPr="008A7121" w:rsidRDefault="008A7121" w:rsidP="008A7121">
            <w:r w:rsidRPr="008A7121">
              <w:t>RE:</w:t>
            </w:r>
          </w:p>
        </w:tc>
        <w:tc>
          <w:tcPr>
            <w:tcW w:w="2970" w:type="dxa"/>
          </w:tcPr>
          <w:p w:rsidR="008A7121" w:rsidRPr="008A7121" w:rsidRDefault="008A7121" w:rsidP="008A7121">
            <w:r w:rsidRPr="008A7121">
              <w:rPr>
                <w:lang w:val="en-US"/>
              </w:rPr>
              <w:t>Amnesty International Canada;</w:t>
            </w:r>
          </w:p>
        </w:tc>
        <w:tc>
          <w:tcPr>
            <w:tcW w:w="1170" w:type="dxa"/>
          </w:tcPr>
          <w:p w:rsidR="008A7121" w:rsidRPr="008A7121" w:rsidRDefault="008A7121" w:rsidP="008A7121"/>
        </w:tc>
        <w:tc>
          <w:tcPr>
            <w:tcW w:w="4327" w:type="dxa"/>
          </w:tcPr>
          <w:p w:rsidR="008A7121" w:rsidRPr="008A7121" w:rsidRDefault="008A7121" w:rsidP="008A7121"/>
        </w:tc>
      </w:tr>
      <w:tr w:rsidR="008A7121" w:rsidRPr="008A7121" w:rsidTr="005F50E0">
        <w:trPr>
          <w:trHeight w:hRule="exact" w:val="576"/>
        </w:trPr>
        <w:tc>
          <w:tcPr>
            <w:tcW w:w="1368" w:type="dxa"/>
          </w:tcPr>
          <w:p w:rsidR="008A7121" w:rsidRPr="008A7121" w:rsidRDefault="008A7121" w:rsidP="008A7121"/>
        </w:tc>
        <w:tc>
          <w:tcPr>
            <w:tcW w:w="2970" w:type="dxa"/>
          </w:tcPr>
          <w:p w:rsidR="008A7121" w:rsidRPr="008A7121" w:rsidRDefault="008A7121" w:rsidP="008A7121">
            <w:r w:rsidRPr="008A7121">
              <w:rPr>
                <w:lang w:val="en-US"/>
              </w:rPr>
              <w:t>Canadian Civil Liberties Association</w:t>
            </w:r>
          </w:p>
        </w:tc>
        <w:tc>
          <w:tcPr>
            <w:tcW w:w="1170" w:type="dxa"/>
          </w:tcPr>
          <w:p w:rsidR="008A7121" w:rsidRPr="008A7121" w:rsidRDefault="008A7121" w:rsidP="008A7121"/>
        </w:tc>
        <w:tc>
          <w:tcPr>
            <w:tcW w:w="4327" w:type="dxa"/>
          </w:tcPr>
          <w:p w:rsidR="008A7121" w:rsidRPr="008A7121" w:rsidRDefault="008A7121" w:rsidP="008A7121"/>
        </w:tc>
      </w:tr>
      <w:tr w:rsidR="008A7121" w:rsidRPr="008A7121" w:rsidTr="005F50E0">
        <w:tc>
          <w:tcPr>
            <w:tcW w:w="1368" w:type="dxa"/>
          </w:tcPr>
          <w:p w:rsidR="008A7121" w:rsidRPr="008A7121" w:rsidRDefault="008A7121" w:rsidP="008A7121"/>
        </w:tc>
        <w:tc>
          <w:tcPr>
            <w:tcW w:w="2970" w:type="dxa"/>
          </w:tcPr>
          <w:p w:rsidR="008A7121" w:rsidRPr="008A7121" w:rsidRDefault="008A7121" w:rsidP="008A7121"/>
        </w:tc>
        <w:tc>
          <w:tcPr>
            <w:tcW w:w="1170" w:type="dxa"/>
          </w:tcPr>
          <w:p w:rsidR="008A7121" w:rsidRPr="008A7121" w:rsidRDefault="008A7121" w:rsidP="008A7121"/>
        </w:tc>
        <w:tc>
          <w:tcPr>
            <w:tcW w:w="4327" w:type="dxa"/>
          </w:tcPr>
          <w:p w:rsidR="008A7121" w:rsidRPr="008A7121" w:rsidRDefault="008A7121" w:rsidP="008A7121"/>
        </w:tc>
      </w:tr>
      <w:tr w:rsidR="008A7121" w:rsidRPr="008A7121" w:rsidTr="005F50E0">
        <w:tc>
          <w:tcPr>
            <w:tcW w:w="1368" w:type="dxa"/>
          </w:tcPr>
          <w:p w:rsidR="008A7121" w:rsidRPr="008A7121" w:rsidRDefault="008A7121" w:rsidP="008A7121">
            <w:r w:rsidRPr="008A7121">
              <w:t>IN / DANS :</w:t>
            </w:r>
          </w:p>
        </w:tc>
        <w:tc>
          <w:tcPr>
            <w:tcW w:w="2970" w:type="dxa"/>
          </w:tcPr>
          <w:p w:rsidR="008A7121" w:rsidRPr="008A7121" w:rsidRDefault="008A7121" w:rsidP="008A7121">
            <w:r w:rsidRPr="008A7121">
              <w:t>David Pelham, Warden of the Bowden Institution et al.</w:t>
            </w:r>
          </w:p>
          <w:p w:rsidR="008A7121" w:rsidRPr="008A7121" w:rsidRDefault="008A7121" w:rsidP="008A7121"/>
          <w:p w:rsidR="008A7121" w:rsidRPr="008A7121" w:rsidRDefault="008A7121" w:rsidP="008A7121">
            <w:r w:rsidRPr="008A7121">
              <w:tab/>
              <w:t>v. (36081)</w:t>
            </w:r>
          </w:p>
          <w:p w:rsidR="008A7121" w:rsidRPr="008A7121" w:rsidRDefault="008A7121" w:rsidP="008A7121"/>
          <w:p w:rsidR="008A7121" w:rsidRPr="008A7121" w:rsidRDefault="008A7121" w:rsidP="008A7121">
            <w:r w:rsidRPr="008A7121">
              <w:t>Omar Ahmed Khadr (Crim.) (Alta.)</w:t>
            </w:r>
          </w:p>
        </w:tc>
        <w:tc>
          <w:tcPr>
            <w:tcW w:w="1170" w:type="dxa"/>
          </w:tcPr>
          <w:p w:rsidR="008A7121" w:rsidRPr="008A7121" w:rsidRDefault="008A7121" w:rsidP="008A7121"/>
        </w:tc>
        <w:tc>
          <w:tcPr>
            <w:tcW w:w="4327" w:type="dxa"/>
          </w:tcPr>
          <w:p w:rsidR="008A7121" w:rsidRPr="008A7121" w:rsidRDefault="008A7121" w:rsidP="008A7121"/>
        </w:tc>
      </w:tr>
    </w:tbl>
    <w:p w:rsidR="008A7121" w:rsidRPr="008A7121" w:rsidRDefault="008A7121" w:rsidP="008A7121">
      <w:pPr>
        <w:tabs>
          <w:tab w:val="left" w:pos="-1440"/>
          <w:tab w:val="left" w:pos="-720"/>
        </w:tabs>
        <w:jc w:val="both"/>
        <w:rPr>
          <w:rFonts w:eastAsia="Times New Roman" w:cs="Times New Roman"/>
          <w:sz w:val="20"/>
          <w:szCs w:val="20"/>
          <w:lang w:eastAsia="en-CA"/>
        </w:rPr>
      </w:pPr>
    </w:p>
    <w:p w:rsidR="008A7121" w:rsidRPr="008A7121" w:rsidRDefault="008A7121" w:rsidP="008A7121">
      <w:pPr>
        <w:spacing w:line="233" w:lineRule="auto"/>
        <w:jc w:val="both"/>
        <w:rPr>
          <w:rFonts w:eastAsia="Times New Roman" w:cs="Times New Roman"/>
          <w:b/>
          <w:bCs/>
          <w:sz w:val="20"/>
          <w:szCs w:val="20"/>
          <w:lang w:val="en-US" w:eastAsia="en-CA"/>
        </w:rPr>
      </w:pPr>
      <w:r w:rsidRPr="008A7121">
        <w:rPr>
          <w:rFonts w:eastAsia="Times New Roman" w:cs="Times New Roman"/>
          <w:b/>
          <w:bCs/>
          <w:sz w:val="20"/>
          <w:szCs w:val="20"/>
          <w:lang w:val="en-US" w:eastAsia="en-CA"/>
        </w:rPr>
        <w:t xml:space="preserve">FURTHER TO THE ORDER </w:t>
      </w:r>
      <w:r w:rsidRPr="008A7121">
        <w:rPr>
          <w:rFonts w:eastAsia="Times New Roman" w:cs="Times New Roman"/>
          <w:bCs/>
          <w:sz w:val="20"/>
          <w:szCs w:val="20"/>
          <w:lang w:val="en-US" w:eastAsia="en-CA"/>
        </w:rPr>
        <w:t>dated April 14, 2015, granting leave to intervene to</w:t>
      </w:r>
      <w:r w:rsidRPr="008A7121">
        <w:rPr>
          <w:rFonts w:eastAsia="Times New Roman" w:cs="Times New Roman"/>
          <w:sz w:val="20"/>
          <w:szCs w:val="20"/>
          <w:lang w:val="en-US" w:eastAsia="en-CA"/>
        </w:rPr>
        <w:t xml:space="preserve"> Amnesty International Canada and the Canadian Civil Liberties Association</w:t>
      </w:r>
      <w:r w:rsidRPr="008A7121">
        <w:rPr>
          <w:rFonts w:eastAsia="Times New Roman" w:cs="Times New Roman"/>
          <w:bCs/>
          <w:sz w:val="20"/>
          <w:szCs w:val="20"/>
          <w:lang w:val="en-US" w:eastAsia="en-CA"/>
        </w:rPr>
        <w:t>;</w:t>
      </w:r>
    </w:p>
    <w:p w:rsidR="008A7121" w:rsidRPr="008A7121" w:rsidRDefault="008A7121" w:rsidP="008A7121">
      <w:pPr>
        <w:spacing w:line="233" w:lineRule="auto"/>
        <w:jc w:val="both"/>
        <w:rPr>
          <w:rFonts w:eastAsia="Times New Roman" w:cs="Times New Roman"/>
          <w:b/>
          <w:bCs/>
          <w:sz w:val="20"/>
          <w:szCs w:val="20"/>
          <w:lang w:val="en-US" w:eastAsia="en-CA"/>
        </w:rPr>
      </w:pPr>
    </w:p>
    <w:p w:rsidR="008A7121" w:rsidRPr="008A7121" w:rsidRDefault="008A7121" w:rsidP="008A7121">
      <w:pPr>
        <w:spacing w:line="233" w:lineRule="auto"/>
        <w:jc w:val="both"/>
        <w:rPr>
          <w:rFonts w:eastAsia="Times New Roman" w:cs="Times New Roman"/>
          <w:b/>
          <w:bCs/>
          <w:sz w:val="20"/>
          <w:szCs w:val="20"/>
          <w:lang w:val="en-US" w:eastAsia="en-CA"/>
        </w:rPr>
      </w:pPr>
      <w:r w:rsidRPr="008A7121">
        <w:rPr>
          <w:rFonts w:eastAsia="Times New Roman" w:cs="Times New Roman"/>
          <w:b/>
          <w:bCs/>
          <w:sz w:val="20"/>
          <w:szCs w:val="20"/>
          <w:lang w:val="en-US" w:eastAsia="en-CA"/>
        </w:rPr>
        <w:t xml:space="preserve">IT IS HEREBY FURTHER ORDERED THAT: </w:t>
      </w:r>
    </w:p>
    <w:p w:rsidR="008A7121" w:rsidRPr="008A7121" w:rsidRDefault="008A7121" w:rsidP="008A7121">
      <w:pPr>
        <w:spacing w:line="233" w:lineRule="auto"/>
        <w:jc w:val="both"/>
        <w:rPr>
          <w:rFonts w:eastAsia="Times New Roman" w:cs="Times New Roman"/>
          <w:b/>
          <w:bCs/>
          <w:sz w:val="20"/>
          <w:szCs w:val="20"/>
          <w:lang w:val="en-US" w:eastAsia="en-CA"/>
        </w:rPr>
      </w:pPr>
    </w:p>
    <w:p w:rsidR="008A7121" w:rsidRPr="008A7121" w:rsidRDefault="008A7121" w:rsidP="008A7121">
      <w:pPr>
        <w:widowControl w:val="0"/>
        <w:numPr>
          <w:ilvl w:val="0"/>
          <w:numId w:val="8"/>
        </w:numPr>
        <w:autoSpaceDE w:val="0"/>
        <w:autoSpaceDN w:val="0"/>
        <w:adjustRightInd w:val="0"/>
        <w:spacing w:line="233" w:lineRule="auto"/>
        <w:contextualSpacing/>
        <w:jc w:val="both"/>
        <w:rPr>
          <w:rFonts w:cs="Times New Roman"/>
          <w:bCs/>
          <w:sz w:val="20"/>
          <w:szCs w:val="20"/>
        </w:rPr>
      </w:pPr>
      <w:r w:rsidRPr="008A7121">
        <w:rPr>
          <w:rFonts w:cs="Times New Roman"/>
          <w:sz w:val="20"/>
          <w:szCs w:val="20"/>
        </w:rPr>
        <w:t>Amnesty International Canada</w:t>
      </w:r>
      <w:r w:rsidRPr="008A7121">
        <w:rPr>
          <w:rFonts w:cs="Times New Roman"/>
          <w:bCs/>
          <w:sz w:val="20"/>
          <w:szCs w:val="20"/>
        </w:rPr>
        <w:t xml:space="preserve"> is granted permission to present oral argument not exceeding ten (10) minutes at the hearing of the appeal.</w:t>
      </w:r>
    </w:p>
    <w:p w:rsidR="008A7121" w:rsidRPr="008A7121" w:rsidRDefault="008A7121" w:rsidP="008A7121">
      <w:pPr>
        <w:spacing w:line="233" w:lineRule="auto"/>
        <w:jc w:val="both"/>
        <w:rPr>
          <w:rFonts w:eastAsia="Times New Roman" w:cs="Times New Roman"/>
          <w:bCs/>
          <w:sz w:val="20"/>
          <w:szCs w:val="20"/>
          <w:lang w:val="en-US" w:eastAsia="en-CA"/>
        </w:rPr>
      </w:pPr>
    </w:p>
    <w:p w:rsidR="008A7121" w:rsidRPr="008A7121" w:rsidRDefault="008A7121" w:rsidP="008A7121">
      <w:pPr>
        <w:widowControl w:val="0"/>
        <w:numPr>
          <w:ilvl w:val="0"/>
          <w:numId w:val="8"/>
        </w:numPr>
        <w:autoSpaceDE w:val="0"/>
        <w:autoSpaceDN w:val="0"/>
        <w:adjustRightInd w:val="0"/>
        <w:spacing w:line="233" w:lineRule="auto"/>
        <w:contextualSpacing/>
        <w:jc w:val="both"/>
        <w:rPr>
          <w:rFonts w:cs="Times New Roman"/>
          <w:sz w:val="20"/>
          <w:szCs w:val="20"/>
        </w:rPr>
      </w:pPr>
      <w:r w:rsidRPr="008A7121">
        <w:rPr>
          <w:rFonts w:cs="Times New Roman"/>
          <w:sz w:val="20"/>
          <w:szCs w:val="20"/>
        </w:rPr>
        <w:t>The factum of the Canadian Civil Liberties Association will be considered without the need for oral argument.</w:t>
      </w:r>
    </w:p>
    <w:p w:rsidR="008A7121" w:rsidRPr="008A7121" w:rsidRDefault="008A7121" w:rsidP="008A7121">
      <w:pPr>
        <w:spacing w:line="233" w:lineRule="auto"/>
        <w:jc w:val="both"/>
        <w:rPr>
          <w:rFonts w:eastAsia="Times New Roman" w:cs="Times New Roman"/>
          <w:sz w:val="20"/>
          <w:szCs w:val="20"/>
          <w:lang w:val="en-US" w:eastAsia="en-CA"/>
        </w:rPr>
      </w:pPr>
    </w:p>
    <w:p w:rsidR="008A7121" w:rsidRPr="008A7121" w:rsidRDefault="008A7121" w:rsidP="008A7121">
      <w:pPr>
        <w:spacing w:line="233" w:lineRule="auto"/>
        <w:jc w:val="both"/>
        <w:rPr>
          <w:rFonts w:eastAsia="Times New Roman" w:cs="Times New Roman"/>
          <w:sz w:val="20"/>
          <w:szCs w:val="20"/>
          <w:lang w:val="en-US" w:eastAsia="en-CA"/>
        </w:rPr>
      </w:pPr>
    </w:p>
    <w:p w:rsidR="008A7121" w:rsidRPr="008A7121" w:rsidRDefault="008A7121" w:rsidP="008A7121">
      <w:pPr>
        <w:spacing w:line="233" w:lineRule="auto"/>
        <w:jc w:val="both"/>
        <w:rPr>
          <w:rFonts w:eastAsia="Times New Roman" w:cs="Times New Roman"/>
          <w:sz w:val="20"/>
          <w:szCs w:val="20"/>
          <w:lang w:val="en-US" w:eastAsia="en-CA"/>
        </w:rPr>
      </w:pPr>
    </w:p>
    <w:p w:rsidR="008A7121" w:rsidRPr="008A7121" w:rsidRDefault="008A7121" w:rsidP="008A7121">
      <w:pPr>
        <w:spacing w:line="233" w:lineRule="auto"/>
        <w:jc w:val="both"/>
        <w:rPr>
          <w:rFonts w:eastAsia="Times New Roman" w:cs="Times New Roman"/>
          <w:bCs/>
          <w:sz w:val="20"/>
          <w:szCs w:val="20"/>
          <w:lang w:val="fr-CA" w:eastAsia="en-CA"/>
        </w:rPr>
      </w:pPr>
      <w:r w:rsidRPr="008A7121">
        <w:rPr>
          <w:rFonts w:eastAsia="Times New Roman" w:cs="Times New Roman"/>
          <w:b/>
          <w:bCs/>
          <w:sz w:val="20"/>
          <w:szCs w:val="20"/>
          <w:lang w:val="fr-CA" w:eastAsia="en-CA"/>
        </w:rPr>
        <w:t>À LA SUITE DE L’ORDONNANCE</w:t>
      </w:r>
      <w:r w:rsidRPr="008A7121">
        <w:rPr>
          <w:rFonts w:eastAsia="Times New Roman" w:cs="Times New Roman"/>
          <w:bCs/>
          <w:sz w:val="20"/>
          <w:szCs w:val="20"/>
          <w:lang w:val="fr-CA" w:eastAsia="en-CA"/>
        </w:rPr>
        <w:t xml:space="preserve"> datée du 14 avril 2015 autorisant Amnistie internationale (Canada) et l’Association canadienne des libertés civiles à intervenir;</w:t>
      </w:r>
    </w:p>
    <w:p w:rsidR="008A7121" w:rsidRPr="008A7121" w:rsidRDefault="008A7121" w:rsidP="008A7121">
      <w:pPr>
        <w:spacing w:line="233" w:lineRule="auto"/>
        <w:jc w:val="both"/>
        <w:rPr>
          <w:rFonts w:eastAsia="Times New Roman" w:cs="Times New Roman"/>
          <w:bCs/>
          <w:sz w:val="20"/>
          <w:szCs w:val="20"/>
          <w:lang w:val="fr-CA" w:eastAsia="en-CA"/>
        </w:rPr>
      </w:pPr>
    </w:p>
    <w:p w:rsidR="008A7121" w:rsidRPr="008A7121" w:rsidRDefault="008A7121" w:rsidP="008A7121">
      <w:pPr>
        <w:spacing w:line="233" w:lineRule="auto"/>
        <w:jc w:val="both"/>
        <w:rPr>
          <w:rFonts w:eastAsia="Times New Roman" w:cs="Times New Roman"/>
          <w:bCs/>
          <w:sz w:val="20"/>
          <w:szCs w:val="20"/>
          <w:lang w:val="fr-CA" w:eastAsia="en-CA"/>
        </w:rPr>
      </w:pPr>
      <w:r w:rsidRPr="008A7121">
        <w:rPr>
          <w:rFonts w:eastAsia="Times New Roman" w:cs="Times New Roman"/>
          <w:b/>
          <w:bCs/>
          <w:sz w:val="20"/>
          <w:szCs w:val="20"/>
          <w:lang w:val="fr-CA" w:eastAsia="en-CA"/>
        </w:rPr>
        <w:t>IL EST EN OUTRE ORDONNÉ CE QUI SUIT :</w:t>
      </w:r>
      <w:r w:rsidRPr="008A7121">
        <w:rPr>
          <w:rFonts w:eastAsia="Times New Roman" w:cs="Times New Roman"/>
          <w:bCs/>
          <w:sz w:val="20"/>
          <w:szCs w:val="20"/>
          <w:lang w:val="fr-CA" w:eastAsia="en-CA"/>
        </w:rPr>
        <w:t xml:space="preserve"> </w:t>
      </w:r>
    </w:p>
    <w:p w:rsidR="008A7121" w:rsidRPr="008A7121" w:rsidRDefault="008A7121" w:rsidP="008A7121">
      <w:pPr>
        <w:spacing w:line="233" w:lineRule="auto"/>
        <w:jc w:val="both"/>
        <w:rPr>
          <w:rFonts w:eastAsia="Times New Roman" w:cs="Times New Roman"/>
          <w:bCs/>
          <w:sz w:val="20"/>
          <w:szCs w:val="20"/>
          <w:lang w:val="fr-CA" w:eastAsia="en-CA"/>
        </w:rPr>
      </w:pPr>
    </w:p>
    <w:p w:rsidR="008A7121" w:rsidRPr="008A7121" w:rsidRDefault="008A7121" w:rsidP="008A7121">
      <w:pPr>
        <w:widowControl w:val="0"/>
        <w:numPr>
          <w:ilvl w:val="0"/>
          <w:numId w:val="10"/>
        </w:numPr>
        <w:autoSpaceDE w:val="0"/>
        <w:autoSpaceDN w:val="0"/>
        <w:adjustRightInd w:val="0"/>
        <w:spacing w:line="233" w:lineRule="auto"/>
        <w:contextualSpacing/>
        <w:jc w:val="both"/>
        <w:rPr>
          <w:rFonts w:cs="Times New Roman"/>
          <w:bCs/>
          <w:sz w:val="20"/>
          <w:szCs w:val="20"/>
          <w:lang w:val="fr-CA"/>
        </w:rPr>
      </w:pPr>
      <w:r w:rsidRPr="008A7121">
        <w:rPr>
          <w:rFonts w:cs="Times New Roman"/>
          <w:bCs/>
          <w:sz w:val="20"/>
          <w:szCs w:val="20"/>
          <w:lang w:val="fr-CA"/>
        </w:rPr>
        <w:t>Amnistie internationale (Canada) est autorisé à présenter une plaidoirie orale d’au plus dix (10) minutes lors de l’audition de l’appel.</w:t>
      </w:r>
    </w:p>
    <w:p w:rsidR="008A7121" w:rsidRPr="008A7121" w:rsidRDefault="008A7121" w:rsidP="008A7121">
      <w:pPr>
        <w:spacing w:line="233" w:lineRule="auto"/>
        <w:ind w:left="720"/>
        <w:contextualSpacing/>
        <w:jc w:val="both"/>
        <w:rPr>
          <w:rFonts w:cs="Times New Roman"/>
          <w:bCs/>
          <w:sz w:val="20"/>
          <w:szCs w:val="20"/>
          <w:lang w:val="fr-CA"/>
        </w:rPr>
      </w:pPr>
    </w:p>
    <w:p w:rsidR="008A7121" w:rsidRPr="008A7121" w:rsidRDefault="008A7121" w:rsidP="008A7121">
      <w:pPr>
        <w:widowControl w:val="0"/>
        <w:numPr>
          <w:ilvl w:val="0"/>
          <w:numId w:val="10"/>
        </w:numPr>
        <w:autoSpaceDE w:val="0"/>
        <w:autoSpaceDN w:val="0"/>
        <w:adjustRightInd w:val="0"/>
        <w:spacing w:line="233" w:lineRule="auto"/>
        <w:contextualSpacing/>
        <w:jc w:val="both"/>
        <w:rPr>
          <w:rFonts w:cs="Times New Roman"/>
          <w:bCs/>
          <w:sz w:val="20"/>
          <w:szCs w:val="20"/>
          <w:lang w:val="fr-CA"/>
        </w:rPr>
      </w:pPr>
      <w:r w:rsidRPr="008A7121">
        <w:rPr>
          <w:rFonts w:cs="Times New Roman"/>
          <w:bCs/>
          <w:sz w:val="20"/>
          <w:szCs w:val="20"/>
          <w:lang w:val="fr-CA"/>
        </w:rPr>
        <w:t>Le mémoire de l’Association canadienne des libertés civiles sera examiné sans qu’il soit nécessaire qu’elle présente une plaidoirie orale.</w:t>
      </w:r>
    </w:p>
    <w:p w:rsidR="008A7121" w:rsidRPr="008A7121" w:rsidRDefault="008A7121" w:rsidP="008A7121">
      <w:pPr>
        <w:tabs>
          <w:tab w:val="left" w:pos="-1440"/>
          <w:tab w:val="left" w:pos="-720"/>
        </w:tabs>
        <w:jc w:val="both"/>
        <w:rPr>
          <w:rFonts w:eastAsia="Times New Roman" w:cs="Times New Roman"/>
          <w:sz w:val="20"/>
          <w:szCs w:val="20"/>
          <w:lang w:val="fr-CA" w:eastAsia="en-CA"/>
        </w:rPr>
      </w:pPr>
    </w:p>
    <w:p w:rsidR="008A7121" w:rsidRPr="008A7121" w:rsidRDefault="007F638F" w:rsidP="008A7121">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2" style="width:2in;height:1pt" o:hrpct="0" o:hralign="center" o:hrstd="t" o:hrnoshade="t" o:hr="t" fillcolor="black [3213]" stroked="f"/>
        </w:pict>
      </w:r>
    </w:p>
    <w:p w:rsidR="008A7121" w:rsidRPr="008A7121" w:rsidRDefault="008A7121" w:rsidP="008A7121">
      <w:pPr>
        <w:tabs>
          <w:tab w:val="left" w:pos="-1440"/>
          <w:tab w:val="left" w:pos="-720"/>
        </w:tabs>
        <w:jc w:val="both"/>
        <w:rPr>
          <w:rFonts w:eastAsia="Times New Roman" w:cs="Times New Roman"/>
          <w:sz w:val="20"/>
          <w:szCs w:val="20"/>
          <w:lang w:eastAsia="en-CA"/>
        </w:rPr>
      </w:pPr>
    </w:p>
    <w:p w:rsidR="008A7121" w:rsidRDefault="008A7121">
      <w:pPr>
        <w:rPr>
          <w:rFonts w:eastAsia="Times New Roman" w:cs="Times New Roman"/>
          <w:sz w:val="20"/>
          <w:szCs w:val="20"/>
          <w:lang w:eastAsia="en-CA"/>
        </w:rPr>
      </w:pPr>
      <w:r>
        <w:rPr>
          <w:rFonts w:eastAsia="Times New Roman" w:cs="Times New Roman"/>
          <w:sz w:val="20"/>
          <w:szCs w:val="20"/>
          <w:lang w:eastAsia="en-CA"/>
        </w:rPr>
        <w:br w:type="page"/>
      </w:r>
    </w:p>
    <w:p w:rsidR="008A7121" w:rsidRPr="008A7121" w:rsidRDefault="008A7121" w:rsidP="008A7121">
      <w:pPr>
        <w:tabs>
          <w:tab w:val="left" w:pos="-1440"/>
          <w:tab w:val="left" w:pos="-720"/>
        </w:tabs>
        <w:jc w:val="both"/>
        <w:rPr>
          <w:rFonts w:eastAsia="Times New Roman" w:cs="Times New Roman"/>
          <w:sz w:val="20"/>
          <w:szCs w:val="20"/>
          <w:lang w:eastAsia="en-CA"/>
        </w:rPr>
      </w:pPr>
      <w:r w:rsidRPr="008A7121">
        <w:rPr>
          <w:rFonts w:eastAsia="Times New Roman" w:cs="Times New Roman"/>
          <w:sz w:val="20"/>
          <w:szCs w:val="20"/>
          <w:lang w:eastAsia="en-CA"/>
        </w:rPr>
        <w:lastRenderedPageBreak/>
        <w:t>13.05.2015</w:t>
      </w:r>
    </w:p>
    <w:p w:rsidR="008A7121" w:rsidRPr="008A7121" w:rsidRDefault="008A7121" w:rsidP="008A7121">
      <w:pPr>
        <w:tabs>
          <w:tab w:val="left" w:pos="-1440"/>
          <w:tab w:val="left" w:pos="-720"/>
        </w:tabs>
        <w:jc w:val="both"/>
        <w:rPr>
          <w:rFonts w:eastAsia="Times New Roman" w:cs="Times New Roman"/>
          <w:sz w:val="20"/>
          <w:szCs w:val="20"/>
          <w:lang w:eastAsia="en-CA"/>
        </w:rPr>
      </w:pPr>
    </w:p>
    <w:p w:rsidR="008A7121" w:rsidRPr="008A7121" w:rsidRDefault="008A7121" w:rsidP="008A7121">
      <w:pPr>
        <w:tabs>
          <w:tab w:val="left" w:pos="-1440"/>
          <w:tab w:val="left" w:pos="-720"/>
        </w:tabs>
        <w:jc w:val="both"/>
        <w:rPr>
          <w:rFonts w:eastAsia="Times New Roman" w:cs="Times New Roman"/>
          <w:sz w:val="20"/>
          <w:szCs w:val="20"/>
          <w:lang w:eastAsia="en-CA"/>
        </w:rPr>
      </w:pPr>
      <w:r w:rsidRPr="008A7121">
        <w:rPr>
          <w:rFonts w:eastAsia="Times New Roman" w:cs="Times New Roman"/>
          <w:sz w:val="20"/>
          <w:szCs w:val="20"/>
          <w:lang w:eastAsia="en-CA"/>
        </w:rPr>
        <w:t>Before / Devant:   THE REGISTRAR / LE REGISTRAIRE</w:t>
      </w:r>
    </w:p>
    <w:p w:rsidR="008A7121" w:rsidRPr="008A7121" w:rsidRDefault="008A7121" w:rsidP="008A7121">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8A7121" w:rsidRPr="008A7121" w:rsidTr="005F50E0">
        <w:trPr>
          <w:trHeight w:val="151"/>
        </w:trPr>
        <w:tc>
          <w:tcPr>
            <w:tcW w:w="4338" w:type="dxa"/>
          </w:tcPr>
          <w:p w:rsidR="008A7121" w:rsidRPr="008A7121" w:rsidRDefault="009E7629" w:rsidP="008A7121">
            <w:pPr>
              <w:tabs>
                <w:tab w:val="left" w:pos="-1440"/>
                <w:tab w:val="left" w:pos="-720"/>
              </w:tabs>
              <w:jc w:val="both"/>
              <w:rPr>
                <w:b/>
                <w:bCs/>
              </w:rPr>
            </w:pPr>
            <w:r w:rsidRPr="008A7121">
              <w:rPr>
                <w:lang w:val="en-US"/>
              </w:rPr>
              <w:fldChar w:fldCharType="begin"/>
            </w:r>
            <w:r w:rsidR="008A7121" w:rsidRPr="008A7121">
              <w:instrText xml:space="preserve"> SEQ CHAPTER \h \r 1</w:instrText>
            </w:r>
            <w:r w:rsidRPr="008A7121">
              <w:rPr>
                <w:lang w:val="en-US"/>
              </w:rPr>
              <w:fldChar w:fldCharType="end"/>
            </w:r>
            <w:r w:rsidR="008A7121" w:rsidRPr="008A7121">
              <w:rPr>
                <w:b/>
                <w:bCs/>
              </w:rPr>
              <w:t>Miscellaneous motion</w:t>
            </w:r>
          </w:p>
          <w:p w:rsidR="008A7121" w:rsidRPr="008A7121" w:rsidRDefault="009E7629" w:rsidP="008A7121">
            <w:pPr>
              <w:tabs>
                <w:tab w:val="left" w:pos="-1440"/>
                <w:tab w:val="left" w:pos="-720"/>
              </w:tabs>
              <w:jc w:val="both"/>
            </w:pPr>
            <w:r w:rsidRPr="008A7121">
              <w:rPr>
                <w:lang w:val="en-US"/>
              </w:rPr>
              <w:fldChar w:fldCharType="begin"/>
            </w:r>
            <w:r w:rsidR="008A7121" w:rsidRPr="008A7121">
              <w:instrText xml:space="preserve"> SEQ CHAPTER \h \r 1</w:instrText>
            </w:r>
            <w:r w:rsidRPr="008A7121">
              <w:rPr>
                <w:lang w:val="en-US"/>
              </w:rPr>
              <w:fldChar w:fldCharType="end"/>
            </w:r>
          </w:p>
        </w:tc>
        <w:tc>
          <w:tcPr>
            <w:tcW w:w="1170" w:type="dxa"/>
          </w:tcPr>
          <w:p w:rsidR="008A7121" w:rsidRPr="008A7121" w:rsidRDefault="008A7121" w:rsidP="008A7121">
            <w:pPr>
              <w:jc w:val="both"/>
            </w:pPr>
          </w:p>
          <w:p w:rsidR="008A7121" w:rsidRPr="008A7121" w:rsidRDefault="008A7121" w:rsidP="008A7121">
            <w:pPr>
              <w:jc w:val="both"/>
            </w:pPr>
          </w:p>
        </w:tc>
        <w:tc>
          <w:tcPr>
            <w:tcW w:w="4327" w:type="dxa"/>
          </w:tcPr>
          <w:p w:rsidR="008A7121" w:rsidRPr="008A7121" w:rsidRDefault="009E7629" w:rsidP="008A7121">
            <w:pPr>
              <w:jc w:val="both"/>
              <w:rPr>
                <w:b/>
                <w:bCs/>
                <w:lang w:val="fr-CA"/>
              </w:rPr>
            </w:pPr>
            <w:r w:rsidRPr="008A7121">
              <w:rPr>
                <w:lang w:val="en-US"/>
              </w:rPr>
              <w:fldChar w:fldCharType="begin"/>
            </w:r>
            <w:r w:rsidR="008A7121" w:rsidRPr="008A7121">
              <w:rPr>
                <w:lang w:val="fr-CA"/>
              </w:rPr>
              <w:instrText xml:space="preserve"> SEQ CHAPTER \h \r 1</w:instrText>
            </w:r>
            <w:r w:rsidRPr="008A7121">
              <w:rPr>
                <w:lang w:val="en-US"/>
              </w:rPr>
              <w:fldChar w:fldCharType="end"/>
            </w:r>
            <w:r w:rsidR="008A7121" w:rsidRPr="008A7121">
              <w:rPr>
                <w:b/>
                <w:bCs/>
                <w:lang w:val="fr-CA"/>
              </w:rPr>
              <w:t>Requête diverse</w:t>
            </w:r>
          </w:p>
          <w:p w:rsidR="008A7121" w:rsidRPr="008A7121" w:rsidRDefault="009E7629" w:rsidP="008A7121">
            <w:pPr>
              <w:jc w:val="both"/>
              <w:rPr>
                <w:b/>
                <w:lang w:val="fr-CA"/>
              </w:rPr>
            </w:pPr>
            <w:r w:rsidRPr="008A7121">
              <w:rPr>
                <w:b/>
                <w:lang w:val="en-US"/>
              </w:rPr>
              <w:fldChar w:fldCharType="begin"/>
            </w:r>
            <w:r w:rsidR="008A7121" w:rsidRPr="008A7121">
              <w:rPr>
                <w:b/>
                <w:lang w:val="fr-CA"/>
              </w:rPr>
              <w:instrText xml:space="preserve"> SEQ CHAPTER \h \r 1</w:instrText>
            </w:r>
            <w:r w:rsidRPr="008A7121">
              <w:rPr>
                <w:b/>
                <w:lang w:val="en-US"/>
              </w:rPr>
              <w:fldChar w:fldCharType="end"/>
            </w:r>
            <w:r w:rsidRPr="008A7121">
              <w:rPr>
                <w:b/>
                <w:lang w:val="en-US"/>
              </w:rPr>
              <w:fldChar w:fldCharType="begin"/>
            </w:r>
            <w:r w:rsidR="008A7121" w:rsidRPr="008A7121">
              <w:rPr>
                <w:b/>
                <w:lang w:val="fr-CA"/>
              </w:rPr>
              <w:instrText xml:space="preserve"> SEQ CHAPTER \h \r 1</w:instrText>
            </w:r>
            <w:r w:rsidRPr="008A7121">
              <w:rPr>
                <w:b/>
                <w:lang w:val="en-US"/>
              </w:rPr>
              <w:fldChar w:fldCharType="end"/>
            </w:r>
          </w:p>
        </w:tc>
      </w:tr>
      <w:tr w:rsidR="008A7121" w:rsidRPr="008A7121" w:rsidTr="005F50E0">
        <w:trPr>
          <w:trHeight w:val="150"/>
        </w:trPr>
        <w:tc>
          <w:tcPr>
            <w:tcW w:w="4338" w:type="dxa"/>
          </w:tcPr>
          <w:p w:rsidR="008A7121" w:rsidRPr="008A7121" w:rsidRDefault="008A7121" w:rsidP="008A7121">
            <w:pPr>
              <w:tabs>
                <w:tab w:val="left" w:pos="-1440"/>
                <w:tab w:val="left" w:pos="-720"/>
              </w:tabs>
              <w:jc w:val="both"/>
            </w:pPr>
            <w:r w:rsidRPr="008A7121">
              <w:t>Rajinder Dheensaw</w:t>
            </w:r>
          </w:p>
          <w:p w:rsidR="008A7121" w:rsidRPr="008A7121" w:rsidRDefault="008A7121" w:rsidP="008A7121">
            <w:pPr>
              <w:tabs>
                <w:tab w:val="left" w:pos="-1440"/>
                <w:tab w:val="left" w:pos="-720"/>
              </w:tabs>
              <w:jc w:val="both"/>
            </w:pPr>
          </w:p>
          <w:p w:rsidR="008A7121" w:rsidRPr="008A7121" w:rsidRDefault="008A7121" w:rsidP="008A7121">
            <w:pPr>
              <w:tabs>
                <w:tab w:val="left" w:pos="-1440"/>
                <w:tab w:val="left" w:pos="-720"/>
              </w:tabs>
              <w:jc w:val="both"/>
            </w:pPr>
            <w:r w:rsidRPr="008A7121">
              <w:tab/>
              <w:t>v. (36322)</w:t>
            </w:r>
          </w:p>
          <w:p w:rsidR="008A7121" w:rsidRPr="008A7121" w:rsidRDefault="008A7121" w:rsidP="008A7121">
            <w:pPr>
              <w:tabs>
                <w:tab w:val="left" w:pos="-1440"/>
                <w:tab w:val="left" w:pos="-720"/>
              </w:tabs>
              <w:jc w:val="both"/>
            </w:pPr>
          </w:p>
          <w:p w:rsidR="008A7121" w:rsidRPr="008A7121" w:rsidRDefault="008A7121" w:rsidP="008A7121">
            <w:pPr>
              <w:tabs>
                <w:tab w:val="left" w:pos="-1440"/>
                <w:tab w:val="left" w:pos="-720"/>
              </w:tabs>
              <w:jc w:val="both"/>
              <w:rPr>
                <w:lang w:val="fr-CA"/>
              </w:rPr>
            </w:pPr>
            <w:r w:rsidRPr="008A7121">
              <w:t xml:space="preserve">Saanich Police Department, Chief Constable Michael Chadwick et al. </w:t>
            </w:r>
            <w:r w:rsidRPr="008A7121">
              <w:rPr>
                <w:lang w:val="fr-CA"/>
              </w:rPr>
              <w:t>(B.C.)</w:t>
            </w:r>
          </w:p>
        </w:tc>
        <w:tc>
          <w:tcPr>
            <w:tcW w:w="1170" w:type="dxa"/>
          </w:tcPr>
          <w:p w:rsidR="008A7121" w:rsidRPr="008A7121" w:rsidRDefault="008A7121" w:rsidP="008A7121">
            <w:pPr>
              <w:jc w:val="both"/>
              <w:rPr>
                <w:lang w:val="fr-CA"/>
              </w:rPr>
            </w:pPr>
          </w:p>
        </w:tc>
        <w:tc>
          <w:tcPr>
            <w:tcW w:w="4327" w:type="dxa"/>
          </w:tcPr>
          <w:p w:rsidR="008A7121" w:rsidRPr="008A7121" w:rsidRDefault="008A7121" w:rsidP="008A7121">
            <w:pPr>
              <w:jc w:val="both"/>
              <w:rPr>
                <w:lang w:val="fr-CA"/>
              </w:rPr>
            </w:pPr>
          </w:p>
        </w:tc>
      </w:tr>
    </w:tbl>
    <w:p w:rsidR="008A7121" w:rsidRPr="008A7121" w:rsidRDefault="008A7121" w:rsidP="008A7121">
      <w:pPr>
        <w:tabs>
          <w:tab w:val="left" w:pos="-1440"/>
          <w:tab w:val="left" w:pos="-720"/>
        </w:tabs>
        <w:jc w:val="both"/>
        <w:rPr>
          <w:rFonts w:eastAsia="Times New Roman" w:cs="Times New Roman"/>
          <w:sz w:val="20"/>
          <w:szCs w:val="20"/>
          <w:lang w:val="fr-CA" w:eastAsia="en-CA"/>
        </w:rPr>
      </w:pPr>
    </w:p>
    <w:p w:rsidR="008A7121" w:rsidRPr="008A7121" w:rsidRDefault="008A7121" w:rsidP="008A7121">
      <w:pPr>
        <w:tabs>
          <w:tab w:val="left" w:pos="-1440"/>
          <w:tab w:val="left" w:pos="-720"/>
        </w:tabs>
        <w:jc w:val="both"/>
        <w:rPr>
          <w:rFonts w:eastAsia="Times New Roman" w:cs="Times New Roman"/>
          <w:sz w:val="20"/>
          <w:szCs w:val="20"/>
          <w:lang w:val="fr-CA" w:eastAsia="en-CA"/>
        </w:rPr>
      </w:pPr>
      <w:r w:rsidRPr="008A7121">
        <w:rPr>
          <w:rFonts w:eastAsia="Times New Roman" w:cs="Times New Roman"/>
          <w:b/>
          <w:sz w:val="20"/>
          <w:szCs w:val="20"/>
          <w:lang w:val="fr-CA" w:eastAsia="en-CA"/>
        </w:rPr>
        <w:t>DISMISSED / REJETÉE</w:t>
      </w:r>
    </w:p>
    <w:p w:rsidR="008A7121" w:rsidRPr="008A7121" w:rsidRDefault="008A7121" w:rsidP="008A7121">
      <w:pPr>
        <w:tabs>
          <w:tab w:val="left" w:pos="-1440"/>
          <w:tab w:val="left" w:pos="-720"/>
        </w:tabs>
        <w:jc w:val="both"/>
        <w:rPr>
          <w:rFonts w:eastAsia="Times New Roman" w:cs="Times New Roman"/>
          <w:sz w:val="20"/>
          <w:szCs w:val="20"/>
          <w:lang w:val="fr-CA" w:eastAsia="en-CA"/>
        </w:rPr>
      </w:pPr>
    </w:p>
    <w:p w:rsidR="008A7121" w:rsidRPr="008A7121" w:rsidRDefault="008A7121" w:rsidP="008A7121">
      <w:pPr>
        <w:jc w:val="both"/>
        <w:rPr>
          <w:rFonts w:eastAsia="Times New Roman" w:cs="Times New Roman"/>
          <w:sz w:val="20"/>
          <w:szCs w:val="20"/>
          <w:lang w:val="en-US" w:eastAsia="en-CA"/>
        </w:rPr>
      </w:pPr>
      <w:r w:rsidRPr="008A7121">
        <w:rPr>
          <w:rFonts w:eastAsia="Times New Roman" w:cs="Times New Roman"/>
          <w:b/>
          <w:sz w:val="20"/>
          <w:szCs w:val="20"/>
          <w:lang w:val="en-US" w:eastAsia="en-CA"/>
        </w:rPr>
        <w:t>UPON APPLICATION</w:t>
      </w:r>
      <w:r w:rsidRPr="008A7121">
        <w:rPr>
          <w:rFonts w:eastAsia="Times New Roman" w:cs="Times New Roman"/>
          <w:sz w:val="20"/>
          <w:szCs w:val="20"/>
          <w:lang w:val="en-US" w:eastAsia="en-CA"/>
        </w:rPr>
        <w:t xml:space="preserve"> </w:t>
      </w:r>
      <w:r w:rsidR="009E7629" w:rsidRPr="008A7121">
        <w:rPr>
          <w:rFonts w:eastAsia="Times New Roman" w:cs="Times New Roman"/>
          <w:sz w:val="20"/>
          <w:szCs w:val="20"/>
          <w:lang w:val="en-US" w:eastAsia="en-CA"/>
        </w:rPr>
        <w:fldChar w:fldCharType="begin"/>
      </w:r>
      <w:r w:rsidRPr="008A7121">
        <w:rPr>
          <w:rFonts w:eastAsia="Times New Roman" w:cs="Times New Roman"/>
          <w:sz w:val="20"/>
          <w:szCs w:val="20"/>
          <w:lang w:val="en-US" w:eastAsia="en-CA"/>
        </w:rPr>
        <w:instrText xml:space="preserve"> SEQ CHAPTER \h \r 1</w:instrText>
      </w:r>
      <w:r w:rsidR="009E7629" w:rsidRPr="008A7121">
        <w:rPr>
          <w:rFonts w:eastAsia="Times New Roman" w:cs="Times New Roman"/>
          <w:sz w:val="20"/>
          <w:szCs w:val="20"/>
          <w:lang w:val="en-US" w:eastAsia="en-CA"/>
        </w:rPr>
        <w:fldChar w:fldCharType="end"/>
      </w:r>
      <w:r w:rsidRPr="008A7121">
        <w:rPr>
          <w:rFonts w:eastAsia="Times New Roman" w:cs="Times New Roman"/>
          <w:sz w:val="20"/>
          <w:szCs w:val="20"/>
          <w:lang w:val="en-US" w:eastAsia="en-CA"/>
        </w:rPr>
        <w:t xml:space="preserve">by the applicant pursuant to the provisions of Rule 32(2) for an order to file additional materials, namely: </w:t>
      </w:r>
    </w:p>
    <w:p w:rsidR="008A7121" w:rsidRPr="008A7121" w:rsidRDefault="008A7121" w:rsidP="008A7121">
      <w:pPr>
        <w:jc w:val="both"/>
        <w:rPr>
          <w:rFonts w:eastAsia="Times New Roman" w:cs="Times New Roman"/>
          <w:sz w:val="20"/>
          <w:szCs w:val="20"/>
          <w:lang w:val="en-US" w:eastAsia="en-CA"/>
        </w:rPr>
      </w:pPr>
    </w:p>
    <w:p w:rsidR="008A7121" w:rsidRPr="008A7121" w:rsidRDefault="008A7121" w:rsidP="008A7121">
      <w:pPr>
        <w:numPr>
          <w:ilvl w:val="0"/>
          <w:numId w:val="7"/>
        </w:numPr>
        <w:contextualSpacing/>
        <w:jc w:val="both"/>
        <w:rPr>
          <w:rFonts w:cs="Times New Roman"/>
          <w:sz w:val="20"/>
          <w:szCs w:val="20"/>
        </w:rPr>
      </w:pPr>
      <w:r w:rsidRPr="008A7121">
        <w:rPr>
          <w:rFonts w:cs="Times New Roman"/>
          <w:sz w:val="20"/>
          <w:szCs w:val="20"/>
        </w:rPr>
        <w:t xml:space="preserve">A motion for new evidence; and </w:t>
      </w:r>
    </w:p>
    <w:p w:rsidR="008A7121" w:rsidRPr="008A7121" w:rsidRDefault="008A7121" w:rsidP="008A7121">
      <w:pPr>
        <w:numPr>
          <w:ilvl w:val="0"/>
          <w:numId w:val="7"/>
        </w:numPr>
        <w:contextualSpacing/>
        <w:jc w:val="both"/>
        <w:rPr>
          <w:rFonts w:cs="Times New Roman"/>
          <w:sz w:val="20"/>
          <w:szCs w:val="20"/>
        </w:rPr>
      </w:pPr>
      <w:r w:rsidRPr="008A7121">
        <w:rPr>
          <w:rFonts w:cs="Times New Roman"/>
          <w:sz w:val="20"/>
          <w:szCs w:val="20"/>
        </w:rPr>
        <w:t>Correspondence adding a new ground to the application for leave to appeal;</w:t>
      </w:r>
    </w:p>
    <w:p w:rsidR="008A7121" w:rsidRPr="008A7121" w:rsidRDefault="008A7121" w:rsidP="008A7121">
      <w:pPr>
        <w:autoSpaceDE w:val="0"/>
        <w:autoSpaceDN w:val="0"/>
        <w:adjustRightInd w:val="0"/>
        <w:jc w:val="both"/>
        <w:rPr>
          <w:rFonts w:eastAsia="Times New Roman" w:cs="Times New Roman"/>
          <w:sz w:val="20"/>
          <w:szCs w:val="20"/>
          <w:lang w:val="en-US" w:eastAsia="en-CA"/>
        </w:rPr>
      </w:pPr>
    </w:p>
    <w:p w:rsidR="008A7121" w:rsidRPr="008A7121" w:rsidRDefault="009E7629" w:rsidP="008A7121">
      <w:pPr>
        <w:jc w:val="both"/>
        <w:rPr>
          <w:rFonts w:eastAsia="Times New Roman" w:cs="Times New Roman"/>
          <w:sz w:val="20"/>
          <w:szCs w:val="20"/>
          <w:lang w:val="en-US" w:eastAsia="en-CA"/>
        </w:rPr>
      </w:pPr>
      <w:r w:rsidRPr="008A7121">
        <w:rPr>
          <w:rFonts w:eastAsia="Times New Roman" w:cs="Times New Roman"/>
          <w:sz w:val="20"/>
          <w:szCs w:val="20"/>
          <w:lang w:val="en-US" w:eastAsia="en-CA"/>
        </w:rPr>
        <w:fldChar w:fldCharType="begin"/>
      </w:r>
      <w:r w:rsidR="008A7121" w:rsidRPr="008A7121">
        <w:rPr>
          <w:rFonts w:eastAsia="Times New Roman" w:cs="Times New Roman"/>
          <w:sz w:val="20"/>
          <w:szCs w:val="20"/>
          <w:lang w:val="en-US" w:eastAsia="en-CA"/>
        </w:rPr>
        <w:instrText xml:space="preserve"> SEQ CHAPTER \h \r 1</w:instrText>
      </w:r>
      <w:r w:rsidRPr="008A7121">
        <w:rPr>
          <w:rFonts w:eastAsia="Times New Roman" w:cs="Times New Roman"/>
          <w:sz w:val="20"/>
          <w:szCs w:val="20"/>
          <w:lang w:val="en-US" w:eastAsia="en-CA"/>
        </w:rPr>
        <w:fldChar w:fldCharType="end"/>
      </w:r>
      <w:r w:rsidR="008A7121" w:rsidRPr="008A7121">
        <w:rPr>
          <w:rFonts w:eastAsia="Times New Roman" w:cs="Times New Roman"/>
          <w:b/>
          <w:bCs/>
          <w:sz w:val="20"/>
          <w:szCs w:val="20"/>
          <w:lang w:val="en-US" w:eastAsia="en-CA"/>
        </w:rPr>
        <w:t xml:space="preserve">AND THE MATERIAL FILED </w:t>
      </w:r>
      <w:r w:rsidR="008A7121" w:rsidRPr="008A7121">
        <w:rPr>
          <w:rFonts w:eastAsia="Times New Roman" w:cs="Times New Roman"/>
          <w:bCs/>
          <w:sz w:val="20"/>
          <w:szCs w:val="20"/>
          <w:lang w:val="en-US" w:eastAsia="en-CA"/>
        </w:rPr>
        <w:t>having been read</w:t>
      </w:r>
      <w:r w:rsidR="008A7121" w:rsidRPr="008A7121">
        <w:rPr>
          <w:rFonts w:eastAsia="Times New Roman" w:cs="Times New Roman"/>
          <w:sz w:val="20"/>
          <w:szCs w:val="20"/>
          <w:lang w:val="en-US" w:eastAsia="en-CA"/>
        </w:rPr>
        <w:t>;</w:t>
      </w:r>
    </w:p>
    <w:p w:rsidR="008A7121" w:rsidRPr="008A7121" w:rsidRDefault="008A7121" w:rsidP="008A7121">
      <w:pPr>
        <w:jc w:val="both"/>
        <w:rPr>
          <w:rFonts w:eastAsia="Times New Roman" w:cs="Times New Roman"/>
          <w:sz w:val="20"/>
          <w:szCs w:val="20"/>
          <w:lang w:val="en-US" w:eastAsia="en-CA"/>
        </w:rPr>
      </w:pPr>
    </w:p>
    <w:p w:rsidR="008A7121" w:rsidRPr="008A7121" w:rsidRDefault="008A7121" w:rsidP="008A7121">
      <w:pPr>
        <w:jc w:val="both"/>
        <w:rPr>
          <w:rFonts w:eastAsia="Times New Roman" w:cs="Times New Roman"/>
          <w:b/>
          <w:sz w:val="20"/>
          <w:szCs w:val="20"/>
          <w:lang w:val="en-US" w:eastAsia="en-CA"/>
        </w:rPr>
      </w:pPr>
      <w:r w:rsidRPr="008A7121">
        <w:rPr>
          <w:rFonts w:eastAsia="Times New Roman" w:cs="Times New Roman"/>
          <w:b/>
          <w:sz w:val="20"/>
          <w:szCs w:val="20"/>
          <w:lang w:val="en-US" w:eastAsia="en-CA"/>
        </w:rPr>
        <w:t>IT IS HEREBY ORDERED THAT:</w:t>
      </w:r>
    </w:p>
    <w:p w:rsidR="008A7121" w:rsidRPr="008A7121" w:rsidRDefault="008A7121" w:rsidP="008A7121">
      <w:pPr>
        <w:ind w:left="360"/>
        <w:contextualSpacing/>
        <w:jc w:val="both"/>
        <w:rPr>
          <w:sz w:val="20"/>
          <w:szCs w:val="20"/>
        </w:rPr>
      </w:pPr>
    </w:p>
    <w:p w:rsidR="008A7121" w:rsidRPr="008A7121" w:rsidRDefault="008A7121" w:rsidP="008A7121">
      <w:pPr>
        <w:jc w:val="both"/>
        <w:rPr>
          <w:rFonts w:eastAsia="Times New Roman" w:cs="Times New Roman"/>
          <w:sz w:val="20"/>
          <w:szCs w:val="20"/>
          <w:lang w:val="en-US" w:eastAsia="en-CA"/>
        </w:rPr>
      </w:pPr>
      <w:r w:rsidRPr="008A7121">
        <w:rPr>
          <w:rFonts w:eastAsia="Times New Roman" w:cs="Times New Roman"/>
          <w:sz w:val="20"/>
          <w:szCs w:val="20"/>
          <w:lang w:val="en-US" w:eastAsia="en-CA"/>
        </w:rPr>
        <w:t xml:space="preserve">The motion to file additional materials is dismissed. </w:t>
      </w:r>
    </w:p>
    <w:p w:rsidR="008A7121" w:rsidRPr="008A7121" w:rsidRDefault="008A7121" w:rsidP="008A7121">
      <w:pPr>
        <w:jc w:val="both"/>
        <w:rPr>
          <w:rFonts w:eastAsia="Times New Roman" w:cs="Times New Roman"/>
          <w:sz w:val="20"/>
          <w:szCs w:val="20"/>
          <w:lang w:val="en-US" w:eastAsia="en-CA"/>
        </w:rPr>
      </w:pPr>
    </w:p>
    <w:p w:rsidR="008A7121" w:rsidRPr="008A7121" w:rsidRDefault="008A7121" w:rsidP="008A7121">
      <w:pPr>
        <w:jc w:val="both"/>
        <w:rPr>
          <w:rFonts w:eastAsia="Times New Roman" w:cs="Times New Roman"/>
          <w:sz w:val="20"/>
          <w:szCs w:val="20"/>
          <w:lang w:val="en-US" w:eastAsia="en-CA"/>
        </w:rPr>
      </w:pPr>
    </w:p>
    <w:p w:rsidR="008A7121" w:rsidRPr="008A7121" w:rsidRDefault="008A7121" w:rsidP="008A7121">
      <w:pPr>
        <w:jc w:val="both"/>
        <w:rPr>
          <w:rFonts w:eastAsia="Times New Roman" w:cs="Times New Roman"/>
          <w:sz w:val="20"/>
          <w:szCs w:val="20"/>
          <w:lang w:val="en-US" w:eastAsia="en-CA"/>
        </w:rPr>
      </w:pPr>
    </w:p>
    <w:p w:rsidR="008A7121" w:rsidRPr="008A7121" w:rsidRDefault="008A7121" w:rsidP="008A7121">
      <w:pPr>
        <w:jc w:val="both"/>
        <w:rPr>
          <w:rFonts w:eastAsia="Times New Roman" w:cs="Times New Roman"/>
          <w:sz w:val="20"/>
          <w:szCs w:val="20"/>
          <w:lang w:val="fr-CA" w:eastAsia="en-CA"/>
        </w:rPr>
      </w:pPr>
      <w:r w:rsidRPr="008A7121">
        <w:rPr>
          <w:rFonts w:eastAsia="Times New Roman" w:cs="Times New Roman"/>
          <w:b/>
          <w:sz w:val="20"/>
          <w:szCs w:val="20"/>
          <w:lang w:val="fr-CA" w:eastAsia="en-CA"/>
        </w:rPr>
        <w:t>À LA SUITE DE LA DEMANDE</w:t>
      </w:r>
      <w:r w:rsidRPr="008A7121">
        <w:rPr>
          <w:rFonts w:eastAsia="Times New Roman" w:cs="Times New Roman"/>
          <w:sz w:val="20"/>
          <w:szCs w:val="20"/>
          <w:lang w:val="fr-CA" w:eastAsia="en-CA"/>
        </w:rPr>
        <w:t xml:space="preserve"> du demandeur présentée en application du paragraphe 32(2) des Règles et sollicitant la permission de déposer des documents supplémentaires, soit :</w:t>
      </w:r>
    </w:p>
    <w:p w:rsidR="008A7121" w:rsidRPr="008A7121" w:rsidRDefault="008A7121" w:rsidP="008A7121">
      <w:pPr>
        <w:jc w:val="both"/>
        <w:rPr>
          <w:rFonts w:eastAsia="Times New Roman" w:cs="Times New Roman"/>
          <w:sz w:val="20"/>
          <w:szCs w:val="20"/>
          <w:lang w:val="fr-CA" w:eastAsia="en-CA"/>
        </w:rPr>
      </w:pPr>
    </w:p>
    <w:p w:rsidR="008A7121" w:rsidRPr="008A7121" w:rsidRDefault="008A7121" w:rsidP="008A7121">
      <w:pPr>
        <w:numPr>
          <w:ilvl w:val="0"/>
          <w:numId w:val="9"/>
        </w:numPr>
        <w:contextualSpacing/>
        <w:jc w:val="both"/>
        <w:rPr>
          <w:sz w:val="20"/>
          <w:szCs w:val="20"/>
          <w:lang w:val="fr-CA"/>
        </w:rPr>
      </w:pPr>
      <w:r w:rsidRPr="008A7121">
        <w:rPr>
          <w:sz w:val="20"/>
          <w:szCs w:val="20"/>
          <w:lang w:val="fr-CA"/>
        </w:rPr>
        <w:t>Une requête en vue de produire de nouveaux éléments de preuve;</w:t>
      </w:r>
    </w:p>
    <w:p w:rsidR="008A7121" w:rsidRPr="008A7121" w:rsidRDefault="008A7121" w:rsidP="008A7121">
      <w:pPr>
        <w:numPr>
          <w:ilvl w:val="0"/>
          <w:numId w:val="9"/>
        </w:numPr>
        <w:contextualSpacing/>
        <w:jc w:val="both"/>
        <w:rPr>
          <w:sz w:val="20"/>
          <w:szCs w:val="20"/>
          <w:lang w:val="fr-CA"/>
        </w:rPr>
      </w:pPr>
      <w:r w:rsidRPr="008A7121">
        <w:rPr>
          <w:sz w:val="20"/>
          <w:szCs w:val="20"/>
          <w:lang w:val="fr-CA"/>
        </w:rPr>
        <w:t>De la correspondance permettant de soulever un nouveau moyen au soutien de la demande d’autorisation d’appel;</w:t>
      </w:r>
    </w:p>
    <w:p w:rsidR="008A7121" w:rsidRPr="008A7121" w:rsidRDefault="008A7121" w:rsidP="008A7121">
      <w:pPr>
        <w:jc w:val="both"/>
        <w:rPr>
          <w:rFonts w:eastAsia="Times New Roman" w:cs="Times New Roman"/>
          <w:sz w:val="20"/>
          <w:szCs w:val="20"/>
          <w:lang w:val="fr-CA" w:eastAsia="en-CA"/>
        </w:rPr>
      </w:pPr>
    </w:p>
    <w:p w:rsidR="008A7121" w:rsidRPr="008A7121" w:rsidRDefault="008A7121" w:rsidP="008A7121">
      <w:pPr>
        <w:jc w:val="both"/>
        <w:rPr>
          <w:rFonts w:eastAsia="Times New Roman" w:cs="Times New Roman"/>
          <w:sz w:val="20"/>
          <w:szCs w:val="20"/>
          <w:lang w:val="fr-CA" w:eastAsia="en-CA"/>
        </w:rPr>
      </w:pPr>
      <w:r w:rsidRPr="008A7121">
        <w:rPr>
          <w:rFonts w:eastAsia="Times New Roman" w:cs="Times New Roman"/>
          <w:b/>
          <w:sz w:val="20"/>
          <w:szCs w:val="20"/>
          <w:lang w:val="fr-CA" w:eastAsia="en-CA"/>
        </w:rPr>
        <w:t>ET APRÈS EXAMEN</w:t>
      </w:r>
      <w:r w:rsidRPr="008A7121">
        <w:rPr>
          <w:rFonts w:eastAsia="Times New Roman" w:cs="Times New Roman"/>
          <w:sz w:val="20"/>
          <w:szCs w:val="20"/>
          <w:lang w:val="fr-CA" w:eastAsia="en-CA"/>
        </w:rPr>
        <w:t xml:space="preserve"> des documents déposés;</w:t>
      </w:r>
    </w:p>
    <w:p w:rsidR="008A7121" w:rsidRPr="008A7121" w:rsidRDefault="008A7121" w:rsidP="008A7121">
      <w:pPr>
        <w:jc w:val="both"/>
        <w:rPr>
          <w:rFonts w:eastAsia="Times New Roman" w:cs="Times New Roman"/>
          <w:sz w:val="20"/>
          <w:szCs w:val="20"/>
          <w:lang w:val="fr-CA" w:eastAsia="en-CA"/>
        </w:rPr>
      </w:pPr>
    </w:p>
    <w:p w:rsidR="008A7121" w:rsidRPr="008A7121" w:rsidRDefault="008A7121" w:rsidP="008A7121">
      <w:pPr>
        <w:jc w:val="both"/>
        <w:rPr>
          <w:rFonts w:eastAsia="Times New Roman" w:cs="Times New Roman"/>
          <w:b/>
          <w:sz w:val="20"/>
          <w:szCs w:val="20"/>
          <w:lang w:val="fr-CA" w:eastAsia="en-CA"/>
        </w:rPr>
      </w:pPr>
      <w:r w:rsidRPr="008A7121">
        <w:rPr>
          <w:rFonts w:eastAsia="Times New Roman" w:cs="Times New Roman"/>
          <w:b/>
          <w:sz w:val="20"/>
          <w:szCs w:val="20"/>
          <w:lang w:val="fr-CA" w:eastAsia="en-CA"/>
        </w:rPr>
        <w:t>IL EST ORDONNÉ CE QUI SUIT :</w:t>
      </w:r>
    </w:p>
    <w:p w:rsidR="008A7121" w:rsidRPr="008A7121" w:rsidRDefault="008A7121" w:rsidP="008A7121">
      <w:pPr>
        <w:jc w:val="both"/>
        <w:rPr>
          <w:rFonts w:eastAsia="Times New Roman" w:cs="Times New Roman"/>
          <w:sz w:val="20"/>
          <w:szCs w:val="20"/>
          <w:lang w:val="fr-CA" w:eastAsia="en-CA"/>
        </w:rPr>
      </w:pPr>
    </w:p>
    <w:p w:rsidR="008A7121" w:rsidRPr="008A7121" w:rsidRDefault="008A7121" w:rsidP="008A7121">
      <w:pPr>
        <w:jc w:val="both"/>
        <w:rPr>
          <w:rFonts w:eastAsia="Times New Roman" w:cs="Times New Roman"/>
          <w:sz w:val="20"/>
          <w:szCs w:val="20"/>
          <w:lang w:val="fr-CA" w:eastAsia="en-CA"/>
        </w:rPr>
      </w:pPr>
      <w:r w:rsidRPr="008A7121">
        <w:rPr>
          <w:rFonts w:eastAsia="Times New Roman" w:cs="Times New Roman"/>
          <w:sz w:val="20"/>
          <w:szCs w:val="20"/>
          <w:lang w:val="fr-CA" w:eastAsia="en-CA"/>
        </w:rPr>
        <w:t>La requête en vue de produire des documents supplémentaires est rejetée.</w:t>
      </w:r>
    </w:p>
    <w:p w:rsidR="008A7121" w:rsidRPr="008A7121" w:rsidRDefault="008A7121" w:rsidP="008A7121">
      <w:pPr>
        <w:tabs>
          <w:tab w:val="left" w:pos="-1440"/>
          <w:tab w:val="left" w:pos="-720"/>
        </w:tabs>
        <w:jc w:val="both"/>
        <w:rPr>
          <w:rFonts w:eastAsia="Times New Roman" w:cs="Times New Roman"/>
          <w:sz w:val="20"/>
          <w:szCs w:val="20"/>
          <w:lang w:val="fr-CA" w:eastAsia="en-CA"/>
        </w:rPr>
      </w:pPr>
    </w:p>
    <w:p w:rsidR="008A7121" w:rsidRPr="008A7121" w:rsidRDefault="007F638F" w:rsidP="008A7121">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8A7121" w:rsidRPr="008A7121" w:rsidRDefault="008A7121" w:rsidP="008A7121">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63742E"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4A64E5" w:rsidP="005F1ED8">
            <w:pPr>
              <w:rPr>
                <w:sz w:val="20"/>
                <w:szCs w:val="20"/>
              </w:rPr>
            </w:pPr>
            <w:r>
              <w:rPr>
                <w:sz w:val="20"/>
                <w:szCs w:val="20"/>
              </w:rPr>
              <w:t>0</w:t>
            </w:r>
            <w:r w:rsidR="0086340B">
              <w:rPr>
                <w:sz w:val="20"/>
                <w:szCs w:val="20"/>
              </w:rPr>
              <w:t>1</w:t>
            </w:r>
            <w:r w:rsidR="0086340B" w:rsidRPr="003B3977">
              <w:rPr>
                <w:sz w:val="20"/>
                <w:szCs w:val="20"/>
              </w:rPr>
              <w:t>.</w:t>
            </w:r>
            <w:r>
              <w:rPr>
                <w:sz w:val="20"/>
                <w:szCs w:val="20"/>
              </w:rPr>
              <w:t>05</w:t>
            </w:r>
            <w:r w:rsidR="0086340B" w:rsidRPr="003B3977">
              <w:rPr>
                <w:sz w:val="20"/>
                <w:szCs w:val="20"/>
              </w:rPr>
              <w:t>.201</w:t>
            </w:r>
            <w:r>
              <w:rPr>
                <w:sz w:val="20"/>
                <w:szCs w:val="20"/>
              </w:rPr>
              <w:t>5</w:t>
            </w:r>
          </w:p>
          <w:p w:rsidR="0086340B" w:rsidRPr="003B3977" w:rsidRDefault="0086340B" w:rsidP="005F1ED8">
            <w:pPr>
              <w:rPr>
                <w:sz w:val="20"/>
                <w:szCs w:val="20"/>
              </w:rPr>
            </w:pPr>
          </w:p>
          <w:p w:rsidR="0086340B" w:rsidRPr="003B3977" w:rsidRDefault="004A64E5" w:rsidP="005F1ED8">
            <w:pPr>
              <w:rPr>
                <w:b/>
                <w:sz w:val="20"/>
                <w:szCs w:val="20"/>
              </w:rPr>
            </w:pPr>
            <w:r>
              <w:rPr>
                <w:b/>
                <w:sz w:val="20"/>
                <w:szCs w:val="20"/>
              </w:rPr>
              <w:t>M.J.B.</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4A64E5">
              <w:rPr>
                <w:b/>
                <w:sz w:val="20"/>
                <w:szCs w:val="20"/>
              </w:rPr>
              <w:t>6</w:t>
            </w:r>
            <w:r>
              <w:rPr>
                <w:b/>
                <w:sz w:val="20"/>
                <w:szCs w:val="20"/>
              </w:rPr>
              <w:t>42</w:t>
            </w:r>
            <w:r w:rsidR="004A64E5">
              <w:rPr>
                <w:b/>
                <w:sz w:val="20"/>
                <w:szCs w:val="20"/>
              </w:rPr>
              <w:t>1</w:t>
            </w:r>
            <w:r w:rsidRPr="003B3977">
              <w:rPr>
                <w:b/>
                <w:sz w:val="20"/>
                <w:szCs w:val="20"/>
              </w:rPr>
              <w:t>)</w:t>
            </w:r>
          </w:p>
          <w:p w:rsidR="0086340B" w:rsidRPr="003B3977" w:rsidRDefault="0086340B" w:rsidP="005F1ED8">
            <w:pPr>
              <w:rPr>
                <w:b/>
                <w:sz w:val="20"/>
                <w:szCs w:val="20"/>
              </w:rPr>
            </w:pPr>
          </w:p>
          <w:p w:rsidR="0086340B" w:rsidRPr="003B3977" w:rsidRDefault="004A64E5" w:rsidP="005F1ED8">
            <w:pPr>
              <w:rPr>
                <w:b/>
                <w:sz w:val="20"/>
                <w:szCs w:val="20"/>
              </w:rPr>
            </w:pPr>
            <w:r w:rsidRPr="003B3977">
              <w:rPr>
                <w:b/>
                <w:sz w:val="20"/>
                <w:szCs w:val="20"/>
              </w:rPr>
              <w:t xml:space="preserve">Her Majesty the Queen </w:t>
            </w:r>
            <w:r w:rsidR="0086340B" w:rsidRPr="003B3977">
              <w:rPr>
                <w:b/>
                <w:sz w:val="20"/>
                <w:szCs w:val="20"/>
              </w:rPr>
              <w:t>(</w:t>
            </w:r>
            <w:r>
              <w:rPr>
                <w:b/>
                <w:sz w:val="20"/>
                <w:szCs w:val="20"/>
              </w:rPr>
              <w:t>Alta</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4A64E5" w:rsidRPr="003B3977">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7F638F" w:rsidP="005F1ED8">
            <w:pPr>
              <w:rPr>
                <w:sz w:val="20"/>
                <w:szCs w:val="20"/>
                <w:lang w:val="fr-CA"/>
              </w:rPr>
            </w:pPr>
            <w:r>
              <w:rPr>
                <w:sz w:val="20"/>
                <w:szCs w:val="20"/>
                <w:lang w:val="fr-CA"/>
              </w:rPr>
              <w:pict>
                <v:rect id="_x0000_i1056"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4A64E5" w:rsidRDefault="004A64E5" w:rsidP="005F1ED8">
            <w:pPr>
              <w:rPr>
                <w:sz w:val="20"/>
                <w:szCs w:val="20"/>
              </w:rPr>
            </w:pPr>
            <w:r>
              <w:rPr>
                <w:sz w:val="20"/>
                <w:szCs w:val="20"/>
              </w:rPr>
              <w:t>0</w:t>
            </w:r>
            <w:r w:rsidR="0086340B" w:rsidRPr="004A64E5">
              <w:rPr>
                <w:sz w:val="20"/>
                <w:szCs w:val="20"/>
              </w:rPr>
              <w:t>8.</w:t>
            </w:r>
            <w:r>
              <w:rPr>
                <w:sz w:val="20"/>
                <w:szCs w:val="20"/>
              </w:rPr>
              <w:t>05</w:t>
            </w:r>
            <w:r w:rsidR="0086340B" w:rsidRPr="004A64E5">
              <w:rPr>
                <w:sz w:val="20"/>
                <w:szCs w:val="20"/>
              </w:rPr>
              <w:t>.201</w:t>
            </w:r>
            <w:r>
              <w:rPr>
                <w:sz w:val="20"/>
                <w:szCs w:val="20"/>
              </w:rPr>
              <w:t>5</w:t>
            </w:r>
          </w:p>
          <w:p w:rsidR="0086340B" w:rsidRPr="004A64E5" w:rsidRDefault="0086340B" w:rsidP="005F1ED8">
            <w:pPr>
              <w:rPr>
                <w:sz w:val="20"/>
                <w:szCs w:val="20"/>
              </w:rPr>
            </w:pPr>
          </w:p>
          <w:p w:rsidR="004A64E5" w:rsidRPr="00130B0E" w:rsidRDefault="004A64E5" w:rsidP="004A64E5">
            <w:pPr>
              <w:rPr>
                <w:b/>
                <w:sz w:val="20"/>
                <w:szCs w:val="20"/>
              </w:rPr>
            </w:pPr>
            <w:r>
              <w:rPr>
                <w:b/>
                <w:sz w:val="20"/>
                <w:szCs w:val="20"/>
              </w:rPr>
              <w:t>Ali Hassan Saeed</w:t>
            </w:r>
          </w:p>
          <w:p w:rsidR="004A64E5" w:rsidRPr="00130B0E" w:rsidRDefault="004A64E5" w:rsidP="004A64E5">
            <w:pPr>
              <w:rPr>
                <w:b/>
                <w:sz w:val="20"/>
                <w:szCs w:val="20"/>
              </w:rPr>
            </w:pPr>
          </w:p>
          <w:p w:rsidR="004A64E5" w:rsidRPr="00130B0E" w:rsidRDefault="004A64E5" w:rsidP="004A64E5">
            <w:pPr>
              <w:rPr>
                <w:b/>
                <w:sz w:val="20"/>
                <w:szCs w:val="20"/>
              </w:rPr>
            </w:pPr>
            <w:r w:rsidRPr="00130B0E">
              <w:rPr>
                <w:b/>
                <w:sz w:val="20"/>
                <w:szCs w:val="20"/>
              </w:rPr>
              <w:tab/>
              <w:t>v. (36</w:t>
            </w:r>
            <w:r>
              <w:rPr>
                <w:b/>
                <w:sz w:val="20"/>
                <w:szCs w:val="20"/>
              </w:rPr>
              <w:t>328</w:t>
            </w:r>
            <w:r w:rsidRPr="00130B0E">
              <w:rPr>
                <w:b/>
                <w:sz w:val="20"/>
                <w:szCs w:val="20"/>
              </w:rPr>
              <w:t>)</w:t>
            </w:r>
          </w:p>
          <w:p w:rsidR="004A64E5" w:rsidRPr="00130B0E" w:rsidRDefault="004A64E5" w:rsidP="004A64E5">
            <w:pPr>
              <w:rPr>
                <w:b/>
                <w:sz w:val="20"/>
                <w:szCs w:val="20"/>
              </w:rPr>
            </w:pPr>
          </w:p>
          <w:p w:rsidR="004A64E5" w:rsidRPr="00130B0E" w:rsidRDefault="004A64E5" w:rsidP="004A64E5">
            <w:pPr>
              <w:rPr>
                <w:b/>
                <w:sz w:val="20"/>
                <w:szCs w:val="20"/>
              </w:rPr>
            </w:pPr>
            <w:r w:rsidRPr="00130B0E">
              <w:rPr>
                <w:b/>
                <w:sz w:val="20"/>
                <w:szCs w:val="20"/>
              </w:rPr>
              <w:t>Her Majesty the Queen (</w:t>
            </w:r>
            <w:r>
              <w:rPr>
                <w:b/>
                <w:sz w:val="20"/>
                <w:szCs w:val="20"/>
              </w:rPr>
              <w:t>Alta.</w:t>
            </w:r>
            <w:r w:rsidRPr="00130B0E">
              <w:rPr>
                <w:b/>
                <w:sz w:val="20"/>
                <w:szCs w:val="20"/>
              </w:rPr>
              <w:t>)</w:t>
            </w:r>
          </w:p>
          <w:p w:rsidR="004A64E5" w:rsidRPr="00130B0E" w:rsidRDefault="004A64E5" w:rsidP="004A64E5">
            <w:pPr>
              <w:rPr>
                <w:sz w:val="20"/>
                <w:szCs w:val="20"/>
              </w:rPr>
            </w:pPr>
          </w:p>
          <w:p w:rsidR="004A64E5" w:rsidRPr="0085756D" w:rsidRDefault="004A64E5" w:rsidP="004A64E5">
            <w:pPr>
              <w:rPr>
                <w:sz w:val="20"/>
                <w:szCs w:val="20"/>
              </w:rPr>
            </w:pPr>
            <w:r w:rsidRPr="0085756D">
              <w:rPr>
                <w:sz w:val="20"/>
                <w:szCs w:val="20"/>
              </w:rPr>
              <w:t>(</w:t>
            </w:r>
            <w:r>
              <w:rPr>
                <w:sz w:val="20"/>
                <w:szCs w:val="20"/>
              </w:rPr>
              <w:t>By Leave</w:t>
            </w:r>
            <w:r w:rsidRPr="0085756D">
              <w:rPr>
                <w:sz w:val="20"/>
                <w:szCs w:val="20"/>
              </w:rPr>
              <w:t>)</w:t>
            </w:r>
          </w:p>
          <w:p w:rsidR="0086340B" w:rsidRPr="003B3977" w:rsidRDefault="0086340B" w:rsidP="005F1ED8">
            <w:pPr>
              <w:rPr>
                <w:sz w:val="20"/>
                <w:szCs w:val="20"/>
              </w:rPr>
            </w:pPr>
          </w:p>
          <w:p w:rsidR="0086340B" w:rsidRPr="003B3977" w:rsidRDefault="007F638F" w:rsidP="005F1ED8">
            <w:pPr>
              <w:rPr>
                <w:sz w:val="20"/>
                <w:szCs w:val="20"/>
              </w:rPr>
            </w:pPr>
            <w:r>
              <w:rPr>
                <w:sz w:val="20"/>
                <w:szCs w:val="20"/>
                <w:lang w:val="fr-CA"/>
              </w:rPr>
              <w:pict>
                <v:rect id="_x0000_i1057"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63742E"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046B92" w:rsidRPr="001E045C" w:rsidRDefault="00046B92" w:rsidP="00046B92">
      <w:pPr>
        <w:widowControl w:val="0"/>
        <w:rPr>
          <w:sz w:val="20"/>
          <w:szCs w:val="20"/>
          <w:lang w:val="fr-CA"/>
        </w:rPr>
      </w:pPr>
      <w:r w:rsidRPr="001E045C">
        <w:rPr>
          <w:sz w:val="20"/>
          <w:szCs w:val="20"/>
          <w:lang w:val="fr-CA"/>
        </w:rPr>
        <w:t>15.05.2015</w:t>
      </w:r>
    </w:p>
    <w:p w:rsidR="00046B92" w:rsidRPr="00FA3F0C" w:rsidRDefault="00046B92" w:rsidP="00046B92">
      <w:pPr>
        <w:widowControl w:val="0"/>
        <w:rPr>
          <w:sz w:val="20"/>
          <w:szCs w:val="20"/>
          <w:lang w:val="fr-CA"/>
        </w:rPr>
      </w:pPr>
    </w:p>
    <w:p w:rsidR="00046B92" w:rsidRPr="00E75133" w:rsidRDefault="00046B92" w:rsidP="00046B92">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sidRPr="00E75133">
        <w:rPr>
          <w:sz w:val="20"/>
          <w:szCs w:val="20"/>
          <w:u w:val="single"/>
          <w:lang w:val="fr-CA"/>
        </w:rPr>
        <w:t>La juge en chef McLachlin et les juges Abella, Moldaver, Karakatsanis</w:t>
      </w:r>
      <w:r>
        <w:rPr>
          <w:sz w:val="20"/>
          <w:szCs w:val="20"/>
          <w:u w:val="single"/>
          <w:lang w:val="fr-CA"/>
        </w:rPr>
        <w:t>,</w:t>
      </w:r>
      <w:r w:rsidRPr="00E75133">
        <w:rPr>
          <w:sz w:val="20"/>
          <w:szCs w:val="20"/>
          <w:u w:val="single"/>
          <w:lang w:val="fr-CA"/>
        </w:rPr>
        <w:t xml:space="preserve"> Wagn</w:t>
      </w:r>
      <w:r>
        <w:rPr>
          <w:sz w:val="20"/>
          <w:szCs w:val="20"/>
          <w:u w:val="single"/>
          <w:lang w:val="fr-CA"/>
        </w:rPr>
        <w:t>er, Gascon et Côté</w:t>
      </w:r>
    </w:p>
    <w:p w:rsidR="00046B92" w:rsidRPr="00C97437" w:rsidRDefault="00046B92" w:rsidP="00046B9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46B92" w:rsidRPr="0063742E" w:rsidTr="00046B92">
        <w:tc>
          <w:tcPr>
            <w:tcW w:w="4380" w:type="dxa"/>
            <w:tcMar>
              <w:left w:w="0" w:type="dxa"/>
              <w:right w:w="0" w:type="dxa"/>
            </w:tcMar>
          </w:tcPr>
          <w:p w:rsidR="00046B92" w:rsidRDefault="00046B92" w:rsidP="00046B92">
            <w:pPr>
              <w:widowControl w:val="0"/>
              <w:rPr>
                <w:b/>
                <w:sz w:val="20"/>
                <w:szCs w:val="20"/>
                <w:lang w:val="fr-CA"/>
              </w:rPr>
            </w:pPr>
            <w:r>
              <w:rPr>
                <w:b/>
                <w:sz w:val="20"/>
                <w:szCs w:val="20"/>
                <w:lang w:val="fr-CA"/>
              </w:rPr>
              <w:t>Sa Maj</w:t>
            </w:r>
            <w:r w:rsidRPr="00E75133">
              <w:rPr>
                <w:b/>
                <w:sz w:val="20"/>
                <w:szCs w:val="20"/>
                <w:lang w:val="fr-CA"/>
              </w:rPr>
              <w:t>es</w:t>
            </w:r>
            <w:r>
              <w:rPr>
                <w:b/>
                <w:sz w:val="20"/>
                <w:szCs w:val="20"/>
                <w:lang w:val="fr-CA"/>
              </w:rPr>
              <w:t>té la Reine</w:t>
            </w:r>
            <w:r w:rsidRPr="00E75133">
              <w:rPr>
                <w:b/>
                <w:sz w:val="20"/>
                <w:szCs w:val="20"/>
                <w:lang w:val="fr-CA"/>
              </w:rPr>
              <w:t xml:space="preserve"> </w:t>
            </w:r>
          </w:p>
          <w:p w:rsidR="00046B92" w:rsidRDefault="00046B92" w:rsidP="00046B92">
            <w:pPr>
              <w:widowControl w:val="0"/>
              <w:rPr>
                <w:b/>
                <w:sz w:val="20"/>
                <w:szCs w:val="20"/>
                <w:lang w:val="fr-CA"/>
              </w:rPr>
            </w:pPr>
          </w:p>
          <w:p w:rsidR="00046B92" w:rsidRDefault="00046B92" w:rsidP="00046B92">
            <w:pPr>
              <w:widowControl w:val="0"/>
              <w:rPr>
                <w:b/>
                <w:sz w:val="20"/>
                <w:szCs w:val="20"/>
                <w:lang w:val="fr-CA"/>
              </w:rPr>
            </w:pPr>
            <w:r>
              <w:rPr>
                <w:b/>
                <w:sz w:val="20"/>
                <w:szCs w:val="20"/>
                <w:lang w:val="fr-CA"/>
              </w:rPr>
              <w:tab/>
            </w:r>
            <w:r w:rsidRPr="00E75133">
              <w:rPr>
                <w:b/>
                <w:sz w:val="20"/>
                <w:szCs w:val="20"/>
                <w:lang w:val="fr-CA"/>
              </w:rPr>
              <w:t xml:space="preserve">c. </w:t>
            </w:r>
            <w:r w:rsidR="001E045C" w:rsidRPr="00F43C24">
              <w:rPr>
                <w:sz w:val="20"/>
                <w:szCs w:val="20"/>
                <w:lang w:val="fr-CA"/>
              </w:rPr>
              <w:t>(</w:t>
            </w:r>
            <w:hyperlink r:id="rId71" w:history="1">
              <w:r w:rsidR="001E045C" w:rsidRPr="00F43C24">
                <w:rPr>
                  <w:rStyle w:val="Hyperlink"/>
                  <w:sz w:val="20"/>
                  <w:szCs w:val="20"/>
                  <w:lang w:val="fr-CA"/>
                </w:rPr>
                <w:t>36001</w:t>
              </w:r>
            </w:hyperlink>
            <w:r w:rsidR="001E045C" w:rsidRPr="00F43C24">
              <w:rPr>
                <w:sz w:val="20"/>
                <w:szCs w:val="20"/>
                <w:lang w:val="fr-CA"/>
              </w:rPr>
              <w:t>)</w:t>
            </w:r>
          </w:p>
          <w:p w:rsidR="00046B92" w:rsidRDefault="00046B92" w:rsidP="00046B92">
            <w:pPr>
              <w:widowControl w:val="0"/>
              <w:rPr>
                <w:b/>
                <w:sz w:val="20"/>
                <w:szCs w:val="20"/>
                <w:lang w:val="fr-CA"/>
              </w:rPr>
            </w:pPr>
          </w:p>
          <w:p w:rsidR="00046B92" w:rsidRPr="00EA0658" w:rsidRDefault="00046B92" w:rsidP="00046B92">
            <w:pPr>
              <w:widowControl w:val="0"/>
              <w:rPr>
                <w:sz w:val="20"/>
                <w:szCs w:val="20"/>
                <w:lang w:val="fr-CA"/>
              </w:rPr>
            </w:pPr>
            <w:r>
              <w:rPr>
                <w:b/>
                <w:sz w:val="20"/>
                <w:szCs w:val="20"/>
                <w:lang w:val="fr-CA"/>
              </w:rPr>
              <w:t>Tommy La</w:t>
            </w:r>
            <w:r w:rsidRPr="00E75133">
              <w:rPr>
                <w:b/>
                <w:sz w:val="20"/>
                <w:szCs w:val="20"/>
                <w:lang w:val="fr-CA"/>
              </w:rPr>
              <w:t>c</w:t>
            </w:r>
            <w:r>
              <w:rPr>
                <w:b/>
                <w:sz w:val="20"/>
                <w:szCs w:val="20"/>
                <w:lang w:val="fr-CA"/>
              </w:rPr>
              <w:t>asse</w:t>
            </w:r>
            <w:r w:rsidRPr="00E75133">
              <w:rPr>
                <w:b/>
                <w:sz w:val="20"/>
                <w:szCs w:val="20"/>
                <w:lang w:val="fr-CA"/>
              </w:rPr>
              <w:t xml:space="preserve"> (Qc) (C</w:t>
            </w:r>
            <w:r>
              <w:rPr>
                <w:b/>
                <w:sz w:val="20"/>
                <w:szCs w:val="20"/>
                <w:lang w:val="fr-CA"/>
              </w:rPr>
              <w:t>r</w:t>
            </w:r>
            <w:r w:rsidRPr="00E75133">
              <w:rPr>
                <w:b/>
                <w:sz w:val="20"/>
                <w:szCs w:val="20"/>
                <w:lang w:val="fr-CA"/>
              </w:rPr>
              <w:t>i</w:t>
            </w:r>
            <w:r>
              <w:rPr>
                <w:b/>
                <w:sz w:val="20"/>
                <w:szCs w:val="20"/>
                <w:lang w:val="fr-CA"/>
              </w:rPr>
              <w:t>m</w:t>
            </w:r>
            <w:r w:rsidRPr="00E75133">
              <w:rPr>
                <w:b/>
                <w:sz w:val="20"/>
                <w:szCs w:val="20"/>
                <w:lang w:val="fr-CA"/>
              </w:rPr>
              <w:t>i</w:t>
            </w:r>
            <w:r>
              <w:rPr>
                <w:b/>
                <w:sz w:val="20"/>
                <w:szCs w:val="20"/>
                <w:lang w:val="fr-CA"/>
              </w:rPr>
              <w:t>nel</w:t>
            </w:r>
            <w:r w:rsidRPr="00E75133">
              <w:rPr>
                <w:b/>
                <w:sz w:val="20"/>
                <w:szCs w:val="20"/>
                <w:lang w:val="fr-CA"/>
              </w:rPr>
              <w:t>le) (Autorisation)</w:t>
            </w:r>
            <w:r w:rsidRPr="00E75133">
              <w:rPr>
                <w:sz w:val="20"/>
                <w:szCs w:val="20"/>
                <w:lang w:val="fr-CA"/>
              </w:rPr>
              <w:t xml:space="preserve"> </w:t>
            </w:r>
          </w:p>
        </w:tc>
        <w:tc>
          <w:tcPr>
            <w:tcW w:w="720" w:type="dxa"/>
            <w:tcMar>
              <w:left w:w="0" w:type="dxa"/>
              <w:right w:w="0" w:type="dxa"/>
            </w:tcMar>
          </w:tcPr>
          <w:p w:rsidR="00046B92" w:rsidRPr="00EA0658" w:rsidRDefault="00046B92" w:rsidP="00046B92">
            <w:pPr>
              <w:widowControl w:val="0"/>
              <w:jc w:val="center"/>
              <w:rPr>
                <w:sz w:val="20"/>
                <w:szCs w:val="20"/>
                <w:lang w:val="fr-CA"/>
              </w:rPr>
            </w:pPr>
          </w:p>
        </w:tc>
        <w:tc>
          <w:tcPr>
            <w:tcW w:w="4380" w:type="dxa"/>
            <w:tcMar>
              <w:left w:w="0" w:type="dxa"/>
              <w:right w:w="0" w:type="dxa"/>
            </w:tcMar>
          </w:tcPr>
          <w:p w:rsidR="001E045C" w:rsidRDefault="001E045C" w:rsidP="001E045C">
            <w:pPr>
              <w:tabs>
                <w:tab w:val="left" w:pos="-2970"/>
              </w:tabs>
              <w:jc w:val="both"/>
              <w:rPr>
                <w:sz w:val="20"/>
                <w:szCs w:val="20"/>
                <w:lang w:val="fr-CA"/>
              </w:rPr>
            </w:pPr>
            <w:r w:rsidRPr="00420F72">
              <w:rPr>
                <w:sz w:val="20"/>
                <w:szCs w:val="20"/>
                <w:lang w:val="fr-CA"/>
              </w:rPr>
              <w:t>Régis Boisvert</w:t>
            </w:r>
            <w:r>
              <w:rPr>
                <w:sz w:val="20"/>
                <w:szCs w:val="20"/>
                <w:lang w:val="fr-CA"/>
              </w:rPr>
              <w:t xml:space="preserve"> et </w:t>
            </w:r>
            <w:r w:rsidRPr="00420F72">
              <w:rPr>
                <w:sz w:val="20"/>
                <w:szCs w:val="20"/>
                <w:lang w:val="fr-CA"/>
              </w:rPr>
              <w:t>Audrey Roy-Cloutier</w:t>
            </w:r>
            <w:r>
              <w:rPr>
                <w:sz w:val="20"/>
                <w:szCs w:val="20"/>
                <w:lang w:val="fr-CA"/>
              </w:rPr>
              <w:t xml:space="preserve"> p</w:t>
            </w:r>
            <w:r w:rsidRPr="00420F72">
              <w:rPr>
                <w:sz w:val="20"/>
                <w:szCs w:val="20"/>
                <w:lang w:val="fr-CA"/>
              </w:rPr>
              <w:t>our l’appelant</w:t>
            </w:r>
            <w:r>
              <w:rPr>
                <w:sz w:val="20"/>
                <w:szCs w:val="20"/>
                <w:lang w:val="fr-CA"/>
              </w:rPr>
              <w:t>.</w:t>
            </w:r>
          </w:p>
          <w:p w:rsidR="001E045C" w:rsidRDefault="001E045C" w:rsidP="001E045C">
            <w:pPr>
              <w:tabs>
                <w:tab w:val="left" w:pos="-2970"/>
              </w:tabs>
              <w:jc w:val="both"/>
              <w:rPr>
                <w:sz w:val="20"/>
                <w:szCs w:val="20"/>
                <w:lang w:val="fr-CA"/>
              </w:rPr>
            </w:pPr>
          </w:p>
          <w:p w:rsidR="001E045C" w:rsidRPr="00420F72" w:rsidRDefault="001E045C" w:rsidP="001E045C">
            <w:pPr>
              <w:jc w:val="both"/>
              <w:rPr>
                <w:sz w:val="20"/>
                <w:szCs w:val="20"/>
              </w:rPr>
            </w:pPr>
            <w:r w:rsidRPr="00420F72">
              <w:rPr>
                <w:sz w:val="20"/>
                <w:szCs w:val="20"/>
              </w:rPr>
              <w:t>Joanne Dartana</w:t>
            </w:r>
            <w:r>
              <w:rPr>
                <w:sz w:val="20"/>
                <w:szCs w:val="20"/>
              </w:rPr>
              <w:t xml:space="preserve"> f</w:t>
            </w:r>
            <w:r w:rsidRPr="00420F72">
              <w:rPr>
                <w:sz w:val="20"/>
                <w:szCs w:val="20"/>
              </w:rPr>
              <w:t xml:space="preserve">or the </w:t>
            </w:r>
            <w:r>
              <w:rPr>
                <w:sz w:val="20"/>
                <w:szCs w:val="20"/>
              </w:rPr>
              <w:t>i</w:t>
            </w:r>
            <w:r w:rsidRPr="00420F72">
              <w:rPr>
                <w:sz w:val="20"/>
                <w:szCs w:val="20"/>
              </w:rPr>
              <w:t>ntervener</w:t>
            </w:r>
            <w:r>
              <w:rPr>
                <w:sz w:val="20"/>
                <w:szCs w:val="20"/>
              </w:rPr>
              <w:t xml:space="preserve"> </w:t>
            </w:r>
            <w:r w:rsidRPr="00420F72">
              <w:rPr>
                <w:sz w:val="20"/>
                <w:szCs w:val="20"/>
              </w:rPr>
              <w:t>Attorney General of Alberta</w:t>
            </w:r>
            <w:r>
              <w:rPr>
                <w:sz w:val="20"/>
                <w:szCs w:val="20"/>
              </w:rPr>
              <w:t>.</w:t>
            </w:r>
          </w:p>
          <w:p w:rsidR="001E045C" w:rsidRPr="00420F72" w:rsidRDefault="001E045C" w:rsidP="001E045C">
            <w:pPr>
              <w:tabs>
                <w:tab w:val="left" w:pos="-2970"/>
              </w:tabs>
              <w:jc w:val="both"/>
              <w:rPr>
                <w:sz w:val="20"/>
                <w:szCs w:val="20"/>
              </w:rPr>
            </w:pPr>
          </w:p>
          <w:p w:rsidR="00046B92" w:rsidRPr="00EA0658" w:rsidRDefault="001E045C" w:rsidP="001E045C">
            <w:pPr>
              <w:widowControl w:val="0"/>
              <w:jc w:val="both"/>
              <w:rPr>
                <w:sz w:val="20"/>
                <w:szCs w:val="20"/>
                <w:lang w:val="fr-CA"/>
              </w:rPr>
            </w:pPr>
            <w:r w:rsidRPr="00420F72">
              <w:rPr>
                <w:sz w:val="20"/>
                <w:szCs w:val="20"/>
                <w:lang w:val="fr-CA"/>
              </w:rPr>
              <w:t>Alain Dumas et Geneviève Bertrand</w:t>
            </w:r>
            <w:r>
              <w:rPr>
                <w:sz w:val="20"/>
                <w:szCs w:val="20"/>
                <w:lang w:val="fr-CA"/>
              </w:rPr>
              <w:t xml:space="preserve"> p</w:t>
            </w:r>
            <w:r w:rsidRPr="00420F72">
              <w:rPr>
                <w:sz w:val="20"/>
                <w:szCs w:val="20"/>
                <w:lang w:val="fr-CA"/>
              </w:rPr>
              <w:t>our l’intimée</w:t>
            </w:r>
            <w:r>
              <w:rPr>
                <w:sz w:val="20"/>
                <w:szCs w:val="20"/>
                <w:lang w:val="fr-CA"/>
              </w:rPr>
              <w:t>.</w:t>
            </w:r>
          </w:p>
        </w:tc>
      </w:tr>
    </w:tbl>
    <w:p w:rsidR="00046B92" w:rsidRPr="00EA0658" w:rsidRDefault="00046B92" w:rsidP="00046B92">
      <w:pPr>
        <w:widowControl w:val="0"/>
        <w:rPr>
          <w:sz w:val="20"/>
          <w:szCs w:val="20"/>
          <w:lang w:val="fr-CA"/>
        </w:rPr>
      </w:pPr>
    </w:p>
    <w:p w:rsidR="00046B92" w:rsidRPr="0085476B" w:rsidRDefault="00046B92" w:rsidP="00046B9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046B92" w:rsidRDefault="00046B92" w:rsidP="00046B9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46B92" w:rsidRPr="0063742E" w:rsidTr="00046B92">
        <w:tc>
          <w:tcPr>
            <w:tcW w:w="4380" w:type="dxa"/>
            <w:tcMar>
              <w:left w:w="0" w:type="dxa"/>
              <w:right w:w="0" w:type="dxa"/>
            </w:tcMar>
          </w:tcPr>
          <w:p w:rsidR="00046B92" w:rsidRPr="00CC4D84" w:rsidRDefault="00046B92" w:rsidP="00046B92">
            <w:pPr>
              <w:widowControl w:val="0"/>
              <w:jc w:val="both"/>
              <w:rPr>
                <w:b/>
                <w:sz w:val="20"/>
                <w:szCs w:val="20"/>
                <w:u w:val="single"/>
              </w:rPr>
            </w:pPr>
            <w:r w:rsidRPr="00CC4D84">
              <w:rPr>
                <w:b/>
                <w:sz w:val="20"/>
                <w:szCs w:val="20"/>
                <w:u w:val="single"/>
              </w:rPr>
              <w:t>Nature of the case:</w:t>
            </w:r>
          </w:p>
          <w:p w:rsidR="00046B92" w:rsidRPr="001A663B" w:rsidRDefault="00046B92" w:rsidP="00046B92">
            <w:pPr>
              <w:widowControl w:val="0"/>
              <w:jc w:val="both"/>
              <w:rPr>
                <w:b/>
                <w:sz w:val="20"/>
                <w:szCs w:val="20"/>
              </w:rPr>
            </w:pPr>
          </w:p>
          <w:p w:rsidR="00046B92" w:rsidRPr="00C1697B" w:rsidRDefault="00930D7D" w:rsidP="00046B92">
            <w:pPr>
              <w:widowControl w:val="0"/>
              <w:jc w:val="both"/>
              <w:rPr>
                <w:b/>
                <w:sz w:val="20"/>
                <w:szCs w:val="20"/>
              </w:rPr>
            </w:pPr>
            <w:r w:rsidRPr="008B185E">
              <w:rPr>
                <w:sz w:val="20"/>
                <w:szCs w:val="20"/>
              </w:rPr>
              <w:t>Criminal law - Sentencing - Considerations - Impaired driving causing death - Whether Court of Appeal erred in adopting inflexible range of sentences based on strict categories, one that if departed from in any way would result in non-deferential intervention - Whether Court of Appeal erred in giving precedence to principle that sentence should be similar to sentences imposed on similar offenders rather than considering local situation in Beauce region, which is affected more than others by impaired driving offences - Whether Court of Appeal erred in refusing to admit fresh evidence filed by appellant.</w:t>
            </w:r>
          </w:p>
        </w:tc>
        <w:tc>
          <w:tcPr>
            <w:tcW w:w="720" w:type="dxa"/>
            <w:tcMar>
              <w:left w:w="0" w:type="dxa"/>
              <w:right w:w="0" w:type="dxa"/>
            </w:tcMar>
          </w:tcPr>
          <w:p w:rsidR="00046B92" w:rsidRPr="00C1697B" w:rsidRDefault="00046B92" w:rsidP="00046B92">
            <w:pPr>
              <w:widowControl w:val="0"/>
              <w:jc w:val="center"/>
              <w:rPr>
                <w:sz w:val="20"/>
                <w:szCs w:val="20"/>
              </w:rPr>
            </w:pPr>
          </w:p>
        </w:tc>
        <w:tc>
          <w:tcPr>
            <w:tcW w:w="4380" w:type="dxa"/>
            <w:tcMar>
              <w:left w:w="0" w:type="dxa"/>
              <w:right w:w="0" w:type="dxa"/>
            </w:tcMar>
          </w:tcPr>
          <w:p w:rsidR="00046B92" w:rsidRPr="00CC4D84" w:rsidRDefault="00046B92" w:rsidP="00046B92">
            <w:pPr>
              <w:widowControl w:val="0"/>
              <w:jc w:val="both"/>
              <w:rPr>
                <w:b/>
                <w:sz w:val="20"/>
                <w:szCs w:val="20"/>
                <w:u w:val="single"/>
                <w:lang w:val="fr-CA"/>
              </w:rPr>
            </w:pPr>
            <w:r w:rsidRPr="00CC4D84">
              <w:rPr>
                <w:b/>
                <w:sz w:val="20"/>
                <w:szCs w:val="20"/>
                <w:u w:val="single"/>
                <w:lang w:val="fr-CA"/>
              </w:rPr>
              <w:t>Nature de la cause :</w:t>
            </w:r>
          </w:p>
          <w:p w:rsidR="00046B92" w:rsidRPr="00C1697B" w:rsidRDefault="00046B92" w:rsidP="00046B92">
            <w:pPr>
              <w:widowControl w:val="0"/>
              <w:jc w:val="both"/>
              <w:rPr>
                <w:sz w:val="20"/>
                <w:szCs w:val="20"/>
                <w:lang w:val="fr-CA"/>
              </w:rPr>
            </w:pPr>
          </w:p>
          <w:p w:rsidR="00046B92" w:rsidRPr="00C1697B" w:rsidRDefault="00930D7D" w:rsidP="00046B92">
            <w:pPr>
              <w:widowControl w:val="0"/>
              <w:jc w:val="both"/>
              <w:rPr>
                <w:sz w:val="20"/>
                <w:szCs w:val="20"/>
                <w:lang w:val="fr-CA"/>
              </w:rPr>
            </w:pPr>
            <w:r w:rsidRPr="00A140B5">
              <w:rPr>
                <w:sz w:val="20"/>
                <w:szCs w:val="20"/>
                <w:lang w:val="fr-CA"/>
              </w:rPr>
              <w:t>Droit criminel - Détermination de la peine - Facteurs devant être pris en considération - Conduite avec facultés affaiblies causant la mort - La Cour d’appel a-t-elle erré en consacrant une fourchette de peines rigide comprenant des catégories strictes, pour laquelle toute dérogation entraînerait une intervention sans retenue? - La Cour d’appel a-t-elle erré en faisant primer l’harmonisation des peines au détriment de la situation locale de la Beauce, qui est particulièrement touchée par les crimes de conduite avec capacités affaiblies? - La Cour d’appel a-t-elle erré en refusant de recevoir la preuve nouvelle déposée par l’appelante?</w:t>
            </w:r>
          </w:p>
        </w:tc>
      </w:tr>
    </w:tbl>
    <w:p w:rsidR="00046B92" w:rsidRDefault="00046B92" w:rsidP="00046B92">
      <w:pPr>
        <w:widowControl w:val="0"/>
        <w:rPr>
          <w:sz w:val="20"/>
          <w:szCs w:val="20"/>
          <w:lang w:val="fr-CA"/>
        </w:rPr>
      </w:pPr>
    </w:p>
    <w:p w:rsidR="00046B92" w:rsidRDefault="007F638F" w:rsidP="00046B92">
      <w:pPr>
        <w:widowControl w:val="0"/>
        <w:rPr>
          <w:sz w:val="20"/>
          <w:szCs w:val="20"/>
        </w:rPr>
      </w:pPr>
      <w:r>
        <w:rPr>
          <w:sz w:val="20"/>
          <w:szCs w:val="20"/>
          <w:lang w:val="fr-CA"/>
        </w:rPr>
        <w:pict>
          <v:rect id="_x0000_i1060" style="width:2in;height:1pt" o:hrpct="0" o:hralign="center" o:hrstd="t" o:hrnoshade="t" o:hr="t" fillcolor="black [3213]" stroked="f"/>
        </w:pict>
      </w:r>
    </w:p>
    <w:p w:rsidR="00046B92" w:rsidRDefault="00046B92" w:rsidP="00046B92">
      <w:pPr>
        <w:widowControl w:val="0"/>
        <w:rPr>
          <w:sz w:val="20"/>
          <w:szCs w:val="20"/>
        </w:rPr>
      </w:pPr>
    </w:p>
    <w:p w:rsidR="00046B92" w:rsidRPr="00570496" w:rsidRDefault="00046B92" w:rsidP="00046B92">
      <w:pPr>
        <w:widowControl w:val="0"/>
        <w:rPr>
          <w:sz w:val="20"/>
          <w:szCs w:val="20"/>
        </w:rPr>
      </w:pPr>
      <w:r w:rsidRPr="00570496">
        <w:rPr>
          <w:sz w:val="20"/>
          <w:szCs w:val="20"/>
        </w:rPr>
        <w:t>1</w:t>
      </w:r>
      <w:r w:rsidR="009673F3">
        <w:rPr>
          <w:sz w:val="20"/>
          <w:szCs w:val="20"/>
        </w:rPr>
        <w:t>9</w:t>
      </w:r>
      <w:r w:rsidRPr="00570496">
        <w:rPr>
          <w:sz w:val="20"/>
          <w:szCs w:val="20"/>
        </w:rPr>
        <w:t>.05.2015</w:t>
      </w:r>
    </w:p>
    <w:p w:rsidR="00046B92" w:rsidRPr="00570496" w:rsidRDefault="00046B92" w:rsidP="00046B92">
      <w:pPr>
        <w:widowControl w:val="0"/>
        <w:rPr>
          <w:sz w:val="20"/>
          <w:szCs w:val="20"/>
        </w:rPr>
      </w:pPr>
    </w:p>
    <w:p w:rsidR="00046B92" w:rsidRPr="005C722A" w:rsidRDefault="00046B92" w:rsidP="00046B92">
      <w:pPr>
        <w:ind w:left="720" w:hanging="720"/>
        <w:rPr>
          <w:sz w:val="20"/>
          <w:szCs w:val="20"/>
          <w:u w:val="single"/>
        </w:rPr>
      </w:pPr>
      <w:r w:rsidRPr="005C722A">
        <w:rPr>
          <w:sz w:val="20"/>
          <w:szCs w:val="20"/>
        </w:rPr>
        <w:t>Coram:</w:t>
      </w:r>
      <w:r w:rsidRPr="005C722A">
        <w:rPr>
          <w:sz w:val="20"/>
          <w:szCs w:val="20"/>
        </w:rPr>
        <w:tab/>
      </w:r>
      <w:r w:rsidRPr="005C722A">
        <w:rPr>
          <w:sz w:val="20"/>
          <w:szCs w:val="20"/>
          <w:u w:val="single"/>
        </w:rPr>
        <w:t xml:space="preserve">McLachlin C.J. and </w:t>
      </w:r>
      <w:r>
        <w:rPr>
          <w:sz w:val="20"/>
          <w:szCs w:val="20"/>
          <w:u w:val="single"/>
        </w:rPr>
        <w:t xml:space="preserve">Cromwell, </w:t>
      </w:r>
      <w:r w:rsidRPr="005C722A">
        <w:rPr>
          <w:sz w:val="20"/>
          <w:szCs w:val="20"/>
          <w:u w:val="single"/>
        </w:rPr>
        <w:t>Moldaver</w:t>
      </w:r>
      <w:r>
        <w:rPr>
          <w:sz w:val="20"/>
          <w:szCs w:val="20"/>
          <w:u w:val="single"/>
        </w:rPr>
        <w:t>,</w:t>
      </w:r>
      <w:r w:rsidRPr="005C722A">
        <w:rPr>
          <w:sz w:val="20"/>
          <w:szCs w:val="20"/>
          <w:u w:val="single"/>
        </w:rPr>
        <w:t xml:space="preserve"> </w:t>
      </w:r>
      <w:r>
        <w:rPr>
          <w:sz w:val="20"/>
          <w:szCs w:val="20"/>
          <w:u w:val="single"/>
        </w:rPr>
        <w:t xml:space="preserve">Karakatsanis, </w:t>
      </w:r>
      <w:r w:rsidRPr="005C722A">
        <w:rPr>
          <w:sz w:val="20"/>
          <w:szCs w:val="20"/>
          <w:u w:val="single"/>
        </w:rPr>
        <w:t>Wagner</w:t>
      </w:r>
      <w:r>
        <w:rPr>
          <w:sz w:val="20"/>
          <w:szCs w:val="20"/>
          <w:u w:val="single"/>
        </w:rPr>
        <w:t xml:space="preserve">, Gascon and Côté </w:t>
      </w:r>
      <w:r w:rsidRPr="005C722A">
        <w:rPr>
          <w:sz w:val="20"/>
          <w:szCs w:val="20"/>
          <w:u w:val="single"/>
        </w:rPr>
        <w:t>JJ.</w:t>
      </w:r>
    </w:p>
    <w:p w:rsidR="00046B92" w:rsidRPr="005C722A" w:rsidRDefault="00046B92" w:rsidP="00046B92">
      <w:pPr>
        <w:ind w:left="1440" w:hanging="1440"/>
        <w:jc w:val="both"/>
        <w:rPr>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46B92" w:rsidRPr="00570496" w:rsidTr="00046B92">
        <w:tc>
          <w:tcPr>
            <w:tcW w:w="4380" w:type="dxa"/>
            <w:tcMar>
              <w:left w:w="0" w:type="dxa"/>
              <w:right w:w="0" w:type="dxa"/>
            </w:tcMar>
          </w:tcPr>
          <w:p w:rsidR="00046B92" w:rsidRPr="00570496" w:rsidRDefault="00345C87" w:rsidP="00046B92">
            <w:pPr>
              <w:widowControl w:val="0"/>
              <w:rPr>
                <w:b/>
                <w:sz w:val="20"/>
                <w:szCs w:val="20"/>
              </w:rPr>
            </w:pPr>
            <w:r>
              <w:rPr>
                <w:b/>
                <w:sz w:val="20"/>
                <w:szCs w:val="20"/>
              </w:rPr>
              <w:t xml:space="preserve">Lee Michael </w:t>
            </w:r>
            <w:r w:rsidR="009673F3">
              <w:rPr>
                <w:b/>
                <w:sz w:val="20"/>
                <w:szCs w:val="20"/>
              </w:rPr>
              <w:t>W</w:t>
            </w:r>
            <w:r w:rsidR="00046B92">
              <w:rPr>
                <w:b/>
                <w:sz w:val="20"/>
                <w:szCs w:val="20"/>
              </w:rPr>
              <w:t>i</w:t>
            </w:r>
            <w:r w:rsidR="009673F3">
              <w:rPr>
                <w:b/>
                <w:sz w:val="20"/>
                <w:szCs w:val="20"/>
              </w:rPr>
              <w:t>lson</w:t>
            </w:r>
            <w:r w:rsidR="00046B92" w:rsidRPr="00570496">
              <w:rPr>
                <w:b/>
                <w:sz w:val="20"/>
                <w:szCs w:val="20"/>
              </w:rPr>
              <w:t xml:space="preserve"> </w:t>
            </w:r>
          </w:p>
          <w:p w:rsidR="00046B92" w:rsidRPr="00570496" w:rsidRDefault="00046B92" w:rsidP="00046B92">
            <w:pPr>
              <w:widowControl w:val="0"/>
              <w:rPr>
                <w:b/>
                <w:sz w:val="20"/>
                <w:szCs w:val="20"/>
              </w:rPr>
            </w:pPr>
          </w:p>
          <w:p w:rsidR="00046B92" w:rsidRPr="00570496" w:rsidRDefault="00046B92" w:rsidP="00046B92">
            <w:pPr>
              <w:widowControl w:val="0"/>
              <w:rPr>
                <w:b/>
                <w:sz w:val="20"/>
                <w:szCs w:val="20"/>
              </w:rPr>
            </w:pPr>
            <w:r w:rsidRPr="00570496">
              <w:rPr>
                <w:b/>
                <w:sz w:val="20"/>
                <w:szCs w:val="20"/>
              </w:rPr>
              <w:tab/>
              <w:t xml:space="preserve">v. </w:t>
            </w:r>
            <w:r w:rsidR="00345C87" w:rsidRPr="00D455CD">
              <w:rPr>
                <w:sz w:val="20"/>
                <w:szCs w:val="20"/>
              </w:rPr>
              <w:t>(</w:t>
            </w:r>
            <w:hyperlink r:id="rId72" w:history="1">
              <w:r w:rsidR="00345C87" w:rsidRPr="00D455CD">
                <w:rPr>
                  <w:rStyle w:val="Hyperlink"/>
                  <w:sz w:val="20"/>
                  <w:szCs w:val="20"/>
                </w:rPr>
                <w:t>35959</w:t>
              </w:r>
            </w:hyperlink>
            <w:r w:rsidR="00345C87" w:rsidRPr="00D455CD">
              <w:rPr>
                <w:sz w:val="20"/>
                <w:szCs w:val="20"/>
              </w:rPr>
              <w:t>)</w:t>
            </w:r>
          </w:p>
          <w:p w:rsidR="00046B92" w:rsidRPr="00570496" w:rsidRDefault="00046B92" w:rsidP="00046B92">
            <w:pPr>
              <w:widowControl w:val="0"/>
              <w:rPr>
                <w:b/>
                <w:sz w:val="20"/>
                <w:szCs w:val="20"/>
              </w:rPr>
            </w:pPr>
          </w:p>
          <w:p w:rsidR="00046B92" w:rsidRDefault="00576180" w:rsidP="00576180">
            <w:pPr>
              <w:widowControl w:val="0"/>
              <w:rPr>
                <w:sz w:val="20"/>
                <w:szCs w:val="20"/>
              </w:rPr>
            </w:pPr>
            <w:r>
              <w:rPr>
                <w:b/>
                <w:sz w:val="20"/>
                <w:szCs w:val="20"/>
              </w:rPr>
              <w:t>Superintendent of Moto</w:t>
            </w:r>
            <w:r w:rsidR="00046B92">
              <w:rPr>
                <w:b/>
                <w:sz w:val="20"/>
                <w:szCs w:val="20"/>
              </w:rPr>
              <w:t xml:space="preserve">r </w:t>
            </w:r>
            <w:r>
              <w:rPr>
                <w:b/>
                <w:sz w:val="20"/>
                <w:szCs w:val="20"/>
              </w:rPr>
              <w:t>V</w:t>
            </w:r>
            <w:r w:rsidR="00046B92">
              <w:rPr>
                <w:b/>
                <w:sz w:val="20"/>
                <w:szCs w:val="20"/>
              </w:rPr>
              <w:t>eh</w:t>
            </w:r>
            <w:r>
              <w:rPr>
                <w:b/>
                <w:sz w:val="20"/>
                <w:szCs w:val="20"/>
              </w:rPr>
              <w:t xml:space="preserve">icles et al. </w:t>
            </w:r>
            <w:r w:rsidR="00046B92" w:rsidRPr="00570496">
              <w:rPr>
                <w:b/>
                <w:sz w:val="20"/>
                <w:szCs w:val="20"/>
              </w:rPr>
              <w:t>(</w:t>
            </w:r>
            <w:r>
              <w:rPr>
                <w:b/>
                <w:sz w:val="20"/>
                <w:szCs w:val="20"/>
              </w:rPr>
              <w:t>B.C</w:t>
            </w:r>
            <w:r w:rsidR="00046B92" w:rsidRPr="00570496">
              <w:rPr>
                <w:b/>
                <w:sz w:val="20"/>
                <w:szCs w:val="20"/>
              </w:rPr>
              <w:t>.) (Ci</w:t>
            </w:r>
            <w:r>
              <w:rPr>
                <w:b/>
                <w:sz w:val="20"/>
                <w:szCs w:val="20"/>
              </w:rPr>
              <w:t>v</w:t>
            </w:r>
            <w:r w:rsidR="00046B92" w:rsidRPr="00570496">
              <w:rPr>
                <w:b/>
                <w:sz w:val="20"/>
                <w:szCs w:val="20"/>
              </w:rPr>
              <w:t>il) (</w:t>
            </w:r>
            <w:r w:rsidR="00046B92">
              <w:rPr>
                <w:b/>
                <w:sz w:val="20"/>
                <w:szCs w:val="20"/>
              </w:rPr>
              <w:t>By Leave</w:t>
            </w:r>
            <w:r w:rsidR="00046B92" w:rsidRPr="00570496">
              <w:rPr>
                <w:b/>
                <w:sz w:val="20"/>
                <w:szCs w:val="20"/>
              </w:rPr>
              <w:t>)</w:t>
            </w:r>
            <w:r w:rsidR="00046B92" w:rsidRPr="00570496">
              <w:rPr>
                <w:sz w:val="20"/>
                <w:szCs w:val="20"/>
              </w:rPr>
              <w:t xml:space="preserve"> </w:t>
            </w:r>
          </w:p>
          <w:p w:rsidR="00642044" w:rsidRPr="00642044" w:rsidRDefault="00642044" w:rsidP="00576180">
            <w:pPr>
              <w:widowControl w:val="0"/>
              <w:rPr>
                <w:b/>
                <w:sz w:val="20"/>
                <w:szCs w:val="20"/>
              </w:rPr>
            </w:pPr>
          </w:p>
          <w:p w:rsidR="00642044" w:rsidRPr="00642044" w:rsidRDefault="00642044" w:rsidP="00642044">
            <w:pPr>
              <w:widowControl w:val="0"/>
              <w:rPr>
                <w:b/>
                <w:sz w:val="20"/>
                <w:szCs w:val="20"/>
              </w:rPr>
            </w:pPr>
            <w:r w:rsidRPr="00642044">
              <w:rPr>
                <w:b/>
                <w:sz w:val="20"/>
                <w:szCs w:val="20"/>
              </w:rPr>
              <w:t>- and between -</w:t>
            </w:r>
          </w:p>
          <w:p w:rsidR="00642044" w:rsidRPr="00642044" w:rsidRDefault="00642044" w:rsidP="00642044">
            <w:pPr>
              <w:widowControl w:val="0"/>
              <w:rPr>
                <w:b/>
                <w:sz w:val="20"/>
                <w:szCs w:val="20"/>
              </w:rPr>
            </w:pPr>
          </w:p>
          <w:p w:rsidR="00642044" w:rsidRPr="00A7151D" w:rsidRDefault="00642044" w:rsidP="00642044">
            <w:pPr>
              <w:widowControl w:val="0"/>
              <w:rPr>
                <w:b/>
                <w:sz w:val="20"/>
                <w:szCs w:val="20"/>
              </w:rPr>
            </w:pPr>
            <w:r w:rsidRPr="00A7151D">
              <w:rPr>
                <w:b/>
                <w:sz w:val="20"/>
                <w:szCs w:val="20"/>
              </w:rPr>
              <w:t xml:space="preserve">Richard James Goodwin et al. </w:t>
            </w:r>
          </w:p>
          <w:p w:rsidR="00642044" w:rsidRPr="00A7151D" w:rsidRDefault="00642044" w:rsidP="00642044">
            <w:pPr>
              <w:widowControl w:val="0"/>
              <w:rPr>
                <w:b/>
                <w:sz w:val="20"/>
                <w:szCs w:val="20"/>
              </w:rPr>
            </w:pPr>
          </w:p>
          <w:p w:rsidR="00642044" w:rsidRPr="00A7151D" w:rsidRDefault="00642044" w:rsidP="00642044">
            <w:pPr>
              <w:widowControl w:val="0"/>
              <w:rPr>
                <w:b/>
                <w:sz w:val="20"/>
                <w:szCs w:val="20"/>
              </w:rPr>
            </w:pPr>
            <w:r w:rsidRPr="00A7151D">
              <w:rPr>
                <w:b/>
                <w:sz w:val="20"/>
                <w:szCs w:val="20"/>
              </w:rPr>
              <w:tab/>
              <w:t xml:space="preserve">v. </w:t>
            </w:r>
            <w:r w:rsidRPr="00A7151D">
              <w:rPr>
                <w:sz w:val="20"/>
                <w:szCs w:val="20"/>
              </w:rPr>
              <w:t>(</w:t>
            </w:r>
            <w:hyperlink r:id="rId73" w:history="1">
              <w:r w:rsidRPr="00A7151D">
                <w:rPr>
                  <w:rStyle w:val="Hyperlink"/>
                  <w:sz w:val="20"/>
                  <w:szCs w:val="20"/>
                </w:rPr>
                <w:t>35864</w:t>
              </w:r>
            </w:hyperlink>
            <w:r w:rsidRPr="00A7151D">
              <w:rPr>
                <w:sz w:val="20"/>
                <w:szCs w:val="20"/>
              </w:rPr>
              <w:t>)</w:t>
            </w:r>
          </w:p>
          <w:p w:rsidR="00642044" w:rsidRPr="00A7151D" w:rsidRDefault="00642044" w:rsidP="00642044">
            <w:pPr>
              <w:widowControl w:val="0"/>
              <w:rPr>
                <w:b/>
                <w:sz w:val="20"/>
                <w:szCs w:val="20"/>
              </w:rPr>
            </w:pPr>
          </w:p>
          <w:p w:rsidR="00642044" w:rsidRPr="00570496" w:rsidRDefault="00642044" w:rsidP="00642044">
            <w:pPr>
              <w:widowControl w:val="0"/>
              <w:rPr>
                <w:sz w:val="20"/>
                <w:szCs w:val="20"/>
              </w:rPr>
            </w:pPr>
            <w:r>
              <w:rPr>
                <w:b/>
                <w:sz w:val="20"/>
                <w:szCs w:val="20"/>
              </w:rPr>
              <w:t xml:space="preserve">British Columbia (Superintendent of Motor Vehicles) et al. </w:t>
            </w:r>
            <w:r w:rsidRPr="00570496">
              <w:rPr>
                <w:b/>
                <w:sz w:val="20"/>
                <w:szCs w:val="20"/>
              </w:rPr>
              <w:t>(</w:t>
            </w:r>
            <w:r>
              <w:rPr>
                <w:b/>
                <w:sz w:val="20"/>
                <w:szCs w:val="20"/>
              </w:rPr>
              <w:t>B.C</w:t>
            </w:r>
            <w:r w:rsidRPr="00570496">
              <w:rPr>
                <w:b/>
                <w:sz w:val="20"/>
                <w:szCs w:val="20"/>
              </w:rPr>
              <w:t>.) (Ci</w:t>
            </w:r>
            <w:r>
              <w:rPr>
                <w:b/>
                <w:sz w:val="20"/>
                <w:szCs w:val="20"/>
              </w:rPr>
              <w:t>v</w:t>
            </w:r>
            <w:r w:rsidRPr="00570496">
              <w:rPr>
                <w:b/>
                <w:sz w:val="20"/>
                <w:szCs w:val="20"/>
              </w:rPr>
              <w:t>il) (</w:t>
            </w:r>
            <w:r>
              <w:rPr>
                <w:b/>
                <w:sz w:val="20"/>
                <w:szCs w:val="20"/>
              </w:rPr>
              <w:t>By Leave</w:t>
            </w:r>
            <w:r w:rsidRPr="00570496">
              <w:rPr>
                <w:b/>
                <w:sz w:val="20"/>
                <w:szCs w:val="20"/>
              </w:rPr>
              <w:t>)</w:t>
            </w:r>
          </w:p>
        </w:tc>
        <w:tc>
          <w:tcPr>
            <w:tcW w:w="720" w:type="dxa"/>
            <w:tcMar>
              <w:left w:w="0" w:type="dxa"/>
              <w:right w:w="0" w:type="dxa"/>
            </w:tcMar>
          </w:tcPr>
          <w:p w:rsidR="00046B92" w:rsidRPr="00570496" w:rsidRDefault="00046B92" w:rsidP="00046B92">
            <w:pPr>
              <w:widowControl w:val="0"/>
              <w:jc w:val="center"/>
              <w:rPr>
                <w:sz w:val="20"/>
                <w:szCs w:val="20"/>
              </w:rPr>
            </w:pPr>
          </w:p>
        </w:tc>
        <w:tc>
          <w:tcPr>
            <w:tcW w:w="4380" w:type="dxa"/>
            <w:tcMar>
              <w:left w:w="0" w:type="dxa"/>
              <w:right w:w="0" w:type="dxa"/>
            </w:tcMar>
          </w:tcPr>
          <w:p w:rsidR="0030067A" w:rsidRPr="00661021" w:rsidRDefault="0030067A" w:rsidP="0030067A">
            <w:pPr>
              <w:jc w:val="both"/>
              <w:rPr>
                <w:sz w:val="20"/>
                <w:szCs w:val="20"/>
                <w:lang w:val="en-US"/>
              </w:rPr>
            </w:pPr>
            <w:r w:rsidRPr="00661021">
              <w:rPr>
                <w:sz w:val="20"/>
                <w:szCs w:val="20"/>
                <w:lang w:val="en-US"/>
              </w:rPr>
              <w:t>Kyla Lee</w:t>
            </w:r>
            <w:r>
              <w:rPr>
                <w:sz w:val="20"/>
                <w:szCs w:val="20"/>
                <w:lang w:val="en-US"/>
              </w:rPr>
              <w:t xml:space="preserve"> and </w:t>
            </w:r>
            <w:r w:rsidRPr="00661021">
              <w:rPr>
                <w:sz w:val="20"/>
                <w:szCs w:val="20"/>
                <w:lang w:val="en-US"/>
              </w:rPr>
              <w:t>Paul Doroshenko</w:t>
            </w:r>
            <w:r>
              <w:rPr>
                <w:sz w:val="20"/>
                <w:szCs w:val="20"/>
                <w:lang w:val="en-US"/>
              </w:rPr>
              <w:t xml:space="preserve"> f</w:t>
            </w:r>
            <w:r w:rsidRPr="00661021">
              <w:rPr>
                <w:sz w:val="20"/>
                <w:szCs w:val="20"/>
                <w:lang w:val="en-US"/>
              </w:rPr>
              <w:t xml:space="preserve">or the </w:t>
            </w:r>
            <w:r>
              <w:rPr>
                <w:sz w:val="20"/>
                <w:szCs w:val="20"/>
                <w:lang w:val="en-US"/>
              </w:rPr>
              <w:t>a</w:t>
            </w:r>
            <w:r w:rsidRPr="00661021">
              <w:rPr>
                <w:sz w:val="20"/>
                <w:szCs w:val="20"/>
                <w:lang w:val="en-US"/>
              </w:rPr>
              <w:t>ppellant</w:t>
            </w:r>
            <w:r>
              <w:rPr>
                <w:sz w:val="20"/>
                <w:szCs w:val="20"/>
                <w:lang w:val="en-US"/>
              </w:rPr>
              <w:t xml:space="preserve"> </w:t>
            </w:r>
            <w:r w:rsidRPr="00661021">
              <w:rPr>
                <w:sz w:val="20"/>
                <w:szCs w:val="20"/>
                <w:lang w:val="en-US"/>
              </w:rPr>
              <w:t>Lee Michael Wilson (35959)</w:t>
            </w:r>
            <w:r>
              <w:rPr>
                <w:sz w:val="20"/>
                <w:szCs w:val="20"/>
                <w:lang w:val="en-US"/>
              </w:rPr>
              <w:t>.</w:t>
            </w:r>
          </w:p>
          <w:p w:rsidR="0030067A" w:rsidRPr="00661021" w:rsidRDefault="0030067A" w:rsidP="0030067A">
            <w:pPr>
              <w:jc w:val="both"/>
              <w:rPr>
                <w:sz w:val="20"/>
                <w:szCs w:val="20"/>
                <w:lang w:val="en-US"/>
              </w:rPr>
            </w:pPr>
          </w:p>
          <w:p w:rsidR="0030067A" w:rsidRPr="00661021" w:rsidRDefault="0030067A" w:rsidP="0030067A">
            <w:pPr>
              <w:jc w:val="both"/>
              <w:rPr>
                <w:sz w:val="20"/>
                <w:szCs w:val="20"/>
                <w:lang w:val="en-US"/>
              </w:rPr>
            </w:pPr>
            <w:r w:rsidRPr="00661021">
              <w:rPr>
                <w:sz w:val="20"/>
                <w:szCs w:val="20"/>
                <w:lang w:val="en-US"/>
              </w:rPr>
              <w:t xml:space="preserve">Robert Mullett </w:t>
            </w:r>
            <w:r>
              <w:rPr>
                <w:sz w:val="20"/>
                <w:szCs w:val="20"/>
                <w:lang w:val="en-US"/>
              </w:rPr>
              <w:t xml:space="preserve">and </w:t>
            </w:r>
            <w:r w:rsidRPr="00661021">
              <w:rPr>
                <w:sz w:val="20"/>
                <w:szCs w:val="20"/>
                <w:lang w:val="en-US"/>
              </w:rPr>
              <w:t>Tyna Mason</w:t>
            </w:r>
            <w:r>
              <w:rPr>
                <w:sz w:val="20"/>
                <w:szCs w:val="20"/>
                <w:lang w:val="en-US"/>
              </w:rPr>
              <w:t xml:space="preserve"> f</w:t>
            </w:r>
            <w:r w:rsidRPr="00661021">
              <w:rPr>
                <w:sz w:val="20"/>
                <w:szCs w:val="20"/>
                <w:lang w:val="en-US"/>
              </w:rPr>
              <w:t xml:space="preserve">or the </w:t>
            </w:r>
            <w:r>
              <w:rPr>
                <w:sz w:val="20"/>
                <w:szCs w:val="20"/>
                <w:lang w:val="en-US"/>
              </w:rPr>
              <w:t>r</w:t>
            </w:r>
            <w:r w:rsidRPr="00661021">
              <w:rPr>
                <w:sz w:val="20"/>
                <w:szCs w:val="20"/>
                <w:lang w:val="en-US"/>
              </w:rPr>
              <w:t>espondents</w:t>
            </w:r>
            <w:r>
              <w:rPr>
                <w:sz w:val="20"/>
                <w:szCs w:val="20"/>
                <w:lang w:val="en-US"/>
              </w:rPr>
              <w:t xml:space="preserve"> </w:t>
            </w:r>
            <w:r w:rsidRPr="00661021">
              <w:rPr>
                <w:sz w:val="20"/>
                <w:szCs w:val="20"/>
                <w:lang w:val="en-US"/>
              </w:rPr>
              <w:t>Superintendent of Motor Vehicles, et al. (35959)</w:t>
            </w:r>
            <w:r>
              <w:rPr>
                <w:sz w:val="20"/>
                <w:szCs w:val="20"/>
                <w:lang w:val="en-US"/>
              </w:rPr>
              <w:t>.</w:t>
            </w:r>
          </w:p>
          <w:p w:rsidR="0030067A" w:rsidRPr="00661021" w:rsidRDefault="0030067A" w:rsidP="0030067A">
            <w:pPr>
              <w:jc w:val="both"/>
              <w:rPr>
                <w:sz w:val="20"/>
                <w:szCs w:val="20"/>
                <w:lang w:val="en-US"/>
              </w:rPr>
            </w:pPr>
          </w:p>
          <w:p w:rsidR="0030067A" w:rsidRPr="00661021" w:rsidRDefault="0030067A" w:rsidP="0030067A">
            <w:pPr>
              <w:jc w:val="both"/>
              <w:rPr>
                <w:sz w:val="20"/>
                <w:szCs w:val="20"/>
                <w:lang w:val="en-US"/>
              </w:rPr>
            </w:pPr>
            <w:r w:rsidRPr="00661021">
              <w:rPr>
                <w:sz w:val="20"/>
                <w:szCs w:val="20"/>
                <w:lang w:val="en-US"/>
              </w:rPr>
              <w:t>Howard A. Mickelson, Q.C.</w:t>
            </w:r>
            <w:r>
              <w:rPr>
                <w:sz w:val="20"/>
                <w:szCs w:val="20"/>
                <w:lang w:val="en-US"/>
              </w:rPr>
              <w:t xml:space="preserve"> and </w:t>
            </w:r>
            <w:r w:rsidRPr="00661021">
              <w:rPr>
                <w:sz w:val="20"/>
                <w:szCs w:val="20"/>
                <w:lang w:val="en-US"/>
              </w:rPr>
              <w:t>Shea H. Coulson</w:t>
            </w:r>
            <w:r>
              <w:rPr>
                <w:sz w:val="20"/>
                <w:szCs w:val="20"/>
                <w:lang w:val="en-US"/>
              </w:rPr>
              <w:t xml:space="preserve"> f</w:t>
            </w:r>
            <w:r w:rsidRPr="00661021">
              <w:rPr>
                <w:sz w:val="20"/>
                <w:szCs w:val="20"/>
                <w:lang w:val="en-US"/>
              </w:rPr>
              <w:t xml:space="preserve">or the </w:t>
            </w:r>
            <w:r w:rsidR="00196939">
              <w:rPr>
                <w:sz w:val="20"/>
                <w:szCs w:val="20"/>
                <w:lang w:val="en-US"/>
              </w:rPr>
              <w:t>a</w:t>
            </w:r>
            <w:r w:rsidRPr="00661021">
              <w:rPr>
                <w:sz w:val="20"/>
                <w:szCs w:val="20"/>
                <w:lang w:val="en-US"/>
              </w:rPr>
              <w:t>ppellant/</w:t>
            </w:r>
            <w:r>
              <w:rPr>
                <w:sz w:val="20"/>
                <w:szCs w:val="20"/>
                <w:lang w:val="en-US"/>
              </w:rPr>
              <w:t>r</w:t>
            </w:r>
            <w:r w:rsidRPr="00661021">
              <w:rPr>
                <w:sz w:val="20"/>
                <w:szCs w:val="20"/>
                <w:lang w:val="en-US"/>
              </w:rPr>
              <w:t>espondent</w:t>
            </w:r>
            <w:r>
              <w:rPr>
                <w:sz w:val="20"/>
                <w:szCs w:val="20"/>
                <w:lang w:val="en-US"/>
              </w:rPr>
              <w:t xml:space="preserve"> </w:t>
            </w:r>
            <w:r w:rsidRPr="00661021">
              <w:rPr>
                <w:sz w:val="20"/>
                <w:szCs w:val="20"/>
                <w:lang w:val="en-US"/>
              </w:rPr>
              <w:t>Richard James Goodwin (35864)</w:t>
            </w:r>
            <w:r>
              <w:rPr>
                <w:sz w:val="20"/>
                <w:szCs w:val="20"/>
                <w:lang w:val="en-US"/>
              </w:rPr>
              <w:t>.</w:t>
            </w:r>
          </w:p>
          <w:p w:rsidR="0030067A" w:rsidRPr="00661021" w:rsidRDefault="0030067A" w:rsidP="0030067A">
            <w:pPr>
              <w:jc w:val="both"/>
              <w:rPr>
                <w:sz w:val="20"/>
                <w:szCs w:val="20"/>
                <w:lang w:val="en-US"/>
              </w:rPr>
            </w:pPr>
          </w:p>
          <w:p w:rsidR="0030067A" w:rsidRPr="00661021" w:rsidRDefault="0030067A" w:rsidP="0030067A">
            <w:pPr>
              <w:jc w:val="both"/>
              <w:rPr>
                <w:sz w:val="20"/>
                <w:szCs w:val="20"/>
              </w:rPr>
            </w:pPr>
            <w:r w:rsidRPr="00661021">
              <w:rPr>
                <w:sz w:val="20"/>
                <w:szCs w:val="20"/>
                <w:lang w:val="en-US"/>
              </w:rPr>
              <w:t>Shea H. Coulson</w:t>
            </w:r>
            <w:r>
              <w:rPr>
                <w:sz w:val="20"/>
                <w:szCs w:val="20"/>
                <w:lang w:val="en-US"/>
              </w:rPr>
              <w:t xml:space="preserve">, </w:t>
            </w:r>
            <w:r w:rsidRPr="00661021">
              <w:rPr>
                <w:sz w:val="20"/>
                <w:szCs w:val="20"/>
              </w:rPr>
              <w:t>Diego A. Solimano</w:t>
            </w:r>
            <w:r>
              <w:rPr>
                <w:sz w:val="20"/>
                <w:szCs w:val="20"/>
              </w:rPr>
              <w:t xml:space="preserve"> and </w:t>
            </w:r>
            <w:r w:rsidRPr="00661021">
              <w:rPr>
                <w:sz w:val="20"/>
                <w:szCs w:val="20"/>
                <w:lang w:val="en-US"/>
              </w:rPr>
              <w:t>Sacha L.I. Roudette</w:t>
            </w:r>
            <w:r>
              <w:rPr>
                <w:sz w:val="20"/>
                <w:szCs w:val="20"/>
                <w:lang w:val="en-US"/>
              </w:rPr>
              <w:t xml:space="preserve"> f</w:t>
            </w:r>
            <w:r w:rsidRPr="00661021">
              <w:rPr>
                <w:sz w:val="20"/>
                <w:szCs w:val="20"/>
                <w:lang w:val="en-US"/>
              </w:rPr>
              <w:t xml:space="preserve">or the </w:t>
            </w:r>
            <w:r>
              <w:rPr>
                <w:sz w:val="20"/>
                <w:szCs w:val="20"/>
                <w:lang w:val="en-US"/>
              </w:rPr>
              <w:t>r</w:t>
            </w:r>
            <w:r w:rsidRPr="00661021">
              <w:rPr>
                <w:sz w:val="20"/>
                <w:szCs w:val="20"/>
                <w:lang w:val="en-US"/>
              </w:rPr>
              <w:t>espondent</w:t>
            </w:r>
            <w:r>
              <w:rPr>
                <w:sz w:val="20"/>
                <w:szCs w:val="20"/>
                <w:lang w:val="en-US"/>
              </w:rPr>
              <w:t xml:space="preserve"> H</w:t>
            </w:r>
            <w:r w:rsidRPr="00661021">
              <w:rPr>
                <w:sz w:val="20"/>
                <w:szCs w:val="20"/>
              </w:rPr>
              <w:t>amie Allen Chisholm et</w:t>
            </w:r>
            <w:r w:rsidR="00196939">
              <w:rPr>
                <w:sz w:val="20"/>
                <w:szCs w:val="20"/>
              </w:rPr>
              <w:t> </w:t>
            </w:r>
            <w:r w:rsidRPr="00661021">
              <w:rPr>
                <w:sz w:val="20"/>
                <w:szCs w:val="20"/>
              </w:rPr>
              <w:t xml:space="preserve">al. </w:t>
            </w:r>
          </w:p>
          <w:p w:rsidR="0030067A" w:rsidRPr="00661021" w:rsidRDefault="0030067A" w:rsidP="0030067A">
            <w:pPr>
              <w:jc w:val="both"/>
              <w:rPr>
                <w:sz w:val="20"/>
                <w:szCs w:val="20"/>
                <w:lang w:val="en-US"/>
              </w:rPr>
            </w:pPr>
          </w:p>
          <w:p w:rsidR="0030067A" w:rsidRPr="00661021" w:rsidRDefault="0030067A" w:rsidP="0030067A">
            <w:pPr>
              <w:jc w:val="both"/>
              <w:rPr>
                <w:sz w:val="20"/>
                <w:szCs w:val="20"/>
                <w:lang w:val="en-US"/>
              </w:rPr>
            </w:pPr>
            <w:r w:rsidRPr="00661021">
              <w:rPr>
                <w:sz w:val="20"/>
                <w:szCs w:val="20"/>
                <w:lang w:val="en-US"/>
              </w:rPr>
              <w:t>Claire E. Hunter</w:t>
            </w:r>
            <w:r>
              <w:rPr>
                <w:sz w:val="20"/>
                <w:szCs w:val="20"/>
                <w:lang w:val="en-US"/>
              </w:rPr>
              <w:t xml:space="preserve">, </w:t>
            </w:r>
            <w:r w:rsidRPr="00661021">
              <w:rPr>
                <w:sz w:val="20"/>
                <w:szCs w:val="20"/>
                <w:lang w:val="en-US"/>
              </w:rPr>
              <w:t>Eileen Patel</w:t>
            </w:r>
            <w:r>
              <w:rPr>
                <w:sz w:val="20"/>
                <w:szCs w:val="20"/>
                <w:lang w:val="en-US"/>
              </w:rPr>
              <w:t xml:space="preserve"> and </w:t>
            </w:r>
            <w:r w:rsidRPr="00661021">
              <w:rPr>
                <w:sz w:val="20"/>
                <w:szCs w:val="20"/>
                <w:lang w:val="en-US"/>
              </w:rPr>
              <w:t>Nigel Marshman</w:t>
            </w:r>
            <w:r>
              <w:rPr>
                <w:sz w:val="20"/>
                <w:szCs w:val="20"/>
                <w:lang w:val="en-US"/>
              </w:rPr>
              <w:t xml:space="preserve"> f</w:t>
            </w:r>
            <w:r w:rsidRPr="00661021">
              <w:rPr>
                <w:sz w:val="20"/>
                <w:szCs w:val="20"/>
                <w:lang w:val="en-US"/>
              </w:rPr>
              <w:t xml:space="preserve">or the </w:t>
            </w:r>
            <w:r>
              <w:rPr>
                <w:sz w:val="20"/>
                <w:szCs w:val="20"/>
                <w:lang w:val="en-US"/>
              </w:rPr>
              <w:t>i</w:t>
            </w:r>
            <w:r w:rsidRPr="00661021">
              <w:rPr>
                <w:sz w:val="20"/>
                <w:szCs w:val="20"/>
                <w:lang w:val="en-US"/>
              </w:rPr>
              <w:t>ntervener</w:t>
            </w:r>
            <w:r>
              <w:rPr>
                <w:sz w:val="20"/>
                <w:szCs w:val="20"/>
                <w:lang w:val="en-US"/>
              </w:rPr>
              <w:t xml:space="preserve"> </w:t>
            </w:r>
            <w:r w:rsidRPr="00661021">
              <w:rPr>
                <w:sz w:val="20"/>
                <w:szCs w:val="20"/>
                <w:lang w:val="en-US"/>
              </w:rPr>
              <w:t>British Columbia Civil Liberties Association</w:t>
            </w:r>
            <w:r>
              <w:rPr>
                <w:sz w:val="20"/>
                <w:szCs w:val="20"/>
                <w:lang w:val="en-US"/>
              </w:rPr>
              <w:t>.</w:t>
            </w:r>
          </w:p>
          <w:p w:rsidR="0030067A" w:rsidRPr="00661021" w:rsidRDefault="0030067A" w:rsidP="0030067A">
            <w:pPr>
              <w:jc w:val="both"/>
              <w:rPr>
                <w:sz w:val="20"/>
                <w:szCs w:val="20"/>
                <w:lang w:val="en-US"/>
              </w:rPr>
            </w:pPr>
          </w:p>
          <w:p w:rsidR="0030067A" w:rsidRPr="00661021" w:rsidRDefault="0030067A" w:rsidP="0030067A">
            <w:pPr>
              <w:jc w:val="both"/>
              <w:rPr>
                <w:sz w:val="20"/>
                <w:szCs w:val="20"/>
              </w:rPr>
            </w:pPr>
            <w:r w:rsidRPr="00661021">
              <w:rPr>
                <w:sz w:val="20"/>
                <w:szCs w:val="20"/>
                <w:lang w:val="en-US"/>
              </w:rPr>
              <w:t>Shannon Prithipaul</w:t>
            </w:r>
            <w:r>
              <w:rPr>
                <w:sz w:val="20"/>
                <w:szCs w:val="20"/>
                <w:lang w:val="en-US"/>
              </w:rPr>
              <w:t xml:space="preserve">, </w:t>
            </w:r>
            <w:r w:rsidRPr="00661021">
              <w:rPr>
                <w:sz w:val="20"/>
                <w:szCs w:val="20"/>
                <w:lang w:val="en-US"/>
              </w:rPr>
              <w:t>Ian Savage</w:t>
            </w:r>
            <w:r>
              <w:rPr>
                <w:sz w:val="20"/>
                <w:szCs w:val="20"/>
                <w:lang w:val="en-US"/>
              </w:rPr>
              <w:t xml:space="preserve"> and </w:t>
            </w:r>
            <w:r w:rsidRPr="00661021">
              <w:rPr>
                <w:sz w:val="20"/>
                <w:szCs w:val="20"/>
              </w:rPr>
              <w:t>Michael Oykhman</w:t>
            </w:r>
            <w:r>
              <w:rPr>
                <w:sz w:val="20"/>
                <w:szCs w:val="20"/>
              </w:rPr>
              <w:t xml:space="preserve"> f</w:t>
            </w:r>
            <w:r w:rsidRPr="00661021">
              <w:rPr>
                <w:sz w:val="20"/>
                <w:szCs w:val="20"/>
                <w:lang w:val="en-US"/>
              </w:rPr>
              <w:t xml:space="preserve">or the </w:t>
            </w:r>
            <w:r>
              <w:rPr>
                <w:sz w:val="20"/>
                <w:szCs w:val="20"/>
                <w:lang w:val="en-US"/>
              </w:rPr>
              <w:t>i</w:t>
            </w:r>
            <w:r w:rsidRPr="00661021">
              <w:rPr>
                <w:sz w:val="20"/>
                <w:szCs w:val="20"/>
                <w:lang w:val="en-US"/>
              </w:rPr>
              <w:t>ntervener</w:t>
            </w:r>
            <w:r>
              <w:rPr>
                <w:sz w:val="20"/>
                <w:szCs w:val="20"/>
                <w:lang w:val="en-US"/>
              </w:rPr>
              <w:t xml:space="preserve"> </w:t>
            </w:r>
            <w:r w:rsidRPr="00661021">
              <w:rPr>
                <w:sz w:val="20"/>
                <w:szCs w:val="20"/>
                <w:lang w:val="en-US"/>
              </w:rPr>
              <w:t>Criminal Trial Lawyers</w:t>
            </w:r>
            <w:r>
              <w:rPr>
                <w:sz w:val="20"/>
                <w:szCs w:val="20"/>
                <w:lang w:val="en-US"/>
              </w:rPr>
              <w:t>’</w:t>
            </w:r>
            <w:r w:rsidRPr="00661021">
              <w:rPr>
                <w:sz w:val="20"/>
                <w:szCs w:val="20"/>
                <w:lang w:val="en-US"/>
              </w:rPr>
              <w:t xml:space="preserve"> Association </w:t>
            </w:r>
            <w:r w:rsidRPr="00661021">
              <w:rPr>
                <w:sz w:val="20"/>
                <w:szCs w:val="20"/>
              </w:rPr>
              <w:t xml:space="preserve">(Alberta) et al.  </w:t>
            </w:r>
          </w:p>
          <w:p w:rsidR="0030067A" w:rsidRPr="00661021" w:rsidRDefault="0030067A" w:rsidP="0030067A">
            <w:pPr>
              <w:ind w:left="2880" w:firstLine="720"/>
              <w:jc w:val="both"/>
              <w:rPr>
                <w:sz w:val="20"/>
                <w:szCs w:val="20"/>
              </w:rPr>
            </w:pPr>
          </w:p>
          <w:p w:rsidR="0030067A" w:rsidRPr="00661021" w:rsidRDefault="0030067A" w:rsidP="0030067A">
            <w:pPr>
              <w:jc w:val="both"/>
              <w:rPr>
                <w:sz w:val="20"/>
                <w:szCs w:val="20"/>
                <w:lang w:val="en-US"/>
              </w:rPr>
            </w:pPr>
            <w:r w:rsidRPr="00661021">
              <w:rPr>
                <w:sz w:val="20"/>
                <w:szCs w:val="20"/>
                <w:lang w:val="en-US"/>
              </w:rPr>
              <w:t>Michael Lacy</w:t>
            </w:r>
            <w:r>
              <w:rPr>
                <w:sz w:val="20"/>
                <w:szCs w:val="20"/>
                <w:lang w:val="en-US"/>
              </w:rPr>
              <w:t xml:space="preserve">, </w:t>
            </w:r>
            <w:r w:rsidRPr="00661021">
              <w:rPr>
                <w:sz w:val="20"/>
                <w:szCs w:val="20"/>
                <w:lang w:val="en-US"/>
              </w:rPr>
              <w:t xml:space="preserve">Joanna Baron </w:t>
            </w:r>
            <w:r>
              <w:rPr>
                <w:sz w:val="20"/>
                <w:szCs w:val="20"/>
                <w:lang w:val="en-US"/>
              </w:rPr>
              <w:t xml:space="preserve">and </w:t>
            </w:r>
            <w:r w:rsidRPr="00661021">
              <w:rPr>
                <w:sz w:val="20"/>
                <w:szCs w:val="20"/>
                <w:lang w:val="en-US"/>
              </w:rPr>
              <w:t>Andrew Burgess</w:t>
            </w:r>
            <w:r>
              <w:rPr>
                <w:sz w:val="20"/>
                <w:szCs w:val="20"/>
                <w:lang w:val="en-US"/>
              </w:rPr>
              <w:t xml:space="preserve"> f</w:t>
            </w:r>
            <w:r w:rsidRPr="00661021">
              <w:rPr>
                <w:sz w:val="20"/>
                <w:szCs w:val="20"/>
                <w:lang w:val="en-US"/>
              </w:rPr>
              <w:t xml:space="preserve">or the </w:t>
            </w:r>
            <w:r>
              <w:rPr>
                <w:sz w:val="20"/>
                <w:szCs w:val="20"/>
                <w:lang w:val="en-US"/>
              </w:rPr>
              <w:t>i</w:t>
            </w:r>
            <w:r w:rsidRPr="00661021">
              <w:rPr>
                <w:sz w:val="20"/>
                <w:szCs w:val="20"/>
                <w:lang w:val="en-US"/>
              </w:rPr>
              <w:t>ntervener</w:t>
            </w:r>
            <w:r>
              <w:rPr>
                <w:sz w:val="20"/>
                <w:szCs w:val="20"/>
                <w:lang w:val="en-US"/>
              </w:rPr>
              <w:t xml:space="preserve"> </w:t>
            </w:r>
            <w:r w:rsidRPr="00661021">
              <w:rPr>
                <w:sz w:val="20"/>
                <w:szCs w:val="20"/>
                <w:lang w:val="en-US"/>
              </w:rPr>
              <w:t>Criminal Lawyers</w:t>
            </w:r>
            <w:r>
              <w:rPr>
                <w:sz w:val="20"/>
                <w:szCs w:val="20"/>
                <w:lang w:val="en-US"/>
              </w:rPr>
              <w:t>’</w:t>
            </w:r>
            <w:r w:rsidRPr="00661021">
              <w:rPr>
                <w:sz w:val="20"/>
                <w:szCs w:val="20"/>
                <w:lang w:val="en-US"/>
              </w:rPr>
              <w:t xml:space="preserve"> Association of Ontario</w:t>
            </w:r>
            <w:r>
              <w:rPr>
                <w:sz w:val="20"/>
                <w:szCs w:val="20"/>
                <w:lang w:val="en-US"/>
              </w:rPr>
              <w:t>.</w:t>
            </w:r>
          </w:p>
          <w:p w:rsidR="0030067A" w:rsidRPr="00661021" w:rsidRDefault="0030067A" w:rsidP="0030067A">
            <w:pPr>
              <w:jc w:val="both"/>
              <w:rPr>
                <w:sz w:val="20"/>
                <w:szCs w:val="20"/>
                <w:lang w:val="en-US"/>
              </w:rPr>
            </w:pPr>
          </w:p>
          <w:p w:rsidR="0030067A" w:rsidRPr="00661021" w:rsidRDefault="00196939" w:rsidP="0030067A">
            <w:pPr>
              <w:jc w:val="both"/>
              <w:rPr>
                <w:sz w:val="20"/>
                <w:szCs w:val="20"/>
              </w:rPr>
            </w:pPr>
            <w:r w:rsidRPr="00661021">
              <w:rPr>
                <w:sz w:val="20"/>
                <w:szCs w:val="20"/>
                <w:lang w:val="en-US"/>
              </w:rPr>
              <w:t>Leah Greathead</w:t>
            </w:r>
            <w:r>
              <w:rPr>
                <w:sz w:val="20"/>
                <w:szCs w:val="20"/>
                <w:lang w:val="en-US"/>
              </w:rPr>
              <w:t xml:space="preserve">, </w:t>
            </w:r>
            <w:r w:rsidR="0030067A" w:rsidRPr="00661021">
              <w:rPr>
                <w:sz w:val="20"/>
                <w:szCs w:val="20"/>
                <w:lang w:val="en-US"/>
              </w:rPr>
              <w:t>Nathaniel Carnegie</w:t>
            </w:r>
            <w:r w:rsidR="0030067A">
              <w:rPr>
                <w:sz w:val="20"/>
                <w:szCs w:val="20"/>
                <w:lang w:val="en-US"/>
              </w:rPr>
              <w:t xml:space="preserve">, and </w:t>
            </w:r>
            <w:r w:rsidR="0030067A" w:rsidRPr="00661021">
              <w:rPr>
                <w:sz w:val="20"/>
                <w:szCs w:val="20"/>
              </w:rPr>
              <w:t>Tyna Mason</w:t>
            </w:r>
            <w:r w:rsidR="0030067A">
              <w:rPr>
                <w:sz w:val="20"/>
                <w:szCs w:val="20"/>
              </w:rPr>
              <w:t xml:space="preserve"> f</w:t>
            </w:r>
            <w:r w:rsidR="0030067A" w:rsidRPr="00661021">
              <w:rPr>
                <w:sz w:val="20"/>
                <w:szCs w:val="20"/>
                <w:lang w:val="en-US"/>
              </w:rPr>
              <w:t xml:space="preserve">or the </w:t>
            </w:r>
            <w:r w:rsidR="0030067A">
              <w:rPr>
                <w:sz w:val="20"/>
                <w:szCs w:val="20"/>
                <w:lang w:val="en-US"/>
              </w:rPr>
              <w:t>r</w:t>
            </w:r>
            <w:r w:rsidR="0030067A" w:rsidRPr="00661021">
              <w:rPr>
                <w:sz w:val="20"/>
                <w:szCs w:val="20"/>
                <w:lang w:val="en-US"/>
              </w:rPr>
              <w:t>espondents/</w:t>
            </w:r>
            <w:r w:rsidR="0030067A">
              <w:rPr>
                <w:sz w:val="20"/>
                <w:szCs w:val="20"/>
                <w:lang w:val="en-US"/>
              </w:rPr>
              <w:t>a</w:t>
            </w:r>
            <w:r w:rsidR="0030067A" w:rsidRPr="00661021">
              <w:rPr>
                <w:sz w:val="20"/>
                <w:szCs w:val="20"/>
                <w:lang w:val="en-US"/>
              </w:rPr>
              <w:t>ppellants</w:t>
            </w:r>
            <w:r w:rsidR="0030067A">
              <w:rPr>
                <w:sz w:val="20"/>
                <w:szCs w:val="20"/>
                <w:lang w:val="en-US"/>
              </w:rPr>
              <w:t xml:space="preserve"> </w:t>
            </w:r>
            <w:r w:rsidR="0030067A" w:rsidRPr="00661021">
              <w:rPr>
                <w:sz w:val="20"/>
                <w:szCs w:val="20"/>
                <w:lang w:val="en-US"/>
              </w:rPr>
              <w:t>British Columbia (Superintendent of Motor</w:t>
            </w:r>
            <w:r w:rsidR="0030067A">
              <w:rPr>
                <w:sz w:val="20"/>
                <w:szCs w:val="20"/>
                <w:lang w:val="en-US"/>
              </w:rPr>
              <w:t xml:space="preserve"> </w:t>
            </w:r>
            <w:r w:rsidR="0030067A" w:rsidRPr="00661021">
              <w:rPr>
                <w:sz w:val="20"/>
                <w:szCs w:val="20"/>
              </w:rPr>
              <w:t>Vehicles) et al. (35864)</w:t>
            </w:r>
            <w:r w:rsidR="0030067A">
              <w:rPr>
                <w:sz w:val="20"/>
                <w:szCs w:val="20"/>
              </w:rPr>
              <w:t>.</w:t>
            </w:r>
          </w:p>
          <w:p w:rsidR="0030067A" w:rsidRPr="00661021" w:rsidRDefault="0030067A" w:rsidP="0030067A">
            <w:pPr>
              <w:jc w:val="both"/>
              <w:rPr>
                <w:sz w:val="20"/>
                <w:szCs w:val="20"/>
              </w:rPr>
            </w:pPr>
          </w:p>
          <w:p w:rsidR="0030067A" w:rsidRPr="00661021" w:rsidRDefault="0030067A" w:rsidP="0030067A">
            <w:pPr>
              <w:jc w:val="both"/>
              <w:rPr>
                <w:sz w:val="20"/>
                <w:szCs w:val="20"/>
              </w:rPr>
            </w:pPr>
            <w:r w:rsidRPr="00661021">
              <w:rPr>
                <w:sz w:val="20"/>
                <w:szCs w:val="20"/>
              </w:rPr>
              <w:t>Alan L.W. D’Silva</w:t>
            </w:r>
            <w:r>
              <w:rPr>
                <w:sz w:val="20"/>
                <w:szCs w:val="20"/>
              </w:rPr>
              <w:t xml:space="preserve">, </w:t>
            </w:r>
            <w:r w:rsidRPr="00661021">
              <w:rPr>
                <w:rFonts w:cs="Times New Roman"/>
                <w:sz w:val="20"/>
                <w:szCs w:val="20"/>
                <w:lang w:val="en-US"/>
              </w:rPr>
              <w:t>Nicholas McHaffie</w:t>
            </w:r>
            <w:r>
              <w:rPr>
                <w:rFonts w:cs="Times New Roman"/>
                <w:sz w:val="20"/>
                <w:szCs w:val="20"/>
                <w:lang w:val="en-US"/>
              </w:rPr>
              <w:t xml:space="preserve"> and </w:t>
            </w:r>
            <w:r w:rsidRPr="00661021">
              <w:rPr>
                <w:sz w:val="20"/>
                <w:szCs w:val="20"/>
              </w:rPr>
              <w:t>Alexandra Urbanski</w:t>
            </w:r>
            <w:r>
              <w:rPr>
                <w:sz w:val="20"/>
                <w:szCs w:val="20"/>
              </w:rPr>
              <w:t xml:space="preserve"> f</w:t>
            </w:r>
            <w:r w:rsidRPr="00661021">
              <w:rPr>
                <w:sz w:val="20"/>
                <w:szCs w:val="20"/>
              </w:rPr>
              <w:t xml:space="preserve">or the </w:t>
            </w:r>
            <w:r>
              <w:rPr>
                <w:sz w:val="20"/>
                <w:szCs w:val="20"/>
              </w:rPr>
              <w:t>i</w:t>
            </w:r>
            <w:r w:rsidRPr="00661021">
              <w:rPr>
                <w:sz w:val="20"/>
                <w:szCs w:val="20"/>
              </w:rPr>
              <w:t>ntervener</w:t>
            </w:r>
            <w:r>
              <w:rPr>
                <w:sz w:val="20"/>
                <w:szCs w:val="20"/>
              </w:rPr>
              <w:t xml:space="preserve"> </w:t>
            </w:r>
            <w:r w:rsidRPr="00661021">
              <w:rPr>
                <w:sz w:val="20"/>
                <w:szCs w:val="20"/>
              </w:rPr>
              <w:t>Insurance Bureau of Canada</w:t>
            </w:r>
            <w:r>
              <w:rPr>
                <w:sz w:val="20"/>
                <w:szCs w:val="20"/>
              </w:rPr>
              <w:t>.</w:t>
            </w:r>
          </w:p>
          <w:p w:rsidR="0030067A" w:rsidRPr="00661021" w:rsidRDefault="0030067A" w:rsidP="0030067A">
            <w:pPr>
              <w:jc w:val="both"/>
              <w:rPr>
                <w:sz w:val="20"/>
                <w:szCs w:val="20"/>
              </w:rPr>
            </w:pPr>
          </w:p>
          <w:p w:rsidR="0030067A" w:rsidRPr="00661021" w:rsidRDefault="0030067A" w:rsidP="0030067A">
            <w:pPr>
              <w:jc w:val="both"/>
              <w:rPr>
                <w:sz w:val="20"/>
                <w:szCs w:val="20"/>
              </w:rPr>
            </w:pPr>
            <w:r w:rsidRPr="00661021">
              <w:rPr>
                <w:sz w:val="20"/>
                <w:szCs w:val="20"/>
              </w:rPr>
              <w:t xml:space="preserve">Sean McDonough </w:t>
            </w:r>
            <w:r>
              <w:rPr>
                <w:sz w:val="20"/>
                <w:szCs w:val="20"/>
              </w:rPr>
              <w:t>f</w:t>
            </w:r>
            <w:r w:rsidRPr="00661021">
              <w:rPr>
                <w:sz w:val="20"/>
                <w:szCs w:val="20"/>
              </w:rPr>
              <w:t xml:space="preserve">or the </w:t>
            </w:r>
            <w:r>
              <w:rPr>
                <w:sz w:val="20"/>
                <w:szCs w:val="20"/>
              </w:rPr>
              <w:t>i</w:t>
            </w:r>
            <w:r w:rsidRPr="00661021">
              <w:rPr>
                <w:sz w:val="20"/>
                <w:szCs w:val="20"/>
              </w:rPr>
              <w:t>ntervener</w:t>
            </w:r>
            <w:r>
              <w:rPr>
                <w:sz w:val="20"/>
                <w:szCs w:val="20"/>
              </w:rPr>
              <w:t xml:space="preserve"> </w:t>
            </w:r>
            <w:r w:rsidRPr="00661021">
              <w:rPr>
                <w:sz w:val="20"/>
                <w:szCs w:val="20"/>
              </w:rPr>
              <w:t>Alberta Registrar of Motor Vehicle Services</w:t>
            </w:r>
            <w:r>
              <w:rPr>
                <w:sz w:val="20"/>
                <w:szCs w:val="20"/>
              </w:rPr>
              <w:t>.</w:t>
            </w:r>
          </w:p>
          <w:p w:rsidR="0030067A" w:rsidRPr="00661021" w:rsidRDefault="0030067A" w:rsidP="0030067A">
            <w:pPr>
              <w:jc w:val="both"/>
              <w:rPr>
                <w:sz w:val="20"/>
                <w:szCs w:val="20"/>
              </w:rPr>
            </w:pPr>
          </w:p>
          <w:p w:rsidR="0030067A" w:rsidRPr="00661021" w:rsidRDefault="0030067A" w:rsidP="0030067A">
            <w:pPr>
              <w:jc w:val="both"/>
              <w:rPr>
                <w:sz w:val="20"/>
                <w:szCs w:val="20"/>
              </w:rPr>
            </w:pPr>
            <w:r w:rsidRPr="00661021">
              <w:rPr>
                <w:sz w:val="20"/>
                <w:szCs w:val="20"/>
              </w:rPr>
              <w:t>Bryant Mackey</w:t>
            </w:r>
            <w:r>
              <w:rPr>
                <w:sz w:val="20"/>
                <w:szCs w:val="20"/>
              </w:rPr>
              <w:t xml:space="preserve">, </w:t>
            </w:r>
            <w:r w:rsidRPr="00661021">
              <w:rPr>
                <w:sz w:val="20"/>
                <w:szCs w:val="20"/>
              </w:rPr>
              <w:t>Guy Régimbald</w:t>
            </w:r>
            <w:r>
              <w:rPr>
                <w:sz w:val="20"/>
                <w:szCs w:val="20"/>
              </w:rPr>
              <w:t xml:space="preserve"> and </w:t>
            </w:r>
            <w:r w:rsidRPr="00661021">
              <w:rPr>
                <w:sz w:val="20"/>
                <w:szCs w:val="20"/>
              </w:rPr>
              <w:t>Matthew Estabrooks</w:t>
            </w:r>
            <w:r>
              <w:rPr>
                <w:sz w:val="20"/>
                <w:szCs w:val="20"/>
              </w:rPr>
              <w:t xml:space="preserve"> f</w:t>
            </w:r>
            <w:r w:rsidRPr="00661021">
              <w:rPr>
                <w:sz w:val="20"/>
                <w:szCs w:val="20"/>
              </w:rPr>
              <w:t xml:space="preserve">or the </w:t>
            </w:r>
            <w:r>
              <w:rPr>
                <w:sz w:val="20"/>
                <w:szCs w:val="20"/>
              </w:rPr>
              <w:t>i</w:t>
            </w:r>
            <w:r w:rsidRPr="00661021">
              <w:rPr>
                <w:sz w:val="20"/>
                <w:szCs w:val="20"/>
              </w:rPr>
              <w:t>ntervener</w:t>
            </w:r>
            <w:r>
              <w:rPr>
                <w:sz w:val="20"/>
                <w:szCs w:val="20"/>
              </w:rPr>
              <w:t xml:space="preserve"> </w:t>
            </w:r>
            <w:r w:rsidRPr="00661021">
              <w:rPr>
                <w:sz w:val="20"/>
                <w:szCs w:val="20"/>
              </w:rPr>
              <w:t>Mothers Against Drunk Driving Canada</w:t>
            </w:r>
            <w:r>
              <w:rPr>
                <w:sz w:val="20"/>
                <w:szCs w:val="20"/>
              </w:rPr>
              <w:t>.</w:t>
            </w:r>
          </w:p>
          <w:p w:rsidR="0030067A" w:rsidRPr="00661021" w:rsidRDefault="0030067A" w:rsidP="0030067A">
            <w:pPr>
              <w:jc w:val="both"/>
              <w:rPr>
                <w:sz w:val="20"/>
                <w:szCs w:val="20"/>
              </w:rPr>
            </w:pPr>
          </w:p>
          <w:p w:rsidR="0030067A" w:rsidRPr="00661021" w:rsidRDefault="0030067A" w:rsidP="0030067A">
            <w:pPr>
              <w:jc w:val="both"/>
              <w:rPr>
                <w:sz w:val="20"/>
                <w:szCs w:val="20"/>
              </w:rPr>
            </w:pPr>
            <w:r>
              <w:rPr>
                <w:sz w:val="20"/>
                <w:szCs w:val="20"/>
              </w:rPr>
              <w:t>W</w:t>
            </w:r>
            <w:r w:rsidRPr="00661021">
              <w:rPr>
                <w:sz w:val="20"/>
                <w:szCs w:val="20"/>
              </w:rPr>
              <w:t>ritten submission only</w:t>
            </w:r>
            <w:r>
              <w:rPr>
                <w:sz w:val="20"/>
                <w:szCs w:val="20"/>
              </w:rPr>
              <w:t xml:space="preserve"> f</w:t>
            </w:r>
            <w:r w:rsidRPr="00661021">
              <w:rPr>
                <w:sz w:val="20"/>
                <w:szCs w:val="20"/>
              </w:rPr>
              <w:t xml:space="preserve">or the </w:t>
            </w:r>
            <w:r>
              <w:rPr>
                <w:sz w:val="20"/>
                <w:szCs w:val="20"/>
              </w:rPr>
              <w:t>i</w:t>
            </w:r>
            <w:r w:rsidRPr="00661021">
              <w:rPr>
                <w:sz w:val="20"/>
                <w:szCs w:val="20"/>
              </w:rPr>
              <w:t>ntervener</w:t>
            </w:r>
            <w:r>
              <w:rPr>
                <w:sz w:val="20"/>
                <w:szCs w:val="20"/>
              </w:rPr>
              <w:t xml:space="preserve"> </w:t>
            </w:r>
            <w:r w:rsidRPr="00661021">
              <w:rPr>
                <w:sz w:val="20"/>
                <w:szCs w:val="20"/>
              </w:rPr>
              <w:t>Attorney General of Canada</w:t>
            </w:r>
            <w:r>
              <w:rPr>
                <w:sz w:val="20"/>
                <w:szCs w:val="20"/>
              </w:rPr>
              <w:t>.</w:t>
            </w:r>
          </w:p>
          <w:p w:rsidR="0030067A" w:rsidRPr="00661021" w:rsidRDefault="0030067A" w:rsidP="0030067A">
            <w:pPr>
              <w:jc w:val="both"/>
              <w:rPr>
                <w:sz w:val="20"/>
                <w:szCs w:val="20"/>
              </w:rPr>
            </w:pPr>
          </w:p>
          <w:p w:rsidR="0030067A" w:rsidRPr="00661021" w:rsidRDefault="0030067A" w:rsidP="0030067A">
            <w:pPr>
              <w:jc w:val="both"/>
              <w:rPr>
                <w:sz w:val="20"/>
                <w:szCs w:val="20"/>
              </w:rPr>
            </w:pPr>
            <w:r>
              <w:rPr>
                <w:sz w:val="20"/>
                <w:szCs w:val="20"/>
              </w:rPr>
              <w:t>W</w:t>
            </w:r>
            <w:r w:rsidRPr="00661021">
              <w:rPr>
                <w:sz w:val="20"/>
                <w:szCs w:val="20"/>
              </w:rPr>
              <w:t>ritten submission only</w:t>
            </w:r>
            <w:r>
              <w:rPr>
                <w:sz w:val="20"/>
                <w:szCs w:val="20"/>
              </w:rPr>
              <w:t xml:space="preserve"> f</w:t>
            </w:r>
            <w:r w:rsidRPr="00661021">
              <w:rPr>
                <w:sz w:val="20"/>
                <w:szCs w:val="20"/>
              </w:rPr>
              <w:t>or the Intervener</w:t>
            </w:r>
            <w:r>
              <w:rPr>
                <w:sz w:val="20"/>
                <w:szCs w:val="20"/>
              </w:rPr>
              <w:t xml:space="preserve"> </w:t>
            </w:r>
            <w:r w:rsidRPr="00661021">
              <w:rPr>
                <w:sz w:val="20"/>
                <w:szCs w:val="20"/>
              </w:rPr>
              <w:t>Attorney General of Ontario.</w:t>
            </w:r>
          </w:p>
          <w:p w:rsidR="0030067A" w:rsidRPr="00661021" w:rsidRDefault="0030067A" w:rsidP="0030067A">
            <w:pPr>
              <w:jc w:val="both"/>
              <w:rPr>
                <w:sz w:val="20"/>
                <w:szCs w:val="20"/>
              </w:rPr>
            </w:pPr>
            <w:r w:rsidRPr="00661021">
              <w:rPr>
                <w:sz w:val="20"/>
                <w:szCs w:val="20"/>
              </w:rPr>
              <w:t xml:space="preserve"> </w:t>
            </w:r>
          </w:p>
          <w:p w:rsidR="0030067A" w:rsidRPr="00661021" w:rsidRDefault="0030067A" w:rsidP="0030067A">
            <w:pPr>
              <w:jc w:val="both"/>
              <w:rPr>
                <w:sz w:val="20"/>
                <w:szCs w:val="20"/>
                <w:lang w:val="fr-CA"/>
              </w:rPr>
            </w:pPr>
            <w:r w:rsidRPr="00661021">
              <w:rPr>
                <w:sz w:val="20"/>
                <w:szCs w:val="20"/>
                <w:lang w:val="fr-CA"/>
              </w:rPr>
              <w:t xml:space="preserve">Soumission écrite seulement </w:t>
            </w:r>
            <w:r>
              <w:rPr>
                <w:sz w:val="20"/>
                <w:szCs w:val="20"/>
                <w:lang w:val="fr-CA"/>
              </w:rPr>
              <w:t>p</w:t>
            </w:r>
            <w:r w:rsidRPr="00661021">
              <w:rPr>
                <w:sz w:val="20"/>
                <w:szCs w:val="20"/>
                <w:lang w:val="fr-CA"/>
              </w:rPr>
              <w:t>our l’intervenante</w:t>
            </w:r>
            <w:r>
              <w:rPr>
                <w:sz w:val="20"/>
                <w:szCs w:val="20"/>
                <w:lang w:val="fr-CA"/>
              </w:rPr>
              <w:t xml:space="preserve"> </w:t>
            </w:r>
            <w:r w:rsidRPr="00661021">
              <w:rPr>
                <w:sz w:val="20"/>
                <w:szCs w:val="20"/>
                <w:lang w:val="fr-CA"/>
              </w:rPr>
              <w:t>Procureure générale du Québec</w:t>
            </w:r>
            <w:r>
              <w:rPr>
                <w:sz w:val="20"/>
                <w:szCs w:val="20"/>
                <w:lang w:val="fr-CA"/>
              </w:rPr>
              <w:t>.</w:t>
            </w:r>
          </w:p>
          <w:p w:rsidR="0030067A" w:rsidRPr="00661021" w:rsidRDefault="0030067A" w:rsidP="0030067A">
            <w:pPr>
              <w:jc w:val="both"/>
              <w:rPr>
                <w:sz w:val="20"/>
                <w:szCs w:val="20"/>
                <w:lang w:val="fr-CA"/>
              </w:rPr>
            </w:pPr>
          </w:p>
          <w:p w:rsidR="0030067A" w:rsidRPr="00661021" w:rsidRDefault="0030067A" w:rsidP="0030067A">
            <w:pPr>
              <w:jc w:val="both"/>
              <w:rPr>
                <w:sz w:val="20"/>
                <w:szCs w:val="20"/>
              </w:rPr>
            </w:pPr>
            <w:r>
              <w:rPr>
                <w:sz w:val="20"/>
                <w:szCs w:val="20"/>
              </w:rPr>
              <w:t>W</w:t>
            </w:r>
            <w:r w:rsidRPr="00661021">
              <w:rPr>
                <w:sz w:val="20"/>
                <w:szCs w:val="20"/>
              </w:rPr>
              <w:t>ritten submission only</w:t>
            </w:r>
            <w:r>
              <w:rPr>
                <w:sz w:val="20"/>
                <w:szCs w:val="20"/>
              </w:rPr>
              <w:t xml:space="preserve"> f</w:t>
            </w:r>
            <w:r w:rsidRPr="00661021">
              <w:rPr>
                <w:sz w:val="20"/>
                <w:szCs w:val="20"/>
              </w:rPr>
              <w:t xml:space="preserve">or the </w:t>
            </w:r>
            <w:r>
              <w:rPr>
                <w:sz w:val="20"/>
                <w:szCs w:val="20"/>
              </w:rPr>
              <w:t>i</w:t>
            </w:r>
            <w:r w:rsidRPr="00661021">
              <w:rPr>
                <w:sz w:val="20"/>
                <w:szCs w:val="20"/>
              </w:rPr>
              <w:t>ntervener</w:t>
            </w:r>
            <w:r>
              <w:rPr>
                <w:sz w:val="20"/>
                <w:szCs w:val="20"/>
              </w:rPr>
              <w:t xml:space="preserve"> A</w:t>
            </w:r>
            <w:r w:rsidRPr="00661021">
              <w:rPr>
                <w:sz w:val="20"/>
                <w:szCs w:val="20"/>
              </w:rPr>
              <w:t>ttorney General of Manitoba</w:t>
            </w:r>
            <w:r>
              <w:rPr>
                <w:sz w:val="20"/>
                <w:szCs w:val="20"/>
              </w:rPr>
              <w:t>.</w:t>
            </w:r>
          </w:p>
          <w:p w:rsidR="0030067A" w:rsidRPr="00661021" w:rsidRDefault="0030067A" w:rsidP="0030067A">
            <w:pPr>
              <w:jc w:val="both"/>
              <w:rPr>
                <w:sz w:val="20"/>
                <w:szCs w:val="20"/>
              </w:rPr>
            </w:pPr>
          </w:p>
          <w:p w:rsidR="0030067A" w:rsidRPr="00661021" w:rsidRDefault="0030067A" w:rsidP="0030067A">
            <w:pPr>
              <w:jc w:val="both"/>
              <w:rPr>
                <w:sz w:val="20"/>
                <w:szCs w:val="20"/>
              </w:rPr>
            </w:pPr>
            <w:r>
              <w:rPr>
                <w:sz w:val="20"/>
                <w:szCs w:val="20"/>
              </w:rPr>
              <w:t>W</w:t>
            </w:r>
            <w:r w:rsidRPr="00661021">
              <w:rPr>
                <w:sz w:val="20"/>
                <w:szCs w:val="20"/>
              </w:rPr>
              <w:t>ritten submission only</w:t>
            </w:r>
            <w:r>
              <w:rPr>
                <w:sz w:val="20"/>
                <w:szCs w:val="20"/>
              </w:rPr>
              <w:t xml:space="preserve"> f</w:t>
            </w:r>
            <w:r w:rsidRPr="00661021">
              <w:rPr>
                <w:sz w:val="20"/>
                <w:szCs w:val="20"/>
              </w:rPr>
              <w:t xml:space="preserve">or the </w:t>
            </w:r>
            <w:r>
              <w:rPr>
                <w:sz w:val="20"/>
                <w:szCs w:val="20"/>
              </w:rPr>
              <w:t>i</w:t>
            </w:r>
            <w:r w:rsidRPr="00661021">
              <w:rPr>
                <w:sz w:val="20"/>
                <w:szCs w:val="20"/>
              </w:rPr>
              <w:t>ntervener</w:t>
            </w:r>
            <w:r>
              <w:rPr>
                <w:sz w:val="20"/>
                <w:szCs w:val="20"/>
              </w:rPr>
              <w:t xml:space="preserve"> </w:t>
            </w:r>
            <w:r w:rsidRPr="00661021">
              <w:rPr>
                <w:sz w:val="20"/>
                <w:szCs w:val="20"/>
              </w:rPr>
              <w:t>Attorney General for Saskatchewan</w:t>
            </w:r>
            <w:r>
              <w:rPr>
                <w:sz w:val="20"/>
                <w:szCs w:val="20"/>
              </w:rPr>
              <w:t>.</w:t>
            </w:r>
          </w:p>
          <w:p w:rsidR="0030067A" w:rsidRPr="00661021" w:rsidRDefault="0030067A" w:rsidP="0030067A">
            <w:pPr>
              <w:jc w:val="both"/>
              <w:rPr>
                <w:sz w:val="20"/>
                <w:szCs w:val="20"/>
              </w:rPr>
            </w:pPr>
          </w:p>
          <w:p w:rsidR="00046B92" w:rsidRPr="00570496" w:rsidRDefault="0030067A" w:rsidP="0030067A">
            <w:pPr>
              <w:widowControl w:val="0"/>
              <w:jc w:val="both"/>
              <w:rPr>
                <w:sz w:val="20"/>
                <w:szCs w:val="20"/>
              </w:rPr>
            </w:pPr>
            <w:r>
              <w:rPr>
                <w:sz w:val="20"/>
                <w:szCs w:val="20"/>
              </w:rPr>
              <w:t>W</w:t>
            </w:r>
            <w:r w:rsidRPr="00661021">
              <w:rPr>
                <w:sz w:val="20"/>
                <w:szCs w:val="20"/>
              </w:rPr>
              <w:t>ritten submission only</w:t>
            </w:r>
            <w:r>
              <w:rPr>
                <w:sz w:val="20"/>
                <w:szCs w:val="20"/>
              </w:rPr>
              <w:t xml:space="preserve"> f</w:t>
            </w:r>
            <w:r w:rsidRPr="00661021">
              <w:rPr>
                <w:sz w:val="20"/>
                <w:szCs w:val="20"/>
              </w:rPr>
              <w:t xml:space="preserve">or the </w:t>
            </w:r>
            <w:r>
              <w:rPr>
                <w:sz w:val="20"/>
                <w:szCs w:val="20"/>
              </w:rPr>
              <w:t>i</w:t>
            </w:r>
            <w:r w:rsidRPr="00661021">
              <w:rPr>
                <w:sz w:val="20"/>
                <w:szCs w:val="20"/>
              </w:rPr>
              <w:t>ntervener</w:t>
            </w:r>
            <w:r>
              <w:rPr>
                <w:sz w:val="20"/>
                <w:szCs w:val="20"/>
              </w:rPr>
              <w:t xml:space="preserve"> </w:t>
            </w:r>
            <w:r w:rsidRPr="00661021">
              <w:rPr>
                <w:sz w:val="20"/>
                <w:szCs w:val="20"/>
              </w:rPr>
              <w:t>Attorney General of Alberta</w:t>
            </w:r>
            <w:r>
              <w:rPr>
                <w:sz w:val="20"/>
                <w:szCs w:val="20"/>
              </w:rPr>
              <w:t>.</w:t>
            </w:r>
          </w:p>
        </w:tc>
      </w:tr>
    </w:tbl>
    <w:p w:rsidR="00046B92" w:rsidRPr="00570496" w:rsidRDefault="00046B92" w:rsidP="00046B92">
      <w:pPr>
        <w:widowControl w:val="0"/>
        <w:rPr>
          <w:sz w:val="20"/>
          <w:szCs w:val="20"/>
        </w:rPr>
      </w:pPr>
    </w:p>
    <w:p w:rsidR="00046B92" w:rsidRPr="0085476B" w:rsidRDefault="00046B92" w:rsidP="00046B92">
      <w:pPr>
        <w:widowControl w:val="0"/>
        <w:rPr>
          <w:sz w:val="20"/>
          <w:szCs w:val="20"/>
        </w:rPr>
      </w:pPr>
      <w:r>
        <w:rPr>
          <w:b/>
          <w:sz w:val="20"/>
          <w:szCs w:val="20"/>
        </w:rPr>
        <w:t>RESERV</w:t>
      </w:r>
      <w:r w:rsidRPr="0085476B">
        <w:rPr>
          <w:b/>
          <w:sz w:val="20"/>
          <w:szCs w:val="20"/>
        </w:rPr>
        <w:t xml:space="preserve">ED / </w:t>
      </w:r>
      <w:r w:rsidRPr="00570496">
        <w:rPr>
          <w:b/>
          <w:sz w:val="20"/>
          <w:szCs w:val="20"/>
        </w:rPr>
        <w:t>EN DÉLIBÉRÉ</w:t>
      </w:r>
    </w:p>
    <w:p w:rsidR="00046B92" w:rsidRDefault="00046B92" w:rsidP="00046B9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46B92" w:rsidRPr="0063742E" w:rsidTr="00046B92">
        <w:tc>
          <w:tcPr>
            <w:tcW w:w="4380" w:type="dxa"/>
            <w:tcMar>
              <w:left w:w="0" w:type="dxa"/>
              <w:right w:w="0" w:type="dxa"/>
            </w:tcMar>
          </w:tcPr>
          <w:p w:rsidR="00046B92" w:rsidRPr="00CC4D84" w:rsidRDefault="00046B92" w:rsidP="00046B92">
            <w:pPr>
              <w:widowControl w:val="0"/>
              <w:jc w:val="both"/>
              <w:rPr>
                <w:b/>
                <w:sz w:val="20"/>
                <w:szCs w:val="20"/>
                <w:u w:val="single"/>
              </w:rPr>
            </w:pPr>
            <w:r w:rsidRPr="00CC4D84">
              <w:rPr>
                <w:b/>
                <w:sz w:val="20"/>
                <w:szCs w:val="20"/>
                <w:u w:val="single"/>
              </w:rPr>
              <w:t>Nature of the case</w:t>
            </w:r>
            <w:r w:rsidR="00642044">
              <w:rPr>
                <w:b/>
                <w:sz w:val="20"/>
                <w:szCs w:val="20"/>
                <w:u w:val="single"/>
              </w:rPr>
              <w:t xml:space="preserve"> (35959)</w:t>
            </w:r>
            <w:r w:rsidRPr="00CC4D84">
              <w:rPr>
                <w:b/>
                <w:sz w:val="20"/>
                <w:szCs w:val="20"/>
                <w:u w:val="single"/>
              </w:rPr>
              <w:t>:</w:t>
            </w:r>
          </w:p>
          <w:p w:rsidR="00046B92" w:rsidRPr="001A663B" w:rsidRDefault="00046B92" w:rsidP="00046B92">
            <w:pPr>
              <w:widowControl w:val="0"/>
              <w:jc w:val="both"/>
              <w:rPr>
                <w:b/>
                <w:sz w:val="20"/>
                <w:szCs w:val="20"/>
              </w:rPr>
            </w:pPr>
          </w:p>
          <w:p w:rsidR="00046B92" w:rsidRPr="00C1697B" w:rsidRDefault="00352572" w:rsidP="00046B92">
            <w:pPr>
              <w:widowControl w:val="0"/>
              <w:jc w:val="both"/>
              <w:rPr>
                <w:b/>
                <w:sz w:val="20"/>
                <w:szCs w:val="20"/>
              </w:rPr>
            </w:pPr>
            <w:r w:rsidRPr="009F5C3A">
              <w:rPr>
                <w:sz w:val="20"/>
                <w:szCs w:val="20"/>
              </w:rPr>
              <w:t xml:space="preserve">Transportation law - Highways - Automatic roadside prohibitions - Approved screening devices - Whether the Court of Appeal erred in interpreting the legislation to mean that the result of the analysis alone is sufficient to form reasonable grounds to believe the driver’s ability to drive is affected by alcohol, without more - Whether the Court of Appeal erred in failing to find that it is necessary to have an additional form of </w:t>
            </w:r>
            <w:r w:rsidRPr="009F5C3A">
              <w:rPr>
                <w:sz w:val="20"/>
                <w:szCs w:val="20"/>
              </w:rPr>
              <w:lastRenderedPageBreak/>
              <w:t xml:space="preserve">procedural protection to ensure the continuation of constitutional guarantees of Canadian citizens where the results of approved screening device tests are used as the basis for administrative penalties - Whether the Court of Appeal erred when it did not appropriately balance the public purpose of the legislation and the need to respect individual liberties in approved screening device testing, and by limiting its statutory interpretation to a public purpose analysis and failing to consider the broader constitutional issues at play in the use of approved screening devices - </w:t>
            </w:r>
            <w:r w:rsidRPr="009F5C3A">
              <w:rPr>
                <w:i/>
                <w:sz w:val="20"/>
                <w:szCs w:val="20"/>
              </w:rPr>
              <w:t>Motor Vehicle Act</w:t>
            </w:r>
            <w:r w:rsidRPr="009F5C3A">
              <w:rPr>
                <w:sz w:val="20"/>
                <w:szCs w:val="20"/>
              </w:rPr>
              <w:t>, R.S.B.C. 1996, c. 318, s. 215.41(3.1).</w:t>
            </w:r>
          </w:p>
        </w:tc>
        <w:tc>
          <w:tcPr>
            <w:tcW w:w="720" w:type="dxa"/>
            <w:tcMar>
              <w:left w:w="0" w:type="dxa"/>
              <w:right w:w="0" w:type="dxa"/>
            </w:tcMar>
          </w:tcPr>
          <w:p w:rsidR="00046B92" w:rsidRPr="00C1697B" w:rsidRDefault="00046B92" w:rsidP="00046B92">
            <w:pPr>
              <w:widowControl w:val="0"/>
              <w:jc w:val="center"/>
              <w:rPr>
                <w:sz w:val="20"/>
                <w:szCs w:val="20"/>
              </w:rPr>
            </w:pPr>
          </w:p>
        </w:tc>
        <w:tc>
          <w:tcPr>
            <w:tcW w:w="4380" w:type="dxa"/>
            <w:tcMar>
              <w:left w:w="0" w:type="dxa"/>
              <w:right w:w="0" w:type="dxa"/>
            </w:tcMar>
          </w:tcPr>
          <w:p w:rsidR="00046B92" w:rsidRPr="00352572" w:rsidRDefault="00046B92" w:rsidP="00046B92">
            <w:pPr>
              <w:widowControl w:val="0"/>
              <w:jc w:val="both"/>
              <w:rPr>
                <w:b/>
                <w:sz w:val="20"/>
                <w:szCs w:val="20"/>
                <w:u w:val="single"/>
                <w:lang w:val="fr-CA"/>
              </w:rPr>
            </w:pPr>
            <w:r w:rsidRPr="00352572">
              <w:rPr>
                <w:b/>
                <w:sz w:val="20"/>
                <w:szCs w:val="20"/>
                <w:u w:val="single"/>
                <w:lang w:val="fr-CA"/>
              </w:rPr>
              <w:t xml:space="preserve">Nature de la cause </w:t>
            </w:r>
            <w:r w:rsidR="00642044">
              <w:rPr>
                <w:b/>
                <w:sz w:val="20"/>
                <w:szCs w:val="20"/>
                <w:u w:val="single"/>
                <w:lang w:val="fr-CA"/>
              </w:rPr>
              <w:t xml:space="preserve">(35959) </w:t>
            </w:r>
            <w:r w:rsidRPr="00352572">
              <w:rPr>
                <w:b/>
                <w:sz w:val="20"/>
                <w:szCs w:val="20"/>
                <w:u w:val="single"/>
                <w:lang w:val="fr-CA"/>
              </w:rPr>
              <w:t>:</w:t>
            </w:r>
          </w:p>
          <w:p w:rsidR="00046B92" w:rsidRPr="00352572" w:rsidRDefault="00046B92" w:rsidP="00046B92">
            <w:pPr>
              <w:widowControl w:val="0"/>
              <w:jc w:val="both"/>
              <w:rPr>
                <w:sz w:val="20"/>
                <w:szCs w:val="20"/>
                <w:lang w:val="fr-CA"/>
              </w:rPr>
            </w:pPr>
          </w:p>
          <w:p w:rsidR="00046B92" w:rsidRPr="00352572" w:rsidRDefault="00352572" w:rsidP="00352572">
            <w:pPr>
              <w:jc w:val="both"/>
              <w:rPr>
                <w:sz w:val="20"/>
                <w:szCs w:val="20"/>
                <w:lang w:val="fr-CA"/>
              </w:rPr>
            </w:pPr>
            <w:r w:rsidRPr="00206191">
              <w:rPr>
                <w:sz w:val="20"/>
                <w:szCs w:val="20"/>
                <w:lang w:val="fr-CA"/>
              </w:rPr>
              <w:t xml:space="preserve">Droit des transports - Voies publiques - Interdiction automatique sur-le-champ - Appareils de détection approuvés - La Cour d’appel a-t-elle eu tort de conclure que, suivant la loi, le résultat de l’analyse à lui seul suffit à créer des « motifs raisonnables » de croire que la capacité de conduire du conducteur a été affaiblie par l’alcool, sans rien de plus? - La Cour d’appel a-t-elle eu tort de ne pas avoir conclu qu’il </w:t>
            </w:r>
            <w:r w:rsidRPr="00206191">
              <w:rPr>
                <w:sz w:val="20"/>
                <w:szCs w:val="20"/>
                <w:lang w:val="fr-CA"/>
              </w:rPr>
              <w:lastRenderedPageBreak/>
              <w:t xml:space="preserve">faut une forme supplémentaire de protection procédurale pour assurer le maintien des garanties constitutionnelles dont bénéficient les citoyens canadiens lorsque les résultats de tests administrés au moyen d’appareils de détection approuvés sont utilisés comme fondement pour l’imposition de pénalités administratives? - La Cour d’appel a-t-elle commis une erreur en omettant d’établir un juste équilibre entre l’objectif public de la loi et le besoin de respecter les libertés individuelles dans l’administration des tests au moyen d’appareils de détection approuvés, et en limitant son interprétation de la loi à une analyse de l’objectif public, tout en omettant de prendre en considération les questions constitutionnelles plus larges qui entrent en jeu lors de l’utilisation d’appareils de détection approuvés? - </w:t>
            </w:r>
            <w:r w:rsidRPr="00206191">
              <w:rPr>
                <w:i/>
                <w:sz w:val="20"/>
                <w:szCs w:val="20"/>
                <w:lang w:val="fr-CA"/>
              </w:rPr>
              <w:t>Motor Vehicle Act</w:t>
            </w:r>
            <w:r w:rsidRPr="00206191">
              <w:rPr>
                <w:sz w:val="20"/>
                <w:szCs w:val="20"/>
                <w:lang w:val="fr-CA"/>
              </w:rPr>
              <w:t>, R.S.B.C. 1996, c. 318, art. 215.41(3.1).</w:t>
            </w:r>
          </w:p>
        </w:tc>
      </w:tr>
    </w:tbl>
    <w:p w:rsidR="00046B92" w:rsidRPr="00352572" w:rsidRDefault="00046B92" w:rsidP="00046B9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76180" w:rsidRPr="0063742E" w:rsidTr="00576180">
        <w:tc>
          <w:tcPr>
            <w:tcW w:w="4380" w:type="dxa"/>
            <w:tcMar>
              <w:left w:w="0" w:type="dxa"/>
              <w:right w:w="0" w:type="dxa"/>
            </w:tcMar>
          </w:tcPr>
          <w:p w:rsidR="00576180" w:rsidRPr="00CC4D84" w:rsidRDefault="00576180" w:rsidP="00576180">
            <w:pPr>
              <w:widowControl w:val="0"/>
              <w:jc w:val="both"/>
              <w:rPr>
                <w:b/>
                <w:sz w:val="20"/>
                <w:szCs w:val="20"/>
                <w:u w:val="single"/>
              </w:rPr>
            </w:pPr>
            <w:r w:rsidRPr="00CC4D84">
              <w:rPr>
                <w:b/>
                <w:sz w:val="20"/>
                <w:szCs w:val="20"/>
                <w:u w:val="single"/>
              </w:rPr>
              <w:t>Nature of the case</w:t>
            </w:r>
            <w:r w:rsidR="00642044">
              <w:rPr>
                <w:b/>
                <w:sz w:val="20"/>
                <w:szCs w:val="20"/>
                <w:u w:val="single"/>
              </w:rPr>
              <w:t xml:space="preserve"> (35864) </w:t>
            </w:r>
            <w:r w:rsidRPr="00CC4D84">
              <w:rPr>
                <w:b/>
                <w:sz w:val="20"/>
                <w:szCs w:val="20"/>
                <w:u w:val="single"/>
              </w:rPr>
              <w:t>:</w:t>
            </w:r>
          </w:p>
          <w:p w:rsidR="00576180" w:rsidRPr="001A663B" w:rsidRDefault="00576180" w:rsidP="00576180">
            <w:pPr>
              <w:widowControl w:val="0"/>
              <w:jc w:val="both"/>
              <w:rPr>
                <w:b/>
                <w:sz w:val="20"/>
                <w:szCs w:val="20"/>
              </w:rPr>
            </w:pPr>
          </w:p>
          <w:p w:rsidR="00576180" w:rsidRPr="00C1697B" w:rsidRDefault="00EB6052" w:rsidP="00576180">
            <w:pPr>
              <w:widowControl w:val="0"/>
              <w:jc w:val="both"/>
              <w:rPr>
                <w:b/>
                <w:sz w:val="20"/>
                <w:szCs w:val="20"/>
              </w:rPr>
            </w:pPr>
            <w:r w:rsidRPr="009D1F74">
              <w:rPr>
                <w:i/>
                <w:sz w:val="20"/>
                <w:szCs w:val="20"/>
              </w:rPr>
              <w:t>Charter of rights</w:t>
            </w:r>
            <w:r w:rsidRPr="009D1F74">
              <w:rPr>
                <w:sz w:val="20"/>
                <w:szCs w:val="20"/>
              </w:rPr>
              <w:t xml:space="preserve"> - Constitutional law - Division of powers - Property and civil rights - Right to a fair hearing - Search and seizure - Impaired driving - Automatic roadside prohibitions - Whether ss. 215.41-215.51 of the </w:t>
            </w:r>
            <w:r w:rsidRPr="009D1F74">
              <w:rPr>
                <w:i/>
                <w:sz w:val="20"/>
                <w:szCs w:val="20"/>
              </w:rPr>
              <w:t>Motor Vehicle Act</w:t>
            </w:r>
            <w:r w:rsidRPr="009D1F74">
              <w:rPr>
                <w:sz w:val="20"/>
                <w:szCs w:val="20"/>
              </w:rPr>
              <w:t xml:space="preserve"> are </w:t>
            </w:r>
            <w:r w:rsidRPr="009D1F74">
              <w:rPr>
                <w:i/>
                <w:sz w:val="20"/>
                <w:szCs w:val="20"/>
              </w:rPr>
              <w:t>ultra vires</w:t>
            </w:r>
            <w:r w:rsidRPr="009D1F74">
              <w:rPr>
                <w:sz w:val="20"/>
                <w:szCs w:val="20"/>
              </w:rPr>
              <w:t xml:space="preserve"> the province of British Columbia - Whether ss. 215.41-215.51 of the </w:t>
            </w:r>
            <w:r w:rsidRPr="009D1F74">
              <w:rPr>
                <w:i/>
                <w:sz w:val="20"/>
                <w:szCs w:val="20"/>
              </w:rPr>
              <w:t xml:space="preserve">Motor Vehicle Act </w:t>
            </w:r>
            <w:r w:rsidRPr="009D1F74">
              <w:rPr>
                <w:sz w:val="20"/>
                <w:szCs w:val="20"/>
              </w:rPr>
              <w:t>infringe s. 11(</w:t>
            </w:r>
            <w:r w:rsidRPr="009D1F74">
              <w:rPr>
                <w:i/>
                <w:sz w:val="20"/>
                <w:szCs w:val="20"/>
              </w:rPr>
              <w:t>d</w:t>
            </w:r>
            <w:r w:rsidRPr="009D1F74">
              <w:rPr>
                <w:sz w:val="20"/>
                <w:szCs w:val="20"/>
              </w:rPr>
              <w:t xml:space="preserve">) of the </w:t>
            </w:r>
            <w:r w:rsidRPr="009D1F74">
              <w:rPr>
                <w:i/>
                <w:sz w:val="20"/>
                <w:szCs w:val="20"/>
              </w:rPr>
              <w:t>Charter</w:t>
            </w:r>
            <w:r w:rsidRPr="009D1F74">
              <w:rPr>
                <w:sz w:val="20"/>
                <w:szCs w:val="20"/>
              </w:rPr>
              <w:t xml:space="preserve"> and if so, whether the infringement is saved by s. 1 - Whether ss. 215.41-215.51 of the </w:t>
            </w:r>
            <w:r w:rsidRPr="009D1F74">
              <w:rPr>
                <w:i/>
                <w:sz w:val="20"/>
                <w:szCs w:val="20"/>
              </w:rPr>
              <w:t>Motor Vehicle Act</w:t>
            </w:r>
            <w:r w:rsidRPr="009D1F74">
              <w:rPr>
                <w:sz w:val="20"/>
                <w:szCs w:val="20"/>
              </w:rPr>
              <w:t xml:space="preserve"> infringe s. 8 of the </w:t>
            </w:r>
            <w:r w:rsidRPr="009D1F74">
              <w:rPr>
                <w:i/>
                <w:sz w:val="20"/>
                <w:szCs w:val="20"/>
              </w:rPr>
              <w:t>Charter</w:t>
            </w:r>
            <w:r w:rsidRPr="009D1F74">
              <w:rPr>
                <w:sz w:val="20"/>
                <w:szCs w:val="20"/>
              </w:rPr>
              <w:t xml:space="preserve"> for drivers with “fail” results on an approved screening device and if so, whether the infringement is saved by s. 1 - </w:t>
            </w:r>
            <w:r w:rsidRPr="009D1F74">
              <w:rPr>
                <w:i/>
                <w:sz w:val="20"/>
                <w:szCs w:val="20"/>
              </w:rPr>
              <w:t>Motor Vehicle Act</w:t>
            </w:r>
            <w:r w:rsidRPr="009D1F74">
              <w:rPr>
                <w:sz w:val="20"/>
                <w:szCs w:val="20"/>
              </w:rPr>
              <w:t>, R.S.B.C. 1996, c. 318.</w:t>
            </w:r>
          </w:p>
        </w:tc>
        <w:tc>
          <w:tcPr>
            <w:tcW w:w="720" w:type="dxa"/>
            <w:tcMar>
              <w:left w:w="0" w:type="dxa"/>
              <w:right w:w="0" w:type="dxa"/>
            </w:tcMar>
          </w:tcPr>
          <w:p w:rsidR="00576180" w:rsidRPr="00C1697B" w:rsidRDefault="00576180" w:rsidP="00576180">
            <w:pPr>
              <w:widowControl w:val="0"/>
              <w:jc w:val="center"/>
              <w:rPr>
                <w:sz w:val="20"/>
                <w:szCs w:val="20"/>
              </w:rPr>
            </w:pPr>
          </w:p>
        </w:tc>
        <w:tc>
          <w:tcPr>
            <w:tcW w:w="4380" w:type="dxa"/>
            <w:tcMar>
              <w:left w:w="0" w:type="dxa"/>
              <w:right w:w="0" w:type="dxa"/>
            </w:tcMar>
          </w:tcPr>
          <w:p w:rsidR="00576180" w:rsidRPr="00EB6052" w:rsidRDefault="00576180" w:rsidP="00576180">
            <w:pPr>
              <w:widowControl w:val="0"/>
              <w:jc w:val="both"/>
              <w:rPr>
                <w:b/>
                <w:sz w:val="20"/>
                <w:szCs w:val="20"/>
                <w:u w:val="single"/>
                <w:lang w:val="fr-CA"/>
              </w:rPr>
            </w:pPr>
            <w:r w:rsidRPr="00EB6052">
              <w:rPr>
                <w:b/>
                <w:sz w:val="20"/>
                <w:szCs w:val="20"/>
                <w:u w:val="single"/>
                <w:lang w:val="fr-CA"/>
              </w:rPr>
              <w:t xml:space="preserve">Nature de la cause </w:t>
            </w:r>
            <w:r w:rsidR="00642044">
              <w:rPr>
                <w:b/>
                <w:sz w:val="20"/>
                <w:szCs w:val="20"/>
                <w:u w:val="single"/>
                <w:lang w:val="fr-CA"/>
              </w:rPr>
              <w:t xml:space="preserve">(35864) </w:t>
            </w:r>
            <w:r w:rsidRPr="00EB6052">
              <w:rPr>
                <w:b/>
                <w:sz w:val="20"/>
                <w:szCs w:val="20"/>
                <w:u w:val="single"/>
                <w:lang w:val="fr-CA"/>
              </w:rPr>
              <w:t>:</w:t>
            </w:r>
          </w:p>
          <w:p w:rsidR="00576180" w:rsidRPr="00EB6052" w:rsidRDefault="00576180" w:rsidP="00576180">
            <w:pPr>
              <w:widowControl w:val="0"/>
              <w:jc w:val="both"/>
              <w:rPr>
                <w:sz w:val="20"/>
                <w:szCs w:val="20"/>
                <w:lang w:val="fr-CA"/>
              </w:rPr>
            </w:pPr>
          </w:p>
          <w:p w:rsidR="00576180" w:rsidRPr="00EB6052" w:rsidRDefault="00EB6052" w:rsidP="00576180">
            <w:pPr>
              <w:widowControl w:val="0"/>
              <w:jc w:val="both"/>
              <w:rPr>
                <w:sz w:val="20"/>
                <w:szCs w:val="20"/>
                <w:lang w:val="fr-CA"/>
              </w:rPr>
            </w:pPr>
            <w:r w:rsidRPr="00A606E4">
              <w:rPr>
                <w:i/>
                <w:sz w:val="20"/>
                <w:szCs w:val="20"/>
                <w:lang w:val="fr-CA"/>
              </w:rPr>
              <w:t>Charte des droits</w:t>
            </w:r>
            <w:r w:rsidRPr="00A606E4">
              <w:rPr>
                <w:sz w:val="20"/>
                <w:szCs w:val="20"/>
                <w:lang w:val="fr-CA"/>
              </w:rPr>
              <w:t xml:space="preserve"> - Droit constitutionnel - Partage des compétences - Propriété et droits civils - Procès équitable - Fouilles et perquisitions - Conduite avec facultés affaiblies - Interdiction automatique sur-le-champ - Est-ce que les art. 215.41 à 215.51 de la </w:t>
            </w:r>
            <w:r w:rsidRPr="00A606E4">
              <w:rPr>
                <w:i/>
                <w:sz w:val="20"/>
                <w:szCs w:val="20"/>
                <w:lang w:val="fr-CA"/>
              </w:rPr>
              <w:t>Motor Vehicle Act</w:t>
            </w:r>
            <w:r w:rsidRPr="00A606E4">
              <w:rPr>
                <w:sz w:val="20"/>
                <w:szCs w:val="20"/>
                <w:lang w:val="fr-CA"/>
              </w:rPr>
              <w:t xml:space="preserve"> excèdent les pouvoirs de la province de la Colombie-Britannique? - Est-ce que les art. 215.41 à 215.51 de la </w:t>
            </w:r>
            <w:r w:rsidRPr="00A606E4">
              <w:rPr>
                <w:i/>
                <w:sz w:val="20"/>
                <w:szCs w:val="20"/>
                <w:lang w:val="fr-CA"/>
              </w:rPr>
              <w:t xml:space="preserve">Motor Vehicle Act </w:t>
            </w:r>
            <w:r w:rsidRPr="00A606E4">
              <w:rPr>
                <w:sz w:val="20"/>
                <w:szCs w:val="20"/>
                <w:lang w:val="fr-CA"/>
              </w:rPr>
              <w:t>violent l’al. 11</w:t>
            </w:r>
            <w:r w:rsidRPr="00A606E4">
              <w:rPr>
                <w:i/>
                <w:sz w:val="20"/>
                <w:szCs w:val="20"/>
                <w:lang w:val="fr-CA"/>
              </w:rPr>
              <w:t>d</w:t>
            </w:r>
            <w:r w:rsidRPr="00A606E4">
              <w:rPr>
                <w:sz w:val="20"/>
                <w:szCs w:val="20"/>
                <w:lang w:val="fr-CA"/>
              </w:rPr>
              <w:t xml:space="preserve">) de la </w:t>
            </w:r>
            <w:r w:rsidRPr="00A606E4">
              <w:rPr>
                <w:i/>
                <w:sz w:val="20"/>
                <w:szCs w:val="20"/>
                <w:lang w:val="fr-CA"/>
              </w:rPr>
              <w:t>Charte</w:t>
            </w:r>
            <w:r w:rsidRPr="00A606E4">
              <w:rPr>
                <w:sz w:val="20"/>
                <w:szCs w:val="20"/>
                <w:lang w:val="fr-CA"/>
              </w:rPr>
              <w:t xml:space="preserve"> et, si oui, est-ce que la violation est sauvegardée par l’art. 1? - Les art. 215.41 à 215.51 de la </w:t>
            </w:r>
            <w:r w:rsidRPr="00A606E4">
              <w:rPr>
                <w:i/>
                <w:sz w:val="20"/>
                <w:szCs w:val="20"/>
                <w:lang w:val="fr-CA"/>
              </w:rPr>
              <w:t xml:space="preserve">Motor Vehicle Act </w:t>
            </w:r>
            <w:r w:rsidRPr="00A606E4">
              <w:rPr>
                <w:sz w:val="20"/>
                <w:szCs w:val="20"/>
                <w:lang w:val="fr-CA"/>
              </w:rPr>
              <w:t xml:space="preserve">violent-ils l’art. 8 de la </w:t>
            </w:r>
            <w:r w:rsidRPr="00A606E4">
              <w:rPr>
                <w:i/>
                <w:sz w:val="20"/>
                <w:szCs w:val="20"/>
                <w:lang w:val="fr-CA"/>
              </w:rPr>
              <w:t xml:space="preserve">Charte </w:t>
            </w:r>
            <w:r w:rsidRPr="00A606E4">
              <w:rPr>
                <w:sz w:val="20"/>
                <w:szCs w:val="20"/>
                <w:lang w:val="fr-CA"/>
              </w:rPr>
              <w:t xml:space="preserve">à l’égard des conducteurs qui échouent le test administré à l’aide d’un appareil de détection approuvé et, dans l’affirmative, la violation est-elle justifiée au regard de l’article premier? - La </w:t>
            </w:r>
            <w:r w:rsidRPr="00A606E4">
              <w:rPr>
                <w:i/>
                <w:sz w:val="20"/>
                <w:szCs w:val="20"/>
                <w:lang w:val="fr-CA"/>
              </w:rPr>
              <w:t>Motor Vehicle Act</w:t>
            </w:r>
            <w:r w:rsidRPr="00A606E4">
              <w:rPr>
                <w:sz w:val="20"/>
                <w:szCs w:val="20"/>
                <w:lang w:val="fr-CA"/>
              </w:rPr>
              <w:t>, R.S.B.C. 1996, c. 318.</w:t>
            </w:r>
          </w:p>
        </w:tc>
      </w:tr>
    </w:tbl>
    <w:p w:rsidR="00576180" w:rsidRPr="00EB6052" w:rsidRDefault="00576180" w:rsidP="00576180">
      <w:pPr>
        <w:widowControl w:val="0"/>
        <w:rPr>
          <w:sz w:val="20"/>
          <w:szCs w:val="20"/>
          <w:lang w:val="fr-CA"/>
        </w:rPr>
      </w:pPr>
    </w:p>
    <w:p w:rsidR="00576180" w:rsidRDefault="007F638F" w:rsidP="00576180">
      <w:pPr>
        <w:widowControl w:val="0"/>
        <w:rPr>
          <w:sz w:val="20"/>
          <w:szCs w:val="20"/>
        </w:rPr>
      </w:pPr>
      <w:r>
        <w:rPr>
          <w:sz w:val="20"/>
          <w:szCs w:val="20"/>
          <w:lang w:val="fr-CA"/>
        </w:rPr>
        <w:pict>
          <v:rect id="_x0000_i1061" style="width:2in;height:1pt" o:hrpct="0" o:hralign="center" o:hrstd="t" o:hrnoshade="t" o:hr="t" fillcolor="black [3213]" stroked="f"/>
        </w:pict>
      </w:r>
    </w:p>
    <w:p w:rsidR="00576180" w:rsidRDefault="00576180" w:rsidP="00576180">
      <w:pPr>
        <w:widowControl w:val="0"/>
        <w:rPr>
          <w:sz w:val="20"/>
          <w:szCs w:val="20"/>
        </w:rPr>
      </w:pPr>
    </w:p>
    <w:p w:rsidR="00576180" w:rsidRPr="00570496" w:rsidRDefault="00576180" w:rsidP="00576180">
      <w:pPr>
        <w:widowControl w:val="0"/>
        <w:rPr>
          <w:sz w:val="20"/>
          <w:szCs w:val="20"/>
        </w:rPr>
      </w:pPr>
      <w:r>
        <w:rPr>
          <w:sz w:val="20"/>
          <w:szCs w:val="20"/>
        </w:rPr>
        <w:t>21</w:t>
      </w:r>
      <w:r w:rsidRPr="00570496">
        <w:rPr>
          <w:sz w:val="20"/>
          <w:szCs w:val="20"/>
        </w:rPr>
        <w:t>.05.2015</w:t>
      </w:r>
    </w:p>
    <w:p w:rsidR="00576180" w:rsidRDefault="00576180" w:rsidP="00576180">
      <w:pPr>
        <w:widowControl w:val="0"/>
        <w:rPr>
          <w:sz w:val="20"/>
          <w:szCs w:val="20"/>
        </w:rPr>
      </w:pPr>
    </w:p>
    <w:p w:rsidR="00576180" w:rsidRDefault="00576180" w:rsidP="00576180">
      <w:pPr>
        <w:widowControl w:val="0"/>
        <w:ind w:left="720" w:hanging="720"/>
        <w:rPr>
          <w:sz w:val="20"/>
          <w:szCs w:val="20"/>
        </w:rPr>
      </w:pPr>
      <w:r w:rsidRPr="00C50A5C">
        <w:rPr>
          <w:sz w:val="20"/>
          <w:szCs w:val="20"/>
        </w:rPr>
        <w:t xml:space="preserve">Coram: </w:t>
      </w:r>
      <w:r w:rsidRPr="00C50A5C">
        <w:rPr>
          <w:sz w:val="20"/>
          <w:szCs w:val="20"/>
        </w:rPr>
        <w:tab/>
      </w:r>
      <w:r>
        <w:rPr>
          <w:sz w:val="20"/>
          <w:szCs w:val="20"/>
          <w:u w:val="single"/>
        </w:rPr>
        <w:t xml:space="preserve">Abella, Cromwell, Moldaver, Karakatsanis, Wagner, Gascon and Côté </w:t>
      </w:r>
      <w:r w:rsidRPr="00C50A5C">
        <w:rPr>
          <w:sz w:val="20"/>
          <w:szCs w:val="20"/>
          <w:u w:val="single"/>
        </w:rPr>
        <w:t>JJ.</w:t>
      </w:r>
      <w:r w:rsidRPr="00C50A5C">
        <w:rPr>
          <w:sz w:val="20"/>
          <w:szCs w:val="20"/>
        </w:rPr>
        <w:t xml:space="preserve"> </w:t>
      </w:r>
    </w:p>
    <w:p w:rsidR="00576180" w:rsidRPr="005C722A" w:rsidRDefault="00576180" w:rsidP="00576180">
      <w:pPr>
        <w:ind w:left="1440" w:hanging="1440"/>
        <w:jc w:val="both"/>
        <w:rPr>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76180" w:rsidRPr="00570496" w:rsidTr="00576180">
        <w:tc>
          <w:tcPr>
            <w:tcW w:w="4380" w:type="dxa"/>
            <w:tcMar>
              <w:left w:w="0" w:type="dxa"/>
              <w:right w:w="0" w:type="dxa"/>
            </w:tcMar>
          </w:tcPr>
          <w:p w:rsidR="00576180" w:rsidRPr="00570496" w:rsidRDefault="00576180" w:rsidP="00576180">
            <w:pPr>
              <w:widowControl w:val="0"/>
              <w:rPr>
                <w:b/>
                <w:sz w:val="20"/>
                <w:szCs w:val="20"/>
              </w:rPr>
            </w:pPr>
            <w:r>
              <w:rPr>
                <w:b/>
                <w:sz w:val="20"/>
                <w:szCs w:val="20"/>
              </w:rPr>
              <w:t>Attorney General for Saskatchewan</w:t>
            </w:r>
            <w:r w:rsidRPr="00570496">
              <w:rPr>
                <w:b/>
                <w:sz w:val="20"/>
                <w:szCs w:val="20"/>
              </w:rPr>
              <w:t xml:space="preserve"> </w:t>
            </w:r>
          </w:p>
          <w:p w:rsidR="00576180" w:rsidRPr="00570496" w:rsidRDefault="00576180" w:rsidP="00576180">
            <w:pPr>
              <w:widowControl w:val="0"/>
              <w:rPr>
                <w:b/>
                <w:sz w:val="20"/>
                <w:szCs w:val="20"/>
              </w:rPr>
            </w:pPr>
          </w:p>
          <w:p w:rsidR="00576180" w:rsidRPr="00570496" w:rsidRDefault="00576180" w:rsidP="00576180">
            <w:pPr>
              <w:widowControl w:val="0"/>
              <w:rPr>
                <w:b/>
                <w:sz w:val="20"/>
                <w:szCs w:val="20"/>
              </w:rPr>
            </w:pPr>
            <w:r w:rsidRPr="00570496">
              <w:rPr>
                <w:b/>
                <w:sz w:val="20"/>
                <w:szCs w:val="20"/>
              </w:rPr>
              <w:tab/>
              <w:t xml:space="preserve">v. </w:t>
            </w:r>
            <w:r w:rsidR="005F50E0" w:rsidRPr="008D2DF5">
              <w:rPr>
                <w:sz w:val="20"/>
                <w:szCs w:val="20"/>
              </w:rPr>
              <w:t>(</w:t>
            </w:r>
            <w:hyperlink r:id="rId74" w:history="1">
              <w:r w:rsidR="005F50E0" w:rsidRPr="008D2DF5">
                <w:rPr>
                  <w:rStyle w:val="Hyperlink"/>
                  <w:sz w:val="20"/>
                  <w:szCs w:val="20"/>
                </w:rPr>
                <w:t>35923</w:t>
              </w:r>
            </w:hyperlink>
            <w:r w:rsidR="005F50E0" w:rsidRPr="008D2DF5">
              <w:rPr>
                <w:sz w:val="20"/>
                <w:szCs w:val="20"/>
              </w:rPr>
              <w:t>)</w:t>
            </w:r>
          </w:p>
          <w:p w:rsidR="00576180" w:rsidRPr="00570496" w:rsidRDefault="00576180" w:rsidP="00576180">
            <w:pPr>
              <w:widowControl w:val="0"/>
              <w:rPr>
                <w:b/>
                <w:sz w:val="20"/>
                <w:szCs w:val="20"/>
              </w:rPr>
            </w:pPr>
          </w:p>
          <w:p w:rsidR="00576180" w:rsidRPr="00570496" w:rsidRDefault="00576180" w:rsidP="00C56FC7">
            <w:pPr>
              <w:widowControl w:val="0"/>
              <w:rPr>
                <w:sz w:val="20"/>
                <w:szCs w:val="20"/>
              </w:rPr>
            </w:pPr>
            <w:r w:rsidRPr="00576180">
              <w:rPr>
                <w:b/>
                <w:sz w:val="20"/>
                <w:szCs w:val="20"/>
              </w:rPr>
              <w:t xml:space="preserve">Lemare Lake Logging Ltd. </w:t>
            </w:r>
            <w:r w:rsidRPr="00570496">
              <w:rPr>
                <w:b/>
                <w:sz w:val="20"/>
                <w:szCs w:val="20"/>
              </w:rPr>
              <w:t>(</w:t>
            </w:r>
            <w:r>
              <w:rPr>
                <w:b/>
                <w:sz w:val="20"/>
                <w:szCs w:val="20"/>
              </w:rPr>
              <w:t>Sask</w:t>
            </w:r>
            <w:r w:rsidRPr="00570496">
              <w:rPr>
                <w:b/>
                <w:sz w:val="20"/>
                <w:szCs w:val="20"/>
              </w:rPr>
              <w:t>.) (Ci</w:t>
            </w:r>
            <w:r>
              <w:rPr>
                <w:b/>
                <w:sz w:val="20"/>
                <w:szCs w:val="20"/>
              </w:rPr>
              <w:t>v</w:t>
            </w:r>
            <w:r w:rsidRPr="00570496">
              <w:rPr>
                <w:b/>
                <w:sz w:val="20"/>
                <w:szCs w:val="20"/>
              </w:rPr>
              <w:t>il) (</w:t>
            </w:r>
            <w:r>
              <w:rPr>
                <w:b/>
                <w:sz w:val="20"/>
                <w:szCs w:val="20"/>
              </w:rPr>
              <w:t>By</w:t>
            </w:r>
            <w:r w:rsidR="00C56FC7">
              <w:rPr>
                <w:b/>
                <w:sz w:val="20"/>
                <w:szCs w:val="20"/>
              </w:rPr>
              <w:t> </w:t>
            </w:r>
            <w:r>
              <w:rPr>
                <w:b/>
                <w:sz w:val="20"/>
                <w:szCs w:val="20"/>
              </w:rPr>
              <w:t>Leave</w:t>
            </w:r>
            <w:r w:rsidRPr="00570496">
              <w:rPr>
                <w:b/>
                <w:sz w:val="20"/>
                <w:szCs w:val="20"/>
              </w:rPr>
              <w:t>)</w:t>
            </w:r>
            <w:r w:rsidRPr="00570496">
              <w:rPr>
                <w:sz w:val="20"/>
                <w:szCs w:val="20"/>
              </w:rPr>
              <w:t xml:space="preserve"> </w:t>
            </w:r>
          </w:p>
        </w:tc>
        <w:tc>
          <w:tcPr>
            <w:tcW w:w="720" w:type="dxa"/>
            <w:tcMar>
              <w:left w:w="0" w:type="dxa"/>
              <w:right w:w="0" w:type="dxa"/>
            </w:tcMar>
          </w:tcPr>
          <w:p w:rsidR="00576180" w:rsidRPr="00570496" w:rsidRDefault="00576180" w:rsidP="00576180">
            <w:pPr>
              <w:widowControl w:val="0"/>
              <w:jc w:val="center"/>
              <w:rPr>
                <w:sz w:val="20"/>
                <w:szCs w:val="20"/>
              </w:rPr>
            </w:pPr>
          </w:p>
        </w:tc>
        <w:tc>
          <w:tcPr>
            <w:tcW w:w="4380" w:type="dxa"/>
            <w:tcMar>
              <w:left w:w="0" w:type="dxa"/>
              <w:right w:w="0" w:type="dxa"/>
            </w:tcMar>
          </w:tcPr>
          <w:p w:rsidR="005F50E0" w:rsidRDefault="005F50E0" w:rsidP="005F50E0">
            <w:pPr>
              <w:jc w:val="both"/>
              <w:rPr>
                <w:sz w:val="20"/>
                <w:szCs w:val="20"/>
              </w:rPr>
            </w:pPr>
            <w:r w:rsidRPr="0098123F">
              <w:rPr>
                <w:sz w:val="20"/>
                <w:szCs w:val="20"/>
              </w:rPr>
              <w:t>Thomson Irvine</w:t>
            </w:r>
            <w:r>
              <w:rPr>
                <w:sz w:val="20"/>
                <w:szCs w:val="20"/>
              </w:rPr>
              <w:t xml:space="preserve"> and </w:t>
            </w:r>
            <w:r w:rsidRPr="0098123F">
              <w:rPr>
                <w:sz w:val="20"/>
                <w:szCs w:val="20"/>
              </w:rPr>
              <w:t>Katherine Roy</w:t>
            </w:r>
            <w:r>
              <w:rPr>
                <w:sz w:val="20"/>
                <w:szCs w:val="20"/>
              </w:rPr>
              <w:t xml:space="preserve"> f</w:t>
            </w:r>
            <w:r w:rsidRPr="0098123F">
              <w:rPr>
                <w:sz w:val="20"/>
                <w:szCs w:val="20"/>
              </w:rPr>
              <w:t xml:space="preserve">or the </w:t>
            </w:r>
            <w:r>
              <w:rPr>
                <w:sz w:val="20"/>
                <w:szCs w:val="20"/>
              </w:rPr>
              <w:t>a</w:t>
            </w:r>
            <w:r w:rsidRPr="0098123F">
              <w:rPr>
                <w:sz w:val="20"/>
                <w:szCs w:val="20"/>
              </w:rPr>
              <w:t>ppellant</w:t>
            </w:r>
            <w:r>
              <w:rPr>
                <w:sz w:val="20"/>
                <w:szCs w:val="20"/>
              </w:rPr>
              <w:t>.</w:t>
            </w:r>
          </w:p>
          <w:p w:rsidR="005F50E0" w:rsidRPr="0098123F" w:rsidRDefault="005F50E0" w:rsidP="005F50E0">
            <w:pPr>
              <w:jc w:val="both"/>
              <w:rPr>
                <w:sz w:val="20"/>
                <w:szCs w:val="20"/>
              </w:rPr>
            </w:pPr>
          </w:p>
          <w:p w:rsidR="005F50E0" w:rsidRPr="0098123F" w:rsidRDefault="005F50E0" w:rsidP="005F50E0">
            <w:pPr>
              <w:jc w:val="both"/>
              <w:rPr>
                <w:sz w:val="20"/>
                <w:szCs w:val="20"/>
              </w:rPr>
            </w:pPr>
            <w:r w:rsidRPr="0098123F">
              <w:rPr>
                <w:sz w:val="20"/>
                <w:szCs w:val="20"/>
              </w:rPr>
              <w:t>Michael S. Dunn</w:t>
            </w:r>
            <w:r>
              <w:rPr>
                <w:sz w:val="20"/>
                <w:szCs w:val="20"/>
              </w:rPr>
              <w:t xml:space="preserve"> and </w:t>
            </w:r>
            <w:r w:rsidRPr="0098123F">
              <w:rPr>
                <w:sz w:val="20"/>
                <w:szCs w:val="20"/>
              </w:rPr>
              <w:t>Daniel Huffaker</w:t>
            </w:r>
            <w:r>
              <w:rPr>
                <w:sz w:val="20"/>
                <w:szCs w:val="20"/>
              </w:rPr>
              <w:t xml:space="preserve"> f</w:t>
            </w:r>
            <w:r w:rsidRPr="0098123F">
              <w:rPr>
                <w:sz w:val="20"/>
                <w:szCs w:val="20"/>
              </w:rPr>
              <w:t xml:space="preserve">or the </w:t>
            </w:r>
            <w:r>
              <w:rPr>
                <w:sz w:val="20"/>
                <w:szCs w:val="20"/>
              </w:rPr>
              <w:t>i</w:t>
            </w:r>
            <w:r w:rsidRPr="0098123F">
              <w:rPr>
                <w:sz w:val="20"/>
                <w:szCs w:val="20"/>
              </w:rPr>
              <w:t>ntervener</w:t>
            </w:r>
            <w:r>
              <w:rPr>
                <w:sz w:val="20"/>
                <w:szCs w:val="20"/>
              </w:rPr>
              <w:t xml:space="preserve"> </w:t>
            </w:r>
            <w:r w:rsidRPr="0098123F">
              <w:rPr>
                <w:sz w:val="20"/>
                <w:szCs w:val="20"/>
              </w:rPr>
              <w:t>Attorney General of Ontario</w:t>
            </w:r>
            <w:r>
              <w:rPr>
                <w:sz w:val="20"/>
                <w:szCs w:val="20"/>
              </w:rPr>
              <w:t>.</w:t>
            </w:r>
          </w:p>
          <w:p w:rsidR="005F50E0" w:rsidRPr="0098123F" w:rsidRDefault="005F50E0" w:rsidP="005F50E0">
            <w:pPr>
              <w:jc w:val="both"/>
              <w:rPr>
                <w:sz w:val="20"/>
                <w:szCs w:val="20"/>
              </w:rPr>
            </w:pPr>
          </w:p>
          <w:p w:rsidR="005F50E0" w:rsidRPr="0098123F" w:rsidRDefault="005F50E0" w:rsidP="005F50E0">
            <w:pPr>
              <w:jc w:val="both"/>
              <w:rPr>
                <w:sz w:val="20"/>
                <w:szCs w:val="20"/>
              </w:rPr>
            </w:pPr>
            <w:r>
              <w:rPr>
                <w:sz w:val="20"/>
                <w:szCs w:val="20"/>
              </w:rPr>
              <w:t>Written submission only f</w:t>
            </w:r>
            <w:r w:rsidRPr="0098123F">
              <w:rPr>
                <w:sz w:val="20"/>
                <w:szCs w:val="20"/>
              </w:rPr>
              <w:t xml:space="preserve">or the </w:t>
            </w:r>
            <w:r>
              <w:rPr>
                <w:sz w:val="20"/>
                <w:szCs w:val="20"/>
              </w:rPr>
              <w:t>i</w:t>
            </w:r>
            <w:r w:rsidRPr="0098123F">
              <w:rPr>
                <w:sz w:val="20"/>
                <w:szCs w:val="20"/>
              </w:rPr>
              <w:t>ntervener</w:t>
            </w:r>
            <w:r>
              <w:rPr>
                <w:sz w:val="20"/>
                <w:szCs w:val="20"/>
              </w:rPr>
              <w:t xml:space="preserve"> </w:t>
            </w:r>
            <w:r w:rsidRPr="0098123F">
              <w:rPr>
                <w:sz w:val="20"/>
                <w:szCs w:val="20"/>
              </w:rPr>
              <w:t>Attorney General of British Columbia</w:t>
            </w:r>
            <w:r>
              <w:rPr>
                <w:sz w:val="20"/>
                <w:szCs w:val="20"/>
              </w:rPr>
              <w:t>.</w:t>
            </w:r>
          </w:p>
          <w:p w:rsidR="005F50E0" w:rsidRPr="0098123F" w:rsidRDefault="005F50E0" w:rsidP="005F50E0">
            <w:pPr>
              <w:jc w:val="both"/>
              <w:rPr>
                <w:sz w:val="20"/>
                <w:szCs w:val="20"/>
              </w:rPr>
            </w:pPr>
          </w:p>
          <w:p w:rsidR="00576180" w:rsidRPr="00570496" w:rsidRDefault="005F50E0" w:rsidP="005F50E0">
            <w:pPr>
              <w:widowControl w:val="0"/>
              <w:jc w:val="both"/>
              <w:rPr>
                <w:sz w:val="20"/>
                <w:szCs w:val="20"/>
              </w:rPr>
            </w:pPr>
            <w:r w:rsidRPr="0098123F">
              <w:rPr>
                <w:sz w:val="20"/>
                <w:szCs w:val="20"/>
              </w:rPr>
              <w:t>Jeffrey M. Lee, Q.C.</w:t>
            </w:r>
            <w:r>
              <w:rPr>
                <w:sz w:val="20"/>
                <w:szCs w:val="20"/>
              </w:rPr>
              <w:t xml:space="preserve"> and </w:t>
            </w:r>
            <w:r w:rsidRPr="0098123F">
              <w:rPr>
                <w:sz w:val="20"/>
                <w:szCs w:val="20"/>
              </w:rPr>
              <w:t>Kristen MacDonald</w:t>
            </w:r>
            <w:r>
              <w:rPr>
                <w:sz w:val="20"/>
                <w:szCs w:val="20"/>
              </w:rPr>
              <w:t xml:space="preserve"> f</w:t>
            </w:r>
            <w:r w:rsidRPr="0098123F">
              <w:rPr>
                <w:sz w:val="20"/>
                <w:szCs w:val="20"/>
              </w:rPr>
              <w:t>or the Amicus Curiae</w:t>
            </w:r>
            <w:r>
              <w:rPr>
                <w:sz w:val="20"/>
                <w:szCs w:val="20"/>
              </w:rPr>
              <w:t>.</w:t>
            </w:r>
          </w:p>
        </w:tc>
      </w:tr>
    </w:tbl>
    <w:p w:rsidR="00576180" w:rsidRPr="00570496" w:rsidRDefault="00576180" w:rsidP="00576180">
      <w:pPr>
        <w:widowControl w:val="0"/>
        <w:rPr>
          <w:sz w:val="20"/>
          <w:szCs w:val="20"/>
        </w:rPr>
      </w:pPr>
    </w:p>
    <w:p w:rsidR="00576180" w:rsidRPr="0085476B" w:rsidRDefault="00576180" w:rsidP="00576180">
      <w:pPr>
        <w:widowControl w:val="0"/>
        <w:rPr>
          <w:sz w:val="20"/>
          <w:szCs w:val="20"/>
        </w:rPr>
      </w:pPr>
      <w:r>
        <w:rPr>
          <w:b/>
          <w:sz w:val="20"/>
          <w:szCs w:val="20"/>
        </w:rPr>
        <w:t>RESERV</w:t>
      </w:r>
      <w:r w:rsidRPr="0085476B">
        <w:rPr>
          <w:b/>
          <w:sz w:val="20"/>
          <w:szCs w:val="20"/>
        </w:rPr>
        <w:t xml:space="preserve">ED / </w:t>
      </w:r>
      <w:r w:rsidRPr="00570496">
        <w:rPr>
          <w:b/>
          <w:sz w:val="20"/>
          <w:szCs w:val="20"/>
        </w:rPr>
        <w:t>EN DÉLIBÉRÉ</w:t>
      </w:r>
    </w:p>
    <w:p w:rsidR="00576180" w:rsidRDefault="00576180" w:rsidP="00576180"/>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76180" w:rsidRPr="0063742E" w:rsidTr="00576180">
        <w:tc>
          <w:tcPr>
            <w:tcW w:w="4380" w:type="dxa"/>
            <w:tcMar>
              <w:left w:w="0" w:type="dxa"/>
              <w:right w:w="0" w:type="dxa"/>
            </w:tcMar>
          </w:tcPr>
          <w:p w:rsidR="00576180" w:rsidRPr="00A7151D" w:rsidRDefault="00576180" w:rsidP="00576180">
            <w:pPr>
              <w:widowControl w:val="0"/>
              <w:jc w:val="both"/>
              <w:rPr>
                <w:b/>
                <w:sz w:val="20"/>
                <w:szCs w:val="20"/>
                <w:u w:val="single"/>
              </w:rPr>
            </w:pPr>
            <w:r w:rsidRPr="00A7151D">
              <w:rPr>
                <w:b/>
                <w:sz w:val="20"/>
                <w:szCs w:val="20"/>
                <w:u w:val="single"/>
              </w:rPr>
              <w:t>Nature of the case:</w:t>
            </w:r>
          </w:p>
          <w:p w:rsidR="00576180" w:rsidRPr="00A7151D" w:rsidRDefault="00576180" w:rsidP="00576180">
            <w:pPr>
              <w:widowControl w:val="0"/>
              <w:jc w:val="both"/>
              <w:rPr>
                <w:b/>
                <w:sz w:val="20"/>
                <w:szCs w:val="20"/>
              </w:rPr>
            </w:pPr>
          </w:p>
          <w:p w:rsidR="00576180" w:rsidRPr="00A7151D" w:rsidRDefault="00EB6052" w:rsidP="00EB6052">
            <w:pPr>
              <w:widowControl w:val="0"/>
              <w:jc w:val="both"/>
              <w:rPr>
                <w:b/>
                <w:sz w:val="20"/>
                <w:szCs w:val="20"/>
              </w:rPr>
            </w:pPr>
            <w:r w:rsidRPr="00365327">
              <w:rPr>
                <w:sz w:val="20"/>
                <w:szCs w:val="20"/>
              </w:rPr>
              <w:t xml:space="preserve">Constitutional law - Federal Paramountcy - Bankruptcy and Insolvency - Whether the </w:t>
            </w:r>
            <w:r w:rsidRPr="00365327">
              <w:rPr>
                <w:i/>
                <w:sz w:val="20"/>
                <w:szCs w:val="20"/>
              </w:rPr>
              <w:t>Bankruptcy and Insolvency Act</w:t>
            </w:r>
            <w:r w:rsidRPr="00365327">
              <w:rPr>
                <w:sz w:val="20"/>
                <w:szCs w:val="20"/>
              </w:rPr>
              <w:t>, R.S.C. 1985, c. B-3 (“</w:t>
            </w:r>
            <w:r w:rsidRPr="00365327">
              <w:rPr>
                <w:i/>
                <w:sz w:val="20"/>
                <w:szCs w:val="20"/>
              </w:rPr>
              <w:t>BIA</w:t>
            </w:r>
            <w:r w:rsidRPr="00365327">
              <w:rPr>
                <w:sz w:val="20"/>
                <w:szCs w:val="20"/>
              </w:rPr>
              <w:t xml:space="preserve">”), renders Part II of the </w:t>
            </w:r>
            <w:r w:rsidRPr="00365327">
              <w:rPr>
                <w:i/>
                <w:sz w:val="20"/>
                <w:szCs w:val="20"/>
              </w:rPr>
              <w:t>Saskatchewan Farm Security Act</w:t>
            </w:r>
            <w:r w:rsidRPr="00365327">
              <w:rPr>
                <w:sz w:val="20"/>
                <w:szCs w:val="20"/>
              </w:rPr>
              <w:t>, S.S. 1988-89, c. S-17 (“</w:t>
            </w:r>
            <w:r w:rsidRPr="00365327">
              <w:rPr>
                <w:i/>
                <w:sz w:val="20"/>
                <w:szCs w:val="20"/>
              </w:rPr>
              <w:t>SFSA</w:t>
            </w:r>
            <w:r w:rsidRPr="00365327">
              <w:rPr>
                <w:sz w:val="20"/>
                <w:szCs w:val="20"/>
              </w:rPr>
              <w:t xml:space="preserve">”), inoperative by virtue of the doctrine of federal paramountcy - </w:t>
            </w:r>
            <w:r w:rsidRPr="00365327">
              <w:rPr>
                <w:i/>
                <w:sz w:val="20"/>
                <w:szCs w:val="20"/>
              </w:rPr>
              <w:t>BIA</w:t>
            </w:r>
            <w:r w:rsidRPr="00365327">
              <w:rPr>
                <w:sz w:val="20"/>
                <w:szCs w:val="20"/>
              </w:rPr>
              <w:t>, s. 243.</w:t>
            </w:r>
          </w:p>
        </w:tc>
        <w:tc>
          <w:tcPr>
            <w:tcW w:w="720" w:type="dxa"/>
            <w:tcMar>
              <w:left w:w="0" w:type="dxa"/>
              <w:right w:w="0" w:type="dxa"/>
            </w:tcMar>
          </w:tcPr>
          <w:p w:rsidR="00576180" w:rsidRPr="00A7151D" w:rsidRDefault="00576180" w:rsidP="00576180">
            <w:pPr>
              <w:widowControl w:val="0"/>
              <w:jc w:val="center"/>
              <w:rPr>
                <w:sz w:val="20"/>
                <w:szCs w:val="20"/>
              </w:rPr>
            </w:pPr>
          </w:p>
        </w:tc>
        <w:tc>
          <w:tcPr>
            <w:tcW w:w="4380" w:type="dxa"/>
            <w:tcMar>
              <w:left w:w="0" w:type="dxa"/>
              <w:right w:w="0" w:type="dxa"/>
            </w:tcMar>
          </w:tcPr>
          <w:p w:rsidR="00576180" w:rsidRPr="00A7151D" w:rsidRDefault="00576180" w:rsidP="00576180">
            <w:pPr>
              <w:widowControl w:val="0"/>
              <w:jc w:val="both"/>
              <w:rPr>
                <w:b/>
                <w:sz w:val="20"/>
                <w:szCs w:val="20"/>
                <w:u w:val="single"/>
                <w:lang w:val="fr-CA"/>
              </w:rPr>
            </w:pPr>
            <w:r w:rsidRPr="00A7151D">
              <w:rPr>
                <w:b/>
                <w:sz w:val="20"/>
                <w:szCs w:val="20"/>
                <w:u w:val="single"/>
                <w:lang w:val="fr-CA"/>
              </w:rPr>
              <w:t>Nature de la cause :</w:t>
            </w:r>
          </w:p>
          <w:p w:rsidR="00576180" w:rsidRPr="00A7151D" w:rsidRDefault="00576180" w:rsidP="00576180">
            <w:pPr>
              <w:widowControl w:val="0"/>
              <w:jc w:val="both"/>
              <w:rPr>
                <w:sz w:val="20"/>
                <w:szCs w:val="20"/>
                <w:lang w:val="fr-CA"/>
              </w:rPr>
            </w:pPr>
          </w:p>
          <w:p w:rsidR="00576180" w:rsidRPr="00EB6052" w:rsidRDefault="00EB6052" w:rsidP="00EB6052">
            <w:pPr>
              <w:widowControl w:val="0"/>
              <w:jc w:val="both"/>
              <w:rPr>
                <w:sz w:val="20"/>
                <w:szCs w:val="20"/>
                <w:lang w:val="fr-CA"/>
              </w:rPr>
            </w:pPr>
            <w:r w:rsidRPr="00423E50">
              <w:rPr>
                <w:sz w:val="20"/>
                <w:szCs w:val="20"/>
                <w:lang w:val="fr-CA"/>
              </w:rPr>
              <w:t xml:space="preserve">Droit constitutionnel - Prépondérance fédérale - Faillite et insolvabilité - La </w:t>
            </w:r>
            <w:r w:rsidRPr="00423E50">
              <w:rPr>
                <w:i/>
                <w:sz w:val="20"/>
                <w:szCs w:val="20"/>
                <w:lang w:val="fr-CA"/>
              </w:rPr>
              <w:t>Loi sur la faillite et l’insolvabilité</w:t>
            </w:r>
            <w:r w:rsidRPr="00423E50">
              <w:rPr>
                <w:sz w:val="20"/>
                <w:szCs w:val="20"/>
                <w:lang w:val="fr-CA"/>
              </w:rPr>
              <w:t>, L.R.C. 1985, ch. B-3 (« </w:t>
            </w:r>
            <w:r w:rsidRPr="00423E50">
              <w:rPr>
                <w:i/>
                <w:sz w:val="20"/>
                <w:szCs w:val="20"/>
                <w:lang w:val="fr-CA"/>
              </w:rPr>
              <w:t>LFI</w:t>
            </w:r>
            <w:r w:rsidRPr="00423E50">
              <w:rPr>
                <w:sz w:val="20"/>
                <w:szCs w:val="20"/>
                <w:lang w:val="fr-CA"/>
              </w:rPr>
              <w:t xml:space="preserve"> ») rend-elle la Partie II de la </w:t>
            </w:r>
            <w:r w:rsidRPr="00423E50">
              <w:rPr>
                <w:i/>
                <w:sz w:val="20"/>
                <w:szCs w:val="20"/>
                <w:lang w:val="fr-CA"/>
              </w:rPr>
              <w:t>Saskatchewan Farm Security Act</w:t>
            </w:r>
            <w:r w:rsidRPr="00423E50">
              <w:rPr>
                <w:sz w:val="20"/>
                <w:szCs w:val="20"/>
                <w:lang w:val="fr-CA"/>
              </w:rPr>
              <w:t>, S.S. 1988-89, ch. S-17 (« </w:t>
            </w:r>
            <w:r w:rsidRPr="00423E50">
              <w:rPr>
                <w:i/>
                <w:sz w:val="20"/>
                <w:szCs w:val="20"/>
                <w:lang w:val="fr-CA"/>
              </w:rPr>
              <w:t>SFSA</w:t>
            </w:r>
            <w:r w:rsidRPr="00423E50">
              <w:rPr>
                <w:sz w:val="20"/>
                <w:szCs w:val="20"/>
                <w:lang w:val="fr-CA"/>
              </w:rPr>
              <w:t xml:space="preserve"> ») inopérante en vertu de la doctrine de la prépondérance fédérale? - </w:t>
            </w:r>
            <w:r w:rsidRPr="00423E50">
              <w:rPr>
                <w:i/>
                <w:sz w:val="20"/>
                <w:szCs w:val="20"/>
                <w:lang w:val="fr-CA"/>
              </w:rPr>
              <w:t>LFI</w:t>
            </w:r>
            <w:r w:rsidRPr="00423E50">
              <w:rPr>
                <w:sz w:val="20"/>
                <w:szCs w:val="20"/>
                <w:lang w:val="fr-CA"/>
              </w:rPr>
              <w:t>, art. 243.</w:t>
            </w:r>
          </w:p>
        </w:tc>
      </w:tr>
    </w:tbl>
    <w:p w:rsidR="00576180" w:rsidRPr="00EB6052" w:rsidRDefault="00576180" w:rsidP="00576180">
      <w:pPr>
        <w:widowControl w:val="0"/>
        <w:rPr>
          <w:sz w:val="20"/>
          <w:szCs w:val="20"/>
          <w:lang w:val="fr-CA"/>
        </w:rPr>
      </w:pPr>
    </w:p>
    <w:p w:rsidR="00576180" w:rsidRDefault="007F638F" w:rsidP="00576180">
      <w:pPr>
        <w:widowControl w:val="0"/>
        <w:rPr>
          <w:sz w:val="20"/>
          <w:szCs w:val="20"/>
        </w:rPr>
      </w:pPr>
      <w:r>
        <w:rPr>
          <w:sz w:val="20"/>
          <w:szCs w:val="20"/>
          <w:lang w:val="fr-CA"/>
        </w:rPr>
        <w:pict>
          <v:rect id="_x0000_i1062" style="width:2in;height:1pt" o:hrpct="0" o:hralign="center" o:hrstd="t" o:hrnoshade="t" o:hr="t" fillcolor="black [3213]" stroked="f"/>
        </w:pict>
      </w:r>
    </w:p>
    <w:p w:rsidR="00576180" w:rsidRDefault="00576180" w:rsidP="00576180">
      <w:pPr>
        <w:widowControl w:val="0"/>
        <w:rPr>
          <w:sz w:val="20"/>
          <w:szCs w:val="20"/>
        </w:rPr>
      </w:pPr>
    </w:p>
    <w:p w:rsidR="00E940EB" w:rsidRDefault="00E940EB" w:rsidP="00732DB7">
      <w:pPr>
        <w:widowControl w:val="0"/>
        <w:rPr>
          <w:sz w:val="20"/>
          <w:szCs w:val="20"/>
          <w:lang w:val="fr-CA"/>
        </w:rPr>
      </w:pPr>
    </w:p>
    <w:p w:rsidR="00D004FC" w:rsidRPr="00C1697B" w:rsidRDefault="00D004F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63742E"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F26666" w:rsidRDefault="00345C87" w:rsidP="0052229C">
      <w:pPr>
        <w:rPr>
          <w:b/>
          <w:sz w:val="20"/>
          <w:szCs w:val="20"/>
        </w:rPr>
      </w:pPr>
      <w:r w:rsidRPr="00F26666">
        <w:rPr>
          <w:b/>
          <w:sz w:val="20"/>
          <w:szCs w:val="20"/>
        </w:rPr>
        <w:t>M</w:t>
      </w:r>
      <w:r w:rsidR="0052229C" w:rsidRPr="00F26666">
        <w:rPr>
          <w:b/>
          <w:sz w:val="20"/>
          <w:szCs w:val="20"/>
        </w:rPr>
        <w:t xml:space="preserve">AY </w:t>
      </w:r>
      <w:r w:rsidRPr="00F26666">
        <w:rPr>
          <w:b/>
          <w:sz w:val="20"/>
          <w:szCs w:val="20"/>
        </w:rPr>
        <w:t>2</w:t>
      </w:r>
      <w:r w:rsidR="0052229C" w:rsidRPr="00F26666">
        <w:rPr>
          <w:b/>
          <w:sz w:val="20"/>
          <w:szCs w:val="20"/>
        </w:rPr>
        <w:t>1, 201</w:t>
      </w:r>
      <w:r w:rsidRPr="00F26666">
        <w:rPr>
          <w:b/>
          <w:sz w:val="20"/>
          <w:szCs w:val="20"/>
        </w:rPr>
        <w:t>5</w:t>
      </w:r>
      <w:r w:rsidR="0052229C" w:rsidRPr="00F26666">
        <w:rPr>
          <w:b/>
          <w:sz w:val="20"/>
          <w:szCs w:val="20"/>
        </w:rPr>
        <w:t xml:space="preserve"> / LE </w:t>
      </w:r>
      <w:r w:rsidRPr="00F26666">
        <w:rPr>
          <w:b/>
          <w:sz w:val="20"/>
          <w:szCs w:val="20"/>
        </w:rPr>
        <w:t>2</w:t>
      </w:r>
      <w:r w:rsidR="0052229C" w:rsidRPr="00F26666">
        <w:rPr>
          <w:b/>
          <w:sz w:val="20"/>
          <w:szCs w:val="20"/>
        </w:rPr>
        <w:t xml:space="preserve">1 </w:t>
      </w:r>
      <w:r w:rsidRPr="00F26666">
        <w:rPr>
          <w:b/>
          <w:sz w:val="20"/>
          <w:szCs w:val="20"/>
        </w:rPr>
        <w:t>M</w:t>
      </w:r>
      <w:r w:rsidR="0052229C" w:rsidRPr="00F26666">
        <w:rPr>
          <w:b/>
          <w:sz w:val="20"/>
          <w:szCs w:val="20"/>
        </w:rPr>
        <w:t>AI 201</w:t>
      </w:r>
      <w:r w:rsidRPr="00F26666">
        <w:rPr>
          <w:b/>
          <w:sz w:val="20"/>
          <w:szCs w:val="20"/>
        </w:rPr>
        <w:t>5</w:t>
      </w:r>
    </w:p>
    <w:p w:rsidR="0052229C" w:rsidRPr="00F26666" w:rsidRDefault="0052229C" w:rsidP="0052229C">
      <w:pPr>
        <w:rPr>
          <w:sz w:val="20"/>
          <w:szCs w:val="20"/>
        </w:rPr>
      </w:pPr>
    </w:p>
    <w:p w:rsidR="00F26666" w:rsidRPr="00F26666" w:rsidRDefault="009E7629" w:rsidP="00F26666">
      <w:pPr>
        <w:ind w:left="1440" w:hanging="1440"/>
        <w:jc w:val="both"/>
        <w:rPr>
          <w:rFonts w:eastAsia="Calibri"/>
          <w:sz w:val="20"/>
          <w:szCs w:val="20"/>
        </w:rPr>
      </w:pPr>
      <w:r w:rsidRPr="004D19C4">
        <w:rPr>
          <w:rFonts w:eastAsia="Calibri"/>
          <w:b/>
          <w:sz w:val="20"/>
          <w:szCs w:val="20"/>
        </w:rPr>
        <w:fldChar w:fldCharType="begin"/>
      </w:r>
      <w:r w:rsidR="00F26666" w:rsidRPr="004D19C4">
        <w:rPr>
          <w:rFonts w:eastAsia="Calibri"/>
          <w:b/>
          <w:sz w:val="20"/>
          <w:szCs w:val="20"/>
        </w:rPr>
        <w:instrText xml:space="preserve"> SEQ CHAPTER \h \r 1</w:instrText>
      </w:r>
      <w:r w:rsidRPr="004D19C4">
        <w:rPr>
          <w:rFonts w:eastAsia="Calibri"/>
          <w:b/>
          <w:sz w:val="20"/>
          <w:szCs w:val="20"/>
        </w:rPr>
        <w:fldChar w:fldCharType="end"/>
      </w:r>
      <w:r w:rsidR="00F26666" w:rsidRPr="004D19C4">
        <w:rPr>
          <w:rFonts w:eastAsia="Calibri"/>
          <w:b/>
          <w:sz w:val="20"/>
          <w:szCs w:val="20"/>
        </w:rPr>
        <w:t>35475</w:t>
      </w:r>
      <w:r w:rsidR="00F26666" w:rsidRPr="004D19C4">
        <w:rPr>
          <w:rFonts w:eastAsia="Calibri"/>
          <w:sz w:val="20"/>
          <w:szCs w:val="20"/>
        </w:rPr>
        <w:tab/>
      </w:r>
      <w:r w:rsidR="00F26666" w:rsidRPr="004D19C4">
        <w:rPr>
          <w:rFonts w:eastAsia="Calibri"/>
          <w:b/>
          <w:sz w:val="20"/>
          <w:szCs w:val="20"/>
          <w:u w:val="single"/>
        </w:rPr>
        <w:t>Her Majesty The Queen v. Clifford Kokopenace – and – Advocates’ Society, Nishnawbe Aski Nation, David Asper Centre for Constitutional Rights, Women’s Legal Education and Action Fund, Inc. (LEAF), Native Women’s Association of Canada, Canadian Association of Elizabeth Fry Societies and Aboriginal Legal Services of Toronto Inc.</w:t>
      </w:r>
      <w:r w:rsidR="00F26666" w:rsidRPr="004D19C4">
        <w:rPr>
          <w:rFonts w:eastAsia="Calibri"/>
          <w:b/>
          <w:sz w:val="20"/>
          <w:szCs w:val="20"/>
        </w:rPr>
        <w:t xml:space="preserve"> </w:t>
      </w:r>
      <w:r w:rsidR="00F26666" w:rsidRPr="00F26666">
        <w:rPr>
          <w:rFonts w:eastAsia="Calibri"/>
          <w:iCs/>
          <w:sz w:val="20"/>
          <w:szCs w:val="20"/>
        </w:rPr>
        <w:t>(Ont.)</w:t>
      </w:r>
    </w:p>
    <w:p w:rsidR="00F26666" w:rsidRPr="004D19C4" w:rsidRDefault="00F26666" w:rsidP="00F2666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0"/>
        </w:rPr>
      </w:pPr>
      <w:r w:rsidRPr="004D19C4">
        <w:rPr>
          <w:rFonts w:eastAsia="Calibri"/>
          <w:b/>
          <w:sz w:val="20"/>
          <w:szCs w:val="20"/>
        </w:rPr>
        <w:t>2015 SCC 28 / 2015 CSC 28</w:t>
      </w:r>
    </w:p>
    <w:p w:rsidR="00F26666" w:rsidRPr="004D19C4" w:rsidRDefault="00F26666" w:rsidP="00F2666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0"/>
        </w:rPr>
      </w:pPr>
    </w:p>
    <w:p w:rsidR="00F26666" w:rsidRPr="004D19C4" w:rsidRDefault="00F26666" w:rsidP="00F26666">
      <w:pPr>
        <w:ind w:left="1440" w:hanging="1440"/>
        <w:rPr>
          <w:rFonts w:eastAsia="Calibri"/>
          <w:sz w:val="20"/>
          <w:szCs w:val="20"/>
          <w:u w:val="single"/>
        </w:rPr>
      </w:pPr>
      <w:r w:rsidRPr="004D19C4">
        <w:rPr>
          <w:rFonts w:eastAsia="Calibri"/>
          <w:sz w:val="20"/>
          <w:szCs w:val="20"/>
        </w:rPr>
        <w:t>Coram:</w:t>
      </w:r>
      <w:r w:rsidRPr="004D19C4">
        <w:rPr>
          <w:rFonts w:eastAsia="Calibri"/>
          <w:sz w:val="20"/>
          <w:szCs w:val="20"/>
        </w:rPr>
        <w:tab/>
      </w:r>
      <w:r w:rsidRPr="004D19C4">
        <w:rPr>
          <w:rFonts w:eastAsia="Calibri"/>
          <w:sz w:val="20"/>
          <w:szCs w:val="20"/>
          <w:u w:val="single"/>
        </w:rPr>
        <w:t>McLachlin C.J. and Rothstein, Cromwell, Moldaver, Karakatsanis, Wagner and Gascon JJ.</w:t>
      </w:r>
    </w:p>
    <w:p w:rsidR="00F26666" w:rsidRPr="004D19C4" w:rsidRDefault="00F26666" w:rsidP="00F26666">
      <w:pPr>
        <w:ind w:left="1440" w:hanging="1440"/>
        <w:jc w:val="both"/>
        <w:rPr>
          <w:rFonts w:eastAsia="Calibri"/>
          <w:sz w:val="20"/>
          <w:szCs w:val="20"/>
          <w:u w:val="single"/>
        </w:rPr>
      </w:pPr>
    </w:p>
    <w:p w:rsidR="00F26666" w:rsidRPr="004D19C4" w:rsidRDefault="00F26666" w:rsidP="00F26666">
      <w:pPr>
        <w:jc w:val="both"/>
        <w:rPr>
          <w:rFonts w:eastAsia="Calibri"/>
          <w:sz w:val="20"/>
          <w:szCs w:val="20"/>
          <w:lang w:val="fr-CA"/>
        </w:rPr>
      </w:pPr>
      <w:r w:rsidRPr="004D19C4">
        <w:rPr>
          <w:rFonts w:eastAsia="Calibri"/>
          <w:sz w:val="20"/>
          <w:szCs w:val="20"/>
        </w:rPr>
        <w:t xml:space="preserve">The appeal from the judgment </w:t>
      </w:r>
      <w:bookmarkStart w:id="3" w:name="BM_1_"/>
      <w:bookmarkEnd w:id="3"/>
      <w:r w:rsidRPr="004D19C4">
        <w:rPr>
          <w:rFonts w:eastAsia="Calibri"/>
          <w:sz w:val="20"/>
          <w:szCs w:val="20"/>
        </w:rPr>
        <w:t xml:space="preserve">of the Court of Appeal for Ontario, Number C49961, 2013 ONCA 389, dated June 14, 2013, heard on October 6, 2014, is allowed, the order for a new trial is set aside and the conviction is reinstated. </w:t>
      </w:r>
      <w:r w:rsidRPr="004D19C4">
        <w:rPr>
          <w:rFonts w:eastAsia="Calibri"/>
          <w:sz w:val="20"/>
          <w:szCs w:val="20"/>
          <w:lang w:val="fr-CA"/>
        </w:rPr>
        <w:t>McLachlin C.J. and Cromwell J. are dissenting.</w:t>
      </w:r>
    </w:p>
    <w:p w:rsidR="00F26666" w:rsidRPr="004D19C4" w:rsidRDefault="00F26666" w:rsidP="00F26666">
      <w:pPr>
        <w:jc w:val="both"/>
        <w:rPr>
          <w:rFonts w:eastAsia="Calibri"/>
          <w:sz w:val="20"/>
          <w:szCs w:val="20"/>
          <w:lang w:val="fr-CA"/>
        </w:rPr>
      </w:pPr>
    </w:p>
    <w:p w:rsidR="00F26666" w:rsidRPr="004D19C4" w:rsidRDefault="00F26666" w:rsidP="00F26666">
      <w:pPr>
        <w:jc w:val="both"/>
        <w:rPr>
          <w:rFonts w:eastAsia="Calibri"/>
          <w:sz w:val="20"/>
          <w:szCs w:val="20"/>
          <w:lang w:val="fr-CA"/>
        </w:rPr>
      </w:pPr>
      <w:r w:rsidRPr="004D19C4">
        <w:rPr>
          <w:rFonts w:eastAsia="Calibri"/>
          <w:sz w:val="20"/>
          <w:szCs w:val="20"/>
          <w:lang w:val="fr-CA"/>
        </w:rPr>
        <w:t>L’appel interjeté contre l’arrêt de la Cour d’appel de l’Ontario, numéro C49961, 2013 ONCA 389, en date du 14 juin 2013, entendu le 6 octobre 2014, est accueilli, l’ordonnance prévoyant la tenue d’un nouveau procès est annulée et la déclaration de culpabilité est rétablie. La juge en chef McLachlin et le juge Cromwell sont dissidents.</w:t>
      </w:r>
    </w:p>
    <w:p w:rsidR="00345C87" w:rsidRDefault="00345C87" w:rsidP="0052229C">
      <w:pPr>
        <w:rPr>
          <w:sz w:val="20"/>
          <w:szCs w:val="20"/>
          <w:lang w:val="fr-CA"/>
        </w:rPr>
      </w:pPr>
    </w:p>
    <w:p w:rsidR="00345C87" w:rsidRDefault="007F638F" w:rsidP="0052229C">
      <w:pPr>
        <w:rPr>
          <w:sz w:val="20"/>
          <w:szCs w:val="20"/>
          <w:lang w:val="fr-CA"/>
        </w:rPr>
      </w:pPr>
      <w:r>
        <w:rPr>
          <w:b/>
          <w:sz w:val="20"/>
          <w:szCs w:val="20"/>
        </w:rPr>
        <w:pict>
          <v:rect id="_x0000_i1065" style="width:144.3pt;height:1pt" o:hrpct="300" o:hralign="center" o:hrstd="t" o:hrnoshade="t" o:hr="t" fillcolor="black [3213]" stroked="f"/>
        </w:pict>
      </w:r>
    </w:p>
    <w:p w:rsidR="00345C87" w:rsidRDefault="00345C87" w:rsidP="0052229C">
      <w:pPr>
        <w:rPr>
          <w:sz w:val="20"/>
          <w:szCs w:val="20"/>
          <w:lang w:val="fr-CA"/>
        </w:rPr>
      </w:pPr>
    </w:p>
    <w:p w:rsidR="00345C87" w:rsidRPr="00F26666" w:rsidRDefault="00345C87" w:rsidP="00345C87">
      <w:pPr>
        <w:rPr>
          <w:b/>
          <w:sz w:val="20"/>
          <w:szCs w:val="20"/>
        </w:rPr>
      </w:pPr>
      <w:r w:rsidRPr="00F26666">
        <w:rPr>
          <w:b/>
          <w:sz w:val="20"/>
          <w:szCs w:val="20"/>
        </w:rPr>
        <w:t>MAY 22, 2015 / LE 22 MAI 2015</w:t>
      </w:r>
    </w:p>
    <w:p w:rsidR="00345C87" w:rsidRPr="00F26666" w:rsidRDefault="00345C87" w:rsidP="0052229C">
      <w:pPr>
        <w:rPr>
          <w:sz w:val="20"/>
          <w:szCs w:val="20"/>
        </w:rPr>
      </w:pPr>
    </w:p>
    <w:p w:rsidR="00F26666" w:rsidRPr="00C43555" w:rsidRDefault="009E7629" w:rsidP="00F26666">
      <w:pPr>
        <w:ind w:left="1440" w:hanging="1440"/>
        <w:jc w:val="both"/>
        <w:rPr>
          <w:sz w:val="20"/>
          <w:szCs w:val="20"/>
        </w:rPr>
      </w:pPr>
      <w:r w:rsidRPr="00C43555">
        <w:rPr>
          <w:b/>
          <w:sz w:val="20"/>
          <w:szCs w:val="20"/>
        </w:rPr>
        <w:fldChar w:fldCharType="begin"/>
      </w:r>
      <w:r w:rsidR="00F26666" w:rsidRPr="00C43555">
        <w:rPr>
          <w:b/>
          <w:sz w:val="20"/>
          <w:szCs w:val="20"/>
        </w:rPr>
        <w:instrText xml:space="preserve"> SEQ CHAPTER \h \r 1</w:instrText>
      </w:r>
      <w:r w:rsidRPr="00C43555">
        <w:rPr>
          <w:b/>
          <w:sz w:val="20"/>
          <w:szCs w:val="20"/>
        </w:rPr>
        <w:fldChar w:fldCharType="end"/>
      </w:r>
      <w:r w:rsidR="00F26666" w:rsidRPr="00C43555">
        <w:rPr>
          <w:b/>
          <w:sz w:val="20"/>
          <w:szCs w:val="20"/>
        </w:rPr>
        <w:t>35977</w:t>
      </w:r>
      <w:r w:rsidR="00F26666" w:rsidRPr="00C43555">
        <w:rPr>
          <w:sz w:val="20"/>
          <w:szCs w:val="20"/>
        </w:rPr>
        <w:tab/>
      </w:r>
      <w:r w:rsidR="00F26666" w:rsidRPr="00C43555">
        <w:rPr>
          <w:b/>
          <w:sz w:val="20"/>
          <w:szCs w:val="20"/>
          <w:u w:val="single"/>
        </w:rPr>
        <w:t>Donald Jerry Barabash v. Her Majesty The Queen – and – Attorney General of Canada, Attorney General of Ontario, Canadian Civil Liberties Association, Beyond Borders and Canadian Centre for Child Protection Inc.</w:t>
      </w:r>
      <w:r w:rsidR="00F26666" w:rsidRPr="00C43555">
        <w:rPr>
          <w:sz w:val="20"/>
          <w:szCs w:val="20"/>
        </w:rPr>
        <w:t xml:space="preserve"> (Alta.)</w:t>
      </w:r>
    </w:p>
    <w:p w:rsidR="00F26666" w:rsidRPr="00C43555" w:rsidRDefault="00F26666" w:rsidP="00F26666">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C43555">
        <w:rPr>
          <w:b/>
          <w:sz w:val="20"/>
          <w:szCs w:val="20"/>
        </w:rPr>
        <w:t>2015 SCC 29 / 2015 CSC 29</w:t>
      </w:r>
    </w:p>
    <w:p w:rsidR="00F26666" w:rsidRPr="00C43555" w:rsidRDefault="00F26666" w:rsidP="00F26666">
      <w:pPr>
        <w:ind w:left="1440" w:hanging="1440"/>
        <w:rPr>
          <w:sz w:val="20"/>
          <w:szCs w:val="20"/>
        </w:rPr>
      </w:pPr>
    </w:p>
    <w:p w:rsidR="00F26666" w:rsidRPr="00C43555" w:rsidRDefault="00F26666" w:rsidP="00F26666">
      <w:pPr>
        <w:ind w:left="1440" w:hanging="1440"/>
        <w:rPr>
          <w:sz w:val="20"/>
          <w:szCs w:val="20"/>
          <w:u w:val="single"/>
        </w:rPr>
      </w:pPr>
      <w:r w:rsidRPr="00C43555">
        <w:rPr>
          <w:sz w:val="20"/>
          <w:szCs w:val="20"/>
        </w:rPr>
        <w:t>Coram:</w:t>
      </w:r>
      <w:r w:rsidRPr="00C43555">
        <w:rPr>
          <w:sz w:val="20"/>
          <w:szCs w:val="20"/>
        </w:rPr>
        <w:tab/>
      </w:r>
      <w:r w:rsidRPr="00C43555">
        <w:rPr>
          <w:sz w:val="20"/>
          <w:szCs w:val="20"/>
          <w:u w:val="single"/>
        </w:rPr>
        <w:t>McLachlin C.J. and Abella, Rothstein, Cromwell, Moldaver, Karakatsanis, Wagner, Gascon and Côté JJ.</w:t>
      </w:r>
    </w:p>
    <w:p w:rsidR="00F26666" w:rsidRPr="00C43555" w:rsidRDefault="00F26666" w:rsidP="00F26666">
      <w:pPr>
        <w:jc w:val="both"/>
        <w:rPr>
          <w:sz w:val="20"/>
          <w:szCs w:val="20"/>
        </w:rPr>
      </w:pPr>
    </w:p>
    <w:p w:rsidR="00F26666" w:rsidRPr="00C43555" w:rsidRDefault="00F26666" w:rsidP="00F26666">
      <w:pPr>
        <w:widowControl w:val="0"/>
        <w:jc w:val="both"/>
        <w:outlineLvl w:val="0"/>
        <w:rPr>
          <w:rFonts w:eastAsia="Calibri"/>
          <w:sz w:val="20"/>
          <w:szCs w:val="20"/>
        </w:rPr>
      </w:pPr>
      <w:r w:rsidRPr="00C43555">
        <w:rPr>
          <w:rFonts w:eastAsia="Calibri"/>
          <w:sz w:val="20"/>
          <w:szCs w:val="20"/>
        </w:rPr>
        <w:t>The appeal from the judgment of the Court of Appeal of Alberta (Edmonton), Number 1203-0032-A, 2014 ABCA 126, dated April 3, 2014, heard on January 16, 2015, is allowed and a new trial is ordered.</w:t>
      </w:r>
    </w:p>
    <w:p w:rsidR="00F26666" w:rsidRPr="00C43555" w:rsidRDefault="00F26666" w:rsidP="00F26666">
      <w:pPr>
        <w:widowControl w:val="0"/>
        <w:jc w:val="both"/>
        <w:outlineLvl w:val="0"/>
        <w:rPr>
          <w:rFonts w:eastAsia="Calibri"/>
          <w:sz w:val="20"/>
          <w:szCs w:val="20"/>
        </w:rPr>
      </w:pPr>
    </w:p>
    <w:p w:rsidR="00F26666" w:rsidRPr="00C43555" w:rsidRDefault="00F26666" w:rsidP="00F26666">
      <w:pPr>
        <w:widowControl w:val="0"/>
        <w:jc w:val="both"/>
        <w:outlineLvl w:val="0"/>
        <w:rPr>
          <w:sz w:val="20"/>
          <w:szCs w:val="20"/>
          <w:lang w:val="fr-CA"/>
        </w:rPr>
      </w:pPr>
      <w:r w:rsidRPr="00C43555">
        <w:rPr>
          <w:rFonts w:eastAsia="Calibri"/>
          <w:sz w:val="20"/>
          <w:szCs w:val="20"/>
          <w:lang w:val="fr-CA"/>
        </w:rPr>
        <w:t>L’appel interjeté contre l’arrêt de la Cour d’appel de l’Alberta (Edmonton), numéro 1203-0032-A, 2014 ABCA 126, en date du 3 avril 2014, entendu le 16 janvier 2015, est accueilli et la tenue d’un nouveau procès est ordonnée.</w:t>
      </w:r>
    </w:p>
    <w:p w:rsidR="00345C87" w:rsidRPr="00F26666" w:rsidRDefault="00345C87" w:rsidP="0052229C">
      <w:pPr>
        <w:rPr>
          <w:sz w:val="20"/>
          <w:szCs w:val="20"/>
          <w:lang w:val="fr-CA"/>
        </w:rPr>
      </w:pPr>
    </w:p>
    <w:p w:rsidR="0052229C" w:rsidRPr="003B3977" w:rsidRDefault="007F638F" w:rsidP="0052229C">
      <w:pPr>
        <w:spacing w:line="0" w:lineRule="atLeast"/>
        <w:rPr>
          <w:sz w:val="20"/>
          <w:szCs w:val="20"/>
        </w:rPr>
      </w:pPr>
      <w:r>
        <w:rPr>
          <w:b/>
          <w:sz w:val="20"/>
          <w:szCs w:val="20"/>
        </w:rPr>
        <w:pict>
          <v:rect id="_x0000_i1066"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F26666" w:rsidRPr="00C43555" w:rsidRDefault="009E7629" w:rsidP="00F26666">
      <w:pPr>
        <w:ind w:left="1440" w:hanging="1440"/>
        <w:jc w:val="both"/>
        <w:rPr>
          <w:sz w:val="20"/>
          <w:szCs w:val="20"/>
        </w:rPr>
      </w:pPr>
      <w:r w:rsidRPr="00C43555">
        <w:rPr>
          <w:b/>
          <w:sz w:val="20"/>
          <w:szCs w:val="20"/>
        </w:rPr>
        <w:fldChar w:fldCharType="begin"/>
      </w:r>
      <w:r w:rsidR="00F26666" w:rsidRPr="00C43555">
        <w:rPr>
          <w:b/>
          <w:sz w:val="20"/>
          <w:szCs w:val="20"/>
        </w:rPr>
        <w:instrText xml:space="preserve"> SEQ CHAPTER \h \r 1</w:instrText>
      </w:r>
      <w:r w:rsidRPr="00C43555">
        <w:rPr>
          <w:b/>
          <w:sz w:val="20"/>
          <w:szCs w:val="20"/>
        </w:rPr>
        <w:fldChar w:fldCharType="end"/>
      </w:r>
      <w:r w:rsidR="00F26666" w:rsidRPr="00C43555">
        <w:rPr>
          <w:b/>
          <w:sz w:val="20"/>
          <w:szCs w:val="20"/>
        </w:rPr>
        <w:t>36064</w:t>
      </w:r>
      <w:r w:rsidR="00F26666" w:rsidRPr="00C43555">
        <w:rPr>
          <w:sz w:val="20"/>
          <w:szCs w:val="20"/>
        </w:rPr>
        <w:tab/>
      </w:r>
      <w:r w:rsidR="00F26666" w:rsidRPr="00C43555">
        <w:rPr>
          <w:b/>
          <w:sz w:val="20"/>
          <w:szCs w:val="20"/>
          <w:u w:val="single"/>
        </w:rPr>
        <w:t>Shane Gordon Rollison v. Her Majesty The Queen – and – Attorney General of Canada, Attorney General of Ontario, Canadian Civil Liberties Association, Beyond Borders and Canadian Centre for Child Protection Inc.</w:t>
      </w:r>
      <w:r w:rsidR="00F26666" w:rsidRPr="00C43555">
        <w:rPr>
          <w:sz w:val="20"/>
          <w:szCs w:val="20"/>
        </w:rPr>
        <w:t xml:space="preserve"> (Alta.)</w:t>
      </w:r>
    </w:p>
    <w:p w:rsidR="00F26666" w:rsidRPr="00C43555" w:rsidRDefault="00F26666" w:rsidP="00F26666">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C43555">
        <w:rPr>
          <w:b/>
          <w:sz w:val="20"/>
          <w:szCs w:val="20"/>
        </w:rPr>
        <w:t>2015 SCC 29 / 2015 CSC 29</w:t>
      </w:r>
    </w:p>
    <w:p w:rsidR="00F26666" w:rsidRPr="00C43555" w:rsidRDefault="00F26666" w:rsidP="00F26666">
      <w:pPr>
        <w:ind w:left="1440" w:hanging="1440"/>
        <w:rPr>
          <w:sz w:val="20"/>
          <w:szCs w:val="20"/>
        </w:rPr>
      </w:pPr>
    </w:p>
    <w:p w:rsidR="00F26666" w:rsidRPr="00C43555" w:rsidRDefault="00F26666" w:rsidP="00F26666">
      <w:pPr>
        <w:ind w:left="1440" w:hanging="1440"/>
        <w:rPr>
          <w:sz w:val="20"/>
          <w:szCs w:val="20"/>
          <w:u w:val="single"/>
        </w:rPr>
      </w:pPr>
      <w:r w:rsidRPr="00C43555">
        <w:rPr>
          <w:sz w:val="20"/>
          <w:szCs w:val="20"/>
        </w:rPr>
        <w:t>Coram:</w:t>
      </w:r>
      <w:r w:rsidRPr="00C43555">
        <w:rPr>
          <w:sz w:val="20"/>
          <w:szCs w:val="20"/>
        </w:rPr>
        <w:tab/>
      </w:r>
      <w:r w:rsidRPr="00C43555">
        <w:rPr>
          <w:sz w:val="20"/>
          <w:szCs w:val="20"/>
          <w:u w:val="single"/>
        </w:rPr>
        <w:t>McLachlin C.J. and Abella, Rothstein, Cromwell, Moldaver, Karakatsanis, Wagner, Gascon and Côté JJ.</w:t>
      </w:r>
    </w:p>
    <w:p w:rsidR="00F26666" w:rsidRPr="00C43555" w:rsidRDefault="00F26666" w:rsidP="00F26666">
      <w:pPr>
        <w:jc w:val="both"/>
        <w:rPr>
          <w:sz w:val="20"/>
          <w:szCs w:val="20"/>
        </w:rPr>
      </w:pPr>
    </w:p>
    <w:p w:rsidR="00F26666" w:rsidRPr="00C43555" w:rsidRDefault="00F26666" w:rsidP="00F26666">
      <w:pPr>
        <w:jc w:val="both"/>
        <w:rPr>
          <w:rFonts w:eastAsia="Calibri"/>
          <w:sz w:val="20"/>
          <w:szCs w:val="20"/>
        </w:rPr>
      </w:pPr>
      <w:r w:rsidRPr="00C43555">
        <w:rPr>
          <w:rFonts w:eastAsia="Calibri"/>
          <w:sz w:val="20"/>
          <w:szCs w:val="20"/>
        </w:rPr>
        <w:t>The appeal from the judgment of the Court of Appeal of Alberta (Edmonton), Number 1203-0033-A, 2014 ABCA 126, dated April 3, 2014, heard on January 16, 2015, is allowed and a new trial is ordered.</w:t>
      </w:r>
    </w:p>
    <w:p w:rsidR="00F26666" w:rsidRPr="00C43555" w:rsidRDefault="00F26666" w:rsidP="00F26666">
      <w:pPr>
        <w:jc w:val="both"/>
        <w:rPr>
          <w:rFonts w:eastAsia="Calibri"/>
          <w:sz w:val="20"/>
          <w:szCs w:val="20"/>
        </w:rPr>
      </w:pPr>
    </w:p>
    <w:p w:rsidR="00F26666" w:rsidRPr="00772617" w:rsidRDefault="00F26666">
      <w:pPr>
        <w:rPr>
          <w:rFonts w:eastAsia="Calibri"/>
          <w:sz w:val="20"/>
          <w:szCs w:val="20"/>
        </w:rPr>
      </w:pPr>
      <w:r w:rsidRPr="00772617">
        <w:rPr>
          <w:rFonts w:eastAsia="Calibri"/>
          <w:sz w:val="20"/>
          <w:szCs w:val="20"/>
        </w:rPr>
        <w:br w:type="page"/>
      </w:r>
    </w:p>
    <w:p w:rsidR="00F26666" w:rsidRPr="00C43555" w:rsidRDefault="00F26666" w:rsidP="00F26666">
      <w:pPr>
        <w:jc w:val="both"/>
        <w:rPr>
          <w:rFonts w:eastAsia="Calibri"/>
          <w:sz w:val="20"/>
          <w:szCs w:val="20"/>
          <w:lang w:val="fr-CA"/>
        </w:rPr>
      </w:pPr>
      <w:r w:rsidRPr="00C43555">
        <w:rPr>
          <w:rFonts w:eastAsia="Calibri"/>
          <w:sz w:val="20"/>
          <w:szCs w:val="20"/>
          <w:lang w:val="fr-CA"/>
        </w:rPr>
        <w:lastRenderedPageBreak/>
        <w:t>L’appel interjeté contre l’arrêt de la Cour d’appel de l’Alberta (Edmonton), numéro 1203-0033-A, 2014 ABCA 126, en date du 3 avril 2014, entendu le 16 janvier 2015, est accueilli et la tenue d’un nouveau procès est ordonnée.</w:t>
      </w:r>
    </w:p>
    <w:p w:rsidR="00D004FC" w:rsidRPr="0052229C" w:rsidRDefault="00D004FC" w:rsidP="00D004FC">
      <w:pPr>
        <w:spacing w:line="0" w:lineRule="atLeast"/>
        <w:rPr>
          <w:rFonts w:cs="Times New Roman"/>
          <w:sz w:val="20"/>
          <w:szCs w:val="20"/>
          <w:lang w:val="fr-CA"/>
        </w:rPr>
      </w:pPr>
    </w:p>
    <w:p w:rsidR="00D004FC" w:rsidRDefault="007F638F" w:rsidP="00D004FC">
      <w:pPr>
        <w:jc w:val="both"/>
        <w:rPr>
          <w:rFonts w:cs="Times New Roman"/>
          <w:b/>
          <w:sz w:val="20"/>
          <w:szCs w:val="20"/>
        </w:rPr>
      </w:pPr>
      <w:r>
        <w:rPr>
          <w:rFonts w:cs="Times New Roman"/>
          <w:b/>
          <w:sz w:val="20"/>
          <w:szCs w:val="20"/>
        </w:rPr>
        <w:pict>
          <v:rect id="_x0000_i1067"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345C87" w:rsidRPr="00C66617" w:rsidRDefault="00345C87" w:rsidP="00345C87">
      <w:pPr>
        <w:autoSpaceDE w:val="0"/>
        <w:autoSpaceDN w:val="0"/>
        <w:rPr>
          <w:sz w:val="20"/>
          <w:szCs w:val="20"/>
        </w:rPr>
      </w:pPr>
      <w:r w:rsidRPr="00C66617">
        <w:rPr>
          <w:i/>
          <w:sz w:val="20"/>
          <w:szCs w:val="20"/>
        </w:rPr>
        <w:t>Her Majesty the Queen v. Clifford Kokopenace</w:t>
      </w:r>
      <w:r w:rsidRPr="00C66617">
        <w:rPr>
          <w:sz w:val="20"/>
          <w:szCs w:val="20"/>
        </w:rPr>
        <w:t xml:space="preserve"> (Ont.) (</w:t>
      </w:r>
      <w:hyperlink r:id="rId87" w:history="1">
        <w:r w:rsidRPr="00C66617">
          <w:rPr>
            <w:rStyle w:val="Hyperlink"/>
            <w:sz w:val="20"/>
            <w:szCs w:val="20"/>
          </w:rPr>
          <w:t>35475</w:t>
        </w:r>
      </w:hyperlink>
      <w:r w:rsidRPr="00C66617">
        <w:rPr>
          <w:sz w:val="20"/>
          <w:szCs w:val="20"/>
        </w:rPr>
        <w:t>)</w:t>
      </w:r>
    </w:p>
    <w:p w:rsidR="005373A7" w:rsidRPr="005373A7" w:rsidRDefault="005373A7" w:rsidP="005373A7">
      <w:pPr>
        <w:jc w:val="both"/>
        <w:outlineLvl w:val="0"/>
        <w:rPr>
          <w:b/>
          <w:sz w:val="20"/>
          <w:szCs w:val="20"/>
        </w:rPr>
      </w:pPr>
      <w:r w:rsidRPr="00F60323">
        <w:rPr>
          <w:b/>
          <w:sz w:val="20"/>
          <w:szCs w:val="20"/>
        </w:rPr>
        <w:t xml:space="preserve">Indexed as: </w:t>
      </w:r>
      <w:r w:rsidRPr="005373A7">
        <w:rPr>
          <w:rStyle w:val="SCCAppellantForIndexChar"/>
          <w:rFonts w:eastAsiaTheme="minorHAnsi"/>
          <w:sz w:val="20"/>
          <w:lang w:val="en-CA"/>
        </w:rPr>
        <w:t>R.</w:t>
      </w:r>
      <w:r w:rsidRPr="00F60323">
        <w:rPr>
          <w:b/>
          <w:sz w:val="20"/>
          <w:szCs w:val="20"/>
        </w:rPr>
        <w:t xml:space="preserve"> </w:t>
      </w:r>
      <w:r w:rsidRPr="00F60323">
        <w:rPr>
          <w:b/>
          <w:i/>
          <w:sz w:val="20"/>
          <w:szCs w:val="20"/>
        </w:rPr>
        <w:t>v.</w:t>
      </w:r>
      <w:r w:rsidRPr="00F60323">
        <w:rPr>
          <w:b/>
          <w:sz w:val="20"/>
          <w:szCs w:val="20"/>
        </w:rPr>
        <w:t xml:space="preserve"> </w:t>
      </w:r>
      <w:r w:rsidRPr="00F60323">
        <w:rPr>
          <w:rStyle w:val="SCCRespondentForIndexChar"/>
          <w:rFonts w:eastAsiaTheme="minorHAnsi"/>
          <w:sz w:val="20"/>
        </w:rPr>
        <w:t>Kokopenace</w:t>
      </w:r>
      <w:r>
        <w:rPr>
          <w:rStyle w:val="SCCRespondentForIndexChar"/>
          <w:rFonts w:eastAsiaTheme="minorHAnsi"/>
          <w:sz w:val="20"/>
        </w:rPr>
        <w:t xml:space="preserve"> / </w:t>
      </w:r>
      <w:r w:rsidRPr="005373A7">
        <w:rPr>
          <w:b/>
          <w:sz w:val="20"/>
          <w:szCs w:val="20"/>
        </w:rPr>
        <w:t>Répertorié : </w:t>
      </w:r>
      <w:r w:rsidRPr="005373A7">
        <w:rPr>
          <w:rStyle w:val="SCCAppellantForIndexChar"/>
          <w:rFonts w:eastAsiaTheme="minorHAnsi"/>
          <w:sz w:val="20"/>
          <w:lang w:val="en-CA"/>
        </w:rPr>
        <w:t>R.</w:t>
      </w:r>
      <w:r w:rsidRPr="005373A7">
        <w:rPr>
          <w:b/>
          <w:sz w:val="20"/>
          <w:szCs w:val="20"/>
        </w:rPr>
        <w:t xml:space="preserve"> </w:t>
      </w:r>
      <w:r w:rsidRPr="005373A7">
        <w:rPr>
          <w:b/>
          <w:i/>
          <w:sz w:val="20"/>
          <w:szCs w:val="20"/>
        </w:rPr>
        <w:t>c.</w:t>
      </w:r>
      <w:r w:rsidRPr="005373A7">
        <w:rPr>
          <w:b/>
          <w:sz w:val="20"/>
          <w:szCs w:val="20"/>
        </w:rPr>
        <w:t xml:space="preserve"> </w:t>
      </w:r>
      <w:r w:rsidRPr="005373A7">
        <w:rPr>
          <w:rStyle w:val="SCCRespondentForIndexChar"/>
          <w:rFonts w:eastAsiaTheme="minorHAnsi"/>
          <w:sz w:val="20"/>
        </w:rPr>
        <w:t>Kokopenace</w:t>
      </w:r>
    </w:p>
    <w:p w:rsidR="0052229C" w:rsidRPr="00345C87" w:rsidRDefault="0052229C" w:rsidP="0052229C">
      <w:pPr>
        <w:pStyle w:val="SCCSystemYear"/>
        <w:jc w:val="both"/>
        <w:rPr>
          <w:sz w:val="20"/>
        </w:rPr>
      </w:pPr>
      <w:r w:rsidRPr="00345C87">
        <w:rPr>
          <w:sz w:val="20"/>
        </w:rPr>
        <w:t>Neutral citation:  201</w:t>
      </w:r>
      <w:r w:rsidR="00020DC3" w:rsidRPr="00345C87">
        <w:rPr>
          <w:sz w:val="20"/>
        </w:rPr>
        <w:t>5</w:t>
      </w:r>
      <w:r w:rsidRPr="00345C87">
        <w:rPr>
          <w:sz w:val="20"/>
        </w:rPr>
        <w:t xml:space="preserve"> SCC </w:t>
      </w:r>
      <w:r w:rsidR="00345C87" w:rsidRPr="00345C87">
        <w:rPr>
          <w:sz w:val="20"/>
        </w:rPr>
        <w:t>28</w:t>
      </w:r>
      <w:r w:rsidRPr="00345C87">
        <w:rPr>
          <w:sz w:val="20"/>
        </w:rPr>
        <w:t xml:space="preserve"> / Référence neutre : 201</w:t>
      </w:r>
      <w:r w:rsidR="00020DC3" w:rsidRPr="00345C87">
        <w:rPr>
          <w:sz w:val="20"/>
        </w:rPr>
        <w:t>5</w:t>
      </w:r>
      <w:r w:rsidRPr="00345C87">
        <w:rPr>
          <w:sz w:val="20"/>
        </w:rPr>
        <w:t xml:space="preserve"> CSC </w:t>
      </w:r>
      <w:r w:rsidR="00345C87" w:rsidRPr="00345C87">
        <w:rPr>
          <w:sz w:val="20"/>
        </w:rPr>
        <w:t>28</w:t>
      </w:r>
    </w:p>
    <w:p w:rsidR="0052229C" w:rsidRPr="00345C87" w:rsidRDefault="0052229C" w:rsidP="0052229C">
      <w:pPr>
        <w:rPr>
          <w:rFonts w:cs="Times New Roman"/>
          <w:sz w:val="20"/>
          <w:szCs w:val="20"/>
          <w:lang w:val="fr-CA"/>
        </w:rPr>
      </w:pPr>
      <w:r w:rsidRPr="00345C87">
        <w:rPr>
          <w:rFonts w:cs="Times New Roman"/>
          <w:sz w:val="20"/>
          <w:szCs w:val="20"/>
          <w:lang w:val="fr-CA"/>
        </w:rPr>
        <w:t xml:space="preserve">Hearing:  </w:t>
      </w:r>
      <w:r w:rsidR="005373A7">
        <w:rPr>
          <w:rFonts w:cs="Times New Roman"/>
          <w:sz w:val="20"/>
          <w:szCs w:val="20"/>
          <w:lang w:val="fr-CA"/>
        </w:rPr>
        <w:t>October</w:t>
      </w:r>
      <w:r w:rsidRPr="00345C87">
        <w:rPr>
          <w:rFonts w:cs="Times New Roman"/>
          <w:sz w:val="20"/>
          <w:szCs w:val="20"/>
          <w:lang w:val="fr-CA"/>
        </w:rPr>
        <w:t xml:space="preserve"> </w:t>
      </w:r>
      <w:r w:rsidR="005373A7">
        <w:rPr>
          <w:rFonts w:cs="Times New Roman"/>
          <w:sz w:val="20"/>
          <w:szCs w:val="20"/>
          <w:lang w:val="fr-CA"/>
        </w:rPr>
        <w:t>6</w:t>
      </w:r>
      <w:r w:rsidRPr="00345C87">
        <w:rPr>
          <w:rFonts w:cs="Times New Roman"/>
          <w:sz w:val="20"/>
          <w:szCs w:val="20"/>
          <w:lang w:val="fr-CA"/>
        </w:rPr>
        <w:t>, 201</w:t>
      </w:r>
      <w:r w:rsidR="00020DC3" w:rsidRPr="00345C87">
        <w:rPr>
          <w:rFonts w:cs="Times New Roman"/>
          <w:sz w:val="20"/>
          <w:szCs w:val="20"/>
          <w:lang w:val="fr-CA"/>
        </w:rPr>
        <w:t>4</w:t>
      </w:r>
      <w:r w:rsidRPr="00345C87">
        <w:rPr>
          <w:rFonts w:cs="Times New Roman"/>
          <w:sz w:val="20"/>
          <w:szCs w:val="20"/>
          <w:lang w:val="fr-CA"/>
        </w:rPr>
        <w:t xml:space="preserve"> / Judgment:  </w:t>
      </w:r>
      <w:r w:rsidR="00345C87" w:rsidRPr="00345C87">
        <w:rPr>
          <w:rFonts w:cs="Times New Roman"/>
          <w:sz w:val="20"/>
          <w:szCs w:val="20"/>
          <w:lang w:val="fr-CA"/>
        </w:rPr>
        <w:t>M</w:t>
      </w:r>
      <w:r w:rsidRPr="00345C87">
        <w:rPr>
          <w:rFonts w:cs="Times New Roman"/>
          <w:sz w:val="20"/>
          <w:szCs w:val="20"/>
          <w:lang w:val="fr-CA"/>
        </w:rPr>
        <w:t xml:space="preserve">ay </w:t>
      </w:r>
      <w:r w:rsidR="00345C87" w:rsidRPr="00345C87">
        <w:rPr>
          <w:rFonts w:cs="Times New Roman"/>
          <w:sz w:val="20"/>
          <w:szCs w:val="20"/>
          <w:lang w:val="fr-CA"/>
        </w:rPr>
        <w:t>2</w:t>
      </w:r>
      <w:r w:rsidRPr="00345C87">
        <w:rPr>
          <w:rFonts w:cs="Times New Roman"/>
          <w:sz w:val="20"/>
          <w:szCs w:val="20"/>
          <w:lang w:val="fr-CA"/>
        </w:rPr>
        <w:t>1, 201</w:t>
      </w:r>
      <w:r w:rsidR="00020DC3" w:rsidRPr="00345C87">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5373A7">
        <w:rPr>
          <w:rFonts w:cs="Times New Roman"/>
          <w:sz w:val="20"/>
          <w:szCs w:val="20"/>
          <w:lang w:val="fr-CA"/>
        </w:rPr>
        <w:t>6 octobre</w:t>
      </w:r>
      <w:r w:rsidRPr="003B3977">
        <w:rPr>
          <w:rFonts w:cs="Times New Roman"/>
          <w:sz w:val="20"/>
          <w:szCs w:val="20"/>
          <w:lang w:val="fr-CA"/>
        </w:rPr>
        <w:t xml:space="preserve"> 201</w:t>
      </w:r>
      <w:r w:rsidR="00020DC3">
        <w:rPr>
          <w:rFonts w:cs="Times New Roman"/>
          <w:sz w:val="20"/>
          <w:szCs w:val="20"/>
          <w:lang w:val="fr-CA"/>
        </w:rPr>
        <w:t>4</w:t>
      </w:r>
      <w:r w:rsidRPr="003B3977">
        <w:rPr>
          <w:rFonts w:cs="Times New Roman"/>
          <w:sz w:val="20"/>
          <w:szCs w:val="20"/>
          <w:lang w:val="fr-CA"/>
        </w:rPr>
        <w:t xml:space="preserve"> / Jugement : Le </w:t>
      </w:r>
      <w:r w:rsidR="00345C87">
        <w:rPr>
          <w:rFonts w:cs="Times New Roman"/>
          <w:sz w:val="20"/>
          <w:szCs w:val="20"/>
          <w:lang w:val="fr-CA"/>
        </w:rPr>
        <w:t>2</w:t>
      </w:r>
      <w:r>
        <w:rPr>
          <w:rFonts w:cs="Times New Roman"/>
          <w:sz w:val="20"/>
          <w:szCs w:val="20"/>
          <w:lang w:val="fr-CA"/>
        </w:rPr>
        <w:t xml:space="preserve">1 </w:t>
      </w:r>
      <w:r w:rsidR="00345C87">
        <w:rPr>
          <w:rFonts w:cs="Times New Roman"/>
          <w:sz w:val="20"/>
          <w:szCs w:val="20"/>
          <w:lang w:val="fr-CA"/>
        </w:rPr>
        <w:t>m</w:t>
      </w:r>
      <w:r>
        <w:rPr>
          <w:rFonts w:cs="Times New Roman"/>
          <w:sz w:val="20"/>
          <w:szCs w:val="20"/>
          <w:lang w:val="fr-CA"/>
        </w:rPr>
        <w:t>ai</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7F638F" w:rsidP="005C6840">
      <w:pPr>
        <w:rPr>
          <w:rFonts w:cs="Times New Roman"/>
          <w:sz w:val="20"/>
          <w:szCs w:val="20"/>
          <w:lang w:val="fr-CA"/>
        </w:rPr>
      </w:pPr>
      <w:r>
        <w:rPr>
          <w:rFonts w:cs="Times New Roman"/>
          <w:i/>
          <w:sz w:val="20"/>
          <w:szCs w:val="20"/>
        </w:rPr>
        <w:pict>
          <v:rect id="_x0000_i1070"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373A7" w:rsidRPr="00F60323" w:rsidRDefault="005373A7" w:rsidP="005373A7">
      <w:pPr>
        <w:jc w:val="both"/>
        <w:rPr>
          <w:sz w:val="20"/>
          <w:szCs w:val="20"/>
        </w:rPr>
      </w:pPr>
      <w:r w:rsidRPr="00F60323">
        <w:rPr>
          <w:sz w:val="20"/>
          <w:szCs w:val="20"/>
        </w:rPr>
        <w:t>Present: McLachlin C.J. and Rothstein, Cromwell, Moldaver, Karakatsanis, Wagner and Gascon JJ.</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i/>
          <w:sz w:val="20"/>
        </w:rPr>
      </w:pPr>
      <w:r w:rsidRPr="00F60323">
        <w:rPr>
          <w:sz w:val="20"/>
        </w:rPr>
        <w:tab/>
      </w:r>
      <w:r w:rsidRPr="00F60323">
        <w:rPr>
          <w:i/>
          <w:sz w:val="20"/>
        </w:rPr>
        <w:t>Constitutional law — Charter of Rights — Right to a fair hearing — Right to trial by jury — Jury representativeness — Definition — Aboriginal accused from First Nation reserve convicted of manslaughter — Aboriginal on</w:t>
      </w:r>
      <w:r w:rsidRPr="00F60323">
        <w:rPr>
          <w:i/>
          <w:sz w:val="20"/>
        </w:rPr>
        <w:noBreakHyphen/>
        <w:t>reserve residents underrepresented on jury roll from which jury selected for accused’s trial — What is the appropriate legal test for representativeness — Whether state met its representativeness obligation — Canadian Charter of Rights and Freedoms, ss. 11(d), 11(f).</w:t>
      </w:r>
    </w:p>
    <w:p w:rsidR="005373A7" w:rsidRDefault="005373A7" w:rsidP="005373A7">
      <w:pPr>
        <w:pStyle w:val="SCCNormalDoubleSpacing"/>
        <w:spacing w:line="240" w:lineRule="auto"/>
        <w:rPr>
          <w:i/>
          <w:sz w:val="20"/>
        </w:rPr>
      </w:pPr>
    </w:p>
    <w:p w:rsidR="005373A7" w:rsidRPr="00F60323" w:rsidRDefault="005373A7" w:rsidP="005373A7">
      <w:pPr>
        <w:pStyle w:val="SCCNormalDoubleSpacing"/>
        <w:spacing w:line="240" w:lineRule="auto"/>
        <w:rPr>
          <w:i/>
          <w:sz w:val="20"/>
        </w:rPr>
      </w:pPr>
      <w:r w:rsidRPr="00F60323">
        <w:rPr>
          <w:i/>
          <w:sz w:val="20"/>
        </w:rPr>
        <w:tab/>
        <w:t>Constitutional law — Charter of Rights — Right to equality — Aboriginal on</w:t>
      </w:r>
      <w:r w:rsidRPr="00F60323">
        <w:rPr>
          <w:i/>
          <w:sz w:val="20"/>
        </w:rPr>
        <w:noBreakHyphen/>
        <w:t>reserve residents — Aboriginal accused from First Nation reserve convicted of manslaughter — Aboriginal on</w:t>
      </w:r>
      <w:r w:rsidRPr="00F60323">
        <w:rPr>
          <w:i/>
          <w:sz w:val="20"/>
        </w:rPr>
        <w:noBreakHyphen/>
        <w:t>reserve residents underrepresented on jury roll from which jury selected for accused’s trial — Whether state violated right to equality of accused or of Aboriginal on</w:t>
      </w:r>
      <w:r w:rsidRPr="00F60323">
        <w:rPr>
          <w:i/>
          <w:sz w:val="20"/>
        </w:rPr>
        <w:noBreakHyphen/>
        <w:t xml:space="preserve">reserve residents who were potential jurors — Canadian Charter of Rights and Freedoms, s. 15. </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The accused, an Aboriginal man from a First Nation reserve, was charged with second degree murder and convicted of manslaughter after a trial by judge and jury. Prior to sentencing, the accused’s counsel learned that there may have been problems with the inclusion of Aboriginal on</w:t>
      </w:r>
      <w:r w:rsidRPr="00F60323">
        <w:rPr>
          <w:sz w:val="20"/>
        </w:rPr>
        <w:noBreakHyphen/>
        <w:t xml:space="preserve">reserve residents on the jury roll for the District of Kenora, which raised questions about the representativeness of the jury in the accused’s case. The trial judge refused to adjourn the proceedings to hear a mistrial application, as he considered himself to be </w:t>
      </w:r>
      <w:r w:rsidRPr="00F60323">
        <w:rPr>
          <w:i/>
          <w:sz w:val="20"/>
        </w:rPr>
        <w:t>functus officio</w:t>
      </w:r>
      <w:r w:rsidRPr="00F60323">
        <w:rPr>
          <w:sz w:val="20"/>
        </w:rPr>
        <w:t>. The representativeness issue was therefore raised for the first time on appeal, where fresh evidence was introduced regarding the efforts made by the province in preparing the jury rolls for the district. The Court of Appeal was satisfied that the accused received a fair trial and that his jury was not tainted by a reasonable apprehension of bias or partiality. However, the majority held that the accused’s ss. 11(</w:t>
      </w:r>
      <w:r w:rsidRPr="00F60323">
        <w:rPr>
          <w:i/>
          <w:sz w:val="20"/>
        </w:rPr>
        <w:t>d</w:t>
      </w:r>
      <w:r w:rsidRPr="00F60323">
        <w:rPr>
          <w:sz w:val="20"/>
        </w:rPr>
        <w:t>) and 11(</w:t>
      </w:r>
      <w:r w:rsidRPr="00F60323">
        <w:rPr>
          <w:i/>
          <w:sz w:val="20"/>
        </w:rPr>
        <w:t>f</w:t>
      </w:r>
      <w:r w:rsidRPr="00F60323">
        <w:rPr>
          <w:sz w:val="20"/>
        </w:rPr>
        <w:t xml:space="preserve">) </w:t>
      </w:r>
      <w:r w:rsidRPr="00F60323">
        <w:rPr>
          <w:i/>
          <w:sz w:val="20"/>
        </w:rPr>
        <w:t>Charter</w:t>
      </w:r>
      <w:r w:rsidRPr="00F60323">
        <w:rPr>
          <w:sz w:val="20"/>
        </w:rPr>
        <w:t xml:space="preserve"> rights had been violated and ordered a new trial. All three judges rejected the accused’s s. 15 </w:t>
      </w:r>
      <w:r w:rsidRPr="00F60323">
        <w:rPr>
          <w:i/>
          <w:sz w:val="20"/>
        </w:rPr>
        <w:t>Charter</w:t>
      </w:r>
      <w:r w:rsidRPr="00F60323">
        <w:rPr>
          <w:sz w:val="20"/>
        </w:rPr>
        <w:t xml:space="preserve"> claims.</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r>
      <w:r w:rsidRPr="00F60323">
        <w:rPr>
          <w:rStyle w:val="QuoteChar"/>
          <w:sz w:val="20"/>
        </w:rPr>
        <w:t>Held (McLachlin C.J. and Cromwell J. dissenting):</w:t>
      </w:r>
      <w:r w:rsidRPr="00F60323">
        <w:rPr>
          <w:sz w:val="20"/>
        </w:rPr>
        <w:t xml:space="preserve"> The appeal should be allowed. The order for a new trial is set aside and the conviction is reinstated.</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r>
      <w:r w:rsidRPr="00F60323">
        <w:rPr>
          <w:i/>
          <w:sz w:val="20"/>
        </w:rPr>
        <w:t>Per</w:t>
      </w:r>
      <w:r w:rsidRPr="00F60323">
        <w:rPr>
          <w:sz w:val="20"/>
        </w:rPr>
        <w:t xml:space="preserve"> Rothstein, </w:t>
      </w:r>
      <w:r w:rsidRPr="00F60323">
        <w:rPr>
          <w:b/>
          <w:sz w:val="20"/>
        </w:rPr>
        <w:t>Moldaver</w:t>
      </w:r>
      <w:r w:rsidRPr="00F60323">
        <w:rPr>
          <w:sz w:val="20"/>
        </w:rPr>
        <w:t>, Wagner and Gascon JJ.: Representativeness is an important feature of our jury system, but its meaning is circumscribed. What is required is a representative cross</w:t>
      </w:r>
      <w:r w:rsidRPr="00F60323">
        <w:rPr>
          <w:sz w:val="20"/>
        </w:rPr>
        <w:noBreakHyphen/>
        <w:t xml:space="preserve">section of society, honestly and fairly chosen. With respect to the jury roll, representativeness focuses on the process used to compile it, not its ultimate composition. </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To determine if the state has met its representativeness obligation, the question is whether the state provided a fair opportunity for a broad cross</w:t>
      </w:r>
      <w:r w:rsidRPr="00F60323">
        <w:rPr>
          <w:sz w:val="20"/>
        </w:rPr>
        <w:noBreakHyphen/>
        <w:t>section of society to participate in the jury process. A fair opportunity will be provided when the state makes reasonable efforts to: (1) compile the jury roll using random selection from lists that draw from a broad cross</w:t>
      </w:r>
      <w:r w:rsidRPr="00F60323">
        <w:rPr>
          <w:sz w:val="20"/>
        </w:rPr>
        <w:noBreakHyphen/>
        <w:t xml:space="preserve">section of society, and (2) deliver jury notices to those who have been randomly selected. When this process is followed, the jury roll will be representative and an accused’s </w:t>
      </w:r>
      <w:r w:rsidRPr="00F60323">
        <w:rPr>
          <w:i/>
          <w:sz w:val="20"/>
        </w:rPr>
        <w:t>Charter</w:t>
      </w:r>
      <w:r w:rsidRPr="00F60323">
        <w:rPr>
          <w:sz w:val="20"/>
        </w:rPr>
        <w:t xml:space="preserve"> right to a representative jury will be respected. This process aims to ensure that there is an opportunity for individuals with varied perspectives to be included on the jury, and it seeks to preclude systemic exclusion of segments of the population.</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Jury representativeness is captured by both ss. 11(</w:t>
      </w:r>
      <w:r w:rsidRPr="00F60323">
        <w:rPr>
          <w:i/>
          <w:sz w:val="20"/>
        </w:rPr>
        <w:t>d</w:t>
      </w:r>
      <w:r w:rsidRPr="00F60323">
        <w:rPr>
          <w:sz w:val="20"/>
        </w:rPr>
        <w:t>) and 11(</w:t>
      </w:r>
      <w:r w:rsidRPr="00F60323">
        <w:rPr>
          <w:i/>
          <w:sz w:val="20"/>
        </w:rPr>
        <w:t>f</w:t>
      </w:r>
      <w:r w:rsidRPr="00F60323">
        <w:rPr>
          <w:sz w:val="20"/>
        </w:rPr>
        <w:t xml:space="preserve">) of the </w:t>
      </w:r>
      <w:r w:rsidRPr="00F60323">
        <w:rPr>
          <w:i/>
          <w:sz w:val="20"/>
        </w:rPr>
        <w:t>Charter</w:t>
      </w:r>
      <w:r w:rsidRPr="00F60323">
        <w:rPr>
          <w:sz w:val="20"/>
        </w:rPr>
        <w:t xml:space="preserve">, but it plays a different role in these two guarantees. </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The role of representativeness under s. 11(</w:t>
      </w:r>
      <w:r w:rsidRPr="00F60323">
        <w:rPr>
          <w:i/>
          <w:sz w:val="20"/>
        </w:rPr>
        <w:t>d</w:t>
      </w:r>
      <w:r w:rsidRPr="00F60323">
        <w:rPr>
          <w:sz w:val="20"/>
        </w:rPr>
        <w:t>) is limited to its effect on independence and impartiality. A problem with representativeness that does not undermine these concepts will not violate s. 11(</w:t>
      </w:r>
      <w:r w:rsidRPr="00F60323">
        <w:rPr>
          <w:i/>
          <w:sz w:val="20"/>
        </w:rPr>
        <w:t>d</w:t>
      </w:r>
      <w:r w:rsidRPr="00F60323">
        <w:rPr>
          <w:sz w:val="20"/>
        </w:rPr>
        <w:t xml:space="preserve">). </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lastRenderedPageBreak/>
        <w:tab/>
        <w:t>The parties in this case focused on the impartiality aspect of s. 11(</w:t>
      </w:r>
      <w:r w:rsidRPr="00F60323">
        <w:rPr>
          <w:i/>
          <w:sz w:val="20"/>
        </w:rPr>
        <w:t>d</w:t>
      </w:r>
      <w:r w:rsidRPr="00F60323">
        <w:rPr>
          <w:sz w:val="20"/>
        </w:rPr>
        <w:t>). Even if the petit jury does not appear to be biased, s. 11(</w:t>
      </w:r>
      <w:r w:rsidRPr="00F60323">
        <w:rPr>
          <w:i/>
          <w:sz w:val="20"/>
        </w:rPr>
        <w:t>d</w:t>
      </w:r>
      <w:r w:rsidRPr="00F60323">
        <w:rPr>
          <w:sz w:val="20"/>
        </w:rPr>
        <w:t>) will be violated if the process used to compile the jury roll raises an appearance of bias at the systemic level. This may occur in two ways: the deliberate exclusion of a particular group, or efforts in compiling the jury roll that are so deficient as to create an appearance of partiality. However, where neither form of conduct exists, a problem with representativeness will not violate s. 11(</w:t>
      </w:r>
      <w:r w:rsidRPr="00F60323">
        <w:rPr>
          <w:i/>
          <w:sz w:val="20"/>
        </w:rPr>
        <w:t>d</w:t>
      </w:r>
      <w:r w:rsidRPr="00F60323">
        <w:rPr>
          <w:sz w:val="20"/>
        </w:rPr>
        <w:t>).</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 xml:space="preserve">The narrow way in which representativeness is defined in Canadian jurisprudence means that impartiality is guaranteed through the process used to compile the jury roll, not through the ultimate composition of the jury roll or petit jury itself. A jury roll containing few individuals of the accused’s race or religion is not in itself indicative of bias. </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The role of representativeness in s. 11(</w:t>
      </w:r>
      <w:r w:rsidRPr="00F60323">
        <w:rPr>
          <w:i/>
          <w:sz w:val="20"/>
        </w:rPr>
        <w:t>f</w:t>
      </w:r>
      <w:r w:rsidRPr="00F60323">
        <w:rPr>
          <w:sz w:val="20"/>
        </w:rPr>
        <w:t>) is broader: it not only promotes impartiality, it also legitimizes the jury’s role as the “conscience of the community” and promotes public trust in the criminal justice system. This broader role creates an important point of distinction: while a problem with representativeness will not necessarily violate s. 11(</w:t>
      </w:r>
      <w:r w:rsidRPr="00F60323">
        <w:rPr>
          <w:i/>
          <w:sz w:val="20"/>
        </w:rPr>
        <w:t>d</w:t>
      </w:r>
      <w:r w:rsidRPr="00F60323">
        <w:rPr>
          <w:sz w:val="20"/>
        </w:rPr>
        <w:t>), its absence will automatically undermine the s. 11(</w:t>
      </w:r>
      <w:r w:rsidRPr="00F60323">
        <w:rPr>
          <w:i/>
          <w:sz w:val="20"/>
        </w:rPr>
        <w:t>f</w:t>
      </w:r>
      <w:r w:rsidRPr="00F60323">
        <w:rPr>
          <w:sz w:val="20"/>
        </w:rPr>
        <w:t>) right to a trial by jury.</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If the state deliberately excludes a particular subset of the population that is eligible for jury service, it will violate an accused’s right to a representative jury, regardless of the size of the group affected. However, if it is a question of unintentional exclusion, it is the quality of the state’s efforts in compiling the jury roll that will determine whether an accused’s right to a representative jury has been respected. If the state makes reasonable efforts but part of the population is excluded because it declines to participate, the state will nonetheless have met its constitutional obligation. In contrast, if the state does not make reasonable efforts, the size of the population that has been inadvertently excluded will be relevant. When only a small segment of the population is affected, there will still have been a fair opportunity for participation by a broad cross</w:t>
      </w:r>
      <w:r w:rsidRPr="00F60323">
        <w:rPr>
          <w:sz w:val="20"/>
        </w:rPr>
        <w:noBreakHyphen/>
        <w:t>section of society.</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Representativeness is not about targeting particular groups for inclusion on the jury roll. The province was therefore not required to address systemic problems contributing to the reluctance of Aboriginal on</w:t>
      </w:r>
      <w:r w:rsidRPr="00F60323">
        <w:rPr>
          <w:sz w:val="20"/>
        </w:rPr>
        <w:noBreakHyphen/>
        <w:t>reserve residents to participate in the jury process. Efforts to address historical and systemic wrongs against Aboriginal peoples — although socially laudable — are by definition an attempt to target a particular group for inclusion on the jury roll. An accused’s representativeness right is not the appropriate mechanism for repairing the damaged relationship between particular societal groups and our criminal justice system more generally.</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There is no right to a jury roll of a particular composition, nor to one that proportionately represents all the diverse groups in Canadian society. Requiring a jury roll to proportionately represent the different religions, races, cultures, or individual characteristics of eligible jurors would create a number of insurmountable problems. There are an infinite number of characteristics that one might consider should be represented, and even if a perfect source list were used, it would be impossible to create a jury roll that fully represents them. A proportionate representation requirement would also do away with well</w:t>
      </w:r>
      <w:r w:rsidRPr="00F60323">
        <w:rPr>
          <w:sz w:val="20"/>
        </w:rPr>
        <w:noBreakHyphen/>
        <w:t xml:space="preserve">established principles, such as juror privacy and random selection. In their place, we would be left with an inquisition into prospective jurors’ backgrounds and a requirement that the state target particular groups for inclusion on the jury roll. Such an approach would be unworkable and would spell the end of our jury system as we presently know it. </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The province met its representativeness obligation in this case. The Court of Appeal raised potential issues with three parts of the process — the lists, the delivery, and the low response rates. Assessed in light of what was known at the time and against the proper standard, the province’s efforts to include Aboriginal on</w:t>
      </w:r>
      <w:r w:rsidRPr="00F60323">
        <w:rPr>
          <w:sz w:val="20"/>
        </w:rPr>
        <w:noBreakHyphen/>
        <w:t>reserve residents in the jury process were reasonable. Accordingly, there was no violation of ss. 11(</w:t>
      </w:r>
      <w:r w:rsidRPr="00F60323">
        <w:rPr>
          <w:i/>
          <w:sz w:val="20"/>
        </w:rPr>
        <w:t>d</w:t>
      </w:r>
      <w:r w:rsidRPr="00F60323">
        <w:rPr>
          <w:sz w:val="20"/>
        </w:rPr>
        <w:t>) or 11(</w:t>
      </w:r>
      <w:r w:rsidRPr="00F60323">
        <w:rPr>
          <w:i/>
          <w:sz w:val="20"/>
        </w:rPr>
        <w:t>f</w:t>
      </w:r>
      <w:r w:rsidRPr="00F60323">
        <w:rPr>
          <w:sz w:val="20"/>
        </w:rPr>
        <w:t xml:space="preserve">) of the </w:t>
      </w:r>
      <w:r w:rsidRPr="00F60323">
        <w:rPr>
          <w:i/>
          <w:sz w:val="20"/>
        </w:rPr>
        <w:t>Charter</w:t>
      </w:r>
      <w:r w:rsidRPr="00F60323">
        <w:rPr>
          <w:sz w:val="20"/>
        </w:rPr>
        <w:t>. Although the problem of the underrepresentation of Aboriginal on</w:t>
      </w:r>
      <w:r w:rsidRPr="00F60323">
        <w:rPr>
          <w:sz w:val="20"/>
        </w:rPr>
        <w:noBreakHyphen/>
        <w:t>reserve residents in the jury system is a serious policy concern that merits attention, the accused’s ss. 11(</w:t>
      </w:r>
      <w:r w:rsidRPr="00F60323">
        <w:rPr>
          <w:i/>
          <w:sz w:val="20"/>
        </w:rPr>
        <w:t>d</w:t>
      </w:r>
      <w:r w:rsidRPr="00F60323">
        <w:rPr>
          <w:sz w:val="20"/>
        </w:rPr>
        <w:t>) and 11(</w:t>
      </w:r>
      <w:r w:rsidRPr="00F60323">
        <w:rPr>
          <w:i/>
          <w:sz w:val="20"/>
        </w:rPr>
        <w:t>f</w:t>
      </w:r>
      <w:r w:rsidRPr="00F60323">
        <w:rPr>
          <w:sz w:val="20"/>
        </w:rPr>
        <w:t xml:space="preserve">) </w:t>
      </w:r>
      <w:r w:rsidRPr="00F60323">
        <w:rPr>
          <w:i/>
          <w:sz w:val="20"/>
        </w:rPr>
        <w:t>Charter</w:t>
      </w:r>
      <w:r w:rsidRPr="00F60323">
        <w:rPr>
          <w:sz w:val="20"/>
        </w:rPr>
        <w:t xml:space="preserve"> rights are not the appropriate vehicle to address this concern. </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 xml:space="preserve">The accused’s claims based on s. 15 of the </w:t>
      </w:r>
      <w:r w:rsidRPr="00F60323">
        <w:rPr>
          <w:i/>
          <w:sz w:val="20"/>
        </w:rPr>
        <w:t>Charter</w:t>
      </w:r>
      <w:r w:rsidRPr="00F60323">
        <w:rPr>
          <w:sz w:val="20"/>
        </w:rPr>
        <w:t xml:space="preserve"> must also be dismissed. With respect to his personal s. 15 claim, the accused has not clearly articulated a disadvantage. With respect to his request for public interest standing to advance a s. 15 claim on behalf of Aboriginal on</w:t>
      </w:r>
      <w:r w:rsidRPr="00F60323">
        <w:rPr>
          <w:sz w:val="20"/>
        </w:rPr>
        <w:noBreakHyphen/>
        <w:t>reserve residents who were potential jurors, it cannot be granted because the accused may have different, potentially conflicting interests from those of potential jurors.</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lastRenderedPageBreak/>
        <w:tab/>
      </w:r>
      <w:r w:rsidRPr="00F60323">
        <w:rPr>
          <w:i/>
          <w:sz w:val="20"/>
        </w:rPr>
        <w:t>Per</w:t>
      </w:r>
      <w:r w:rsidRPr="00F60323">
        <w:rPr>
          <w:sz w:val="20"/>
        </w:rPr>
        <w:t xml:space="preserve"> </w:t>
      </w:r>
      <w:r w:rsidRPr="00F60323">
        <w:rPr>
          <w:b/>
          <w:sz w:val="20"/>
        </w:rPr>
        <w:t>Karakatsanis</w:t>
      </w:r>
      <w:r w:rsidRPr="00F60323">
        <w:rPr>
          <w:sz w:val="20"/>
        </w:rPr>
        <w:t xml:space="preserve"> J.: Fair trial rights under s. 11 of the </w:t>
      </w:r>
      <w:r w:rsidRPr="00F60323">
        <w:rPr>
          <w:i/>
          <w:sz w:val="20"/>
        </w:rPr>
        <w:t>Charter</w:t>
      </w:r>
      <w:r w:rsidRPr="00F60323">
        <w:rPr>
          <w:sz w:val="20"/>
        </w:rPr>
        <w:t xml:space="preserve"> entitle an accused person to an independent and impartial jury, drawn from a jury roll that was created through a fair and neutral process of random selection from broad</w:t>
      </w:r>
      <w:r w:rsidRPr="00F60323">
        <w:rPr>
          <w:sz w:val="20"/>
        </w:rPr>
        <w:noBreakHyphen/>
        <w:t>based source lists without deliberate or substantial exclusion. That threshold was met in this case.</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Representativeness does not require a jury roll to mirror what a random sample from the community would look like. Adopting such an identity</w:t>
      </w:r>
      <w:r w:rsidRPr="00F60323">
        <w:rPr>
          <w:sz w:val="20"/>
        </w:rPr>
        <w:noBreakHyphen/>
        <w:t>based approach would mark a significant departure from both Canadian jurisprudence and experience. Jury representativeness is aimed at ensuring that the jury can fulfill its important roles as finder of fact and as the link connecting the judicial process to the broader community. This right has a limited meaning in Canadian law. It does not mean that the jury must reflect a cross</w:t>
      </w:r>
      <w:r w:rsidRPr="00F60323">
        <w:rPr>
          <w:sz w:val="20"/>
        </w:rPr>
        <w:noBreakHyphen/>
        <w:t>section of the community or its different characteristics or perspectives. It instead describes the functioning of the jury as an institution, in which laypersons are asked to contribute to the criminal justice process and to provide the crucial link between that system and the larger community. A jury acts on behalf of, and thus represents, society. It is not rendered legitimate because its members reflect the demographics of that community.</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b/>
          <w:sz w:val="20"/>
        </w:rPr>
      </w:pPr>
      <w:r w:rsidRPr="00F60323">
        <w:rPr>
          <w:sz w:val="20"/>
        </w:rPr>
        <w:tab/>
        <w:t xml:space="preserve">The representative function of the jury is assured by the use of a fair and random selection process, based on broadly inclusive source lists, that does not deliberately or substantially exclude a subset of the community. Representativeness requires more than reasonable efforts to use such a process. It is the adequacy of the process used, rather than the quality of the state’s efforts, which determines whether or not an accused’s </w:t>
      </w:r>
      <w:r w:rsidRPr="00F60323">
        <w:rPr>
          <w:i/>
          <w:iCs/>
          <w:sz w:val="20"/>
        </w:rPr>
        <w:t xml:space="preserve">Charter </w:t>
      </w:r>
      <w:r w:rsidRPr="00F60323">
        <w:rPr>
          <w:sz w:val="20"/>
        </w:rPr>
        <w:t>rights were violated.</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Ensuring that source lists are drawn broadly from the community is critical, but perfection is not required. Provinces must be given leeway to use a selection process that is practical given the nature of the source lists generally available. The state must also ensure that the mechanism used to contact selected potential jurors does not undermine the broad</w:t>
      </w:r>
      <w:r w:rsidRPr="00F60323">
        <w:rPr>
          <w:sz w:val="20"/>
        </w:rPr>
        <w:noBreakHyphen/>
        <w:t>based and random quality of the jury roll.</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 xml:space="preserve">Unintentional exclusion of some segments of the community from the jury roll does not amount to a constitutional defect. Even the best source lists will still exclude some, and that inadvertent exclusion may disproportionately apply to certain groups of people. This alone is insufficient to establish a s. 11 </w:t>
      </w:r>
      <w:r w:rsidRPr="00F60323">
        <w:rPr>
          <w:i/>
          <w:sz w:val="20"/>
        </w:rPr>
        <w:t>Charter</w:t>
      </w:r>
      <w:r w:rsidRPr="00F60323">
        <w:rPr>
          <w:sz w:val="20"/>
        </w:rPr>
        <w:t xml:space="preserve"> violation. Because there are no perfect source lists, the state must be accorded flexibility in choosing a source list. Such flexibility also recognizes the substantial leeway that governments must be given to define the boundaries of judicial districts, which are established for administrative and practical purposes and are not required to ensure the representation of any particular community or group. </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 xml:space="preserve">However, the state could, in exceptional circumstances, violate an accused’s </w:t>
      </w:r>
      <w:r w:rsidRPr="00F60323">
        <w:rPr>
          <w:i/>
          <w:sz w:val="20"/>
        </w:rPr>
        <w:t>Charter</w:t>
      </w:r>
      <w:r w:rsidRPr="00F60323">
        <w:rPr>
          <w:sz w:val="20"/>
        </w:rPr>
        <w:t xml:space="preserve"> rights by unintentionally but substantially excluding a segment of the population. It may be that such substantial exclusion rises to a level that could leave the jury unable to fulfill its representative function, thereby depriving it of legitimacy in the eyes of society, and undermining its independence and impartiality. Where the jury roll is so deficient that society would no longer accept that a jury chosen from it could legitimately act on its behalf, an accused’s rights protected by both ss. 11(</w:t>
      </w:r>
      <w:r w:rsidRPr="00F60323">
        <w:rPr>
          <w:i/>
          <w:sz w:val="20"/>
        </w:rPr>
        <w:t>d</w:t>
      </w:r>
      <w:r w:rsidRPr="00F60323">
        <w:rPr>
          <w:sz w:val="20"/>
        </w:rPr>
        <w:t>) and 11(</w:t>
      </w:r>
      <w:r w:rsidRPr="00F60323">
        <w:rPr>
          <w:i/>
          <w:sz w:val="20"/>
        </w:rPr>
        <w:t>f</w:t>
      </w:r>
      <w:r w:rsidRPr="00F60323">
        <w:rPr>
          <w:sz w:val="20"/>
        </w:rPr>
        <w:t xml:space="preserve">) of the </w:t>
      </w:r>
      <w:r w:rsidRPr="00F60323">
        <w:rPr>
          <w:i/>
          <w:sz w:val="20"/>
        </w:rPr>
        <w:t xml:space="preserve">Charter </w:t>
      </w:r>
      <w:r w:rsidRPr="00F60323">
        <w:rPr>
          <w:sz w:val="20"/>
        </w:rPr>
        <w:t xml:space="preserve">will be violated. </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Intentional exclusion of certain segments of the population from the jury roll would render it unconstitutional. A jury roll tainted by such deliberate exclusion cannot be considered to be drawn fairly and randomly from the broader community, nor could it be said to be independent and impartial. An accused will accordingly succeed in her challenge if she establishes deliberate exclusion for the purpose of restricting the representation of certain groups in the jury process.</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 xml:space="preserve">An accused person’s fair trial rights do not require the state to encourage jury participation among those who are unwilling to participate. Section 11 of the </w:t>
      </w:r>
      <w:r w:rsidRPr="00F60323">
        <w:rPr>
          <w:i/>
          <w:sz w:val="20"/>
        </w:rPr>
        <w:t>Charter</w:t>
      </w:r>
      <w:r w:rsidRPr="00F60323">
        <w:rPr>
          <w:sz w:val="20"/>
        </w:rPr>
        <w:t xml:space="preserve"> is not the source of any duty on the state to encourage participation, or to repair damaged relationships that may cause some to disengage from the justice system. It is simply beyond the scope of s. 11 to require that the state address the reasons for this disaffection in order to uphold an accused individual’s right to an impartial, independent and representative jury. </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 xml:space="preserve">In this case, the accused has not established that the jury roll from which his jury was drawn was created in a manner that violated his rights under s. 11 of the </w:t>
      </w:r>
      <w:r w:rsidRPr="00F60323">
        <w:rPr>
          <w:i/>
          <w:sz w:val="20"/>
        </w:rPr>
        <w:t>Charter</w:t>
      </w:r>
      <w:r w:rsidRPr="00F60323">
        <w:rPr>
          <w:sz w:val="20"/>
        </w:rPr>
        <w:t xml:space="preserve">. With respect to the s. 15 </w:t>
      </w:r>
      <w:r w:rsidRPr="00F60323">
        <w:rPr>
          <w:i/>
          <w:sz w:val="20"/>
        </w:rPr>
        <w:t>Charter</w:t>
      </w:r>
      <w:r w:rsidRPr="00F60323">
        <w:rPr>
          <w:sz w:val="20"/>
        </w:rPr>
        <w:t xml:space="preserve"> claims, this is not a proper case to determine whether the equality rights of Aboriginal peoples are implicated as a result of their alienation from the justice system and their underrepresentation on jury rolls.</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r>
      <w:r w:rsidRPr="00F60323">
        <w:rPr>
          <w:i/>
          <w:sz w:val="20"/>
        </w:rPr>
        <w:t xml:space="preserve">Per </w:t>
      </w:r>
      <w:r w:rsidRPr="00F60323">
        <w:rPr>
          <w:sz w:val="20"/>
        </w:rPr>
        <w:t xml:space="preserve">McLachlin C.J. and </w:t>
      </w:r>
      <w:r w:rsidRPr="00F60323">
        <w:rPr>
          <w:b/>
          <w:sz w:val="20"/>
        </w:rPr>
        <w:t>Cromwell</w:t>
      </w:r>
      <w:r w:rsidRPr="00F60323">
        <w:rPr>
          <w:sz w:val="20"/>
        </w:rPr>
        <w:t> J. (dissenting): Selecting a properly constituted jury lays the foundation required for a fair trial and public confidence in the administration of justice. Fundamental to our conception of a properly selected jury is that it be drawn from a random sample of eligible people in the district who, by virtue of that random selection, are representative of its population. In Canada, there is no stand</w:t>
      </w:r>
      <w:r w:rsidRPr="00F60323">
        <w:rPr>
          <w:sz w:val="20"/>
        </w:rPr>
        <w:noBreakHyphen/>
        <w:t xml:space="preserve">alone </w:t>
      </w:r>
      <w:r w:rsidRPr="00F60323">
        <w:rPr>
          <w:i/>
          <w:sz w:val="20"/>
        </w:rPr>
        <w:t>Charter</w:t>
      </w:r>
      <w:r w:rsidRPr="00F60323">
        <w:rPr>
          <w:sz w:val="20"/>
        </w:rPr>
        <w:t xml:space="preserve"> protected right to a representative jury. But representativeness, in the sense that the jury roll is randomly selected from an appropriate pool of prospective jurors, is a component of the </w:t>
      </w:r>
      <w:r w:rsidRPr="00F60323">
        <w:rPr>
          <w:i/>
          <w:sz w:val="20"/>
        </w:rPr>
        <w:t>Charter</w:t>
      </w:r>
      <w:r w:rsidRPr="00F60323">
        <w:rPr>
          <w:sz w:val="20"/>
        </w:rPr>
        <w:t xml:space="preserve"> rights to a jury trial and to be tried by an independent and impartial tribunal found at s. 11(</w:t>
      </w:r>
      <w:r w:rsidRPr="00F60323">
        <w:rPr>
          <w:i/>
          <w:sz w:val="20"/>
        </w:rPr>
        <w:t>f</w:t>
      </w:r>
      <w:r w:rsidRPr="00F60323">
        <w:rPr>
          <w:sz w:val="20"/>
        </w:rPr>
        <w:t>) and (</w:t>
      </w:r>
      <w:r w:rsidRPr="00F60323">
        <w:rPr>
          <w:i/>
          <w:sz w:val="20"/>
        </w:rPr>
        <w:t>d</w:t>
      </w:r>
      <w:r w:rsidRPr="00F60323">
        <w:rPr>
          <w:sz w:val="20"/>
        </w:rPr>
        <w:t>). Section 11(</w:t>
      </w:r>
      <w:r w:rsidRPr="00F60323">
        <w:rPr>
          <w:i/>
          <w:sz w:val="20"/>
        </w:rPr>
        <w:t>f</w:t>
      </w:r>
      <w:r w:rsidRPr="00F60323">
        <w:rPr>
          <w:sz w:val="20"/>
        </w:rPr>
        <w:t xml:space="preserve">) of the </w:t>
      </w:r>
      <w:r w:rsidRPr="00F60323">
        <w:rPr>
          <w:i/>
          <w:sz w:val="20"/>
        </w:rPr>
        <w:t>Charter</w:t>
      </w:r>
      <w:r w:rsidRPr="00F60323">
        <w:rPr>
          <w:sz w:val="20"/>
        </w:rPr>
        <w:t xml:space="preserve"> enshrines in our Constitution the institution of the jury as a fundamental component of the Canadian criminal justice system. Representativeness is an integral part of that component, and is one of the fundamental characteristics of a properly constituted jury. Representativeness, along with impartiality, is essential in order for the institution of the jury to perform its function as the conscience of the community and in order for s. 11(</w:t>
      </w:r>
      <w:r w:rsidRPr="00F60323">
        <w:rPr>
          <w:i/>
          <w:sz w:val="20"/>
        </w:rPr>
        <w:t>f</w:t>
      </w:r>
      <w:r w:rsidRPr="00F60323">
        <w:rPr>
          <w:sz w:val="20"/>
        </w:rPr>
        <w:t>) to be meaningful and effective. Representativeness is also one of the components which ensure that the jury is an independent and impartial tribunal under s. 11(</w:t>
      </w:r>
      <w:r w:rsidRPr="00F60323">
        <w:rPr>
          <w:i/>
          <w:sz w:val="20"/>
        </w:rPr>
        <w:t>d</w:t>
      </w:r>
      <w:r w:rsidRPr="00F60323">
        <w:rPr>
          <w:sz w:val="20"/>
        </w:rPr>
        <w:t xml:space="preserve">) of the </w:t>
      </w:r>
      <w:r w:rsidRPr="00F60323">
        <w:rPr>
          <w:i/>
          <w:sz w:val="20"/>
        </w:rPr>
        <w:t>Charter</w:t>
      </w:r>
      <w:r w:rsidRPr="00F60323">
        <w:rPr>
          <w:sz w:val="20"/>
        </w:rPr>
        <w:t>. Thus, defects in the formation of the jury that affect its representative character will be taken into account in order to determine whether there is a breach of s. 11(</w:t>
      </w:r>
      <w:r w:rsidRPr="00F60323">
        <w:rPr>
          <w:i/>
          <w:sz w:val="20"/>
        </w:rPr>
        <w:t>d</w:t>
      </w:r>
      <w:r w:rsidRPr="00F60323">
        <w:rPr>
          <w:sz w:val="20"/>
        </w:rPr>
        <w:t>). As it is guaranteed under s. 11(</w:t>
      </w:r>
      <w:r w:rsidRPr="00F60323">
        <w:rPr>
          <w:i/>
          <w:sz w:val="20"/>
        </w:rPr>
        <w:t>d</w:t>
      </w:r>
      <w:r w:rsidRPr="00F60323">
        <w:rPr>
          <w:sz w:val="20"/>
        </w:rPr>
        <w:t>) and (</w:t>
      </w:r>
      <w:r w:rsidRPr="00F60323">
        <w:rPr>
          <w:i/>
          <w:sz w:val="20"/>
        </w:rPr>
        <w:t>f</w:t>
      </w:r>
      <w:r w:rsidRPr="00F60323">
        <w:rPr>
          <w:sz w:val="20"/>
        </w:rPr>
        <w:t>), the right to representativeness of the jury roll is the right of persons charged with an offence, not of particular groups or the community at large. There is no corresponding right, under these provisions, of the community at large or of any particular group to be included on a jury roll, jury array or petit jury.</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The focus of representativeness is on whether the jury roll, from which jurors will ultimately be selected, is as broadly representative of the community as would a group of people selected at random within that community. Thus, random selection is a proxy for representativeness. A representative jury roll is one that substantially resembles the group of persons that would be assembled through a process of random selection of all eligible jurors in the relevant community. But random selection is only a good proxy for representativeness if the pool of persons to whom a process of random selection is applied to assemble the jury roll is itself broadly based within the relevant community.</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In order to achieve a representative jury roll, two things are necessary. First, the lists from which random selection will be made must be substantially representative of the district. The jury roll can only properly be representative of the population of the district if the list of people to whom notices may be sent is as complete and accurate as possible and is substantially similar to a random selection among all potentially eligible jurors in the district. Second, the group of eligible persons who return the questionnaires must be substantially similar to a random sample of the list. This requires the state to look at elements such as the proportion of notices and questionnaires that are in fact received and factors which could affect the return rate. If the group who in fact returns questionnaires does not substantially resemble a random sample of the persons on the list, then the whole foundation of representativeness is at risk because randomness can no longer serve as an appropriate proxy for representativeness.</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Allowing random selection to be a proxy for representativeness is supported by both practical and policy reasons. If representativeness in this context were given a broader meaning, there could be endless debates about who and what needs to be represented on the jury. Defining all of the relevant senses in which a jury should be representative, let alone going about assembling a jury roll that was representative in all those ways, would pose insurmountable practical problems and would lead to serious intrusions into the privacy of prospective jurors. These policy and practical considerations mean that we must not enlarge the Crown’s disclosure obligations or expose potential jurors to intrusions into their privacy. The practical effect of protecting jurors’ privacy is that an accused will rarely be in a position to establish the under</w:t>
      </w:r>
      <w:r w:rsidRPr="00F60323">
        <w:rPr>
          <w:sz w:val="20"/>
        </w:rPr>
        <w:noBreakHyphen/>
        <w:t xml:space="preserve">representation of a particular group other than by pointing to an inadequate list or some other significant departure from the random selection principle. </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A flawed random selection may be demonstrated by showing faults in the process, such as the omission of large numbers of eligible jurors from the roll. But that is not the only way a departure from proper random selection may be shown. The fact that the focus is on the random selection process does not mean that the results of the process employed to compile the jury roll are irrelevant to whether there has been an acceptable process of random selection. Results that plainly show a significant departure from a properly conducted random selection process should not be ignored.</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 xml:space="preserve">The </w:t>
      </w:r>
      <w:r w:rsidRPr="00F60323">
        <w:rPr>
          <w:i/>
          <w:sz w:val="20"/>
        </w:rPr>
        <w:t>Charter</w:t>
      </w:r>
      <w:r w:rsidRPr="00F60323">
        <w:rPr>
          <w:sz w:val="20"/>
        </w:rPr>
        <w:t xml:space="preserve"> protects against interference by the state with guaranteed rights. In order to establish a breach of the </w:t>
      </w:r>
      <w:r w:rsidRPr="00F60323">
        <w:rPr>
          <w:i/>
          <w:sz w:val="20"/>
        </w:rPr>
        <w:t>Charter</w:t>
      </w:r>
      <w:r w:rsidRPr="00F60323">
        <w:rPr>
          <w:sz w:val="20"/>
        </w:rPr>
        <w:t xml:space="preserve">, the claimant must therefore show not only that there has been a limitation of his or her guaranteed rights </w:t>
      </w:r>
      <w:r w:rsidRPr="00F60323">
        <w:rPr>
          <w:sz w:val="20"/>
        </w:rPr>
        <w:lastRenderedPageBreak/>
        <w:t xml:space="preserve">but that the limitation can be attributed to state action. The question is whether there is a sufficient connection between the conduct of the state and the limitation of the right such that the limitation can fairly be attributed to the state. While the threshold of sufficient connection has been considered mainly in the context of s. 7 of the </w:t>
      </w:r>
      <w:r w:rsidRPr="00F60323">
        <w:rPr>
          <w:i/>
          <w:sz w:val="20"/>
        </w:rPr>
        <w:t>Charter</w:t>
      </w:r>
      <w:r w:rsidRPr="00F60323">
        <w:rPr>
          <w:sz w:val="20"/>
        </w:rPr>
        <w:t xml:space="preserve">, a similar causal threshold has been used in respect of other provisions of the </w:t>
      </w:r>
      <w:r w:rsidRPr="00F60323">
        <w:rPr>
          <w:i/>
          <w:sz w:val="20"/>
        </w:rPr>
        <w:t>Charter</w:t>
      </w:r>
      <w:r w:rsidRPr="00F60323">
        <w:rPr>
          <w:sz w:val="20"/>
        </w:rPr>
        <w:t xml:space="preserve"> and under provincial human rights legislation, and applies in the context of this case. The starting point is not the state’s efforts to comply, but whether the jury roll was representative. If the jury roll was not representative, the question then becomes whether that failure is attributable to state action, namely whether there is a sufficient connection between the limitation of the right and the action — or inaction — of the state. In order to determine whether the state has complied with its </w:t>
      </w:r>
      <w:r w:rsidRPr="00F60323">
        <w:rPr>
          <w:i/>
          <w:sz w:val="20"/>
        </w:rPr>
        <w:t>Charter</w:t>
      </w:r>
      <w:r w:rsidRPr="00F60323">
        <w:rPr>
          <w:sz w:val="20"/>
        </w:rPr>
        <w:t xml:space="preserve"> obligations, the state conduct must be assessed in light of its contribution to the problem and its capacity to address it. With respect to matters giving rise to the limitation of the right that are wholly or substantially within the state’s capacity to address, the connection is evident between the state action or inaction and the limitation of the right in question. In such cases, a “reasonable efforts” test does not reflect the nature of the state’s obligation: compliance with constitutional rights is not optional or (subject to justified limitations) dependent on the degree of effort required. Conversely, the state cannot be held responsible for matters which have the effect of limiting guaranteed rights, but which the state has no ability to address. With respect to matters falling somewhere between those two types of situations, the answer to the question of whether there is a sufficient connection between the limitation of the right and state action will depend on the capacity of the state to address the matters giving rise to the limitation and whether it has made reasonable efforts to do so. </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This case concerns a situation in which the jury roll was not representative because its composition was a substantial departure from what random selection among all potentially eligible jurors in the district would produce, in view of the under</w:t>
      </w:r>
      <w:r w:rsidRPr="00F60323">
        <w:rPr>
          <w:sz w:val="20"/>
        </w:rPr>
        <w:noBreakHyphen/>
        <w:t>representation of Aboriginal on</w:t>
      </w:r>
      <w:r w:rsidRPr="00F60323">
        <w:rPr>
          <w:sz w:val="20"/>
        </w:rPr>
        <w:noBreakHyphen/>
        <w:t>reserve residents on the jury roll. Of the four factors that contributed to the unrepresentative jury roll, two — the lists and the delivery of jury notices — were the responsibility of the state and complying with that responsibility was within its power. The other two — the poor return rate of notices and Aboriginal disengagement from the criminal justice system — were matters which the state had some capacity to address, but it failed to make reasonable efforts to do so. Therefore, there is a sufficient connection between state action and inaction and the lack of a representative jury roll to find that there was a breach by the state of the accused’s right to a representative jury roll as guaranteed under s. 11(</w:t>
      </w:r>
      <w:r w:rsidRPr="00F60323">
        <w:rPr>
          <w:i/>
          <w:sz w:val="20"/>
        </w:rPr>
        <w:t>d</w:t>
      </w:r>
      <w:r w:rsidRPr="00F60323">
        <w:rPr>
          <w:sz w:val="20"/>
        </w:rPr>
        <w:t>) and (</w:t>
      </w:r>
      <w:r w:rsidRPr="00F60323">
        <w:rPr>
          <w:i/>
          <w:sz w:val="20"/>
        </w:rPr>
        <w:t>f</w:t>
      </w:r>
      <w:r w:rsidRPr="00F60323">
        <w:rPr>
          <w:sz w:val="20"/>
        </w:rPr>
        <w:t xml:space="preserve">) of the </w:t>
      </w:r>
      <w:r w:rsidRPr="00F60323">
        <w:rPr>
          <w:i/>
          <w:sz w:val="20"/>
        </w:rPr>
        <w:t>Charter</w:t>
      </w:r>
      <w:r w:rsidRPr="00F60323">
        <w:rPr>
          <w:sz w:val="20"/>
        </w:rPr>
        <w:t>.</w:t>
      </w:r>
    </w:p>
    <w:p w:rsidR="005373A7" w:rsidRDefault="005373A7" w:rsidP="005373A7">
      <w:pPr>
        <w:pStyle w:val="SCCNormalDoubleSpacing"/>
        <w:spacing w:line="240" w:lineRule="auto"/>
        <w:rPr>
          <w:sz w:val="20"/>
        </w:rPr>
      </w:pPr>
    </w:p>
    <w:p w:rsidR="005373A7" w:rsidRDefault="005373A7" w:rsidP="005373A7">
      <w:pPr>
        <w:pStyle w:val="SCCNormalDoubleSpacing"/>
        <w:spacing w:line="240" w:lineRule="auto"/>
        <w:rPr>
          <w:sz w:val="20"/>
        </w:rPr>
      </w:pPr>
      <w:r w:rsidRPr="00F60323">
        <w:rPr>
          <w:sz w:val="20"/>
        </w:rPr>
        <w:tab/>
        <w:t>Determining what is an appropriate remedy following the state’s failure to provide a representative jury roll requires examination of all the circumstances, including the nature of the breach of the accused’s rights and its effect on public confidence in the administration of justice. The point in the proceedings at which the issue is raised is also a relevant consideration. Where, as here, the issue is raised for the first time after verdict, a declaration that the accused’s rights were violated may be the appropriate remedy absent the accused establishing that, in light of all the circumstances, a new trial is the only way to restore public confidence in the administration of justice. In this case, the Court of Appeal did not make any reversible error in exercising its remedial discretion to order a new trial. The failure to provide a representative jury roll undermined public confidence in the administration of justice.</w:t>
      </w:r>
    </w:p>
    <w:p w:rsidR="005373A7" w:rsidRDefault="005373A7" w:rsidP="005373A7">
      <w:pPr>
        <w:pStyle w:val="SCCNormalDoubleSpacing"/>
        <w:spacing w:line="240" w:lineRule="auto"/>
        <w:rPr>
          <w:sz w:val="20"/>
        </w:rPr>
      </w:pPr>
    </w:p>
    <w:p w:rsidR="005373A7" w:rsidRPr="00F60323" w:rsidRDefault="005373A7" w:rsidP="005373A7">
      <w:pPr>
        <w:pStyle w:val="SCCNormalDoubleSpacing"/>
        <w:spacing w:line="240" w:lineRule="auto"/>
        <w:rPr>
          <w:sz w:val="20"/>
        </w:rPr>
      </w:pPr>
      <w:r w:rsidRPr="00F60323">
        <w:rPr>
          <w:sz w:val="20"/>
        </w:rPr>
        <w:tab/>
        <w:t>APPEAL from a judgment of the Ontario Court of Appeal (Goudge, LaForme and Rouleau JJ.A.), 2013 ONCA 389, 115 O.R. (3d) 481, 306 O.A.C. 47, 285 C.R.R. (2d) 77, 4 C.R. (7th) 67, 299 C.C.C. (3d) 48, [2013] 4 C.N.L.R. 273, [2013] O.J. No. 2752 (QL), 2013 CarswellOnt 7938 (WL Can.), setting aside the accused’s conviction for manslaughter and ordering a new trial. Appeal allowed, McLachlin C.J. and Cromwell J. dissenting.</w:t>
      </w:r>
    </w:p>
    <w:p w:rsidR="005373A7" w:rsidRDefault="005373A7" w:rsidP="005373A7">
      <w:pPr>
        <w:pStyle w:val="SCCNormalDoubleSpacing"/>
        <w:spacing w:line="240" w:lineRule="auto"/>
        <w:rPr>
          <w:rStyle w:val="SCCCounselNameChar"/>
          <w:sz w:val="20"/>
        </w:rPr>
      </w:pPr>
    </w:p>
    <w:p w:rsidR="005373A7" w:rsidRPr="00F60323" w:rsidRDefault="005373A7" w:rsidP="005373A7">
      <w:pPr>
        <w:pStyle w:val="SCCNormalDoubleSpacing"/>
        <w:spacing w:line="240" w:lineRule="auto"/>
        <w:rPr>
          <w:sz w:val="20"/>
        </w:rPr>
      </w:pPr>
      <w:r w:rsidRPr="00F60323">
        <w:rPr>
          <w:rStyle w:val="SCCCounselNameChar"/>
          <w:sz w:val="20"/>
        </w:rPr>
        <w:tab/>
        <w:t>Gillian E. Roberts</w:t>
      </w:r>
      <w:r w:rsidRPr="005373A7">
        <w:rPr>
          <w:rStyle w:val="SCCCounselSeparatorChar"/>
          <w:sz w:val="20"/>
          <w:lang w:val="en-CA"/>
        </w:rPr>
        <w:t xml:space="preserve">, </w:t>
      </w:r>
      <w:r w:rsidRPr="00F60323">
        <w:rPr>
          <w:rStyle w:val="SCCCounselNameChar"/>
          <w:sz w:val="20"/>
        </w:rPr>
        <w:t>Deborah Calderwood</w:t>
      </w:r>
      <w:r w:rsidRPr="005373A7">
        <w:rPr>
          <w:rStyle w:val="SCCCounselSeparatorChar"/>
          <w:sz w:val="20"/>
          <w:lang w:val="en-CA"/>
        </w:rPr>
        <w:t xml:space="preserve"> and </w:t>
      </w:r>
      <w:r w:rsidRPr="00F60323">
        <w:rPr>
          <w:rStyle w:val="SCCCounselNameChar"/>
          <w:sz w:val="20"/>
        </w:rPr>
        <w:t>Michael Fawcett</w:t>
      </w:r>
      <w:r w:rsidRPr="00F60323">
        <w:rPr>
          <w:rStyle w:val="SCCCounselPartyRoleChar"/>
          <w:sz w:val="20"/>
        </w:rPr>
        <w:t>, for the appellant.</w:t>
      </w:r>
    </w:p>
    <w:p w:rsidR="005373A7" w:rsidRDefault="005373A7" w:rsidP="005373A7">
      <w:pPr>
        <w:pStyle w:val="SCCNormalDoubleSpacing"/>
        <w:spacing w:line="240" w:lineRule="auto"/>
        <w:rPr>
          <w:rStyle w:val="SCCCounselNameChar"/>
          <w:sz w:val="20"/>
        </w:rPr>
      </w:pPr>
    </w:p>
    <w:p w:rsidR="005373A7" w:rsidRPr="00F60323" w:rsidRDefault="005373A7" w:rsidP="005373A7">
      <w:pPr>
        <w:pStyle w:val="SCCNormalDoubleSpacing"/>
        <w:spacing w:line="240" w:lineRule="auto"/>
        <w:rPr>
          <w:sz w:val="20"/>
        </w:rPr>
      </w:pPr>
      <w:r w:rsidRPr="00F60323">
        <w:rPr>
          <w:rStyle w:val="SCCCounselNameChar"/>
          <w:sz w:val="20"/>
        </w:rPr>
        <w:tab/>
        <w:t>Jessica Orkin, Delmar Doucette</w:t>
      </w:r>
      <w:r w:rsidRPr="005373A7">
        <w:rPr>
          <w:rStyle w:val="SCCCounselSeparatorChar"/>
          <w:sz w:val="20"/>
          <w:lang w:val="en-CA"/>
        </w:rPr>
        <w:t xml:space="preserve">, </w:t>
      </w:r>
      <w:r w:rsidRPr="00F60323">
        <w:rPr>
          <w:rStyle w:val="SCCCounselNameChar"/>
          <w:sz w:val="20"/>
        </w:rPr>
        <w:t>Andrew Furgiuele</w:t>
      </w:r>
      <w:r w:rsidRPr="005373A7">
        <w:rPr>
          <w:rStyle w:val="SCCCounselSeparatorChar"/>
          <w:sz w:val="20"/>
          <w:lang w:val="en-CA"/>
        </w:rPr>
        <w:t xml:space="preserve"> and </w:t>
      </w:r>
      <w:r w:rsidRPr="00F60323">
        <w:rPr>
          <w:rStyle w:val="SCCCounselNameChar"/>
          <w:sz w:val="20"/>
        </w:rPr>
        <w:t>Angela Ruffo</w:t>
      </w:r>
      <w:r w:rsidRPr="00F60323">
        <w:rPr>
          <w:rStyle w:val="SCCCounselPartyRoleChar"/>
          <w:sz w:val="20"/>
        </w:rPr>
        <w:t>, for the respondent.</w:t>
      </w:r>
    </w:p>
    <w:p w:rsidR="005373A7" w:rsidRDefault="005373A7" w:rsidP="005373A7">
      <w:pPr>
        <w:pStyle w:val="SCCNormalDoubleSpacing"/>
        <w:spacing w:line="240" w:lineRule="auto"/>
        <w:rPr>
          <w:rStyle w:val="SCCCounselNameChar"/>
          <w:sz w:val="20"/>
        </w:rPr>
      </w:pPr>
    </w:p>
    <w:p w:rsidR="005373A7" w:rsidRPr="00F60323" w:rsidRDefault="005373A7" w:rsidP="005373A7">
      <w:pPr>
        <w:pStyle w:val="SCCNormalDoubleSpacing"/>
        <w:spacing w:line="240" w:lineRule="auto"/>
        <w:rPr>
          <w:rStyle w:val="SCCCounselNameChar"/>
          <w:sz w:val="20"/>
        </w:rPr>
      </w:pPr>
      <w:r w:rsidRPr="00F60323">
        <w:rPr>
          <w:rStyle w:val="SCCCounselNameChar"/>
          <w:sz w:val="20"/>
        </w:rPr>
        <w:tab/>
        <w:t>Brian H. Greenspan</w:t>
      </w:r>
      <w:r w:rsidRPr="005373A7">
        <w:rPr>
          <w:rStyle w:val="SCCCounselSeparatorChar"/>
          <w:sz w:val="20"/>
          <w:lang w:val="en-CA"/>
        </w:rPr>
        <w:t xml:space="preserve">, </w:t>
      </w:r>
      <w:r w:rsidRPr="00F60323">
        <w:rPr>
          <w:rStyle w:val="SCCCounselNameChar"/>
          <w:sz w:val="20"/>
        </w:rPr>
        <w:t>Katherine Hensel</w:t>
      </w:r>
      <w:r w:rsidRPr="005373A7">
        <w:rPr>
          <w:rStyle w:val="SCCCounselSeparatorChar"/>
          <w:sz w:val="20"/>
          <w:lang w:val="en-CA"/>
        </w:rPr>
        <w:t xml:space="preserve"> and </w:t>
      </w:r>
      <w:r w:rsidRPr="00F60323">
        <w:rPr>
          <w:rStyle w:val="SCCCounselNameChar"/>
          <w:sz w:val="20"/>
        </w:rPr>
        <w:t>Promise Holmes Skinner</w:t>
      </w:r>
      <w:r w:rsidRPr="00F60323">
        <w:rPr>
          <w:rStyle w:val="SCCCounselPartyRoleChar"/>
          <w:sz w:val="20"/>
        </w:rPr>
        <w:t>, for the intervener the Advocates’ Society.</w:t>
      </w:r>
      <w:r w:rsidRPr="00F60323">
        <w:rPr>
          <w:rStyle w:val="SCCCounselNameChar"/>
          <w:sz w:val="20"/>
        </w:rPr>
        <w:t xml:space="preserve"> </w:t>
      </w:r>
    </w:p>
    <w:p w:rsidR="005373A7" w:rsidRDefault="005373A7" w:rsidP="005373A7">
      <w:pPr>
        <w:pStyle w:val="SCCNormalDoubleSpacing"/>
        <w:spacing w:line="240" w:lineRule="auto"/>
        <w:rPr>
          <w:rStyle w:val="SCCCounselNameChar"/>
          <w:sz w:val="20"/>
        </w:rPr>
      </w:pPr>
    </w:p>
    <w:p w:rsidR="005373A7" w:rsidRPr="00F60323" w:rsidRDefault="005373A7" w:rsidP="005373A7">
      <w:pPr>
        <w:pStyle w:val="SCCNormalDoubleSpacing"/>
        <w:spacing w:line="240" w:lineRule="auto"/>
        <w:rPr>
          <w:sz w:val="20"/>
        </w:rPr>
      </w:pPr>
      <w:r w:rsidRPr="00F60323">
        <w:rPr>
          <w:rStyle w:val="SCCCounselNameChar"/>
          <w:sz w:val="20"/>
        </w:rPr>
        <w:tab/>
        <w:t>Julian N. Falconer</w:t>
      </w:r>
      <w:r w:rsidRPr="005373A7">
        <w:rPr>
          <w:rStyle w:val="SCCCounselSeparatorChar"/>
          <w:sz w:val="20"/>
          <w:lang w:val="en-CA"/>
        </w:rPr>
        <w:t xml:space="preserve">, </w:t>
      </w:r>
      <w:r w:rsidRPr="00F60323">
        <w:rPr>
          <w:rStyle w:val="SCCCounselNameChar"/>
          <w:sz w:val="20"/>
        </w:rPr>
        <w:t>Julian Roy</w:t>
      </w:r>
      <w:r w:rsidRPr="005373A7">
        <w:rPr>
          <w:rStyle w:val="SCCCounselSeparatorChar"/>
          <w:sz w:val="20"/>
          <w:lang w:val="en-CA"/>
        </w:rPr>
        <w:t xml:space="preserve"> and </w:t>
      </w:r>
      <w:r w:rsidRPr="00F60323">
        <w:rPr>
          <w:rStyle w:val="SCCCounselNameChar"/>
          <w:sz w:val="20"/>
        </w:rPr>
        <w:t>Marc E. Gibson</w:t>
      </w:r>
      <w:r w:rsidRPr="00F60323">
        <w:rPr>
          <w:rStyle w:val="SCCCounselPartyRoleChar"/>
          <w:sz w:val="20"/>
        </w:rPr>
        <w:t>, for the intervener the Nishnawbe Aski Nation.</w:t>
      </w:r>
    </w:p>
    <w:p w:rsidR="00381C14" w:rsidRDefault="00381C14" w:rsidP="005373A7">
      <w:pPr>
        <w:pStyle w:val="SCCNormalDoubleSpacing"/>
        <w:spacing w:line="240" w:lineRule="auto"/>
        <w:rPr>
          <w:rStyle w:val="SCCCounselNameChar"/>
          <w:sz w:val="20"/>
        </w:rPr>
      </w:pPr>
    </w:p>
    <w:p w:rsidR="005373A7" w:rsidRPr="00F60323" w:rsidRDefault="005373A7" w:rsidP="005373A7">
      <w:pPr>
        <w:pStyle w:val="SCCNormalDoubleSpacing"/>
        <w:spacing w:line="240" w:lineRule="auto"/>
        <w:rPr>
          <w:sz w:val="20"/>
        </w:rPr>
      </w:pPr>
      <w:r w:rsidRPr="00F60323">
        <w:rPr>
          <w:rStyle w:val="SCCCounselNameChar"/>
          <w:sz w:val="20"/>
        </w:rPr>
        <w:tab/>
        <w:t>Cheryl Milne and</w:t>
      </w:r>
      <w:r w:rsidRPr="005373A7">
        <w:rPr>
          <w:rStyle w:val="SCCCounselSeparatorChar"/>
          <w:sz w:val="20"/>
          <w:lang w:val="en-CA"/>
        </w:rPr>
        <w:t xml:space="preserve"> </w:t>
      </w:r>
      <w:r w:rsidRPr="00F60323">
        <w:rPr>
          <w:rStyle w:val="SCCCounselNameChar"/>
          <w:sz w:val="20"/>
        </w:rPr>
        <w:t>Kim Stanton</w:t>
      </w:r>
      <w:r w:rsidRPr="00F60323">
        <w:rPr>
          <w:rStyle w:val="SCCCounselPartyRoleChar"/>
          <w:sz w:val="20"/>
        </w:rPr>
        <w:t xml:space="preserve">, for the interveners the David Asper Centre for Constitutional Rights and the Women’s Legal Education and Action Fund, Inc. (LEAF). </w:t>
      </w:r>
    </w:p>
    <w:p w:rsidR="005373A7" w:rsidRDefault="005373A7" w:rsidP="005373A7">
      <w:pPr>
        <w:pStyle w:val="SCCNormalDoubleSpacing"/>
        <w:spacing w:line="240" w:lineRule="auto"/>
        <w:rPr>
          <w:rStyle w:val="SCCCounselNameChar"/>
          <w:sz w:val="20"/>
        </w:rPr>
      </w:pPr>
    </w:p>
    <w:p w:rsidR="005373A7" w:rsidRPr="00F60323" w:rsidRDefault="005373A7" w:rsidP="005373A7">
      <w:pPr>
        <w:pStyle w:val="SCCNormalDoubleSpacing"/>
        <w:spacing w:line="240" w:lineRule="auto"/>
        <w:rPr>
          <w:sz w:val="20"/>
        </w:rPr>
      </w:pPr>
      <w:r w:rsidRPr="00F60323">
        <w:rPr>
          <w:rStyle w:val="SCCCounselNameChar"/>
          <w:sz w:val="20"/>
        </w:rPr>
        <w:lastRenderedPageBreak/>
        <w:tab/>
        <w:t>Mary Eberts</w:t>
      </w:r>
      <w:r w:rsidRPr="00F60323">
        <w:rPr>
          <w:rStyle w:val="SCCCounselPartyRoleChar"/>
          <w:sz w:val="20"/>
        </w:rPr>
        <w:t>, for the interveners the Native Women’s Association of Canada and the Canadian Association of Elizabeth Fry Societies.</w:t>
      </w:r>
    </w:p>
    <w:p w:rsidR="005373A7" w:rsidRDefault="005373A7" w:rsidP="005373A7">
      <w:pPr>
        <w:pStyle w:val="SCCNormalDoubleSpacing"/>
        <w:spacing w:line="240" w:lineRule="auto"/>
        <w:rPr>
          <w:rStyle w:val="SCCCounselNameChar"/>
          <w:sz w:val="20"/>
        </w:rPr>
      </w:pPr>
    </w:p>
    <w:p w:rsidR="005373A7" w:rsidRPr="00F60323" w:rsidRDefault="005373A7" w:rsidP="005373A7">
      <w:pPr>
        <w:pStyle w:val="SCCNormalDoubleSpacing"/>
        <w:spacing w:line="240" w:lineRule="auto"/>
        <w:rPr>
          <w:sz w:val="20"/>
        </w:rPr>
      </w:pPr>
      <w:r w:rsidRPr="00F60323">
        <w:rPr>
          <w:rStyle w:val="SCCCounselNameChar"/>
          <w:sz w:val="20"/>
        </w:rPr>
        <w:tab/>
        <w:t>Christa Big Canoe</w:t>
      </w:r>
      <w:r w:rsidRPr="005373A7">
        <w:rPr>
          <w:rStyle w:val="SCCCounselSeparatorChar"/>
          <w:sz w:val="20"/>
          <w:lang w:val="en-CA"/>
        </w:rPr>
        <w:t xml:space="preserve"> and </w:t>
      </w:r>
      <w:r w:rsidRPr="00F60323">
        <w:rPr>
          <w:rStyle w:val="SCCCounselNameChar"/>
          <w:sz w:val="20"/>
        </w:rPr>
        <w:t>Jonathan Rudin</w:t>
      </w:r>
      <w:r w:rsidRPr="00F60323">
        <w:rPr>
          <w:rStyle w:val="SCCCounselPartyRoleChar"/>
          <w:sz w:val="20"/>
        </w:rPr>
        <w:t>, for the intervener the Aboriginal Legal Services of Toronto Inc.</w:t>
      </w:r>
    </w:p>
    <w:p w:rsidR="005373A7" w:rsidRDefault="005373A7" w:rsidP="005373A7">
      <w:pPr>
        <w:pStyle w:val="SCCLawFirm"/>
        <w:spacing w:line="240" w:lineRule="auto"/>
        <w:outlineLvl w:val="0"/>
        <w:rPr>
          <w:sz w:val="20"/>
        </w:rPr>
      </w:pPr>
    </w:p>
    <w:p w:rsidR="005373A7" w:rsidRPr="00F60323" w:rsidRDefault="005373A7" w:rsidP="005373A7">
      <w:pPr>
        <w:pStyle w:val="SCCLawFirm"/>
        <w:spacing w:line="240" w:lineRule="auto"/>
        <w:outlineLvl w:val="0"/>
        <w:rPr>
          <w:sz w:val="20"/>
        </w:rPr>
      </w:pPr>
      <w:r w:rsidRPr="00F60323">
        <w:rPr>
          <w:sz w:val="20"/>
        </w:rPr>
        <w:tab/>
        <w:t>Solicitor for the appellant: Attorney General of Ontario, Toronto.</w:t>
      </w:r>
    </w:p>
    <w:p w:rsidR="005373A7" w:rsidRDefault="005373A7" w:rsidP="005373A7">
      <w:pPr>
        <w:pStyle w:val="SCCLawFirm"/>
        <w:spacing w:line="240" w:lineRule="auto"/>
        <w:outlineLvl w:val="0"/>
        <w:rPr>
          <w:sz w:val="20"/>
        </w:rPr>
      </w:pPr>
    </w:p>
    <w:p w:rsidR="005373A7" w:rsidRPr="00F60323" w:rsidRDefault="005373A7" w:rsidP="005373A7">
      <w:pPr>
        <w:pStyle w:val="SCCLawFirm"/>
        <w:spacing w:line="240" w:lineRule="auto"/>
        <w:outlineLvl w:val="0"/>
        <w:rPr>
          <w:sz w:val="20"/>
        </w:rPr>
      </w:pPr>
      <w:r w:rsidRPr="00F60323">
        <w:rPr>
          <w:sz w:val="20"/>
        </w:rPr>
        <w:tab/>
        <w:t>Solicitors for the respondent: Sack Goldblatt Mitchell, Toronto; Doucette Boni Santoro Furgiuele, Toronto.</w:t>
      </w:r>
    </w:p>
    <w:p w:rsidR="005373A7" w:rsidRDefault="005373A7" w:rsidP="005373A7">
      <w:pPr>
        <w:pStyle w:val="SCCLawFirm"/>
        <w:spacing w:line="240" w:lineRule="auto"/>
        <w:rPr>
          <w:sz w:val="20"/>
        </w:rPr>
      </w:pPr>
    </w:p>
    <w:p w:rsidR="005373A7" w:rsidRPr="00F60323" w:rsidRDefault="005373A7" w:rsidP="005373A7">
      <w:pPr>
        <w:pStyle w:val="SCCLawFirm"/>
        <w:spacing w:line="240" w:lineRule="auto"/>
        <w:rPr>
          <w:sz w:val="20"/>
        </w:rPr>
      </w:pPr>
      <w:r w:rsidRPr="00F60323">
        <w:rPr>
          <w:sz w:val="20"/>
        </w:rPr>
        <w:tab/>
        <w:t>Solicitors for the intervener the Advocates’ Society: Greenspan Humphrey Lavine, Toronto; Hensel Barristers, Toronto; University of Toronto, Toronto.</w:t>
      </w:r>
    </w:p>
    <w:p w:rsidR="005373A7" w:rsidRDefault="005373A7" w:rsidP="005373A7">
      <w:pPr>
        <w:pStyle w:val="SCCLawFirm"/>
        <w:spacing w:line="240" w:lineRule="auto"/>
        <w:rPr>
          <w:sz w:val="20"/>
        </w:rPr>
      </w:pPr>
    </w:p>
    <w:p w:rsidR="005373A7" w:rsidRPr="00F60323" w:rsidRDefault="005373A7" w:rsidP="005373A7">
      <w:pPr>
        <w:pStyle w:val="SCCLawFirm"/>
        <w:spacing w:line="240" w:lineRule="auto"/>
        <w:rPr>
          <w:sz w:val="20"/>
        </w:rPr>
      </w:pPr>
      <w:r w:rsidRPr="00F60323">
        <w:rPr>
          <w:sz w:val="20"/>
        </w:rPr>
        <w:tab/>
        <w:t>Solicitors for the intervener the Nishnawbe Aski Nation: Falconers, Toronto.</w:t>
      </w:r>
    </w:p>
    <w:p w:rsidR="005373A7" w:rsidRDefault="005373A7" w:rsidP="005373A7">
      <w:pPr>
        <w:pStyle w:val="SCCLawFirm"/>
        <w:spacing w:line="240" w:lineRule="auto"/>
        <w:rPr>
          <w:sz w:val="20"/>
        </w:rPr>
      </w:pPr>
    </w:p>
    <w:p w:rsidR="005373A7" w:rsidRPr="00F60323" w:rsidRDefault="005373A7" w:rsidP="005373A7">
      <w:pPr>
        <w:pStyle w:val="SCCLawFirm"/>
        <w:spacing w:line="240" w:lineRule="auto"/>
        <w:rPr>
          <w:sz w:val="20"/>
        </w:rPr>
      </w:pPr>
      <w:r w:rsidRPr="00F60323">
        <w:rPr>
          <w:sz w:val="20"/>
        </w:rPr>
        <w:tab/>
        <w:t>Solicitors for the interveners the David Asper Centre for Constitutional Rights and the Women’s Legal Education and Action Fund, Inc. (LEAF): University of Toronto, Toronto; Women’s Legal Education and Action Fund, Inc. (LEAF), Toronto.</w:t>
      </w:r>
    </w:p>
    <w:p w:rsidR="005373A7" w:rsidRDefault="005373A7" w:rsidP="005373A7">
      <w:pPr>
        <w:pStyle w:val="SCCLawFirm"/>
        <w:spacing w:line="240" w:lineRule="auto"/>
        <w:rPr>
          <w:sz w:val="20"/>
        </w:rPr>
      </w:pPr>
    </w:p>
    <w:p w:rsidR="005373A7" w:rsidRPr="00F60323" w:rsidRDefault="005373A7" w:rsidP="005373A7">
      <w:pPr>
        <w:pStyle w:val="SCCLawFirm"/>
        <w:spacing w:line="240" w:lineRule="auto"/>
        <w:rPr>
          <w:sz w:val="20"/>
        </w:rPr>
      </w:pPr>
      <w:r w:rsidRPr="00F60323">
        <w:rPr>
          <w:sz w:val="20"/>
        </w:rPr>
        <w:tab/>
        <w:t>Solicitors for the interveners the Native Women’s Association of Canada and the Canadian Association of Elizabeth Fry Societies: Law Office of Mary Eberts, Toronto.</w:t>
      </w:r>
    </w:p>
    <w:p w:rsidR="005373A7" w:rsidRDefault="005373A7" w:rsidP="005373A7">
      <w:pPr>
        <w:pStyle w:val="SCCLawFirm"/>
        <w:spacing w:line="240" w:lineRule="auto"/>
        <w:rPr>
          <w:sz w:val="20"/>
        </w:rPr>
      </w:pPr>
    </w:p>
    <w:p w:rsidR="005373A7" w:rsidRDefault="005373A7" w:rsidP="005373A7">
      <w:pPr>
        <w:pStyle w:val="SCCLawFirm"/>
        <w:spacing w:line="240" w:lineRule="auto"/>
        <w:rPr>
          <w:sz w:val="20"/>
        </w:rPr>
      </w:pPr>
      <w:r w:rsidRPr="00F60323">
        <w:rPr>
          <w:sz w:val="20"/>
        </w:rPr>
        <w:tab/>
        <w:t>Solicitors for the intervener the Aboriginal Legal Services of Toronto Inc.: Aboriginal Legal Services of Toronto, Toronto.</w:t>
      </w:r>
    </w:p>
    <w:p w:rsidR="0052229C" w:rsidRPr="005373A7" w:rsidRDefault="0052229C" w:rsidP="0052229C">
      <w:pPr>
        <w:rPr>
          <w:rFonts w:cs="Times New Roman"/>
          <w:sz w:val="20"/>
          <w:szCs w:val="20"/>
          <w:lang w:val="fr-CA"/>
        </w:rPr>
      </w:pPr>
      <w:r w:rsidRPr="005373A7">
        <w:rPr>
          <w:rFonts w:cs="Times New Roman"/>
          <w:sz w:val="20"/>
          <w:szCs w:val="20"/>
          <w:lang w:val="fr-CA"/>
        </w:rPr>
        <w:t>________________________</w:t>
      </w:r>
    </w:p>
    <w:p w:rsidR="0052229C" w:rsidRPr="005373A7" w:rsidRDefault="0052229C" w:rsidP="0052229C">
      <w:pPr>
        <w:rPr>
          <w:rFonts w:cs="Times New Roman"/>
          <w:sz w:val="20"/>
          <w:szCs w:val="20"/>
          <w:lang w:val="fr-CA"/>
        </w:rPr>
      </w:pPr>
    </w:p>
    <w:p w:rsidR="005373A7" w:rsidRPr="001A338F" w:rsidRDefault="005373A7" w:rsidP="005373A7">
      <w:pPr>
        <w:jc w:val="both"/>
        <w:rPr>
          <w:sz w:val="20"/>
          <w:szCs w:val="20"/>
          <w:lang w:val="fr-CA"/>
        </w:rPr>
      </w:pPr>
      <w:r w:rsidRPr="001A338F">
        <w:rPr>
          <w:sz w:val="20"/>
          <w:szCs w:val="20"/>
          <w:lang w:val="fr-CA"/>
        </w:rPr>
        <w:t>Présents : La juge en chef McLachlin et les juges Rothstein, Cromwell, Moldaver, Karakatsanis, Wagner et Gascon.</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i/>
          <w:sz w:val="20"/>
          <w:lang w:val="fr-CA"/>
        </w:rPr>
      </w:pPr>
      <w:r w:rsidRPr="001A338F">
        <w:rPr>
          <w:sz w:val="20"/>
          <w:lang w:val="fr-CA"/>
        </w:rPr>
        <w:tab/>
      </w:r>
      <w:r w:rsidRPr="001A338F">
        <w:rPr>
          <w:i/>
          <w:sz w:val="20"/>
          <w:lang w:val="fr-CA"/>
        </w:rPr>
        <w:t>Droit constitutionnel — Charte des droits — Procès équitable — Droit à un procès avec jury — Représentativité du jury — Définition — Accusé autochtone d’une réserve des Premières Nations déclaré coupable d’homicide involontaire coupable — Résidents autochtones des réserves sous</w:t>
      </w:r>
      <w:r w:rsidRPr="001A338F">
        <w:rPr>
          <w:i/>
          <w:sz w:val="20"/>
          <w:lang w:val="fr-CA"/>
        </w:rPr>
        <w:noBreakHyphen/>
        <w:t>représentés sur la liste des jurés à partir de laquelle a été constitué le jury pour le procès de l’accusé — Quel est le critère juridique convenable en matière de représentativité? — L’État s’est</w:t>
      </w:r>
      <w:r w:rsidRPr="001A338F">
        <w:rPr>
          <w:i/>
          <w:sz w:val="20"/>
          <w:lang w:val="fr-CA"/>
        </w:rPr>
        <w:noBreakHyphen/>
        <w:t>il acquitté de son obligation de représentativité? — Charte canadienne des droits et libertés, art. 11d), 11f).</w:t>
      </w:r>
    </w:p>
    <w:p w:rsidR="005373A7" w:rsidRDefault="005373A7" w:rsidP="005373A7">
      <w:pPr>
        <w:pStyle w:val="SCCNormalDoubleSpacing"/>
        <w:spacing w:line="240" w:lineRule="auto"/>
        <w:rPr>
          <w:i/>
          <w:sz w:val="20"/>
          <w:lang w:val="fr-CA"/>
        </w:rPr>
      </w:pPr>
    </w:p>
    <w:p w:rsidR="005373A7" w:rsidRPr="001A338F" w:rsidRDefault="005373A7" w:rsidP="005373A7">
      <w:pPr>
        <w:pStyle w:val="SCCNormalDoubleSpacing"/>
        <w:spacing w:line="240" w:lineRule="auto"/>
        <w:rPr>
          <w:i/>
          <w:sz w:val="20"/>
          <w:lang w:val="fr-CA"/>
        </w:rPr>
      </w:pPr>
      <w:r w:rsidRPr="001A338F">
        <w:rPr>
          <w:i/>
          <w:sz w:val="20"/>
          <w:lang w:val="fr-CA"/>
        </w:rPr>
        <w:tab/>
        <w:t>Droit constitutionnel — Charte des droits — Droit à l’égalité — Résidents autochtones des réserves — Accusé autochtone d’une réserve des Premières Nations déclaré coupable d’homicide involontaire coupable — Résidents autochtones des réserves sous</w:t>
      </w:r>
      <w:r w:rsidRPr="001A338F">
        <w:rPr>
          <w:i/>
          <w:sz w:val="20"/>
          <w:lang w:val="fr-CA"/>
        </w:rPr>
        <w:noBreakHyphen/>
        <w:t>représentés sur la liste des jurés à partir de laquelle a été constitué le jury pour le procès de l’accusé — L’État a</w:t>
      </w:r>
      <w:r w:rsidRPr="001A338F">
        <w:rPr>
          <w:i/>
          <w:sz w:val="20"/>
          <w:lang w:val="fr-CA"/>
        </w:rPr>
        <w:noBreakHyphen/>
        <w:t>t</w:t>
      </w:r>
      <w:r w:rsidRPr="001A338F">
        <w:rPr>
          <w:i/>
          <w:sz w:val="20"/>
          <w:lang w:val="fr-CA"/>
        </w:rPr>
        <w:noBreakHyphen/>
        <w:t xml:space="preserve">il violé le droit à l’égalité de l’accusé ou des résidents autochtones d’une réserve qui étaient des candidats jurés? — Charte canadienne des droits et libertés, art. 15. </w:t>
      </w:r>
    </w:p>
    <w:p w:rsidR="005373A7" w:rsidRDefault="005373A7" w:rsidP="005373A7">
      <w:pPr>
        <w:pStyle w:val="SCCNormalDoubleSpacing"/>
        <w:spacing w:line="240" w:lineRule="auto"/>
        <w:rPr>
          <w:i/>
          <w:sz w:val="20"/>
          <w:lang w:val="fr-CA"/>
        </w:rPr>
      </w:pPr>
    </w:p>
    <w:p w:rsidR="005373A7" w:rsidRPr="001A338F" w:rsidRDefault="005373A7" w:rsidP="005373A7">
      <w:pPr>
        <w:pStyle w:val="SCCNormalDoubleSpacing"/>
        <w:spacing w:line="240" w:lineRule="auto"/>
        <w:rPr>
          <w:sz w:val="20"/>
          <w:lang w:val="fr-CA"/>
        </w:rPr>
      </w:pPr>
      <w:r w:rsidRPr="001A338F">
        <w:rPr>
          <w:i/>
          <w:sz w:val="20"/>
          <w:lang w:val="fr-CA"/>
        </w:rPr>
        <w:tab/>
      </w:r>
      <w:r w:rsidRPr="001A338F">
        <w:rPr>
          <w:sz w:val="20"/>
          <w:lang w:val="fr-CA"/>
        </w:rPr>
        <w:t>L’accusé, un Autochtone habitant la réserve d’une première nation, a été accusé de meurtre au deuxième degré et reconnu coupable d’homicide involontaire coupable au terme d’un procès devant juge et jury. Avant le prononcé de la sentence, l’avocat de l’accusé a appris qu’il y avait peut</w:t>
      </w:r>
      <w:r w:rsidRPr="001A338F">
        <w:rPr>
          <w:sz w:val="20"/>
          <w:lang w:val="fr-CA"/>
        </w:rPr>
        <w:noBreakHyphen/>
        <w:t>être eu des irrégularités concernant les mesures prises pour inscrire les résidents autochtones des réserves sur la liste des jurés du district de Kenora, ce qui suscitait des interrogations au sujet de la représentativité du jury dans le cas de l’accusé. Le juge du procès a refusé d’ajourner l’instance pour instruire une demande d’annulation du procès puisqu’il se considérait dessaisi de l’affaire. La question de la représentativité a donc été soulevée pour la première fois en appel, où de nouveaux éléments de preuve ont été présentés relativement aux mesures que la province avait prises pour dresser les listes de jurés du district. La Cour d’appel était convaincue que l’accusé avait bénéficié d’un procès équitable et que le jury n’était pas entaché d’une crainte raisonnable de partialité. Les juges majoritaires ont toutefois conclu que les droits garantis à l’accusé par les al. 11</w:t>
      </w:r>
      <w:r w:rsidRPr="001A338F">
        <w:rPr>
          <w:i/>
          <w:sz w:val="20"/>
          <w:lang w:val="fr-CA"/>
        </w:rPr>
        <w:t>d</w:t>
      </w:r>
      <w:r w:rsidRPr="001A338F">
        <w:rPr>
          <w:sz w:val="20"/>
          <w:lang w:val="fr-CA"/>
        </w:rPr>
        <w:t>) et 11</w:t>
      </w:r>
      <w:r w:rsidRPr="001A338F">
        <w:rPr>
          <w:i/>
          <w:sz w:val="20"/>
          <w:lang w:val="fr-CA"/>
        </w:rPr>
        <w:t>f</w:t>
      </w:r>
      <w:r w:rsidRPr="001A338F">
        <w:rPr>
          <w:sz w:val="20"/>
          <w:lang w:val="fr-CA"/>
        </w:rPr>
        <w:t xml:space="preserve">) de la </w:t>
      </w:r>
      <w:r w:rsidRPr="001A338F">
        <w:rPr>
          <w:i/>
          <w:sz w:val="20"/>
          <w:lang w:val="fr-CA"/>
        </w:rPr>
        <w:t>Charte</w:t>
      </w:r>
      <w:r w:rsidRPr="001A338F">
        <w:rPr>
          <w:sz w:val="20"/>
          <w:lang w:val="fr-CA"/>
        </w:rPr>
        <w:t xml:space="preserve"> avaient été violés et ont ordonné la tenue d’un nouveau procès. Les trois juges ont tous rejeté les prétentions de l’accusé fondées sur l’art. 15 de la </w:t>
      </w:r>
      <w:r w:rsidRPr="001A338F">
        <w:rPr>
          <w:i/>
          <w:sz w:val="20"/>
          <w:lang w:val="fr-CA"/>
        </w:rPr>
        <w:t>Charte</w:t>
      </w:r>
      <w:r w:rsidRPr="001A338F">
        <w:rPr>
          <w:sz w:val="20"/>
          <w:lang w:val="fr-CA"/>
        </w:rPr>
        <w:t>.</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r>
      <w:r w:rsidRPr="001A338F">
        <w:rPr>
          <w:i/>
          <w:sz w:val="20"/>
          <w:lang w:val="fr-CA"/>
        </w:rPr>
        <w:t>Arrêt</w:t>
      </w:r>
      <w:r w:rsidRPr="001A338F">
        <w:rPr>
          <w:sz w:val="20"/>
          <w:lang w:val="fr-CA"/>
        </w:rPr>
        <w:t xml:space="preserve"> </w:t>
      </w:r>
      <w:r w:rsidRPr="001A338F">
        <w:rPr>
          <w:rStyle w:val="QuoteChar"/>
          <w:sz w:val="20"/>
          <w:lang w:val="fr-CA"/>
        </w:rPr>
        <w:t>(la juge en chef McLachlin et le juge Cromwell sont dissidents) :</w:t>
      </w:r>
      <w:r w:rsidRPr="001A338F">
        <w:rPr>
          <w:sz w:val="20"/>
          <w:lang w:val="fr-CA"/>
        </w:rPr>
        <w:t xml:space="preserve"> Le pourvoi est accueilli. L’ordonnance prévoyant la tenue d’un nouveau procès est annulée et la déclaration de culpabilité est rétablie. </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r>
      <w:r w:rsidRPr="001A338F">
        <w:rPr>
          <w:i/>
          <w:sz w:val="20"/>
          <w:lang w:val="fr-CA"/>
        </w:rPr>
        <w:t xml:space="preserve">Les </w:t>
      </w:r>
      <w:r w:rsidRPr="001A338F">
        <w:rPr>
          <w:sz w:val="20"/>
          <w:lang w:val="fr-CA"/>
        </w:rPr>
        <w:t xml:space="preserve">juges Rothstein, </w:t>
      </w:r>
      <w:r w:rsidRPr="001A338F">
        <w:rPr>
          <w:b/>
          <w:sz w:val="20"/>
          <w:lang w:val="fr-CA"/>
        </w:rPr>
        <w:t>Moldaver</w:t>
      </w:r>
      <w:r w:rsidRPr="001A338F">
        <w:rPr>
          <w:sz w:val="20"/>
          <w:lang w:val="fr-CA"/>
        </w:rPr>
        <w:t xml:space="preserve">, Wagner et Gascon : La représentativité est un aspect important de notre système de jury, mais elle a un sens restreint. Il faut un échantillon représentatif de la société, constitué honnêtement et équitablement. Pour ce qui est de la liste des jurés, la représentativité met l’accent sur la procédure utilisée pour la dresser, et non sur sa composition finale. </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Pour déterminer si l’État s’est acquitté de son obligation de représentativité, la question consiste à savoir s’il a donné à un large échantillon de la société une possibilité honnête de participer au processus de sélection des jurés. Pareille possibilité est donnée quand l’État déploie des efforts raisonnables pour : (1) dresser la liste des jurés en sélectionnant ceux</w:t>
      </w:r>
      <w:r w:rsidRPr="001A338F">
        <w:rPr>
          <w:sz w:val="20"/>
          <w:lang w:val="fr-CA"/>
        </w:rPr>
        <w:noBreakHyphen/>
        <w:t xml:space="preserve">ci au hasard à partir de listes brutes issues d’un large échantillon de la société et (2) envoyer des avis de sélection de juré aux personnes choisies au hasard. Quand cette procédure est suivie, la liste des jurés est représentative et le droit à un jury représentatif que la </w:t>
      </w:r>
      <w:r w:rsidRPr="001A338F">
        <w:rPr>
          <w:i/>
          <w:sz w:val="20"/>
          <w:lang w:val="fr-CA"/>
        </w:rPr>
        <w:t>Charte</w:t>
      </w:r>
      <w:r w:rsidRPr="001A338F">
        <w:rPr>
          <w:sz w:val="20"/>
          <w:lang w:val="fr-CA"/>
        </w:rPr>
        <w:t xml:space="preserve"> garantit à l’accusé est respecté. Ce processus vise à faire en sorte que des personnes aux points de vue différents fassent partie du jury et à empêcher l’exclusion systémique de certains segments de la population.</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La représentativité du jury relève à la fois de l’al. 11</w:t>
      </w:r>
      <w:r w:rsidRPr="001A338F">
        <w:rPr>
          <w:i/>
          <w:sz w:val="20"/>
          <w:lang w:val="fr-CA"/>
        </w:rPr>
        <w:t>d</w:t>
      </w:r>
      <w:r w:rsidRPr="001A338F">
        <w:rPr>
          <w:sz w:val="20"/>
          <w:lang w:val="fr-CA"/>
        </w:rPr>
        <w:t>) et de l’al. 11</w:t>
      </w:r>
      <w:r w:rsidRPr="001A338F">
        <w:rPr>
          <w:i/>
          <w:sz w:val="20"/>
          <w:lang w:val="fr-CA"/>
        </w:rPr>
        <w:t>f</w:t>
      </w:r>
      <w:r w:rsidRPr="001A338F">
        <w:rPr>
          <w:sz w:val="20"/>
          <w:lang w:val="fr-CA"/>
        </w:rPr>
        <w:t xml:space="preserve">) de la </w:t>
      </w:r>
      <w:r w:rsidRPr="001A338F">
        <w:rPr>
          <w:i/>
          <w:sz w:val="20"/>
          <w:lang w:val="fr-CA"/>
        </w:rPr>
        <w:t>Charte</w:t>
      </w:r>
      <w:r w:rsidRPr="001A338F">
        <w:rPr>
          <w:sz w:val="20"/>
          <w:lang w:val="fr-CA"/>
        </w:rPr>
        <w:t xml:space="preserve">, mais elle joue un rôle différent dans le cas de ces deux garanties. </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Le rôle que joue la représentativité dans l’application de l’al. 11</w:t>
      </w:r>
      <w:r w:rsidRPr="001A338F">
        <w:rPr>
          <w:i/>
          <w:sz w:val="20"/>
          <w:lang w:val="fr-CA"/>
        </w:rPr>
        <w:t>d</w:t>
      </w:r>
      <w:r w:rsidRPr="001A338F">
        <w:rPr>
          <w:sz w:val="20"/>
          <w:lang w:val="fr-CA"/>
        </w:rPr>
        <w:t>) se limite à son incidence sur l’indépendance et l’impartialité. Le problème de représentativité qui ne mine pas ces notions n’emportera pas violation de l’al. 11</w:t>
      </w:r>
      <w:r w:rsidRPr="001A338F">
        <w:rPr>
          <w:i/>
          <w:sz w:val="20"/>
          <w:lang w:val="fr-CA"/>
        </w:rPr>
        <w:t>d</w:t>
      </w:r>
      <w:r w:rsidRPr="001A338F">
        <w:rPr>
          <w:sz w:val="20"/>
          <w:lang w:val="fr-CA"/>
        </w:rPr>
        <w:t xml:space="preserve">). </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Les parties à la présente affaire se sont concentrées sur le volet « impartialité » de l’al. 11</w:t>
      </w:r>
      <w:r w:rsidRPr="001A338F">
        <w:rPr>
          <w:i/>
          <w:sz w:val="20"/>
          <w:lang w:val="fr-CA"/>
        </w:rPr>
        <w:t>d</w:t>
      </w:r>
      <w:r w:rsidRPr="001A338F">
        <w:rPr>
          <w:sz w:val="20"/>
          <w:lang w:val="fr-CA"/>
        </w:rPr>
        <w:t>). Même si le petit jury ne semble pas partial, il y a violation de l’al. 11</w:t>
      </w:r>
      <w:r w:rsidRPr="001A338F">
        <w:rPr>
          <w:i/>
          <w:sz w:val="20"/>
          <w:lang w:val="fr-CA"/>
        </w:rPr>
        <w:t>d</w:t>
      </w:r>
      <w:r w:rsidRPr="001A338F">
        <w:rPr>
          <w:sz w:val="20"/>
          <w:lang w:val="fr-CA"/>
        </w:rPr>
        <w:t>) si la procédure utilisée pour dresser la liste des jurés crée une apparence de partialité sur le plan systémique. Cela peut se produire de deux façons : un groupe en particulier est exclu délibérément ou les efforts déployés pour dresser la liste des jurés laissent à désirer au point de créer une apparence de partialité. Toutefois, lorsque l’État ne se conduit d’aucune de ces façons, le problème de représentativité ne viole pas l’al. 11</w:t>
      </w:r>
      <w:r w:rsidRPr="001A338F">
        <w:rPr>
          <w:i/>
          <w:sz w:val="20"/>
          <w:lang w:val="fr-CA"/>
        </w:rPr>
        <w:t>d</w:t>
      </w:r>
      <w:r w:rsidRPr="001A338F">
        <w:rPr>
          <w:sz w:val="20"/>
          <w:lang w:val="fr-CA"/>
        </w:rPr>
        <w:t>).</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La définition restreinte donnée à la représentativité dans la jurisprudence canadienne signifie que l’impartialité est garantie grâce à la procédure suivie pour dresser la liste des jurés, et non grâce à la composition finale de la liste des jurés ou du petit jury lui</w:t>
      </w:r>
      <w:r w:rsidRPr="001A338F">
        <w:rPr>
          <w:sz w:val="20"/>
          <w:lang w:val="fr-CA"/>
        </w:rPr>
        <w:noBreakHyphen/>
        <w:t xml:space="preserve">même. La liste des jurés comptant peu de personnes de la même race ou religion que l’accusé ne constitue pas à elle seule un indice de partialité. </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La représentativité joue un rôle élargi dans l’application de l’al. 11</w:t>
      </w:r>
      <w:r w:rsidRPr="001A338F">
        <w:rPr>
          <w:i/>
          <w:sz w:val="20"/>
          <w:lang w:val="fr-CA"/>
        </w:rPr>
        <w:t>f</w:t>
      </w:r>
      <w:r w:rsidRPr="001A338F">
        <w:rPr>
          <w:sz w:val="20"/>
          <w:lang w:val="fr-CA"/>
        </w:rPr>
        <w:t>) : non seulement favorise</w:t>
      </w:r>
      <w:r w:rsidRPr="001A338F">
        <w:rPr>
          <w:sz w:val="20"/>
          <w:lang w:val="fr-CA"/>
        </w:rPr>
        <w:noBreakHyphen/>
        <w:t>t</w:t>
      </w:r>
      <w:r w:rsidRPr="001A338F">
        <w:rPr>
          <w:sz w:val="20"/>
          <w:lang w:val="fr-CA"/>
        </w:rPr>
        <w:noBreakHyphen/>
        <w:t>elle l’impartialité, mais elle confère également une légitimité au rôle du jury en tant que « conscience de la collectivité » et renforce la confiance du public dans le système de justice pénale. Ce rôle élargi crée une différence importante : bien qu’un problème de représentativité n’emporte pas nécessairement violation de l’al. 11</w:t>
      </w:r>
      <w:r w:rsidRPr="001A338F">
        <w:rPr>
          <w:i/>
          <w:sz w:val="20"/>
          <w:lang w:val="fr-CA"/>
        </w:rPr>
        <w:t>d</w:t>
      </w:r>
      <w:r w:rsidRPr="001A338F">
        <w:rPr>
          <w:sz w:val="20"/>
          <w:lang w:val="fr-CA"/>
        </w:rPr>
        <w:t>), l’absence de représentativité mine automatiquement le droit, reconnu par l’al. 11</w:t>
      </w:r>
      <w:r w:rsidRPr="001A338F">
        <w:rPr>
          <w:i/>
          <w:sz w:val="20"/>
          <w:lang w:val="fr-CA"/>
        </w:rPr>
        <w:t>f</w:t>
      </w:r>
      <w:r w:rsidRPr="001A338F">
        <w:rPr>
          <w:sz w:val="20"/>
          <w:lang w:val="fr-CA"/>
        </w:rPr>
        <w:t>), à un procès avec jury.</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i/>
          <w:sz w:val="20"/>
          <w:lang w:val="fr-CA"/>
        </w:rPr>
      </w:pPr>
      <w:r w:rsidRPr="001A338F">
        <w:rPr>
          <w:sz w:val="20"/>
          <w:lang w:val="fr-CA"/>
        </w:rPr>
        <w:tab/>
        <w:t>Si l’État exclut délibérément un certain sous</w:t>
      </w:r>
      <w:r w:rsidRPr="001A338F">
        <w:rPr>
          <w:sz w:val="20"/>
          <w:lang w:val="fr-CA"/>
        </w:rPr>
        <w:noBreakHyphen/>
        <w:t>groupe de personnes habiles à remplir les fonctions de juré, il viole le droit de l’accusé à un jury représentatif, peu importe la taille du groupe touché. Cependant, s’il s’agit d’une exclusion involontaire, c’est la qualité des efforts déployés par l’État pour dresser la liste des jurés qui déterminera si le droit de l’accusé à un jury représentatif a été respecté. Lorsque l’État fait des efforts raisonnables, mais qu’une partie de la population est exclue parce qu’elle refuse de participer, l’État s’acquitte néanmoins de son obligation constitutionnelle. Par contre, si l’État ne déploie pas d’efforts raisonnables, il faut tenir compte du nombre de personnes exclues par inadvertance. Quand seule une petite couche de la population est touchée, un large échantillon de la société a tout de même une possibilité honnête de participer.</w:t>
      </w:r>
    </w:p>
    <w:p w:rsidR="005373A7" w:rsidRDefault="005373A7" w:rsidP="005373A7">
      <w:pPr>
        <w:pStyle w:val="SCCNormalDoubleSpacing"/>
        <w:spacing w:line="240" w:lineRule="auto"/>
        <w:rPr>
          <w:i/>
          <w:sz w:val="20"/>
          <w:lang w:val="fr-CA"/>
        </w:rPr>
      </w:pPr>
    </w:p>
    <w:p w:rsidR="005373A7" w:rsidRPr="001A338F" w:rsidRDefault="005373A7" w:rsidP="005373A7">
      <w:pPr>
        <w:pStyle w:val="SCCNormalDoubleSpacing"/>
        <w:spacing w:line="240" w:lineRule="auto"/>
        <w:rPr>
          <w:sz w:val="20"/>
          <w:lang w:val="fr-CA"/>
        </w:rPr>
      </w:pPr>
      <w:r w:rsidRPr="001A338F">
        <w:rPr>
          <w:i/>
          <w:sz w:val="20"/>
          <w:lang w:val="fr-CA"/>
        </w:rPr>
        <w:tab/>
      </w:r>
      <w:r w:rsidRPr="001A338F">
        <w:rPr>
          <w:sz w:val="20"/>
          <w:lang w:val="fr-CA"/>
        </w:rPr>
        <w:t>La représentativité ne consiste pas à cibler des groupes particuliers pour que leurs membres figurent sur la liste des jurés. La province n’était donc pas obligée de remédier aux problèmes systémiques contribuant à la réticence des Autochtones vivant dans des réserves à participer au processus de sélection des jurés. Les efforts déployés pour réparer les torts historiques et systémiques causés aux peuples autochtones — quoique louables sur le plan social — visent par définition à cibler un groupe en particulier pour que ses membres figurent sur la liste des jurés. Le droit de l’accusé à la représentativité ne constitue pas le bon moyen de réparer la relation mise à mal entre certains groupes de la société et notre système de justice pénale en général.</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 xml:space="preserve">Il n’existe aucun droit à une liste de jurés d’une composition précise, ni à une liste qui représente proportionnellement tous les différents groupes de la société canadienne. Exiger qu’une liste de jurés représente proportionnellement les différentes religions, races, cultures ou autres caractéristiques personnelles des personnes habiles à être jurés engendrerait plusieurs problèmes insolubles. Il existe un nombre infini de caractéristiques qu’on pourrait considérer comme devant être représentées et, même si l’on utilisait une liste brute parfaite, il serait impossible d’établir une liste de jurés qui les représente entièrement. Exiger une représentation proportionnelle reviendrait aussi à écarter des principes bien établis, comme le droit à la vie privée des jurés et la sélection aléatoire. Ces principes seraient remplacés par un examen des antécédents des candidats jurés et par l’obligation pour l’État de cibler des groupes particuliers pour les inscrire sur la liste des jurés. Une telle approche serait inapplicable et entraînerait la disparition de notre système de jury dans sa forme actuelle. </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La province s’est acquittée de son obligation de représentativité en l’espèce. La Cour d’appel a soulevé des points susceptibles d’être litigieux relativement à trois volets du processus : les listes, la distribution et le faible taux de réponse. Appréciés en fonction de ce que l’on savait à l’époque et en regard de la norme appropriée, les efforts déployés par la province pour faire participer les résidents autochtones des réserves au processus de sélection des jurés étaient raisonnables. Par conséquent, il n’y a pas eu violation des al. 11</w:t>
      </w:r>
      <w:r w:rsidRPr="001A338F">
        <w:rPr>
          <w:i/>
          <w:sz w:val="20"/>
          <w:lang w:val="fr-CA"/>
        </w:rPr>
        <w:t>d</w:t>
      </w:r>
      <w:r w:rsidRPr="001A338F">
        <w:rPr>
          <w:sz w:val="20"/>
          <w:lang w:val="fr-CA"/>
        </w:rPr>
        <w:t>) ou 11</w:t>
      </w:r>
      <w:r w:rsidRPr="001A338F">
        <w:rPr>
          <w:i/>
          <w:sz w:val="20"/>
          <w:lang w:val="fr-CA"/>
        </w:rPr>
        <w:t>f</w:t>
      </w:r>
      <w:r w:rsidRPr="001A338F">
        <w:rPr>
          <w:sz w:val="20"/>
          <w:lang w:val="fr-CA"/>
        </w:rPr>
        <w:t xml:space="preserve">) de la </w:t>
      </w:r>
      <w:r w:rsidRPr="001A338F">
        <w:rPr>
          <w:i/>
          <w:sz w:val="20"/>
          <w:lang w:val="fr-CA"/>
        </w:rPr>
        <w:t>Charte</w:t>
      </w:r>
      <w:r w:rsidRPr="001A338F">
        <w:rPr>
          <w:sz w:val="20"/>
          <w:lang w:val="fr-CA"/>
        </w:rPr>
        <w:t>. Bien que le problème de la sous</w:t>
      </w:r>
      <w:r w:rsidRPr="001A338F">
        <w:rPr>
          <w:sz w:val="20"/>
          <w:lang w:val="fr-CA"/>
        </w:rPr>
        <w:noBreakHyphen/>
        <w:t>représentation des résidents autochtones des réserves dans le système de jury soit une sérieuse préoccupation de principe qui mérite qu’on s’y attarde, les droits garantis à l’accusé par les al. 11</w:t>
      </w:r>
      <w:r w:rsidRPr="001A338F">
        <w:rPr>
          <w:i/>
          <w:sz w:val="20"/>
          <w:lang w:val="fr-CA"/>
        </w:rPr>
        <w:t>d</w:t>
      </w:r>
      <w:r w:rsidRPr="001A338F">
        <w:rPr>
          <w:sz w:val="20"/>
          <w:lang w:val="fr-CA"/>
        </w:rPr>
        <w:t>) et 11</w:t>
      </w:r>
      <w:r w:rsidRPr="001A338F">
        <w:rPr>
          <w:i/>
          <w:sz w:val="20"/>
          <w:lang w:val="fr-CA"/>
        </w:rPr>
        <w:t>f</w:t>
      </w:r>
      <w:r w:rsidRPr="001A338F">
        <w:rPr>
          <w:sz w:val="20"/>
          <w:lang w:val="fr-CA"/>
        </w:rPr>
        <w:t xml:space="preserve">) de la </w:t>
      </w:r>
      <w:r w:rsidRPr="001A338F">
        <w:rPr>
          <w:i/>
          <w:sz w:val="20"/>
          <w:lang w:val="fr-CA"/>
        </w:rPr>
        <w:t>Charte</w:t>
      </w:r>
      <w:r w:rsidRPr="001A338F">
        <w:rPr>
          <w:sz w:val="20"/>
          <w:lang w:val="fr-CA"/>
        </w:rPr>
        <w:t xml:space="preserve"> ne constituent pas le moyen approprié de répondre à cette préoccupation. </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 xml:space="preserve">Il faut aussi rejeter les prétentions de l’accusé fondées sur l’art. 15 de la </w:t>
      </w:r>
      <w:r w:rsidRPr="001A338F">
        <w:rPr>
          <w:i/>
          <w:sz w:val="20"/>
          <w:lang w:val="fr-CA"/>
        </w:rPr>
        <w:t>Charte</w:t>
      </w:r>
      <w:r w:rsidRPr="001A338F">
        <w:rPr>
          <w:sz w:val="20"/>
          <w:lang w:val="fr-CA"/>
        </w:rPr>
        <w:t xml:space="preserve">. S’agissant de sa prétention personnelle fondée sur l’art. 15, l’accusé n’a pas clairement formulé de désavantage. S’agissant de sa demande visant à obtenir la qualité pour agir dans l’intérêt public afin de faire valoir une réclamation fondée sur l’art. 15 au nom des résidents autochtones d’une réserve qui étaient des candidats jurés, elle ne peut être accueillie parce que l’accusé risque d’avoir des intérêts divergents, voire contradictoires, de ceux des candidats jurés. </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r>
      <w:r w:rsidRPr="001A338F">
        <w:rPr>
          <w:i/>
          <w:sz w:val="20"/>
          <w:lang w:val="fr-CA"/>
        </w:rPr>
        <w:t xml:space="preserve">La </w:t>
      </w:r>
      <w:r w:rsidRPr="001A338F">
        <w:rPr>
          <w:sz w:val="20"/>
          <w:lang w:val="fr-CA"/>
        </w:rPr>
        <w:t xml:space="preserve">juge </w:t>
      </w:r>
      <w:r w:rsidRPr="001A338F">
        <w:rPr>
          <w:b/>
          <w:sz w:val="20"/>
          <w:lang w:val="fr-CA"/>
        </w:rPr>
        <w:t>Karakatsanis</w:t>
      </w:r>
      <w:r w:rsidRPr="001A338F">
        <w:rPr>
          <w:sz w:val="20"/>
          <w:lang w:val="fr-CA"/>
        </w:rPr>
        <w:t xml:space="preserve"> : Les droits à un procès équitable reconnus par l’art. 11 de la </w:t>
      </w:r>
      <w:r w:rsidRPr="001A338F">
        <w:rPr>
          <w:i/>
          <w:sz w:val="20"/>
          <w:lang w:val="fr-CA"/>
        </w:rPr>
        <w:t>Charte</w:t>
      </w:r>
      <w:r w:rsidRPr="001A338F">
        <w:rPr>
          <w:sz w:val="20"/>
          <w:lang w:val="fr-CA"/>
        </w:rPr>
        <w:t xml:space="preserve"> permettent à l’accusé d’être jugé par un jury indépendant et impartial, issu d’une liste de jurés dressée au moyen d’un processus équitable et neutre de sélection aléatoire à partir de listes brutes provenant d’un large échantillon, sans exclusion délibérée ou importante. Ce critère a été respecté en l’espèce.</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 xml:space="preserve">La représentativité ne nécessite pas une liste de jurés qui reflète ce à quoi ressemblerait un échantillon aléatoire de la collectivité. Si l’on adopte une telle démarche fondée sur l’identité, cela constituerait un écart important par rapport à la jurisprudence et à l’expérience canadiennes. La représentativité du jury vise à permettre au jury d’exercer ses fonctions importantes de juge des faits et de lien entre le processus judiciaire et la collectivité dans son ensemble. Ce droit a un sens limité en droit canadien. Il ne signifie pas que le jury doit correspondre à un échantillon de la collectivité ou de ses différents points de vue ou caractéristiques. Il décrit plutôt le fonctionnement du jury en tant qu’institution, dans laquelle des profanes sont chargés de contribuer au processus de justice pénale et de fournir le lien essentiel entre ce système et l’ensemble de la collectivité. Le jury agit au nom de la société et, de ce fait, il la représente. Il ne tire pas sa légitimité du fait que ses membres reflètent la démographie de cette collectivité. </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 xml:space="preserve">La fonction de représentant qui incombe au jury est assurée par le recours à un processus de sélection équitable et aléatoire, fondé sur des listes brutes largement inclusives, qui n’exclut pas délibérément ou de façon importante un segment de la collectivité. La représentativité nécessite davantage que le déploiement d’efforts raisonnables pour utiliser un tel processus. C’est le caractère adéquat du processus employé et non la qualité des efforts de l’État qui détermine si les droits que la </w:t>
      </w:r>
      <w:r w:rsidRPr="001A338F">
        <w:rPr>
          <w:i/>
          <w:iCs/>
          <w:sz w:val="20"/>
          <w:lang w:val="fr-CA"/>
        </w:rPr>
        <w:t xml:space="preserve">Charte </w:t>
      </w:r>
      <w:r w:rsidRPr="001A338F">
        <w:rPr>
          <w:sz w:val="20"/>
          <w:lang w:val="fr-CA"/>
        </w:rPr>
        <w:t xml:space="preserve">garantit à l’accusé ont été violés. </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Il est essentiel de faire en sorte que les listes brutes soient produites à partir d’un large éventail de membres de la collectivité, mais la perfection n’est pas nécessaire. Il faut donner aux provinces la latitude d’employer un processus de sélection pratique eu égard à la nature des listes brutes généralement disponibles. L’État doit également faire en sorte que le mécanisme employé pour communiquer avec les candidats jurés sélectionnés ne mine pas la qualité généralisée et aléatoire de la liste des jurés.</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lastRenderedPageBreak/>
        <w:tab/>
        <w:t xml:space="preserve">L’exclusion involontaire de certains segments de la collectivité de la liste des jurés n’équivaut pas à un vice constitutionnel. Même les meilleures listes brutes excluront encore certaines personnes, et cette exclusion par inadvertance peut toucher certains groupes de façon disproportionnée. Cela ne suffit pas en soi pour établir une violation de l’art. 11 de la </w:t>
      </w:r>
      <w:r w:rsidRPr="001A338F">
        <w:rPr>
          <w:i/>
          <w:sz w:val="20"/>
          <w:lang w:val="fr-CA"/>
        </w:rPr>
        <w:t>Charte</w:t>
      </w:r>
      <w:r w:rsidRPr="001A338F">
        <w:rPr>
          <w:sz w:val="20"/>
          <w:lang w:val="fr-CA"/>
        </w:rPr>
        <w:t xml:space="preserve">. Puisqu’il n’existe pas de listes brutes parfaites, l’État doit bénéficier d’une marge de manœuvre dans le choix de la liste brute. Cette marge de manœuvre prend également en compte la latitude importante qu’il faut donner aux gouvernements pour définir les limites de districts judiciaires, lesquelles sont établies à des fins administratives et pratiques et qui n’ont pas à assurer la représentation d’une collectivité ou d’un groupe en particulier. </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 xml:space="preserve">Par contre, l’État peut, dans des circonstances exceptionnelles, violer les droits garantis à l’accusé par la </w:t>
      </w:r>
      <w:r w:rsidRPr="001A338F">
        <w:rPr>
          <w:i/>
          <w:sz w:val="20"/>
          <w:lang w:val="fr-CA"/>
        </w:rPr>
        <w:t>Charte</w:t>
      </w:r>
      <w:r w:rsidRPr="001A338F">
        <w:rPr>
          <w:sz w:val="20"/>
          <w:lang w:val="fr-CA"/>
        </w:rPr>
        <w:t xml:space="preserve"> en excluant de façon involontaire mais importante une couche de la population. Il se peut que l’importance de cette exclusion soit telle que le jury ne soit pas en mesure d’exercer sa fonction représentative, le privant ainsi de sa légitimité aux yeux de la société et minant son indépendance et son impartialité. Dans les cas où la liste des jurés est à ce point lacunaire que la société n’admettrait plus qu’un jury constitué à partir de cette liste puisse légitimement agir en son nom, il y a violation des droits que les al. 11</w:t>
      </w:r>
      <w:r w:rsidRPr="001A338F">
        <w:rPr>
          <w:i/>
          <w:sz w:val="20"/>
          <w:lang w:val="fr-CA"/>
        </w:rPr>
        <w:t>d</w:t>
      </w:r>
      <w:r w:rsidRPr="001A338F">
        <w:rPr>
          <w:sz w:val="20"/>
          <w:lang w:val="fr-CA"/>
        </w:rPr>
        <w:t>) et 11</w:t>
      </w:r>
      <w:r w:rsidRPr="001A338F">
        <w:rPr>
          <w:i/>
          <w:sz w:val="20"/>
          <w:lang w:val="fr-CA"/>
        </w:rPr>
        <w:t>f</w:t>
      </w:r>
      <w:r w:rsidRPr="001A338F">
        <w:rPr>
          <w:sz w:val="20"/>
          <w:lang w:val="fr-CA"/>
        </w:rPr>
        <w:t xml:space="preserve">) de la </w:t>
      </w:r>
      <w:r w:rsidRPr="001A338F">
        <w:rPr>
          <w:i/>
          <w:sz w:val="20"/>
          <w:lang w:val="fr-CA"/>
        </w:rPr>
        <w:t>Charte</w:t>
      </w:r>
      <w:r w:rsidRPr="001A338F">
        <w:rPr>
          <w:sz w:val="20"/>
          <w:lang w:val="fr-CA"/>
        </w:rPr>
        <w:t xml:space="preserve"> garantissent à l’accusé. </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L’exclusion délibérée de certaines couches de la population de la liste des jurés la rendrait inconstitutionnelle. Une liste de jurés viciée par une telle exclusion délibérée ne peut être considérée avoir été dressée équitablement et au hasard à partir de la collectivité dans son ensemble, et on ne saurait pas non plus la qualifier d’indépendante et d’impartiale. Un accusé aura donc gain de cause dans sa contestation s’il établit une exclusion délibérée visant à limiter la représentation de certains groupes dans le processus de sélection des jurés.</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 xml:space="preserve">Les droits de l’accusé à un procès équitable n’obligent pas l’État à inciter ceux qui ne veulent pas le faire à participer à la sélection des jurés. L’article 11 de la </w:t>
      </w:r>
      <w:r w:rsidRPr="001A338F">
        <w:rPr>
          <w:i/>
          <w:sz w:val="20"/>
          <w:lang w:val="fr-CA"/>
        </w:rPr>
        <w:t xml:space="preserve">Charte </w:t>
      </w:r>
      <w:r w:rsidRPr="001A338F">
        <w:rPr>
          <w:sz w:val="20"/>
          <w:lang w:val="fr-CA"/>
        </w:rPr>
        <w:t xml:space="preserve">n’impose à l’État aucune obligation d’encourager la participation ou de réparer des relations mises à mal qui peuvent amener certains à se désengager du système de justice. L’article 11 ne va tout simplement pas jusqu’à obliger l’État à s’attaquer aux raisons de cette désaffection pour faire respecter le droit de l’accusé à un jury impartial, indépendant et représentatif. </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 xml:space="preserve">Dans le cas présent, l’accusé n’a pas établi que la liste des jurés à partir de laquelle on avait constitué son jury avait été dressée d’une manière qui violait les droits que lui garantit l’art. 11 de la </w:t>
      </w:r>
      <w:r w:rsidRPr="001A338F">
        <w:rPr>
          <w:i/>
          <w:sz w:val="20"/>
          <w:lang w:val="fr-CA"/>
        </w:rPr>
        <w:t>Charte</w:t>
      </w:r>
      <w:r w:rsidRPr="001A338F">
        <w:rPr>
          <w:sz w:val="20"/>
          <w:lang w:val="fr-CA"/>
        </w:rPr>
        <w:t xml:space="preserve">. S’agissant des prétentions fondées sur l’art. 15 de la </w:t>
      </w:r>
      <w:r w:rsidRPr="001A338F">
        <w:rPr>
          <w:i/>
          <w:sz w:val="20"/>
          <w:lang w:val="fr-CA"/>
        </w:rPr>
        <w:t>Charte</w:t>
      </w:r>
      <w:r w:rsidRPr="001A338F">
        <w:rPr>
          <w:sz w:val="20"/>
          <w:lang w:val="fr-CA"/>
        </w:rPr>
        <w:t>, il est inopportun en l’espèce de décider si les droits à l’égalité des Autochtones sont en cause par suite de l’aliénation de ces derniers à l’égard du système de justice et de leur sous</w:t>
      </w:r>
      <w:r w:rsidRPr="001A338F">
        <w:rPr>
          <w:sz w:val="20"/>
          <w:lang w:val="fr-CA"/>
        </w:rPr>
        <w:noBreakHyphen/>
        <w:t xml:space="preserve">représentation sur les listes de jurés. </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r>
      <w:r w:rsidRPr="001A338F">
        <w:rPr>
          <w:i/>
          <w:sz w:val="20"/>
          <w:lang w:val="fr-CA"/>
        </w:rPr>
        <w:t>La</w:t>
      </w:r>
      <w:r w:rsidRPr="001A338F">
        <w:rPr>
          <w:sz w:val="20"/>
          <w:lang w:val="fr-CA"/>
        </w:rPr>
        <w:t xml:space="preserve"> juge en chef McLachlin et le juge </w:t>
      </w:r>
      <w:r w:rsidRPr="001A338F">
        <w:rPr>
          <w:b/>
          <w:sz w:val="20"/>
          <w:lang w:val="fr-CA"/>
        </w:rPr>
        <w:t>Cromwell</w:t>
      </w:r>
      <w:r w:rsidRPr="001A338F">
        <w:rPr>
          <w:sz w:val="20"/>
          <w:lang w:val="fr-CA"/>
        </w:rPr>
        <w:t xml:space="preserve"> (dissidents) : La sélection d’un jury régulièrement constitué assure les assises nécessaires à la tenue d’un procès équitable et à la confiance du public envers l’administration de la justice. Notre conception d’un jury régulièrement formé repose essentiellement sur la condition qu’il soit constitué dans un district donné à partir d’un échantillon aléatoire de personnes habiles à remplir les fonctions de jurés qui, de par cette sélection au hasard, sont représentatives de la population de ce district. Au Canada, la </w:t>
      </w:r>
      <w:r w:rsidRPr="001A338F">
        <w:rPr>
          <w:i/>
          <w:sz w:val="20"/>
          <w:lang w:val="fr-CA"/>
        </w:rPr>
        <w:t>Charte</w:t>
      </w:r>
      <w:r w:rsidRPr="001A338F">
        <w:rPr>
          <w:sz w:val="20"/>
          <w:lang w:val="fr-CA"/>
        </w:rPr>
        <w:t xml:space="preserve"> ne garantit pas de droit distinct à un jury représentatif. Toutefois, la représentativité — en ce sens que la liste des jurés résulte d’un tirage au sort effectué à partir d’un bassin acceptable de candidats jurés — s’inscrit dans le droit à un procès avec jury et le droit d’être jugé par un tribunal indépendant et impartial garantis par les al. 11</w:t>
      </w:r>
      <w:r w:rsidRPr="001A338F">
        <w:rPr>
          <w:i/>
          <w:sz w:val="20"/>
          <w:lang w:val="fr-CA"/>
        </w:rPr>
        <w:t>f</w:t>
      </w:r>
      <w:r w:rsidRPr="001A338F">
        <w:rPr>
          <w:sz w:val="20"/>
          <w:lang w:val="fr-CA"/>
        </w:rPr>
        <w:t>) et 11</w:t>
      </w:r>
      <w:r w:rsidRPr="001A338F">
        <w:rPr>
          <w:i/>
          <w:sz w:val="20"/>
          <w:lang w:val="fr-CA"/>
        </w:rPr>
        <w:t>d</w:t>
      </w:r>
      <w:r w:rsidRPr="001A338F">
        <w:rPr>
          <w:sz w:val="20"/>
          <w:lang w:val="fr-CA"/>
        </w:rPr>
        <w:t xml:space="preserve">) de la </w:t>
      </w:r>
      <w:r w:rsidRPr="001A338F">
        <w:rPr>
          <w:i/>
          <w:sz w:val="20"/>
          <w:lang w:val="fr-CA"/>
        </w:rPr>
        <w:t>Charte</w:t>
      </w:r>
      <w:r w:rsidRPr="001A338F">
        <w:rPr>
          <w:sz w:val="20"/>
          <w:lang w:val="fr-CA"/>
        </w:rPr>
        <w:t>. L’alinéa 11</w:t>
      </w:r>
      <w:r w:rsidRPr="001A338F">
        <w:rPr>
          <w:i/>
          <w:sz w:val="20"/>
          <w:lang w:val="fr-CA"/>
        </w:rPr>
        <w:t>f</w:t>
      </w:r>
      <w:r w:rsidRPr="001A338F">
        <w:rPr>
          <w:sz w:val="20"/>
          <w:lang w:val="fr-CA"/>
        </w:rPr>
        <w:t xml:space="preserve">) de la </w:t>
      </w:r>
      <w:r w:rsidRPr="001A338F">
        <w:rPr>
          <w:i/>
          <w:sz w:val="20"/>
          <w:lang w:val="fr-CA"/>
        </w:rPr>
        <w:t>Charte</w:t>
      </w:r>
      <w:r w:rsidRPr="001A338F">
        <w:rPr>
          <w:sz w:val="20"/>
          <w:lang w:val="fr-CA"/>
        </w:rPr>
        <w:t xml:space="preserve"> constitutionnalise l’institution du jury comme composante fondamentale du système canadien de justice pénale. La représentativité est partie intégrante de cette composante et constitue l’une des caractéristiques fondamentales d’un jury régulièrement formé. La représentativité, tout comme l’impartialité, est essentielle pour que l’institution du jury joue son rôle de conscience de la collectivité et pour que l’al. 11</w:t>
      </w:r>
      <w:r w:rsidRPr="001A338F">
        <w:rPr>
          <w:i/>
          <w:sz w:val="20"/>
          <w:lang w:val="fr-CA"/>
        </w:rPr>
        <w:t>f</w:t>
      </w:r>
      <w:r w:rsidRPr="001A338F">
        <w:rPr>
          <w:sz w:val="20"/>
          <w:lang w:val="fr-CA"/>
        </w:rPr>
        <w:t>) ait un véritable effet. La représentativité constitue également l’un des éléments qui font du jury un tribunal indépendant et impartial au sens où il faut l’entendre pour l’application de l’al. 11</w:t>
      </w:r>
      <w:r w:rsidRPr="001A338F">
        <w:rPr>
          <w:i/>
          <w:sz w:val="20"/>
          <w:lang w:val="fr-CA"/>
        </w:rPr>
        <w:t>d</w:t>
      </w:r>
      <w:r w:rsidRPr="001A338F">
        <w:rPr>
          <w:sz w:val="20"/>
          <w:lang w:val="fr-CA"/>
        </w:rPr>
        <w:t xml:space="preserve">) de la </w:t>
      </w:r>
      <w:r w:rsidRPr="001A338F">
        <w:rPr>
          <w:i/>
          <w:sz w:val="20"/>
          <w:lang w:val="fr-CA"/>
        </w:rPr>
        <w:t>Charte</w:t>
      </w:r>
      <w:r w:rsidRPr="001A338F">
        <w:rPr>
          <w:sz w:val="20"/>
          <w:lang w:val="fr-CA"/>
        </w:rPr>
        <w:t>. Ainsi, les vices de formation du jury qui touchent son caractère représentatif seront analysés pour savoir s’il y a eu violation à l’al. 11</w:t>
      </w:r>
      <w:r w:rsidRPr="001A338F">
        <w:rPr>
          <w:i/>
          <w:sz w:val="20"/>
          <w:lang w:val="fr-CA"/>
        </w:rPr>
        <w:t>d</w:t>
      </w:r>
      <w:r w:rsidRPr="001A338F">
        <w:rPr>
          <w:sz w:val="20"/>
          <w:lang w:val="fr-CA"/>
        </w:rPr>
        <w:t>). Suivant la protection que lui confèrent les al. 11</w:t>
      </w:r>
      <w:r w:rsidRPr="001A338F">
        <w:rPr>
          <w:i/>
          <w:sz w:val="20"/>
          <w:lang w:val="fr-CA"/>
        </w:rPr>
        <w:t>d</w:t>
      </w:r>
      <w:r w:rsidRPr="001A338F">
        <w:rPr>
          <w:sz w:val="20"/>
          <w:lang w:val="fr-CA"/>
        </w:rPr>
        <w:t>) et 11</w:t>
      </w:r>
      <w:r w:rsidRPr="001A338F">
        <w:rPr>
          <w:i/>
          <w:sz w:val="20"/>
          <w:lang w:val="fr-CA"/>
        </w:rPr>
        <w:t>f</w:t>
      </w:r>
      <w:r w:rsidRPr="001A338F">
        <w:rPr>
          <w:sz w:val="20"/>
          <w:lang w:val="fr-CA"/>
        </w:rPr>
        <w:t>), le droit à la représentativité de la liste des jurés est un droit conféré à l’inculpé, et non à des groupes précis ou à la collectivité en général. Il n’existe pas dans ces dispositions de droit correspondant permettant à la collectivité en général ou à un groupe précis de faire partie d’une liste de jurés, d’un tableau de jurés ou d’un petit jury.</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 xml:space="preserve">L’aspect central de la représentativité est la question de savoir si la liste des jurés, qui sert à la sélection des jurés, est aussi représentative de la collectivité que le serait un groupe de personnes choisies aléatoirement au sein de cette même collectivité. Ainsi, la sélection aléatoire est l’instrument de la représentativité. Une liste des jurés </w:t>
      </w:r>
      <w:r w:rsidRPr="001A338F">
        <w:rPr>
          <w:sz w:val="20"/>
          <w:lang w:val="fr-CA"/>
        </w:rPr>
        <w:lastRenderedPageBreak/>
        <w:t>représentative ressemble sensiblement au groupe de personnes qui serait réuni à l’issue d’un processus de sélection au hasard effectuée parmi toutes les personnes habiles à remplir les fonctions de jurés dans une collectivité donnée. Or, la sélection aléatoire n’est un bon instrument de la représentativité que si le bassin de personnes auquel elle s’applique quand il s’agit de dresser la liste des jurés résulte lui</w:t>
      </w:r>
      <w:r w:rsidRPr="001A338F">
        <w:rPr>
          <w:sz w:val="20"/>
          <w:lang w:val="fr-CA"/>
        </w:rPr>
        <w:noBreakHyphen/>
        <w:t>même d’un vaste échantillonnage au sein de la collectivité.</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Pour obtenir une liste des jurés représentative, il faut que deux conditions soient réunies. Premièrement, les listes brutes à partir desquelles sera effectuée la sélection aléatoire doivent être sensiblement représentatives du district. La liste des jurés ne sera suffisamment représentative de la population du district que si la liste brute des personnes à qui les avis peuvent être envoyés est aussi complète et aussi exacte que possible et qu’elle ressemble sensiblement à un échantillon pris au hasard parmi toutes les personnes habiles à être jurés dans le district. Deuxièmement, le groupe constitué des personnes habiles à remplir les fonctions de jurés qui retournent les formules de rapport doit ressembler sensiblement à un échantillon aléatoire de la liste brute. L’État doit donc examiner certains éléments, par exemple, la proportion d’avis et de formules de rapport réellement reçus et les facteurs susceptibles d’influer sur le taux de réponse. Si le groupe constitué des personnes qui retournent les formules ne ressemble pas sensiblement à un échantillon de personnes choisies au hasard sur la liste brute, le fondement entier de la représentativité est en péril parce que le caractère aléatoire n’est alors plus l’instrument de la représentativité.</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Des raisons d’ordre pratique et de principe étayent cette conception de la sélection aléatoire comme instrument de la représentativité. S’il fallait définir plus largement la représentativité dans ce contexte, d’interminables débats s’ensuivraient pour savoir qui le jury doit représenter et sur la base de quelles caractéristiques. Définir toutes les facettes possibles de la représentativité d’un jury — et, de surcroît, dresser une liste des jurés qui les refléteraient toutes — présenterait des difficultés d’ordre pratique insurmontables et entraînerait une incursion grave dans la vie privée des candidats jurés. Ces considérations de principe et d’ordre pratique signifient que nous devons nous garder d’élargir la portée des obligations de communication du ministère public ou d’exposer la vie privée des candidats jurés. Concrètement, la protection de la vie privée d’un juré signifie qu’un accusé sera rarement en mesure d’établir la sous</w:t>
      </w:r>
      <w:r w:rsidRPr="001A338F">
        <w:rPr>
          <w:sz w:val="20"/>
          <w:lang w:val="fr-CA"/>
        </w:rPr>
        <w:noBreakHyphen/>
        <w:t xml:space="preserve">représentation d’un groupe donné à moins de dénoncer le caractère inadéquat de la liste brute ou une autre dérogation importante au principe de la sélection aléatoire. </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Il est possible d’établir une sélection aléatoire lacunaire en démontrant des vices dans le processus, par exemple qu’un grand nombre de personnes habiles à remplir les fonctions de jurés ont été exclues de la liste des jurés. Or, il existe d’autres moyens de démontrer un écart par rapport à une sélection aléatoire en bonne et due forme. Que l’analyse soit axée sur le processus de sélection aléatoire ne signifie pas que les résultats du processus ne comptent pas lorsqu’il s’agit de déterminer si ce dernier était acceptable. On ne saurait faire fi des résultats lorsqu’ils démontrent clairement un écart considérable par rapport à un processus en bonne et due forme de sélection aléatoire.</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tab/>
        <w:t>La</w:t>
      </w:r>
      <w:r w:rsidRPr="001A338F">
        <w:rPr>
          <w:i/>
          <w:sz w:val="20"/>
          <w:lang w:val="fr-CA"/>
        </w:rPr>
        <w:t xml:space="preserve"> Charte</w:t>
      </w:r>
      <w:r w:rsidRPr="001A338F">
        <w:rPr>
          <w:sz w:val="20"/>
          <w:lang w:val="fr-CA"/>
        </w:rPr>
        <w:t xml:space="preserve"> protège contre les interventions attentatoires de l’État. Pour prouver une violation de la</w:t>
      </w:r>
      <w:r w:rsidRPr="001A338F">
        <w:rPr>
          <w:i/>
          <w:sz w:val="20"/>
          <w:lang w:val="fr-CA"/>
        </w:rPr>
        <w:t xml:space="preserve"> Charte</w:t>
      </w:r>
      <w:r w:rsidRPr="001A338F">
        <w:rPr>
          <w:sz w:val="20"/>
          <w:lang w:val="fr-CA"/>
        </w:rPr>
        <w:t xml:space="preserve">, le demandeur doit, par conséquent, non seulement établir que les droits qu’il tire de la </w:t>
      </w:r>
      <w:r w:rsidRPr="001A338F">
        <w:rPr>
          <w:i/>
          <w:sz w:val="20"/>
          <w:lang w:val="fr-CA"/>
        </w:rPr>
        <w:t xml:space="preserve">Charte </w:t>
      </w:r>
      <w:r w:rsidRPr="001A338F">
        <w:rPr>
          <w:sz w:val="20"/>
          <w:lang w:val="fr-CA"/>
        </w:rPr>
        <w:t xml:space="preserve">ont été restreints, mais aussi que cette restriction est attribuable à une action de l’État. La question qui se pose est celle de savoir s’il existe un lien suffisant entre les actes de l’État et la restriction du droit, de sorte qu’il est possible d’affirmer que cette limite est le fait de l’État. Bien que le critère du lien de causalité suffisant ait principalement servi dans le contexte de l’art. 7, un critère semblable a également été appliqué à l’égard d’autres dispositions de la </w:t>
      </w:r>
      <w:r w:rsidRPr="001A338F">
        <w:rPr>
          <w:i/>
          <w:sz w:val="20"/>
          <w:lang w:val="fr-CA"/>
        </w:rPr>
        <w:t xml:space="preserve">Charte </w:t>
      </w:r>
      <w:r w:rsidRPr="001A338F">
        <w:rPr>
          <w:sz w:val="20"/>
          <w:lang w:val="fr-CA"/>
        </w:rPr>
        <w:t xml:space="preserve">et de lois provinciales en matière de droits de la personne et convient dans la présente affaire. Le point de départ de l’analyse n’est pas les efforts que l’État a déployés pour se conformer; il faut plutôt se demander si la liste des jurés était représentative. Si elle ne l’était pas, il faut donc déterminer si ce défaut est attribuable à une action de l’État, à savoir s’il existe un lien suffisant entre la restriction du droit et l’action — ou l’omission — de l’État. Pour déterminer si l’État a respecté ses obligations découlant de la </w:t>
      </w:r>
      <w:r w:rsidRPr="001A338F">
        <w:rPr>
          <w:i/>
          <w:sz w:val="20"/>
          <w:lang w:val="fr-CA"/>
        </w:rPr>
        <w:t>Charte</w:t>
      </w:r>
      <w:r w:rsidRPr="001A338F">
        <w:rPr>
          <w:sz w:val="20"/>
          <w:lang w:val="fr-CA"/>
        </w:rPr>
        <w:t xml:space="preserve">, il faut évaluer sa conduite à la lumière des actes par lesquels il a contribué au problème et de sa capacité à le régler. Lorsqu’une restriction du droit intervient dans une matière qui ressortit entièrement ou en grande partie à l’État, il existe un lien évident entre l’action ou l’omission de l’État et la restriction du droit en question. Dans ces cas, le critère fondé sur les « efforts raisonnables » ne reflète pas la nature de l’obligation de l’État : le respect des droits constitutionnels n’est ni facultatif ni (sous réserve des limites justifiées) fonction des efforts requis. En revanche, l’État ne peut être tenu responsable lorsque l’acte attentatoire intervient dans une matière qui ne lui ressortit pas. Quant aux cas qui se situent quelque part entre ces deux situations, la réponse à la question de savoir s’il existe un lien suffisant entre la restriction du droit et l’action de l’État dépendra de la capacité de ce dernier d’intervenir pour régler le problème dans la matière où la restriction agit et des efforts raisonnables qu’il aura déployés pour y parvenir. </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1A338F">
        <w:rPr>
          <w:sz w:val="20"/>
          <w:lang w:val="fr-CA"/>
        </w:rPr>
        <w:lastRenderedPageBreak/>
        <w:tab/>
        <w:t>En l’espèce, la liste des jurés n’était pas représentative, car sa composition se distinguait nettement de celle qui aurait résulté d’une sélection aléatoire effectuée parmi toutes les personnes habiles à être jurés dans le district, car les résidents autochtones de réserves y étaient sous</w:t>
      </w:r>
      <w:r w:rsidRPr="001A338F">
        <w:rPr>
          <w:sz w:val="20"/>
          <w:lang w:val="fr-CA"/>
        </w:rPr>
        <w:noBreakHyphen/>
        <w:t>représentés. Parmi les quatre facteurs qui ont contribué à la non</w:t>
      </w:r>
      <w:r w:rsidRPr="001A338F">
        <w:rPr>
          <w:sz w:val="20"/>
          <w:lang w:val="fr-CA"/>
        </w:rPr>
        <w:noBreakHyphen/>
        <w:t>représentativité de la liste des jurés, deux — les listes brutes et la distribution des avis de sélection de juré — incombaient à l’État, et il était en son pouvoir de s’en acquitter. Les deux autres — le faible taux de réponse aux avis et la marginalisation des Autochtones au sein du système de justice pénale — étaient des problèmes auxquels l’État pouvait remédier en partie, mais il n’a pas déployé d’efforts raisonnables pour ce faire. Par conséquent, il existe un lien suffisant entre l’action et l’omission de l’État d’une part et la non</w:t>
      </w:r>
      <w:r w:rsidRPr="001A338F">
        <w:rPr>
          <w:sz w:val="20"/>
          <w:lang w:val="fr-CA"/>
        </w:rPr>
        <w:noBreakHyphen/>
        <w:t>représentativité de la liste des jurés d’autre part pour conclure que l’État a porté atteinte au droit de l’accusé à une liste des jurés représentative garanti par les al. 11</w:t>
      </w:r>
      <w:r w:rsidRPr="001A338F">
        <w:rPr>
          <w:i/>
          <w:sz w:val="20"/>
          <w:lang w:val="fr-CA"/>
        </w:rPr>
        <w:t>d</w:t>
      </w:r>
      <w:r w:rsidRPr="001A338F">
        <w:rPr>
          <w:sz w:val="20"/>
          <w:lang w:val="fr-CA"/>
        </w:rPr>
        <w:t>) et 11</w:t>
      </w:r>
      <w:r w:rsidRPr="001A338F">
        <w:rPr>
          <w:i/>
          <w:sz w:val="20"/>
          <w:lang w:val="fr-CA"/>
        </w:rPr>
        <w:t>f</w:t>
      </w:r>
      <w:r w:rsidRPr="001A338F">
        <w:rPr>
          <w:sz w:val="20"/>
          <w:lang w:val="fr-CA"/>
        </w:rPr>
        <w:t xml:space="preserve">) de la </w:t>
      </w:r>
      <w:r w:rsidRPr="001A338F">
        <w:rPr>
          <w:i/>
          <w:sz w:val="20"/>
          <w:lang w:val="fr-CA"/>
        </w:rPr>
        <w:t>Charte</w:t>
      </w:r>
      <w:r w:rsidRPr="001A338F">
        <w:rPr>
          <w:sz w:val="20"/>
          <w:lang w:val="fr-CA"/>
        </w:rPr>
        <w:t>.</w:t>
      </w:r>
    </w:p>
    <w:p w:rsidR="005373A7" w:rsidRDefault="005373A7" w:rsidP="005373A7">
      <w:pPr>
        <w:pStyle w:val="SCCNormalDoubleSpacing"/>
        <w:spacing w:line="240" w:lineRule="auto"/>
        <w:rPr>
          <w:sz w:val="20"/>
          <w:lang w:val="fr-CA"/>
        </w:rPr>
      </w:pPr>
    </w:p>
    <w:p w:rsidR="005373A7" w:rsidRDefault="005373A7" w:rsidP="005373A7">
      <w:pPr>
        <w:pStyle w:val="SCCNormalDoubleSpacing"/>
        <w:spacing w:line="240" w:lineRule="auto"/>
        <w:rPr>
          <w:sz w:val="20"/>
          <w:lang w:val="fr-CA"/>
        </w:rPr>
      </w:pPr>
      <w:r w:rsidRPr="001A338F">
        <w:rPr>
          <w:sz w:val="20"/>
          <w:lang w:val="fr-CA"/>
        </w:rPr>
        <w:tab/>
        <w:t>Pour déterminer en quoi consiste la réparation convenable à l’omission de l’État de fournir une liste des jurés représentative, il faut examiner l’ensemble des circonstances, notamment la nature de l’atteinte aux droits de l’accusé et son effet sur la confiance du public dans l’administration de la justice. L’étape de l’instance à laquelle le problème est soulevé est également pertinente. Si, comme en l’espèce, la question est soulevée pour la première fois après le prononcé du verdict, un jugement déclaratoire portant qu’il y a eu atteinte aux droits de l’inculpé pourrait constituer la réparation convenable pourvu que ce dernier n’ait pas établi qu’un nouveau procès est le seul moyen de rétablir la confiance du public dans l’administration de la justice, compte tenu de toutes les circonstances. En l’espèce, la Cour d’appel n’a commis aucune erreur susceptible d’annulation en ordonnant la tenue d’un nouveau procès en vertu de son pouvoir discrétionnaire. L’omission de fournir une liste des jurés représentative a miné la confiance du public dans l’administration de la justice.</w:t>
      </w:r>
    </w:p>
    <w:p w:rsidR="005373A7" w:rsidRDefault="005373A7" w:rsidP="005373A7">
      <w:pPr>
        <w:pStyle w:val="SCCNormalDoubleSpacing"/>
        <w:spacing w:line="240" w:lineRule="auto"/>
        <w:rPr>
          <w:sz w:val="20"/>
          <w:lang w:val="fr-CA"/>
        </w:rPr>
      </w:pPr>
    </w:p>
    <w:p w:rsidR="005373A7" w:rsidRPr="001A338F" w:rsidRDefault="005373A7" w:rsidP="005373A7">
      <w:pPr>
        <w:pStyle w:val="SCCNormalDoubleSpacing"/>
        <w:spacing w:line="240" w:lineRule="auto"/>
        <w:rPr>
          <w:sz w:val="20"/>
          <w:lang w:val="fr-CA"/>
        </w:rPr>
      </w:pPr>
      <w:r w:rsidRPr="005373A7">
        <w:rPr>
          <w:sz w:val="20"/>
          <w:lang w:val="fr-CA"/>
        </w:rPr>
        <w:tab/>
      </w:r>
      <w:r w:rsidRPr="001A338F">
        <w:rPr>
          <w:sz w:val="20"/>
          <w:lang w:val="fr-CA"/>
        </w:rPr>
        <w:t>POURVOI contre un arrêt de la Cour d’appel de l’Ontario (les juges Goudge, LaForme et Rouleau), 2013 ONCA 389, 115 O.R. (3d) 481, 306 O.A.C. 47, 285 C.R.R. (2d) 77, 4 C.R. (7th) 67, 299 C.C.C. (3d) 48, [2013] 4 C.N.L.R. 273, [2013] O.J. No. 2752 (QL), 2013 CarswellOnt 7938 (WL Can.), qui a annulé la déclaration de culpabilité d’homicide involontaire coupable et ordonné la tenue d’un nouveau procès. Pourvoi accueilli, la juge en chef McLachlin et le juge Cromwell sont dissidents.</w:t>
      </w:r>
    </w:p>
    <w:p w:rsidR="005373A7" w:rsidRDefault="005373A7" w:rsidP="005373A7">
      <w:pPr>
        <w:pStyle w:val="SCCNormalDoubleSpacing"/>
        <w:spacing w:line="240" w:lineRule="auto"/>
        <w:rPr>
          <w:rStyle w:val="SCCCounselNameChar"/>
          <w:sz w:val="20"/>
          <w:lang w:val="fr-CA"/>
        </w:rPr>
      </w:pPr>
    </w:p>
    <w:p w:rsidR="005373A7" w:rsidRPr="001A338F" w:rsidRDefault="005373A7" w:rsidP="005373A7">
      <w:pPr>
        <w:pStyle w:val="SCCNormalDoubleSpacing"/>
        <w:spacing w:line="240" w:lineRule="auto"/>
        <w:rPr>
          <w:sz w:val="20"/>
          <w:lang w:val="fr-CA"/>
        </w:rPr>
      </w:pPr>
      <w:r w:rsidRPr="001A338F">
        <w:rPr>
          <w:rStyle w:val="SCCCounselNameChar"/>
          <w:sz w:val="20"/>
          <w:lang w:val="fr-CA"/>
        </w:rPr>
        <w:tab/>
        <w:t>Gillian E. Roberts</w:t>
      </w:r>
      <w:r w:rsidRPr="001A338F">
        <w:rPr>
          <w:rStyle w:val="SCCCounselSeparatorChar"/>
          <w:sz w:val="20"/>
        </w:rPr>
        <w:t xml:space="preserve">, </w:t>
      </w:r>
      <w:r w:rsidRPr="001A338F">
        <w:rPr>
          <w:rStyle w:val="SCCCounselNameChar"/>
          <w:sz w:val="20"/>
          <w:lang w:val="fr-CA"/>
        </w:rPr>
        <w:t>Deborah Calderwood</w:t>
      </w:r>
      <w:r w:rsidRPr="001A338F">
        <w:rPr>
          <w:rStyle w:val="SCCCounselSeparatorChar"/>
          <w:sz w:val="20"/>
        </w:rPr>
        <w:t xml:space="preserve"> et </w:t>
      </w:r>
      <w:r w:rsidRPr="001A338F">
        <w:rPr>
          <w:rStyle w:val="SCCCounselNameChar"/>
          <w:sz w:val="20"/>
          <w:lang w:val="fr-CA"/>
        </w:rPr>
        <w:t>Michael Fawcett</w:t>
      </w:r>
      <w:r w:rsidRPr="001A338F">
        <w:rPr>
          <w:rStyle w:val="SCCCounselPartyRoleChar"/>
          <w:sz w:val="20"/>
          <w:lang w:val="fr-CA"/>
        </w:rPr>
        <w:t>, pour l’appelante.</w:t>
      </w:r>
    </w:p>
    <w:p w:rsidR="005373A7" w:rsidRDefault="005373A7" w:rsidP="005373A7">
      <w:pPr>
        <w:pStyle w:val="SCCNormalDoubleSpacing"/>
        <w:spacing w:line="240" w:lineRule="auto"/>
        <w:rPr>
          <w:rStyle w:val="SCCCounselNameChar"/>
          <w:sz w:val="20"/>
          <w:lang w:val="fr-CA"/>
        </w:rPr>
      </w:pPr>
    </w:p>
    <w:p w:rsidR="005373A7" w:rsidRPr="001A338F" w:rsidRDefault="005373A7" w:rsidP="005373A7">
      <w:pPr>
        <w:pStyle w:val="SCCNormalDoubleSpacing"/>
        <w:spacing w:line="240" w:lineRule="auto"/>
        <w:rPr>
          <w:sz w:val="20"/>
          <w:lang w:val="fr-CA"/>
        </w:rPr>
      </w:pPr>
      <w:r w:rsidRPr="001A338F">
        <w:rPr>
          <w:rStyle w:val="SCCCounselNameChar"/>
          <w:sz w:val="20"/>
          <w:lang w:val="fr-CA"/>
        </w:rPr>
        <w:tab/>
        <w:t>Jessica Orkin, Delmar Doucette</w:t>
      </w:r>
      <w:r w:rsidRPr="001A338F">
        <w:rPr>
          <w:rStyle w:val="SCCCounselSeparatorChar"/>
          <w:sz w:val="20"/>
        </w:rPr>
        <w:t>,</w:t>
      </w:r>
      <w:r w:rsidRPr="001A338F">
        <w:rPr>
          <w:rStyle w:val="SCCCounselNameChar"/>
          <w:sz w:val="20"/>
          <w:lang w:val="fr-CA"/>
        </w:rPr>
        <w:t xml:space="preserve"> Andrew Furgiuele</w:t>
      </w:r>
      <w:r w:rsidRPr="001A338F">
        <w:rPr>
          <w:rStyle w:val="SCCCounselSeparatorChar"/>
          <w:sz w:val="20"/>
        </w:rPr>
        <w:t xml:space="preserve"> et </w:t>
      </w:r>
      <w:r w:rsidRPr="001A338F">
        <w:rPr>
          <w:rStyle w:val="SCCCounselNameChar"/>
          <w:sz w:val="20"/>
          <w:lang w:val="fr-CA"/>
        </w:rPr>
        <w:t>Angela Ruffo</w:t>
      </w:r>
      <w:r w:rsidRPr="001A338F">
        <w:rPr>
          <w:rStyle w:val="SCCCounselPartyRoleChar"/>
          <w:sz w:val="20"/>
          <w:lang w:val="fr-CA"/>
        </w:rPr>
        <w:t>, pour l’intimé.</w:t>
      </w:r>
    </w:p>
    <w:p w:rsidR="005373A7" w:rsidRDefault="005373A7" w:rsidP="005373A7">
      <w:pPr>
        <w:pStyle w:val="SCCNormalDoubleSpacing"/>
        <w:spacing w:line="240" w:lineRule="auto"/>
        <w:rPr>
          <w:rStyle w:val="SCCCounselNameChar"/>
          <w:sz w:val="20"/>
          <w:lang w:val="fr-CA"/>
        </w:rPr>
      </w:pPr>
    </w:p>
    <w:p w:rsidR="005373A7" w:rsidRPr="001A338F" w:rsidRDefault="005373A7" w:rsidP="005373A7">
      <w:pPr>
        <w:pStyle w:val="SCCNormalDoubleSpacing"/>
        <w:spacing w:line="240" w:lineRule="auto"/>
        <w:rPr>
          <w:sz w:val="20"/>
          <w:lang w:val="fr-CA"/>
        </w:rPr>
      </w:pPr>
      <w:r w:rsidRPr="001A338F">
        <w:rPr>
          <w:rStyle w:val="SCCCounselNameChar"/>
          <w:sz w:val="20"/>
          <w:lang w:val="fr-CA"/>
        </w:rPr>
        <w:tab/>
        <w:t>Brian H. Greenspan</w:t>
      </w:r>
      <w:r w:rsidRPr="001A338F">
        <w:rPr>
          <w:rStyle w:val="SCCCounselSeparatorChar"/>
          <w:sz w:val="20"/>
        </w:rPr>
        <w:t xml:space="preserve">, </w:t>
      </w:r>
      <w:r w:rsidRPr="001A338F">
        <w:rPr>
          <w:rStyle w:val="SCCCounselNameChar"/>
          <w:sz w:val="20"/>
          <w:lang w:val="fr-CA"/>
        </w:rPr>
        <w:t>Katherine Hensel</w:t>
      </w:r>
      <w:r w:rsidRPr="001A338F">
        <w:rPr>
          <w:rStyle w:val="SCCCounselSeparatorChar"/>
          <w:sz w:val="20"/>
        </w:rPr>
        <w:t xml:space="preserve"> et </w:t>
      </w:r>
      <w:r w:rsidRPr="001A338F">
        <w:rPr>
          <w:rStyle w:val="SCCCounselNameChar"/>
          <w:sz w:val="20"/>
          <w:lang w:val="fr-CA"/>
        </w:rPr>
        <w:t>Promise Holmes Skinner</w:t>
      </w:r>
      <w:r w:rsidRPr="001A338F">
        <w:rPr>
          <w:rStyle w:val="SCCCounselPartyRoleChar"/>
          <w:sz w:val="20"/>
          <w:lang w:val="fr-CA"/>
        </w:rPr>
        <w:t>, pour l’intervenante Advocates’ Society.</w:t>
      </w:r>
    </w:p>
    <w:p w:rsidR="005373A7" w:rsidRDefault="005373A7" w:rsidP="005373A7">
      <w:pPr>
        <w:pStyle w:val="SCCNormalDoubleSpacing"/>
        <w:spacing w:line="240" w:lineRule="auto"/>
        <w:rPr>
          <w:rStyle w:val="SCCCounselNameChar"/>
          <w:sz w:val="20"/>
          <w:lang w:val="fr-CA"/>
        </w:rPr>
      </w:pPr>
    </w:p>
    <w:p w:rsidR="005373A7" w:rsidRPr="001A338F" w:rsidRDefault="005373A7" w:rsidP="005373A7">
      <w:pPr>
        <w:pStyle w:val="SCCNormalDoubleSpacing"/>
        <w:spacing w:line="240" w:lineRule="auto"/>
        <w:rPr>
          <w:rStyle w:val="SCCCounselPartyRoleChar"/>
          <w:sz w:val="20"/>
          <w:lang w:val="fr-CA"/>
        </w:rPr>
      </w:pPr>
      <w:r w:rsidRPr="001A338F">
        <w:rPr>
          <w:rStyle w:val="SCCCounselNameChar"/>
          <w:sz w:val="20"/>
          <w:lang w:val="fr-CA"/>
        </w:rPr>
        <w:tab/>
        <w:t>Julian N. Falconer</w:t>
      </w:r>
      <w:r w:rsidRPr="001A338F">
        <w:rPr>
          <w:rStyle w:val="SCCCounselSeparatorChar"/>
          <w:sz w:val="20"/>
        </w:rPr>
        <w:t xml:space="preserve">, </w:t>
      </w:r>
      <w:r w:rsidRPr="001A338F">
        <w:rPr>
          <w:rStyle w:val="SCCCounselNameChar"/>
          <w:sz w:val="20"/>
          <w:lang w:val="fr-CA"/>
        </w:rPr>
        <w:t>Julian Roy</w:t>
      </w:r>
      <w:r w:rsidRPr="001A338F">
        <w:rPr>
          <w:rStyle w:val="SCCCounselSeparatorChar"/>
          <w:sz w:val="20"/>
        </w:rPr>
        <w:t xml:space="preserve"> et </w:t>
      </w:r>
      <w:r w:rsidRPr="001A338F">
        <w:rPr>
          <w:rStyle w:val="SCCCounselNameChar"/>
          <w:sz w:val="20"/>
          <w:lang w:val="fr-CA"/>
        </w:rPr>
        <w:t>Marc E. Gibson</w:t>
      </w:r>
      <w:r w:rsidRPr="001A338F">
        <w:rPr>
          <w:rStyle w:val="SCCCounselPartyRoleChar"/>
          <w:sz w:val="20"/>
          <w:lang w:val="fr-CA"/>
        </w:rPr>
        <w:t>, pour l’intervenante la Nation Nishnawbe Aski.</w:t>
      </w:r>
    </w:p>
    <w:p w:rsidR="005373A7" w:rsidRDefault="005373A7" w:rsidP="005373A7">
      <w:pPr>
        <w:pStyle w:val="SCCNormalDoubleSpacing"/>
        <w:spacing w:line="240" w:lineRule="auto"/>
        <w:rPr>
          <w:rStyle w:val="SCCCounselPartyRoleChar"/>
          <w:sz w:val="20"/>
          <w:lang w:val="fr-CA"/>
        </w:rPr>
      </w:pPr>
    </w:p>
    <w:p w:rsidR="005373A7" w:rsidRPr="001A338F" w:rsidRDefault="005373A7" w:rsidP="005373A7">
      <w:pPr>
        <w:pStyle w:val="SCCNormalDoubleSpacing"/>
        <w:spacing w:line="240" w:lineRule="auto"/>
        <w:rPr>
          <w:rStyle w:val="SCCCounselPartyRoleChar"/>
          <w:sz w:val="20"/>
          <w:lang w:val="fr-CA"/>
        </w:rPr>
      </w:pPr>
      <w:r w:rsidRPr="001A338F">
        <w:rPr>
          <w:rStyle w:val="SCCCounselPartyRoleChar"/>
          <w:sz w:val="20"/>
          <w:lang w:val="fr-CA"/>
        </w:rPr>
        <w:tab/>
      </w:r>
      <w:r w:rsidRPr="001A338F">
        <w:rPr>
          <w:rStyle w:val="SCCCounselNameChar"/>
          <w:sz w:val="20"/>
          <w:lang w:val="fr-CA"/>
        </w:rPr>
        <w:t>Cheryl Milne et</w:t>
      </w:r>
      <w:r w:rsidRPr="001A338F">
        <w:rPr>
          <w:rStyle w:val="SCCCounselSeparatorChar"/>
          <w:sz w:val="20"/>
        </w:rPr>
        <w:t xml:space="preserve"> </w:t>
      </w:r>
      <w:r w:rsidRPr="001A338F">
        <w:rPr>
          <w:rStyle w:val="SCCCounselNameChar"/>
          <w:sz w:val="20"/>
          <w:lang w:val="fr-CA"/>
        </w:rPr>
        <w:t>Kim Stanton,</w:t>
      </w:r>
      <w:r w:rsidRPr="001A338F">
        <w:rPr>
          <w:rStyle w:val="SCCCounselSeparatorChar"/>
          <w:sz w:val="20"/>
        </w:rPr>
        <w:t xml:space="preserve"> </w:t>
      </w:r>
      <w:r w:rsidRPr="001A338F">
        <w:rPr>
          <w:rStyle w:val="SCCCounselPartyRoleChar"/>
          <w:sz w:val="20"/>
          <w:lang w:val="fr-CA"/>
        </w:rPr>
        <w:t xml:space="preserve">pour les intervenants David Asper Centre for Constitutional Rights et le </w:t>
      </w:r>
      <w:r w:rsidRPr="001A338F">
        <w:rPr>
          <w:sz w:val="20"/>
          <w:lang w:val="fr-CA"/>
        </w:rPr>
        <w:t>Fonds d’action et d’éducation juridiques pour les femmes, inc. (FAEJ)</w:t>
      </w:r>
      <w:r w:rsidRPr="001A338F">
        <w:rPr>
          <w:rStyle w:val="SCCCounselPartyRoleChar"/>
          <w:sz w:val="20"/>
          <w:lang w:val="fr-CA"/>
        </w:rPr>
        <w:t xml:space="preserve">. </w:t>
      </w:r>
    </w:p>
    <w:p w:rsidR="005373A7" w:rsidRDefault="005373A7" w:rsidP="005373A7">
      <w:pPr>
        <w:pStyle w:val="SCCNormalDoubleSpacing"/>
        <w:spacing w:line="240" w:lineRule="auto"/>
        <w:rPr>
          <w:rStyle w:val="SCCCounselNameChar"/>
          <w:sz w:val="20"/>
          <w:lang w:val="fr-CA"/>
        </w:rPr>
      </w:pPr>
    </w:p>
    <w:p w:rsidR="005373A7" w:rsidRPr="001A338F" w:rsidRDefault="005373A7" w:rsidP="005373A7">
      <w:pPr>
        <w:pStyle w:val="SCCNormalDoubleSpacing"/>
        <w:spacing w:line="240" w:lineRule="auto"/>
        <w:rPr>
          <w:sz w:val="20"/>
          <w:lang w:val="fr-CA"/>
        </w:rPr>
      </w:pPr>
      <w:r w:rsidRPr="001A338F">
        <w:rPr>
          <w:rStyle w:val="SCCCounselNameChar"/>
          <w:sz w:val="20"/>
          <w:lang w:val="fr-CA"/>
        </w:rPr>
        <w:tab/>
        <w:t>Mary Eberts</w:t>
      </w:r>
      <w:r w:rsidRPr="001A338F">
        <w:rPr>
          <w:rStyle w:val="SCCCounselPartyRoleChar"/>
          <w:sz w:val="20"/>
          <w:lang w:val="fr-CA"/>
        </w:rPr>
        <w:t>, pour les intervenantes l’</w:t>
      </w:r>
      <w:r w:rsidRPr="001A338F">
        <w:rPr>
          <w:sz w:val="20"/>
          <w:lang w:val="fr-CA"/>
        </w:rPr>
        <w:t>Association des femmes autochtones du Canada</w:t>
      </w:r>
      <w:r w:rsidRPr="001A338F">
        <w:rPr>
          <w:rStyle w:val="SCCCounselPartyRoleChar"/>
          <w:sz w:val="20"/>
          <w:lang w:val="fr-CA"/>
        </w:rPr>
        <w:t xml:space="preserve"> et</w:t>
      </w:r>
      <w:r w:rsidRPr="001A338F">
        <w:rPr>
          <w:sz w:val="20"/>
          <w:lang w:val="fr-CA"/>
        </w:rPr>
        <w:t xml:space="preserve"> l’Association canadienne des Sociétés Elizabeth Fry</w:t>
      </w:r>
      <w:r w:rsidRPr="001A338F">
        <w:rPr>
          <w:rStyle w:val="SCCCounselPartyRoleChar"/>
          <w:sz w:val="20"/>
          <w:lang w:val="fr-CA"/>
        </w:rPr>
        <w:t>.</w:t>
      </w:r>
    </w:p>
    <w:p w:rsidR="005373A7" w:rsidRDefault="005373A7" w:rsidP="005373A7">
      <w:pPr>
        <w:pStyle w:val="SCCNormalDoubleSpacing"/>
        <w:spacing w:line="240" w:lineRule="auto"/>
        <w:rPr>
          <w:rStyle w:val="SCCCounselNameChar"/>
          <w:sz w:val="20"/>
          <w:lang w:val="fr-CA"/>
        </w:rPr>
      </w:pPr>
    </w:p>
    <w:p w:rsidR="005373A7" w:rsidRPr="001A338F" w:rsidRDefault="005373A7" w:rsidP="005373A7">
      <w:pPr>
        <w:pStyle w:val="SCCNormalDoubleSpacing"/>
        <w:spacing w:line="240" w:lineRule="auto"/>
        <w:rPr>
          <w:sz w:val="20"/>
          <w:lang w:val="en-US"/>
        </w:rPr>
      </w:pPr>
      <w:r w:rsidRPr="001A338F">
        <w:rPr>
          <w:rStyle w:val="SCCCounselNameChar"/>
          <w:sz w:val="20"/>
          <w:lang w:val="fr-CA"/>
        </w:rPr>
        <w:tab/>
      </w:r>
      <w:r w:rsidRPr="001A338F">
        <w:rPr>
          <w:rStyle w:val="SCCCounselNameChar"/>
          <w:sz w:val="20"/>
          <w:lang w:val="en-US"/>
        </w:rPr>
        <w:t>Christa Big Canoe</w:t>
      </w:r>
      <w:r w:rsidRPr="001A338F">
        <w:rPr>
          <w:rStyle w:val="SCCCounselSeparatorChar"/>
          <w:sz w:val="20"/>
          <w:lang w:val="en-US"/>
        </w:rPr>
        <w:t xml:space="preserve"> et </w:t>
      </w:r>
      <w:r w:rsidRPr="001A338F">
        <w:rPr>
          <w:rStyle w:val="SCCCounselNameChar"/>
          <w:sz w:val="20"/>
          <w:lang w:val="en-US"/>
        </w:rPr>
        <w:t>Jonathan Rudin</w:t>
      </w:r>
      <w:r w:rsidRPr="001A338F">
        <w:rPr>
          <w:rStyle w:val="SCCCounselPartyRoleChar"/>
          <w:sz w:val="20"/>
          <w:lang w:val="en-US"/>
        </w:rPr>
        <w:t>, pour l’intervenante Aboriginal Legal Services of Toronto Inc.</w:t>
      </w:r>
    </w:p>
    <w:p w:rsidR="005373A7" w:rsidRDefault="005373A7" w:rsidP="005373A7">
      <w:pPr>
        <w:pStyle w:val="SCCLawFirm"/>
        <w:spacing w:line="240" w:lineRule="auto"/>
        <w:outlineLvl w:val="0"/>
        <w:rPr>
          <w:sz w:val="20"/>
          <w:lang w:val="en-US"/>
        </w:rPr>
      </w:pPr>
    </w:p>
    <w:p w:rsidR="005373A7" w:rsidRPr="001A338F" w:rsidRDefault="005373A7" w:rsidP="005373A7">
      <w:pPr>
        <w:pStyle w:val="SCCLawFirm"/>
        <w:spacing w:line="240" w:lineRule="auto"/>
        <w:outlineLvl w:val="0"/>
        <w:rPr>
          <w:sz w:val="20"/>
          <w:lang w:val="fr-CA"/>
        </w:rPr>
      </w:pPr>
      <w:r w:rsidRPr="001A338F">
        <w:rPr>
          <w:sz w:val="20"/>
          <w:lang w:val="en-US"/>
        </w:rPr>
        <w:tab/>
      </w:r>
      <w:r w:rsidRPr="001A338F">
        <w:rPr>
          <w:sz w:val="20"/>
          <w:lang w:val="fr-CA"/>
        </w:rPr>
        <w:t>Procureur de l’appelante : Procureur général de l’Ontario, Toronto.</w:t>
      </w:r>
    </w:p>
    <w:p w:rsidR="005373A7" w:rsidRDefault="005373A7" w:rsidP="005373A7">
      <w:pPr>
        <w:pStyle w:val="SCCLawFirm"/>
        <w:spacing w:line="240" w:lineRule="auto"/>
        <w:outlineLvl w:val="0"/>
        <w:rPr>
          <w:sz w:val="20"/>
          <w:lang w:val="fr-CA"/>
        </w:rPr>
      </w:pPr>
    </w:p>
    <w:p w:rsidR="005373A7" w:rsidRPr="001A338F" w:rsidRDefault="005373A7" w:rsidP="005373A7">
      <w:pPr>
        <w:pStyle w:val="SCCLawFirm"/>
        <w:spacing w:line="240" w:lineRule="auto"/>
        <w:outlineLvl w:val="0"/>
        <w:rPr>
          <w:sz w:val="20"/>
          <w:lang w:val="fr-CA"/>
        </w:rPr>
      </w:pPr>
      <w:r w:rsidRPr="001A338F">
        <w:rPr>
          <w:sz w:val="20"/>
          <w:lang w:val="fr-CA"/>
        </w:rPr>
        <w:tab/>
        <w:t>Procureurs de l’intimé : Sack Goldblatt Mitchell, Toronto; Doucette Boni Santoro Furgiuele, Toronto.</w:t>
      </w:r>
    </w:p>
    <w:p w:rsidR="005373A7" w:rsidRDefault="005373A7" w:rsidP="005373A7">
      <w:pPr>
        <w:pStyle w:val="SCCLawFirm"/>
        <w:spacing w:line="240" w:lineRule="auto"/>
        <w:rPr>
          <w:sz w:val="20"/>
          <w:lang w:val="fr-CA"/>
        </w:rPr>
      </w:pPr>
    </w:p>
    <w:p w:rsidR="005373A7" w:rsidRPr="001A338F" w:rsidRDefault="005373A7" w:rsidP="005373A7">
      <w:pPr>
        <w:pStyle w:val="SCCLawFirm"/>
        <w:spacing w:line="240" w:lineRule="auto"/>
        <w:rPr>
          <w:sz w:val="20"/>
          <w:lang w:val="fr-CA"/>
        </w:rPr>
      </w:pPr>
      <w:r w:rsidRPr="001A338F">
        <w:rPr>
          <w:sz w:val="20"/>
          <w:lang w:val="fr-CA"/>
        </w:rPr>
        <w:tab/>
        <w:t>Procureurs de l’intervenante Advocates’ Society : Greenspan Humphrey Lavine, Toronto; Hensel Barristers, Toronto; Université de Toronto, Toronto.</w:t>
      </w:r>
    </w:p>
    <w:p w:rsidR="005373A7" w:rsidRDefault="005373A7" w:rsidP="005373A7">
      <w:pPr>
        <w:pStyle w:val="SCCLawFirm"/>
        <w:spacing w:line="240" w:lineRule="auto"/>
        <w:rPr>
          <w:sz w:val="20"/>
          <w:lang w:val="fr-CA"/>
        </w:rPr>
      </w:pPr>
    </w:p>
    <w:p w:rsidR="005373A7" w:rsidRPr="001A338F" w:rsidRDefault="005373A7" w:rsidP="005373A7">
      <w:pPr>
        <w:pStyle w:val="SCCLawFirm"/>
        <w:spacing w:line="240" w:lineRule="auto"/>
        <w:rPr>
          <w:sz w:val="20"/>
          <w:lang w:val="fr-CA"/>
        </w:rPr>
      </w:pPr>
      <w:r w:rsidRPr="001A338F">
        <w:rPr>
          <w:sz w:val="20"/>
          <w:lang w:val="fr-CA"/>
        </w:rPr>
        <w:tab/>
        <w:t>Procureurs de l’intervenante la Nation Nishnawbe Aski : Falconers, Toronto.</w:t>
      </w:r>
    </w:p>
    <w:p w:rsidR="005373A7" w:rsidRDefault="005373A7" w:rsidP="005373A7">
      <w:pPr>
        <w:pStyle w:val="SCCLawFirm"/>
        <w:spacing w:line="240" w:lineRule="auto"/>
        <w:rPr>
          <w:sz w:val="20"/>
          <w:lang w:val="fr-CA"/>
        </w:rPr>
      </w:pPr>
    </w:p>
    <w:p w:rsidR="005373A7" w:rsidRPr="001A338F" w:rsidRDefault="005373A7" w:rsidP="005373A7">
      <w:pPr>
        <w:pStyle w:val="SCCLawFirm"/>
        <w:spacing w:line="240" w:lineRule="auto"/>
        <w:rPr>
          <w:sz w:val="20"/>
          <w:lang w:val="fr-CA"/>
        </w:rPr>
      </w:pPr>
      <w:r w:rsidRPr="001A338F">
        <w:rPr>
          <w:sz w:val="20"/>
          <w:lang w:val="fr-CA"/>
        </w:rPr>
        <w:lastRenderedPageBreak/>
        <w:tab/>
        <w:t xml:space="preserve">Procureurs des intervenants David Asper Centre for Constitutional Rights et le Fonds d’action et d’éducation juridiques pour les femmes, inc. (FAEJ) : Université de Toronto, Toronto; Fonds d’action et d’éducation juridiques pour les femmes, inc. (FAEJ), Toronto. </w:t>
      </w:r>
    </w:p>
    <w:p w:rsidR="005373A7" w:rsidRDefault="005373A7" w:rsidP="005373A7">
      <w:pPr>
        <w:pStyle w:val="SCCLawFirm"/>
        <w:spacing w:line="240" w:lineRule="auto"/>
        <w:rPr>
          <w:sz w:val="20"/>
          <w:lang w:val="fr-CA"/>
        </w:rPr>
      </w:pPr>
    </w:p>
    <w:p w:rsidR="005373A7" w:rsidRPr="001A338F" w:rsidRDefault="005373A7" w:rsidP="005373A7">
      <w:pPr>
        <w:pStyle w:val="SCCLawFirm"/>
        <w:spacing w:line="240" w:lineRule="auto"/>
        <w:rPr>
          <w:sz w:val="20"/>
          <w:lang w:val="fr-CA"/>
        </w:rPr>
      </w:pPr>
      <w:r w:rsidRPr="001A338F">
        <w:rPr>
          <w:sz w:val="20"/>
          <w:lang w:val="fr-CA"/>
        </w:rPr>
        <w:tab/>
        <w:t xml:space="preserve">Procureurs des intervenantes </w:t>
      </w:r>
      <w:r w:rsidRPr="001A338F">
        <w:rPr>
          <w:rStyle w:val="SCCCounselPartyRoleChar"/>
          <w:sz w:val="20"/>
          <w:lang w:val="fr-CA"/>
        </w:rPr>
        <w:t>l’</w:t>
      </w:r>
      <w:r w:rsidRPr="001A338F">
        <w:rPr>
          <w:sz w:val="20"/>
          <w:lang w:val="fr-CA"/>
        </w:rPr>
        <w:t>Association des femmes autochtones du Canada</w:t>
      </w:r>
      <w:r w:rsidRPr="001A338F">
        <w:rPr>
          <w:rStyle w:val="SCCCounselPartyRoleChar"/>
          <w:sz w:val="20"/>
          <w:lang w:val="fr-CA"/>
        </w:rPr>
        <w:t xml:space="preserve"> et</w:t>
      </w:r>
      <w:r w:rsidRPr="001A338F">
        <w:rPr>
          <w:sz w:val="20"/>
          <w:lang w:val="fr-CA"/>
        </w:rPr>
        <w:t xml:space="preserve"> l’Association canadienne des Sociétés Elizabeth Fry : Law Office of Mary Eberts, Toronto.</w:t>
      </w:r>
    </w:p>
    <w:p w:rsidR="005373A7" w:rsidRDefault="005373A7" w:rsidP="005373A7">
      <w:pPr>
        <w:pStyle w:val="SCCLawFirm"/>
        <w:spacing w:line="240" w:lineRule="auto"/>
        <w:rPr>
          <w:sz w:val="20"/>
          <w:lang w:val="fr-CA"/>
        </w:rPr>
      </w:pPr>
    </w:p>
    <w:p w:rsidR="005373A7" w:rsidRDefault="005373A7" w:rsidP="005373A7">
      <w:pPr>
        <w:pStyle w:val="SCCLawFirm"/>
        <w:spacing w:line="240" w:lineRule="auto"/>
        <w:rPr>
          <w:sz w:val="20"/>
          <w:lang w:val="fr-CA"/>
        </w:rPr>
      </w:pPr>
      <w:r w:rsidRPr="001A338F">
        <w:rPr>
          <w:sz w:val="20"/>
          <w:lang w:val="fr-CA"/>
        </w:rPr>
        <w:tab/>
        <w:t>Procureurs de l’intervenante Aboriginal Legal Services of Toronto Inc. : Aboriginal Legal Services of Toronto, Toronto.</w:t>
      </w:r>
    </w:p>
    <w:p w:rsidR="003B3977" w:rsidRPr="0052229C" w:rsidRDefault="003B3977" w:rsidP="005C6840">
      <w:pPr>
        <w:rPr>
          <w:rFonts w:cs="Times New Roman"/>
          <w:sz w:val="20"/>
          <w:szCs w:val="20"/>
        </w:rPr>
      </w:pPr>
    </w:p>
    <w:p w:rsidR="005C6840" w:rsidRDefault="007F638F" w:rsidP="005C6840">
      <w:pPr>
        <w:rPr>
          <w:lang w:val="fr-CA"/>
        </w:rPr>
      </w:pPr>
      <w:r>
        <w:rPr>
          <w:rFonts w:cs="Times New Roman"/>
          <w:sz w:val="20"/>
          <w:szCs w:val="20"/>
          <w:lang w:val="fr-CA"/>
        </w:rPr>
        <w:pict>
          <v:rect id="_x0000_i1071" style="width:144.3pt;height:1pt" o:hrpct="300" o:hralign="center" o:hrstd="t" o:hrnoshade="t" o:hr="t" fillcolor="black [3213]" stroked="f"/>
        </w:pict>
      </w:r>
      <w:r w:rsidR="005C6840">
        <w:rPr>
          <w:lang w:val="fr-CA"/>
        </w:rPr>
        <w:br w:type="page"/>
      </w:r>
    </w:p>
    <w:p w:rsidR="00345C87" w:rsidRPr="00C66617" w:rsidRDefault="00345C87" w:rsidP="00345C87">
      <w:pPr>
        <w:tabs>
          <w:tab w:val="center" w:pos="4680"/>
        </w:tabs>
        <w:rPr>
          <w:sz w:val="20"/>
          <w:szCs w:val="20"/>
        </w:rPr>
      </w:pPr>
      <w:r w:rsidRPr="00C66617">
        <w:rPr>
          <w:i/>
          <w:sz w:val="20"/>
          <w:szCs w:val="20"/>
        </w:rPr>
        <w:lastRenderedPageBreak/>
        <w:t xml:space="preserve">Donald Jerry Barabash v. Her Majesty the Queen </w:t>
      </w:r>
      <w:r w:rsidRPr="00C66617">
        <w:rPr>
          <w:sz w:val="20"/>
          <w:szCs w:val="20"/>
        </w:rPr>
        <w:t>(Alta.) (</w:t>
      </w:r>
      <w:hyperlink r:id="rId88" w:history="1">
        <w:r w:rsidRPr="00C66617">
          <w:rPr>
            <w:rStyle w:val="Hyperlink"/>
            <w:sz w:val="20"/>
            <w:szCs w:val="20"/>
            <w:lang w:val="en-GB"/>
          </w:rPr>
          <w:t>35977</w:t>
        </w:r>
      </w:hyperlink>
      <w:r w:rsidRPr="00C66617">
        <w:rPr>
          <w:sz w:val="20"/>
          <w:szCs w:val="20"/>
          <w:lang w:val="en-GB"/>
        </w:rPr>
        <w:t>)</w:t>
      </w:r>
    </w:p>
    <w:p w:rsidR="00B81CEB" w:rsidRPr="00C66617" w:rsidRDefault="00B81CEB" w:rsidP="00B81CEB">
      <w:pPr>
        <w:tabs>
          <w:tab w:val="center" w:pos="4680"/>
        </w:tabs>
        <w:rPr>
          <w:sz w:val="20"/>
          <w:szCs w:val="20"/>
        </w:rPr>
      </w:pPr>
      <w:r w:rsidRPr="00C66617">
        <w:rPr>
          <w:i/>
          <w:sz w:val="20"/>
          <w:szCs w:val="20"/>
        </w:rPr>
        <w:t xml:space="preserve">Shane Gordon Rollison v. Her Majesty the Queen </w:t>
      </w:r>
      <w:r w:rsidRPr="00C66617">
        <w:rPr>
          <w:sz w:val="20"/>
          <w:szCs w:val="20"/>
        </w:rPr>
        <w:t>(Alta.) (</w:t>
      </w:r>
      <w:hyperlink r:id="rId89" w:history="1">
        <w:r w:rsidRPr="00C66617">
          <w:rPr>
            <w:rStyle w:val="Hyperlink"/>
            <w:sz w:val="20"/>
            <w:szCs w:val="20"/>
          </w:rPr>
          <w:t>36064</w:t>
        </w:r>
      </w:hyperlink>
      <w:r w:rsidRPr="00C66617">
        <w:rPr>
          <w:sz w:val="20"/>
          <w:szCs w:val="20"/>
        </w:rPr>
        <w:t>)</w:t>
      </w:r>
    </w:p>
    <w:p w:rsidR="00C71B27" w:rsidRPr="00C71B27" w:rsidRDefault="00C71B27" w:rsidP="00C71B27">
      <w:pPr>
        <w:jc w:val="both"/>
        <w:rPr>
          <w:b/>
          <w:sz w:val="20"/>
          <w:szCs w:val="20"/>
        </w:rPr>
      </w:pPr>
      <w:r w:rsidRPr="009F1FA6">
        <w:rPr>
          <w:b/>
          <w:sz w:val="20"/>
          <w:szCs w:val="20"/>
        </w:rPr>
        <w:t xml:space="preserve">Indexed as: R. </w:t>
      </w:r>
      <w:r w:rsidRPr="009F1FA6">
        <w:rPr>
          <w:b/>
          <w:i/>
          <w:sz w:val="20"/>
          <w:szCs w:val="20"/>
        </w:rPr>
        <w:t>v.</w:t>
      </w:r>
      <w:r w:rsidRPr="009F1FA6">
        <w:rPr>
          <w:b/>
          <w:sz w:val="20"/>
          <w:szCs w:val="20"/>
        </w:rPr>
        <w:t xml:space="preserve"> </w:t>
      </w:r>
      <w:r w:rsidRPr="00C71B27">
        <w:rPr>
          <w:rStyle w:val="SCCAppellantForIndexChar"/>
          <w:rFonts w:eastAsiaTheme="minorHAnsi"/>
          <w:sz w:val="20"/>
          <w:lang w:val="en-CA"/>
        </w:rPr>
        <w:t xml:space="preserve">Barabash / </w:t>
      </w:r>
      <w:r w:rsidRPr="00C71B27">
        <w:rPr>
          <w:b/>
          <w:sz w:val="20"/>
          <w:szCs w:val="20"/>
        </w:rPr>
        <w:t xml:space="preserve">Répertorié : R. </w:t>
      </w:r>
      <w:r w:rsidRPr="00C71B27">
        <w:rPr>
          <w:b/>
          <w:i/>
          <w:sz w:val="20"/>
          <w:szCs w:val="20"/>
        </w:rPr>
        <w:t>c.</w:t>
      </w:r>
      <w:r w:rsidRPr="00C71B27">
        <w:rPr>
          <w:b/>
          <w:sz w:val="20"/>
          <w:szCs w:val="20"/>
        </w:rPr>
        <w:t xml:space="preserve"> </w:t>
      </w:r>
      <w:r w:rsidRPr="00C71B27">
        <w:rPr>
          <w:rStyle w:val="SCCAppellantForIndexChar"/>
          <w:rFonts w:eastAsiaTheme="minorHAnsi"/>
          <w:sz w:val="20"/>
          <w:lang w:val="en-CA"/>
        </w:rPr>
        <w:t>Barabash</w:t>
      </w:r>
    </w:p>
    <w:p w:rsidR="0052229C" w:rsidRPr="00352A49" w:rsidRDefault="0052229C" w:rsidP="0052229C">
      <w:pPr>
        <w:pStyle w:val="SCCSystemYear"/>
        <w:jc w:val="both"/>
        <w:rPr>
          <w:sz w:val="20"/>
        </w:rPr>
      </w:pPr>
      <w:r w:rsidRPr="00352A49">
        <w:rPr>
          <w:sz w:val="20"/>
        </w:rPr>
        <w:t>Neutral citation:  201</w:t>
      </w:r>
      <w:r w:rsidR="00020DC3">
        <w:rPr>
          <w:sz w:val="20"/>
        </w:rPr>
        <w:t>5</w:t>
      </w:r>
      <w:r w:rsidRPr="00352A49">
        <w:rPr>
          <w:sz w:val="20"/>
        </w:rPr>
        <w:t xml:space="preserve"> SCC </w:t>
      </w:r>
      <w:r w:rsidR="00B81CEB">
        <w:rPr>
          <w:sz w:val="20"/>
        </w:rPr>
        <w:t>29</w:t>
      </w:r>
      <w:r w:rsidRPr="00352A49">
        <w:rPr>
          <w:sz w:val="20"/>
        </w:rPr>
        <w:t xml:space="preserve"> / Référence neutre : 201</w:t>
      </w:r>
      <w:r w:rsidR="00020DC3">
        <w:rPr>
          <w:sz w:val="20"/>
        </w:rPr>
        <w:t>5</w:t>
      </w:r>
      <w:r w:rsidRPr="00352A49">
        <w:rPr>
          <w:sz w:val="20"/>
        </w:rPr>
        <w:t xml:space="preserve"> CSC </w:t>
      </w:r>
      <w:r w:rsidR="00B81CEB">
        <w:rPr>
          <w:sz w:val="20"/>
        </w:rPr>
        <w:t>29</w:t>
      </w:r>
    </w:p>
    <w:p w:rsidR="0052229C" w:rsidRPr="00352A49" w:rsidRDefault="0052229C" w:rsidP="0052229C">
      <w:pPr>
        <w:rPr>
          <w:sz w:val="20"/>
          <w:szCs w:val="20"/>
          <w:lang w:val="fr-CA"/>
        </w:rPr>
      </w:pPr>
      <w:r w:rsidRPr="00352A49">
        <w:rPr>
          <w:sz w:val="20"/>
          <w:szCs w:val="20"/>
          <w:lang w:val="fr-CA"/>
        </w:rPr>
        <w:t xml:space="preserve">Hearing:  </w:t>
      </w:r>
      <w:r w:rsidR="00B81CEB">
        <w:rPr>
          <w:sz w:val="20"/>
          <w:szCs w:val="20"/>
          <w:lang w:val="fr-CA"/>
        </w:rPr>
        <w:t>J</w:t>
      </w:r>
      <w:r w:rsidRPr="00352A49">
        <w:rPr>
          <w:sz w:val="20"/>
          <w:szCs w:val="20"/>
          <w:lang w:val="fr-CA"/>
        </w:rPr>
        <w:t>a</w:t>
      </w:r>
      <w:r w:rsidR="00B81CEB">
        <w:rPr>
          <w:sz w:val="20"/>
          <w:szCs w:val="20"/>
          <w:lang w:val="fr-CA"/>
        </w:rPr>
        <w:t>nuar</w:t>
      </w:r>
      <w:r>
        <w:rPr>
          <w:sz w:val="20"/>
          <w:szCs w:val="20"/>
          <w:lang w:val="fr-CA"/>
        </w:rPr>
        <w:t>y</w:t>
      </w:r>
      <w:r w:rsidRPr="00352A49">
        <w:rPr>
          <w:sz w:val="20"/>
          <w:szCs w:val="20"/>
          <w:lang w:val="fr-CA"/>
        </w:rPr>
        <w:t xml:space="preserve"> </w:t>
      </w:r>
      <w:r w:rsidR="00B81CEB">
        <w:rPr>
          <w:sz w:val="20"/>
          <w:szCs w:val="20"/>
          <w:lang w:val="fr-CA"/>
        </w:rPr>
        <w:t>16</w:t>
      </w:r>
      <w:r w:rsidRPr="00352A49">
        <w:rPr>
          <w:sz w:val="20"/>
          <w:szCs w:val="20"/>
          <w:lang w:val="fr-CA"/>
        </w:rPr>
        <w:t>, 201</w:t>
      </w:r>
      <w:r w:rsidR="00B81CEB">
        <w:rPr>
          <w:sz w:val="20"/>
          <w:szCs w:val="20"/>
          <w:lang w:val="fr-CA"/>
        </w:rPr>
        <w:t>5</w:t>
      </w:r>
      <w:r w:rsidRPr="00352A49">
        <w:rPr>
          <w:sz w:val="20"/>
          <w:szCs w:val="20"/>
          <w:lang w:val="fr-CA"/>
        </w:rPr>
        <w:t xml:space="preserve"> / Judgment:  </w:t>
      </w:r>
      <w:r w:rsidR="00345C87">
        <w:rPr>
          <w:sz w:val="20"/>
          <w:szCs w:val="20"/>
          <w:lang w:val="fr-CA"/>
        </w:rPr>
        <w:t>M</w:t>
      </w:r>
      <w:r w:rsidRPr="00352A49">
        <w:rPr>
          <w:sz w:val="20"/>
          <w:szCs w:val="20"/>
          <w:lang w:val="fr-CA"/>
        </w:rPr>
        <w:t xml:space="preserve">ay </w:t>
      </w:r>
      <w:r w:rsidR="00345C87">
        <w:rPr>
          <w:sz w:val="20"/>
          <w:szCs w:val="20"/>
          <w:lang w:val="fr-CA"/>
        </w:rPr>
        <w:t>22</w:t>
      </w:r>
      <w:r w:rsidRPr="00352A49">
        <w:rPr>
          <w:sz w:val="20"/>
          <w:szCs w:val="20"/>
          <w:lang w:val="fr-CA"/>
        </w:rPr>
        <w:t>, 201</w:t>
      </w:r>
      <w:r w:rsidR="00020DC3">
        <w:rPr>
          <w:sz w:val="20"/>
          <w:szCs w:val="20"/>
          <w:lang w:val="fr-CA"/>
        </w:rPr>
        <w:t>5</w:t>
      </w:r>
    </w:p>
    <w:p w:rsidR="0052229C" w:rsidRPr="003B3977" w:rsidRDefault="0052229C" w:rsidP="0052229C">
      <w:pPr>
        <w:rPr>
          <w:sz w:val="20"/>
          <w:szCs w:val="20"/>
          <w:lang w:val="fr-CA"/>
        </w:rPr>
      </w:pPr>
      <w:r w:rsidRPr="003B3977">
        <w:rPr>
          <w:sz w:val="20"/>
          <w:szCs w:val="20"/>
          <w:lang w:val="fr-CA"/>
        </w:rPr>
        <w:t xml:space="preserve">Audition : Le </w:t>
      </w:r>
      <w:r w:rsidR="00B81CEB">
        <w:rPr>
          <w:sz w:val="20"/>
          <w:szCs w:val="20"/>
          <w:lang w:val="fr-CA"/>
        </w:rPr>
        <w:t>16</w:t>
      </w:r>
      <w:r>
        <w:rPr>
          <w:sz w:val="20"/>
          <w:szCs w:val="20"/>
          <w:lang w:val="fr-CA"/>
        </w:rPr>
        <w:t xml:space="preserve"> </w:t>
      </w:r>
      <w:r w:rsidR="00B81CEB">
        <w:rPr>
          <w:sz w:val="20"/>
          <w:szCs w:val="20"/>
          <w:lang w:val="fr-CA"/>
        </w:rPr>
        <w:t>j</w:t>
      </w:r>
      <w:r w:rsidRPr="003B3977">
        <w:rPr>
          <w:sz w:val="20"/>
          <w:szCs w:val="20"/>
          <w:lang w:val="fr-CA"/>
        </w:rPr>
        <w:t>a</w:t>
      </w:r>
      <w:r w:rsidR="00B81CEB">
        <w:rPr>
          <w:sz w:val="20"/>
          <w:szCs w:val="20"/>
          <w:lang w:val="fr-CA"/>
        </w:rPr>
        <w:t>nv</w:t>
      </w:r>
      <w:r>
        <w:rPr>
          <w:sz w:val="20"/>
          <w:szCs w:val="20"/>
          <w:lang w:val="fr-CA"/>
        </w:rPr>
        <w:t>i</w:t>
      </w:r>
      <w:r w:rsidR="00B81CEB">
        <w:rPr>
          <w:sz w:val="20"/>
          <w:szCs w:val="20"/>
          <w:lang w:val="fr-CA"/>
        </w:rPr>
        <w:t>er</w:t>
      </w:r>
      <w:r w:rsidRPr="003B3977">
        <w:rPr>
          <w:sz w:val="20"/>
          <w:szCs w:val="20"/>
          <w:lang w:val="fr-CA"/>
        </w:rPr>
        <w:t xml:space="preserve"> 201</w:t>
      </w:r>
      <w:r w:rsidR="00B81CEB">
        <w:rPr>
          <w:sz w:val="20"/>
          <w:szCs w:val="20"/>
          <w:lang w:val="fr-CA"/>
        </w:rPr>
        <w:t>5</w:t>
      </w:r>
      <w:r w:rsidRPr="003B3977">
        <w:rPr>
          <w:sz w:val="20"/>
          <w:szCs w:val="20"/>
          <w:lang w:val="fr-CA"/>
        </w:rPr>
        <w:t xml:space="preserve"> / Jugement : Le </w:t>
      </w:r>
      <w:r w:rsidR="00345C87">
        <w:rPr>
          <w:sz w:val="20"/>
          <w:szCs w:val="20"/>
          <w:lang w:val="fr-CA"/>
        </w:rPr>
        <w:t>22</w:t>
      </w:r>
      <w:r>
        <w:rPr>
          <w:sz w:val="20"/>
          <w:szCs w:val="20"/>
          <w:lang w:val="fr-CA"/>
        </w:rPr>
        <w:t xml:space="preserve"> </w:t>
      </w:r>
      <w:r w:rsidR="00345C87">
        <w:rPr>
          <w:sz w:val="20"/>
          <w:szCs w:val="20"/>
          <w:lang w:val="fr-CA"/>
        </w:rPr>
        <w:t>m</w:t>
      </w:r>
      <w:r>
        <w:rPr>
          <w:sz w:val="20"/>
          <w:szCs w:val="20"/>
          <w:lang w:val="fr-CA"/>
        </w:rPr>
        <w:t>ai</w:t>
      </w:r>
      <w:r w:rsidRPr="003B3977">
        <w:rPr>
          <w:sz w:val="20"/>
          <w:szCs w:val="20"/>
          <w:lang w:val="fr-CA"/>
        </w:rPr>
        <w:t xml:space="preserve"> 201</w:t>
      </w:r>
      <w:r w:rsidR="00020DC3">
        <w:rPr>
          <w:sz w:val="20"/>
          <w:szCs w:val="20"/>
          <w:lang w:val="fr-CA"/>
        </w:rPr>
        <w:t>5</w:t>
      </w:r>
    </w:p>
    <w:p w:rsidR="005C6840" w:rsidRPr="003B3977" w:rsidRDefault="007F638F" w:rsidP="005C6840">
      <w:pPr>
        <w:rPr>
          <w:sz w:val="20"/>
          <w:szCs w:val="20"/>
          <w:lang w:val="fr-CA"/>
        </w:rPr>
      </w:pPr>
      <w:r>
        <w:rPr>
          <w:i/>
          <w:sz w:val="20"/>
          <w:szCs w:val="20"/>
        </w:rPr>
        <w:pict>
          <v:rect id="_x0000_i1072"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C71B27" w:rsidRPr="009F1FA6" w:rsidRDefault="00C71B27" w:rsidP="00C71B27">
      <w:pPr>
        <w:jc w:val="both"/>
        <w:rPr>
          <w:sz w:val="20"/>
          <w:szCs w:val="20"/>
        </w:rPr>
      </w:pPr>
      <w:r w:rsidRPr="009F1FA6">
        <w:rPr>
          <w:sz w:val="20"/>
          <w:szCs w:val="20"/>
        </w:rPr>
        <w:t>Present: McLachlin C.J. and Abella, Rothstein, Cromwell, Moldaver, Karakatsanis, Wagner, Gascon and Côté JJ.</w:t>
      </w:r>
    </w:p>
    <w:p w:rsidR="00C71B27" w:rsidRDefault="00C71B27" w:rsidP="00C71B27">
      <w:pPr>
        <w:pStyle w:val="SCCLowerCourtNameLowercase"/>
        <w:spacing w:line="240" w:lineRule="auto"/>
        <w:rPr>
          <w:sz w:val="20"/>
        </w:rPr>
      </w:pPr>
    </w:p>
    <w:p w:rsidR="00C71B27" w:rsidRPr="009F1FA6" w:rsidRDefault="00C71B27" w:rsidP="00C71B27">
      <w:pPr>
        <w:pStyle w:val="SCCNormalDoubleSpacing"/>
        <w:spacing w:line="240" w:lineRule="auto"/>
        <w:rPr>
          <w:i/>
          <w:sz w:val="20"/>
        </w:rPr>
      </w:pPr>
      <w:r w:rsidRPr="009F1FA6">
        <w:rPr>
          <w:i/>
          <w:sz w:val="20"/>
        </w:rPr>
        <w:tab/>
        <w:t>Criminal law — Child pornography — Defences — Private use exception — Accused charged with child pornography offences — Accused arguing in defence that sexual activity lawful and consensual and that recordings held for private use</w:t>
      </w:r>
      <w:r w:rsidRPr="009F1FA6">
        <w:rPr>
          <w:sz w:val="20"/>
        </w:rPr>
        <w:t xml:space="preserve"> —</w:t>
      </w:r>
      <w:r w:rsidRPr="009F1FA6">
        <w:rPr>
          <w:i/>
          <w:sz w:val="20"/>
        </w:rPr>
        <w:t xml:space="preserve"> Crown challenging lawfulness of sexual activity on basis of girls’ exploitation </w:t>
      </w:r>
      <w:r w:rsidRPr="009F1FA6">
        <w:rPr>
          <w:rStyle w:val="italic1"/>
          <w:sz w:val="20"/>
        </w:rPr>
        <w:t>—</w:t>
      </w:r>
      <w:r w:rsidRPr="009F1FA6">
        <w:rPr>
          <w:i/>
          <w:sz w:val="20"/>
        </w:rPr>
        <w:t xml:space="preserve"> Whether private use exception requires separate and additional exploitation inquiry or whether exploitation included under lawfulness inquiry</w:t>
      </w:r>
      <w:r w:rsidRPr="009F1FA6">
        <w:rPr>
          <w:sz w:val="20"/>
        </w:rPr>
        <w:t xml:space="preserve"> — </w:t>
      </w:r>
      <w:r w:rsidRPr="009F1FA6">
        <w:rPr>
          <w:i/>
          <w:sz w:val="20"/>
        </w:rPr>
        <w:t xml:space="preserve">In acquitting accused, </w:t>
      </w:r>
      <w:r w:rsidRPr="009F1FA6">
        <w:rPr>
          <w:rStyle w:val="italic1"/>
          <w:sz w:val="20"/>
        </w:rPr>
        <w:t xml:space="preserve">whether trial judge properly interpreted exception </w:t>
      </w:r>
      <w:r w:rsidRPr="009F1FA6">
        <w:rPr>
          <w:i/>
          <w:sz w:val="20"/>
        </w:rPr>
        <w:t>— Criminal Code, R.S.C. 1985, c. C</w:t>
      </w:r>
      <w:r w:rsidRPr="009F1FA6">
        <w:rPr>
          <w:i/>
          <w:sz w:val="20"/>
        </w:rPr>
        <w:noBreakHyphen/>
        <w:t>46, s. 163.1.</w:t>
      </w:r>
    </w:p>
    <w:p w:rsidR="00C71B27" w:rsidRDefault="00C71B27" w:rsidP="00C71B27">
      <w:pPr>
        <w:pStyle w:val="SCCNormalDoubleSpacing"/>
        <w:spacing w:line="240" w:lineRule="auto"/>
        <w:rPr>
          <w:sz w:val="20"/>
        </w:rPr>
      </w:pPr>
    </w:p>
    <w:p w:rsidR="00C71B27" w:rsidRPr="009F1FA6" w:rsidRDefault="00C71B27" w:rsidP="00C71B27">
      <w:pPr>
        <w:pStyle w:val="SCCNormalDoubleSpacing"/>
        <w:spacing w:line="240" w:lineRule="auto"/>
        <w:rPr>
          <w:sz w:val="20"/>
        </w:rPr>
      </w:pPr>
      <w:r w:rsidRPr="009F1FA6">
        <w:rPr>
          <w:sz w:val="20"/>
        </w:rPr>
        <w:tab/>
        <w:t>Two girls, age 14, were runaways from a treatment centre. They stayed with the accused B, age 60, whereas the other accused, R, age 41, was a regular visitor. The girls were involved in sexual activity, which was depicted on video and in photographs, with each other and with R. At the time the videos and photographs were made, 14</w:t>
      </w:r>
      <w:r w:rsidRPr="009F1FA6">
        <w:rPr>
          <w:sz w:val="20"/>
        </w:rPr>
        <w:noBreakHyphen/>
        <w:t>year</w:t>
      </w:r>
      <w:r w:rsidRPr="009F1FA6">
        <w:rPr>
          <w:sz w:val="20"/>
        </w:rPr>
        <w:noBreakHyphen/>
        <w:t xml:space="preserve">olds could legally consent to sexual acts with adults. Both B and R were charged with making child pornography, contrary to s. 163.1(2) of the </w:t>
      </w:r>
      <w:r w:rsidRPr="009F1FA6">
        <w:rPr>
          <w:i/>
          <w:sz w:val="20"/>
        </w:rPr>
        <w:t>Criminal Code</w:t>
      </w:r>
      <w:r w:rsidRPr="009F1FA6">
        <w:rPr>
          <w:sz w:val="20"/>
        </w:rPr>
        <w:t>. B was also charged with one count of possessing child pornography, contrary to s. 163.1(4). B and R were tried together. The trial judge found that all of the elements of the offences were established; however, the accused raised in defence</w:t>
      </w:r>
      <w:r w:rsidRPr="009F1FA6">
        <w:rPr>
          <w:i/>
          <w:sz w:val="20"/>
        </w:rPr>
        <w:t xml:space="preserve"> </w:t>
      </w:r>
      <w:r w:rsidRPr="009F1FA6">
        <w:rPr>
          <w:sz w:val="20"/>
        </w:rPr>
        <w:t xml:space="preserve">the private use exception outlined in </w:t>
      </w:r>
      <w:r w:rsidRPr="009F1FA6">
        <w:rPr>
          <w:rStyle w:val="italic1"/>
          <w:sz w:val="20"/>
        </w:rPr>
        <w:t>R. v. Sharpe</w:t>
      </w:r>
      <w:r w:rsidRPr="009F1FA6">
        <w:rPr>
          <w:sz w:val="20"/>
        </w:rPr>
        <w:t xml:space="preserve">, 2001 SCC 2, [2001] 1 S.C.R. 45. The judge concluded that the Crown had failed to disprove the exception beyond a reasonable doubt. The Court of Appeal allowed the appeals, substituted guilty verdicts and remitted the cases for sentencing. </w:t>
      </w:r>
    </w:p>
    <w:p w:rsidR="00C71B27" w:rsidRDefault="00C71B27" w:rsidP="00C71B27">
      <w:pPr>
        <w:pStyle w:val="SCCNormalDoubleSpacing"/>
        <w:spacing w:line="240" w:lineRule="auto"/>
        <w:rPr>
          <w:i/>
          <w:sz w:val="20"/>
        </w:rPr>
      </w:pPr>
    </w:p>
    <w:p w:rsidR="00C71B27" w:rsidRPr="009F1FA6" w:rsidRDefault="00C71B27" w:rsidP="00C71B27">
      <w:pPr>
        <w:pStyle w:val="SCCNormalDoubleSpacing"/>
        <w:spacing w:line="240" w:lineRule="auto"/>
        <w:rPr>
          <w:sz w:val="20"/>
        </w:rPr>
      </w:pPr>
      <w:r w:rsidRPr="009F1FA6">
        <w:rPr>
          <w:i/>
          <w:sz w:val="20"/>
        </w:rPr>
        <w:tab/>
        <w:t>Held</w:t>
      </w:r>
      <w:r w:rsidRPr="009F1FA6">
        <w:rPr>
          <w:sz w:val="20"/>
        </w:rPr>
        <w:t>: The appeals should be allowed and a new trial ordered.</w:t>
      </w:r>
    </w:p>
    <w:p w:rsidR="00C71B27" w:rsidRDefault="00C71B27" w:rsidP="00C71B27">
      <w:pPr>
        <w:pStyle w:val="SCCNormalDoubleSpacing"/>
        <w:spacing w:line="240" w:lineRule="auto"/>
        <w:rPr>
          <w:sz w:val="20"/>
        </w:rPr>
      </w:pPr>
    </w:p>
    <w:p w:rsidR="00C71B27" w:rsidRPr="009F1FA6" w:rsidRDefault="00C71B27" w:rsidP="00C71B27">
      <w:pPr>
        <w:pStyle w:val="SCCNormalDoubleSpacing"/>
        <w:spacing w:line="240" w:lineRule="auto"/>
        <w:rPr>
          <w:sz w:val="20"/>
        </w:rPr>
      </w:pPr>
      <w:r w:rsidRPr="009F1FA6">
        <w:rPr>
          <w:sz w:val="20"/>
        </w:rPr>
        <w:tab/>
        <w:t xml:space="preserve">The private use exception outlined in </w:t>
      </w:r>
      <w:r w:rsidRPr="009F1FA6">
        <w:rPr>
          <w:i/>
          <w:sz w:val="20"/>
        </w:rPr>
        <w:t>Sharpe</w:t>
      </w:r>
      <w:r w:rsidRPr="009F1FA6">
        <w:rPr>
          <w:sz w:val="20"/>
        </w:rPr>
        <w:t xml:space="preserve"> serves as a defence to the offence of making or possessing child pornography, contrary to s. 163.1 of the </w:t>
      </w:r>
      <w:r w:rsidRPr="009F1FA6">
        <w:rPr>
          <w:i/>
          <w:sz w:val="20"/>
        </w:rPr>
        <w:t>Criminal Code</w:t>
      </w:r>
      <w:r w:rsidRPr="009F1FA6">
        <w:rPr>
          <w:sz w:val="20"/>
        </w:rPr>
        <w:t xml:space="preserve">. This private use exception requires a determination that the sexual activity depicted in recordings is lawful, that the sexual activity is also consensual and that the recordings of it are held exclusively for private use. In </w:t>
      </w:r>
      <w:r w:rsidRPr="009F1FA6">
        <w:rPr>
          <w:i/>
          <w:sz w:val="20"/>
        </w:rPr>
        <w:t>Sharpe</w:t>
      </w:r>
      <w:r w:rsidRPr="009F1FA6">
        <w:rPr>
          <w:sz w:val="20"/>
        </w:rPr>
        <w:t xml:space="preserve">, the Court did not mandate a separate and additional exploitation inquiry. Adding such a step would be unnecessary, as exploitation is already captured under the lawfulness inquiry. Section 153 of the </w:t>
      </w:r>
      <w:r w:rsidRPr="009F1FA6">
        <w:rPr>
          <w:i/>
          <w:sz w:val="20"/>
        </w:rPr>
        <w:t>Criminal</w:t>
      </w:r>
      <w:r w:rsidRPr="009F1FA6">
        <w:rPr>
          <w:sz w:val="20"/>
        </w:rPr>
        <w:t xml:space="preserve"> </w:t>
      </w:r>
      <w:r w:rsidRPr="009F1FA6">
        <w:rPr>
          <w:i/>
          <w:sz w:val="20"/>
        </w:rPr>
        <w:t>Code</w:t>
      </w:r>
      <w:r w:rsidRPr="009F1FA6">
        <w:rPr>
          <w:sz w:val="20"/>
        </w:rPr>
        <w:t xml:space="preserve"> makes sexual exploitation of a young person a crime.  Thus, where the Crown seeks to rely on s. 153 to negate the legality of the sexual activity depicted, the</w:t>
      </w:r>
      <w:r w:rsidRPr="009F1FA6" w:rsidDel="00DD1F52">
        <w:rPr>
          <w:sz w:val="20"/>
        </w:rPr>
        <w:t xml:space="preserve"> </w:t>
      </w:r>
      <w:r w:rsidRPr="009F1FA6">
        <w:rPr>
          <w:sz w:val="20"/>
        </w:rPr>
        <w:t>judge must consider whether it occurred in the context of an exploitative relationship. If so, the sexual activity is not lawful, and the private use exception does not apply.</w:t>
      </w:r>
    </w:p>
    <w:p w:rsidR="00C71B27" w:rsidRDefault="00C71B27" w:rsidP="00C71B27">
      <w:pPr>
        <w:pStyle w:val="SCCNormalDoubleSpacing"/>
        <w:spacing w:line="240" w:lineRule="auto"/>
        <w:rPr>
          <w:sz w:val="20"/>
        </w:rPr>
      </w:pPr>
    </w:p>
    <w:p w:rsidR="00C71B27" w:rsidRPr="009F1FA6" w:rsidRDefault="00C71B27" w:rsidP="00C71B27">
      <w:pPr>
        <w:pStyle w:val="SCCNormalDoubleSpacing"/>
        <w:spacing w:line="240" w:lineRule="auto"/>
        <w:rPr>
          <w:sz w:val="20"/>
        </w:rPr>
      </w:pPr>
      <w:r w:rsidRPr="009F1FA6">
        <w:rPr>
          <w:sz w:val="20"/>
        </w:rPr>
        <w:tab/>
        <w:t>Where s. 153 is engaged, the consent of the young person to the sexual activity cannot render it lawful. Thus, where an accused raises the private use exception and the Crown seeks to challenge the lawfulness of the sexual activity on the basis of exploitation, a trial judge must look beyond whether or not consent was given and holistically examine the nature and circumstances of the relationship between the young person and the accused. Section 153(1.2) provides a non</w:t>
      </w:r>
      <w:r w:rsidRPr="009F1FA6">
        <w:rPr>
          <w:sz w:val="20"/>
        </w:rPr>
        <w:noBreakHyphen/>
        <w:t>exhaustive list of indicia from which a trial judge may infer that the relationship between the accused and a young person is exploitative: (</w:t>
      </w:r>
      <w:r w:rsidRPr="009F1FA6">
        <w:rPr>
          <w:i/>
          <w:iCs/>
          <w:sz w:val="20"/>
        </w:rPr>
        <w:t>a</w:t>
      </w:r>
      <w:r w:rsidRPr="009F1FA6">
        <w:rPr>
          <w:sz w:val="20"/>
        </w:rPr>
        <w:t>) the age of the young person; (</w:t>
      </w:r>
      <w:r w:rsidRPr="009F1FA6">
        <w:rPr>
          <w:i/>
          <w:iCs/>
          <w:sz w:val="20"/>
        </w:rPr>
        <w:t>b</w:t>
      </w:r>
      <w:r w:rsidRPr="009F1FA6">
        <w:rPr>
          <w:sz w:val="20"/>
        </w:rPr>
        <w:t>) the age difference between the person and the young person; (</w:t>
      </w:r>
      <w:r w:rsidRPr="009F1FA6">
        <w:rPr>
          <w:i/>
          <w:iCs/>
          <w:sz w:val="20"/>
        </w:rPr>
        <w:t>c</w:t>
      </w:r>
      <w:r w:rsidRPr="009F1FA6">
        <w:rPr>
          <w:sz w:val="20"/>
        </w:rPr>
        <w:t>) the evolution of the relationship; and (</w:t>
      </w:r>
      <w:r w:rsidRPr="009F1FA6">
        <w:rPr>
          <w:i/>
          <w:iCs/>
          <w:sz w:val="20"/>
        </w:rPr>
        <w:t>d</w:t>
      </w:r>
      <w:r w:rsidRPr="009F1FA6">
        <w:rPr>
          <w:sz w:val="20"/>
        </w:rPr>
        <w:t xml:space="preserve">) the degree of control or influence by the person over the young person. It is not necessary that the person accused of making or possessing child pornography be charged separately under s. 153(1) in order for a judge to undertake this inquiry. The lawfulness of the sexual activity is independently assessed as part of the defence. </w:t>
      </w:r>
    </w:p>
    <w:p w:rsidR="00C71B27" w:rsidRDefault="00C71B27" w:rsidP="00C71B27">
      <w:pPr>
        <w:pStyle w:val="SCCNormalDoubleSpacing"/>
        <w:spacing w:line="240" w:lineRule="auto"/>
        <w:rPr>
          <w:sz w:val="20"/>
        </w:rPr>
      </w:pPr>
    </w:p>
    <w:p w:rsidR="00C71B27" w:rsidRPr="009F1FA6" w:rsidRDefault="00C71B27" w:rsidP="00C71B27">
      <w:pPr>
        <w:pStyle w:val="SCCNormalDoubleSpacing"/>
        <w:spacing w:line="240" w:lineRule="auto"/>
        <w:rPr>
          <w:sz w:val="20"/>
        </w:rPr>
      </w:pPr>
      <w:r w:rsidRPr="009F1FA6">
        <w:rPr>
          <w:sz w:val="20"/>
        </w:rPr>
        <w:tab/>
        <w:t xml:space="preserve">In this case, the trial judge did not consider whether the relationship between the girls and the accused was exploitative within the meaning of s. 153, despite the fact that, at the time, s. 153 applied to young persons between the ages of 14 and 17. Where the trial judge did consider evidence that would be relevant to exploitation, he did so in isolation, looking at the factors one at a time. For example, he identified the girls’ age and the substantial difference in age between them and the accused, but found this was an insufficient basis for concluding that this difference was exploitative. However, he did not assess this age difference in light of other aspects of the relationship, such as the </w:t>
      </w:r>
      <w:r w:rsidRPr="009F1FA6">
        <w:rPr>
          <w:sz w:val="20"/>
        </w:rPr>
        <w:lastRenderedPageBreak/>
        <w:t>impact of the girls’ addictions, their need for shelter, or their past and ongoing experiences with homelessness and prostitution. In short, he did not consider the specific factors in light of the broader context or whether they cumulatively resulted in an exploitative relationship.</w:t>
      </w:r>
    </w:p>
    <w:p w:rsidR="00C71B27" w:rsidRDefault="00C71B27" w:rsidP="00C71B27">
      <w:pPr>
        <w:pStyle w:val="SCCNormalDoubleSpacing"/>
        <w:spacing w:line="240" w:lineRule="auto"/>
        <w:rPr>
          <w:sz w:val="20"/>
        </w:rPr>
      </w:pPr>
    </w:p>
    <w:p w:rsidR="00C71B27" w:rsidRDefault="00C71B27" w:rsidP="00C71B27">
      <w:pPr>
        <w:pStyle w:val="SCCNormalDoubleSpacing"/>
        <w:spacing w:line="240" w:lineRule="auto"/>
        <w:rPr>
          <w:sz w:val="20"/>
        </w:rPr>
      </w:pPr>
      <w:r w:rsidRPr="009F1FA6">
        <w:rPr>
          <w:sz w:val="20"/>
        </w:rPr>
        <w:tab/>
        <w:t>In other words, the trial judge’s analysis focused primarily on the voluntariness of the sexual activities, instead of on the nature of the relationship between the parties. While the voluntariness of sexual activities is an important aspect of lawfulness, it does not end the inquiry. The trial judge was also required to holistically assess the nature and circumstances of the relationship to determine whether the sexual activity was rendered unlawful under s. 153. By failing to consider whether the underlying relationship between the girls and the accused was exploitative, the trial judge erred in law. This error had a material bearing on the accused’s acquittals and requires a new trial. </w:t>
      </w:r>
    </w:p>
    <w:p w:rsidR="00C71B27" w:rsidRDefault="00C71B27" w:rsidP="00C71B27">
      <w:pPr>
        <w:pStyle w:val="SCCNormalDoubleSpacing"/>
        <w:spacing w:line="240" w:lineRule="auto"/>
        <w:rPr>
          <w:sz w:val="20"/>
        </w:rPr>
      </w:pPr>
    </w:p>
    <w:p w:rsidR="00C71B27" w:rsidRPr="009F1FA6" w:rsidRDefault="00C71B27" w:rsidP="00C71B27">
      <w:pPr>
        <w:pStyle w:val="SCCNormalDoubleSpacing"/>
        <w:spacing w:line="240" w:lineRule="auto"/>
        <w:rPr>
          <w:sz w:val="20"/>
        </w:rPr>
      </w:pPr>
      <w:r w:rsidRPr="009F1FA6">
        <w:rPr>
          <w:sz w:val="20"/>
        </w:rPr>
        <w:tab/>
        <w:t>APPEALS from a judgment of the Alberta Court of Appeal (Berger, Watson and Slatter JJ.A.), 2014 ABCA 126, 572 A.R. 289, 98 Alta. L.R. (5th) 125, 10 C.R. (7th) 350, [2014] 8 W.W.R. 69, 310 C.C.C. (3d) 360, 306 C.R.R. (2d) 299, [2014] A.J. No. 322 (QL), 2014 CarswellAlta 489 (WL Can.), setting aside the acquittals entered by Thomas J., 2012 ABQB 99, 532 A.R. 364, 59 Alta. L.R. (5th) 369, 284 C.C.C. (3d) 62, [2012] 10 W.W.R. 104, [2012] A.J. No. 191 (QL), 2012 CarswellAlta 434 (WL Can.). Appeals allowed and new trial ordered.</w:t>
      </w:r>
    </w:p>
    <w:p w:rsidR="00C71B27" w:rsidRDefault="00C71B27" w:rsidP="00C71B27">
      <w:pPr>
        <w:pStyle w:val="SCCNormalDoubleSpacing"/>
        <w:spacing w:line="240" w:lineRule="auto"/>
        <w:rPr>
          <w:rStyle w:val="SCCCounselNameChar"/>
          <w:i w:val="0"/>
          <w:sz w:val="20"/>
        </w:rPr>
      </w:pPr>
    </w:p>
    <w:p w:rsidR="00C71B27" w:rsidRPr="009F1FA6" w:rsidRDefault="00C71B27" w:rsidP="00C71B27">
      <w:pPr>
        <w:pStyle w:val="SCCNormalDoubleSpacing"/>
        <w:spacing w:line="240" w:lineRule="auto"/>
        <w:rPr>
          <w:sz w:val="20"/>
        </w:rPr>
      </w:pPr>
      <w:r w:rsidRPr="009F1FA6">
        <w:rPr>
          <w:rStyle w:val="SCCCounselNameChar"/>
          <w:sz w:val="20"/>
        </w:rPr>
        <w:tab/>
        <w:t>Peter J. Royal, Q.C.</w:t>
      </w:r>
      <w:r w:rsidRPr="009F1FA6">
        <w:rPr>
          <w:rStyle w:val="SCCCounselPartyRoleChar"/>
          <w:sz w:val="20"/>
        </w:rPr>
        <w:t xml:space="preserve">, for the appellant </w:t>
      </w:r>
      <w:r w:rsidRPr="009F1FA6">
        <w:rPr>
          <w:sz w:val="20"/>
        </w:rPr>
        <w:t>Donald Jerry Barabash</w:t>
      </w:r>
      <w:r w:rsidRPr="009F1FA6">
        <w:rPr>
          <w:rStyle w:val="SCCCounselPartyRoleChar"/>
          <w:sz w:val="20"/>
        </w:rPr>
        <w:t>.</w:t>
      </w:r>
    </w:p>
    <w:p w:rsidR="00C71B27" w:rsidRDefault="00C71B27" w:rsidP="00C71B27">
      <w:pPr>
        <w:pStyle w:val="SCCNormalDoubleSpacing"/>
        <w:spacing w:line="240" w:lineRule="auto"/>
        <w:rPr>
          <w:rStyle w:val="SCCCounselNameChar"/>
          <w:i w:val="0"/>
          <w:sz w:val="20"/>
        </w:rPr>
      </w:pPr>
    </w:p>
    <w:p w:rsidR="00C71B27" w:rsidRPr="009F1FA6" w:rsidRDefault="00C71B27" w:rsidP="00C71B27">
      <w:pPr>
        <w:pStyle w:val="SCCNormalDoubleSpacing"/>
        <w:spacing w:line="240" w:lineRule="auto"/>
        <w:rPr>
          <w:sz w:val="20"/>
        </w:rPr>
      </w:pPr>
      <w:r w:rsidRPr="009F1FA6">
        <w:rPr>
          <w:rStyle w:val="SCCCounselNameChar"/>
          <w:sz w:val="20"/>
        </w:rPr>
        <w:tab/>
        <w:t>Diana C. Goldie</w:t>
      </w:r>
      <w:r w:rsidRPr="00C71B27">
        <w:rPr>
          <w:rStyle w:val="SCCCounselSeparatorChar"/>
          <w:sz w:val="20"/>
          <w:lang w:val="en-CA"/>
        </w:rPr>
        <w:t xml:space="preserve"> and </w:t>
      </w:r>
      <w:r w:rsidRPr="009F1FA6">
        <w:rPr>
          <w:rStyle w:val="SCCCounselNameChar"/>
          <w:sz w:val="20"/>
        </w:rPr>
        <w:t>Thomas Slade</w:t>
      </w:r>
      <w:r w:rsidRPr="009F1FA6">
        <w:rPr>
          <w:rStyle w:val="SCCCounselPartyRoleChar"/>
          <w:sz w:val="20"/>
        </w:rPr>
        <w:t xml:space="preserve">, for the appellant </w:t>
      </w:r>
      <w:r w:rsidRPr="009F1FA6">
        <w:rPr>
          <w:sz w:val="20"/>
        </w:rPr>
        <w:t>Shane Gordon Rollison</w:t>
      </w:r>
      <w:r w:rsidRPr="009F1FA6">
        <w:rPr>
          <w:rStyle w:val="SCCCounselPartyRoleChar"/>
          <w:sz w:val="20"/>
        </w:rPr>
        <w:t>.</w:t>
      </w:r>
    </w:p>
    <w:p w:rsidR="00C71B27" w:rsidRDefault="00C71B27" w:rsidP="00C71B27">
      <w:pPr>
        <w:pStyle w:val="SCCNormalDoubleSpacing"/>
        <w:spacing w:line="240" w:lineRule="auto"/>
        <w:rPr>
          <w:rStyle w:val="SCCCounselNameChar"/>
          <w:i w:val="0"/>
          <w:sz w:val="20"/>
        </w:rPr>
      </w:pPr>
    </w:p>
    <w:p w:rsidR="00C71B27" w:rsidRPr="009F1FA6" w:rsidRDefault="00C71B27" w:rsidP="00C71B27">
      <w:pPr>
        <w:pStyle w:val="SCCNormalDoubleSpacing"/>
        <w:spacing w:line="240" w:lineRule="auto"/>
        <w:rPr>
          <w:sz w:val="20"/>
        </w:rPr>
      </w:pPr>
      <w:r w:rsidRPr="009F1FA6">
        <w:rPr>
          <w:rStyle w:val="SCCCounselNameChar"/>
          <w:sz w:val="20"/>
        </w:rPr>
        <w:tab/>
        <w:t>Jolaine Antonio</w:t>
      </w:r>
      <w:r w:rsidRPr="00C71B27">
        <w:rPr>
          <w:rStyle w:val="SCCCounselSeparatorChar"/>
          <w:sz w:val="20"/>
          <w:lang w:val="en-CA"/>
        </w:rPr>
        <w:t xml:space="preserve"> and </w:t>
      </w:r>
      <w:r w:rsidRPr="009F1FA6">
        <w:rPr>
          <w:rStyle w:val="SCCCounselNameChar"/>
          <w:sz w:val="20"/>
        </w:rPr>
        <w:t>Julie Morgan</w:t>
      </w:r>
      <w:r w:rsidRPr="009F1FA6">
        <w:rPr>
          <w:rStyle w:val="SCCCounselPartyRoleChar"/>
          <w:sz w:val="20"/>
        </w:rPr>
        <w:t>, for the respondent.</w:t>
      </w:r>
    </w:p>
    <w:p w:rsidR="00C71B27" w:rsidRDefault="00C71B27" w:rsidP="00C71B27">
      <w:pPr>
        <w:pStyle w:val="SCCNormalDoubleSpacing"/>
        <w:spacing w:line="240" w:lineRule="auto"/>
        <w:rPr>
          <w:rStyle w:val="SCCCounselNameChar"/>
          <w:i w:val="0"/>
          <w:sz w:val="20"/>
        </w:rPr>
      </w:pPr>
    </w:p>
    <w:p w:rsidR="00C71B27" w:rsidRPr="009F1FA6" w:rsidRDefault="00C71B27" w:rsidP="00C71B27">
      <w:pPr>
        <w:pStyle w:val="SCCNormalDoubleSpacing"/>
        <w:spacing w:line="240" w:lineRule="auto"/>
        <w:rPr>
          <w:sz w:val="20"/>
        </w:rPr>
      </w:pPr>
      <w:r w:rsidRPr="009F1FA6">
        <w:rPr>
          <w:rStyle w:val="SCCCounselNameChar"/>
          <w:sz w:val="20"/>
        </w:rPr>
        <w:tab/>
        <w:t>Jeffrey G. Johnston</w:t>
      </w:r>
      <w:r w:rsidRPr="009F1FA6">
        <w:rPr>
          <w:rStyle w:val="SCCCounselPartyRoleChar"/>
          <w:sz w:val="20"/>
        </w:rPr>
        <w:t>, for the intervener the Attorney General of Canada.</w:t>
      </w:r>
    </w:p>
    <w:p w:rsidR="00C71B27" w:rsidRDefault="00C71B27" w:rsidP="00C71B27">
      <w:pPr>
        <w:pStyle w:val="SCCNormalDoubleSpacing"/>
        <w:spacing w:line="240" w:lineRule="auto"/>
        <w:rPr>
          <w:rStyle w:val="SCCCounselNameChar"/>
          <w:i w:val="0"/>
          <w:sz w:val="20"/>
        </w:rPr>
      </w:pPr>
    </w:p>
    <w:p w:rsidR="00C71B27" w:rsidRPr="009F1FA6" w:rsidRDefault="00C71B27" w:rsidP="00C71B27">
      <w:pPr>
        <w:pStyle w:val="SCCNormalDoubleSpacing"/>
        <w:spacing w:line="240" w:lineRule="auto"/>
        <w:rPr>
          <w:sz w:val="20"/>
        </w:rPr>
      </w:pPr>
      <w:r w:rsidRPr="009F1FA6">
        <w:rPr>
          <w:rStyle w:val="SCCCounselNameChar"/>
          <w:sz w:val="20"/>
        </w:rPr>
        <w:tab/>
        <w:t>Christine Bartlett</w:t>
      </w:r>
      <w:r w:rsidRPr="009F1FA6">
        <w:rPr>
          <w:rStyle w:val="SCCCounselNameChar"/>
          <w:sz w:val="20"/>
        </w:rPr>
        <w:noBreakHyphen/>
        <w:t>Hughes</w:t>
      </w:r>
      <w:r w:rsidRPr="00C71B27">
        <w:rPr>
          <w:rStyle w:val="SCCCounselSeparatorChar"/>
          <w:sz w:val="20"/>
          <w:lang w:val="en-CA"/>
        </w:rPr>
        <w:t xml:space="preserve"> and </w:t>
      </w:r>
      <w:r w:rsidRPr="009F1FA6">
        <w:rPr>
          <w:rStyle w:val="SCCCounselNameChar"/>
          <w:sz w:val="20"/>
        </w:rPr>
        <w:t>Lisa Henderson</w:t>
      </w:r>
      <w:r w:rsidRPr="009F1FA6">
        <w:rPr>
          <w:rStyle w:val="SCCCounselPartyRoleChar"/>
          <w:sz w:val="20"/>
        </w:rPr>
        <w:t>, for the intervener the Attorney General of Ontario.</w:t>
      </w:r>
    </w:p>
    <w:p w:rsidR="00C71B27" w:rsidRDefault="00C71B27" w:rsidP="00C71B27">
      <w:pPr>
        <w:pStyle w:val="SCCNormalDoubleSpacing"/>
        <w:spacing w:line="240" w:lineRule="auto"/>
        <w:rPr>
          <w:rStyle w:val="SCCCounselNameChar"/>
          <w:i w:val="0"/>
          <w:sz w:val="20"/>
        </w:rPr>
      </w:pPr>
    </w:p>
    <w:p w:rsidR="00C71B27" w:rsidRPr="009F1FA6" w:rsidRDefault="00C71B27" w:rsidP="00C71B27">
      <w:pPr>
        <w:pStyle w:val="SCCNormalDoubleSpacing"/>
        <w:spacing w:line="240" w:lineRule="auto"/>
        <w:rPr>
          <w:sz w:val="20"/>
        </w:rPr>
      </w:pPr>
      <w:r w:rsidRPr="009F1FA6">
        <w:rPr>
          <w:rStyle w:val="SCCCounselNameChar"/>
          <w:sz w:val="20"/>
        </w:rPr>
        <w:tab/>
        <w:t>Alexi N. Wood</w:t>
      </w:r>
      <w:r w:rsidRPr="00C71B27">
        <w:rPr>
          <w:rStyle w:val="SCCCounselSeparatorChar"/>
          <w:sz w:val="20"/>
          <w:lang w:val="en-CA"/>
        </w:rPr>
        <w:t xml:space="preserve"> and </w:t>
      </w:r>
      <w:r w:rsidRPr="009F1FA6">
        <w:rPr>
          <w:rStyle w:val="SCCCounselNameChar"/>
          <w:sz w:val="20"/>
        </w:rPr>
        <w:t>Kate Southwell</w:t>
      </w:r>
      <w:r w:rsidRPr="009F1FA6">
        <w:rPr>
          <w:rStyle w:val="SCCCounselPartyRoleChar"/>
          <w:sz w:val="20"/>
        </w:rPr>
        <w:t>, for the intervener the Canadian Civil Liberties Association.</w:t>
      </w:r>
    </w:p>
    <w:p w:rsidR="00C71B27" w:rsidRDefault="00C71B27" w:rsidP="00C71B27">
      <w:pPr>
        <w:pStyle w:val="SCCNormalDoubleSpacing"/>
        <w:spacing w:line="240" w:lineRule="auto"/>
        <w:rPr>
          <w:rStyle w:val="SCCCounselNameChar"/>
          <w:i w:val="0"/>
          <w:sz w:val="20"/>
        </w:rPr>
      </w:pPr>
    </w:p>
    <w:p w:rsidR="00C71B27" w:rsidRPr="009F1FA6" w:rsidRDefault="00C71B27" w:rsidP="00C71B27">
      <w:pPr>
        <w:pStyle w:val="SCCNormalDoubleSpacing"/>
        <w:spacing w:line="240" w:lineRule="auto"/>
        <w:rPr>
          <w:sz w:val="20"/>
        </w:rPr>
      </w:pPr>
      <w:r w:rsidRPr="009F1FA6">
        <w:rPr>
          <w:rStyle w:val="SCCCounselNameChar"/>
          <w:sz w:val="20"/>
        </w:rPr>
        <w:tab/>
        <w:t>David Matas</w:t>
      </w:r>
      <w:r w:rsidRPr="009F1FA6">
        <w:rPr>
          <w:rStyle w:val="SCCCounselPartyRoleChar"/>
          <w:sz w:val="20"/>
        </w:rPr>
        <w:t xml:space="preserve"> and </w:t>
      </w:r>
      <w:r w:rsidRPr="009F1FA6">
        <w:rPr>
          <w:rStyle w:val="SCCCounselPartyRoleChar"/>
          <w:i/>
          <w:sz w:val="20"/>
        </w:rPr>
        <w:t>Monique St. Germain</w:t>
      </w:r>
      <w:r w:rsidRPr="009F1FA6">
        <w:rPr>
          <w:rStyle w:val="SCCCounselPartyRoleChar"/>
          <w:sz w:val="20"/>
        </w:rPr>
        <w:t>, for the interveners Beyond Borders and Canadian Centre for Child Protection Inc.</w:t>
      </w:r>
    </w:p>
    <w:p w:rsidR="00C71B27" w:rsidRDefault="00C71B27" w:rsidP="00C71B27">
      <w:pPr>
        <w:pStyle w:val="SCCLawFirm"/>
        <w:spacing w:line="240" w:lineRule="auto"/>
        <w:rPr>
          <w:sz w:val="20"/>
        </w:rPr>
      </w:pPr>
    </w:p>
    <w:p w:rsidR="00C71B27" w:rsidRPr="009F1FA6" w:rsidRDefault="00C71B27" w:rsidP="00C71B27">
      <w:pPr>
        <w:pStyle w:val="SCCLawFirm"/>
        <w:spacing w:line="240" w:lineRule="auto"/>
        <w:rPr>
          <w:sz w:val="20"/>
        </w:rPr>
      </w:pPr>
      <w:r w:rsidRPr="009F1FA6">
        <w:rPr>
          <w:sz w:val="20"/>
        </w:rPr>
        <w:tab/>
        <w:t>Solicitors for the appellant Donald Jerry Barabash: Royal Teskey, Edmonton.</w:t>
      </w:r>
    </w:p>
    <w:p w:rsidR="00C71B27" w:rsidRDefault="00C71B27" w:rsidP="00C71B27">
      <w:pPr>
        <w:pStyle w:val="SCCLawFirm"/>
        <w:spacing w:line="240" w:lineRule="auto"/>
        <w:rPr>
          <w:sz w:val="20"/>
        </w:rPr>
      </w:pPr>
    </w:p>
    <w:p w:rsidR="00C71B27" w:rsidRPr="009F1FA6" w:rsidRDefault="00C71B27" w:rsidP="00C71B27">
      <w:pPr>
        <w:pStyle w:val="SCCLawFirm"/>
        <w:spacing w:line="240" w:lineRule="auto"/>
        <w:rPr>
          <w:sz w:val="20"/>
        </w:rPr>
      </w:pPr>
      <w:r w:rsidRPr="009F1FA6">
        <w:rPr>
          <w:sz w:val="20"/>
        </w:rPr>
        <w:tab/>
        <w:t>Solicitors for the appellant Shane Gordon Rollison: Legal Aid Alberta, Edmonton; Supreme Advocacy, Ottawa.</w:t>
      </w:r>
    </w:p>
    <w:p w:rsidR="00C71B27" w:rsidRDefault="00C71B27" w:rsidP="00C71B27">
      <w:pPr>
        <w:pStyle w:val="SCCLawFirm"/>
        <w:spacing w:line="240" w:lineRule="auto"/>
        <w:rPr>
          <w:sz w:val="20"/>
        </w:rPr>
      </w:pPr>
    </w:p>
    <w:p w:rsidR="00C71B27" w:rsidRPr="009F1FA6" w:rsidRDefault="00C71B27" w:rsidP="00C71B27">
      <w:pPr>
        <w:pStyle w:val="SCCLawFirm"/>
        <w:spacing w:line="240" w:lineRule="auto"/>
        <w:rPr>
          <w:sz w:val="20"/>
        </w:rPr>
      </w:pPr>
      <w:r w:rsidRPr="009F1FA6">
        <w:rPr>
          <w:sz w:val="20"/>
        </w:rPr>
        <w:tab/>
        <w:t>Solicitor for the respondent: Attorney General of Alberta, Calgary.</w:t>
      </w:r>
    </w:p>
    <w:p w:rsidR="00C71B27" w:rsidRDefault="00C71B27" w:rsidP="00C71B27">
      <w:pPr>
        <w:pStyle w:val="SCCLawFirm"/>
        <w:spacing w:line="240" w:lineRule="auto"/>
        <w:rPr>
          <w:sz w:val="20"/>
        </w:rPr>
      </w:pPr>
    </w:p>
    <w:p w:rsidR="00C71B27" w:rsidRPr="009F1FA6" w:rsidRDefault="00C71B27" w:rsidP="00C71B27">
      <w:pPr>
        <w:pStyle w:val="SCCLawFirm"/>
        <w:spacing w:line="240" w:lineRule="auto"/>
        <w:rPr>
          <w:sz w:val="20"/>
        </w:rPr>
      </w:pPr>
      <w:r w:rsidRPr="009F1FA6">
        <w:rPr>
          <w:sz w:val="20"/>
        </w:rPr>
        <w:tab/>
        <w:t>Solicitor for the intervener the Attorney General of Canada: Attorney General of Canada, Ottawa.</w:t>
      </w:r>
    </w:p>
    <w:p w:rsidR="00C71B27" w:rsidRDefault="00C71B27" w:rsidP="00C71B27">
      <w:pPr>
        <w:pStyle w:val="SCCLawFirm"/>
        <w:spacing w:line="240" w:lineRule="auto"/>
        <w:rPr>
          <w:sz w:val="20"/>
        </w:rPr>
      </w:pPr>
    </w:p>
    <w:p w:rsidR="00C71B27" w:rsidRPr="009F1FA6" w:rsidRDefault="00C71B27" w:rsidP="00C71B27">
      <w:pPr>
        <w:pStyle w:val="SCCLawFirm"/>
        <w:spacing w:line="240" w:lineRule="auto"/>
        <w:rPr>
          <w:sz w:val="20"/>
        </w:rPr>
      </w:pPr>
      <w:r w:rsidRPr="009F1FA6">
        <w:rPr>
          <w:sz w:val="20"/>
        </w:rPr>
        <w:tab/>
        <w:t>Solicitor for the intervener the Attorney General of Ontario: Attorney General of Ontario, Toronto.</w:t>
      </w:r>
    </w:p>
    <w:p w:rsidR="00C71B27" w:rsidRDefault="00C71B27" w:rsidP="00C71B27">
      <w:pPr>
        <w:pStyle w:val="SCCLawFirm"/>
        <w:spacing w:line="240" w:lineRule="auto"/>
        <w:rPr>
          <w:sz w:val="20"/>
        </w:rPr>
      </w:pPr>
    </w:p>
    <w:p w:rsidR="00C71B27" w:rsidRPr="009F1FA6" w:rsidRDefault="00C71B27" w:rsidP="00C71B27">
      <w:pPr>
        <w:pStyle w:val="SCCLawFirm"/>
        <w:spacing w:line="240" w:lineRule="auto"/>
        <w:rPr>
          <w:sz w:val="20"/>
        </w:rPr>
      </w:pPr>
      <w:r w:rsidRPr="009F1FA6">
        <w:rPr>
          <w:sz w:val="20"/>
        </w:rPr>
        <w:tab/>
        <w:t>Solicitors for the intervener the Canadian Civil Liberties Association: Davis, Toronto.</w:t>
      </w:r>
    </w:p>
    <w:p w:rsidR="00C71B27" w:rsidRDefault="00C71B27" w:rsidP="00C71B27">
      <w:pPr>
        <w:pStyle w:val="SCCLawFirm"/>
        <w:spacing w:line="240" w:lineRule="auto"/>
        <w:rPr>
          <w:sz w:val="20"/>
        </w:rPr>
      </w:pPr>
    </w:p>
    <w:p w:rsidR="00C71B27" w:rsidRDefault="00C71B27" w:rsidP="00C71B27">
      <w:pPr>
        <w:pStyle w:val="SCCLawFirm"/>
        <w:spacing w:line="240" w:lineRule="auto"/>
        <w:rPr>
          <w:sz w:val="20"/>
        </w:rPr>
      </w:pPr>
      <w:r w:rsidRPr="009F1FA6">
        <w:rPr>
          <w:sz w:val="20"/>
        </w:rPr>
        <w:tab/>
        <w:t xml:space="preserve">Solicitors for the interveners Beyond Borders and Canadian Centre for Child Protection Inc.: David Matas, Winnipeg; </w:t>
      </w:r>
      <w:r w:rsidRPr="009F1FA6">
        <w:rPr>
          <w:rStyle w:val="SCCCounselPartyRoleChar"/>
          <w:sz w:val="20"/>
        </w:rPr>
        <w:t>Canadian Centre for Child Protection Inc</w:t>
      </w:r>
      <w:r w:rsidRPr="009F1FA6">
        <w:rPr>
          <w:sz w:val="20"/>
        </w:rPr>
        <w:t>., Winnipeg.</w:t>
      </w: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C71B27" w:rsidRPr="006C5B0B" w:rsidRDefault="00C71B27" w:rsidP="00C71B27">
      <w:pPr>
        <w:jc w:val="both"/>
        <w:rPr>
          <w:sz w:val="20"/>
          <w:szCs w:val="20"/>
          <w:lang w:val="fr-CA"/>
        </w:rPr>
      </w:pPr>
      <w:r w:rsidRPr="006C5B0B">
        <w:rPr>
          <w:sz w:val="20"/>
          <w:szCs w:val="20"/>
          <w:lang w:val="fr-CA"/>
        </w:rPr>
        <w:t>Présents : La juge en chef McLachlin et les juges Abella, Rothstein, Cromwell, Moldaver, Karakatsanis, Wagner, Gascon et Côté.</w:t>
      </w:r>
    </w:p>
    <w:p w:rsidR="00C71B27" w:rsidRDefault="00C71B27" w:rsidP="00C71B27">
      <w:pPr>
        <w:pStyle w:val="SCCNormalDoubleSpacing"/>
        <w:spacing w:line="240" w:lineRule="auto"/>
        <w:rPr>
          <w:sz w:val="20"/>
          <w:lang w:val="fr-CA"/>
        </w:rPr>
      </w:pPr>
    </w:p>
    <w:p w:rsidR="00C71B27" w:rsidRPr="006C5B0B" w:rsidRDefault="00C71B27" w:rsidP="00C71B27">
      <w:pPr>
        <w:pStyle w:val="SCCNormalDoubleSpacing"/>
        <w:spacing w:line="240" w:lineRule="auto"/>
        <w:rPr>
          <w:i/>
          <w:sz w:val="20"/>
          <w:lang w:val="fr-CA"/>
        </w:rPr>
      </w:pPr>
      <w:r w:rsidRPr="006C5B0B">
        <w:rPr>
          <w:sz w:val="20"/>
          <w:lang w:val="fr-CA"/>
        </w:rPr>
        <w:tab/>
      </w:r>
      <w:r w:rsidRPr="006C5B0B">
        <w:rPr>
          <w:i/>
          <w:sz w:val="20"/>
          <w:lang w:val="fr-CA"/>
        </w:rPr>
        <w:t xml:space="preserve">Droit criminel — Pornographie juvénile — Moyens de défense — Exception relative à l’usage personnel — Accusations de pornographie juvénile —Accusés invoquant en défense que l’activité sexuelle était légale et consensuelle et les enregistrements étaient conservés pour l’usage personnel — Légalité de l’activité sexuelle contestée </w:t>
      </w:r>
      <w:r w:rsidRPr="006C5B0B">
        <w:rPr>
          <w:i/>
          <w:sz w:val="20"/>
          <w:lang w:val="fr-CA"/>
        </w:rPr>
        <w:lastRenderedPageBreak/>
        <w:t>par le ministère public sur le fondement de l’exploitation des adolescentes — L’exception relative à l’usage personnel commande</w:t>
      </w:r>
      <w:r w:rsidRPr="006C5B0B">
        <w:rPr>
          <w:i/>
          <w:sz w:val="20"/>
          <w:lang w:val="fr-CA"/>
        </w:rPr>
        <w:noBreakHyphen/>
        <w:t>t</w:t>
      </w:r>
      <w:r w:rsidRPr="006C5B0B">
        <w:rPr>
          <w:i/>
          <w:sz w:val="20"/>
          <w:lang w:val="fr-CA"/>
        </w:rPr>
        <w:noBreakHyphen/>
        <w:t>elle un examen supplémentaire distinct de la question de l’exploitation, ou cette question est</w:t>
      </w:r>
      <w:r w:rsidRPr="006C5B0B">
        <w:rPr>
          <w:i/>
          <w:sz w:val="20"/>
          <w:lang w:val="fr-CA"/>
        </w:rPr>
        <w:noBreakHyphen/>
        <w:t>elle prise en compte dans l’analyse de la légalité? — Pour décider d’acquitter les accusés, le juge du procès a</w:t>
      </w:r>
      <w:r w:rsidRPr="006C5B0B">
        <w:rPr>
          <w:i/>
          <w:sz w:val="20"/>
          <w:lang w:val="fr-CA"/>
        </w:rPr>
        <w:noBreakHyphen/>
        <w:t>t</w:t>
      </w:r>
      <w:r w:rsidRPr="006C5B0B">
        <w:rPr>
          <w:i/>
          <w:sz w:val="20"/>
          <w:lang w:val="fr-CA"/>
        </w:rPr>
        <w:noBreakHyphen/>
        <w:t>il bien interprété l’exception? — Code criminel, L.R.C. 1985, c. C</w:t>
      </w:r>
      <w:r w:rsidRPr="006C5B0B">
        <w:rPr>
          <w:i/>
          <w:sz w:val="20"/>
          <w:lang w:val="fr-CA"/>
        </w:rPr>
        <w:noBreakHyphen/>
        <w:t>46, art. 163.1.</w:t>
      </w:r>
    </w:p>
    <w:p w:rsidR="00C71B27" w:rsidRDefault="00C71B27" w:rsidP="00C71B27">
      <w:pPr>
        <w:pStyle w:val="SCCNormalDoubleSpacing"/>
        <w:spacing w:line="240" w:lineRule="auto"/>
        <w:rPr>
          <w:sz w:val="20"/>
          <w:lang w:val="fr-CA"/>
        </w:rPr>
      </w:pPr>
    </w:p>
    <w:p w:rsidR="00C71B27" w:rsidRPr="006C5B0B" w:rsidRDefault="00C71B27" w:rsidP="00C71B27">
      <w:pPr>
        <w:pStyle w:val="SCCNormalDoubleSpacing"/>
        <w:spacing w:line="240" w:lineRule="auto"/>
        <w:rPr>
          <w:sz w:val="20"/>
          <w:lang w:val="fr-CA"/>
        </w:rPr>
      </w:pPr>
      <w:r w:rsidRPr="006C5B0B">
        <w:rPr>
          <w:sz w:val="20"/>
          <w:lang w:val="fr-CA"/>
        </w:rPr>
        <w:tab/>
        <w:t xml:space="preserve">Deux adolescentes de 14 ans se sont enfuies d’un centre de traitement. Elles sont allées habiter chez l’accusé B, âgé de 60 ans. L’autre accusé, R, âgé de 41 ans, se trouvait régulièrement chez B. Les adolescentes ont pris part — l’une avec l’autre et avec R — à des actes sexuels qui ont été enregistrés sur bandes vidéo et photographiés. Au moment de la création des bandes vidéo et des photos, un adolescent de 14 ans pouvait légalement consentir à un acte sexuel avec un adulte. B et R ont tous deux été accusés de production de pornographie juvénile, une infraction prévue au par. 163.1(2) du </w:t>
      </w:r>
      <w:r w:rsidRPr="006C5B0B">
        <w:rPr>
          <w:i/>
          <w:sz w:val="20"/>
          <w:lang w:val="fr-CA"/>
        </w:rPr>
        <w:t>Code criminel</w:t>
      </w:r>
      <w:r w:rsidRPr="006C5B0B">
        <w:rPr>
          <w:sz w:val="20"/>
          <w:lang w:val="fr-CA"/>
        </w:rPr>
        <w:t xml:space="preserve">. B a en outre fait l’objet d’un chef d’accusation de possession de pornographie juvénile en application du par. 163.1(4). Les deux accusés ont été jugés dans le cadre d’un procès commun. Le juge du procès a estimé que tous les éléments des infractions avaient été établis. Les accusés ont toutefois invoqué en défense l’exception relative à l’usage personnel reconnue dans l’arrêt </w:t>
      </w:r>
      <w:r w:rsidRPr="006C5B0B">
        <w:rPr>
          <w:i/>
          <w:sz w:val="20"/>
          <w:lang w:val="fr-CA"/>
        </w:rPr>
        <w:t>R. c. Sharpe</w:t>
      </w:r>
      <w:r w:rsidRPr="006C5B0B">
        <w:rPr>
          <w:sz w:val="20"/>
          <w:lang w:val="fr-CA"/>
        </w:rPr>
        <w:t>, 2001 CSC 2, [2001] 1 R.C.S. 45. Le juge a conclu à l’omission du ministère public de prouver hors de tout doute raisonnable que l’exception ne s’appliquait pas. La Cour d’appel a accueilli les appels, inscrit des déclarations de culpabilité et renvoyé les dossiers pour détermination de la peine.</w:t>
      </w:r>
    </w:p>
    <w:p w:rsidR="00C71B27" w:rsidRDefault="00C71B27" w:rsidP="00C71B27">
      <w:pPr>
        <w:pStyle w:val="SCCNormalDoubleSpacing"/>
        <w:spacing w:line="240" w:lineRule="auto"/>
        <w:rPr>
          <w:sz w:val="20"/>
          <w:lang w:val="fr-CA"/>
        </w:rPr>
      </w:pPr>
    </w:p>
    <w:p w:rsidR="00C71B27" w:rsidRPr="006C5B0B" w:rsidRDefault="00C71B27" w:rsidP="00C71B27">
      <w:pPr>
        <w:pStyle w:val="SCCNormalDoubleSpacing"/>
        <w:spacing w:line="240" w:lineRule="auto"/>
        <w:rPr>
          <w:sz w:val="20"/>
          <w:lang w:val="fr-CA"/>
        </w:rPr>
      </w:pPr>
      <w:r w:rsidRPr="006C5B0B">
        <w:rPr>
          <w:sz w:val="20"/>
          <w:lang w:val="fr-CA"/>
        </w:rPr>
        <w:tab/>
      </w:r>
      <w:r w:rsidRPr="006C5B0B">
        <w:rPr>
          <w:i/>
          <w:sz w:val="20"/>
          <w:lang w:val="fr-CA"/>
        </w:rPr>
        <w:t>Arrêt</w:t>
      </w:r>
      <w:r w:rsidRPr="006C5B0B">
        <w:rPr>
          <w:sz w:val="20"/>
          <w:lang w:val="fr-CA"/>
        </w:rPr>
        <w:t> : Les pourvois sont accueillis et un nouveau procès est ordonné.</w:t>
      </w:r>
    </w:p>
    <w:p w:rsidR="00C71B27" w:rsidRDefault="00C71B27" w:rsidP="00C71B27">
      <w:pPr>
        <w:pStyle w:val="SCCNormalDoubleSpacing"/>
        <w:spacing w:line="240" w:lineRule="auto"/>
        <w:rPr>
          <w:sz w:val="20"/>
          <w:lang w:val="fr-CA"/>
        </w:rPr>
      </w:pPr>
    </w:p>
    <w:p w:rsidR="00C71B27" w:rsidRPr="006C5B0B" w:rsidRDefault="00C71B27" w:rsidP="00C71B27">
      <w:pPr>
        <w:pStyle w:val="SCCNormalDoubleSpacing"/>
        <w:spacing w:line="240" w:lineRule="auto"/>
        <w:rPr>
          <w:sz w:val="20"/>
          <w:lang w:val="fr-CA"/>
        </w:rPr>
      </w:pPr>
      <w:r w:rsidRPr="006C5B0B">
        <w:rPr>
          <w:sz w:val="20"/>
          <w:lang w:val="fr-CA"/>
        </w:rPr>
        <w:tab/>
        <w:t xml:space="preserve">L’exception relative à l’usage personnel reconnue dans l’arrêt </w:t>
      </w:r>
      <w:r w:rsidRPr="006C5B0B">
        <w:rPr>
          <w:i/>
          <w:sz w:val="20"/>
          <w:lang w:val="fr-CA"/>
        </w:rPr>
        <w:t>Sharpe</w:t>
      </w:r>
      <w:r w:rsidRPr="006C5B0B">
        <w:rPr>
          <w:sz w:val="20"/>
          <w:lang w:val="fr-CA"/>
        </w:rPr>
        <w:t xml:space="preserve"> offre un moyen de défense opposable à une accusation de production ou de possession de pornographie juvénile fondée sur l’art. 163.1 du </w:t>
      </w:r>
      <w:r w:rsidRPr="006C5B0B">
        <w:rPr>
          <w:i/>
          <w:sz w:val="20"/>
          <w:lang w:val="fr-CA"/>
        </w:rPr>
        <w:t>Code criminel</w:t>
      </w:r>
      <w:r w:rsidRPr="006C5B0B">
        <w:rPr>
          <w:sz w:val="20"/>
          <w:lang w:val="fr-CA"/>
        </w:rPr>
        <w:t xml:space="preserve">. Pour que l’exception s’applique, le tribunal doit déterminer que l’activité sexuelle représentée dans les enregistrements est légale, qu’elle est aussi consensuelle et que les enregistrements sont conservés exclusivement pour l’usage personnel. Dans l’arrêt </w:t>
      </w:r>
      <w:r w:rsidRPr="006C5B0B">
        <w:rPr>
          <w:i/>
          <w:sz w:val="20"/>
          <w:lang w:val="fr-CA"/>
        </w:rPr>
        <w:t>Sharpe</w:t>
      </w:r>
      <w:r w:rsidRPr="006C5B0B">
        <w:rPr>
          <w:sz w:val="20"/>
          <w:lang w:val="fr-CA"/>
        </w:rPr>
        <w:t xml:space="preserve">, la Cour ne prescrit pas un supplément d’analyse distinct au chapitre de l’exploitation. L’ajout d’une telle étape supplémentaire serait superflu, car l’exploitation est déjà prise en compte dans l’analyse de la légalité. L’article 153 du </w:t>
      </w:r>
      <w:r w:rsidRPr="006C5B0B">
        <w:rPr>
          <w:i/>
          <w:sz w:val="20"/>
          <w:lang w:val="fr-CA"/>
        </w:rPr>
        <w:t>Code criminel</w:t>
      </w:r>
      <w:r w:rsidRPr="006C5B0B">
        <w:rPr>
          <w:sz w:val="20"/>
          <w:lang w:val="fr-CA"/>
        </w:rPr>
        <w:t xml:space="preserve"> fait de l’exploitation sexuelle d’un adolescent un acte criminel. Ainsi, lorsque le ministère public invoque cet article pour contester la légalité de l’activité sexuelle représentée, le tribunal doit se demander si cette activité a eu lieu dans le contexte d’une relation d’exploitation. Dans l’affirmative, l’activité sexuelle n’est pas légale et l’exception relative à l’usage personnel ne s’applique pas.</w:t>
      </w:r>
    </w:p>
    <w:p w:rsidR="00C71B27" w:rsidRDefault="00C71B27" w:rsidP="00C71B27">
      <w:pPr>
        <w:pStyle w:val="SCCNormalDoubleSpacing"/>
        <w:spacing w:line="240" w:lineRule="auto"/>
        <w:rPr>
          <w:sz w:val="20"/>
          <w:lang w:val="fr-CA"/>
        </w:rPr>
      </w:pPr>
    </w:p>
    <w:p w:rsidR="00C71B27" w:rsidRPr="006C5B0B" w:rsidRDefault="00C71B27" w:rsidP="00C71B27">
      <w:pPr>
        <w:pStyle w:val="SCCNormalDoubleSpacing"/>
        <w:spacing w:line="240" w:lineRule="auto"/>
        <w:rPr>
          <w:sz w:val="20"/>
          <w:lang w:val="fr-CA"/>
        </w:rPr>
      </w:pPr>
      <w:r w:rsidRPr="006C5B0B">
        <w:rPr>
          <w:sz w:val="20"/>
          <w:lang w:val="fr-CA"/>
        </w:rPr>
        <w:tab/>
        <w:t xml:space="preserve">Lorsque les conditions d’application de l’art. 153 sont réunies, le consentement de l’adolescent ne peut rendre l’activité sexuelle légale. Par conséquent, lorsque l’accusé invoque l’exception relative à l’usage personnel et que le ministère public cherche à contester la légalité de l’activité sexuelle en alléguant l’exploitation, le juge du procès doit s’attacher non seulement au consentement, mais aussi, de manière globale, à la nature de la relation entre l’adolescent et l’accusé, ainsi qu’aux circonstances qui l’entourent. Le paragraphe 153(1.2) fait état de manière non exhaustive d’éléments à partir desquels le juge peut déduire l’existence d’une relation où l’accusé exploite l’adolescent: </w:t>
      </w:r>
      <w:r w:rsidRPr="006C5B0B">
        <w:rPr>
          <w:rFonts w:eastAsiaTheme="minorEastAsia"/>
          <w:i/>
          <w:iCs/>
          <w:sz w:val="20"/>
          <w:lang w:val="fr-CA"/>
        </w:rPr>
        <w:t>a</w:t>
      </w:r>
      <w:r w:rsidRPr="006C5B0B">
        <w:rPr>
          <w:rFonts w:eastAsiaTheme="minorEastAsia"/>
          <w:sz w:val="20"/>
          <w:lang w:val="fr-CA"/>
        </w:rPr>
        <w:t>) l’âge</w:t>
      </w:r>
      <w:r w:rsidRPr="006C5B0B">
        <w:rPr>
          <w:sz w:val="20"/>
          <w:lang w:val="fr-CA"/>
        </w:rPr>
        <w:t xml:space="preserve"> </w:t>
      </w:r>
      <w:r w:rsidRPr="006C5B0B">
        <w:rPr>
          <w:rFonts w:eastAsiaTheme="minorEastAsia"/>
          <w:sz w:val="20"/>
          <w:lang w:val="fr-CA"/>
        </w:rPr>
        <w:t>de</w:t>
      </w:r>
      <w:r w:rsidRPr="006C5B0B">
        <w:rPr>
          <w:sz w:val="20"/>
          <w:lang w:val="fr-CA"/>
        </w:rPr>
        <w:t xml:space="preserve"> </w:t>
      </w:r>
      <w:r w:rsidRPr="006C5B0B">
        <w:rPr>
          <w:rFonts w:eastAsiaTheme="minorEastAsia"/>
          <w:sz w:val="20"/>
          <w:lang w:val="fr-CA"/>
        </w:rPr>
        <w:t>l’adolescent</w:t>
      </w:r>
      <w:r w:rsidRPr="006C5B0B">
        <w:rPr>
          <w:sz w:val="20"/>
          <w:lang w:val="fr-CA"/>
        </w:rPr>
        <w:t xml:space="preserve">, </w:t>
      </w:r>
      <w:r w:rsidRPr="006C5B0B">
        <w:rPr>
          <w:rFonts w:eastAsiaTheme="minorEastAsia"/>
          <w:i/>
          <w:iCs/>
          <w:sz w:val="20"/>
          <w:lang w:val="fr-CA"/>
        </w:rPr>
        <w:t>b</w:t>
      </w:r>
      <w:r w:rsidRPr="006C5B0B">
        <w:rPr>
          <w:rFonts w:eastAsiaTheme="minorEastAsia"/>
          <w:sz w:val="20"/>
          <w:lang w:val="fr-CA"/>
        </w:rPr>
        <w:t>)</w:t>
      </w:r>
      <w:r w:rsidRPr="006C5B0B">
        <w:rPr>
          <w:sz w:val="20"/>
          <w:lang w:val="fr-CA"/>
        </w:rPr>
        <w:t> </w:t>
      </w:r>
      <w:r w:rsidRPr="006C5B0B">
        <w:rPr>
          <w:rFonts w:eastAsiaTheme="minorEastAsia"/>
          <w:sz w:val="20"/>
          <w:lang w:val="fr-CA"/>
        </w:rPr>
        <w:t>la différence d’âge entre la personne et l’adolescent</w:t>
      </w:r>
      <w:r w:rsidRPr="006C5B0B">
        <w:rPr>
          <w:sz w:val="20"/>
          <w:lang w:val="fr-CA"/>
        </w:rPr>
        <w:t xml:space="preserve">, </w:t>
      </w:r>
      <w:r w:rsidRPr="006C5B0B">
        <w:rPr>
          <w:rFonts w:eastAsiaTheme="minorEastAsia"/>
          <w:i/>
          <w:iCs/>
          <w:sz w:val="20"/>
          <w:lang w:val="fr-CA"/>
        </w:rPr>
        <w:t>c</w:t>
      </w:r>
      <w:r w:rsidRPr="006C5B0B">
        <w:rPr>
          <w:rFonts w:eastAsiaTheme="minorEastAsia"/>
          <w:sz w:val="20"/>
          <w:lang w:val="fr-CA"/>
        </w:rPr>
        <w:t>) </w:t>
      </w:r>
      <w:r w:rsidRPr="006C5B0B">
        <w:rPr>
          <w:rFonts w:eastAsiaTheme="minorEastAsia"/>
          <w:iCs/>
          <w:sz w:val="20"/>
          <w:lang w:val="fr-CA"/>
        </w:rPr>
        <w:t>l’évolution</w:t>
      </w:r>
      <w:r w:rsidRPr="006C5B0B">
        <w:rPr>
          <w:rFonts w:eastAsiaTheme="minorEastAsia"/>
          <w:sz w:val="20"/>
          <w:lang w:val="fr-CA"/>
        </w:rPr>
        <w:t xml:space="preserve"> de leur relation</w:t>
      </w:r>
      <w:r w:rsidRPr="006C5B0B">
        <w:rPr>
          <w:sz w:val="20"/>
          <w:lang w:val="fr-CA"/>
        </w:rPr>
        <w:t xml:space="preserve"> et </w:t>
      </w:r>
      <w:r w:rsidRPr="006C5B0B">
        <w:rPr>
          <w:rFonts w:eastAsiaTheme="minorEastAsia"/>
          <w:i/>
          <w:iCs/>
          <w:sz w:val="20"/>
          <w:lang w:val="fr-CA"/>
        </w:rPr>
        <w:t>d</w:t>
      </w:r>
      <w:r w:rsidRPr="006C5B0B">
        <w:rPr>
          <w:rFonts w:eastAsiaTheme="minorEastAsia"/>
          <w:sz w:val="20"/>
          <w:lang w:val="fr-CA"/>
        </w:rPr>
        <w:t>) </w:t>
      </w:r>
      <w:r w:rsidRPr="006C5B0B">
        <w:rPr>
          <w:rFonts w:eastAsiaTheme="minorEastAsia"/>
          <w:iCs/>
          <w:sz w:val="20"/>
          <w:lang w:val="fr-CA"/>
        </w:rPr>
        <w:t>l’emprise</w:t>
      </w:r>
      <w:r w:rsidRPr="006C5B0B">
        <w:rPr>
          <w:rFonts w:eastAsiaTheme="minorEastAsia"/>
          <w:sz w:val="20"/>
          <w:lang w:val="fr-CA"/>
        </w:rPr>
        <w:t xml:space="preserve"> ou l’influence de la personne sur l’adolescent.</w:t>
      </w:r>
      <w:r w:rsidRPr="006C5B0B">
        <w:rPr>
          <w:sz w:val="20"/>
          <w:lang w:val="fr-CA"/>
        </w:rPr>
        <w:t xml:space="preserve"> Point n’est besoin que la personne accusée de production ou de possession de pornographie juvénile fasse l’objet d’une accusation distincte fondée sur le par. 153(1) pour que le juge se livre à pareil examen. La légalité de l’activité sexuelle est appréciée de façon indépendante dans le cadre de l’examen des moyens de défense.</w:t>
      </w:r>
    </w:p>
    <w:p w:rsidR="00C71B27" w:rsidRDefault="00C71B27" w:rsidP="00C71B27">
      <w:pPr>
        <w:pStyle w:val="SCCNormalDoubleSpacing"/>
        <w:spacing w:line="240" w:lineRule="auto"/>
        <w:rPr>
          <w:sz w:val="20"/>
          <w:lang w:val="fr-CA"/>
        </w:rPr>
      </w:pPr>
    </w:p>
    <w:p w:rsidR="00C71B27" w:rsidRPr="006C5B0B" w:rsidRDefault="00C71B27" w:rsidP="00C71B27">
      <w:pPr>
        <w:pStyle w:val="SCCNormalDoubleSpacing"/>
        <w:spacing w:line="240" w:lineRule="auto"/>
        <w:rPr>
          <w:sz w:val="20"/>
          <w:lang w:val="fr-CA"/>
        </w:rPr>
      </w:pPr>
      <w:r w:rsidRPr="006C5B0B">
        <w:rPr>
          <w:sz w:val="20"/>
          <w:lang w:val="fr-CA"/>
        </w:rPr>
        <w:tab/>
        <w:t>Dans la présente affaire, le juge du procès ne s’est pas demandé si la relation entre les adolescentes et les accusés en était une d’exploitation au sens de l’art. 153 même si cette disposition s’appliquait alors aux adolescents âgés de 14 à 17 ans. Lorsqu’il s’est penché sur des éléments de preuve pertinents pour statuer sur l’exploitation, il l’a fait en vase clos, les examinant un à la fois. À titre d’exemple, il a relevé l’âge des adolescentes et la grande différence d’âge entre elles et les accusés, mais il a estimé qu’on ne pouvait y voir d’exploitation. Cependant, il n’a pas considéré la différence d’âge à la lumière d’autres aspects de la relation, tels l’impact des dépendances des adolescentes, leur besoin d’un toit ou leurs expériences passées et actuelles de vagabondage et de prostitution. En bref, il a omis d’examiner les éléments en cause à la lumière du contexte global ou de la question de savoir si, cumulativement, ces éléments donnaient lieu à une relation d’exploitation.</w:t>
      </w:r>
    </w:p>
    <w:p w:rsidR="00C71B27" w:rsidRDefault="00C71B27" w:rsidP="00C71B27">
      <w:pPr>
        <w:pStyle w:val="SCCNormalDoubleSpacing"/>
        <w:spacing w:line="240" w:lineRule="auto"/>
        <w:rPr>
          <w:sz w:val="20"/>
          <w:lang w:val="fr-CA"/>
        </w:rPr>
      </w:pPr>
    </w:p>
    <w:p w:rsidR="00C71B27" w:rsidRDefault="00C71B27" w:rsidP="00C71B27">
      <w:pPr>
        <w:pStyle w:val="SCCNormalDoubleSpacing"/>
        <w:spacing w:line="240" w:lineRule="auto"/>
        <w:rPr>
          <w:sz w:val="20"/>
          <w:lang w:val="fr-CA"/>
        </w:rPr>
      </w:pPr>
      <w:r w:rsidRPr="006C5B0B">
        <w:rPr>
          <w:sz w:val="20"/>
          <w:lang w:val="fr-CA"/>
        </w:rPr>
        <w:tab/>
        <w:t xml:space="preserve">En d’autres termes, l’analyse du juge du procès s’est attachée surtout au caractère volontaire de l’activité sexuelle, plutôt qu’à la nature de la relation entre les parties. Bien que le caractère volontaire d’une activité sexuelle </w:t>
      </w:r>
      <w:r w:rsidRPr="006C5B0B">
        <w:rPr>
          <w:sz w:val="20"/>
          <w:lang w:val="fr-CA"/>
        </w:rPr>
        <w:lastRenderedPageBreak/>
        <w:t>compte pour beaucoup dans sa légalité, il ne suffit pas. Le juge devait aussi examiner globalement la nature de la relation et les circonstances qui l’entouraient pour déterminer si l’activité sexuelle était légale ou non au regard de l’art. 153. Son omission de se demander si la relation sous</w:t>
      </w:r>
      <w:r w:rsidRPr="006C5B0B">
        <w:rPr>
          <w:sz w:val="20"/>
          <w:lang w:val="fr-CA"/>
        </w:rPr>
        <w:noBreakHyphen/>
        <w:t>jacente entre les adolescentes et les accusés en était une d’exploitation constitue une erreur de droit. Cette erreur a eu une incidence significative sur l’acquittement des accusés et commande la tenue d’un nouveau procès.</w:t>
      </w:r>
    </w:p>
    <w:p w:rsidR="00C71B27" w:rsidRDefault="00C71B27" w:rsidP="00C71B27">
      <w:pPr>
        <w:pStyle w:val="SCCNormalDoubleSpacing"/>
        <w:spacing w:line="240" w:lineRule="auto"/>
        <w:rPr>
          <w:sz w:val="20"/>
          <w:lang w:val="fr-CA"/>
        </w:rPr>
      </w:pPr>
    </w:p>
    <w:p w:rsidR="00C71B27" w:rsidRPr="006C5B0B" w:rsidRDefault="00C71B27" w:rsidP="00C71B27">
      <w:pPr>
        <w:pStyle w:val="SCCNormalDoubleSpacing"/>
        <w:spacing w:line="240" w:lineRule="auto"/>
        <w:rPr>
          <w:sz w:val="20"/>
          <w:lang w:val="fr-CA"/>
        </w:rPr>
      </w:pPr>
      <w:r w:rsidRPr="006C5B0B">
        <w:rPr>
          <w:sz w:val="20"/>
          <w:lang w:val="fr-CA"/>
        </w:rPr>
        <w:tab/>
        <w:t>POURVOIS contre un arrêt de la Cour d’appel de l’Alberta (les juges Berger, Watson et Slatter), 2014 ABCA 126, 572 A.R. 289, 98 Alta. L.R. (5th) 125, 10 C.R. (7th) 350, [2014] 8 W.W.R. 69, 310 C.C.C. (3d) 360, 306 C.R.R. (2d) 299, [2014] A.J. No. 322 (QL), 2014 CarswellAlta 489 (WL Can.), qui a annulé les acquittements prononcés par le juge Thomas, 2012 ABQB 99, 532 A.R. 364, 59 Alta. L.R. (5th) 369, 284 C.C.C. (3d) 62, [2012] 10 W.W.R. 104, [2012] A.J. No. 191 (QL), 2012 CarswellAlta 434 (WL Can.). Pourvois accueillis et nouveau procès ordonné.</w:t>
      </w:r>
    </w:p>
    <w:p w:rsidR="00C71B27" w:rsidRDefault="00C71B27" w:rsidP="00C71B27">
      <w:pPr>
        <w:pStyle w:val="SCCNormalDoubleSpacing"/>
        <w:spacing w:line="240" w:lineRule="auto"/>
        <w:rPr>
          <w:rStyle w:val="SCCCounselNameChar"/>
          <w:i w:val="0"/>
          <w:sz w:val="20"/>
          <w:lang w:val="fr-CA"/>
        </w:rPr>
      </w:pPr>
    </w:p>
    <w:p w:rsidR="00C71B27" w:rsidRPr="006C5B0B" w:rsidRDefault="00C71B27" w:rsidP="00C71B27">
      <w:pPr>
        <w:pStyle w:val="SCCNormalDoubleSpacing"/>
        <w:spacing w:line="240" w:lineRule="auto"/>
        <w:rPr>
          <w:sz w:val="20"/>
          <w:lang w:val="fr-CA"/>
        </w:rPr>
      </w:pPr>
      <w:r w:rsidRPr="006C5B0B">
        <w:rPr>
          <w:rStyle w:val="SCCCounselNameChar"/>
          <w:sz w:val="20"/>
          <w:lang w:val="fr-CA"/>
        </w:rPr>
        <w:tab/>
        <w:t>Peter J. Royal, c.r.</w:t>
      </w:r>
      <w:r w:rsidRPr="006C5B0B">
        <w:rPr>
          <w:rStyle w:val="SCCCounselPartyRoleChar"/>
          <w:sz w:val="20"/>
          <w:lang w:val="fr-CA"/>
        </w:rPr>
        <w:t xml:space="preserve">, pour l’appelant </w:t>
      </w:r>
      <w:r w:rsidRPr="006C5B0B">
        <w:rPr>
          <w:sz w:val="20"/>
          <w:lang w:val="fr-CA"/>
        </w:rPr>
        <w:t>Donald Jerry Barabash</w:t>
      </w:r>
      <w:r w:rsidRPr="006C5B0B">
        <w:rPr>
          <w:rStyle w:val="SCCCounselPartyRoleChar"/>
          <w:sz w:val="20"/>
          <w:lang w:val="fr-CA"/>
        </w:rPr>
        <w:t>.</w:t>
      </w:r>
    </w:p>
    <w:p w:rsidR="00C71B27" w:rsidRDefault="00C71B27" w:rsidP="00C71B27">
      <w:pPr>
        <w:pStyle w:val="SCCNormalDoubleSpacing"/>
        <w:spacing w:line="240" w:lineRule="auto"/>
        <w:rPr>
          <w:rStyle w:val="SCCCounselNameChar"/>
          <w:i w:val="0"/>
          <w:sz w:val="20"/>
          <w:lang w:val="fr-CA"/>
        </w:rPr>
      </w:pPr>
    </w:p>
    <w:p w:rsidR="00C71B27" w:rsidRPr="006C5B0B" w:rsidRDefault="00C71B27" w:rsidP="00C71B27">
      <w:pPr>
        <w:pStyle w:val="SCCNormalDoubleSpacing"/>
        <w:spacing w:line="240" w:lineRule="auto"/>
        <w:rPr>
          <w:sz w:val="20"/>
          <w:lang w:val="fr-CA"/>
        </w:rPr>
      </w:pPr>
      <w:r w:rsidRPr="006C5B0B">
        <w:rPr>
          <w:rStyle w:val="SCCCounselNameChar"/>
          <w:sz w:val="20"/>
          <w:lang w:val="fr-CA"/>
        </w:rPr>
        <w:tab/>
        <w:t>Diana C. Goldie</w:t>
      </w:r>
      <w:r w:rsidRPr="006C5B0B">
        <w:rPr>
          <w:rStyle w:val="SCCCounselSeparatorChar"/>
          <w:sz w:val="20"/>
        </w:rPr>
        <w:t xml:space="preserve"> et </w:t>
      </w:r>
      <w:r w:rsidRPr="006C5B0B">
        <w:rPr>
          <w:rStyle w:val="SCCCounselNameChar"/>
          <w:sz w:val="20"/>
          <w:lang w:val="fr-CA"/>
        </w:rPr>
        <w:t>Thomas Slade</w:t>
      </w:r>
      <w:r w:rsidRPr="006C5B0B">
        <w:rPr>
          <w:rStyle w:val="SCCCounselPartyRoleChar"/>
          <w:sz w:val="20"/>
          <w:lang w:val="fr-CA"/>
        </w:rPr>
        <w:t xml:space="preserve">, pour l’appelant </w:t>
      </w:r>
      <w:r w:rsidRPr="006C5B0B">
        <w:rPr>
          <w:sz w:val="20"/>
          <w:lang w:val="fr-CA"/>
        </w:rPr>
        <w:t>Shane Gordon Rollison</w:t>
      </w:r>
      <w:r w:rsidRPr="006C5B0B">
        <w:rPr>
          <w:rStyle w:val="SCCCounselPartyRoleChar"/>
          <w:sz w:val="20"/>
          <w:lang w:val="fr-CA"/>
        </w:rPr>
        <w:t>.</w:t>
      </w:r>
    </w:p>
    <w:p w:rsidR="00C71B27" w:rsidRDefault="00C71B27" w:rsidP="00C71B27">
      <w:pPr>
        <w:pStyle w:val="SCCNormalDoubleSpacing"/>
        <w:spacing w:line="240" w:lineRule="auto"/>
        <w:rPr>
          <w:rStyle w:val="SCCCounselNameChar"/>
          <w:i w:val="0"/>
          <w:sz w:val="20"/>
          <w:lang w:val="fr-CA"/>
        </w:rPr>
      </w:pPr>
    </w:p>
    <w:p w:rsidR="00C71B27" w:rsidRPr="006C5B0B" w:rsidRDefault="00C71B27" w:rsidP="00C71B27">
      <w:pPr>
        <w:pStyle w:val="SCCNormalDoubleSpacing"/>
        <w:spacing w:line="240" w:lineRule="auto"/>
        <w:rPr>
          <w:sz w:val="20"/>
          <w:lang w:val="fr-CA"/>
        </w:rPr>
      </w:pPr>
      <w:r w:rsidRPr="006C5B0B">
        <w:rPr>
          <w:rStyle w:val="SCCCounselNameChar"/>
          <w:sz w:val="20"/>
          <w:lang w:val="fr-CA"/>
        </w:rPr>
        <w:tab/>
        <w:t>Jolaine Antonio</w:t>
      </w:r>
      <w:r w:rsidRPr="006C5B0B">
        <w:rPr>
          <w:rStyle w:val="SCCCounselSeparatorChar"/>
          <w:sz w:val="20"/>
        </w:rPr>
        <w:t xml:space="preserve"> et </w:t>
      </w:r>
      <w:r w:rsidRPr="006C5B0B">
        <w:rPr>
          <w:rStyle w:val="SCCCounselNameChar"/>
          <w:sz w:val="20"/>
          <w:lang w:val="fr-CA"/>
        </w:rPr>
        <w:t>Julie Morgan</w:t>
      </w:r>
      <w:r w:rsidRPr="006C5B0B">
        <w:rPr>
          <w:rStyle w:val="SCCCounselPartyRoleChar"/>
          <w:sz w:val="20"/>
          <w:lang w:val="fr-CA"/>
        </w:rPr>
        <w:t>, pour l’intimée.</w:t>
      </w:r>
    </w:p>
    <w:p w:rsidR="00C71B27" w:rsidRDefault="00C71B27" w:rsidP="00C71B27">
      <w:pPr>
        <w:pStyle w:val="SCCNormalDoubleSpacing"/>
        <w:spacing w:line="240" w:lineRule="auto"/>
        <w:rPr>
          <w:rStyle w:val="SCCCounselNameChar"/>
          <w:i w:val="0"/>
          <w:sz w:val="20"/>
          <w:lang w:val="fr-CA"/>
        </w:rPr>
      </w:pPr>
    </w:p>
    <w:p w:rsidR="00C71B27" w:rsidRPr="006C5B0B" w:rsidRDefault="00C71B27" w:rsidP="00C71B27">
      <w:pPr>
        <w:pStyle w:val="SCCNormalDoubleSpacing"/>
        <w:spacing w:line="240" w:lineRule="auto"/>
        <w:rPr>
          <w:sz w:val="20"/>
          <w:lang w:val="fr-CA"/>
        </w:rPr>
      </w:pPr>
      <w:r w:rsidRPr="006C5B0B">
        <w:rPr>
          <w:rStyle w:val="SCCCounselNameChar"/>
          <w:sz w:val="20"/>
          <w:lang w:val="fr-CA"/>
        </w:rPr>
        <w:tab/>
        <w:t>Jeffrey G. Johnston</w:t>
      </w:r>
      <w:r w:rsidRPr="006C5B0B">
        <w:rPr>
          <w:rStyle w:val="SCCCounselPartyRoleChar"/>
          <w:sz w:val="20"/>
          <w:lang w:val="fr-CA"/>
        </w:rPr>
        <w:t>, pour l’intervenant le procureur général du Canada.</w:t>
      </w:r>
    </w:p>
    <w:p w:rsidR="00C71B27" w:rsidRDefault="00C71B27" w:rsidP="00C71B27">
      <w:pPr>
        <w:pStyle w:val="SCCNormalDoubleSpacing"/>
        <w:spacing w:line="240" w:lineRule="auto"/>
        <w:rPr>
          <w:rStyle w:val="SCCCounselNameChar"/>
          <w:i w:val="0"/>
          <w:sz w:val="20"/>
          <w:lang w:val="fr-CA"/>
        </w:rPr>
      </w:pPr>
    </w:p>
    <w:p w:rsidR="00C71B27" w:rsidRPr="006C5B0B" w:rsidRDefault="00C71B27" w:rsidP="00C71B27">
      <w:pPr>
        <w:pStyle w:val="SCCNormalDoubleSpacing"/>
        <w:spacing w:line="240" w:lineRule="auto"/>
        <w:rPr>
          <w:sz w:val="20"/>
          <w:lang w:val="fr-CA"/>
        </w:rPr>
      </w:pPr>
      <w:r w:rsidRPr="006C5B0B">
        <w:rPr>
          <w:rStyle w:val="SCCCounselNameChar"/>
          <w:sz w:val="20"/>
          <w:lang w:val="fr-CA"/>
        </w:rPr>
        <w:tab/>
        <w:t>Christine Bartlett</w:t>
      </w:r>
      <w:r w:rsidRPr="006C5B0B">
        <w:rPr>
          <w:rStyle w:val="SCCCounselNameChar"/>
          <w:sz w:val="20"/>
          <w:lang w:val="fr-CA"/>
        </w:rPr>
        <w:noBreakHyphen/>
        <w:t>Hughes</w:t>
      </w:r>
      <w:r w:rsidRPr="006C5B0B">
        <w:rPr>
          <w:rStyle w:val="SCCCounselSeparatorChar"/>
          <w:sz w:val="20"/>
        </w:rPr>
        <w:t xml:space="preserve"> et </w:t>
      </w:r>
      <w:r w:rsidRPr="006C5B0B">
        <w:rPr>
          <w:rStyle w:val="SCCCounselNameChar"/>
          <w:sz w:val="20"/>
          <w:lang w:val="fr-CA"/>
        </w:rPr>
        <w:t>Lisa Henderson</w:t>
      </w:r>
      <w:r w:rsidRPr="006C5B0B">
        <w:rPr>
          <w:rStyle w:val="SCCCounselPartyRoleChar"/>
          <w:sz w:val="20"/>
          <w:lang w:val="fr-CA"/>
        </w:rPr>
        <w:t>, pour l’intervenant le procureur général de l’Ontario.</w:t>
      </w:r>
    </w:p>
    <w:p w:rsidR="00C71B27" w:rsidRDefault="00C71B27" w:rsidP="00C71B27">
      <w:pPr>
        <w:pStyle w:val="SCCNormalDoubleSpacing"/>
        <w:spacing w:line="240" w:lineRule="auto"/>
        <w:rPr>
          <w:rStyle w:val="SCCCounselNameChar"/>
          <w:i w:val="0"/>
          <w:sz w:val="20"/>
          <w:lang w:val="fr-CA"/>
        </w:rPr>
      </w:pPr>
    </w:p>
    <w:p w:rsidR="00C71B27" w:rsidRPr="006C5B0B" w:rsidRDefault="00C71B27" w:rsidP="00C71B27">
      <w:pPr>
        <w:pStyle w:val="SCCNormalDoubleSpacing"/>
        <w:spacing w:line="240" w:lineRule="auto"/>
        <w:rPr>
          <w:sz w:val="20"/>
          <w:lang w:val="fr-CA"/>
        </w:rPr>
      </w:pPr>
      <w:r w:rsidRPr="006C5B0B">
        <w:rPr>
          <w:rStyle w:val="SCCCounselNameChar"/>
          <w:sz w:val="20"/>
          <w:lang w:val="fr-CA"/>
        </w:rPr>
        <w:tab/>
        <w:t>Alexi N. Wood</w:t>
      </w:r>
      <w:r w:rsidRPr="006C5B0B">
        <w:rPr>
          <w:rStyle w:val="SCCCounselSeparatorChar"/>
          <w:sz w:val="20"/>
        </w:rPr>
        <w:t xml:space="preserve"> et </w:t>
      </w:r>
      <w:r w:rsidRPr="006C5B0B">
        <w:rPr>
          <w:rStyle w:val="SCCCounselNameChar"/>
          <w:sz w:val="20"/>
          <w:lang w:val="fr-CA"/>
        </w:rPr>
        <w:t>Kate Southwell</w:t>
      </w:r>
      <w:r w:rsidRPr="006C5B0B">
        <w:rPr>
          <w:rStyle w:val="SCCCounselPartyRoleChar"/>
          <w:sz w:val="20"/>
          <w:lang w:val="fr-CA"/>
        </w:rPr>
        <w:t>, pour l’intervenante l’Association canadienne des libertés civiles.</w:t>
      </w:r>
    </w:p>
    <w:p w:rsidR="00C71B27" w:rsidRDefault="00C71B27" w:rsidP="00C71B27">
      <w:pPr>
        <w:pStyle w:val="SCCNormalDoubleSpacing"/>
        <w:spacing w:line="240" w:lineRule="auto"/>
        <w:rPr>
          <w:rStyle w:val="SCCCounselNameChar"/>
          <w:i w:val="0"/>
          <w:sz w:val="20"/>
          <w:lang w:val="fr-CA"/>
        </w:rPr>
      </w:pPr>
    </w:p>
    <w:p w:rsidR="00C71B27" w:rsidRPr="006C5B0B" w:rsidRDefault="00C71B27" w:rsidP="00C71B27">
      <w:pPr>
        <w:pStyle w:val="SCCNormalDoubleSpacing"/>
        <w:spacing w:line="240" w:lineRule="auto"/>
        <w:rPr>
          <w:sz w:val="20"/>
          <w:lang w:val="fr-CA"/>
        </w:rPr>
      </w:pPr>
      <w:r w:rsidRPr="006C5B0B">
        <w:rPr>
          <w:rStyle w:val="SCCCounselNameChar"/>
          <w:sz w:val="20"/>
          <w:lang w:val="fr-CA"/>
        </w:rPr>
        <w:tab/>
        <w:t>David Matas</w:t>
      </w:r>
      <w:r w:rsidRPr="006C5B0B">
        <w:rPr>
          <w:rStyle w:val="SCCCounselPartyRoleChar"/>
          <w:sz w:val="20"/>
          <w:lang w:val="fr-CA"/>
        </w:rPr>
        <w:t xml:space="preserve"> et </w:t>
      </w:r>
      <w:r w:rsidRPr="006C5B0B">
        <w:rPr>
          <w:rStyle w:val="SCCCounselPartyRoleChar"/>
          <w:i/>
          <w:sz w:val="20"/>
          <w:lang w:val="fr-CA"/>
        </w:rPr>
        <w:t>Monique St. Germain</w:t>
      </w:r>
      <w:r w:rsidRPr="006C5B0B">
        <w:rPr>
          <w:rStyle w:val="SCCCounselPartyRoleChar"/>
          <w:sz w:val="20"/>
          <w:lang w:val="fr-CA"/>
        </w:rPr>
        <w:t>, pour les intervenants Au</w:t>
      </w:r>
      <w:r w:rsidRPr="006C5B0B">
        <w:rPr>
          <w:rStyle w:val="SCCCounselPartyRoleChar"/>
          <w:sz w:val="20"/>
          <w:lang w:val="fr-CA"/>
        </w:rPr>
        <w:noBreakHyphen/>
        <w:t>delà des frontières et Centre canadien de protection de l’enfance inc.</w:t>
      </w:r>
    </w:p>
    <w:p w:rsidR="00C71B27" w:rsidRDefault="00C71B27" w:rsidP="00C71B27">
      <w:pPr>
        <w:pStyle w:val="SCCLawFirm"/>
        <w:spacing w:line="240" w:lineRule="auto"/>
        <w:rPr>
          <w:sz w:val="20"/>
          <w:lang w:val="fr-CA"/>
        </w:rPr>
      </w:pPr>
    </w:p>
    <w:p w:rsidR="00C71B27" w:rsidRPr="006C5B0B" w:rsidRDefault="00C71B27" w:rsidP="00C71B27">
      <w:pPr>
        <w:pStyle w:val="SCCLawFirm"/>
        <w:spacing w:line="240" w:lineRule="auto"/>
        <w:rPr>
          <w:sz w:val="20"/>
          <w:lang w:val="fr-CA"/>
        </w:rPr>
      </w:pPr>
      <w:r w:rsidRPr="006C5B0B">
        <w:rPr>
          <w:sz w:val="20"/>
          <w:lang w:val="fr-CA"/>
        </w:rPr>
        <w:tab/>
        <w:t>Procureurs de l’appelant Donald Jerry Barabash : Royal Teskey, Edmonton.</w:t>
      </w:r>
    </w:p>
    <w:p w:rsidR="00C71B27" w:rsidRDefault="00C71B27" w:rsidP="00C71B27">
      <w:pPr>
        <w:pStyle w:val="SCCLawFirm"/>
        <w:spacing w:line="240" w:lineRule="auto"/>
        <w:rPr>
          <w:sz w:val="20"/>
          <w:lang w:val="fr-CA"/>
        </w:rPr>
      </w:pPr>
    </w:p>
    <w:p w:rsidR="00C71B27" w:rsidRPr="006C5B0B" w:rsidRDefault="00C71B27" w:rsidP="00C71B27">
      <w:pPr>
        <w:pStyle w:val="SCCLawFirm"/>
        <w:spacing w:line="240" w:lineRule="auto"/>
        <w:rPr>
          <w:sz w:val="20"/>
          <w:lang w:val="fr-CA"/>
        </w:rPr>
      </w:pPr>
      <w:r w:rsidRPr="006C5B0B">
        <w:rPr>
          <w:sz w:val="20"/>
          <w:lang w:val="fr-CA"/>
        </w:rPr>
        <w:tab/>
        <w:t>Procureurs de l’appelant Shane Gordon Rollison : Legal Aid Alberta, Edmonton; Supreme Advocacy, Ottawa.</w:t>
      </w:r>
    </w:p>
    <w:p w:rsidR="00C71B27" w:rsidRDefault="00C71B27" w:rsidP="00C71B27">
      <w:pPr>
        <w:pStyle w:val="SCCLawFirm"/>
        <w:spacing w:line="240" w:lineRule="auto"/>
        <w:rPr>
          <w:sz w:val="20"/>
          <w:lang w:val="fr-CA"/>
        </w:rPr>
      </w:pPr>
    </w:p>
    <w:p w:rsidR="00C71B27" w:rsidRPr="006C5B0B" w:rsidRDefault="00C71B27" w:rsidP="00C71B27">
      <w:pPr>
        <w:pStyle w:val="SCCLawFirm"/>
        <w:spacing w:line="240" w:lineRule="auto"/>
        <w:rPr>
          <w:sz w:val="20"/>
          <w:lang w:val="fr-CA"/>
        </w:rPr>
      </w:pPr>
      <w:r w:rsidRPr="006C5B0B">
        <w:rPr>
          <w:sz w:val="20"/>
          <w:lang w:val="fr-CA"/>
        </w:rPr>
        <w:tab/>
        <w:t>Procureur de l’intimée : Procureur général de l’Alberta, Calgary.</w:t>
      </w:r>
    </w:p>
    <w:p w:rsidR="00C71B27" w:rsidRDefault="00C71B27" w:rsidP="00C71B27">
      <w:pPr>
        <w:pStyle w:val="SCCLawFirm"/>
        <w:spacing w:line="240" w:lineRule="auto"/>
        <w:rPr>
          <w:sz w:val="20"/>
          <w:lang w:val="fr-CA"/>
        </w:rPr>
      </w:pPr>
    </w:p>
    <w:p w:rsidR="00C71B27" w:rsidRPr="006C5B0B" w:rsidRDefault="00C71B27" w:rsidP="00C71B27">
      <w:pPr>
        <w:pStyle w:val="SCCLawFirm"/>
        <w:spacing w:line="240" w:lineRule="auto"/>
        <w:rPr>
          <w:sz w:val="20"/>
          <w:lang w:val="fr-CA"/>
        </w:rPr>
      </w:pPr>
      <w:r w:rsidRPr="006C5B0B">
        <w:rPr>
          <w:sz w:val="20"/>
          <w:lang w:val="fr-CA"/>
        </w:rPr>
        <w:tab/>
        <w:t>Procureur de l’intervenant le procureur général du Canada : Procureur général du Canada, Ottawa.</w:t>
      </w:r>
    </w:p>
    <w:p w:rsidR="00C71B27" w:rsidRDefault="00C71B27" w:rsidP="00C71B27">
      <w:pPr>
        <w:pStyle w:val="SCCLawFirm"/>
        <w:spacing w:line="240" w:lineRule="auto"/>
        <w:rPr>
          <w:sz w:val="20"/>
          <w:lang w:val="fr-CA"/>
        </w:rPr>
      </w:pPr>
    </w:p>
    <w:p w:rsidR="00C71B27" w:rsidRPr="006C5B0B" w:rsidRDefault="00C71B27" w:rsidP="00C71B27">
      <w:pPr>
        <w:pStyle w:val="SCCLawFirm"/>
        <w:spacing w:line="240" w:lineRule="auto"/>
        <w:rPr>
          <w:sz w:val="20"/>
          <w:lang w:val="fr-CA"/>
        </w:rPr>
      </w:pPr>
      <w:r w:rsidRPr="006C5B0B">
        <w:rPr>
          <w:sz w:val="20"/>
          <w:lang w:val="fr-CA"/>
        </w:rPr>
        <w:tab/>
        <w:t>Procureur de l’intervenant le procureur général de l’Ontario : Procureur général de l’Ontario, Toronto.</w:t>
      </w:r>
    </w:p>
    <w:p w:rsidR="00C71B27" w:rsidRDefault="00C71B27" w:rsidP="00C71B27">
      <w:pPr>
        <w:pStyle w:val="SCCLawFirm"/>
        <w:spacing w:line="240" w:lineRule="auto"/>
        <w:rPr>
          <w:sz w:val="20"/>
          <w:lang w:val="fr-CA"/>
        </w:rPr>
      </w:pPr>
    </w:p>
    <w:p w:rsidR="00C71B27" w:rsidRPr="006C5B0B" w:rsidRDefault="00C71B27" w:rsidP="00C71B27">
      <w:pPr>
        <w:pStyle w:val="SCCLawFirm"/>
        <w:spacing w:line="240" w:lineRule="auto"/>
        <w:rPr>
          <w:sz w:val="20"/>
          <w:lang w:val="fr-CA"/>
        </w:rPr>
      </w:pPr>
      <w:r w:rsidRPr="006C5B0B">
        <w:rPr>
          <w:sz w:val="20"/>
          <w:lang w:val="fr-CA"/>
        </w:rPr>
        <w:tab/>
        <w:t>Procureurs de l’intervenante l’Association canadienne des libertés civiles : Davis, Toronto.</w:t>
      </w:r>
    </w:p>
    <w:p w:rsidR="00C71B27" w:rsidRDefault="00C71B27" w:rsidP="00C71B27">
      <w:pPr>
        <w:pStyle w:val="SCCLawFirm"/>
        <w:spacing w:line="240" w:lineRule="auto"/>
        <w:rPr>
          <w:sz w:val="20"/>
          <w:lang w:val="fr-CA"/>
        </w:rPr>
      </w:pPr>
    </w:p>
    <w:p w:rsidR="00C71B27" w:rsidRDefault="00C71B27" w:rsidP="00C71B27">
      <w:pPr>
        <w:pStyle w:val="SCCLawFirm"/>
        <w:spacing w:line="240" w:lineRule="auto"/>
        <w:rPr>
          <w:rStyle w:val="SCCCounselPartyRoleChar"/>
          <w:sz w:val="20"/>
          <w:lang w:val="fr-CA"/>
        </w:rPr>
      </w:pPr>
      <w:r w:rsidRPr="006C5B0B">
        <w:rPr>
          <w:sz w:val="20"/>
          <w:lang w:val="fr-CA"/>
        </w:rPr>
        <w:tab/>
        <w:t xml:space="preserve">Procureurs des </w:t>
      </w:r>
      <w:r w:rsidRPr="006C5B0B">
        <w:rPr>
          <w:rStyle w:val="SCCCounselPartyRoleChar"/>
          <w:sz w:val="20"/>
          <w:lang w:val="fr-CA"/>
        </w:rPr>
        <w:t>intervenants Au</w:t>
      </w:r>
      <w:r w:rsidRPr="006C5B0B">
        <w:rPr>
          <w:rStyle w:val="SCCCounselPartyRoleChar"/>
          <w:sz w:val="20"/>
          <w:lang w:val="fr-CA"/>
        </w:rPr>
        <w:noBreakHyphen/>
        <w:t>delà des frontières et Centre canadien de protection de l’enfance inc.</w:t>
      </w:r>
      <w:r w:rsidRPr="006C5B0B">
        <w:rPr>
          <w:sz w:val="20"/>
          <w:lang w:val="fr-CA"/>
        </w:rPr>
        <w:t xml:space="preserve"> : David Matas, Winnipeg; </w:t>
      </w:r>
      <w:r w:rsidRPr="006C5B0B">
        <w:rPr>
          <w:rStyle w:val="SCCCounselPartyRoleChar"/>
          <w:sz w:val="20"/>
          <w:lang w:val="fr-CA"/>
        </w:rPr>
        <w:t>Centre canadien de protection de l’enfance inc., Winnipeg.</w:t>
      </w:r>
    </w:p>
    <w:p w:rsidR="00902E51" w:rsidRPr="00352A49" w:rsidRDefault="00902E51" w:rsidP="00902E51">
      <w:pPr>
        <w:rPr>
          <w:sz w:val="20"/>
          <w:szCs w:val="20"/>
          <w:lang w:val="fr-CA"/>
        </w:rPr>
      </w:pPr>
    </w:p>
    <w:p w:rsidR="00902E51" w:rsidRDefault="007F638F" w:rsidP="00902E51">
      <w:pPr>
        <w:rPr>
          <w:rFonts w:cs="Times New Roman"/>
          <w:sz w:val="20"/>
          <w:szCs w:val="20"/>
          <w:lang w:val="fr-CA"/>
        </w:rPr>
      </w:pPr>
      <w:r>
        <w:rPr>
          <w:rFonts w:cs="Times New Roman"/>
          <w:sz w:val="20"/>
          <w:szCs w:val="20"/>
          <w:lang w:val="fr-CA"/>
        </w:rPr>
        <w:pict>
          <v:rect id="_x0000_i1073" style="width:144.3pt;height:1pt" o:hrpct="300" o:hralign="center" o:hrstd="t" o:hrnoshade="t" o:hr="t" fillcolor="black [3213]" stroked="f"/>
        </w:pict>
      </w:r>
    </w:p>
    <w:p w:rsidR="00345C87" w:rsidRDefault="00345C87" w:rsidP="00902E51">
      <w:pPr>
        <w:rPr>
          <w:rFonts w:cs="Times New Roman"/>
          <w:sz w:val="20"/>
          <w:szCs w:val="20"/>
          <w:lang w:val="fr-CA"/>
        </w:rPr>
      </w:pPr>
    </w:p>
    <w:p w:rsidR="00345C87" w:rsidRDefault="00345C87" w:rsidP="00902E51">
      <w:pPr>
        <w:rPr>
          <w:rFonts w:cs="Times New Roman"/>
          <w:sz w:val="20"/>
          <w:szCs w:val="20"/>
          <w:lang w:val="fr-CA"/>
        </w:rPr>
      </w:pPr>
    </w:p>
    <w:p w:rsidR="00345C87" w:rsidRDefault="00345C87"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90"/>
          <w:headerReference w:type="default" r:id="rId91"/>
          <w:footerReference w:type="even" r:id="rId92"/>
          <w:footerReference w:type="default" r:id="rId93"/>
          <w:headerReference w:type="first" r:id="rId94"/>
          <w:footerReference w:type="first" r:id="rId95"/>
          <w:pgSz w:w="12240" w:h="15840"/>
          <w:pgMar w:top="720" w:right="965" w:bottom="1080" w:left="1656" w:header="576" w:footer="960" w:gutter="0"/>
          <w:cols w:space="720"/>
          <w:titlePg/>
          <w:docGrid w:linePitch="272"/>
        </w:sectPr>
      </w:pPr>
    </w:p>
    <w:p w:rsidR="008112A9" w:rsidRPr="002E0C7E" w:rsidRDefault="009E7629"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046B92">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46B92">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46B92">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46B92">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46B92">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46B92">
            <w:pPr>
              <w:widowControl w:val="0"/>
              <w:jc w:val="center"/>
              <w:rPr>
                <w:rFonts w:ascii="Arial" w:hAnsi="Arial"/>
                <w:sz w:val="14"/>
              </w:rPr>
            </w:pPr>
            <w:r w:rsidRPr="002E0C7E">
              <w:rPr>
                <w:rFonts w:ascii="Arial" w:hAnsi="Arial"/>
                <w:b/>
                <w:sz w:val="14"/>
              </w:rPr>
              <w:t>DECEMBER - DÉCEMBRE</w:t>
            </w:r>
          </w:p>
        </w:tc>
      </w:tr>
      <w:tr w:rsidR="008112A9" w:rsidRPr="002E0C7E" w:rsidTr="00046B92">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S</w:t>
            </w:r>
          </w:p>
          <w:p w:rsidR="008112A9" w:rsidRPr="002E0C7E" w:rsidRDefault="008112A9" w:rsidP="00046B92">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M</w:t>
            </w:r>
          </w:p>
          <w:p w:rsidR="008112A9" w:rsidRPr="002E0C7E" w:rsidRDefault="008112A9" w:rsidP="00046B92">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W</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F</w:t>
            </w:r>
          </w:p>
          <w:p w:rsidR="008112A9" w:rsidRPr="002E0C7E" w:rsidRDefault="008112A9" w:rsidP="00046B92">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S</w:t>
            </w:r>
          </w:p>
          <w:p w:rsidR="008112A9" w:rsidRPr="002E0C7E" w:rsidRDefault="008112A9" w:rsidP="00046B92">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S</w:t>
            </w:r>
          </w:p>
          <w:p w:rsidR="008112A9" w:rsidRPr="002E0C7E" w:rsidRDefault="008112A9" w:rsidP="00046B92">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M</w:t>
            </w:r>
          </w:p>
          <w:p w:rsidR="008112A9" w:rsidRPr="002E0C7E" w:rsidRDefault="008112A9" w:rsidP="00046B92">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W</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F</w:t>
            </w:r>
          </w:p>
          <w:p w:rsidR="008112A9" w:rsidRPr="002E0C7E" w:rsidRDefault="008112A9" w:rsidP="00046B92">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S</w:t>
            </w:r>
          </w:p>
          <w:p w:rsidR="008112A9" w:rsidRPr="002E0C7E" w:rsidRDefault="008112A9" w:rsidP="00046B92">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S</w:t>
            </w:r>
          </w:p>
          <w:p w:rsidR="008112A9" w:rsidRPr="002E0C7E" w:rsidRDefault="008112A9" w:rsidP="00046B92">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M</w:t>
            </w:r>
          </w:p>
          <w:p w:rsidR="008112A9" w:rsidRPr="002E0C7E" w:rsidRDefault="008112A9" w:rsidP="00046B92">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W</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F</w:t>
            </w:r>
          </w:p>
          <w:p w:rsidR="008112A9" w:rsidRPr="002E0C7E" w:rsidRDefault="008112A9" w:rsidP="00046B9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S</w:t>
            </w:r>
          </w:p>
          <w:p w:rsidR="008112A9" w:rsidRPr="002E0C7E" w:rsidRDefault="008112A9" w:rsidP="00046B92">
            <w:pPr>
              <w:widowControl w:val="0"/>
              <w:jc w:val="center"/>
              <w:rPr>
                <w:rFonts w:ascii="Arial" w:hAnsi="Arial"/>
                <w:sz w:val="14"/>
              </w:rPr>
            </w:pPr>
            <w:r w:rsidRPr="002E0C7E">
              <w:rPr>
                <w:rFonts w:ascii="Arial" w:hAnsi="Arial"/>
                <w:sz w:val="14"/>
              </w:rPr>
              <w:t>S</w:t>
            </w:r>
          </w:p>
        </w:tc>
      </w:tr>
      <w:tr w:rsidR="008112A9" w:rsidRPr="002E0C7E" w:rsidTr="00046B92">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046B92">
            <w:pPr>
              <w:widowControl w:val="0"/>
              <w:jc w:val="center"/>
              <w:rPr>
                <w:rFonts w:ascii="Arial" w:hAnsi="Arial"/>
                <w:b/>
                <w:sz w:val="14"/>
              </w:rPr>
            </w:pPr>
            <w:r>
              <w:rPr>
                <w:rFonts w:ascii="Arial" w:hAnsi="Arial"/>
                <w:b/>
                <w:sz w:val="14"/>
              </w:rPr>
              <w:t>M</w:t>
            </w:r>
          </w:p>
          <w:p w:rsidR="008112A9" w:rsidRPr="002E0C7E" w:rsidRDefault="008112A9" w:rsidP="00046B92">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6</w:t>
            </w:r>
          </w:p>
        </w:tc>
      </w:tr>
      <w:tr w:rsidR="008112A9" w:rsidRPr="002E0C7E" w:rsidTr="00046B92">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046B92">
            <w:pPr>
              <w:widowControl w:val="0"/>
              <w:jc w:val="center"/>
              <w:rPr>
                <w:rFonts w:ascii="Arial" w:hAnsi="Arial"/>
                <w:b/>
                <w:sz w:val="14"/>
              </w:rPr>
            </w:pPr>
            <w:r>
              <w:rPr>
                <w:rFonts w:ascii="Arial" w:hAnsi="Arial"/>
                <w:b/>
                <w:sz w:val="14"/>
              </w:rPr>
              <w:t>M</w:t>
            </w:r>
          </w:p>
          <w:p w:rsidR="008112A9" w:rsidRPr="002E0C7E" w:rsidRDefault="008112A9" w:rsidP="00046B92">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046B92">
            <w:pPr>
              <w:widowControl w:val="0"/>
              <w:jc w:val="center"/>
              <w:rPr>
                <w:rFonts w:ascii="Arial" w:hAnsi="Arial"/>
                <w:b/>
                <w:sz w:val="14"/>
              </w:rPr>
            </w:pPr>
          </w:p>
          <w:p w:rsidR="008112A9" w:rsidRPr="002E0C7E" w:rsidRDefault="008112A9" w:rsidP="00046B9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b/>
                <w:sz w:val="14"/>
              </w:rPr>
              <w:t>M</w:t>
            </w:r>
          </w:p>
          <w:p w:rsidR="008112A9" w:rsidRPr="002E0C7E" w:rsidRDefault="008112A9" w:rsidP="00046B92">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13</w:t>
            </w:r>
          </w:p>
        </w:tc>
      </w:tr>
      <w:tr w:rsidR="008112A9" w:rsidRPr="002E0C7E" w:rsidTr="00046B92">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046B92">
            <w:pPr>
              <w:widowControl w:val="0"/>
              <w:jc w:val="center"/>
              <w:rPr>
                <w:rFonts w:ascii="Arial" w:hAnsi="Arial"/>
                <w:b/>
                <w:sz w:val="14"/>
              </w:rPr>
            </w:pPr>
            <w:r>
              <w:rPr>
                <w:rFonts w:ascii="Arial" w:hAnsi="Arial"/>
                <w:b/>
                <w:sz w:val="14"/>
              </w:rPr>
              <w:t>H</w:t>
            </w: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046B92">
            <w:pPr>
              <w:widowControl w:val="0"/>
              <w:jc w:val="center"/>
              <w:rPr>
                <w:rFonts w:ascii="Arial" w:hAnsi="Arial"/>
                <w:b/>
                <w:sz w:val="14"/>
              </w:rPr>
            </w:pPr>
            <w:r w:rsidRPr="004F066E">
              <w:rPr>
                <w:rFonts w:ascii="Arial" w:hAnsi="Arial"/>
                <w:b/>
                <w:sz w:val="14"/>
              </w:rPr>
              <w:t>H</w:t>
            </w:r>
          </w:p>
          <w:p w:rsidR="008112A9" w:rsidRPr="002E0C7E" w:rsidRDefault="008112A9" w:rsidP="00046B92">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20</w:t>
            </w:r>
          </w:p>
        </w:tc>
      </w:tr>
      <w:tr w:rsidR="008112A9" w:rsidRPr="002E0C7E" w:rsidTr="00046B92">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046B92">
            <w:pPr>
              <w:widowControl w:val="0"/>
              <w:jc w:val="center"/>
              <w:rPr>
                <w:rFonts w:ascii="Arial" w:hAnsi="Arial"/>
                <w:b/>
                <w:sz w:val="14"/>
              </w:rPr>
            </w:pPr>
          </w:p>
          <w:p w:rsidR="008112A9" w:rsidRPr="002E0C7E" w:rsidRDefault="008112A9" w:rsidP="00046B92">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046B92">
            <w:pPr>
              <w:widowControl w:val="0"/>
              <w:jc w:val="center"/>
              <w:rPr>
                <w:rFonts w:ascii="Arial" w:hAnsi="Arial"/>
                <w:b/>
                <w:sz w:val="14"/>
              </w:rPr>
            </w:pPr>
            <w:r>
              <w:rPr>
                <w:rFonts w:ascii="Arial" w:hAnsi="Arial"/>
                <w:b/>
                <w:sz w:val="14"/>
              </w:rPr>
              <w:t>H</w:t>
            </w:r>
          </w:p>
          <w:p w:rsidR="008112A9" w:rsidRPr="002E0C7E" w:rsidRDefault="008112A9" w:rsidP="00046B92">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046B92">
            <w:pPr>
              <w:widowControl w:val="0"/>
              <w:jc w:val="center"/>
              <w:rPr>
                <w:rFonts w:ascii="Arial" w:hAnsi="Arial"/>
                <w:b/>
                <w:sz w:val="14"/>
              </w:rPr>
            </w:pPr>
            <w:r>
              <w:rPr>
                <w:rFonts w:ascii="Arial" w:hAnsi="Arial"/>
                <w:b/>
                <w:sz w:val="14"/>
              </w:rPr>
              <w:t>H</w:t>
            </w:r>
          </w:p>
          <w:p w:rsidR="008112A9" w:rsidRPr="002E0C7E" w:rsidRDefault="008112A9" w:rsidP="00046B92">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046B92">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046B92">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046B92">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046B92">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46B92">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46B92">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46B92">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46B92">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46B92">
            <w:pPr>
              <w:widowControl w:val="0"/>
              <w:jc w:val="center"/>
              <w:rPr>
                <w:rFonts w:ascii="Arial" w:hAnsi="Arial"/>
                <w:sz w:val="14"/>
              </w:rPr>
            </w:pPr>
            <w:r w:rsidRPr="002E0C7E">
              <w:rPr>
                <w:rFonts w:ascii="Arial" w:hAnsi="Arial"/>
                <w:b/>
                <w:sz w:val="14"/>
              </w:rPr>
              <w:t>MARCH - MARS</w:t>
            </w:r>
          </w:p>
        </w:tc>
      </w:tr>
      <w:tr w:rsidR="008112A9" w:rsidRPr="002E0C7E" w:rsidTr="00046B92">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S</w:t>
            </w:r>
          </w:p>
          <w:p w:rsidR="008112A9" w:rsidRPr="002E0C7E" w:rsidRDefault="008112A9" w:rsidP="00046B9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M</w:t>
            </w:r>
          </w:p>
          <w:p w:rsidR="008112A9" w:rsidRPr="002E0C7E" w:rsidRDefault="008112A9" w:rsidP="00046B9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W</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F</w:t>
            </w:r>
          </w:p>
          <w:p w:rsidR="008112A9" w:rsidRPr="002E0C7E" w:rsidRDefault="008112A9" w:rsidP="00046B92">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S</w:t>
            </w:r>
          </w:p>
          <w:p w:rsidR="008112A9" w:rsidRPr="002E0C7E" w:rsidRDefault="008112A9" w:rsidP="00046B92">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S</w:t>
            </w:r>
          </w:p>
          <w:p w:rsidR="008112A9" w:rsidRPr="002E0C7E" w:rsidRDefault="008112A9" w:rsidP="00046B9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M</w:t>
            </w:r>
          </w:p>
          <w:p w:rsidR="008112A9" w:rsidRPr="002E0C7E" w:rsidRDefault="008112A9" w:rsidP="00046B9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W</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F</w:t>
            </w:r>
          </w:p>
          <w:p w:rsidR="008112A9" w:rsidRPr="002E0C7E" w:rsidRDefault="008112A9" w:rsidP="00046B92">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S</w:t>
            </w:r>
          </w:p>
          <w:p w:rsidR="008112A9" w:rsidRPr="002E0C7E" w:rsidRDefault="008112A9" w:rsidP="00046B92">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S</w:t>
            </w:r>
          </w:p>
          <w:p w:rsidR="008112A9" w:rsidRPr="002E0C7E" w:rsidRDefault="008112A9" w:rsidP="00046B9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M</w:t>
            </w:r>
          </w:p>
          <w:p w:rsidR="008112A9" w:rsidRPr="002E0C7E" w:rsidRDefault="008112A9" w:rsidP="00046B9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W</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F</w:t>
            </w:r>
          </w:p>
          <w:p w:rsidR="008112A9" w:rsidRPr="002E0C7E" w:rsidRDefault="008112A9" w:rsidP="00046B92">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S</w:t>
            </w:r>
          </w:p>
          <w:p w:rsidR="008112A9" w:rsidRPr="002E0C7E" w:rsidRDefault="008112A9" w:rsidP="00046B92">
            <w:pPr>
              <w:widowControl w:val="0"/>
              <w:jc w:val="center"/>
              <w:rPr>
                <w:rFonts w:ascii="Arial" w:hAnsi="Arial"/>
                <w:sz w:val="14"/>
              </w:rPr>
            </w:pPr>
            <w:r w:rsidRPr="002E0C7E">
              <w:rPr>
                <w:rFonts w:ascii="Arial" w:hAnsi="Arial"/>
                <w:sz w:val="14"/>
              </w:rPr>
              <w:t>S</w:t>
            </w:r>
          </w:p>
        </w:tc>
      </w:tr>
      <w:tr w:rsidR="008112A9" w:rsidRPr="002E0C7E" w:rsidTr="00046B92">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046B92">
            <w:pPr>
              <w:widowControl w:val="0"/>
              <w:jc w:val="center"/>
              <w:rPr>
                <w:rFonts w:ascii="Arial" w:hAnsi="Arial"/>
                <w:b/>
                <w:sz w:val="14"/>
              </w:rPr>
            </w:pPr>
          </w:p>
          <w:p w:rsidR="008112A9" w:rsidRPr="002E0C7E" w:rsidRDefault="008112A9" w:rsidP="00046B92">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046B92">
            <w:pPr>
              <w:widowControl w:val="0"/>
              <w:jc w:val="center"/>
              <w:rPr>
                <w:rFonts w:ascii="Arial" w:hAnsi="Arial"/>
                <w:b/>
                <w:sz w:val="14"/>
              </w:rPr>
            </w:pPr>
          </w:p>
          <w:p w:rsidR="008112A9" w:rsidRPr="002E0C7E" w:rsidRDefault="008112A9" w:rsidP="00046B92">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046B92">
            <w:pPr>
              <w:widowControl w:val="0"/>
              <w:jc w:val="center"/>
              <w:rPr>
                <w:rFonts w:ascii="Arial" w:hAnsi="Arial"/>
                <w:b/>
                <w:sz w:val="14"/>
              </w:rPr>
            </w:pPr>
            <w:r w:rsidRPr="004F066E">
              <w:rPr>
                <w:rFonts w:ascii="Arial" w:hAnsi="Arial"/>
                <w:b/>
                <w:sz w:val="14"/>
              </w:rPr>
              <w:t>H</w:t>
            </w:r>
          </w:p>
          <w:p w:rsidR="008112A9" w:rsidRPr="002E0C7E" w:rsidRDefault="008112A9" w:rsidP="00046B92">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7</w:t>
            </w:r>
          </w:p>
        </w:tc>
      </w:tr>
      <w:tr w:rsidR="008112A9" w:rsidRPr="002E0C7E" w:rsidTr="00046B92">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046B92">
            <w:pPr>
              <w:widowControl w:val="0"/>
              <w:jc w:val="center"/>
              <w:rPr>
                <w:rFonts w:ascii="Arial" w:hAnsi="Arial"/>
                <w:b/>
                <w:sz w:val="14"/>
              </w:rPr>
            </w:pPr>
            <w:r>
              <w:rPr>
                <w:rFonts w:ascii="Arial" w:hAnsi="Arial"/>
                <w:b/>
                <w:sz w:val="14"/>
              </w:rPr>
              <w:t>M</w:t>
            </w:r>
          </w:p>
          <w:p w:rsidR="008112A9" w:rsidRPr="002E0C7E" w:rsidRDefault="008112A9" w:rsidP="00046B92">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14</w:t>
            </w:r>
          </w:p>
        </w:tc>
      </w:tr>
      <w:tr w:rsidR="008112A9" w:rsidRPr="002E0C7E" w:rsidTr="00046B92">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046B92">
            <w:pPr>
              <w:widowControl w:val="0"/>
              <w:jc w:val="center"/>
              <w:rPr>
                <w:rFonts w:ascii="Arial" w:hAnsi="Arial"/>
                <w:b/>
                <w:sz w:val="14"/>
              </w:rPr>
            </w:pPr>
            <w:r>
              <w:rPr>
                <w:rFonts w:ascii="Arial" w:hAnsi="Arial"/>
                <w:b/>
                <w:sz w:val="14"/>
              </w:rPr>
              <w:t>M</w:t>
            </w: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046B92">
            <w:pPr>
              <w:widowControl w:val="0"/>
              <w:jc w:val="center"/>
              <w:rPr>
                <w:rFonts w:ascii="Arial" w:hAnsi="Arial"/>
                <w:b/>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046B92">
            <w:pPr>
              <w:widowControl w:val="0"/>
              <w:jc w:val="center"/>
              <w:rPr>
                <w:rFonts w:ascii="Arial" w:hAnsi="Arial"/>
                <w:b/>
                <w:sz w:val="14"/>
              </w:rPr>
            </w:pPr>
            <w:r w:rsidRPr="009900C5">
              <w:rPr>
                <w:rFonts w:ascii="Arial" w:hAnsi="Arial"/>
                <w:b/>
                <w:sz w:val="14"/>
              </w:rPr>
              <w:t>M</w:t>
            </w: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046B92">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046B92">
            <w:pPr>
              <w:widowControl w:val="0"/>
              <w:jc w:val="center"/>
              <w:rPr>
                <w:rFonts w:ascii="Arial" w:hAnsi="Arial"/>
                <w:b/>
                <w:sz w:val="14"/>
              </w:rPr>
            </w:pPr>
          </w:p>
          <w:p w:rsidR="008112A9" w:rsidRPr="002E0C7E" w:rsidRDefault="008112A9" w:rsidP="00046B92">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046B92">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046B92">
            <w:pPr>
              <w:widowControl w:val="0"/>
              <w:jc w:val="center"/>
              <w:rPr>
                <w:rFonts w:ascii="Arial" w:hAnsi="Arial"/>
                <w:b/>
                <w:sz w:val="14"/>
              </w:rPr>
            </w:pPr>
          </w:p>
          <w:p w:rsidR="008112A9" w:rsidRPr="002E0C7E" w:rsidRDefault="008112A9" w:rsidP="00046B9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046B92">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46B92">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46B92">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46B92">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46B92">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46B92">
            <w:pPr>
              <w:widowControl w:val="0"/>
              <w:jc w:val="center"/>
              <w:rPr>
                <w:rFonts w:ascii="Arial" w:hAnsi="Arial"/>
                <w:sz w:val="14"/>
              </w:rPr>
            </w:pPr>
            <w:r w:rsidRPr="002E0C7E">
              <w:rPr>
                <w:rFonts w:ascii="Arial" w:hAnsi="Arial"/>
                <w:b/>
                <w:sz w:val="14"/>
              </w:rPr>
              <w:t>JUNE - JUIN</w:t>
            </w:r>
          </w:p>
        </w:tc>
      </w:tr>
      <w:tr w:rsidR="008112A9" w:rsidRPr="002E0C7E" w:rsidTr="00046B92">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S</w:t>
            </w:r>
          </w:p>
          <w:p w:rsidR="008112A9" w:rsidRPr="002E0C7E" w:rsidRDefault="008112A9" w:rsidP="00046B9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M</w:t>
            </w:r>
          </w:p>
          <w:p w:rsidR="008112A9" w:rsidRPr="002E0C7E" w:rsidRDefault="008112A9" w:rsidP="00046B9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W</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F</w:t>
            </w:r>
          </w:p>
          <w:p w:rsidR="008112A9" w:rsidRPr="002E0C7E" w:rsidRDefault="008112A9" w:rsidP="00046B92">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S</w:t>
            </w:r>
          </w:p>
          <w:p w:rsidR="008112A9" w:rsidRPr="002E0C7E" w:rsidRDefault="008112A9" w:rsidP="00046B92">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S</w:t>
            </w:r>
          </w:p>
          <w:p w:rsidR="008112A9" w:rsidRPr="002E0C7E" w:rsidRDefault="008112A9" w:rsidP="00046B9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M</w:t>
            </w:r>
          </w:p>
          <w:p w:rsidR="008112A9" w:rsidRPr="002E0C7E" w:rsidRDefault="008112A9" w:rsidP="00046B9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W</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F</w:t>
            </w:r>
          </w:p>
          <w:p w:rsidR="008112A9" w:rsidRPr="002E0C7E" w:rsidRDefault="008112A9" w:rsidP="00046B92">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S</w:t>
            </w:r>
          </w:p>
          <w:p w:rsidR="008112A9" w:rsidRPr="002E0C7E" w:rsidRDefault="008112A9" w:rsidP="00046B92">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S</w:t>
            </w:r>
          </w:p>
          <w:p w:rsidR="008112A9" w:rsidRPr="002E0C7E" w:rsidRDefault="008112A9" w:rsidP="00046B92">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M</w:t>
            </w:r>
          </w:p>
          <w:p w:rsidR="008112A9" w:rsidRPr="002E0C7E" w:rsidRDefault="008112A9" w:rsidP="00046B92">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W</w:t>
            </w:r>
          </w:p>
          <w:p w:rsidR="008112A9" w:rsidRPr="002E0C7E" w:rsidRDefault="008112A9" w:rsidP="00046B92">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T</w:t>
            </w:r>
          </w:p>
          <w:p w:rsidR="008112A9" w:rsidRPr="002E0C7E" w:rsidRDefault="008112A9" w:rsidP="00046B92">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sidRPr="002E0C7E">
              <w:rPr>
                <w:rFonts w:ascii="Arial" w:hAnsi="Arial"/>
                <w:sz w:val="14"/>
              </w:rPr>
              <w:t>F</w:t>
            </w:r>
          </w:p>
          <w:p w:rsidR="008112A9" w:rsidRPr="002E0C7E" w:rsidRDefault="008112A9" w:rsidP="00046B92">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r>
              <w:rPr>
                <w:rFonts w:ascii="Arial" w:hAnsi="Arial"/>
                <w:sz w:val="14"/>
              </w:rPr>
              <w:t>S</w:t>
            </w:r>
          </w:p>
          <w:p w:rsidR="008112A9" w:rsidRPr="002E0C7E" w:rsidRDefault="008112A9" w:rsidP="00046B92">
            <w:pPr>
              <w:widowControl w:val="0"/>
              <w:jc w:val="center"/>
              <w:rPr>
                <w:rFonts w:ascii="Arial" w:hAnsi="Arial"/>
                <w:sz w:val="14"/>
              </w:rPr>
            </w:pPr>
            <w:r>
              <w:rPr>
                <w:rFonts w:ascii="Arial" w:hAnsi="Arial"/>
                <w:sz w:val="14"/>
              </w:rPr>
              <w:t>S</w:t>
            </w:r>
          </w:p>
        </w:tc>
      </w:tr>
      <w:tr w:rsidR="008112A9" w:rsidRPr="002E0C7E" w:rsidTr="00046B92">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046B92">
            <w:pPr>
              <w:widowControl w:val="0"/>
              <w:jc w:val="center"/>
              <w:rPr>
                <w:rFonts w:ascii="Arial" w:hAnsi="Arial"/>
                <w:b/>
                <w:sz w:val="14"/>
              </w:rPr>
            </w:pPr>
            <w:r>
              <w:rPr>
                <w:rFonts w:ascii="Arial" w:hAnsi="Arial"/>
                <w:b/>
                <w:sz w:val="14"/>
              </w:rPr>
              <w:t>H</w:t>
            </w:r>
          </w:p>
          <w:p w:rsidR="008112A9" w:rsidRPr="002E0C7E" w:rsidRDefault="008112A9" w:rsidP="00046B92">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b/>
                <w:sz w:val="14"/>
              </w:rPr>
            </w:pPr>
          </w:p>
          <w:p w:rsidR="008112A9" w:rsidRPr="002E0C7E" w:rsidRDefault="008112A9" w:rsidP="00046B9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6</w:t>
            </w:r>
          </w:p>
        </w:tc>
      </w:tr>
      <w:tr w:rsidR="008112A9" w:rsidRPr="002E0C7E" w:rsidTr="00046B92">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046B92">
            <w:pPr>
              <w:widowControl w:val="0"/>
              <w:jc w:val="center"/>
              <w:rPr>
                <w:rFonts w:ascii="Arial" w:hAnsi="Arial"/>
                <w:b/>
                <w:sz w:val="14"/>
              </w:rPr>
            </w:pPr>
            <w:r>
              <w:rPr>
                <w:rFonts w:ascii="Arial" w:hAnsi="Arial"/>
                <w:b/>
                <w:sz w:val="14"/>
              </w:rPr>
              <w:t>H</w:t>
            </w:r>
          </w:p>
          <w:p w:rsidR="008112A9" w:rsidRPr="002E0C7E" w:rsidRDefault="008112A9" w:rsidP="00046B92">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046B92">
            <w:pPr>
              <w:widowControl w:val="0"/>
              <w:jc w:val="center"/>
              <w:rPr>
                <w:rFonts w:ascii="Arial" w:hAnsi="Arial"/>
                <w:b/>
                <w:sz w:val="14"/>
              </w:rPr>
            </w:pPr>
            <w:r>
              <w:rPr>
                <w:rFonts w:ascii="Arial" w:hAnsi="Arial"/>
                <w:b/>
                <w:sz w:val="14"/>
              </w:rPr>
              <w:t>M</w:t>
            </w:r>
          </w:p>
          <w:p w:rsidR="008112A9" w:rsidRPr="002E0C7E" w:rsidRDefault="008112A9" w:rsidP="00046B92">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13</w:t>
            </w:r>
          </w:p>
        </w:tc>
      </w:tr>
      <w:tr w:rsidR="008112A9" w:rsidRPr="002E0C7E" w:rsidTr="00046B92">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046B92">
            <w:pPr>
              <w:widowControl w:val="0"/>
              <w:jc w:val="center"/>
              <w:rPr>
                <w:rFonts w:ascii="Arial" w:hAnsi="Arial"/>
                <w:b/>
                <w:sz w:val="14"/>
              </w:rPr>
            </w:pPr>
            <w:r>
              <w:rPr>
                <w:rFonts w:ascii="Arial" w:hAnsi="Arial"/>
                <w:b/>
                <w:sz w:val="14"/>
              </w:rPr>
              <w:t>M</w:t>
            </w: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046B92">
            <w:pPr>
              <w:widowControl w:val="0"/>
              <w:jc w:val="center"/>
              <w:rPr>
                <w:rFonts w:ascii="Arial" w:hAnsi="Arial"/>
                <w:b/>
                <w:sz w:val="14"/>
              </w:rPr>
            </w:pPr>
          </w:p>
          <w:p w:rsidR="008112A9" w:rsidRPr="002E0C7E" w:rsidRDefault="008112A9" w:rsidP="00046B92">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046B92">
            <w:pPr>
              <w:widowControl w:val="0"/>
              <w:jc w:val="center"/>
              <w:rPr>
                <w:rFonts w:ascii="Arial" w:hAnsi="Arial"/>
                <w:b/>
                <w:sz w:val="14"/>
              </w:rPr>
            </w:pPr>
            <w:r w:rsidRPr="002453E3">
              <w:rPr>
                <w:rFonts w:ascii="Arial" w:hAnsi="Arial"/>
                <w:b/>
                <w:sz w:val="14"/>
              </w:rPr>
              <w:t>M</w:t>
            </w: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20</w:t>
            </w:r>
          </w:p>
        </w:tc>
      </w:tr>
      <w:tr w:rsidR="008112A9" w:rsidRPr="002E0C7E" w:rsidTr="00046B92">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046B92">
            <w:pPr>
              <w:widowControl w:val="0"/>
              <w:jc w:val="center"/>
              <w:rPr>
                <w:rFonts w:ascii="Arial" w:hAnsi="Arial"/>
                <w:b/>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046B92">
            <w:pPr>
              <w:widowControl w:val="0"/>
              <w:jc w:val="center"/>
              <w:rPr>
                <w:rFonts w:ascii="Arial" w:hAnsi="Arial"/>
                <w:b/>
                <w:sz w:val="14"/>
              </w:rPr>
            </w:pPr>
            <w:r>
              <w:rPr>
                <w:rFonts w:ascii="Arial" w:hAnsi="Arial"/>
                <w:b/>
                <w:sz w:val="14"/>
              </w:rPr>
              <w:t>H</w:t>
            </w:r>
          </w:p>
          <w:p w:rsidR="008112A9" w:rsidRPr="002E0C7E" w:rsidRDefault="008112A9" w:rsidP="00046B92">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046B92">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046B92">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046B92">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46B92">
            <w:pPr>
              <w:widowControl w:val="0"/>
              <w:jc w:val="center"/>
              <w:rPr>
                <w:rFonts w:ascii="Arial" w:hAnsi="Arial"/>
                <w:sz w:val="14"/>
              </w:rPr>
            </w:pPr>
          </w:p>
          <w:p w:rsidR="008112A9" w:rsidRPr="002E0C7E" w:rsidRDefault="008112A9" w:rsidP="00046B92">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046B92">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046B92">
            <w:pPr>
              <w:widowControl w:val="0"/>
              <w:rPr>
                <w:rFonts w:ascii="Arial" w:hAnsi="Arial"/>
                <w:sz w:val="16"/>
              </w:rPr>
            </w:pPr>
            <w:r w:rsidRPr="002E0C7E">
              <w:rPr>
                <w:rFonts w:ascii="Arial" w:hAnsi="Arial"/>
                <w:sz w:val="16"/>
              </w:rPr>
              <w:t>Sittings of the court:</w:t>
            </w:r>
          </w:p>
          <w:p w:rsidR="008112A9" w:rsidRPr="002E0C7E" w:rsidRDefault="008112A9" w:rsidP="00046B92">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046B92">
            <w:pPr>
              <w:widowControl w:val="0"/>
              <w:rPr>
                <w:rFonts w:ascii="Arial" w:hAnsi="Arial"/>
                <w:sz w:val="16"/>
              </w:rPr>
            </w:pPr>
          </w:p>
          <w:p w:rsidR="008112A9" w:rsidRPr="002E0C7E" w:rsidRDefault="008112A9" w:rsidP="00046B9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046B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046B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046B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046B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046B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046B9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046B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046B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046B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046B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046B9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046B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046B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046B9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046B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6"/>
      <w:footerReference w:type="default" r:id="rId9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C14" w:rsidRDefault="00381C14" w:rsidP="00A87207">
      <w:r>
        <w:separator/>
      </w:r>
    </w:p>
  </w:endnote>
  <w:endnote w:type="continuationSeparator" w:id="0">
    <w:p w:rsidR="00381C14" w:rsidRDefault="00381C1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7F638F">
    <w:pPr>
      <w:pStyle w:val="Footer"/>
      <w:rPr>
        <w:lang w:val="fr-CA"/>
      </w:rPr>
    </w:pPr>
    <w:r>
      <w:rPr>
        <w:lang w:val="fr-CA"/>
      </w:rPr>
      <w:pict>
        <v:rect id="_x0000_i1051" style="width:480.95pt;height:1pt" o:hralign="center" o:hrstd="t" o:hrnoshade="t" o:hr="t" fillcolor="black [3213]" stroked="f"/>
      </w:pict>
    </w:r>
  </w:p>
  <w:p w:rsidR="00381C14" w:rsidRDefault="00381C14" w:rsidP="00245129">
    <w:pPr>
      <w:tabs>
        <w:tab w:val="center" w:pos="4680"/>
      </w:tabs>
    </w:pPr>
    <w:r>
      <w:tab/>
    </w:r>
    <w:r w:rsidRPr="0009648D">
      <w:t xml:space="preserve">- </w:t>
    </w:r>
    <w:r w:rsidR="0063742E">
      <w:fldChar w:fldCharType="begin"/>
    </w:r>
    <w:r w:rsidR="0063742E">
      <w:instrText xml:space="preserve"> PAGE   \* MERGEFORMAT </w:instrText>
    </w:r>
    <w:r w:rsidR="0063742E">
      <w:fldChar w:fldCharType="separate"/>
    </w:r>
    <w:r w:rsidR="007F638F">
      <w:rPr>
        <w:noProof/>
      </w:rPr>
      <w:t>898</w:t>
    </w:r>
    <w:r w:rsidR="0063742E">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81C14"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81C14" w:rsidRDefault="00381C14">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7F638F" w:rsidP="00755F22">
    <w:pPr>
      <w:tabs>
        <w:tab w:val="left" w:pos="-1440"/>
        <w:tab w:val="left" w:pos="-720"/>
      </w:tabs>
    </w:pPr>
    <w:r>
      <w:pict>
        <v:rect id="_x0000_i1054" style="width:480.95pt;height:1pt" o:hralign="center" o:hrstd="t" o:hrnoshade="t" o:hr="t" fillcolor="black [3213]" stroked="f"/>
      </w:pict>
    </w:r>
  </w:p>
  <w:p w:rsidR="00381C14" w:rsidRDefault="00381C14" w:rsidP="00EB2B90">
    <w:pPr>
      <w:tabs>
        <w:tab w:val="center" w:pos="4680"/>
      </w:tabs>
    </w:pPr>
    <w:r>
      <w:tab/>
      <w:t xml:space="preserve">- </w:t>
    </w:r>
    <w:r w:rsidR="0063742E">
      <w:fldChar w:fldCharType="begin"/>
    </w:r>
    <w:r w:rsidR="0063742E">
      <w:instrText xml:space="preserve"> PAGE   \* MERGEFORMAT </w:instrText>
    </w:r>
    <w:r w:rsidR="0063742E">
      <w:fldChar w:fldCharType="separate"/>
    </w:r>
    <w:r w:rsidR="007F638F">
      <w:rPr>
        <w:noProof/>
      </w:rPr>
      <w:t>915</w:t>
    </w:r>
    <w:r w:rsidR="0063742E">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7F638F" w:rsidP="00EB2B90">
    <w:pPr>
      <w:tabs>
        <w:tab w:val="center" w:pos="4680"/>
      </w:tabs>
    </w:pPr>
    <w:r>
      <w:pict>
        <v:rect id="_x0000_i1055" style="width:480.95pt;height:1pt" o:hralign="center" o:hrstd="t" o:hrnoshade="t" o:hr="t" fillcolor="black [3213]" stroked="f"/>
      </w:pict>
    </w:r>
  </w:p>
  <w:p w:rsidR="00381C14" w:rsidRPr="0031432F" w:rsidRDefault="00381C14" w:rsidP="00EB2B90">
    <w:pPr>
      <w:tabs>
        <w:tab w:val="center" w:pos="4680"/>
      </w:tabs>
    </w:pPr>
    <w:r>
      <w:tab/>
      <w:t xml:space="preserve">- </w:t>
    </w:r>
    <w:r w:rsidR="0063742E">
      <w:fldChar w:fldCharType="begin"/>
    </w:r>
    <w:r w:rsidR="0063742E">
      <w:instrText xml:space="preserve"> PAGE   \* MERGEFORMAT </w:instrText>
    </w:r>
    <w:r w:rsidR="0063742E">
      <w:fldChar w:fldCharType="separate"/>
    </w:r>
    <w:r w:rsidR="007F638F">
      <w:rPr>
        <w:noProof/>
      </w:rPr>
      <w:t>914</w:t>
    </w:r>
    <w:r w:rsidR="0063742E">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81C14"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81C14" w:rsidRDefault="00381C14">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7F6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381C14" w:rsidRDefault="00381C14" w:rsidP="00EB2B90">
    <w:pPr>
      <w:tabs>
        <w:tab w:val="center" w:pos="4680"/>
      </w:tabs>
    </w:pPr>
    <w:r>
      <w:tab/>
      <w:t xml:space="preserve">- </w:t>
    </w:r>
    <w:r w:rsidR="0063742E">
      <w:fldChar w:fldCharType="begin"/>
    </w:r>
    <w:r w:rsidR="0063742E">
      <w:instrText xml:space="preserve"> PAGE   \* MERGEFORMAT </w:instrText>
    </w:r>
    <w:r w:rsidR="0063742E">
      <w:fldChar w:fldCharType="separate"/>
    </w:r>
    <w:r>
      <w:rPr>
        <w:noProof/>
      </w:rPr>
      <w:t>524</w:t>
    </w:r>
    <w:r w:rsidR="0063742E">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7F638F">
    <w:pPr>
      <w:pStyle w:val="Footer"/>
      <w:rPr>
        <w:lang w:val="fr-CA"/>
      </w:rPr>
    </w:pPr>
    <w:r>
      <w:rPr>
        <w:lang w:val="fr-CA"/>
      </w:rPr>
      <w:pict>
        <v:rect id="_x0000_i1059" style="width:480.95pt;height:1pt" o:hralign="center" o:hrstd="t" o:hrnoshade="t" o:hr="t" fillcolor="black [3213]" stroked="f"/>
      </w:pict>
    </w:r>
  </w:p>
  <w:p w:rsidR="00381C14" w:rsidRDefault="00381C14" w:rsidP="00EB2B90">
    <w:pPr>
      <w:tabs>
        <w:tab w:val="center" w:pos="4680"/>
      </w:tabs>
    </w:pPr>
    <w:r>
      <w:tab/>
      <w:t xml:space="preserve">- </w:t>
    </w:r>
    <w:r w:rsidR="0063742E">
      <w:fldChar w:fldCharType="begin"/>
    </w:r>
    <w:r w:rsidR="0063742E">
      <w:instrText xml:space="preserve"> PAGE   \* MERGEFORMAT </w:instrText>
    </w:r>
    <w:r w:rsidR="0063742E">
      <w:fldChar w:fldCharType="separate"/>
    </w:r>
    <w:r w:rsidR="007F638F">
      <w:rPr>
        <w:noProof/>
      </w:rPr>
      <w:t>916</w:t>
    </w:r>
    <w:r w:rsidR="0063742E">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81C14"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81C14" w:rsidRDefault="00381C14">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7F638F" w:rsidP="00732DB7">
    <w:r>
      <w:pict>
        <v:rect id="_x0000_i1063" style="width:480.95pt;height:1pt" o:hralign="center" o:hrstd="t" o:hrnoshade="t" o:hr="t" fillcolor="black" stroked="f"/>
      </w:pict>
    </w:r>
  </w:p>
  <w:p w:rsidR="00381C14" w:rsidRDefault="00381C14">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7F638F">
    <w:pPr>
      <w:pStyle w:val="Footer"/>
    </w:pPr>
    <w:r>
      <w:pict>
        <v:rect id="_x0000_i1064" style="width:480.95pt;height:1pt" o:hralign="center" o:hrstd="t" o:hrnoshade="t" o:hr="t" fillcolor="black" stroked="f"/>
      </w:pict>
    </w:r>
  </w:p>
  <w:p w:rsidR="00381C14" w:rsidRPr="00283C52" w:rsidRDefault="00381C14">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81C14"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81C14" w:rsidRDefault="00381C14">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7F638F" w:rsidP="00732DB7">
    <w:r>
      <w:pict>
        <v:rect id="_x0000_i1068" style="width:480.95pt;height:1pt" o:hralign="center" o:hrstd="t" o:hrnoshade="t" o:hr="t" fillcolor="black" stroked="f"/>
      </w:pict>
    </w:r>
  </w:p>
  <w:p w:rsidR="00381C14" w:rsidRDefault="00381C14">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7F638F">
    <w:pPr>
      <w:pStyle w:val="Footer"/>
    </w:pPr>
    <w:r>
      <w:pict>
        <v:rect id="_x0000_i1069" style="width:480.95pt;height:1pt" o:hralign="center" o:hrstd="t" o:hrnoshade="t" o:hr="t" fillcolor="black [3213]" stroked="f"/>
      </w:pict>
    </w:r>
  </w:p>
  <w:p w:rsidR="00381C14" w:rsidRPr="003C2C0F" w:rsidRDefault="00381C14" w:rsidP="00697C62">
    <w:pPr>
      <w:tabs>
        <w:tab w:val="center" w:pos="4680"/>
      </w:tabs>
    </w:pPr>
    <w:r>
      <w:tab/>
      <w:t xml:space="preserve">- </w:t>
    </w:r>
    <w:r w:rsidR="0063742E">
      <w:fldChar w:fldCharType="begin"/>
    </w:r>
    <w:r w:rsidR="0063742E">
      <w:instrText xml:space="preserve"> PAGE   \* MERGEFORMAT </w:instrText>
    </w:r>
    <w:r w:rsidR="0063742E">
      <w:fldChar w:fldCharType="separate"/>
    </w:r>
    <w:r w:rsidR="007F638F">
      <w:rPr>
        <w:noProof/>
      </w:rPr>
      <w:t>921</w:t>
    </w:r>
    <w:r w:rsidR="0063742E">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81C14"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81C14" w:rsidRDefault="00381C14">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81C14" w:rsidRDefault="007F6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4" style="width:480.95pt;height:1pt" o:hralign="center" o:hrstd="t" o:hrnoshade="t" o:hr="t" fillcolor="black [3213]" stroked="f"/>
      </w:pict>
    </w:r>
  </w:p>
  <w:p w:rsidR="00381C14" w:rsidRDefault="00381C14" w:rsidP="00782AE4">
    <w:pPr>
      <w:tabs>
        <w:tab w:val="center" w:pos="4680"/>
      </w:tabs>
    </w:pPr>
    <w:r>
      <w:tab/>
      <w:t xml:space="preserve">- </w:t>
    </w:r>
    <w:r w:rsidR="009E7629" w:rsidRPr="001775C1">
      <w:rPr>
        <w:szCs w:val="24"/>
      </w:rPr>
      <w:fldChar w:fldCharType="begin"/>
    </w:r>
    <w:r w:rsidRPr="001775C1">
      <w:rPr>
        <w:szCs w:val="24"/>
      </w:rPr>
      <w:instrText xml:space="preserve"> PAGE   \* MERGEFORMAT </w:instrText>
    </w:r>
    <w:r w:rsidR="009E7629" w:rsidRPr="001775C1">
      <w:rPr>
        <w:szCs w:val="24"/>
      </w:rPr>
      <w:fldChar w:fldCharType="separate"/>
    </w:r>
    <w:r w:rsidR="007F638F">
      <w:rPr>
        <w:noProof/>
        <w:szCs w:val="24"/>
      </w:rPr>
      <w:t>938</w:t>
    </w:r>
    <w:r w:rsidR="009E7629"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7F638F" w:rsidP="00782AE4">
    <w:pPr>
      <w:tabs>
        <w:tab w:val="center" w:pos="4680"/>
      </w:tabs>
    </w:pPr>
    <w:r>
      <w:pict>
        <v:rect id="_x0000_i1075" style="width:480.95pt;height:1pt" o:hralign="center" o:hrstd="t" o:hrnoshade="t" o:hr="t" fillcolor="black [3213]" stroked="f"/>
      </w:pict>
    </w:r>
  </w:p>
  <w:p w:rsidR="00381C14" w:rsidRDefault="00381C14" w:rsidP="00782AE4">
    <w:pPr>
      <w:tabs>
        <w:tab w:val="center" w:pos="4680"/>
      </w:tabs>
    </w:pPr>
    <w:r>
      <w:tab/>
      <w:t xml:space="preserve">- </w:t>
    </w:r>
    <w:r w:rsidR="009E7629" w:rsidRPr="001775C1">
      <w:rPr>
        <w:szCs w:val="24"/>
      </w:rPr>
      <w:fldChar w:fldCharType="begin"/>
    </w:r>
    <w:r w:rsidRPr="001775C1">
      <w:rPr>
        <w:szCs w:val="24"/>
      </w:rPr>
      <w:instrText xml:space="preserve"> PAGE   \* MERGEFORMAT </w:instrText>
    </w:r>
    <w:r w:rsidR="009E7629" w:rsidRPr="001775C1">
      <w:rPr>
        <w:szCs w:val="24"/>
      </w:rPr>
      <w:fldChar w:fldCharType="separate"/>
    </w:r>
    <w:r w:rsidR="007F638F">
      <w:rPr>
        <w:noProof/>
        <w:szCs w:val="24"/>
      </w:rPr>
      <w:t>923</w:t>
    </w:r>
    <w:r w:rsidR="009E7629"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Pr="00924065" w:rsidRDefault="00381C14"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7F638F" w:rsidP="00A87207">
    <w:pPr>
      <w:pStyle w:val="Footer"/>
    </w:pPr>
    <w:r>
      <w:pict>
        <v:rect id="_x0000_i1029" style="width:480.95pt;height:1pt" o:hralign="center" o:hrstd="t" o:hrnoshade="t" o:hr="t" fillcolor="black [3213]" stroked="f"/>
      </w:pict>
    </w:r>
  </w:p>
  <w:p w:rsidR="00381C14" w:rsidRPr="00B7374B" w:rsidRDefault="00381C14" w:rsidP="00B7374B">
    <w:pPr>
      <w:tabs>
        <w:tab w:val="center" w:pos="4680"/>
      </w:tabs>
      <w:rPr>
        <w:szCs w:val="24"/>
      </w:rPr>
    </w:pPr>
    <w:r w:rsidRPr="00954D22">
      <w:rPr>
        <w:szCs w:val="24"/>
      </w:rPr>
      <w:tab/>
      <w:t xml:space="preserve">- </w:t>
    </w:r>
    <w:r w:rsidR="009E7629" w:rsidRPr="00954D22">
      <w:rPr>
        <w:szCs w:val="24"/>
      </w:rPr>
      <w:fldChar w:fldCharType="begin"/>
    </w:r>
    <w:r w:rsidRPr="00954D22">
      <w:rPr>
        <w:szCs w:val="24"/>
      </w:rPr>
      <w:instrText xml:space="preserve"> PAGE   \* MERGEFORMAT </w:instrText>
    </w:r>
    <w:r w:rsidR="009E7629" w:rsidRPr="00954D22">
      <w:rPr>
        <w:szCs w:val="24"/>
      </w:rPr>
      <w:fldChar w:fldCharType="separate"/>
    </w:r>
    <w:r>
      <w:rPr>
        <w:noProof/>
        <w:szCs w:val="24"/>
      </w:rPr>
      <w:t>897</w:t>
    </w:r>
    <w:r w:rsidR="009E7629"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7F638F" w:rsidP="00755F22">
    <w:pPr>
      <w:tabs>
        <w:tab w:val="left" w:pos="-1440"/>
        <w:tab w:val="left" w:pos="-720"/>
      </w:tabs>
    </w:pPr>
    <w:r>
      <w:pict>
        <v:rect id="_x0000_i1030" style="width:480.95pt;height:1pt" o:hralign="center" o:hrstd="t" o:hrnoshade="t" o:hr="t" fillcolor="black [3213]" stroked="f"/>
      </w:pict>
    </w:r>
  </w:p>
  <w:p w:rsidR="00381C14" w:rsidRPr="00954D22" w:rsidRDefault="00381C14" w:rsidP="00B7374B">
    <w:pPr>
      <w:tabs>
        <w:tab w:val="center" w:pos="4680"/>
      </w:tabs>
      <w:rPr>
        <w:szCs w:val="24"/>
      </w:rPr>
    </w:pPr>
    <w:r w:rsidRPr="00954D22">
      <w:rPr>
        <w:szCs w:val="24"/>
      </w:rPr>
      <w:tab/>
      <w:t xml:space="preserve">- </w:t>
    </w:r>
    <w:r w:rsidR="009E7629">
      <w:rPr>
        <w:szCs w:val="24"/>
      </w:rPr>
      <w:fldChar w:fldCharType="begin"/>
    </w:r>
    <w:r>
      <w:rPr>
        <w:szCs w:val="24"/>
      </w:rPr>
      <w:instrText xml:space="preserve"> PAGE   \* MERGEFORMAT </w:instrText>
    </w:r>
    <w:r w:rsidR="009E7629">
      <w:rPr>
        <w:szCs w:val="24"/>
      </w:rPr>
      <w:fldChar w:fldCharType="separate"/>
    </w:r>
    <w:r w:rsidR="007F638F">
      <w:rPr>
        <w:noProof/>
        <w:szCs w:val="24"/>
      </w:rPr>
      <w:t>896</w:t>
    </w:r>
    <w:r w:rsidR="009E7629">
      <w:rPr>
        <w:szCs w:val="24"/>
      </w:rPr>
      <w:fldChar w:fldCharType="end"/>
    </w:r>
    <w:r w:rsidRPr="00954D22">
      <w:rPr>
        <w:szCs w:val="24"/>
      </w:rPr>
      <w:t xml:space="preserve"> -</w:t>
    </w:r>
  </w:p>
  <w:p w:rsidR="00381C14" w:rsidRDefault="00381C1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7F638F" w:rsidP="00A87207">
    <w:pPr>
      <w:pStyle w:val="Footer"/>
    </w:pPr>
    <w:r>
      <w:pict>
        <v:rect id="_x0000_i1032" style="width:480.95pt;height:1pt" o:hralign="center" o:hrstd="t" o:hrnoshade="t" o:hr="t" fillcolor="black [3213]" stroked="f"/>
      </w:pict>
    </w:r>
  </w:p>
  <w:p w:rsidR="00381C14" w:rsidRPr="00B7374B" w:rsidRDefault="00381C14" w:rsidP="00B7374B">
    <w:pPr>
      <w:tabs>
        <w:tab w:val="center" w:pos="4680"/>
      </w:tabs>
      <w:rPr>
        <w:szCs w:val="24"/>
      </w:rPr>
    </w:pPr>
    <w:r w:rsidRPr="00954D22">
      <w:rPr>
        <w:szCs w:val="24"/>
      </w:rPr>
      <w:tab/>
      <w:t xml:space="preserve">- </w:t>
    </w:r>
    <w:r w:rsidR="009E7629" w:rsidRPr="00954D22">
      <w:rPr>
        <w:szCs w:val="24"/>
      </w:rPr>
      <w:fldChar w:fldCharType="begin"/>
    </w:r>
    <w:r w:rsidRPr="00954D22">
      <w:rPr>
        <w:szCs w:val="24"/>
      </w:rPr>
      <w:instrText xml:space="preserve"> PAGE   \* MERGEFORMAT </w:instrText>
    </w:r>
    <w:r w:rsidR="009E7629" w:rsidRPr="00954D22">
      <w:rPr>
        <w:szCs w:val="24"/>
      </w:rPr>
      <w:fldChar w:fldCharType="separate"/>
    </w:r>
    <w:r>
      <w:rPr>
        <w:noProof/>
        <w:szCs w:val="24"/>
      </w:rPr>
      <w:t>899</w:t>
    </w:r>
    <w:r w:rsidR="009E7629"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7F638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381C14" w:rsidRPr="00954D22" w:rsidRDefault="00381C14" w:rsidP="00B7374B">
    <w:pPr>
      <w:tabs>
        <w:tab w:val="center" w:pos="4680"/>
      </w:tabs>
      <w:rPr>
        <w:szCs w:val="24"/>
      </w:rPr>
    </w:pPr>
    <w:r w:rsidRPr="00954D22">
      <w:rPr>
        <w:szCs w:val="24"/>
      </w:rPr>
      <w:tab/>
      <w:t xml:space="preserve">- </w:t>
    </w:r>
    <w:r w:rsidR="009E7629" w:rsidRPr="00954D22">
      <w:rPr>
        <w:szCs w:val="24"/>
      </w:rPr>
      <w:fldChar w:fldCharType="begin"/>
    </w:r>
    <w:r w:rsidRPr="00954D22">
      <w:rPr>
        <w:szCs w:val="24"/>
      </w:rPr>
      <w:instrText xml:space="preserve"> PAGE   \* MERGEFORMAT </w:instrText>
    </w:r>
    <w:r w:rsidR="009E7629" w:rsidRPr="00954D22">
      <w:rPr>
        <w:szCs w:val="24"/>
      </w:rPr>
      <w:fldChar w:fldCharType="separate"/>
    </w:r>
    <w:r w:rsidR="007F638F">
      <w:rPr>
        <w:noProof/>
        <w:szCs w:val="24"/>
      </w:rPr>
      <w:t>897</w:t>
    </w:r>
    <w:r w:rsidR="009E7629"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81C14"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81C14" w:rsidRDefault="00381C14">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7F6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0" style="width:480.95pt;height:1pt" o:hralign="center" o:hrstd="t" o:hrnoshade="t" o:hr="t" fillcolor="black [3213]" stroked="f"/>
      </w:pict>
    </w:r>
  </w:p>
  <w:p w:rsidR="00381C14" w:rsidRPr="0009648D" w:rsidRDefault="00381C14" w:rsidP="00ED7E83">
    <w:pPr>
      <w:tabs>
        <w:tab w:val="center" w:pos="4680"/>
      </w:tabs>
    </w:pPr>
    <w:r>
      <w:tab/>
    </w:r>
    <w:r w:rsidRPr="0009648D">
      <w:t xml:space="preserve">- </w:t>
    </w:r>
    <w:r w:rsidR="0063742E">
      <w:fldChar w:fldCharType="begin"/>
    </w:r>
    <w:r w:rsidR="0063742E">
      <w:instrText xml:space="preserve"> PAGE   \* MERGEFORMAT </w:instrText>
    </w:r>
    <w:r w:rsidR="0063742E">
      <w:fldChar w:fldCharType="separate"/>
    </w:r>
    <w:r w:rsidR="007F638F">
      <w:rPr>
        <w:noProof/>
      </w:rPr>
      <w:t>913</w:t>
    </w:r>
    <w:r w:rsidR="0063742E">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C14" w:rsidRDefault="00381C14" w:rsidP="00A87207">
      <w:r>
        <w:separator/>
      </w:r>
    </w:p>
  </w:footnote>
  <w:footnote w:type="continuationSeparator" w:id="0">
    <w:p w:rsidR="00381C14" w:rsidRDefault="00381C1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81C14">
      <w:tc>
        <w:tcPr>
          <w:tcW w:w="4230" w:type="dxa"/>
          <w:tcMar>
            <w:left w:w="0" w:type="dxa"/>
            <w:right w:w="0" w:type="dxa"/>
          </w:tcMar>
        </w:tcPr>
        <w:p w:rsidR="00381C14"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81C14" w:rsidRDefault="00381C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81C14" w:rsidRDefault="00381C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81C14">
      <w:trPr>
        <w:gridAfter w:val="2"/>
        <w:wAfter w:w="5250" w:type="dxa"/>
      </w:trPr>
      <w:tc>
        <w:tcPr>
          <w:tcW w:w="4230" w:type="dxa"/>
          <w:tcMar>
            <w:left w:w="0" w:type="dxa"/>
            <w:right w:w="0" w:type="dxa"/>
          </w:tcMar>
        </w:tcPr>
        <w:p w:rsidR="00381C14"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81C14"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81C14" w:rsidRPr="00755F22" w:rsidTr="00245129">
      <w:tc>
        <w:tcPr>
          <w:tcW w:w="4230" w:type="dxa"/>
          <w:tcMar>
            <w:left w:w="0" w:type="dxa"/>
            <w:right w:w="0" w:type="dxa"/>
          </w:tcMar>
        </w:tcPr>
        <w:p w:rsidR="00381C14" w:rsidRPr="00755F22" w:rsidRDefault="00381C14" w:rsidP="00831CA9">
          <w:pPr>
            <w:keepNext/>
            <w:keepLines/>
            <w:rPr>
              <w:sz w:val="20"/>
              <w:szCs w:val="20"/>
            </w:rPr>
          </w:pPr>
          <w:r w:rsidRPr="00755F22">
            <w:rPr>
              <w:sz w:val="20"/>
              <w:szCs w:val="20"/>
            </w:rPr>
            <w:t>MOTIONS</w:t>
          </w:r>
        </w:p>
      </w:tc>
      <w:tc>
        <w:tcPr>
          <w:tcW w:w="1170" w:type="dxa"/>
          <w:tcMar>
            <w:left w:w="0" w:type="dxa"/>
            <w:right w:w="0" w:type="dxa"/>
          </w:tcMar>
        </w:tcPr>
        <w:p w:rsidR="00381C14" w:rsidRPr="00755F22" w:rsidRDefault="00381C14" w:rsidP="00831CA9">
          <w:pPr>
            <w:keepLines/>
            <w:jc w:val="center"/>
            <w:rPr>
              <w:sz w:val="20"/>
              <w:szCs w:val="20"/>
            </w:rPr>
          </w:pPr>
        </w:p>
        <w:p w:rsidR="00381C14" w:rsidRPr="00755F22" w:rsidRDefault="00381C14" w:rsidP="00831CA9">
          <w:pPr>
            <w:keepLines/>
            <w:tabs>
              <w:tab w:val="left" w:pos="-1440"/>
              <w:tab w:val="left" w:pos="-720"/>
            </w:tabs>
            <w:jc w:val="center"/>
            <w:rPr>
              <w:sz w:val="20"/>
              <w:szCs w:val="20"/>
            </w:rPr>
          </w:pPr>
        </w:p>
      </w:tc>
      <w:tc>
        <w:tcPr>
          <w:tcW w:w="4080" w:type="dxa"/>
          <w:tcMar>
            <w:left w:w="0" w:type="dxa"/>
            <w:right w:w="0" w:type="dxa"/>
          </w:tcMar>
        </w:tcPr>
        <w:p w:rsidR="00381C14" w:rsidRPr="00BA6468" w:rsidRDefault="00381C14" w:rsidP="00BA6468">
          <w:pPr>
            <w:keepLines/>
            <w:rPr>
              <w:sz w:val="20"/>
              <w:szCs w:val="20"/>
              <w:lang w:val="fr-CA"/>
            </w:rPr>
          </w:pPr>
          <w:r w:rsidRPr="00BA6468">
            <w:rPr>
              <w:sz w:val="20"/>
              <w:szCs w:val="20"/>
              <w:lang w:val="fr-CA"/>
            </w:rPr>
            <w:t>REQUÊTES</w:t>
          </w:r>
        </w:p>
      </w:tc>
    </w:tr>
  </w:tbl>
  <w:p w:rsidR="00381C14" w:rsidRDefault="00381C14"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81C14" w:rsidRPr="00772617">
      <w:tc>
        <w:tcPr>
          <w:tcW w:w="4200" w:type="dxa"/>
          <w:tcMar>
            <w:left w:w="0" w:type="dxa"/>
            <w:right w:w="0" w:type="dxa"/>
          </w:tcMar>
        </w:tcPr>
        <w:p w:rsidR="00381C14"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81C14"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81C14" w:rsidRPr="00B01A03" w:rsidRDefault="00381C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81C14" w:rsidRPr="00B01A03"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81C14" w:rsidRPr="00B01A03"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81C14" w:rsidRPr="00772617" w:rsidTr="00245129">
      <w:tc>
        <w:tcPr>
          <w:tcW w:w="4200" w:type="dxa"/>
          <w:tcMar>
            <w:left w:w="0" w:type="dxa"/>
            <w:right w:w="0" w:type="dxa"/>
          </w:tcMar>
        </w:tcPr>
        <w:p w:rsidR="00381C14" w:rsidRPr="00F40249" w:rsidRDefault="00381C1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81C14" w:rsidRDefault="00381C14" w:rsidP="00102926">
          <w:pPr>
            <w:keepNext/>
            <w:keepLines/>
            <w:tabs>
              <w:tab w:val="left" w:pos="-1440"/>
              <w:tab w:val="left" w:pos="-720"/>
            </w:tabs>
            <w:jc w:val="center"/>
            <w:rPr>
              <w:sz w:val="20"/>
              <w:szCs w:val="20"/>
            </w:rPr>
          </w:pPr>
        </w:p>
        <w:p w:rsidR="00381C14" w:rsidRDefault="00381C14" w:rsidP="00102926">
          <w:pPr>
            <w:keepNext/>
            <w:keepLines/>
            <w:tabs>
              <w:tab w:val="left" w:pos="-1440"/>
              <w:tab w:val="left" w:pos="-720"/>
            </w:tabs>
            <w:jc w:val="center"/>
            <w:rPr>
              <w:sz w:val="20"/>
              <w:szCs w:val="20"/>
            </w:rPr>
          </w:pPr>
        </w:p>
        <w:p w:rsidR="00381C14" w:rsidRPr="00F40249" w:rsidRDefault="00381C14" w:rsidP="00102926">
          <w:pPr>
            <w:keepNext/>
            <w:keepLines/>
            <w:tabs>
              <w:tab w:val="left" w:pos="-1440"/>
              <w:tab w:val="left" w:pos="-720"/>
            </w:tabs>
            <w:jc w:val="center"/>
            <w:rPr>
              <w:sz w:val="20"/>
              <w:szCs w:val="20"/>
            </w:rPr>
          </w:pPr>
        </w:p>
      </w:tc>
      <w:tc>
        <w:tcPr>
          <w:tcW w:w="4230" w:type="dxa"/>
          <w:tcMar>
            <w:left w:w="0" w:type="dxa"/>
            <w:right w:w="0" w:type="dxa"/>
          </w:tcMar>
        </w:tcPr>
        <w:p w:rsidR="00381C14" w:rsidRPr="00F40249" w:rsidRDefault="00381C1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81C14" w:rsidRPr="00B01A03" w:rsidRDefault="00381C1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81C14" w:rsidRPr="00772617">
      <w:tc>
        <w:tcPr>
          <w:tcW w:w="4200" w:type="dxa"/>
          <w:tcMar>
            <w:left w:w="0" w:type="dxa"/>
            <w:right w:w="0" w:type="dxa"/>
          </w:tcMar>
        </w:tcPr>
        <w:p w:rsidR="00381C14"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81C14"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81C14" w:rsidRPr="00283C52" w:rsidRDefault="00381C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81C14" w:rsidRPr="00283C52"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81C14" w:rsidRPr="00283C52"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81C14" w:rsidRPr="00772617" w:rsidTr="00245129">
      <w:tc>
        <w:tcPr>
          <w:tcW w:w="4200" w:type="dxa"/>
          <w:tcMar>
            <w:left w:w="0" w:type="dxa"/>
            <w:right w:w="0" w:type="dxa"/>
          </w:tcMar>
        </w:tcPr>
        <w:p w:rsidR="00381C14" w:rsidRPr="00732DB7" w:rsidRDefault="00381C14"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381C14" w:rsidRPr="00732DB7" w:rsidRDefault="00381C14" w:rsidP="00732DB7">
          <w:pPr>
            <w:keepNext/>
            <w:keepLines/>
            <w:tabs>
              <w:tab w:val="left" w:pos="-1440"/>
              <w:tab w:val="left" w:pos="-720"/>
            </w:tabs>
            <w:jc w:val="center"/>
            <w:rPr>
              <w:sz w:val="20"/>
              <w:szCs w:val="20"/>
            </w:rPr>
          </w:pPr>
        </w:p>
        <w:p w:rsidR="00381C14" w:rsidRPr="00732DB7" w:rsidRDefault="00381C14" w:rsidP="00732DB7">
          <w:pPr>
            <w:keepNext/>
            <w:keepLines/>
            <w:tabs>
              <w:tab w:val="left" w:pos="-1440"/>
              <w:tab w:val="left" w:pos="-720"/>
            </w:tabs>
            <w:jc w:val="center"/>
            <w:rPr>
              <w:sz w:val="20"/>
              <w:szCs w:val="20"/>
            </w:rPr>
          </w:pPr>
        </w:p>
        <w:p w:rsidR="00381C14" w:rsidRPr="00732DB7" w:rsidRDefault="00381C14" w:rsidP="00732DB7">
          <w:pPr>
            <w:keepNext/>
            <w:keepLines/>
            <w:tabs>
              <w:tab w:val="left" w:pos="-1440"/>
              <w:tab w:val="left" w:pos="-720"/>
            </w:tabs>
            <w:jc w:val="center"/>
            <w:rPr>
              <w:sz w:val="20"/>
              <w:szCs w:val="20"/>
            </w:rPr>
          </w:pPr>
        </w:p>
      </w:tc>
      <w:tc>
        <w:tcPr>
          <w:tcW w:w="4080" w:type="dxa"/>
          <w:tcMar>
            <w:left w:w="0" w:type="dxa"/>
            <w:right w:w="0" w:type="dxa"/>
          </w:tcMar>
        </w:tcPr>
        <w:p w:rsidR="00381C14" w:rsidRPr="00732DB7" w:rsidRDefault="00381C14"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81C14" w:rsidRPr="00283C52" w:rsidRDefault="00381C14"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81C14" w:rsidRPr="00772617">
      <w:tc>
        <w:tcPr>
          <w:tcW w:w="4200" w:type="dxa"/>
          <w:tcMar>
            <w:left w:w="0" w:type="dxa"/>
            <w:right w:w="0" w:type="dxa"/>
          </w:tcMar>
        </w:tcPr>
        <w:p w:rsidR="00381C14"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81C14"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81C14"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81C14" w:rsidRPr="003C2C0F" w:rsidRDefault="00381C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81C14" w:rsidRPr="003C2C0F"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81C14" w:rsidRPr="003C2C0F"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81C14" w:rsidRPr="00772617" w:rsidTr="00245129">
      <w:tc>
        <w:tcPr>
          <w:tcW w:w="4200" w:type="dxa"/>
          <w:tcMar>
            <w:left w:w="0" w:type="dxa"/>
            <w:right w:w="0" w:type="dxa"/>
          </w:tcMar>
        </w:tcPr>
        <w:p w:rsidR="00381C14" w:rsidRPr="00FF6EEC" w:rsidRDefault="00381C14" w:rsidP="00FF6EEC">
          <w:pPr>
            <w:rPr>
              <w:sz w:val="20"/>
              <w:szCs w:val="20"/>
            </w:rPr>
          </w:pPr>
          <w:r w:rsidRPr="00FF6EEC">
            <w:rPr>
              <w:sz w:val="20"/>
              <w:szCs w:val="20"/>
            </w:rPr>
            <w:t>PRONOUNCEMENTS OF APPEALS RESERVED</w:t>
          </w:r>
        </w:p>
      </w:tc>
      <w:tc>
        <w:tcPr>
          <w:tcW w:w="1200" w:type="dxa"/>
          <w:tcMar>
            <w:left w:w="0" w:type="dxa"/>
            <w:right w:w="0" w:type="dxa"/>
          </w:tcMar>
        </w:tcPr>
        <w:p w:rsidR="00381C14" w:rsidRPr="00FF6EEC" w:rsidRDefault="00381C14" w:rsidP="00FF6EEC">
          <w:pPr>
            <w:jc w:val="center"/>
            <w:rPr>
              <w:sz w:val="20"/>
              <w:szCs w:val="20"/>
            </w:rPr>
          </w:pPr>
        </w:p>
        <w:p w:rsidR="00381C14" w:rsidRPr="00FF6EEC" w:rsidRDefault="00381C14" w:rsidP="00FF6EEC">
          <w:pPr>
            <w:jc w:val="center"/>
            <w:rPr>
              <w:sz w:val="20"/>
              <w:szCs w:val="20"/>
            </w:rPr>
          </w:pPr>
        </w:p>
        <w:p w:rsidR="00381C14" w:rsidRPr="00FF6EEC" w:rsidRDefault="00381C14" w:rsidP="00FF6EEC">
          <w:pPr>
            <w:jc w:val="center"/>
            <w:rPr>
              <w:sz w:val="20"/>
              <w:szCs w:val="20"/>
            </w:rPr>
          </w:pPr>
        </w:p>
      </w:tc>
      <w:tc>
        <w:tcPr>
          <w:tcW w:w="4080" w:type="dxa"/>
          <w:tcMar>
            <w:left w:w="0" w:type="dxa"/>
            <w:right w:w="0" w:type="dxa"/>
          </w:tcMar>
        </w:tcPr>
        <w:p w:rsidR="00381C14" w:rsidRPr="00FF6EEC" w:rsidRDefault="00381C14" w:rsidP="00FF6EEC">
          <w:pPr>
            <w:rPr>
              <w:sz w:val="20"/>
              <w:szCs w:val="20"/>
              <w:lang w:val="fr-CA"/>
            </w:rPr>
          </w:pPr>
          <w:r w:rsidRPr="00FF6EEC">
            <w:rPr>
              <w:sz w:val="20"/>
              <w:szCs w:val="20"/>
              <w:lang w:val="fr-CA"/>
            </w:rPr>
            <w:t>JUGEMENTS RENDUS SUR LES APPELS EN DÉLIBÉRÉ</w:t>
          </w:r>
        </w:p>
      </w:tc>
    </w:tr>
  </w:tbl>
  <w:p w:rsidR="00381C14" w:rsidRPr="003C2C0F" w:rsidRDefault="00381C14"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81C14">
      <w:tc>
        <w:tcPr>
          <w:tcW w:w="4230" w:type="dxa"/>
          <w:tcMar>
            <w:left w:w="0" w:type="dxa"/>
            <w:right w:w="0" w:type="dxa"/>
          </w:tcMar>
        </w:tcPr>
        <w:p w:rsidR="00381C14"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81C14"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81C14"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81C14"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81C14"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81C14" w:rsidRDefault="00381C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81C14"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81C14"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81C14" w:rsidRPr="00782AE4" w:rsidTr="00245129">
      <w:tc>
        <w:tcPr>
          <w:tcW w:w="4230" w:type="dxa"/>
          <w:tcMar>
            <w:left w:w="0" w:type="dxa"/>
            <w:right w:w="0" w:type="dxa"/>
          </w:tcMar>
        </w:tcPr>
        <w:p w:rsidR="00381C14" w:rsidRPr="00782AE4" w:rsidRDefault="00381C14" w:rsidP="00102926">
          <w:pPr>
            <w:keepNext/>
            <w:keepLines/>
            <w:tabs>
              <w:tab w:val="left" w:pos="-1440"/>
              <w:tab w:val="left" w:pos="-720"/>
            </w:tabs>
            <w:rPr>
              <w:sz w:val="20"/>
              <w:szCs w:val="20"/>
            </w:rPr>
          </w:pPr>
          <w:r w:rsidRPr="00782AE4">
            <w:rPr>
              <w:sz w:val="20"/>
              <w:szCs w:val="20"/>
            </w:rPr>
            <w:t xml:space="preserve">HEADNOTES OF RECENT </w:t>
          </w:r>
        </w:p>
        <w:p w:rsidR="00381C14" w:rsidRPr="00782AE4"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81C14" w:rsidRDefault="00381C14" w:rsidP="00102926">
          <w:pPr>
            <w:keepNext/>
            <w:keepLines/>
            <w:tabs>
              <w:tab w:val="left" w:pos="-1440"/>
              <w:tab w:val="left" w:pos="-720"/>
            </w:tabs>
            <w:jc w:val="center"/>
            <w:rPr>
              <w:sz w:val="20"/>
              <w:szCs w:val="20"/>
            </w:rPr>
          </w:pPr>
        </w:p>
        <w:p w:rsidR="00381C14" w:rsidRDefault="00381C14" w:rsidP="00102926">
          <w:pPr>
            <w:keepNext/>
            <w:keepLines/>
            <w:tabs>
              <w:tab w:val="left" w:pos="-1440"/>
              <w:tab w:val="left" w:pos="-720"/>
            </w:tabs>
            <w:jc w:val="center"/>
            <w:rPr>
              <w:sz w:val="20"/>
              <w:szCs w:val="20"/>
            </w:rPr>
          </w:pPr>
        </w:p>
        <w:p w:rsidR="00381C14" w:rsidRPr="00782AE4" w:rsidRDefault="00381C14" w:rsidP="00102926">
          <w:pPr>
            <w:keepNext/>
            <w:keepLines/>
            <w:tabs>
              <w:tab w:val="left" w:pos="-1440"/>
              <w:tab w:val="left" w:pos="-720"/>
            </w:tabs>
            <w:jc w:val="center"/>
            <w:rPr>
              <w:sz w:val="20"/>
              <w:szCs w:val="20"/>
            </w:rPr>
          </w:pPr>
        </w:p>
      </w:tc>
      <w:tc>
        <w:tcPr>
          <w:tcW w:w="4080" w:type="dxa"/>
          <w:tcMar>
            <w:left w:w="0" w:type="dxa"/>
            <w:right w:w="0" w:type="dxa"/>
          </w:tcMar>
        </w:tcPr>
        <w:p w:rsidR="00381C14" w:rsidRPr="00102926"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81C14" w:rsidRPr="00782AE4" w:rsidRDefault="00381C14" w:rsidP="00102926">
          <w:pPr>
            <w:keepLines/>
            <w:tabs>
              <w:tab w:val="left" w:pos="-1440"/>
              <w:tab w:val="left" w:pos="-720"/>
            </w:tabs>
            <w:rPr>
              <w:sz w:val="20"/>
              <w:szCs w:val="20"/>
            </w:rPr>
          </w:pPr>
          <w:r w:rsidRPr="00102926">
            <w:rPr>
              <w:sz w:val="20"/>
              <w:szCs w:val="20"/>
              <w:lang w:val="fr-CA"/>
            </w:rPr>
            <w:t>RÉCENTS</w:t>
          </w:r>
        </w:p>
      </w:tc>
    </w:tr>
  </w:tbl>
  <w:p w:rsidR="00381C14" w:rsidRDefault="00381C1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81C14" w:rsidRPr="0044776A" w:rsidTr="00245129">
      <w:tc>
        <w:tcPr>
          <w:tcW w:w="4290" w:type="dxa"/>
          <w:tcMar>
            <w:left w:w="0" w:type="dxa"/>
            <w:right w:w="0" w:type="dxa"/>
          </w:tcMar>
        </w:tcPr>
        <w:p w:rsidR="00381C14" w:rsidRPr="0044776A" w:rsidRDefault="00381C1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81C14" w:rsidRPr="0044776A" w:rsidRDefault="00381C14" w:rsidP="002E2327">
          <w:pPr>
            <w:keepNext/>
            <w:keepLines/>
            <w:tabs>
              <w:tab w:val="left" w:pos="-1440"/>
              <w:tab w:val="left" w:pos="-720"/>
            </w:tabs>
            <w:jc w:val="center"/>
            <w:rPr>
              <w:sz w:val="20"/>
              <w:szCs w:val="20"/>
            </w:rPr>
          </w:pPr>
        </w:p>
        <w:p w:rsidR="00381C14" w:rsidRPr="0044776A" w:rsidRDefault="00381C14" w:rsidP="002E2327">
          <w:pPr>
            <w:keepNext/>
            <w:keepLines/>
            <w:tabs>
              <w:tab w:val="left" w:pos="-1440"/>
              <w:tab w:val="left" w:pos="-720"/>
            </w:tabs>
            <w:jc w:val="center"/>
            <w:rPr>
              <w:sz w:val="20"/>
              <w:szCs w:val="20"/>
            </w:rPr>
          </w:pPr>
        </w:p>
        <w:p w:rsidR="00381C14" w:rsidRPr="0044776A" w:rsidRDefault="00381C14" w:rsidP="002E2327">
          <w:pPr>
            <w:keepNext/>
            <w:keepLines/>
            <w:tabs>
              <w:tab w:val="left" w:pos="-1440"/>
              <w:tab w:val="left" w:pos="-720"/>
            </w:tabs>
            <w:jc w:val="center"/>
            <w:rPr>
              <w:sz w:val="20"/>
              <w:szCs w:val="20"/>
            </w:rPr>
          </w:pPr>
        </w:p>
      </w:tc>
      <w:tc>
        <w:tcPr>
          <w:tcW w:w="4320" w:type="dxa"/>
          <w:tcMar>
            <w:left w:w="0" w:type="dxa"/>
            <w:right w:w="0" w:type="dxa"/>
          </w:tcMar>
        </w:tcPr>
        <w:p w:rsidR="00381C14" w:rsidRPr="0044776A" w:rsidRDefault="00381C14" w:rsidP="002E2327">
          <w:pPr>
            <w:keepLines/>
            <w:rPr>
              <w:sz w:val="20"/>
              <w:szCs w:val="20"/>
              <w:lang w:val="fr-CA"/>
            </w:rPr>
          </w:pPr>
          <w:r w:rsidRPr="0044776A">
            <w:rPr>
              <w:sz w:val="20"/>
              <w:szCs w:val="20"/>
              <w:lang w:val="fr-CA"/>
            </w:rPr>
            <w:t>DEMANDES D'AUTORISATION D'APPEL DÉPOSÉES</w:t>
          </w:r>
        </w:p>
      </w:tc>
    </w:tr>
  </w:tbl>
  <w:p w:rsidR="00381C14" w:rsidRDefault="00381C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81C14" w:rsidRPr="00772617" w:rsidTr="00245129">
      <w:tc>
        <w:tcPr>
          <w:tcW w:w="4200" w:type="dxa"/>
          <w:tcMar>
            <w:left w:w="0" w:type="dxa"/>
            <w:right w:w="0" w:type="dxa"/>
          </w:tcMar>
        </w:tcPr>
        <w:p w:rsidR="00381C14" w:rsidRPr="0044776A" w:rsidRDefault="00381C14" w:rsidP="0044776A">
          <w:pPr>
            <w:keepNext/>
            <w:keepLines/>
            <w:widowControl w:val="0"/>
            <w:rPr>
              <w:sz w:val="20"/>
              <w:szCs w:val="20"/>
            </w:rPr>
          </w:pPr>
          <w:r>
            <w:rPr>
              <w:sz w:val="20"/>
              <w:szCs w:val="20"/>
            </w:rPr>
            <w:t>APPLICATIONS FOR LEAVE</w:t>
          </w:r>
        </w:p>
        <w:p w:rsidR="00381C14" w:rsidRPr="0044776A" w:rsidRDefault="00381C1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81C14" w:rsidRPr="0044776A" w:rsidRDefault="00381C14" w:rsidP="0044776A">
          <w:pPr>
            <w:keepNext/>
            <w:keepLines/>
            <w:widowControl w:val="0"/>
            <w:jc w:val="center"/>
            <w:rPr>
              <w:sz w:val="20"/>
              <w:szCs w:val="20"/>
            </w:rPr>
          </w:pPr>
        </w:p>
        <w:p w:rsidR="00381C14" w:rsidRPr="0044776A" w:rsidRDefault="00381C14" w:rsidP="0044776A">
          <w:pPr>
            <w:keepNext/>
            <w:keepLines/>
            <w:widowControl w:val="0"/>
            <w:jc w:val="center"/>
            <w:rPr>
              <w:sz w:val="20"/>
              <w:szCs w:val="20"/>
            </w:rPr>
          </w:pPr>
        </w:p>
        <w:p w:rsidR="00381C14" w:rsidRPr="0044776A" w:rsidRDefault="00381C14" w:rsidP="0044776A">
          <w:pPr>
            <w:keepNext/>
            <w:keepLines/>
            <w:widowControl w:val="0"/>
            <w:jc w:val="center"/>
            <w:rPr>
              <w:sz w:val="20"/>
              <w:szCs w:val="20"/>
            </w:rPr>
          </w:pPr>
        </w:p>
      </w:tc>
      <w:tc>
        <w:tcPr>
          <w:tcW w:w="4080" w:type="dxa"/>
          <w:tcMar>
            <w:left w:w="0" w:type="dxa"/>
            <w:right w:w="0" w:type="dxa"/>
          </w:tcMar>
        </w:tcPr>
        <w:p w:rsidR="00381C14" w:rsidRPr="0044776A" w:rsidRDefault="00381C14" w:rsidP="0044776A">
          <w:pPr>
            <w:keepLines/>
            <w:widowControl w:val="0"/>
            <w:rPr>
              <w:sz w:val="20"/>
              <w:szCs w:val="20"/>
              <w:lang w:val="fr-CA"/>
            </w:rPr>
          </w:pPr>
          <w:r w:rsidRPr="0044776A">
            <w:rPr>
              <w:sz w:val="20"/>
              <w:szCs w:val="20"/>
              <w:lang w:val="fr-CA"/>
            </w:rPr>
            <w:t>DEMANDES SOUMISES À LA COUR DEPUIS LA DERNIÈRE PARUTION</w:t>
          </w:r>
        </w:p>
        <w:p w:rsidR="00381C14" w:rsidRPr="0044776A" w:rsidRDefault="00381C14" w:rsidP="0044776A">
          <w:pPr>
            <w:widowControl w:val="0"/>
            <w:rPr>
              <w:sz w:val="20"/>
              <w:szCs w:val="20"/>
              <w:lang w:val="fr-CA"/>
            </w:rPr>
          </w:pPr>
        </w:p>
      </w:tc>
    </w:tr>
  </w:tbl>
  <w:p w:rsidR="00381C14" w:rsidRPr="002E2327" w:rsidRDefault="00381C14">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14" w:rsidRDefault="00381C1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81C14" w:rsidRPr="00772617">
      <w:tc>
        <w:tcPr>
          <w:tcW w:w="4200" w:type="dxa"/>
          <w:tcMar>
            <w:left w:w="0" w:type="dxa"/>
            <w:right w:w="0" w:type="dxa"/>
          </w:tcMar>
        </w:tcPr>
        <w:p w:rsidR="00381C14"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81C14"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81C14" w:rsidRDefault="00381C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81C14" w:rsidRPr="00FF6BA5" w:rsidRDefault="00381C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81C14" w:rsidRPr="00FF6BA5"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81C14" w:rsidRPr="00FF6BA5"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81C14" w:rsidRPr="00FF6BA5" w:rsidRDefault="00381C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81C14" w:rsidRPr="00772617" w:rsidTr="00245129">
      <w:tc>
        <w:tcPr>
          <w:tcW w:w="4200" w:type="dxa"/>
          <w:tcMar>
            <w:left w:w="0" w:type="dxa"/>
            <w:right w:w="0" w:type="dxa"/>
          </w:tcMar>
        </w:tcPr>
        <w:p w:rsidR="00381C14" w:rsidRPr="00755F22"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81C14" w:rsidRPr="00755F22" w:rsidRDefault="00381C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81C14" w:rsidRPr="00755F22" w:rsidRDefault="00381C1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81C14" w:rsidRPr="00755F22" w:rsidRDefault="00381C1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81C14" w:rsidRPr="00755F22" w:rsidRDefault="00381C1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81C14" w:rsidRPr="00755F22" w:rsidRDefault="00381C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81C14" w:rsidRPr="00FF6BA5" w:rsidRDefault="00381C14"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612DE"/>
    <w:multiLevelType w:val="hybridMultilevel"/>
    <w:tmpl w:val="0C3480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3223C6"/>
    <w:multiLevelType w:val="hybridMultilevel"/>
    <w:tmpl w:val="550031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2A16FB"/>
    <w:multiLevelType w:val="hybridMultilevel"/>
    <w:tmpl w:val="7C08C4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6A25CF9"/>
    <w:multiLevelType w:val="hybridMultilevel"/>
    <w:tmpl w:val="1DCEE63A"/>
    <w:lvl w:ilvl="0" w:tplc="AB30DA7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78865"/>
  </w:hdrShapeDefaults>
  <w:footnotePr>
    <w:footnote w:id="-1"/>
    <w:footnote w:id="0"/>
  </w:footnotePr>
  <w:endnotePr>
    <w:endnote w:id="-1"/>
    <w:endnote w:id="0"/>
  </w:endnotePr>
  <w:compat>
    <w:compatSetting w:name="compatibilityMode" w:uri="http://schemas.microsoft.com/office/word" w:val="12"/>
  </w:compat>
  <w:rsids>
    <w:rsidRoot w:val="00DC128A"/>
    <w:rsid w:val="00020DC3"/>
    <w:rsid w:val="0003223B"/>
    <w:rsid w:val="000327B2"/>
    <w:rsid w:val="00042164"/>
    <w:rsid w:val="0004528B"/>
    <w:rsid w:val="00046B92"/>
    <w:rsid w:val="000535E5"/>
    <w:rsid w:val="00064FBA"/>
    <w:rsid w:val="00091FA6"/>
    <w:rsid w:val="00096BD9"/>
    <w:rsid w:val="000A617D"/>
    <w:rsid w:val="000B3C9A"/>
    <w:rsid w:val="000B40A2"/>
    <w:rsid w:val="000B4624"/>
    <w:rsid w:val="000C0ACD"/>
    <w:rsid w:val="000C0D2A"/>
    <w:rsid w:val="000C5CE8"/>
    <w:rsid w:val="000D6263"/>
    <w:rsid w:val="000E2959"/>
    <w:rsid w:val="000F0B60"/>
    <w:rsid w:val="00102926"/>
    <w:rsid w:val="0010587F"/>
    <w:rsid w:val="00111C6B"/>
    <w:rsid w:val="0012102B"/>
    <w:rsid w:val="0013369E"/>
    <w:rsid w:val="00164E6D"/>
    <w:rsid w:val="00183454"/>
    <w:rsid w:val="00196939"/>
    <w:rsid w:val="001B157C"/>
    <w:rsid w:val="001B4006"/>
    <w:rsid w:val="001B5C23"/>
    <w:rsid w:val="001D0D5F"/>
    <w:rsid w:val="001D6B8C"/>
    <w:rsid w:val="001E045C"/>
    <w:rsid w:val="001F1F83"/>
    <w:rsid w:val="001F40DF"/>
    <w:rsid w:val="001F6B2D"/>
    <w:rsid w:val="002021A9"/>
    <w:rsid w:val="002139A7"/>
    <w:rsid w:val="00215F7C"/>
    <w:rsid w:val="0022323B"/>
    <w:rsid w:val="002410B8"/>
    <w:rsid w:val="00242AEE"/>
    <w:rsid w:val="00245129"/>
    <w:rsid w:val="00245879"/>
    <w:rsid w:val="00256917"/>
    <w:rsid w:val="00267FD5"/>
    <w:rsid w:val="00274D34"/>
    <w:rsid w:val="00283ED8"/>
    <w:rsid w:val="002868D0"/>
    <w:rsid w:val="002A008C"/>
    <w:rsid w:val="002A27D1"/>
    <w:rsid w:val="002A4AFA"/>
    <w:rsid w:val="002B516C"/>
    <w:rsid w:val="002D55B0"/>
    <w:rsid w:val="002D72EB"/>
    <w:rsid w:val="002E2327"/>
    <w:rsid w:val="002E3583"/>
    <w:rsid w:val="002E5576"/>
    <w:rsid w:val="002F03CA"/>
    <w:rsid w:val="0030067A"/>
    <w:rsid w:val="00331B52"/>
    <w:rsid w:val="0033516B"/>
    <w:rsid w:val="003359D3"/>
    <w:rsid w:val="00345C87"/>
    <w:rsid w:val="00352572"/>
    <w:rsid w:val="00355967"/>
    <w:rsid w:val="00380344"/>
    <w:rsid w:val="00381C14"/>
    <w:rsid w:val="00382C47"/>
    <w:rsid w:val="00384384"/>
    <w:rsid w:val="003866AE"/>
    <w:rsid w:val="003B3977"/>
    <w:rsid w:val="003E1D4C"/>
    <w:rsid w:val="004137A0"/>
    <w:rsid w:val="00422D9A"/>
    <w:rsid w:val="004256B4"/>
    <w:rsid w:val="00432989"/>
    <w:rsid w:val="00440E24"/>
    <w:rsid w:val="0044776A"/>
    <w:rsid w:val="00460AFC"/>
    <w:rsid w:val="00464CB5"/>
    <w:rsid w:val="0047471F"/>
    <w:rsid w:val="004A5186"/>
    <w:rsid w:val="004A64E5"/>
    <w:rsid w:val="004B195E"/>
    <w:rsid w:val="004B66B4"/>
    <w:rsid w:val="004B7F60"/>
    <w:rsid w:val="004C1AAC"/>
    <w:rsid w:val="004E1E0A"/>
    <w:rsid w:val="004F090E"/>
    <w:rsid w:val="00501F3C"/>
    <w:rsid w:val="00507D8E"/>
    <w:rsid w:val="0052229C"/>
    <w:rsid w:val="00527C50"/>
    <w:rsid w:val="00527CC7"/>
    <w:rsid w:val="005373A7"/>
    <w:rsid w:val="0054408C"/>
    <w:rsid w:val="00555355"/>
    <w:rsid w:val="005674BE"/>
    <w:rsid w:val="00571CA4"/>
    <w:rsid w:val="00576180"/>
    <w:rsid w:val="00582136"/>
    <w:rsid w:val="00596D2D"/>
    <w:rsid w:val="005C6840"/>
    <w:rsid w:val="005D093D"/>
    <w:rsid w:val="005D6A97"/>
    <w:rsid w:val="005F1ED8"/>
    <w:rsid w:val="005F263E"/>
    <w:rsid w:val="005F50E0"/>
    <w:rsid w:val="00600252"/>
    <w:rsid w:val="00606E8D"/>
    <w:rsid w:val="00612A40"/>
    <w:rsid w:val="0062714A"/>
    <w:rsid w:val="0063742E"/>
    <w:rsid w:val="00640437"/>
    <w:rsid w:val="00642044"/>
    <w:rsid w:val="00675479"/>
    <w:rsid w:val="00680709"/>
    <w:rsid w:val="00681F61"/>
    <w:rsid w:val="00683208"/>
    <w:rsid w:val="00696BF9"/>
    <w:rsid w:val="00697C62"/>
    <w:rsid w:val="006A329B"/>
    <w:rsid w:val="006A7EB8"/>
    <w:rsid w:val="006B6926"/>
    <w:rsid w:val="006C3F47"/>
    <w:rsid w:val="006C5F7A"/>
    <w:rsid w:val="006D21D4"/>
    <w:rsid w:val="006E06AF"/>
    <w:rsid w:val="006F350F"/>
    <w:rsid w:val="00712FFD"/>
    <w:rsid w:val="00727663"/>
    <w:rsid w:val="00732DB7"/>
    <w:rsid w:val="0074238B"/>
    <w:rsid w:val="00745EF7"/>
    <w:rsid w:val="00755F22"/>
    <w:rsid w:val="00766E4A"/>
    <w:rsid w:val="00772617"/>
    <w:rsid w:val="007820CE"/>
    <w:rsid w:val="00782AE4"/>
    <w:rsid w:val="0079724F"/>
    <w:rsid w:val="007A3EAE"/>
    <w:rsid w:val="007B6DF1"/>
    <w:rsid w:val="007C04FC"/>
    <w:rsid w:val="007C3DB0"/>
    <w:rsid w:val="007C47C2"/>
    <w:rsid w:val="007D3E0F"/>
    <w:rsid w:val="007E4282"/>
    <w:rsid w:val="007F387B"/>
    <w:rsid w:val="007F638F"/>
    <w:rsid w:val="00802863"/>
    <w:rsid w:val="008112A9"/>
    <w:rsid w:val="00815B3C"/>
    <w:rsid w:val="0081610A"/>
    <w:rsid w:val="00826112"/>
    <w:rsid w:val="0082783A"/>
    <w:rsid w:val="00831CA9"/>
    <w:rsid w:val="00835F2F"/>
    <w:rsid w:val="00850E1F"/>
    <w:rsid w:val="0085476B"/>
    <w:rsid w:val="00856C18"/>
    <w:rsid w:val="0086340B"/>
    <w:rsid w:val="00890FEB"/>
    <w:rsid w:val="00895E7E"/>
    <w:rsid w:val="008A5C1A"/>
    <w:rsid w:val="008A7121"/>
    <w:rsid w:val="008D292F"/>
    <w:rsid w:val="008E03DC"/>
    <w:rsid w:val="00902E51"/>
    <w:rsid w:val="0091783D"/>
    <w:rsid w:val="00924065"/>
    <w:rsid w:val="00930D68"/>
    <w:rsid w:val="00930D7D"/>
    <w:rsid w:val="00932DB4"/>
    <w:rsid w:val="00941A4B"/>
    <w:rsid w:val="00946242"/>
    <w:rsid w:val="0095096B"/>
    <w:rsid w:val="009673F3"/>
    <w:rsid w:val="00970CD3"/>
    <w:rsid w:val="009723FA"/>
    <w:rsid w:val="00972749"/>
    <w:rsid w:val="00984546"/>
    <w:rsid w:val="00996510"/>
    <w:rsid w:val="009B0522"/>
    <w:rsid w:val="009D1F15"/>
    <w:rsid w:val="009D555E"/>
    <w:rsid w:val="009E7629"/>
    <w:rsid w:val="009F3024"/>
    <w:rsid w:val="009F39BA"/>
    <w:rsid w:val="00A0355E"/>
    <w:rsid w:val="00A375D1"/>
    <w:rsid w:val="00A51D10"/>
    <w:rsid w:val="00A52A83"/>
    <w:rsid w:val="00A6552C"/>
    <w:rsid w:val="00A7151D"/>
    <w:rsid w:val="00A87207"/>
    <w:rsid w:val="00A935AA"/>
    <w:rsid w:val="00A956D3"/>
    <w:rsid w:val="00AB2201"/>
    <w:rsid w:val="00AD1D34"/>
    <w:rsid w:val="00AD3259"/>
    <w:rsid w:val="00AD4BE1"/>
    <w:rsid w:val="00AF1715"/>
    <w:rsid w:val="00AF3904"/>
    <w:rsid w:val="00B010C0"/>
    <w:rsid w:val="00B4740D"/>
    <w:rsid w:val="00B61629"/>
    <w:rsid w:val="00B7374B"/>
    <w:rsid w:val="00B774E1"/>
    <w:rsid w:val="00B81CEB"/>
    <w:rsid w:val="00B90DC0"/>
    <w:rsid w:val="00BA116A"/>
    <w:rsid w:val="00BA14DB"/>
    <w:rsid w:val="00BA5582"/>
    <w:rsid w:val="00BA6468"/>
    <w:rsid w:val="00BB1D44"/>
    <w:rsid w:val="00BB597E"/>
    <w:rsid w:val="00BD06DA"/>
    <w:rsid w:val="00BD4217"/>
    <w:rsid w:val="00BF25F3"/>
    <w:rsid w:val="00BF3ADE"/>
    <w:rsid w:val="00C05442"/>
    <w:rsid w:val="00C1697B"/>
    <w:rsid w:val="00C21644"/>
    <w:rsid w:val="00C21CB5"/>
    <w:rsid w:val="00C303F1"/>
    <w:rsid w:val="00C46376"/>
    <w:rsid w:val="00C50A5C"/>
    <w:rsid w:val="00C50FDF"/>
    <w:rsid w:val="00C56FC7"/>
    <w:rsid w:val="00C63381"/>
    <w:rsid w:val="00C65FD0"/>
    <w:rsid w:val="00C71B27"/>
    <w:rsid w:val="00C73D06"/>
    <w:rsid w:val="00C73E1B"/>
    <w:rsid w:val="00C759B4"/>
    <w:rsid w:val="00C77713"/>
    <w:rsid w:val="00C85BB7"/>
    <w:rsid w:val="00C87EFC"/>
    <w:rsid w:val="00C90CB8"/>
    <w:rsid w:val="00CA02CB"/>
    <w:rsid w:val="00CA2DEA"/>
    <w:rsid w:val="00CB3520"/>
    <w:rsid w:val="00CB43D5"/>
    <w:rsid w:val="00CB7F47"/>
    <w:rsid w:val="00CC4D84"/>
    <w:rsid w:val="00CE198A"/>
    <w:rsid w:val="00CF08C8"/>
    <w:rsid w:val="00D004FC"/>
    <w:rsid w:val="00D64901"/>
    <w:rsid w:val="00D76BDF"/>
    <w:rsid w:val="00D818B6"/>
    <w:rsid w:val="00D862C1"/>
    <w:rsid w:val="00D93B50"/>
    <w:rsid w:val="00D94028"/>
    <w:rsid w:val="00D94670"/>
    <w:rsid w:val="00DA46F6"/>
    <w:rsid w:val="00DC128A"/>
    <w:rsid w:val="00DC3EAC"/>
    <w:rsid w:val="00DD0B49"/>
    <w:rsid w:val="00DE0502"/>
    <w:rsid w:val="00DE349D"/>
    <w:rsid w:val="00E06DFA"/>
    <w:rsid w:val="00E20A0A"/>
    <w:rsid w:val="00E240C2"/>
    <w:rsid w:val="00E356C7"/>
    <w:rsid w:val="00E41A5A"/>
    <w:rsid w:val="00E45FE4"/>
    <w:rsid w:val="00E64FA7"/>
    <w:rsid w:val="00E770CB"/>
    <w:rsid w:val="00E903A1"/>
    <w:rsid w:val="00E940EB"/>
    <w:rsid w:val="00E943D4"/>
    <w:rsid w:val="00E9703F"/>
    <w:rsid w:val="00EA75E8"/>
    <w:rsid w:val="00EB2B90"/>
    <w:rsid w:val="00EB6052"/>
    <w:rsid w:val="00ED7E83"/>
    <w:rsid w:val="00EE091F"/>
    <w:rsid w:val="00EF4B63"/>
    <w:rsid w:val="00F0068D"/>
    <w:rsid w:val="00F0576D"/>
    <w:rsid w:val="00F11558"/>
    <w:rsid w:val="00F14E6D"/>
    <w:rsid w:val="00F15EA8"/>
    <w:rsid w:val="00F16C8D"/>
    <w:rsid w:val="00F26666"/>
    <w:rsid w:val="00F26C61"/>
    <w:rsid w:val="00F33CCE"/>
    <w:rsid w:val="00F40249"/>
    <w:rsid w:val="00F526C8"/>
    <w:rsid w:val="00F761A3"/>
    <w:rsid w:val="00F87ACB"/>
    <w:rsid w:val="00F9272D"/>
    <w:rsid w:val="00F9518C"/>
    <w:rsid w:val="00FA316E"/>
    <w:rsid w:val="00FA3373"/>
    <w:rsid w:val="00FA3F0C"/>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8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8A7121"/>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ic1">
    <w:name w:val="italic1"/>
    <w:basedOn w:val="DefaultParagraphFont"/>
    <w:rsid w:val="00C71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ab/abca/doc/2014/2014abca234/2014abca234.html" TargetMode="External"/><Relationship Id="rId21" Type="http://schemas.openxmlformats.org/officeDocument/2006/relationships/footer" Target="footer6.xml"/><Relationship Id="rId34" Type="http://schemas.openxmlformats.org/officeDocument/2006/relationships/hyperlink" Target="http://canlii.ca/t/gfdfp" TargetMode="External"/><Relationship Id="rId42" Type="http://schemas.openxmlformats.org/officeDocument/2006/relationships/hyperlink" Target="http://www.canlii.org/en/on/laws/stat/rso-1990-c-e26/latest/rso-1990-c-e26.html" TargetMode="External"/><Relationship Id="rId47" Type="http://schemas.openxmlformats.org/officeDocument/2006/relationships/hyperlink" Target="http://canlii.ca/t/gfnvz" TargetMode="External"/><Relationship Id="rId50" Type="http://schemas.openxmlformats.org/officeDocument/2006/relationships/hyperlink" Target="http://canlii.ca/t/g7448" TargetMode="External"/><Relationship Id="rId55" Type="http://schemas.openxmlformats.org/officeDocument/2006/relationships/footer" Target="footer8.xml"/><Relationship Id="rId63" Type="http://schemas.openxmlformats.org/officeDocument/2006/relationships/header" Target="header13.xml"/><Relationship Id="rId68" Type="http://schemas.openxmlformats.org/officeDocument/2006/relationships/footer" Target="footer15.xml"/><Relationship Id="rId76" Type="http://schemas.openxmlformats.org/officeDocument/2006/relationships/header" Target="header18.xml"/><Relationship Id="rId84" Type="http://schemas.openxmlformats.org/officeDocument/2006/relationships/footer" Target="footer21.xml"/><Relationship Id="rId89" Type="http://schemas.openxmlformats.org/officeDocument/2006/relationships/hyperlink" Target="http://www.scc-csc.ca/case-dossier/info/sum-som-eng.aspx?cas=36064" TargetMode="External"/><Relationship Id="rId97" Type="http://schemas.openxmlformats.org/officeDocument/2006/relationships/footer" Target="footer26.xml"/><Relationship Id="rId7" Type="http://schemas.openxmlformats.org/officeDocument/2006/relationships/image" Target="media/image1.wmf"/><Relationship Id="rId71" Type="http://schemas.openxmlformats.org/officeDocument/2006/relationships/hyperlink" Target="http://www.scc-csc.ca/case-dossier/info/sum-som-fra.aspx?cas=36001" TargetMode="External"/><Relationship Id="rId92" Type="http://schemas.openxmlformats.org/officeDocument/2006/relationships/footer" Target="footer23.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ab/abca/doc/2014/2014abca234/2014abca234.html" TargetMode="External"/><Relationship Id="rId11" Type="http://schemas.openxmlformats.org/officeDocument/2006/relationships/header" Target="header2.xml"/><Relationship Id="rId24" Type="http://schemas.openxmlformats.org/officeDocument/2006/relationships/hyperlink" Target="http://www.canlii.org/en/ab/abqb/doc/2011/2011abqb193/2011abqb193.html" TargetMode="External"/><Relationship Id="rId32" Type="http://schemas.openxmlformats.org/officeDocument/2006/relationships/hyperlink" Target="http://canlii.ca/t/gfg0n" TargetMode="External"/><Relationship Id="rId37" Type="http://schemas.openxmlformats.org/officeDocument/2006/relationships/hyperlink" Target="http://www.canlii.org/en/on/laws/stat/rso-1990-c-e26/latest/rso-1990-c-e26.html" TargetMode="External"/><Relationship Id="rId40" Type="http://schemas.openxmlformats.org/officeDocument/2006/relationships/hyperlink" Target="http://canlii.ca/t/g6pdw" TargetMode="External"/><Relationship Id="rId45" Type="http://schemas.openxmlformats.org/officeDocument/2006/relationships/hyperlink" Target="http://canlii.ca/t/g6pdw" TargetMode="External"/><Relationship Id="rId53" Type="http://schemas.openxmlformats.org/officeDocument/2006/relationships/header" Target="header8.xml"/><Relationship Id="rId58" Type="http://schemas.openxmlformats.org/officeDocument/2006/relationships/footer" Target="footer10.xml"/><Relationship Id="rId66" Type="http://schemas.openxmlformats.org/officeDocument/2006/relationships/header" Target="header15.xml"/><Relationship Id="rId74" Type="http://schemas.openxmlformats.org/officeDocument/2006/relationships/hyperlink" Target="http://www.scc-csc.ca/case-dossier/info/sum-som-eng.aspx?cas=35923" TargetMode="External"/><Relationship Id="rId79" Type="http://schemas.openxmlformats.org/officeDocument/2006/relationships/header" Target="header19.xml"/><Relationship Id="rId87" Type="http://schemas.openxmlformats.org/officeDocument/2006/relationships/hyperlink" Target="http://www.scc-csc.ca/case-dossier/info/sum-som-eng.aspx?cas=35475" TargetMode="External"/><Relationship Id="rId5" Type="http://schemas.openxmlformats.org/officeDocument/2006/relationships/footnotes" Target="footnotes.xml"/><Relationship Id="rId61" Type="http://schemas.openxmlformats.org/officeDocument/2006/relationships/footer" Target="footer11.xml"/><Relationship Id="rId82" Type="http://schemas.openxmlformats.org/officeDocument/2006/relationships/header" Target="header21.xml"/><Relationship Id="rId90" Type="http://schemas.openxmlformats.org/officeDocument/2006/relationships/header" Target="header23.xml"/><Relationship Id="rId95" Type="http://schemas.openxmlformats.org/officeDocument/2006/relationships/footer" Target="footer25.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ab/abqb/doc/2011/2011abqb193/2011abqb193.html" TargetMode="External"/><Relationship Id="rId30" Type="http://schemas.openxmlformats.org/officeDocument/2006/relationships/hyperlink" Target="http://canlii.ca/t/gfg0n" TargetMode="External"/><Relationship Id="rId35" Type="http://schemas.openxmlformats.org/officeDocument/2006/relationships/hyperlink" Target="http://canlii.ca/t/gfdfp" TargetMode="External"/><Relationship Id="rId43" Type="http://schemas.openxmlformats.org/officeDocument/2006/relationships/hyperlink" Target="http://www.canlii.org/en/on/laws/stat/so-2001-c-25/latest/so-2001-c-25.html" TargetMode="External"/><Relationship Id="rId48" Type="http://schemas.openxmlformats.org/officeDocument/2006/relationships/hyperlink" Target="http://canlii.ca/t/gfnvz" TargetMode="External"/><Relationship Id="rId56" Type="http://schemas.openxmlformats.org/officeDocument/2006/relationships/footer" Target="footer9.xml"/><Relationship Id="rId64" Type="http://schemas.openxmlformats.org/officeDocument/2006/relationships/footer" Target="footer13.xml"/><Relationship Id="rId69" Type="http://schemas.openxmlformats.org/officeDocument/2006/relationships/header" Target="header16.xml"/><Relationship Id="rId77" Type="http://schemas.openxmlformats.org/officeDocument/2006/relationships/footer" Target="footer17.xml"/><Relationship Id="rId8" Type="http://schemas.openxmlformats.org/officeDocument/2006/relationships/hyperlink" Target="http://www.scc-csc.ca" TargetMode="External"/><Relationship Id="rId51" Type="http://schemas.openxmlformats.org/officeDocument/2006/relationships/hyperlink" Target="http://canlii.ca/t/g6w4c" TargetMode="External"/><Relationship Id="rId72" Type="http://schemas.openxmlformats.org/officeDocument/2006/relationships/hyperlink" Target="http://www.scc-csc.ca/case-dossier/info/sum-som-eng.aspx?cas=35959" TargetMode="External"/><Relationship Id="rId80" Type="http://schemas.openxmlformats.org/officeDocument/2006/relationships/footer" Target="footer19.xml"/><Relationship Id="rId85" Type="http://schemas.openxmlformats.org/officeDocument/2006/relationships/header" Target="header22.xml"/><Relationship Id="rId93" Type="http://schemas.openxmlformats.org/officeDocument/2006/relationships/footer" Target="footer24.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ab/abqb/doc/2012/2012abqb411/2012abqb411.html" TargetMode="External"/><Relationship Id="rId33" Type="http://schemas.openxmlformats.org/officeDocument/2006/relationships/hyperlink" Target="http://canlii.ca/t/gfg0n" TargetMode="External"/><Relationship Id="rId38" Type="http://schemas.openxmlformats.org/officeDocument/2006/relationships/hyperlink" Target="http://www.canlii.org/en/on/laws/stat/so-2001-c-25/latest/so-2001-c-25.html" TargetMode="External"/><Relationship Id="rId46" Type="http://schemas.openxmlformats.org/officeDocument/2006/relationships/hyperlink" Target="http://canlii.ca/t/gfkk1" TargetMode="External"/><Relationship Id="rId59" Type="http://schemas.openxmlformats.org/officeDocument/2006/relationships/header" Target="header11.xml"/><Relationship Id="rId67" Type="http://schemas.openxmlformats.org/officeDocument/2006/relationships/footer" Target="footer14.xml"/><Relationship Id="rId20" Type="http://schemas.openxmlformats.org/officeDocument/2006/relationships/header" Target="header6.xml"/><Relationship Id="rId41" Type="http://schemas.openxmlformats.org/officeDocument/2006/relationships/hyperlink" Target="http://canlii.ca/t/gfkk1" TargetMode="External"/><Relationship Id="rId54" Type="http://schemas.openxmlformats.org/officeDocument/2006/relationships/header" Target="header9.xml"/><Relationship Id="rId62" Type="http://schemas.openxmlformats.org/officeDocument/2006/relationships/footer" Target="footer12.xml"/><Relationship Id="rId70" Type="http://schemas.openxmlformats.org/officeDocument/2006/relationships/footer" Target="footer16.xml"/><Relationship Id="rId75" Type="http://schemas.openxmlformats.org/officeDocument/2006/relationships/header" Target="header17.xml"/><Relationship Id="rId83" Type="http://schemas.openxmlformats.org/officeDocument/2006/relationships/footer" Target="footer20.xml"/><Relationship Id="rId88" Type="http://schemas.openxmlformats.org/officeDocument/2006/relationships/hyperlink" Target="http://www.scc-csc.ca/case-dossier/info/sum-som-eng.aspx?cas=35977" TargetMode="External"/><Relationship Id="rId91" Type="http://schemas.openxmlformats.org/officeDocument/2006/relationships/header" Target="header24.xml"/><Relationship Id="rId96"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ab/abqb/doc/2012/2012abqb411/2012abqb411.html" TargetMode="External"/><Relationship Id="rId36" Type="http://schemas.openxmlformats.org/officeDocument/2006/relationships/hyperlink" Target="http://www.canlii.org/en/on/laws/stat/rso-1990-c-e26/latest/rso-1990-c-e26.html" TargetMode="External"/><Relationship Id="rId49" Type="http://schemas.openxmlformats.org/officeDocument/2006/relationships/hyperlink" Target="http://canlii.ca/t/g7448" TargetMode="External"/><Relationship Id="rId57" Type="http://schemas.openxmlformats.org/officeDocument/2006/relationships/header" Target="header10.xml"/><Relationship Id="rId10" Type="http://schemas.openxmlformats.org/officeDocument/2006/relationships/header" Target="header1.xml"/><Relationship Id="rId31" Type="http://schemas.openxmlformats.org/officeDocument/2006/relationships/hyperlink" Target="http://canlii.ca/t/gfg0n" TargetMode="External"/><Relationship Id="rId44" Type="http://schemas.openxmlformats.org/officeDocument/2006/relationships/hyperlink" Target="http://www.canlii.org/en/on/laws/stat/so-2001-c-25/latest/so-2001-c-25.html" TargetMode="External"/><Relationship Id="rId52" Type="http://schemas.openxmlformats.org/officeDocument/2006/relationships/hyperlink" Target="http://canlii.ca/t/g6w4c" TargetMode="External"/><Relationship Id="rId60" Type="http://schemas.openxmlformats.org/officeDocument/2006/relationships/header" Target="header12.xml"/><Relationship Id="rId65" Type="http://schemas.openxmlformats.org/officeDocument/2006/relationships/header" Target="header14.xml"/><Relationship Id="rId73" Type="http://schemas.openxmlformats.org/officeDocument/2006/relationships/hyperlink" Target="http://www.scc-csc.ca/case-dossier/info/sum-som-eng.aspx?cas=35864" TargetMode="External"/><Relationship Id="rId78" Type="http://schemas.openxmlformats.org/officeDocument/2006/relationships/footer" Target="footer18.xml"/><Relationship Id="rId81" Type="http://schemas.openxmlformats.org/officeDocument/2006/relationships/header" Target="header20.xml"/><Relationship Id="rId86" Type="http://schemas.openxmlformats.org/officeDocument/2006/relationships/footer" Target="footer22.xml"/><Relationship Id="rId94" Type="http://schemas.openxmlformats.org/officeDocument/2006/relationships/header" Target="header25.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canlii.org/en/on/laws/stat/so-2001-c-25/latest/so-2001-c-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21121</Words>
  <Characters>120394</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2015-05-14T13:10:00Z</dcterms:created>
  <dcterms:modified xsi:type="dcterms:W3CDTF">2015-11-26T21:50:00Z</dcterms:modified>
</cp:coreProperties>
</file>