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FE6980" w:rsidRDefault="00382C47">
      <w:r w:rsidRPr="00FE6980">
        <w:rPr>
          <w:noProof/>
          <w:lang w:eastAsia="en-CA"/>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FE6980" w:rsidRDefault="00BF25F3" w:rsidP="00BF25F3"/>
    <w:p w:rsidR="00BF25F3" w:rsidRPr="00FE6980" w:rsidRDefault="00BF25F3" w:rsidP="00BF25F3"/>
    <w:p w:rsidR="00BF25F3" w:rsidRPr="00FE6980" w:rsidRDefault="00BF25F3" w:rsidP="00BF25F3"/>
    <w:p w:rsidR="00BF25F3" w:rsidRPr="00FE6980" w:rsidRDefault="00BF25F3" w:rsidP="00BF25F3"/>
    <w:p w:rsidR="00BF25F3" w:rsidRPr="00FE6980" w:rsidRDefault="00BF25F3" w:rsidP="00BF25F3"/>
    <w:p w:rsidR="00BF25F3" w:rsidRPr="00FE6980" w:rsidRDefault="00BF25F3" w:rsidP="00BF25F3"/>
    <w:p w:rsidR="00BF25F3" w:rsidRPr="00FE6980" w:rsidRDefault="00BF25F3" w:rsidP="00BF25F3"/>
    <w:p w:rsidR="00BF25F3" w:rsidRPr="00FE6980" w:rsidRDefault="00BF25F3" w:rsidP="00BF25F3"/>
    <w:p w:rsidR="00BF25F3" w:rsidRPr="00FE6980" w:rsidRDefault="00BF25F3" w:rsidP="00BF25F3"/>
    <w:p w:rsidR="00384384" w:rsidRPr="00FE6980"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FE6980" w:rsidTr="002E5576">
        <w:tc>
          <w:tcPr>
            <w:tcW w:w="4518" w:type="dxa"/>
          </w:tcPr>
          <w:p w:rsidR="00BF25F3" w:rsidRPr="00FE6980" w:rsidRDefault="00BF25F3" w:rsidP="00BF25F3">
            <w:pPr>
              <w:tabs>
                <w:tab w:val="left" w:pos="6075"/>
              </w:tabs>
              <w:jc w:val="center"/>
              <w:rPr>
                <w:b/>
                <w:sz w:val="32"/>
                <w:szCs w:val="32"/>
              </w:rPr>
            </w:pPr>
            <w:r w:rsidRPr="00FE6980">
              <w:rPr>
                <w:b/>
                <w:sz w:val="32"/>
                <w:szCs w:val="32"/>
              </w:rPr>
              <w:t>SUPREME COURT OF CANADA</w:t>
            </w:r>
          </w:p>
        </w:tc>
        <w:tc>
          <w:tcPr>
            <w:tcW w:w="630" w:type="dxa"/>
          </w:tcPr>
          <w:p w:rsidR="00BF25F3" w:rsidRPr="00FE6980" w:rsidRDefault="00BF25F3" w:rsidP="00BF25F3">
            <w:pPr>
              <w:tabs>
                <w:tab w:val="left" w:pos="6075"/>
              </w:tabs>
              <w:jc w:val="center"/>
              <w:rPr>
                <w:sz w:val="32"/>
                <w:szCs w:val="32"/>
              </w:rPr>
            </w:pPr>
          </w:p>
        </w:tc>
        <w:tc>
          <w:tcPr>
            <w:tcW w:w="4428" w:type="dxa"/>
          </w:tcPr>
          <w:p w:rsidR="00BF25F3" w:rsidRPr="00FE6980" w:rsidRDefault="00BF25F3" w:rsidP="00BF25F3">
            <w:pPr>
              <w:tabs>
                <w:tab w:val="left" w:pos="6075"/>
              </w:tabs>
              <w:jc w:val="center"/>
              <w:rPr>
                <w:b/>
                <w:sz w:val="32"/>
                <w:szCs w:val="32"/>
                <w:lang w:val="fr-CA"/>
              </w:rPr>
            </w:pPr>
            <w:r w:rsidRPr="00FE6980">
              <w:rPr>
                <w:b/>
                <w:sz w:val="32"/>
                <w:szCs w:val="32"/>
                <w:lang w:val="fr-CA"/>
              </w:rPr>
              <w:t>COUR SUPRÊME DU CANADA</w:t>
            </w:r>
          </w:p>
        </w:tc>
      </w:tr>
      <w:tr w:rsidR="00BF25F3" w:rsidRPr="00FE6980" w:rsidTr="002E5576">
        <w:tc>
          <w:tcPr>
            <w:tcW w:w="4518" w:type="dxa"/>
          </w:tcPr>
          <w:p w:rsidR="00BF25F3" w:rsidRPr="00FE6980" w:rsidRDefault="00BF25F3" w:rsidP="00BF25F3">
            <w:pPr>
              <w:tabs>
                <w:tab w:val="left" w:pos="6075"/>
              </w:tabs>
            </w:pPr>
          </w:p>
          <w:p w:rsidR="001B5C23" w:rsidRPr="00FE6980" w:rsidRDefault="001B5C23" w:rsidP="00BF25F3">
            <w:pPr>
              <w:tabs>
                <w:tab w:val="left" w:pos="6075"/>
              </w:tabs>
            </w:pPr>
          </w:p>
          <w:p w:rsidR="001B5C23" w:rsidRPr="00FE6980" w:rsidRDefault="001B5C23" w:rsidP="00BF25F3">
            <w:pPr>
              <w:tabs>
                <w:tab w:val="left" w:pos="6075"/>
              </w:tabs>
            </w:pPr>
          </w:p>
        </w:tc>
        <w:tc>
          <w:tcPr>
            <w:tcW w:w="630" w:type="dxa"/>
          </w:tcPr>
          <w:p w:rsidR="00BF25F3" w:rsidRPr="00FE6980" w:rsidRDefault="00BF25F3" w:rsidP="00BF25F3">
            <w:pPr>
              <w:tabs>
                <w:tab w:val="left" w:pos="6075"/>
              </w:tabs>
            </w:pPr>
          </w:p>
        </w:tc>
        <w:tc>
          <w:tcPr>
            <w:tcW w:w="4428" w:type="dxa"/>
          </w:tcPr>
          <w:p w:rsidR="00BF25F3" w:rsidRPr="00FE6980" w:rsidRDefault="00BF25F3" w:rsidP="00BF25F3">
            <w:pPr>
              <w:tabs>
                <w:tab w:val="left" w:pos="6075"/>
              </w:tabs>
              <w:rPr>
                <w:lang w:val="fr-CA"/>
              </w:rPr>
            </w:pPr>
          </w:p>
        </w:tc>
      </w:tr>
      <w:tr w:rsidR="00BF25F3" w:rsidRPr="00FE6980" w:rsidTr="002E5576">
        <w:tc>
          <w:tcPr>
            <w:tcW w:w="4518" w:type="dxa"/>
          </w:tcPr>
          <w:p w:rsidR="001B5C23" w:rsidRPr="00FE6980" w:rsidRDefault="00BF25F3" w:rsidP="00BF25F3">
            <w:pPr>
              <w:tabs>
                <w:tab w:val="left" w:pos="6075"/>
              </w:tabs>
              <w:jc w:val="center"/>
              <w:rPr>
                <w:sz w:val="28"/>
                <w:szCs w:val="28"/>
              </w:rPr>
            </w:pPr>
            <w:r w:rsidRPr="00FE6980">
              <w:rPr>
                <w:sz w:val="28"/>
                <w:szCs w:val="28"/>
              </w:rPr>
              <w:t>BULLETIN OF</w:t>
            </w:r>
          </w:p>
          <w:p w:rsidR="00BF25F3" w:rsidRPr="00FE6980" w:rsidRDefault="00BF25F3" w:rsidP="00BF25F3">
            <w:pPr>
              <w:tabs>
                <w:tab w:val="left" w:pos="6075"/>
              </w:tabs>
              <w:jc w:val="center"/>
              <w:rPr>
                <w:sz w:val="28"/>
                <w:szCs w:val="28"/>
              </w:rPr>
            </w:pPr>
            <w:r w:rsidRPr="00FE6980">
              <w:rPr>
                <w:sz w:val="28"/>
                <w:szCs w:val="28"/>
              </w:rPr>
              <w:t xml:space="preserve"> PROCEEDINGS</w:t>
            </w:r>
          </w:p>
        </w:tc>
        <w:tc>
          <w:tcPr>
            <w:tcW w:w="630" w:type="dxa"/>
          </w:tcPr>
          <w:p w:rsidR="00BF25F3" w:rsidRPr="00FE6980" w:rsidRDefault="00BF25F3" w:rsidP="00BF25F3">
            <w:pPr>
              <w:tabs>
                <w:tab w:val="left" w:pos="6075"/>
              </w:tabs>
            </w:pPr>
          </w:p>
        </w:tc>
        <w:tc>
          <w:tcPr>
            <w:tcW w:w="4428" w:type="dxa"/>
          </w:tcPr>
          <w:p w:rsidR="001B5C23" w:rsidRPr="00FE6980" w:rsidRDefault="00BF25F3" w:rsidP="00BF25F3">
            <w:pPr>
              <w:tabs>
                <w:tab w:val="left" w:pos="6075"/>
              </w:tabs>
              <w:jc w:val="center"/>
              <w:rPr>
                <w:sz w:val="28"/>
                <w:szCs w:val="28"/>
                <w:lang w:val="fr-CA"/>
              </w:rPr>
            </w:pPr>
            <w:r w:rsidRPr="00FE6980">
              <w:rPr>
                <w:sz w:val="28"/>
                <w:szCs w:val="28"/>
                <w:lang w:val="fr-CA"/>
              </w:rPr>
              <w:t>BULLETIN DES</w:t>
            </w:r>
          </w:p>
          <w:p w:rsidR="00BF25F3" w:rsidRPr="00FE6980" w:rsidRDefault="00BF25F3" w:rsidP="00BF25F3">
            <w:pPr>
              <w:tabs>
                <w:tab w:val="left" w:pos="6075"/>
              </w:tabs>
              <w:jc w:val="center"/>
              <w:rPr>
                <w:sz w:val="28"/>
                <w:szCs w:val="28"/>
                <w:lang w:val="fr-CA"/>
              </w:rPr>
            </w:pPr>
            <w:r w:rsidRPr="00FE6980">
              <w:rPr>
                <w:sz w:val="28"/>
                <w:szCs w:val="28"/>
                <w:lang w:val="fr-CA"/>
              </w:rPr>
              <w:t xml:space="preserve"> PROCÉDURES</w:t>
            </w:r>
          </w:p>
        </w:tc>
      </w:tr>
      <w:tr w:rsidR="00BF25F3" w:rsidRPr="00FE6980" w:rsidTr="002E5576">
        <w:tc>
          <w:tcPr>
            <w:tcW w:w="4518" w:type="dxa"/>
          </w:tcPr>
          <w:p w:rsidR="00BF25F3" w:rsidRPr="00FE6980" w:rsidRDefault="00BF25F3" w:rsidP="00BF25F3">
            <w:pPr>
              <w:tabs>
                <w:tab w:val="left" w:pos="6075"/>
              </w:tabs>
            </w:pPr>
          </w:p>
          <w:p w:rsidR="001B5C23" w:rsidRPr="00FE6980" w:rsidRDefault="001B5C23" w:rsidP="00BF25F3">
            <w:pPr>
              <w:tabs>
                <w:tab w:val="left" w:pos="6075"/>
              </w:tabs>
            </w:pPr>
          </w:p>
        </w:tc>
        <w:tc>
          <w:tcPr>
            <w:tcW w:w="630" w:type="dxa"/>
          </w:tcPr>
          <w:p w:rsidR="00BF25F3" w:rsidRPr="00FE6980" w:rsidRDefault="00BF25F3" w:rsidP="00BF25F3">
            <w:pPr>
              <w:tabs>
                <w:tab w:val="left" w:pos="6075"/>
              </w:tabs>
            </w:pPr>
          </w:p>
        </w:tc>
        <w:tc>
          <w:tcPr>
            <w:tcW w:w="4428" w:type="dxa"/>
          </w:tcPr>
          <w:p w:rsidR="00BF25F3" w:rsidRPr="00FE6980" w:rsidRDefault="00BF25F3" w:rsidP="00BF25F3">
            <w:pPr>
              <w:tabs>
                <w:tab w:val="left" w:pos="6075"/>
              </w:tabs>
              <w:rPr>
                <w:lang w:val="fr-CA"/>
              </w:rPr>
            </w:pPr>
          </w:p>
        </w:tc>
      </w:tr>
      <w:tr w:rsidR="00BF25F3" w:rsidRPr="00FE6980" w:rsidTr="002E5576">
        <w:tc>
          <w:tcPr>
            <w:tcW w:w="4518" w:type="dxa"/>
          </w:tcPr>
          <w:p w:rsidR="00BF25F3" w:rsidRPr="00FE6980" w:rsidRDefault="00BF25F3" w:rsidP="00BF25F3">
            <w:pPr>
              <w:tabs>
                <w:tab w:val="left" w:pos="6075"/>
              </w:tabs>
              <w:jc w:val="both"/>
              <w:rPr>
                <w:rFonts w:ascii="Arial" w:hAnsi="Arial" w:cs="Arial"/>
                <w:i/>
                <w:sz w:val="20"/>
                <w:szCs w:val="20"/>
              </w:rPr>
            </w:pPr>
            <w:r w:rsidRPr="00FE6980">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FE6980" w:rsidRDefault="00BF25F3" w:rsidP="00BF25F3">
            <w:pPr>
              <w:tabs>
                <w:tab w:val="left" w:pos="6075"/>
              </w:tabs>
              <w:jc w:val="both"/>
              <w:rPr>
                <w:rFonts w:ascii="Arial" w:hAnsi="Arial" w:cs="Arial"/>
                <w:i/>
                <w:sz w:val="20"/>
                <w:szCs w:val="20"/>
              </w:rPr>
            </w:pPr>
          </w:p>
        </w:tc>
        <w:tc>
          <w:tcPr>
            <w:tcW w:w="4428" w:type="dxa"/>
          </w:tcPr>
          <w:p w:rsidR="00BF25F3" w:rsidRPr="00FE6980" w:rsidRDefault="00BF25F3" w:rsidP="00BF25F3">
            <w:pPr>
              <w:tabs>
                <w:tab w:val="left" w:pos="6075"/>
              </w:tabs>
              <w:jc w:val="both"/>
              <w:rPr>
                <w:rFonts w:ascii="Arial" w:hAnsi="Arial" w:cs="Arial"/>
                <w:i/>
                <w:sz w:val="20"/>
                <w:szCs w:val="20"/>
                <w:lang w:val="fr-CA"/>
              </w:rPr>
            </w:pPr>
            <w:r w:rsidRPr="00FE6980">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E6980" w:rsidTr="002E5576">
        <w:tc>
          <w:tcPr>
            <w:tcW w:w="4518" w:type="dxa"/>
          </w:tcPr>
          <w:p w:rsidR="00BF25F3" w:rsidRPr="00FE6980" w:rsidRDefault="00BF25F3" w:rsidP="00BF25F3">
            <w:pPr>
              <w:tabs>
                <w:tab w:val="left" w:pos="6075"/>
              </w:tabs>
              <w:rPr>
                <w:lang w:val="fr-CA"/>
              </w:rPr>
            </w:pPr>
          </w:p>
          <w:p w:rsidR="00D862C1" w:rsidRPr="00FE6980" w:rsidRDefault="00D862C1" w:rsidP="00BF25F3">
            <w:pPr>
              <w:tabs>
                <w:tab w:val="left" w:pos="6075"/>
              </w:tabs>
              <w:rPr>
                <w:lang w:val="fr-CA"/>
              </w:rPr>
            </w:pPr>
          </w:p>
        </w:tc>
        <w:tc>
          <w:tcPr>
            <w:tcW w:w="630" w:type="dxa"/>
          </w:tcPr>
          <w:p w:rsidR="00BF25F3" w:rsidRPr="00FE6980" w:rsidRDefault="00BF25F3" w:rsidP="00BF25F3">
            <w:pPr>
              <w:tabs>
                <w:tab w:val="left" w:pos="6075"/>
              </w:tabs>
              <w:rPr>
                <w:lang w:val="fr-CA"/>
              </w:rPr>
            </w:pPr>
          </w:p>
        </w:tc>
        <w:tc>
          <w:tcPr>
            <w:tcW w:w="4428" w:type="dxa"/>
          </w:tcPr>
          <w:p w:rsidR="00BF25F3" w:rsidRPr="00FE6980" w:rsidRDefault="00BF25F3" w:rsidP="00BF25F3">
            <w:pPr>
              <w:tabs>
                <w:tab w:val="left" w:pos="6075"/>
              </w:tabs>
              <w:rPr>
                <w:lang w:val="fr-CA"/>
              </w:rPr>
            </w:pPr>
          </w:p>
        </w:tc>
      </w:tr>
      <w:tr w:rsidR="00BF25F3" w:rsidRPr="00FE6980" w:rsidTr="002E5576">
        <w:tc>
          <w:tcPr>
            <w:tcW w:w="4518" w:type="dxa"/>
          </w:tcPr>
          <w:p w:rsidR="00BF25F3" w:rsidRPr="00FE6980" w:rsidRDefault="00BF25F3" w:rsidP="009F3024">
            <w:pPr>
              <w:tabs>
                <w:tab w:val="left" w:pos="6075"/>
              </w:tabs>
              <w:jc w:val="both"/>
              <w:rPr>
                <w:rFonts w:ascii="Arial" w:hAnsi="Arial" w:cs="Arial"/>
                <w:i/>
                <w:sz w:val="20"/>
                <w:szCs w:val="20"/>
              </w:rPr>
            </w:pPr>
            <w:r w:rsidRPr="00FE6980">
              <w:rPr>
                <w:rFonts w:ascii="Arial" w:hAnsi="Arial" w:cs="Arial"/>
                <w:i/>
                <w:sz w:val="20"/>
                <w:szCs w:val="20"/>
              </w:rPr>
              <w:t xml:space="preserve">During Court sessions </w:t>
            </w:r>
            <w:r w:rsidR="009F3024" w:rsidRPr="00FE6980">
              <w:rPr>
                <w:rFonts w:ascii="Arial" w:hAnsi="Arial" w:cs="Arial"/>
                <w:i/>
                <w:sz w:val="20"/>
                <w:szCs w:val="20"/>
              </w:rPr>
              <w:t xml:space="preserve">the Bulletin </w:t>
            </w:r>
            <w:r w:rsidRPr="00FE6980">
              <w:rPr>
                <w:rFonts w:ascii="Arial" w:hAnsi="Arial" w:cs="Arial"/>
                <w:i/>
                <w:sz w:val="20"/>
                <w:szCs w:val="20"/>
              </w:rPr>
              <w:t>is usually issued weekly.</w:t>
            </w:r>
          </w:p>
        </w:tc>
        <w:tc>
          <w:tcPr>
            <w:tcW w:w="630" w:type="dxa"/>
          </w:tcPr>
          <w:p w:rsidR="00BF25F3" w:rsidRPr="00FE6980" w:rsidRDefault="00BF25F3" w:rsidP="00BF25F3">
            <w:pPr>
              <w:tabs>
                <w:tab w:val="left" w:pos="6075"/>
              </w:tabs>
              <w:jc w:val="both"/>
              <w:rPr>
                <w:rFonts w:ascii="Arial" w:hAnsi="Arial" w:cs="Arial"/>
                <w:i/>
                <w:sz w:val="20"/>
                <w:szCs w:val="20"/>
              </w:rPr>
            </w:pPr>
          </w:p>
        </w:tc>
        <w:tc>
          <w:tcPr>
            <w:tcW w:w="4428" w:type="dxa"/>
          </w:tcPr>
          <w:p w:rsidR="00BF25F3" w:rsidRPr="00FE6980" w:rsidRDefault="00BF25F3" w:rsidP="00BF25F3">
            <w:pPr>
              <w:tabs>
                <w:tab w:val="left" w:pos="6075"/>
              </w:tabs>
              <w:jc w:val="both"/>
              <w:rPr>
                <w:rFonts w:ascii="Arial" w:hAnsi="Arial" w:cs="Arial"/>
                <w:i/>
                <w:sz w:val="20"/>
                <w:szCs w:val="20"/>
                <w:lang w:val="fr-CA"/>
              </w:rPr>
            </w:pPr>
            <w:r w:rsidRPr="00FE6980">
              <w:rPr>
                <w:rFonts w:ascii="Arial" w:hAnsi="Arial" w:cs="Arial"/>
                <w:i/>
                <w:sz w:val="20"/>
                <w:szCs w:val="20"/>
                <w:lang w:val="fr-CA"/>
              </w:rPr>
              <w:t>Le Bulletin paraît en principe toutes les semaines pendant les sessions de la Cour.</w:t>
            </w:r>
          </w:p>
        </w:tc>
      </w:tr>
      <w:tr w:rsidR="00BF25F3" w:rsidRPr="00FE6980" w:rsidTr="002E5576">
        <w:tc>
          <w:tcPr>
            <w:tcW w:w="4518" w:type="dxa"/>
          </w:tcPr>
          <w:p w:rsidR="00BF25F3" w:rsidRPr="00FE6980" w:rsidRDefault="00BF25F3" w:rsidP="00BF25F3">
            <w:pPr>
              <w:tabs>
                <w:tab w:val="left" w:pos="6075"/>
              </w:tabs>
              <w:rPr>
                <w:lang w:val="fr-CA"/>
              </w:rPr>
            </w:pPr>
          </w:p>
          <w:p w:rsidR="00D862C1" w:rsidRPr="00FE6980" w:rsidRDefault="00D862C1" w:rsidP="00BF25F3">
            <w:pPr>
              <w:tabs>
                <w:tab w:val="left" w:pos="6075"/>
              </w:tabs>
              <w:rPr>
                <w:lang w:val="fr-CA"/>
              </w:rPr>
            </w:pPr>
          </w:p>
        </w:tc>
        <w:tc>
          <w:tcPr>
            <w:tcW w:w="630" w:type="dxa"/>
          </w:tcPr>
          <w:p w:rsidR="00BF25F3" w:rsidRPr="00FE6980" w:rsidRDefault="00BF25F3" w:rsidP="00BF25F3">
            <w:pPr>
              <w:tabs>
                <w:tab w:val="left" w:pos="6075"/>
              </w:tabs>
              <w:rPr>
                <w:lang w:val="fr-CA"/>
              </w:rPr>
            </w:pPr>
          </w:p>
        </w:tc>
        <w:tc>
          <w:tcPr>
            <w:tcW w:w="4428" w:type="dxa"/>
          </w:tcPr>
          <w:p w:rsidR="00BF25F3" w:rsidRPr="00FE6980" w:rsidRDefault="00BF25F3" w:rsidP="00BF25F3">
            <w:pPr>
              <w:tabs>
                <w:tab w:val="left" w:pos="6075"/>
              </w:tabs>
              <w:rPr>
                <w:lang w:val="fr-CA"/>
              </w:rPr>
            </w:pPr>
          </w:p>
        </w:tc>
      </w:tr>
      <w:tr w:rsidR="00BF25F3" w:rsidRPr="00FE6980" w:rsidTr="002E5576">
        <w:tc>
          <w:tcPr>
            <w:tcW w:w="4518" w:type="dxa"/>
          </w:tcPr>
          <w:p w:rsidR="00BF25F3" w:rsidRPr="00FE6980" w:rsidRDefault="000E27A5" w:rsidP="00BF25F3">
            <w:pPr>
              <w:tabs>
                <w:tab w:val="left" w:pos="6075"/>
              </w:tabs>
              <w:jc w:val="both"/>
              <w:rPr>
                <w:rFonts w:ascii="Arial" w:hAnsi="Arial" w:cs="Arial"/>
                <w:i/>
                <w:sz w:val="20"/>
                <w:szCs w:val="20"/>
              </w:rPr>
            </w:pPr>
            <w:r w:rsidRPr="00FE6980">
              <w:rPr>
                <w:rFonts w:ascii="Arial" w:hAnsi="Arial" w:cs="Arial"/>
                <w:i/>
                <w:sz w:val="20"/>
                <w:szCs w:val="20"/>
              </w:rPr>
              <w:fldChar w:fldCharType="begin"/>
            </w:r>
            <w:r w:rsidR="00BF25F3" w:rsidRPr="00FE6980">
              <w:rPr>
                <w:rFonts w:ascii="Arial" w:hAnsi="Arial" w:cs="Arial"/>
                <w:i/>
                <w:sz w:val="20"/>
                <w:szCs w:val="20"/>
              </w:rPr>
              <w:instrText xml:space="preserve"> SEQ CHAPTER \h \r 1</w:instrText>
            </w:r>
            <w:r w:rsidRPr="00FE6980">
              <w:rPr>
                <w:rFonts w:ascii="Arial" w:hAnsi="Arial" w:cs="Arial"/>
                <w:i/>
                <w:sz w:val="20"/>
                <w:szCs w:val="20"/>
              </w:rPr>
              <w:fldChar w:fldCharType="end"/>
            </w:r>
            <w:r w:rsidR="00BF25F3" w:rsidRPr="00FE6980">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FE6980" w:rsidRDefault="00BF25F3" w:rsidP="00BF25F3">
            <w:pPr>
              <w:tabs>
                <w:tab w:val="left" w:pos="6075"/>
              </w:tabs>
              <w:jc w:val="both"/>
              <w:rPr>
                <w:rFonts w:ascii="Arial" w:hAnsi="Arial" w:cs="Arial"/>
                <w:i/>
                <w:sz w:val="20"/>
                <w:szCs w:val="20"/>
              </w:rPr>
            </w:pPr>
          </w:p>
        </w:tc>
        <w:tc>
          <w:tcPr>
            <w:tcW w:w="4428" w:type="dxa"/>
          </w:tcPr>
          <w:p w:rsidR="00BF25F3" w:rsidRPr="00FE6980" w:rsidRDefault="000E27A5" w:rsidP="00BF25F3">
            <w:pPr>
              <w:tabs>
                <w:tab w:val="left" w:pos="6075"/>
              </w:tabs>
              <w:jc w:val="both"/>
              <w:rPr>
                <w:rFonts w:ascii="Arial" w:hAnsi="Arial" w:cs="Arial"/>
                <w:i/>
                <w:sz w:val="20"/>
                <w:szCs w:val="20"/>
                <w:lang w:val="fr-CA"/>
              </w:rPr>
            </w:pPr>
            <w:r w:rsidRPr="00FE6980">
              <w:rPr>
                <w:rFonts w:ascii="Arial" w:hAnsi="Arial" w:cs="Arial"/>
                <w:i/>
                <w:sz w:val="20"/>
                <w:szCs w:val="20"/>
                <w:lang w:val="fr-CA"/>
              </w:rPr>
              <w:fldChar w:fldCharType="begin"/>
            </w:r>
            <w:r w:rsidR="00BF25F3" w:rsidRPr="00FE6980">
              <w:rPr>
                <w:rFonts w:ascii="Arial" w:hAnsi="Arial" w:cs="Arial"/>
                <w:i/>
                <w:sz w:val="20"/>
                <w:szCs w:val="20"/>
                <w:lang w:val="fr-CA"/>
              </w:rPr>
              <w:instrText xml:space="preserve"> SEQ CHAPTER \h \r 1</w:instrText>
            </w:r>
            <w:r w:rsidRPr="00FE6980">
              <w:rPr>
                <w:rFonts w:ascii="Arial" w:hAnsi="Arial" w:cs="Arial"/>
                <w:i/>
                <w:sz w:val="20"/>
                <w:szCs w:val="20"/>
                <w:lang w:val="fr-CA"/>
              </w:rPr>
              <w:fldChar w:fldCharType="end"/>
            </w:r>
            <w:r w:rsidR="00BF25F3" w:rsidRPr="00FE6980">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FE6980" w:rsidTr="002E5576">
        <w:tc>
          <w:tcPr>
            <w:tcW w:w="4518" w:type="dxa"/>
          </w:tcPr>
          <w:p w:rsidR="009F3024" w:rsidRPr="00FE6980" w:rsidRDefault="009F3024" w:rsidP="009F3024">
            <w:pPr>
              <w:tabs>
                <w:tab w:val="left" w:pos="6075"/>
              </w:tabs>
              <w:rPr>
                <w:rFonts w:cs="Times New Roman"/>
                <w:szCs w:val="24"/>
                <w:lang w:val="fr-CA"/>
              </w:rPr>
            </w:pPr>
          </w:p>
          <w:p w:rsidR="009F3024" w:rsidRPr="00FE6980" w:rsidRDefault="009F3024" w:rsidP="009F3024">
            <w:pPr>
              <w:tabs>
                <w:tab w:val="left" w:pos="6075"/>
              </w:tabs>
              <w:rPr>
                <w:rFonts w:cs="Times New Roman"/>
                <w:szCs w:val="24"/>
                <w:lang w:val="fr-CA"/>
              </w:rPr>
            </w:pPr>
          </w:p>
        </w:tc>
        <w:tc>
          <w:tcPr>
            <w:tcW w:w="630" w:type="dxa"/>
          </w:tcPr>
          <w:p w:rsidR="009F3024" w:rsidRPr="00FE6980" w:rsidRDefault="009F3024" w:rsidP="009F3024">
            <w:pPr>
              <w:tabs>
                <w:tab w:val="left" w:pos="6075"/>
              </w:tabs>
              <w:rPr>
                <w:rFonts w:cs="Times New Roman"/>
                <w:szCs w:val="24"/>
                <w:lang w:val="fr-CA"/>
              </w:rPr>
            </w:pPr>
          </w:p>
        </w:tc>
        <w:tc>
          <w:tcPr>
            <w:tcW w:w="4428" w:type="dxa"/>
          </w:tcPr>
          <w:p w:rsidR="009F3024" w:rsidRPr="00FE6980" w:rsidRDefault="009F3024" w:rsidP="009F3024">
            <w:pPr>
              <w:tabs>
                <w:tab w:val="left" w:pos="6075"/>
              </w:tabs>
              <w:rPr>
                <w:rFonts w:cs="Times New Roman"/>
                <w:szCs w:val="24"/>
                <w:lang w:val="fr-CA"/>
              </w:rPr>
            </w:pPr>
          </w:p>
        </w:tc>
      </w:tr>
      <w:tr w:rsidR="009F3024" w:rsidRPr="00FE6980" w:rsidTr="002E5576">
        <w:tc>
          <w:tcPr>
            <w:tcW w:w="4518" w:type="dxa"/>
          </w:tcPr>
          <w:p w:rsidR="009F3024" w:rsidRPr="00FE6980" w:rsidRDefault="009F3024" w:rsidP="00E414CA">
            <w:pPr>
              <w:tabs>
                <w:tab w:val="left" w:pos="6075"/>
              </w:tabs>
              <w:jc w:val="both"/>
              <w:rPr>
                <w:rFonts w:ascii="Arial" w:hAnsi="Arial" w:cs="Arial"/>
                <w:i/>
                <w:sz w:val="20"/>
                <w:szCs w:val="20"/>
              </w:rPr>
            </w:pPr>
            <w:r w:rsidRPr="00FE6980">
              <w:rPr>
                <w:rFonts w:ascii="Arial" w:hAnsi="Arial" w:cs="Arial"/>
                <w:i/>
                <w:sz w:val="20"/>
                <w:szCs w:val="20"/>
              </w:rPr>
              <w:t xml:space="preserve">Consult the Supreme Court of Canada website at </w:t>
            </w:r>
            <w:hyperlink r:id="rId8" w:history="1">
              <w:r w:rsidR="00E414CA" w:rsidRPr="00FE6980">
                <w:rPr>
                  <w:rStyle w:val="Hyperlink"/>
                  <w:rFonts w:ascii="Arial" w:hAnsi="Arial" w:cs="Arial"/>
                  <w:i/>
                  <w:sz w:val="20"/>
                  <w:szCs w:val="20"/>
                </w:rPr>
                <w:t>www.scc-csc.ca</w:t>
              </w:r>
            </w:hyperlink>
            <w:r w:rsidRPr="00FE6980">
              <w:rPr>
                <w:rFonts w:ascii="Arial" w:hAnsi="Arial" w:cs="Arial"/>
                <w:i/>
                <w:sz w:val="20"/>
                <w:szCs w:val="20"/>
              </w:rPr>
              <w:t xml:space="preserve"> for more information.</w:t>
            </w:r>
          </w:p>
        </w:tc>
        <w:tc>
          <w:tcPr>
            <w:tcW w:w="630" w:type="dxa"/>
          </w:tcPr>
          <w:p w:rsidR="009F3024" w:rsidRPr="00FE6980" w:rsidRDefault="009F3024" w:rsidP="00BF25F3">
            <w:pPr>
              <w:tabs>
                <w:tab w:val="left" w:pos="6075"/>
              </w:tabs>
              <w:jc w:val="both"/>
              <w:rPr>
                <w:rFonts w:ascii="Arial" w:hAnsi="Arial" w:cs="Arial"/>
                <w:i/>
                <w:sz w:val="20"/>
                <w:szCs w:val="20"/>
              </w:rPr>
            </w:pPr>
          </w:p>
        </w:tc>
        <w:tc>
          <w:tcPr>
            <w:tcW w:w="4428" w:type="dxa"/>
          </w:tcPr>
          <w:p w:rsidR="009F3024" w:rsidRPr="00FE6980" w:rsidRDefault="009F3024" w:rsidP="00E414CA">
            <w:pPr>
              <w:tabs>
                <w:tab w:val="left" w:pos="6075"/>
              </w:tabs>
              <w:jc w:val="both"/>
              <w:rPr>
                <w:rFonts w:ascii="Arial" w:hAnsi="Arial" w:cs="Arial"/>
                <w:i/>
                <w:sz w:val="20"/>
                <w:szCs w:val="20"/>
                <w:lang w:val="fr-CA"/>
              </w:rPr>
            </w:pPr>
            <w:r w:rsidRPr="00FE6980">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FE6980">
                <w:rPr>
                  <w:rStyle w:val="Hyperlink"/>
                  <w:rFonts w:ascii="Arial" w:hAnsi="Arial" w:cs="Arial"/>
                  <w:i/>
                  <w:sz w:val="20"/>
                  <w:szCs w:val="20"/>
                  <w:lang w:val="fr-CA"/>
                </w:rPr>
                <w:t>www.scc-csc.ca</w:t>
              </w:r>
            </w:hyperlink>
            <w:r w:rsidRPr="00FE6980">
              <w:rPr>
                <w:rFonts w:ascii="Arial" w:hAnsi="Arial" w:cs="Arial"/>
                <w:i/>
                <w:sz w:val="20"/>
                <w:szCs w:val="20"/>
                <w:lang w:val="fr-CA"/>
              </w:rPr>
              <w:t xml:space="preserve"> </w:t>
            </w:r>
          </w:p>
        </w:tc>
      </w:tr>
    </w:tbl>
    <w:p w:rsidR="00BF25F3" w:rsidRPr="00FE6980" w:rsidRDefault="00BF25F3" w:rsidP="00BF25F3">
      <w:pPr>
        <w:tabs>
          <w:tab w:val="left" w:pos="6075"/>
        </w:tabs>
        <w:rPr>
          <w:lang w:val="fr-CA"/>
        </w:rPr>
      </w:pPr>
    </w:p>
    <w:p w:rsidR="00440E24" w:rsidRPr="00FE6980" w:rsidRDefault="00440E24" w:rsidP="00440E24">
      <w:pPr>
        <w:pBdr>
          <w:bottom w:val="single" w:sz="6" w:space="1" w:color="auto"/>
        </w:pBdr>
        <w:tabs>
          <w:tab w:val="left" w:pos="6075"/>
        </w:tabs>
        <w:rPr>
          <w:lang w:val="fr-CA"/>
        </w:rPr>
      </w:pPr>
    </w:p>
    <w:p w:rsidR="00440E24" w:rsidRPr="00FE6980" w:rsidRDefault="00440E24" w:rsidP="00440E24">
      <w:pPr>
        <w:rPr>
          <w:lang w:val="fr-CA"/>
        </w:rPr>
      </w:pPr>
    </w:p>
    <w:p w:rsidR="00600252" w:rsidRPr="00FE6980" w:rsidRDefault="0045206F" w:rsidP="00F0068D">
      <w:pPr>
        <w:pBdr>
          <w:bottom w:val="single" w:sz="6" w:space="1" w:color="auto"/>
        </w:pBdr>
        <w:tabs>
          <w:tab w:val="center" w:pos="4680"/>
          <w:tab w:val="right" w:pos="9360"/>
        </w:tabs>
        <w:rPr>
          <w:lang w:val="fr-CA"/>
        </w:rPr>
      </w:pPr>
      <w:proofErr w:type="spellStart"/>
      <w:r w:rsidRPr="00FE6980">
        <w:rPr>
          <w:lang w:val="fr-CA"/>
        </w:rPr>
        <w:t>June</w:t>
      </w:r>
      <w:proofErr w:type="spellEnd"/>
      <w:r w:rsidRPr="00FE6980">
        <w:rPr>
          <w:lang w:val="fr-CA"/>
        </w:rPr>
        <w:t xml:space="preserve"> 17</w:t>
      </w:r>
      <w:r w:rsidR="00440E24" w:rsidRPr="00FE6980">
        <w:rPr>
          <w:lang w:val="fr-CA"/>
        </w:rPr>
        <w:t>, 201</w:t>
      </w:r>
      <w:r w:rsidR="0030050B" w:rsidRPr="00FE6980">
        <w:rPr>
          <w:lang w:val="fr-CA"/>
        </w:rPr>
        <w:t>6</w:t>
      </w:r>
      <w:r w:rsidR="00F0068D" w:rsidRPr="00FE6980">
        <w:rPr>
          <w:lang w:val="fr-CA"/>
        </w:rPr>
        <w:tab/>
      </w:r>
      <w:r w:rsidR="00C91E26" w:rsidRPr="00FE6980">
        <w:rPr>
          <w:lang w:val="fr-CA"/>
        </w:rPr>
        <w:t>897</w:t>
      </w:r>
      <w:r w:rsidR="00F0068D" w:rsidRPr="00FE6980">
        <w:rPr>
          <w:lang w:val="fr-CA"/>
        </w:rPr>
        <w:t xml:space="preserve"> - </w:t>
      </w:r>
      <w:r w:rsidR="00C91E26" w:rsidRPr="00FE6980">
        <w:rPr>
          <w:lang w:val="fr-CA"/>
        </w:rPr>
        <w:t>921</w:t>
      </w:r>
      <w:r w:rsidR="00440E24" w:rsidRPr="00FE6980">
        <w:rPr>
          <w:lang w:val="fr-CA"/>
        </w:rPr>
        <w:tab/>
        <w:t>Le</w:t>
      </w:r>
      <w:r w:rsidR="00C73D06" w:rsidRPr="00FE6980">
        <w:rPr>
          <w:lang w:val="fr-CA"/>
        </w:rPr>
        <w:t xml:space="preserve"> </w:t>
      </w:r>
      <w:r w:rsidRPr="00FE6980">
        <w:rPr>
          <w:lang w:val="fr-CA"/>
        </w:rPr>
        <w:t>17 juin</w:t>
      </w:r>
      <w:r w:rsidR="00440E24" w:rsidRPr="00FE6980">
        <w:rPr>
          <w:lang w:val="fr-CA"/>
        </w:rPr>
        <w:t xml:space="preserve"> 201</w:t>
      </w:r>
      <w:r w:rsidR="0030050B" w:rsidRPr="00FE6980">
        <w:rPr>
          <w:lang w:val="fr-CA"/>
        </w:rPr>
        <w:t>6</w:t>
      </w:r>
    </w:p>
    <w:p w:rsidR="00440E24" w:rsidRPr="00FE6980" w:rsidRDefault="00440E24" w:rsidP="00440E24">
      <w:pPr>
        <w:pBdr>
          <w:bottom w:val="single" w:sz="6" w:space="1" w:color="auto"/>
        </w:pBdr>
        <w:tabs>
          <w:tab w:val="right" w:pos="9360"/>
        </w:tabs>
        <w:rPr>
          <w:lang w:val="fr-CA"/>
        </w:rPr>
      </w:pPr>
    </w:p>
    <w:p w:rsidR="00440E24" w:rsidRPr="00FE6980" w:rsidRDefault="00440E24" w:rsidP="00440E24">
      <w:pPr>
        <w:pBdr>
          <w:bottom w:val="single" w:sz="6" w:space="1" w:color="auto"/>
        </w:pBdr>
        <w:tabs>
          <w:tab w:val="right" w:pos="9360"/>
        </w:tabs>
        <w:rPr>
          <w:sz w:val="18"/>
          <w:szCs w:val="18"/>
          <w:lang w:val="fr-CA"/>
        </w:rPr>
      </w:pPr>
      <w:r w:rsidRPr="00FE6980">
        <w:rPr>
          <w:sz w:val="18"/>
          <w:szCs w:val="18"/>
          <w:lang w:val="fr-CA"/>
        </w:rPr>
        <w:t xml:space="preserve">© </w:t>
      </w:r>
      <w:proofErr w:type="spellStart"/>
      <w:r w:rsidRPr="00FE6980">
        <w:rPr>
          <w:sz w:val="18"/>
          <w:szCs w:val="18"/>
          <w:lang w:val="fr-CA"/>
        </w:rPr>
        <w:t>Supreme</w:t>
      </w:r>
      <w:proofErr w:type="spellEnd"/>
      <w:r w:rsidRPr="00FE6980">
        <w:rPr>
          <w:sz w:val="18"/>
          <w:szCs w:val="18"/>
          <w:lang w:val="fr-CA"/>
        </w:rPr>
        <w:t xml:space="preserve"> Court of Canada (</w:t>
      </w:r>
      <w:r w:rsidR="0030050B" w:rsidRPr="00FE6980">
        <w:rPr>
          <w:sz w:val="18"/>
          <w:szCs w:val="18"/>
          <w:lang w:val="fr-CA"/>
        </w:rPr>
        <w:t>2016</w:t>
      </w:r>
      <w:r w:rsidRPr="00FE6980">
        <w:rPr>
          <w:sz w:val="18"/>
          <w:szCs w:val="18"/>
          <w:lang w:val="fr-CA"/>
        </w:rPr>
        <w:t>)</w:t>
      </w:r>
      <w:r w:rsidRPr="00FE6980">
        <w:rPr>
          <w:sz w:val="18"/>
          <w:szCs w:val="18"/>
          <w:lang w:val="fr-CA"/>
        </w:rPr>
        <w:tab/>
        <w:t>© Cour suprême du Canada (</w:t>
      </w:r>
      <w:r w:rsidR="0030050B" w:rsidRPr="00FE6980">
        <w:rPr>
          <w:sz w:val="18"/>
          <w:szCs w:val="18"/>
          <w:lang w:val="fr-CA"/>
        </w:rPr>
        <w:t>2016</w:t>
      </w:r>
      <w:r w:rsidRPr="00FE6980">
        <w:rPr>
          <w:sz w:val="18"/>
          <w:szCs w:val="18"/>
          <w:lang w:val="fr-CA"/>
        </w:rPr>
        <w:t>)</w:t>
      </w:r>
    </w:p>
    <w:p w:rsidR="00440E24" w:rsidRPr="00FE6980" w:rsidRDefault="00440E24" w:rsidP="00440E24">
      <w:pPr>
        <w:pBdr>
          <w:bottom w:val="single" w:sz="6" w:space="1" w:color="auto"/>
        </w:pBdr>
        <w:tabs>
          <w:tab w:val="right" w:pos="9360"/>
        </w:tabs>
        <w:rPr>
          <w:sz w:val="18"/>
          <w:szCs w:val="18"/>
          <w:lang w:val="fr-CA"/>
        </w:rPr>
      </w:pPr>
      <w:r w:rsidRPr="00FE6980">
        <w:rPr>
          <w:sz w:val="18"/>
          <w:szCs w:val="18"/>
          <w:lang w:val="fr-CA"/>
        </w:rPr>
        <w:t>ISSN 1918-8358 (Online)</w:t>
      </w:r>
      <w:r w:rsidRPr="00FE6980">
        <w:rPr>
          <w:sz w:val="18"/>
          <w:szCs w:val="18"/>
          <w:lang w:val="fr-CA"/>
        </w:rPr>
        <w:tab/>
        <w:t>ISSN 1918-8358 (En ligne)</w:t>
      </w:r>
    </w:p>
    <w:p w:rsidR="00600252" w:rsidRPr="00FE6980" w:rsidRDefault="00600252" w:rsidP="00BF25F3">
      <w:pPr>
        <w:pBdr>
          <w:bottom w:val="single" w:sz="6" w:space="1" w:color="auto"/>
        </w:pBdr>
        <w:tabs>
          <w:tab w:val="left" w:pos="6075"/>
        </w:tabs>
        <w:rPr>
          <w:lang w:val="fr-CA"/>
        </w:rPr>
      </w:pPr>
    </w:p>
    <w:p w:rsidR="0030050B" w:rsidRPr="00FE6980"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FE6980" w:rsidTr="00245129">
        <w:tc>
          <w:tcPr>
            <w:tcW w:w="4290" w:type="dxa"/>
            <w:shd w:val="clear" w:color="auto" w:fill="auto"/>
            <w:tcMar>
              <w:left w:w="0" w:type="dxa"/>
              <w:right w:w="0" w:type="dxa"/>
            </w:tcMar>
          </w:tcPr>
          <w:p w:rsidR="00245129" w:rsidRPr="00FE6980" w:rsidRDefault="00245129" w:rsidP="00245129">
            <w:pPr>
              <w:jc w:val="both"/>
              <w:rPr>
                <w:rFonts w:eastAsia="Times New Roman" w:cs="Times New Roman"/>
                <w:b/>
                <w:sz w:val="20"/>
                <w:szCs w:val="20"/>
                <w:lang w:eastAsia="en-CA"/>
              </w:rPr>
            </w:pPr>
            <w:r w:rsidRPr="00FE6980">
              <w:rPr>
                <w:b/>
              </w:rPr>
              <w:t>CONTENTS</w:t>
            </w:r>
          </w:p>
        </w:tc>
        <w:tc>
          <w:tcPr>
            <w:tcW w:w="1200" w:type="dxa"/>
            <w:shd w:val="clear" w:color="auto" w:fill="auto"/>
            <w:tcMar>
              <w:left w:w="0" w:type="dxa"/>
              <w:right w:w="0" w:type="dxa"/>
            </w:tcMar>
          </w:tcPr>
          <w:p w:rsidR="00245129" w:rsidRPr="00FE6980" w:rsidRDefault="00245129" w:rsidP="00245129">
            <w:pPr>
              <w:jc w:val="center"/>
              <w:rPr>
                <w:rFonts w:eastAsia="Times New Roman" w:cs="Times New Roman"/>
                <w:b/>
                <w:sz w:val="20"/>
                <w:szCs w:val="20"/>
                <w:lang w:eastAsia="en-CA"/>
              </w:rPr>
            </w:pPr>
          </w:p>
          <w:p w:rsidR="00245129" w:rsidRPr="00FE6980"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FE6980" w:rsidRDefault="00245129" w:rsidP="00245129">
            <w:pPr>
              <w:rPr>
                <w:rFonts w:eastAsia="Times New Roman" w:cs="Times New Roman"/>
                <w:b/>
                <w:sz w:val="20"/>
                <w:szCs w:val="20"/>
                <w:lang w:val="fr-CA" w:eastAsia="en-CA"/>
              </w:rPr>
            </w:pPr>
            <w:r w:rsidRPr="00FE6980">
              <w:rPr>
                <w:b/>
                <w:lang w:val="fr-CA"/>
              </w:rPr>
              <w:t>TABLE DES MATIÈRES</w:t>
            </w:r>
          </w:p>
        </w:tc>
      </w:tr>
    </w:tbl>
    <w:p w:rsidR="0095096B" w:rsidRPr="00FE6980"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FE6980" w:rsidTr="00164E6D">
        <w:tc>
          <w:tcPr>
            <w:tcW w:w="3708" w:type="dxa"/>
          </w:tcPr>
          <w:p w:rsidR="0095096B" w:rsidRPr="00FE6980" w:rsidRDefault="0095096B" w:rsidP="0095096B">
            <w:pPr>
              <w:tabs>
                <w:tab w:val="right" w:pos="9360"/>
              </w:tabs>
              <w:rPr>
                <w:rFonts w:cs="Times New Roman"/>
                <w:sz w:val="20"/>
                <w:szCs w:val="20"/>
              </w:rPr>
            </w:pPr>
            <w:r w:rsidRPr="00FE6980">
              <w:rPr>
                <w:rFonts w:cs="Times New Roman"/>
                <w:sz w:val="20"/>
                <w:szCs w:val="20"/>
              </w:rPr>
              <w:t xml:space="preserve">Applications for leave to appeal </w:t>
            </w:r>
          </w:p>
          <w:p w:rsidR="0095096B" w:rsidRPr="00FE6980" w:rsidRDefault="0095096B" w:rsidP="0095096B">
            <w:pPr>
              <w:tabs>
                <w:tab w:val="right" w:pos="9360"/>
              </w:tabs>
              <w:rPr>
                <w:rFonts w:cs="Times New Roman"/>
                <w:sz w:val="20"/>
                <w:szCs w:val="20"/>
              </w:rPr>
            </w:pPr>
            <w:r w:rsidRPr="00FE6980">
              <w:rPr>
                <w:rFonts w:cs="Times New Roman"/>
                <w:sz w:val="20"/>
                <w:szCs w:val="20"/>
              </w:rPr>
              <w:t>filed</w:t>
            </w:r>
          </w:p>
          <w:p w:rsidR="0095096B" w:rsidRPr="00FE6980" w:rsidRDefault="0095096B" w:rsidP="0095096B">
            <w:pPr>
              <w:tabs>
                <w:tab w:val="right" w:pos="9360"/>
              </w:tabs>
              <w:rPr>
                <w:rFonts w:cs="Times New Roman"/>
                <w:sz w:val="20"/>
                <w:szCs w:val="20"/>
              </w:rPr>
            </w:pPr>
          </w:p>
          <w:p w:rsidR="0095096B" w:rsidRPr="00FE6980" w:rsidRDefault="0095096B" w:rsidP="0095096B">
            <w:pPr>
              <w:tabs>
                <w:tab w:val="right" w:pos="9360"/>
              </w:tabs>
              <w:rPr>
                <w:rFonts w:cs="Times New Roman"/>
                <w:sz w:val="20"/>
                <w:szCs w:val="20"/>
              </w:rPr>
            </w:pPr>
            <w:r w:rsidRPr="00FE6980">
              <w:rPr>
                <w:rFonts w:cs="Times New Roman"/>
                <w:sz w:val="20"/>
                <w:szCs w:val="20"/>
              </w:rPr>
              <w:t xml:space="preserve">Applications for leave submitted </w:t>
            </w:r>
          </w:p>
          <w:p w:rsidR="0095096B" w:rsidRPr="00FE6980" w:rsidRDefault="0095096B" w:rsidP="0095096B">
            <w:pPr>
              <w:tabs>
                <w:tab w:val="right" w:pos="9360"/>
              </w:tabs>
              <w:rPr>
                <w:rFonts w:cs="Times New Roman"/>
                <w:sz w:val="20"/>
                <w:szCs w:val="20"/>
              </w:rPr>
            </w:pPr>
            <w:r w:rsidRPr="00FE6980">
              <w:rPr>
                <w:rFonts w:cs="Times New Roman"/>
                <w:sz w:val="20"/>
                <w:szCs w:val="20"/>
              </w:rPr>
              <w:t>to Court since last issue</w:t>
            </w:r>
          </w:p>
          <w:p w:rsidR="0095096B" w:rsidRPr="00FE6980" w:rsidRDefault="0095096B" w:rsidP="0095096B">
            <w:pPr>
              <w:tabs>
                <w:tab w:val="right" w:pos="9360"/>
              </w:tabs>
              <w:rPr>
                <w:rFonts w:cs="Times New Roman"/>
                <w:sz w:val="20"/>
                <w:szCs w:val="20"/>
              </w:rPr>
            </w:pPr>
          </w:p>
          <w:p w:rsidR="0095096B" w:rsidRPr="00FE6980" w:rsidRDefault="0095096B" w:rsidP="0095096B">
            <w:pPr>
              <w:tabs>
                <w:tab w:val="right" w:pos="9360"/>
              </w:tabs>
              <w:rPr>
                <w:rFonts w:cs="Times New Roman"/>
                <w:sz w:val="20"/>
                <w:szCs w:val="20"/>
              </w:rPr>
            </w:pPr>
            <w:r w:rsidRPr="00FE6980">
              <w:rPr>
                <w:rFonts w:cs="Times New Roman"/>
                <w:sz w:val="20"/>
                <w:szCs w:val="20"/>
              </w:rPr>
              <w:t xml:space="preserve">Judgments on applications for </w:t>
            </w:r>
          </w:p>
          <w:p w:rsidR="0095096B" w:rsidRPr="00FE6980" w:rsidRDefault="0095096B" w:rsidP="0095096B">
            <w:pPr>
              <w:tabs>
                <w:tab w:val="right" w:pos="9360"/>
              </w:tabs>
              <w:rPr>
                <w:rFonts w:cs="Times New Roman"/>
                <w:sz w:val="20"/>
                <w:szCs w:val="20"/>
              </w:rPr>
            </w:pPr>
            <w:r w:rsidRPr="00FE6980">
              <w:rPr>
                <w:rFonts w:cs="Times New Roman"/>
                <w:sz w:val="20"/>
                <w:szCs w:val="20"/>
              </w:rPr>
              <w:t>leave</w:t>
            </w:r>
          </w:p>
          <w:p w:rsidR="0095096B" w:rsidRPr="00FE6980" w:rsidRDefault="0095096B" w:rsidP="0095096B">
            <w:pPr>
              <w:tabs>
                <w:tab w:val="right" w:pos="9360"/>
              </w:tabs>
              <w:rPr>
                <w:rFonts w:cs="Times New Roman"/>
                <w:sz w:val="20"/>
                <w:szCs w:val="20"/>
              </w:rPr>
            </w:pPr>
          </w:p>
          <w:p w:rsidR="0095096B" w:rsidRPr="00FE6980" w:rsidRDefault="0095096B" w:rsidP="0095096B">
            <w:pPr>
              <w:tabs>
                <w:tab w:val="right" w:pos="9360"/>
              </w:tabs>
              <w:rPr>
                <w:rFonts w:cs="Times New Roman"/>
                <w:sz w:val="20"/>
                <w:szCs w:val="20"/>
              </w:rPr>
            </w:pPr>
            <w:r w:rsidRPr="00FE6980">
              <w:rPr>
                <w:rFonts w:cs="Times New Roman"/>
                <w:sz w:val="20"/>
                <w:szCs w:val="20"/>
              </w:rPr>
              <w:t>Motions</w:t>
            </w:r>
          </w:p>
          <w:p w:rsidR="0095096B" w:rsidRPr="00FE6980" w:rsidRDefault="0095096B" w:rsidP="0095096B">
            <w:pPr>
              <w:tabs>
                <w:tab w:val="right" w:pos="9360"/>
              </w:tabs>
              <w:rPr>
                <w:rFonts w:cs="Times New Roman"/>
                <w:sz w:val="20"/>
                <w:szCs w:val="20"/>
              </w:rPr>
            </w:pPr>
          </w:p>
          <w:p w:rsidR="0095096B" w:rsidRPr="00FE6980" w:rsidRDefault="0095096B" w:rsidP="0095096B">
            <w:pPr>
              <w:tabs>
                <w:tab w:val="right" w:pos="9360"/>
              </w:tabs>
              <w:rPr>
                <w:rFonts w:cs="Times New Roman"/>
                <w:sz w:val="20"/>
                <w:szCs w:val="20"/>
              </w:rPr>
            </w:pPr>
            <w:r w:rsidRPr="00FE6980">
              <w:rPr>
                <w:rFonts w:cs="Times New Roman"/>
                <w:sz w:val="20"/>
                <w:szCs w:val="20"/>
              </w:rPr>
              <w:t xml:space="preserve">Notices of appeal filed since last </w:t>
            </w:r>
          </w:p>
          <w:p w:rsidR="0095096B" w:rsidRPr="00FE6980" w:rsidRDefault="0095096B" w:rsidP="0095096B">
            <w:pPr>
              <w:tabs>
                <w:tab w:val="right" w:pos="9360"/>
              </w:tabs>
              <w:rPr>
                <w:rFonts w:cs="Times New Roman"/>
                <w:sz w:val="20"/>
                <w:szCs w:val="20"/>
              </w:rPr>
            </w:pPr>
            <w:r w:rsidRPr="00FE6980">
              <w:rPr>
                <w:rFonts w:cs="Times New Roman"/>
                <w:sz w:val="20"/>
                <w:szCs w:val="20"/>
              </w:rPr>
              <w:t>issue</w:t>
            </w:r>
          </w:p>
          <w:p w:rsidR="0095096B" w:rsidRPr="00FE6980" w:rsidRDefault="0095096B" w:rsidP="0095096B">
            <w:pPr>
              <w:tabs>
                <w:tab w:val="right" w:pos="9360"/>
              </w:tabs>
              <w:rPr>
                <w:rFonts w:cs="Times New Roman"/>
                <w:sz w:val="20"/>
                <w:szCs w:val="20"/>
              </w:rPr>
            </w:pPr>
          </w:p>
          <w:p w:rsidR="0095096B" w:rsidRPr="00FE6980" w:rsidRDefault="0095096B" w:rsidP="0095096B">
            <w:pPr>
              <w:tabs>
                <w:tab w:val="right" w:pos="9360"/>
              </w:tabs>
              <w:rPr>
                <w:rFonts w:cs="Times New Roman"/>
                <w:sz w:val="20"/>
                <w:szCs w:val="20"/>
              </w:rPr>
            </w:pPr>
            <w:r w:rsidRPr="00FE6980">
              <w:rPr>
                <w:rFonts w:cs="Times New Roman"/>
                <w:sz w:val="20"/>
                <w:szCs w:val="20"/>
              </w:rPr>
              <w:t>Pronouncements of appeals reserved</w:t>
            </w:r>
          </w:p>
          <w:p w:rsidR="0095096B" w:rsidRPr="00FE6980" w:rsidRDefault="0095096B" w:rsidP="0095096B">
            <w:pPr>
              <w:tabs>
                <w:tab w:val="right" w:pos="9360"/>
              </w:tabs>
              <w:rPr>
                <w:rFonts w:cs="Times New Roman"/>
                <w:sz w:val="20"/>
                <w:szCs w:val="20"/>
              </w:rPr>
            </w:pPr>
          </w:p>
          <w:p w:rsidR="0095096B" w:rsidRPr="00FE6980" w:rsidRDefault="0095096B" w:rsidP="0095096B">
            <w:pPr>
              <w:tabs>
                <w:tab w:val="right" w:pos="9360"/>
              </w:tabs>
              <w:rPr>
                <w:rFonts w:cs="Times New Roman"/>
                <w:sz w:val="20"/>
                <w:szCs w:val="20"/>
              </w:rPr>
            </w:pPr>
          </w:p>
          <w:p w:rsidR="0095096B" w:rsidRPr="00FE6980" w:rsidRDefault="0095096B" w:rsidP="0095096B">
            <w:pPr>
              <w:tabs>
                <w:tab w:val="right" w:pos="9360"/>
              </w:tabs>
              <w:rPr>
                <w:rFonts w:cs="Times New Roman"/>
                <w:sz w:val="20"/>
                <w:szCs w:val="20"/>
              </w:rPr>
            </w:pPr>
            <w:r w:rsidRPr="00FE6980">
              <w:rPr>
                <w:rFonts w:cs="Times New Roman"/>
                <w:sz w:val="20"/>
                <w:szCs w:val="20"/>
              </w:rPr>
              <w:t>Headnotes of recent judgments</w:t>
            </w:r>
          </w:p>
          <w:p w:rsidR="0095096B" w:rsidRPr="00FE6980" w:rsidRDefault="0095096B" w:rsidP="0095096B">
            <w:pPr>
              <w:tabs>
                <w:tab w:val="right" w:pos="9360"/>
              </w:tabs>
              <w:rPr>
                <w:rFonts w:cs="Times New Roman"/>
                <w:sz w:val="20"/>
                <w:szCs w:val="20"/>
              </w:rPr>
            </w:pPr>
          </w:p>
          <w:p w:rsidR="00A87207" w:rsidRPr="00FE6980" w:rsidRDefault="00A87207" w:rsidP="0045206F">
            <w:pPr>
              <w:tabs>
                <w:tab w:val="right" w:pos="9360"/>
              </w:tabs>
              <w:rPr>
                <w:rFonts w:cs="Times New Roman"/>
                <w:sz w:val="20"/>
                <w:szCs w:val="20"/>
              </w:rPr>
            </w:pPr>
          </w:p>
        </w:tc>
        <w:tc>
          <w:tcPr>
            <w:tcW w:w="1980" w:type="dxa"/>
          </w:tcPr>
          <w:p w:rsidR="0095096B" w:rsidRPr="00FE6980" w:rsidRDefault="00C91E26" w:rsidP="0095096B">
            <w:pPr>
              <w:jc w:val="center"/>
              <w:rPr>
                <w:rFonts w:cs="Times New Roman"/>
                <w:sz w:val="20"/>
                <w:szCs w:val="20"/>
              </w:rPr>
            </w:pPr>
            <w:r w:rsidRPr="00FE6980">
              <w:rPr>
                <w:rFonts w:cs="Times New Roman"/>
                <w:sz w:val="20"/>
                <w:szCs w:val="20"/>
              </w:rPr>
              <w:t xml:space="preserve">897 </w:t>
            </w:r>
            <w:r w:rsidR="000E27A5" w:rsidRPr="00FE6980">
              <w:rPr>
                <w:rFonts w:cs="Times New Roman"/>
                <w:sz w:val="20"/>
                <w:szCs w:val="20"/>
              </w:rPr>
              <w:fldChar w:fldCharType="begin"/>
            </w:r>
            <w:r w:rsidR="0095096B" w:rsidRPr="00FE6980">
              <w:rPr>
                <w:rFonts w:cs="Times New Roman"/>
                <w:sz w:val="20"/>
                <w:szCs w:val="20"/>
              </w:rPr>
              <w:instrText xml:space="preserve"> SEQ CHAPTER \h \r 1</w:instrText>
            </w:r>
            <w:r w:rsidR="000E27A5" w:rsidRPr="00FE6980">
              <w:rPr>
                <w:rFonts w:cs="Times New Roman"/>
                <w:sz w:val="20"/>
                <w:szCs w:val="20"/>
              </w:rPr>
              <w:fldChar w:fldCharType="end"/>
            </w:r>
            <w:r w:rsidR="0095096B" w:rsidRPr="00FE6980">
              <w:rPr>
                <w:rFonts w:cs="Times New Roman"/>
                <w:sz w:val="20"/>
                <w:szCs w:val="20"/>
              </w:rPr>
              <w:t>-</w:t>
            </w:r>
            <w:r w:rsidRPr="00FE6980">
              <w:rPr>
                <w:rFonts w:cs="Times New Roman"/>
                <w:sz w:val="20"/>
                <w:szCs w:val="20"/>
              </w:rPr>
              <w:t xml:space="preserve"> 899</w:t>
            </w:r>
          </w:p>
          <w:p w:rsidR="0095096B" w:rsidRPr="00FE6980" w:rsidRDefault="0095096B" w:rsidP="0095096B">
            <w:pPr>
              <w:jc w:val="center"/>
              <w:rPr>
                <w:rFonts w:cs="Times New Roman"/>
                <w:sz w:val="20"/>
                <w:szCs w:val="20"/>
              </w:rPr>
            </w:pPr>
          </w:p>
          <w:p w:rsidR="0095096B" w:rsidRPr="00FE6980" w:rsidRDefault="0095096B" w:rsidP="0095096B">
            <w:pPr>
              <w:jc w:val="center"/>
              <w:rPr>
                <w:rFonts w:cs="Times New Roman"/>
                <w:sz w:val="20"/>
                <w:szCs w:val="20"/>
              </w:rPr>
            </w:pPr>
          </w:p>
          <w:p w:rsidR="0095096B" w:rsidRPr="00FE6980" w:rsidRDefault="00C91E26" w:rsidP="0095096B">
            <w:pPr>
              <w:jc w:val="center"/>
              <w:rPr>
                <w:rFonts w:cs="Times New Roman"/>
                <w:sz w:val="20"/>
                <w:szCs w:val="20"/>
              </w:rPr>
            </w:pPr>
            <w:r w:rsidRPr="00FE6980">
              <w:rPr>
                <w:rFonts w:cs="Times New Roman"/>
                <w:sz w:val="20"/>
                <w:szCs w:val="20"/>
              </w:rPr>
              <w:t>900</w:t>
            </w:r>
          </w:p>
          <w:p w:rsidR="0095096B" w:rsidRPr="00FE6980" w:rsidRDefault="0095096B" w:rsidP="0095096B">
            <w:pPr>
              <w:jc w:val="center"/>
              <w:rPr>
                <w:rFonts w:cs="Times New Roman"/>
                <w:sz w:val="20"/>
                <w:szCs w:val="20"/>
              </w:rPr>
            </w:pPr>
          </w:p>
          <w:p w:rsidR="0095096B" w:rsidRPr="00FE6980" w:rsidRDefault="0095096B" w:rsidP="0095096B">
            <w:pPr>
              <w:jc w:val="center"/>
              <w:rPr>
                <w:rFonts w:cs="Times New Roman"/>
                <w:sz w:val="20"/>
                <w:szCs w:val="20"/>
              </w:rPr>
            </w:pPr>
          </w:p>
          <w:p w:rsidR="0095096B" w:rsidRPr="00FE6980" w:rsidRDefault="00C91E26" w:rsidP="0095096B">
            <w:pPr>
              <w:jc w:val="center"/>
              <w:rPr>
                <w:rFonts w:cs="Times New Roman"/>
                <w:sz w:val="20"/>
                <w:szCs w:val="20"/>
              </w:rPr>
            </w:pPr>
            <w:r w:rsidRPr="00FE6980">
              <w:rPr>
                <w:rFonts w:cs="Times New Roman"/>
                <w:sz w:val="20"/>
                <w:szCs w:val="20"/>
              </w:rPr>
              <w:t xml:space="preserve">901 </w:t>
            </w:r>
            <w:r w:rsidR="0095096B" w:rsidRPr="00FE6980">
              <w:rPr>
                <w:rFonts w:cs="Times New Roman"/>
                <w:sz w:val="20"/>
                <w:szCs w:val="20"/>
              </w:rPr>
              <w:t>-</w:t>
            </w:r>
            <w:r w:rsidRPr="00FE6980">
              <w:rPr>
                <w:rFonts w:cs="Times New Roman"/>
                <w:sz w:val="20"/>
                <w:szCs w:val="20"/>
              </w:rPr>
              <w:t xml:space="preserve"> 911</w:t>
            </w:r>
          </w:p>
          <w:p w:rsidR="0095096B" w:rsidRPr="00FE6980" w:rsidRDefault="0095096B" w:rsidP="0095096B">
            <w:pPr>
              <w:jc w:val="center"/>
              <w:rPr>
                <w:rFonts w:cs="Times New Roman"/>
                <w:sz w:val="20"/>
                <w:szCs w:val="20"/>
              </w:rPr>
            </w:pPr>
          </w:p>
          <w:p w:rsidR="0045206F" w:rsidRPr="00FE6980" w:rsidRDefault="0045206F" w:rsidP="0095096B">
            <w:pPr>
              <w:jc w:val="center"/>
              <w:rPr>
                <w:rFonts w:cs="Times New Roman"/>
                <w:sz w:val="20"/>
                <w:szCs w:val="20"/>
              </w:rPr>
            </w:pPr>
          </w:p>
          <w:p w:rsidR="0095096B" w:rsidRPr="00FE6980" w:rsidRDefault="00C91E26" w:rsidP="0095096B">
            <w:pPr>
              <w:jc w:val="center"/>
              <w:rPr>
                <w:rFonts w:cs="Times New Roman"/>
                <w:sz w:val="20"/>
                <w:szCs w:val="20"/>
              </w:rPr>
            </w:pPr>
            <w:r w:rsidRPr="00FE6980">
              <w:rPr>
                <w:rFonts w:cs="Times New Roman"/>
                <w:sz w:val="20"/>
                <w:szCs w:val="20"/>
              </w:rPr>
              <w:t>912</w:t>
            </w:r>
          </w:p>
          <w:p w:rsidR="0095096B" w:rsidRPr="00FE6980" w:rsidRDefault="0095096B" w:rsidP="0095096B">
            <w:pPr>
              <w:jc w:val="center"/>
              <w:rPr>
                <w:rFonts w:cs="Times New Roman"/>
                <w:sz w:val="20"/>
                <w:szCs w:val="20"/>
              </w:rPr>
            </w:pPr>
          </w:p>
          <w:p w:rsidR="0095096B" w:rsidRPr="00FE6980" w:rsidRDefault="00C91E26" w:rsidP="0095096B">
            <w:pPr>
              <w:jc w:val="center"/>
              <w:rPr>
                <w:rFonts w:cs="Times New Roman"/>
                <w:sz w:val="20"/>
                <w:szCs w:val="20"/>
              </w:rPr>
            </w:pPr>
            <w:r w:rsidRPr="00FE6980">
              <w:rPr>
                <w:rFonts w:cs="Times New Roman"/>
                <w:sz w:val="20"/>
                <w:szCs w:val="20"/>
              </w:rPr>
              <w:t>913</w:t>
            </w:r>
          </w:p>
          <w:p w:rsidR="0095096B" w:rsidRPr="00FE6980" w:rsidRDefault="0095096B" w:rsidP="0095096B">
            <w:pPr>
              <w:jc w:val="center"/>
              <w:rPr>
                <w:rFonts w:cs="Times New Roman"/>
                <w:sz w:val="20"/>
                <w:szCs w:val="20"/>
              </w:rPr>
            </w:pPr>
          </w:p>
          <w:p w:rsidR="0095096B" w:rsidRPr="00FE6980" w:rsidRDefault="0095096B" w:rsidP="0095096B">
            <w:pPr>
              <w:jc w:val="center"/>
              <w:rPr>
                <w:rFonts w:cs="Times New Roman"/>
                <w:sz w:val="20"/>
                <w:szCs w:val="20"/>
              </w:rPr>
            </w:pPr>
          </w:p>
          <w:p w:rsidR="0095096B" w:rsidRPr="00FE6980" w:rsidRDefault="00C91E26" w:rsidP="0095096B">
            <w:pPr>
              <w:jc w:val="center"/>
              <w:rPr>
                <w:rFonts w:cs="Times New Roman"/>
                <w:sz w:val="20"/>
                <w:szCs w:val="20"/>
              </w:rPr>
            </w:pPr>
            <w:r w:rsidRPr="00FE6980">
              <w:rPr>
                <w:rFonts w:cs="Times New Roman"/>
                <w:sz w:val="20"/>
                <w:szCs w:val="20"/>
              </w:rPr>
              <w:t>914</w:t>
            </w:r>
          </w:p>
          <w:p w:rsidR="0095096B" w:rsidRPr="00FE6980" w:rsidRDefault="0095096B" w:rsidP="0095096B">
            <w:pPr>
              <w:jc w:val="center"/>
              <w:rPr>
                <w:rFonts w:cs="Times New Roman"/>
                <w:sz w:val="20"/>
                <w:szCs w:val="20"/>
              </w:rPr>
            </w:pPr>
          </w:p>
          <w:p w:rsidR="0095096B" w:rsidRPr="00FE6980" w:rsidRDefault="0095096B" w:rsidP="0095096B">
            <w:pPr>
              <w:jc w:val="center"/>
              <w:rPr>
                <w:rFonts w:cs="Times New Roman"/>
                <w:sz w:val="20"/>
                <w:szCs w:val="20"/>
              </w:rPr>
            </w:pPr>
          </w:p>
          <w:p w:rsidR="0095096B" w:rsidRPr="00FE6980" w:rsidRDefault="00C91E26" w:rsidP="0095096B">
            <w:pPr>
              <w:jc w:val="center"/>
              <w:rPr>
                <w:rFonts w:cs="Times New Roman"/>
                <w:sz w:val="20"/>
                <w:szCs w:val="20"/>
              </w:rPr>
            </w:pPr>
            <w:r w:rsidRPr="00FE6980">
              <w:rPr>
                <w:rFonts w:cs="Times New Roman"/>
                <w:sz w:val="20"/>
                <w:szCs w:val="20"/>
              </w:rPr>
              <w:t xml:space="preserve">915 </w:t>
            </w:r>
            <w:r w:rsidR="0095096B" w:rsidRPr="00FE6980">
              <w:rPr>
                <w:rFonts w:cs="Times New Roman"/>
                <w:sz w:val="20"/>
                <w:szCs w:val="20"/>
              </w:rPr>
              <w:t>-</w:t>
            </w:r>
            <w:r w:rsidRPr="00FE6980">
              <w:rPr>
                <w:rFonts w:cs="Times New Roman"/>
                <w:sz w:val="20"/>
                <w:szCs w:val="20"/>
              </w:rPr>
              <w:t xml:space="preserve"> 921</w:t>
            </w:r>
          </w:p>
          <w:p w:rsidR="00A87207" w:rsidRPr="00FE6980" w:rsidRDefault="00A87207" w:rsidP="0045206F">
            <w:pPr>
              <w:rPr>
                <w:rFonts w:cs="Times New Roman"/>
                <w:sz w:val="20"/>
                <w:szCs w:val="20"/>
              </w:rPr>
            </w:pPr>
          </w:p>
        </w:tc>
        <w:tc>
          <w:tcPr>
            <w:tcW w:w="3888" w:type="dxa"/>
          </w:tcPr>
          <w:p w:rsidR="0095096B" w:rsidRPr="00FE6980" w:rsidRDefault="000E27A5" w:rsidP="0095096B">
            <w:pPr>
              <w:rPr>
                <w:rFonts w:cs="Times New Roman"/>
                <w:sz w:val="20"/>
                <w:szCs w:val="20"/>
                <w:lang w:val="fr-CA"/>
              </w:rPr>
            </w:pPr>
            <w:r w:rsidRPr="00FE6980">
              <w:rPr>
                <w:rFonts w:cs="Times New Roman"/>
                <w:sz w:val="20"/>
                <w:szCs w:val="20"/>
                <w:lang w:val="fr-CA"/>
              </w:rPr>
              <w:fldChar w:fldCharType="begin"/>
            </w:r>
            <w:r w:rsidR="0095096B" w:rsidRPr="00FE6980">
              <w:rPr>
                <w:rFonts w:cs="Times New Roman"/>
                <w:sz w:val="20"/>
                <w:szCs w:val="20"/>
                <w:lang w:val="fr-CA"/>
              </w:rPr>
              <w:instrText xml:space="preserve"> SEQ CHAPTER \h \r 1</w:instrText>
            </w:r>
            <w:r w:rsidRPr="00FE6980">
              <w:rPr>
                <w:rFonts w:cs="Times New Roman"/>
                <w:sz w:val="20"/>
                <w:szCs w:val="20"/>
                <w:lang w:val="fr-CA"/>
              </w:rPr>
              <w:fldChar w:fldCharType="end"/>
            </w:r>
            <w:r w:rsidR="0095096B" w:rsidRPr="00FE6980">
              <w:rPr>
                <w:rFonts w:cs="Times New Roman"/>
                <w:sz w:val="20"/>
                <w:szCs w:val="20"/>
                <w:lang w:val="fr-CA"/>
              </w:rPr>
              <w:t>Demandes d</w:t>
            </w:r>
            <w:r w:rsidR="004137A0" w:rsidRPr="00FE6980">
              <w:rPr>
                <w:rFonts w:cs="Times New Roman"/>
                <w:sz w:val="20"/>
                <w:szCs w:val="20"/>
                <w:lang w:val="fr-CA"/>
              </w:rPr>
              <w:t>’</w:t>
            </w:r>
            <w:r w:rsidR="0095096B" w:rsidRPr="00FE6980">
              <w:rPr>
                <w:rFonts w:cs="Times New Roman"/>
                <w:sz w:val="20"/>
                <w:szCs w:val="20"/>
                <w:lang w:val="fr-CA"/>
              </w:rPr>
              <w:t>autorisation d</w:t>
            </w:r>
            <w:r w:rsidR="004137A0" w:rsidRPr="00FE6980">
              <w:rPr>
                <w:rFonts w:cs="Times New Roman"/>
                <w:sz w:val="20"/>
                <w:szCs w:val="20"/>
                <w:lang w:val="fr-CA"/>
              </w:rPr>
              <w:t>’</w:t>
            </w:r>
            <w:r w:rsidR="0095096B" w:rsidRPr="00FE6980">
              <w:rPr>
                <w:rFonts w:cs="Times New Roman"/>
                <w:sz w:val="20"/>
                <w:szCs w:val="20"/>
                <w:lang w:val="fr-CA"/>
              </w:rPr>
              <w:t xml:space="preserve">appel </w:t>
            </w:r>
          </w:p>
          <w:p w:rsidR="0095096B" w:rsidRPr="00FE6980" w:rsidRDefault="0095096B" w:rsidP="0095096B">
            <w:pPr>
              <w:rPr>
                <w:rFonts w:cs="Times New Roman"/>
                <w:sz w:val="20"/>
                <w:szCs w:val="20"/>
                <w:lang w:val="fr-CA"/>
              </w:rPr>
            </w:pPr>
            <w:r w:rsidRPr="00FE6980">
              <w:rPr>
                <w:rFonts w:cs="Times New Roman"/>
                <w:sz w:val="20"/>
                <w:szCs w:val="20"/>
                <w:lang w:val="fr-CA"/>
              </w:rPr>
              <w:t>déposées</w:t>
            </w:r>
          </w:p>
          <w:p w:rsidR="0095096B" w:rsidRPr="00FE6980" w:rsidRDefault="0095096B" w:rsidP="0095096B">
            <w:pPr>
              <w:rPr>
                <w:rFonts w:cs="Times New Roman"/>
                <w:sz w:val="20"/>
                <w:szCs w:val="20"/>
                <w:lang w:val="fr-CA"/>
              </w:rPr>
            </w:pPr>
          </w:p>
          <w:p w:rsidR="0095096B" w:rsidRPr="00FE6980" w:rsidRDefault="0095096B" w:rsidP="0095096B">
            <w:pPr>
              <w:rPr>
                <w:rFonts w:cs="Times New Roman"/>
                <w:sz w:val="20"/>
                <w:szCs w:val="20"/>
                <w:lang w:val="fr-CA"/>
              </w:rPr>
            </w:pPr>
            <w:r w:rsidRPr="00FE6980">
              <w:rPr>
                <w:rFonts w:cs="Times New Roman"/>
                <w:sz w:val="20"/>
                <w:szCs w:val="20"/>
                <w:lang w:val="fr-CA"/>
              </w:rPr>
              <w:t xml:space="preserve">Demandes soumises à la Cour depuis la </w:t>
            </w:r>
          </w:p>
          <w:p w:rsidR="0095096B" w:rsidRPr="00FE6980" w:rsidRDefault="0095096B" w:rsidP="0095096B">
            <w:pPr>
              <w:rPr>
                <w:rFonts w:cs="Times New Roman"/>
                <w:sz w:val="20"/>
                <w:szCs w:val="20"/>
                <w:lang w:val="fr-CA"/>
              </w:rPr>
            </w:pPr>
            <w:r w:rsidRPr="00FE6980">
              <w:rPr>
                <w:rFonts w:cs="Times New Roman"/>
                <w:sz w:val="20"/>
                <w:szCs w:val="20"/>
                <w:lang w:val="fr-CA"/>
              </w:rPr>
              <w:t>dernière parution</w:t>
            </w:r>
          </w:p>
          <w:p w:rsidR="0095096B" w:rsidRPr="00FE6980" w:rsidRDefault="0095096B" w:rsidP="0095096B">
            <w:pPr>
              <w:rPr>
                <w:rFonts w:cs="Times New Roman"/>
                <w:sz w:val="20"/>
                <w:szCs w:val="20"/>
                <w:lang w:val="fr-CA"/>
              </w:rPr>
            </w:pPr>
          </w:p>
          <w:p w:rsidR="0095096B" w:rsidRPr="00FE6980" w:rsidRDefault="0095096B" w:rsidP="0095096B">
            <w:pPr>
              <w:rPr>
                <w:rFonts w:cs="Times New Roman"/>
                <w:sz w:val="20"/>
                <w:szCs w:val="20"/>
                <w:lang w:val="fr-CA"/>
              </w:rPr>
            </w:pPr>
            <w:r w:rsidRPr="00FE6980">
              <w:rPr>
                <w:rFonts w:cs="Times New Roman"/>
                <w:sz w:val="20"/>
                <w:szCs w:val="20"/>
                <w:lang w:val="fr-CA"/>
              </w:rPr>
              <w:t xml:space="preserve">Jugements rendus sur les demandes </w:t>
            </w:r>
          </w:p>
          <w:p w:rsidR="0095096B" w:rsidRPr="00FE6980" w:rsidRDefault="004137A0" w:rsidP="0095096B">
            <w:pPr>
              <w:rPr>
                <w:rFonts w:cs="Times New Roman"/>
                <w:sz w:val="20"/>
                <w:szCs w:val="20"/>
                <w:lang w:val="fr-CA"/>
              </w:rPr>
            </w:pPr>
            <w:r w:rsidRPr="00FE6980">
              <w:rPr>
                <w:rFonts w:cs="Times New Roman"/>
                <w:sz w:val="20"/>
                <w:szCs w:val="20"/>
                <w:lang w:val="fr-CA"/>
              </w:rPr>
              <w:t>d’</w:t>
            </w:r>
            <w:r w:rsidR="0095096B" w:rsidRPr="00FE6980">
              <w:rPr>
                <w:rFonts w:cs="Times New Roman"/>
                <w:sz w:val="20"/>
                <w:szCs w:val="20"/>
                <w:lang w:val="fr-CA"/>
              </w:rPr>
              <w:t>autorisation</w:t>
            </w:r>
          </w:p>
          <w:p w:rsidR="0095096B" w:rsidRPr="00FE6980" w:rsidRDefault="0095096B" w:rsidP="0095096B">
            <w:pPr>
              <w:rPr>
                <w:rFonts w:cs="Times New Roman"/>
                <w:sz w:val="20"/>
                <w:szCs w:val="20"/>
                <w:lang w:val="fr-CA"/>
              </w:rPr>
            </w:pPr>
          </w:p>
          <w:p w:rsidR="0095096B" w:rsidRPr="00FE6980" w:rsidRDefault="0095096B" w:rsidP="0095096B">
            <w:pPr>
              <w:rPr>
                <w:rFonts w:cs="Times New Roman"/>
                <w:sz w:val="20"/>
                <w:szCs w:val="20"/>
                <w:lang w:val="fr-CA"/>
              </w:rPr>
            </w:pPr>
            <w:r w:rsidRPr="00FE6980">
              <w:rPr>
                <w:rFonts w:cs="Times New Roman"/>
                <w:sz w:val="20"/>
                <w:szCs w:val="20"/>
                <w:lang w:val="fr-CA"/>
              </w:rPr>
              <w:t>Requêtes</w:t>
            </w:r>
          </w:p>
          <w:p w:rsidR="0095096B" w:rsidRPr="00FE6980" w:rsidRDefault="0095096B" w:rsidP="0095096B">
            <w:pPr>
              <w:rPr>
                <w:rFonts w:cs="Times New Roman"/>
                <w:sz w:val="20"/>
                <w:szCs w:val="20"/>
                <w:lang w:val="fr-CA"/>
              </w:rPr>
            </w:pPr>
          </w:p>
          <w:p w:rsidR="0095096B" w:rsidRPr="00FE6980" w:rsidRDefault="0095096B" w:rsidP="0095096B">
            <w:pPr>
              <w:rPr>
                <w:rFonts w:cs="Times New Roman"/>
                <w:sz w:val="20"/>
                <w:szCs w:val="20"/>
                <w:lang w:val="fr-CA"/>
              </w:rPr>
            </w:pPr>
            <w:r w:rsidRPr="00FE6980">
              <w:rPr>
                <w:rFonts w:cs="Times New Roman"/>
                <w:sz w:val="20"/>
                <w:szCs w:val="20"/>
                <w:lang w:val="fr-CA"/>
              </w:rPr>
              <w:t>Avis d</w:t>
            </w:r>
            <w:r w:rsidR="004137A0" w:rsidRPr="00FE6980">
              <w:rPr>
                <w:rFonts w:cs="Times New Roman"/>
                <w:sz w:val="20"/>
                <w:szCs w:val="20"/>
                <w:lang w:val="fr-CA"/>
              </w:rPr>
              <w:t>’</w:t>
            </w:r>
            <w:r w:rsidRPr="00FE6980">
              <w:rPr>
                <w:rFonts w:cs="Times New Roman"/>
                <w:sz w:val="20"/>
                <w:szCs w:val="20"/>
                <w:lang w:val="fr-CA"/>
              </w:rPr>
              <w:t xml:space="preserve">appel déposés depuis la dernière </w:t>
            </w:r>
          </w:p>
          <w:p w:rsidR="0095096B" w:rsidRPr="00FE6980" w:rsidRDefault="0095096B" w:rsidP="0095096B">
            <w:pPr>
              <w:rPr>
                <w:rFonts w:cs="Times New Roman"/>
                <w:sz w:val="20"/>
                <w:szCs w:val="20"/>
                <w:lang w:val="fr-CA"/>
              </w:rPr>
            </w:pPr>
            <w:r w:rsidRPr="00FE6980">
              <w:rPr>
                <w:rFonts w:cs="Times New Roman"/>
                <w:sz w:val="20"/>
                <w:szCs w:val="20"/>
                <w:lang w:val="fr-CA"/>
              </w:rPr>
              <w:t>parution</w:t>
            </w:r>
          </w:p>
          <w:p w:rsidR="0095096B" w:rsidRPr="00FE6980" w:rsidRDefault="0095096B" w:rsidP="0095096B">
            <w:pPr>
              <w:rPr>
                <w:rFonts w:cs="Times New Roman"/>
                <w:sz w:val="20"/>
                <w:szCs w:val="20"/>
                <w:lang w:val="fr-CA"/>
              </w:rPr>
            </w:pPr>
          </w:p>
          <w:p w:rsidR="0095096B" w:rsidRPr="00FE6980" w:rsidRDefault="0095096B" w:rsidP="0095096B">
            <w:pPr>
              <w:rPr>
                <w:rFonts w:cs="Times New Roman"/>
                <w:sz w:val="20"/>
                <w:szCs w:val="20"/>
                <w:lang w:val="fr-CA"/>
              </w:rPr>
            </w:pPr>
            <w:r w:rsidRPr="00FE6980">
              <w:rPr>
                <w:rFonts w:cs="Times New Roman"/>
                <w:sz w:val="20"/>
                <w:szCs w:val="20"/>
                <w:lang w:val="fr-CA"/>
              </w:rPr>
              <w:t xml:space="preserve">Jugements rendus sur les appels en </w:t>
            </w:r>
          </w:p>
          <w:p w:rsidR="0095096B" w:rsidRPr="00FE6980" w:rsidRDefault="0095096B" w:rsidP="0095096B">
            <w:pPr>
              <w:rPr>
                <w:rFonts w:cs="Times New Roman"/>
                <w:sz w:val="20"/>
                <w:szCs w:val="20"/>
                <w:lang w:val="fr-CA"/>
              </w:rPr>
            </w:pPr>
            <w:r w:rsidRPr="00FE6980">
              <w:rPr>
                <w:rFonts w:cs="Times New Roman"/>
                <w:sz w:val="20"/>
                <w:szCs w:val="20"/>
                <w:lang w:val="fr-CA"/>
              </w:rPr>
              <w:t>délibéré</w:t>
            </w:r>
          </w:p>
          <w:p w:rsidR="0095096B" w:rsidRPr="00FE6980" w:rsidRDefault="0095096B" w:rsidP="0095096B">
            <w:pPr>
              <w:rPr>
                <w:rFonts w:cs="Times New Roman"/>
                <w:sz w:val="20"/>
                <w:szCs w:val="20"/>
                <w:lang w:val="fr-CA"/>
              </w:rPr>
            </w:pPr>
          </w:p>
          <w:p w:rsidR="0095096B" w:rsidRPr="00FE6980" w:rsidRDefault="0095096B" w:rsidP="0095096B">
            <w:pPr>
              <w:rPr>
                <w:rFonts w:cs="Times New Roman"/>
                <w:sz w:val="20"/>
                <w:szCs w:val="20"/>
                <w:lang w:val="fr-CA"/>
              </w:rPr>
            </w:pPr>
            <w:r w:rsidRPr="00FE6980">
              <w:rPr>
                <w:rFonts w:cs="Times New Roman"/>
                <w:sz w:val="20"/>
                <w:szCs w:val="20"/>
                <w:lang w:val="fr-CA"/>
              </w:rPr>
              <w:t xml:space="preserve">Sommaires de </w:t>
            </w:r>
            <w:r w:rsidR="00C50A5C" w:rsidRPr="00FE6980">
              <w:rPr>
                <w:rFonts w:cs="Times New Roman"/>
                <w:sz w:val="20"/>
                <w:szCs w:val="20"/>
                <w:lang w:val="fr-CA"/>
              </w:rPr>
              <w:t>jugements récents</w:t>
            </w:r>
          </w:p>
          <w:p w:rsidR="0095096B" w:rsidRPr="00FE6980" w:rsidRDefault="0095096B" w:rsidP="0095096B">
            <w:pPr>
              <w:rPr>
                <w:rFonts w:cs="Times New Roman"/>
                <w:sz w:val="20"/>
                <w:szCs w:val="20"/>
                <w:lang w:val="fr-CA"/>
              </w:rPr>
            </w:pPr>
          </w:p>
          <w:p w:rsidR="00A87207" w:rsidRPr="00FE6980" w:rsidRDefault="00A87207" w:rsidP="0045206F">
            <w:pPr>
              <w:tabs>
                <w:tab w:val="right" w:pos="9360"/>
              </w:tabs>
              <w:rPr>
                <w:rFonts w:cs="Times New Roman"/>
                <w:sz w:val="20"/>
                <w:szCs w:val="20"/>
                <w:lang w:val="fr-CA"/>
              </w:rPr>
            </w:pPr>
          </w:p>
        </w:tc>
      </w:tr>
    </w:tbl>
    <w:p w:rsidR="0095096B" w:rsidRPr="00FE6980"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FE6980" w:rsidTr="0079724F">
        <w:tc>
          <w:tcPr>
            <w:tcW w:w="9576" w:type="dxa"/>
          </w:tcPr>
          <w:p w:rsidR="0079724F" w:rsidRPr="00FE6980" w:rsidRDefault="0079724F" w:rsidP="00215F7C">
            <w:pPr>
              <w:keepNext/>
              <w:tabs>
                <w:tab w:val="right" w:pos="9360"/>
              </w:tabs>
              <w:jc w:val="center"/>
              <w:rPr>
                <w:szCs w:val="24"/>
              </w:rPr>
            </w:pPr>
            <w:r w:rsidRPr="00FE6980">
              <w:rPr>
                <w:szCs w:val="24"/>
              </w:rPr>
              <w:t>NOTICE</w:t>
            </w:r>
          </w:p>
          <w:p w:rsidR="0079724F" w:rsidRPr="00FE6980" w:rsidRDefault="0079724F" w:rsidP="00215F7C">
            <w:pPr>
              <w:keepNext/>
              <w:tabs>
                <w:tab w:val="right" w:pos="9360"/>
              </w:tabs>
              <w:rPr>
                <w:szCs w:val="24"/>
              </w:rPr>
            </w:pPr>
          </w:p>
          <w:p w:rsidR="0079724F" w:rsidRPr="00FE6980" w:rsidRDefault="0079724F" w:rsidP="00215F7C">
            <w:pPr>
              <w:keepNext/>
              <w:tabs>
                <w:tab w:val="right" w:pos="9360"/>
              </w:tabs>
              <w:jc w:val="both"/>
              <w:rPr>
                <w:szCs w:val="24"/>
              </w:rPr>
            </w:pPr>
            <w:r w:rsidRPr="00FE6980">
              <w:rPr>
                <w:szCs w:val="24"/>
              </w:rPr>
              <w:t>Case summaries included in the Bulletin are prepared by the Office of the Registrar of the Supreme Court of Canada (Law Branch) for information purposes only.</w:t>
            </w:r>
          </w:p>
          <w:p w:rsidR="0079724F" w:rsidRPr="00FE6980" w:rsidRDefault="0079724F" w:rsidP="00215F7C">
            <w:pPr>
              <w:keepNext/>
              <w:tabs>
                <w:tab w:val="right" w:pos="9360"/>
              </w:tabs>
              <w:rPr>
                <w:szCs w:val="24"/>
              </w:rPr>
            </w:pPr>
          </w:p>
          <w:p w:rsidR="0079724F" w:rsidRPr="00FE6980" w:rsidRDefault="0079724F" w:rsidP="00215F7C">
            <w:pPr>
              <w:keepNext/>
              <w:tabs>
                <w:tab w:val="right" w:pos="9360"/>
              </w:tabs>
              <w:rPr>
                <w:szCs w:val="24"/>
              </w:rPr>
            </w:pPr>
          </w:p>
          <w:p w:rsidR="0079724F" w:rsidRPr="00FE6980" w:rsidRDefault="0079724F" w:rsidP="00215F7C">
            <w:pPr>
              <w:keepNext/>
              <w:tabs>
                <w:tab w:val="right" w:pos="9360"/>
              </w:tabs>
              <w:jc w:val="center"/>
              <w:rPr>
                <w:szCs w:val="24"/>
                <w:lang w:val="fr-CA"/>
              </w:rPr>
            </w:pPr>
            <w:r w:rsidRPr="00FE6980">
              <w:rPr>
                <w:szCs w:val="24"/>
                <w:lang w:val="fr-CA"/>
              </w:rPr>
              <w:t>AVIS</w:t>
            </w:r>
          </w:p>
          <w:p w:rsidR="0079724F" w:rsidRPr="00FE6980" w:rsidRDefault="0079724F" w:rsidP="00215F7C">
            <w:pPr>
              <w:keepNext/>
              <w:tabs>
                <w:tab w:val="right" w:pos="9360"/>
              </w:tabs>
              <w:rPr>
                <w:szCs w:val="24"/>
                <w:lang w:val="fr-CA"/>
              </w:rPr>
            </w:pPr>
          </w:p>
          <w:p w:rsidR="0079724F" w:rsidRPr="00FE6980" w:rsidRDefault="0079724F" w:rsidP="00215F7C">
            <w:pPr>
              <w:keepNext/>
              <w:tabs>
                <w:tab w:val="right" w:pos="9360"/>
              </w:tabs>
              <w:jc w:val="both"/>
              <w:rPr>
                <w:sz w:val="20"/>
                <w:szCs w:val="20"/>
                <w:lang w:val="fr-CA"/>
              </w:rPr>
            </w:pPr>
            <w:r w:rsidRPr="00FE6980">
              <w:rPr>
                <w:szCs w:val="24"/>
                <w:lang w:val="fr-CA"/>
              </w:rPr>
              <w:t>Les résumés de dossiers publiés dans le bulletin sont préparés par le Bureau du registraire (Direction générale du droit) uniquement à titre d’information.</w:t>
            </w:r>
          </w:p>
        </w:tc>
      </w:tr>
    </w:tbl>
    <w:p w:rsidR="0095096B" w:rsidRPr="00FE6980" w:rsidRDefault="0095096B" w:rsidP="0095096B">
      <w:pPr>
        <w:tabs>
          <w:tab w:val="right" w:pos="9360"/>
        </w:tabs>
        <w:rPr>
          <w:lang w:val="fr-CA"/>
        </w:rPr>
      </w:pPr>
    </w:p>
    <w:p w:rsidR="00A87207" w:rsidRPr="00FE6980" w:rsidRDefault="00A87207" w:rsidP="0095096B">
      <w:pPr>
        <w:tabs>
          <w:tab w:val="right" w:pos="9360"/>
        </w:tabs>
        <w:rPr>
          <w:lang w:val="fr-CA"/>
        </w:rPr>
        <w:sectPr w:rsidR="00A87207" w:rsidRPr="00FE6980"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FE6980" w:rsidTr="00245129">
        <w:tc>
          <w:tcPr>
            <w:tcW w:w="4200" w:type="dxa"/>
            <w:shd w:val="clear" w:color="auto" w:fill="auto"/>
            <w:tcMar>
              <w:left w:w="0" w:type="dxa"/>
              <w:right w:w="0" w:type="dxa"/>
            </w:tcMar>
          </w:tcPr>
          <w:p w:rsidR="00A87207" w:rsidRPr="00FE6980" w:rsidRDefault="00A87207" w:rsidP="00BA6468">
            <w:pPr>
              <w:rPr>
                <w:rFonts w:eastAsia="Times New Roman" w:cs="Times New Roman"/>
                <w:b/>
                <w:sz w:val="20"/>
                <w:szCs w:val="20"/>
                <w:lang w:eastAsia="en-CA"/>
              </w:rPr>
            </w:pPr>
            <w:r w:rsidRPr="00FE6980">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FE6980" w:rsidRDefault="00A87207" w:rsidP="002E2327">
            <w:pPr>
              <w:jc w:val="center"/>
              <w:rPr>
                <w:rFonts w:eastAsia="Times New Roman" w:cs="Times New Roman"/>
                <w:b/>
                <w:sz w:val="20"/>
                <w:szCs w:val="20"/>
                <w:lang w:eastAsia="en-CA"/>
              </w:rPr>
            </w:pPr>
          </w:p>
          <w:p w:rsidR="00A87207" w:rsidRPr="00FE6980" w:rsidRDefault="00A87207" w:rsidP="002E2327">
            <w:pPr>
              <w:jc w:val="center"/>
              <w:rPr>
                <w:rFonts w:eastAsia="Times New Roman" w:cs="Times New Roman"/>
                <w:b/>
                <w:sz w:val="20"/>
                <w:szCs w:val="20"/>
                <w:lang w:eastAsia="en-CA"/>
              </w:rPr>
            </w:pPr>
          </w:p>
          <w:p w:rsidR="00A87207" w:rsidRPr="00FE6980"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FE6980" w:rsidRDefault="00A87207" w:rsidP="00A87207">
            <w:pPr>
              <w:rPr>
                <w:rFonts w:eastAsia="Times New Roman" w:cs="Times New Roman"/>
                <w:b/>
                <w:sz w:val="20"/>
                <w:szCs w:val="20"/>
                <w:lang w:val="fr-CA" w:eastAsia="en-CA"/>
              </w:rPr>
            </w:pPr>
            <w:r w:rsidRPr="00FE6980">
              <w:rPr>
                <w:rFonts w:eastAsia="Times New Roman" w:cs="Times New Roman"/>
                <w:b/>
                <w:szCs w:val="20"/>
                <w:lang w:val="fr-CA" w:eastAsia="en-CA"/>
              </w:rPr>
              <w:t>DEMANDES D’AUTORISATION D’APPEL DÉPOSÉES</w:t>
            </w:r>
          </w:p>
        </w:tc>
      </w:tr>
    </w:tbl>
    <w:p w:rsidR="00A87207" w:rsidRPr="00FE6980"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FE6980" w:rsidTr="003B3977">
        <w:tc>
          <w:tcPr>
            <w:tcW w:w="4320" w:type="dxa"/>
            <w:shd w:val="clear" w:color="auto" w:fill="auto"/>
          </w:tcPr>
          <w:p w:rsidR="005F6FC4" w:rsidRPr="00FE6980" w:rsidRDefault="005F6FC4" w:rsidP="005F1ED8">
            <w:pPr>
              <w:rPr>
                <w:b/>
                <w:sz w:val="20"/>
                <w:szCs w:val="20"/>
              </w:rPr>
            </w:pPr>
            <w:r w:rsidRPr="00FE6980">
              <w:rPr>
                <w:b/>
                <w:sz w:val="20"/>
                <w:szCs w:val="20"/>
              </w:rPr>
              <w:t xml:space="preserve">Stanley James </w:t>
            </w:r>
            <w:proofErr w:type="spellStart"/>
            <w:r w:rsidRPr="00FE6980">
              <w:rPr>
                <w:b/>
                <w:sz w:val="20"/>
                <w:szCs w:val="20"/>
              </w:rPr>
              <w:t>Tippett</w:t>
            </w:r>
            <w:proofErr w:type="spellEnd"/>
          </w:p>
          <w:p w:rsidR="005F6FC4" w:rsidRPr="00FE6980" w:rsidRDefault="005F6FC4" w:rsidP="005F1ED8">
            <w:pPr>
              <w:rPr>
                <w:sz w:val="20"/>
                <w:szCs w:val="20"/>
              </w:rPr>
            </w:pPr>
            <w:r w:rsidRPr="00FE6980">
              <w:rPr>
                <w:sz w:val="20"/>
                <w:szCs w:val="20"/>
              </w:rPr>
              <w:tab/>
              <w:t xml:space="preserve">Stanley James </w:t>
            </w:r>
            <w:proofErr w:type="spellStart"/>
            <w:r w:rsidRPr="00FE6980">
              <w:rPr>
                <w:sz w:val="20"/>
                <w:szCs w:val="20"/>
              </w:rPr>
              <w:t>Tippett</w:t>
            </w:r>
            <w:proofErr w:type="spellEnd"/>
          </w:p>
          <w:p w:rsidR="005F6FC4" w:rsidRPr="00FE6980" w:rsidRDefault="005F6FC4" w:rsidP="005F1ED8">
            <w:pPr>
              <w:rPr>
                <w:sz w:val="20"/>
                <w:szCs w:val="20"/>
              </w:rPr>
            </w:pPr>
          </w:p>
          <w:p w:rsidR="005F6FC4" w:rsidRPr="00FE6980" w:rsidRDefault="005F6FC4" w:rsidP="005F1ED8">
            <w:pPr>
              <w:rPr>
                <w:sz w:val="20"/>
                <w:szCs w:val="20"/>
              </w:rPr>
            </w:pPr>
            <w:r w:rsidRPr="00FE6980">
              <w:rPr>
                <w:sz w:val="20"/>
                <w:szCs w:val="20"/>
              </w:rPr>
              <w:tab/>
              <w:t>v. (36966)</w:t>
            </w:r>
          </w:p>
          <w:p w:rsidR="005F6FC4" w:rsidRPr="00FE6980" w:rsidRDefault="005F6FC4" w:rsidP="005F1ED8">
            <w:pPr>
              <w:rPr>
                <w:sz w:val="20"/>
                <w:szCs w:val="20"/>
              </w:rPr>
            </w:pPr>
          </w:p>
          <w:p w:rsidR="005F6FC4" w:rsidRPr="00FE6980" w:rsidRDefault="005F6FC4" w:rsidP="005F1ED8">
            <w:pPr>
              <w:rPr>
                <w:b/>
                <w:sz w:val="20"/>
                <w:szCs w:val="20"/>
              </w:rPr>
            </w:pPr>
            <w:r w:rsidRPr="00FE6980">
              <w:rPr>
                <w:b/>
                <w:sz w:val="20"/>
                <w:szCs w:val="20"/>
              </w:rPr>
              <w:t>Her Majesty the Queen (Ont.)</w:t>
            </w:r>
          </w:p>
          <w:p w:rsidR="005F6FC4" w:rsidRPr="00FE6980" w:rsidRDefault="005F6FC4" w:rsidP="005F1ED8">
            <w:pPr>
              <w:rPr>
                <w:sz w:val="20"/>
                <w:szCs w:val="20"/>
              </w:rPr>
            </w:pPr>
            <w:r w:rsidRPr="00FE6980">
              <w:rPr>
                <w:sz w:val="20"/>
                <w:szCs w:val="20"/>
              </w:rPr>
              <w:tab/>
              <w:t>Alison Wheeler</w:t>
            </w:r>
          </w:p>
          <w:p w:rsidR="005F6FC4" w:rsidRPr="00FE6980" w:rsidRDefault="005F6FC4" w:rsidP="005F1ED8">
            <w:pPr>
              <w:rPr>
                <w:sz w:val="20"/>
                <w:szCs w:val="20"/>
              </w:rPr>
            </w:pPr>
            <w:r w:rsidRPr="00FE6980">
              <w:rPr>
                <w:sz w:val="20"/>
                <w:szCs w:val="20"/>
              </w:rPr>
              <w:tab/>
              <w:t>A.G. of Ontario</w:t>
            </w:r>
          </w:p>
          <w:p w:rsidR="005F6FC4" w:rsidRPr="00FE6980" w:rsidRDefault="005F6FC4" w:rsidP="005F1ED8">
            <w:pPr>
              <w:rPr>
                <w:sz w:val="20"/>
                <w:szCs w:val="20"/>
              </w:rPr>
            </w:pPr>
          </w:p>
          <w:p w:rsidR="005F6FC4" w:rsidRPr="00FE6980" w:rsidRDefault="005F6FC4" w:rsidP="005F1ED8">
            <w:pPr>
              <w:rPr>
                <w:sz w:val="20"/>
                <w:szCs w:val="20"/>
              </w:rPr>
            </w:pPr>
            <w:r w:rsidRPr="00FE6980">
              <w:rPr>
                <w:sz w:val="20"/>
                <w:szCs w:val="20"/>
              </w:rPr>
              <w:t>FILING DATE: 29.03.2016</w:t>
            </w:r>
          </w:p>
          <w:p w:rsidR="00C21644" w:rsidRPr="00FE6980" w:rsidRDefault="00E433FF"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FE6980" w:rsidRDefault="00C21644" w:rsidP="00242AEE">
            <w:pPr>
              <w:jc w:val="center"/>
              <w:rPr>
                <w:sz w:val="20"/>
                <w:szCs w:val="20"/>
              </w:rPr>
            </w:pPr>
          </w:p>
          <w:p w:rsidR="00C21644" w:rsidRPr="00FE6980" w:rsidRDefault="00C21644" w:rsidP="00242AEE">
            <w:pPr>
              <w:jc w:val="center"/>
              <w:rPr>
                <w:sz w:val="20"/>
                <w:szCs w:val="20"/>
              </w:rPr>
            </w:pPr>
          </w:p>
          <w:p w:rsidR="00C21644" w:rsidRPr="00FE6980" w:rsidRDefault="00C21644" w:rsidP="00242AEE">
            <w:pPr>
              <w:jc w:val="center"/>
              <w:rPr>
                <w:sz w:val="20"/>
                <w:szCs w:val="20"/>
              </w:rPr>
            </w:pPr>
          </w:p>
          <w:p w:rsidR="00C21644" w:rsidRPr="00FE6980" w:rsidRDefault="00C21644" w:rsidP="00242AEE">
            <w:pPr>
              <w:jc w:val="center"/>
              <w:rPr>
                <w:sz w:val="20"/>
                <w:szCs w:val="20"/>
              </w:rPr>
            </w:pPr>
          </w:p>
          <w:p w:rsidR="00C21644" w:rsidRPr="00FE6980" w:rsidRDefault="00C21644" w:rsidP="00242AEE">
            <w:pPr>
              <w:jc w:val="center"/>
              <w:rPr>
                <w:sz w:val="20"/>
                <w:szCs w:val="20"/>
              </w:rPr>
            </w:pPr>
          </w:p>
          <w:p w:rsidR="00C21644" w:rsidRPr="00FE6980" w:rsidRDefault="00C21644" w:rsidP="00242AEE">
            <w:pPr>
              <w:jc w:val="center"/>
              <w:rPr>
                <w:sz w:val="20"/>
                <w:szCs w:val="20"/>
              </w:rPr>
            </w:pPr>
          </w:p>
          <w:p w:rsidR="00C21644" w:rsidRPr="00FE6980" w:rsidRDefault="00C21644" w:rsidP="00242AEE">
            <w:pPr>
              <w:jc w:val="center"/>
              <w:rPr>
                <w:sz w:val="20"/>
                <w:szCs w:val="20"/>
              </w:rPr>
            </w:pPr>
          </w:p>
          <w:p w:rsidR="00C21644" w:rsidRPr="00FE6980" w:rsidRDefault="00C21644" w:rsidP="00242AEE">
            <w:pPr>
              <w:jc w:val="center"/>
              <w:rPr>
                <w:sz w:val="20"/>
                <w:szCs w:val="20"/>
              </w:rPr>
            </w:pPr>
          </w:p>
          <w:p w:rsidR="00C21644" w:rsidRPr="00FE6980" w:rsidRDefault="00C21644" w:rsidP="00242AEE">
            <w:pPr>
              <w:jc w:val="center"/>
              <w:rPr>
                <w:sz w:val="20"/>
                <w:szCs w:val="20"/>
              </w:rPr>
            </w:pPr>
          </w:p>
          <w:p w:rsidR="00C21644" w:rsidRPr="00FE6980" w:rsidRDefault="00C21644" w:rsidP="00242AEE">
            <w:pPr>
              <w:jc w:val="center"/>
              <w:rPr>
                <w:sz w:val="20"/>
                <w:szCs w:val="20"/>
              </w:rPr>
            </w:pPr>
          </w:p>
          <w:p w:rsidR="00C21644" w:rsidRPr="00FE6980" w:rsidRDefault="00C21644" w:rsidP="00242AEE">
            <w:pPr>
              <w:jc w:val="center"/>
              <w:rPr>
                <w:sz w:val="20"/>
                <w:szCs w:val="20"/>
              </w:rPr>
            </w:pPr>
          </w:p>
          <w:p w:rsidR="00C21644" w:rsidRPr="00FE6980" w:rsidRDefault="00C21644" w:rsidP="00242AEE">
            <w:pPr>
              <w:jc w:val="center"/>
              <w:rPr>
                <w:sz w:val="20"/>
                <w:szCs w:val="20"/>
              </w:rPr>
            </w:pPr>
          </w:p>
        </w:tc>
        <w:tc>
          <w:tcPr>
            <w:tcW w:w="4320" w:type="dxa"/>
            <w:shd w:val="clear" w:color="auto" w:fill="auto"/>
          </w:tcPr>
          <w:p w:rsidR="005F6FC4" w:rsidRPr="00FE6980" w:rsidRDefault="005F6FC4" w:rsidP="005F1ED8">
            <w:pPr>
              <w:rPr>
                <w:b/>
                <w:sz w:val="20"/>
                <w:szCs w:val="20"/>
              </w:rPr>
            </w:pPr>
            <w:r w:rsidRPr="00FE6980">
              <w:rPr>
                <w:b/>
                <w:sz w:val="20"/>
                <w:szCs w:val="20"/>
              </w:rPr>
              <w:t>S</w:t>
            </w:r>
            <w:r w:rsidR="00E433FF">
              <w:rPr>
                <w:b/>
                <w:sz w:val="20"/>
                <w:szCs w:val="20"/>
              </w:rPr>
              <w:t>.</w:t>
            </w:r>
            <w:r w:rsidRPr="00FE6980">
              <w:rPr>
                <w:b/>
                <w:sz w:val="20"/>
                <w:szCs w:val="20"/>
              </w:rPr>
              <w:t xml:space="preserve"> B</w:t>
            </w:r>
            <w:r w:rsidR="00E433FF">
              <w:rPr>
                <w:b/>
                <w:sz w:val="20"/>
                <w:szCs w:val="20"/>
              </w:rPr>
              <w:t>.</w:t>
            </w:r>
            <w:r w:rsidRPr="00FE6980">
              <w:rPr>
                <w:b/>
                <w:sz w:val="20"/>
                <w:szCs w:val="20"/>
              </w:rPr>
              <w:t xml:space="preserve"> E</w:t>
            </w:r>
            <w:r w:rsidR="00E433FF">
              <w:rPr>
                <w:b/>
                <w:sz w:val="20"/>
                <w:szCs w:val="20"/>
              </w:rPr>
              <w:t>.</w:t>
            </w:r>
          </w:p>
          <w:p w:rsidR="005F6FC4" w:rsidRPr="00FE6980" w:rsidRDefault="005F6FC4" w:rsidP="005F1ED8">
            <w:pPr>
              <w:rPr>
                <w:sz w:val="20"/>
                <w:szCs w:val="20"/>
              </w:rPr>
            </w:pPr>
            <w:r w:rsidRPr="00FE6980">
              <w:rPr>
                <w:sz w:val="20"/>
                <w:szCs w:val="20"/>
              </w:rPr>
              <w:tab/>
              <w:t>S</w:t>
            </w:r>
            <w:r w:rsidR="00E433FF">
              <w:rPr>
                <w:sz w:val="20"/>
                <w:szCs w:val="20"/>
              </w:rPr>
              <w:t>.</w:t>
            </w:r>
            <w:r w:rsidRPr="00FE6980">
              <w:rPr>
                <w:sz w:val="20"/>
                <w:szCs w:val="20"/>
              </w:rPr>
              <w:t xml:space="preserve"> B</w:t>
            </w:r>
            <w:r w:rsidR="00E433FF">
              <w:rPr>
                <w:sz w:val="20"/>
                <w:szCs w:val="20"/>
              </w:rPr>
              <w:t>.</w:t>
            </w:r>
            <w:r w:rsidRPr="00FE6980">
              <w:rPr>
                <w:sz w:val="20"/>
                <w:szCs w:val="20"/>
              </w:rPr>
              <w:t xml:space="preserve"> E</w:t>
            </w:r>
            <w:r w:rsidR="00E433FF">
              <w:rPr>
                <w:sz w:val="20"/>
                <w:szCs w:val="20"/>
              </w:rPr>
              <w:t>.</w:t>
            </w:r>
            <w:bookmarkStart w:id="0" w:name="_GoBack"/>
            <w:bookmarkEnd w:id="0"/>
          </w:p>
          <w:p w:rsidR="005F6FC4" w:rsidRPr="00FE6980" w:rsidRDefault="005F6FC4" w:rsidP="005F1ED8">
            <w:pPr>
              <w:rPr>
                <w:sz w:val="20"/>
                <w:szCs w:val="20"/>
              </w:rPr>
            </w:pPr>
          </w:p>
          <w:p w:rsidR="005F6FC4" w:rsidRPr="00FE6980" w:rsidRDefault="005F6FC4" w:rsidP="005F1ED8">
            <w:pPr>
              <w:rPr>
                <w:sz w:val="20"/>
                <w:szCs w:val="20"/>
              </w:rPr>
            </w:pPr>
            <w:r w:rsidRPr="00FE6980">
              <w:rPr>
                <w:sz w:val="20"/>
                <w:szCs w:val="20"/>
              </w:rPr>
              <w:tab/>
              <w:t>v. (36978)</w:t>
            </w:r>
          </w:p>
          <w:p w:rsidR="005F6FC4" w:rsidRPr="00FE6980" w:rsidRDefault="005F6FC4" w:rsidP="005F1ED8">
            <w:pPr>
              <w:rPr>
                <w:sz w:val="20"/>
                <w:szCs w:val="20"/>
              </w:rPr>
            </w:pPr>
          </w:p>
          <w:p w:rsidR="00421E57" w:rsidRPr="00FE6980" w:rsidRDefault="005F6FC4" w:rsidP="005F1ED8">
            <w:pPr>
              <w:rPr>
                <w:b/>
                <w:sz w:val="20"/>
                <w:szCs w:val="20"/>
              </w:rPr>
            </w:pPr>
            <w:r w:rsidRPr="00FE6980">
              <w:rPr>
                <w:b/>
                <w:sz w:val="20"/>
                <w:szCs w:val="20"/>
              </w:rPr>
              <w:t>Her Majesty the Queen (Alta.)</w:t>
            </w:r>
          </w:p>
          <w:p w:rsidR="005F6FC4" w:rsidRPr="00FE6980" w:rsidRDefault="005F6FC4" w:rsidP="005F1ED8">
            <w:pPr>
              <w:rPr>
                <w:sz w:val="20"/>
                <w:szCs w:val="20"/>
              </w:rPr>
            </w:pPr>
            <w:r w:rsidRPr="00FE6980">
              <w:rPr>
                <w:sz w:val="20"/>
                <w:szCs w:val="20"/>
              </w:rPr>
              <w:tab/>
              <w:t xml:space="preserve">Troy </w:t>
            </w:r>
            <w:proofErr w:type="spellStart"/>
            <w:r w:rsidRPr="00FE6980">
              <w:rPr>
                <w:sz w:val="20"/>
                <w:szCs w:val="20"/>
              </w:rPr>
              <w:t>Couillard</w:t>
            </w:r>
            <w:proofErr w:type="spellEnd"/>
          </w:p>
          <w:p w:rsidR="005F6FC4" w:rsidRPr="00FE6980" w:rsidRDefault="005F6FC4" w:rsidP="005F1ED8">
            <w:pPr>
              <w:rPr>
                <w:sz w:val="20"/>
                <w:szCs w:val="20"/>
              </w:rPr>
            </w:pPr>
            <w:r w:rsidRPr="00FE6980">
              <w:rPr>
                <w:sz w:val="20"/>
                <w:szCs w:val="20"/>
              </w:rPr>
              <w:tab/>
              <w:t>Alberta Department of Justice</w:t>
            </w:r>
          </w:p>
          <w:p w:rsidR="005F6FC4" w:rsidRPr="00FE6980" w:rsidRDefault="005F6FC4" w:rsidP="005F1ED8">
            <w:pPr>
              <w:rPr>
                <w:sz w:val="20"/>
                <w:szCs w:val="20"/>
              </w:rPr>
            </w:pPr>
          </w:p>
          <w:p w:rsidR="005F6FC4" w:rsidRPr="00FE6980" w:rsidRDefault="005F6FC4" w:rsidP="005F1ED8">
            <w:pPr>
              <w:rPr>
                <w:sz w:val="20"/>
                <w:szCs w:val="20"/>
              </w:rPr>
            </w:pPr>
            <w:r w:rsidRPr="00FE6980">
              <w:rPr>
                <w:sz w:val="20"/>
                <w:szCs w:val="20"/>
              </w:rPr>
              <w:t>FILING DATE: 22.02.2016</w:t>
            </w:r>
          </w:p>
          <w:p w:rsidR="00C21644" w:rsidRPr="00FE6980" w:rsidRDefault="00E433FF" w:rsidP="005F1ED8">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FE6980" w:rsidTr="003B3977">
        <w:tc>
          <w:tcPr>
            <w:tcW w:w="4320" w:type="dxa"/>
            <w:shd w:val="clear" w:color="auto" w:fill="auto"/>
          </w:tcPr>
          <w:p w:rsidR="005F6FC4" w:rsidRPr="00FE6980" w:rsidRDefault="005F6FC4" w:rsidP="003B3977">
            <w:pPr>
              <w:rPr>
                <w:b/>
                <w:sz w:val="20"/>
                <w:szCs w:val="20"/>
              </w:rPr>
            </w:pPr>
            <w:r w:rsidRPr="00FE6980">
              <w:rPr>
                <w:b/>
                <w:sz w:val="20"/>
                <w:szCs w:val="20"/>
              </w:rPr>
              <w:t>Jessica Leblanc</w:t>
            </w:r>
          </w:p>
          <w:p w:rsidR="005F6FC4" w:rsidRPr="00FE6980" w:rsidRDefault="005F6FC4" w:rsidP="005F6FC4">
            <w:pPr>
              <w:rPr>
                <w:sz w:val="20"/>
                <w:szCs w:val="20"/>
              </w:rPr>
            </w:pPr>
            <w:r w:rsidRPr="00FE6980">
              <w:rPr>
                <w:sz w:val="20"/>
                <w:szCs w:val="20"/>
              </w:rPr>
              <w:tab/>
              <w:t>Jessica Leblanc</w:t>
            </w:r>
          </w:p>
          <w:p w:rsidR="005F6FC4" w:rsidRPr="00FE6980" w:rsidRDefault="005F6FC4" w:rsidP="005F6FC4">
            <w:pPr>
              <w:rPr>
                <w:sz w:val="20"/>
                <w:szCs w:val="20"/>
              </w:rPr>
            </w:pPr>
          </w:p>
          <w:p w:rsidR="005F6FC4" w:rsidRPr="00FE6980" w:rsidRDefault="005F6FC4" w:rsidP="005F6FC4">
            <w:pPr>
              <w:rPr>
                <w:sz w:val="20"/>
                <w:szCs w:val="20"/>
              </w:rPr>
            </w:pPr>
            <w:r w:rsidRPr="00FE6980">
              <w:rPr>
                <w:sz w:val="20"/>
                <w:szCs w:val="20"/>
              </w:rPr>
              <w:tab/>
              <w:t>v. (37056)</w:t>
            </w:r>
          </w:p>
          <w:p w:rsidR="005F6FC4" w:rsidRPr="00FE6980" w:rsidRDefault="005F6FC4" w:rsidP="005F6FC4">
            <w:pPr>
              <w:rPr>
                <w:sz w:val="20"/>
                <w:szCs w:val="20"/>
              </w:rPr>
            </w:pPr>
          </w:p>
          <w:p w:rsidR="005F6FC4" w:rsidRPr="00FE6980" w:rsidRDefault="005F6FC4" w:rsidP="005F6FC4">
            <w:pPr>
              <w:rPr>
                <w:b/>
                <w:sz w:val="20"/>
                <w:szCs w:val="20"/>
              </w:rPr>
            </w:pPr>
            <w:r w:rsidRPr="00FE6980">
              <w:rPr>
                <w:b/>
                <w:sz w:val="20"/>
                <w:szCs w:val="20"/>
              </w:rPr>
              <w:t>Her Majesty the Queen</w:t>
            </w:r>
            <w:r w:rsidR="009247C6" w:rsidRPr="00FE6980">
              <w:rPr>
                <w:b/>
                <w:sz w:val="20"/>
                <w:szCs w:val="20"/>
              </w:rPr>
              <w:t xml:space="preserve"> (F.C.)</w:t>
            </w:r>
          </w:p>
          <w:p w:rsidR="005F6FC4" w:rsidRPr="00FE6980" w:rsidRDefault="00E7231A" w:rsidP="003B3977">
            <w:pPr>
              <w:rPr>
                <w:sz w:val="20"/>
                <w:szCs w:val="20"/>
              </w:rPr>
            </w:pPr>
            <w:r w:rsidRPr="00FE6980">
              <w:rPr>
                <w:sz w:val="20"/>
                <w:szCs w:val="20"/>
              </w:rPr>
              <w:tab/>
              <w:t>Jonathan M. Bricker</w:t>
            </w:r>
          </w:p>
          <w:p w:rsidR="00E7231A" w:rsidRPr="00FE6980" w:rsidRDefault="00E7231A" w:rsidP="003B3977">
            <w:pPr>
              <w:rPr>
                <w:sz w:val="20"/>
                <w:szCs w:val="20"/>
              </w:rPr>
            </w:pPr>
            <w:r w:rsidRPr="00FE6980">
              <w:rPr>
                <w:sz w:val="20"/>
                <w:szCs w:val="20"/>
              </w:rPr>
              <w:tab/>
              <w:t>Department of Justice</w:t>
            </w:r>
          </w:p>
          <w:p w:rsidR="00E7231A" w:rsidRPr="00FE6980" w:rsidRDefault="00E7231A" w:rsidP="003B3977">
            <w:pPr>
              <w:rPr>
                <w:sz w:val="20"/>
                <w:szCs w:val="20"/>
              </w:rPr>
            </w:pPr>
          </w:p>
          <w:p w:rsidR="005F6FC4" w:rsidRPr="00FE6980" w:rsidRDefault="00E7231A" w:rsidP="003B3977">
            <w:pPr>
              <w:rPr>
                <w:sz w:val="20"/>
                <w:szCs w:val="20"/>
              </w:rPr>
            </w:pPr>
            <w:r w:rsidRPr="00FE6980">
              <w:rPr>
                <w:sz w:val="20"/>
                <w:szCs w:val="20"/>
              </w:rPr>
              <w:t>FILING DATE: 14.03.2016</w:t>
            </w:r>
          </w:p>
          <w:p w:rsidR="00C21644" w:rsidRPr="00FE6980" w:rsidRDefault="00E433FF"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FE6980" w:rsidRDefault="00C21644" w:rsidP="00242AEE">
            <w:pPr>
              <w:jc w:val="center"/>
              <w:rPr>
                <w:sz w:val="20"/>
                <w:szCs w:val="20"/>
              </w:rPr>
            </w:pPr>
          </w:p>
          <w:p w:rsidR="00C21644" w:rsidRPr="00FE6980" w:rsidRDefault="00C21644" w:rsidP="00242AEE">
            <w:pPr>
              <w:jc w:val="center"/>
              <w:rPr>
                <w:sz w:val="20"/>
                <w:szCs w:val="20"/>
              </w:rPr>
            </w:pPr>
          </w:p>
          <w:p w:rsidR="00C21644" w:rsidRPr="00FE6980" w:rsidRDefault="00C21644" w:rsidP="00242AEE">
            <w:pPr>
              <w:jc w:val="center"/>
              <w:rPr>
                <w:sz w:val="20"/>
                <w:szCs w:val="20"/>
              </w:rPr>
            </w:pPr>
          </w:p>
          <w:p w:rsidR="00C21644" w:rsidRPr="00FE6980" w:rsidRDefault="00C21644" w:rsidP="00242AEE">
            <w:pPr>
              <w:jc w:val="center"/>
              <w:rPr>
                <w:sz w:val="20"/>
                <w:szCs w:val="20"/>
              </w:rPr>
            </w:pPr>
          </w:p>
          <w:p w:rsidR="00C21644" w:rsidRPr="00FE6980" w:rsidRDefault="00C21644" w:rsidP="00242AEE">
            <w:pPr>
              <w:jc w:val="center"/>
              <w:rPr>
                <w:sz w:val="20"/>
                <w:szCs w:val="20"/>
              </w:rPr>
            </w:pPr>
          </w:p>
          <w:p w:rsidR="00C21644" w:rsidRPr="00FE6980" w:rsidRDefault="00C21644" w:rsidP="00242AEE">
            <w:pPr>
              <w:jc w:val="center"/>
              <w:rPr>
                <w:sz w:val="20"/>
                <w:szCs w:val="20"/>
              </w:rPr>
            </w:pPr>
          </w:p>
          <w:p w:rsidR="00C21644" w:rsidRPr="00FE6980" w:rsidRDefault="00C21644" w:rsidP="00242AEE">
            <w:pPr>
              <w:jc w:val="center"/>
              <w:rPr>
                <w:sz w:val="20"/>
                <w:szCs w:val="20"/>
              </w:rPr>
            </w:pPr>
          </w:p>
          <w:p w:rsidR="00C21644" w:rsidRPr="00FE6980" w:rsidRDefault="00C21644" w:rsidP="00242AEE">
            <w:pPr>
              <w:jc w:val="center"/>
              <w:rPr>
                <w:sz w:val="20"/>
                <w:szCs w:val="20"/>
              </w:rPr>
            </w:pPr>
          </w:p>
          <w:p w:rsidR="00C21644" w:rsidRPr="00FE6980" w:rsidRDefault="00C21644" w:rsidP="00242AEE">
            <w:pPr>
              <w:jc w:val="center"/>
              <w:rPr>
                <w:sz w:val="20"/>
                <w:szCs w:val="20"/>
              </w:rPr>
            </w:pPr>
          </w:p>
          <w:p w:rsidR="00C21644" w:rsidRPr="00FE6980" w:rsidRDefault="00C21644" w:rsidP="00242AEE">
            <w:pPr>
              <w:jc w:val="center"/>
              <w:rPr>
                <w:sz w:val="20"/>
                <w:szCs w:val="20"/>
              </w:rPr>
            </w:pPr>
          </w:p>
          <w:p w:rsidR="00C21644" w:rsidRPr="00FE6980" w:rsidRDefault="00C21644" w:rsidP="00242AEE">
            <w:pPr>
              <w:jc w:val="center"/>
              <w:rPr>
                <w:sz w:val="20"/>
                <w:szCs w:val="20"/>
              </w:rPr>
            </w:pPr>
          </w:p>
          <w:p w:rsidR="00C21644" w:rsidRPr="00FE6980" w:rsidRDefault="00C21644" w:rsidP="00242AEE">
            <w:pPr>
              <w:jc w:val="center"/>
              <w:rPr>
                <w:sz w:val="20"/>
                <w:szCs w:val="20"/>
              </w:rPr>
            </w:pPr>
          </w:p>
        </w:tc>
        <w:tc>
          <w:tcPr>
            <w:tcW w:w="4320" w:type="dxa"/>
            <w:shd w:val="clear" w:color="auto" w:fill="auto"/>
          </w:tcPr>
          <w:p w:rsidR="005F6FC4" w:rsidRPr="00FE6980" w:rsidRDefault="00921820" w:rsidP="00E41A5A">
            <w:pPr>
              <w:rPr>
                <w:b/>
                <w:sz w:val="20"/>
                <w:szCs w:val="20"/>
                <w:lang w:val="fr-CA"/>
              </w:rPr>
            </w:pPr>
            <w:r w:rsidRPr="00FE6980">
              <w:rPr>
                <w:b/>
                <w:sz w:val="20"/>
                <w:szCs w:val="20"/>
                <w:lang w:val="fr-CA"/>
              </w:rPr>
              <w:t>Luc Leblanc</w:t>
            </w:r>
          </w:p>
          <w:p w:rsidR="00921820" w:rsidRPr="00FE6980" w:rsidRDefault="00921820" w:rsidP="00E41A5A">
            <w:pPr>
              <w:rPr>
                <w:sz w:val="20"/>
                <w:szCs w:val="20"/>
                <w:lang w:val="fr-CA"/>
              </w:rPr>
            </w:pPr>
            <w:r w:rsidRPr="00FE6980">
              <w:rPr>
                <w:sz w:val="20"/>
                <w:szCs w:val="20"/>
                <w:lang w:val="fr-CA"/>
              </w:rPr>
              <w:tab/>
              <w:t>Luc Leblanc</w:t>
            </w:r>
          </w:p>
          <w:p w:rsidR="00921820" w:rsidRPr="00FE6980" w:rsidRDefault="00921820" w:rsidP="00E41A5A">
            <w:pPr>
              <w:rPr>
                <w:sz w:val="20"/>
                <w:szCs w:val="20"/>
                <w:lang w:val="fr-CA"/>
              </w:rPr>
            </w:pPr>
          </w:p>
          <w:p w:rsidR="00921820" w:rsidRPr="00FE6980" w:rsidRDefault="00921820" w:rsidP="00E41A5A">
            <w:pPr>
              <w:rPr>
                <w:sz w:val="20"/>
                <w:szCs w:val="20"/>
                <w:lang w:val="fr-CA"/>
              </w:rPr>
            </w:pPr>
            <w:r w:rsidRPr="00FE6980">
              <w:rPr>
                <w:sz w:val="20"/>
                <w:szCs w:val="20"/>
                <w:lang w:val="fr-CA"/>
              </w:rPr>
              <w:tab/>
              <w:t>v. (37057)</w:t>
            </w:r>
          </w:p>
          <w:p w:rsidR="00921820" w:rsidRPr="00FE6980" w:rsidRDefault="00921820" w:rsidP="00E41A5A">
            <w:pPr>
              <w:rPr>
                <w:sz w:val="20"/>
                <w:szCs w:val="20"/>
                <w:lang w:val="fr-CA"/>
              </w:rPr>
            </w:pPr>
          </w:p>
          <w:p w:rsidR="00921820" w:rsidRPr="00FE6980" w:rsidRDefault="00921820" w:rsidP="00E41A5A">
            <w:pPr>
              <w:rPr>
                <w:b/>
                <w:sz w:val="20"/>
                <w:szCs w:val="20"/>
              </w:rPr>
            </w:pPr>
            <w:r w:rsidRPr="00FE6980">
              <w:rPr>
                <w:b/>
                <w:sz w:val="20"/>
                <w:szCs w:val="20"/>
              </w:rPr>
              <w:t>Her Majesty the Queen (F.C.)</w:t>
            </w:r>
          </w:p>
          <w:p w:rsidR="00921820" w:rsidRPr="00FE6980" w:rsidRDefault="00921820" w:rsidP="00E41A5A">
            <w:pPr>
              <w:rPr>
                <w:sz w:val="20"/>
                <w:szCs w:val="20"/>
              </w:rPr>
            </w:pPr>
            <w:r w:rsidRPr="00FE6980">
              <w:rPr>
                <w:sz w:val="20"/>
                <w:szCs w:val="20"/>
              </w:rPr>
              <w:tab/>
              <w:t>Jonathan M. Bricker</w:t>
            </w:r>
          </w:p>
          <w:p w:rsidR="005F6FC4" w:rsidRPr="00FE6980" w:rsidRDefault="00921820" w:rsidP="00E41A5A">
            <w:pPr>
              <w:rPr>
                <w:sz w:val="20"/>
                <w:szCs w:val="20"/>
              </w:rPr>
            </w:pPr>
            <w:r w:rsidRPr="00FE6980">
              <w:rPr>
                <w:sz w:val="20"/>
                <w:szCs w:val="20"/>
              </w:rPr>
              <w:tab/>
              <w:t>Department of Justice</w:t>
            </w:r>
          </w:p>
          <w:p w:rsidR="00921820" w:rsidRPr="00FE6980" w:rsidRDefault="00921820" w:rsidP="00E41A5A">
            <w:pPr>
              <w:rPr>
                <w:sz w:val="20"/>
                <w:szCs w:val="20"/>
              </w:rPr>
            </w:pPr>
          </w:p>
          <w:p w:rsidR="005F6FC4" w:rsidRPr="00FE6980" w:rsidRDefault="00921820" w:rsidP="00E41A5A">
            <w:pPr>
              <w:rPr>
                <w:sz w:val="20"/>
                <w:szCs w:val="20"/>
              </w:rPr>
            </w:pPr>
            <w:r w:rsidRPr="00FE6980">
              <w:rPr>
                <w:sz w:val="20"/>
                <w:szCs w:val="20"/>
              </w:rPr>
              <w:t>FILING DATE: 14.03.2016</w:t>
            </w:r>
          </w:p>
          <w:p w:rsidR="00C21644" w:rsidRPr="00FE6980" w:rsidRDefault="00E433FF" w:rsidP="00E41A5A">
            <w:pPr>
              <w:rPr>
                <w:sz w:val="20"/>
                <w:szCs w:val="20"/>
              </w:rPr>
            </w:pPr>
            <w:r>
              <w:rPr>
                <w:sz w:val="20"/>
                <w:szCs w:val="20"/>
                <w:lang w:val="fr-CA"/>
              </w:rPr>
              <w:pict>
                <v:rect id="_x0000_i1028" style="width:108pt;height:1pt" o:hrpct="0" o:hralign="center" o:hrstd="t" o:hrnoshade="t" o:hr="t" fillcolor="black [3213]" stroked="f"/>
              </w:pict>
            </w:r>
          </w:p>
        </w:tc>
      </w:tr>
      <w:tr w:rsidR="00C21644" w:rsidRPr="00FE6980" w:rsidTr="003B3977">
        <w:tc>
          <w:tcPr>
            <w:tcW w:w="4320" w:type="dxa"/>
            <w:shd w:val="clear" w:color="auto" w:fill="auto"/>
          </w:tcPr>
          <w:p w:rsidR="00C21644" w:rsidRPr="00FE6980" w:rsidRDefault="00921820" w:rsidP="005F1ED8">
            <w:pPr>
              <w:rPr>
                <w:b/>
                <w:sz w:val="20"/>
                <w:szCs w:val="20"/>
              </w:rPr>
            </w:pPr>
            <w:r w:rsidRPr="00FE6980">
              <w:rPr>
                <w:b/>
                <w:sz w:val="20"/>
                <w:szCs w:val="20"/>
              </w:rPr>
              <w:t xml:space="preserve">Victor </w:t>
            </w:r>
            <w:proofErr w:type="spellStart"/>
            <w:r w:rsidRPr="00FE6980">
              <w:rPr>
                <w:b/>
                <w:sz w:val="20"/>
                <w:szCs w:val="20"/>
              </w:rPr>
              <w:t>Zdenek</w:t>
            </w:r>
            <w:proofErr w:type="spellEnd"/>
            <w:r w:rsidRPr="00FE6980">
              <w:rPr>
                <w:b/>
                <w:sz w:val="20"/>
                <w:szCs w:val="20"/>
              </w:rPr>
              <w:t xml:space="preserve"> </w:t>
            </w:r>
            <w:proofErr w:type="spellStart"/>
            <w:r w:rsidRPr="00FE6980">
              <w:rPr>
                <w:b/>
                <w:sz w:val="20"/>
                <w:szCs w:val="20"/>
              </w:rPr>
              <w:t>Prochazka</w:t>
            </w:r>
            <w:proofErr w:type="spellEnd"/>
          </w:p>
          <w:p w:rsidR="00921820" w:rsidRPr="00FE6980" w:rsidRDefault="00921820" w:rsidP="005F1ED8">
            <w:pPr>
              <w:rPr>
                <w:sz w:val="20"/>
                <w:szCs w:val="20"/>
              </w:rPr>
            </w:pPr>
            <w:r w:rsidRPr="00FE6980">
              <w:rPr>
                <w:sz w:val="20"/>
                <w:szCs w:val="20"/>
              </w:rPr>
              <w:tab/>
              <w:t xml:space="preserve">Victor </w:t>
            </w:r>
            <w:proofErr w:type="spellStart"/>
            <w:r w:rsidRPr="00FE6980">
              <w:rPr>
                <w:sz w:val="20"/>
                <w:szCs w:val="20"/>
              </w:rPr>
              <w:t>Zdenek</w:t>
            </w:r>
            <w:proofErr w:type="spellEnd"/>
            <w:r w:rsidRPr="00FE6980">
              <w:rPr>
                <w:sz w:val="20"/>
                <w:szCs w:val="20"/>
              </w:rPr>
              <w:t xml:space="preserve"> </w:t>
            </w:r>
            <w:proofErr w:type="spellStart"/>
            <w:r w:rsidRPr="00FE6980">
              <w:rPr>
                <w:sz w:val="20"/>
                <w:szCs w:val="20"/>
              </w:rPr>
              <w:t>Prochazka</w:t>
            </w:r>
            <w:proofErr w:type="spellEnd"/>
          </w:p>
          <w:p w:rsidR="00921820" w:rsidRPr="00FE6980" w:rsidRDefault="00921820" w:rsidP="005F1ED8">
            <w:pPr>
              <w:rPr>
                <w:sz w:val="20"/>
                <w:szCs w:val="20"/>
              </w:rPr>
            </w:pPr>
          </w:p>
          <w:p w:rsidR="00921820" w:rsidRPr="00FE6980" w:rsidRDefault="00921820" w:rsidP="005F1ED8">
            <w:pPr>
              <w:rPr>
                <w:sz w:val="20"/>
                <w:szCs w:val="20"/>
                <w:lang w:val="fr-CA"/>
              </w:rPr>
            </w:pPr>
            <w:r w:rsidRPr="00FE6980">
              <w:rPr>
                <w:sz w:val="20"/>
                <w:szCs w:val="20"/>
              </w:rPr>
              <w:tab/>
            </w:r>
            <w:r w:rsidRPr="00FE6980">
              <w:rPr>
                <w:sz w:val="20"/>
                <w:szCs w:val="20"/>
                <w:lang w:val="fr-CA"/>
              </w:rPr>
              <w:t>v. (37022)</w:t>
            </w:r>
          </w:p>
          <w:p w:rsidR="00921820" w:rsidRPr="00FE6980" w:rsidRDefault="00921820" w:rsidP="005F1ED8">
            <w:pPr>
              <w:rPr>
                <w:sz w:val="20"/>
                <w:szCs w:val="20"/>
                <w:lang w:val="fr-CA"/>
              </w:rPr>
            </w:pPr>
          </w:p>
          <w:p w:rsidR="00921820" w:rsidRPr="00FE6980" w:rsidRDefault="00921820" w:rsidP="005F1ED8">
            <w:pPr>
              <w:rPr>
                <w:b/>
                <w:sz w:val="20"/>
                <w:szCs w:val="20"/>
                <w:lang w:val="fr-CA"/>
              </w:rPr>
            </w:pPr>
            <w:r w:rsidRPr="00FE6980">
              <w:rPr>
                <w:b/>
                <w:sz w:val="20"/>
                <w:szCs w:val="20"/>
                <w:lang w:val="fr-CA"/>
              </w:rPr>
              <w:t xml:space="preserve">Eva </w:t>
            </w:r>
            <w:proofErr w:type="spellStart"/>
            <w:r w:rsidRPr="00FE6980">
              <w:rPr>
                <w:b/>
                <w:sz w:val="20"/>
                <w:szCs w:val="20"/>
                <w:lang w:val="fr-CA"/>
              </w:rPr>
              <w:t>Prochazkova</w:t>
            </w:r>
            <w:proofErr w:type="spellEnd"/>
            <w:r w:rsidRPr="00FE6980">
              <w:rPr>
                <w:b/>
                <w:sz w:val="20"/>
                <w:szCs w:val="20"/>
                <w:lang w:val="fr-CA"/>
              </w:rPr>
              <w:t xml:space="preserve"> (Alta.)</w:t>
            </w:r>
          </w:p>
          <w:p w:rsidR="00921820" w:rsidRPr="00FE6980" w:rsidRDefault="00921820" w:rsidP="005F1ED8">
            <w:pPr>
              <w:rPr>
                <w:sz w:val="20"/>
                <w:szCs w:val="20"/>
                <w:lang w:val="fr-CA"/>
              </w:rPr>
            </w:pPr>
            <w:r w:rsidRPr="00FE6980">
              <w:rPr>
                <w:sz w:val="20"/>
                <w:szCs w:val="20"/>
                <w:lang w:val="fr-CA"/>
              </w:rPr>
              <w:tab/>
              <w:t xml:space="preserve">Eva </w:t>
            </w:r>
            <w:proofErr w:type="spellStart"/>
            <w:r w:rsidRPr="00FE6980">
              <w:rPr>
                <w:sz w:val="20"/>
                <w:szCs w:val="20"/>
                <w:lang w:val="fr-CA"/>
              </w:rPr>
              <w:t>Prochazkova</w:t>
            </w:r>
            <w:proofErr w:type="spellEnd"/>
          </w:p>
          <w:p w:rsidR="00921820" w:rsidRPr="00FE6980" w:rsidRDefault="00921820" w:rsidP="005F1ED8">
            <w:pPr>
              <w:rPr>
                <w:sz w:val="20"/>
                <w:szCs w:val="20"/>
                <w:lang w:val="fr-CA"/>
              </w:rPr>
            </w:pPr>
          </w:p>
          <w:p w:rsidR="00921820" w:rsidRPr="00FE6980" w:rsidRDefault="00921820" w:rsidP="005F1ED8">
            <w:pPr>
              <w:rPr>
                <w:sz w:val="20"/>
                <w:szCs w:val="20"/>
              </w:rPr>
            </w:pPr>
            <w:r w:rsidRPr="00FE6980">
              <w:rPr>
                <w:sz w:val="20"/>
                <w:szCs w:val="20"/>
              </w:rPr>
              <w:t>FILING DATE: 09.12.2015</w:t>
            </w:r>
          </w:p>
          <w:p w:rsidR="00921820" w:rsidRPr="00FE6980" w:rsidRDefault="00E433FF" w:rsidP="005F1ED8">
            <w:pPr>
              <w:rPr>
                <w:sz w:val="20"/>
                <w:szCs w:val="20"/>
                <w:lang w:val="fr-CA"/>
              </w:rPr>
            </w:pPr>
            <w:r>
              <w:rPr>
                <w:sz w:val="20"/>
                <w:szCs w:val="20"/>
                <w:lang w:val="fr-CA"/>
              </w:rPr>
              <w:pict>
                <v:rect id="_x0000_i1029" style="width:108pt;height:1pt" o:hrpct="0" o:hralign="center" o:hrstd="t" o:hrnoshade="t" o:hr="t" fillcolor="black [3213]" stroked="f"/>
              </w:pict>
            </w:r>
          </w:p>
          <w:p w:rsidR="00921820" w:rsidRPr="00FE6980" w:rsidRDefault="00921820" w:rsidP="005F1ED8">
            <w:pPr>
              <w:rPr>
                <w:sz w:val="20"/>
                <w:szCs w:val="20"/>
              </w:rPr>
            </w:pPr>
          </w:p>
        </w:tc>
        <w:tc>
          <w:tcPr>
            <w:tcW w:w="1181" w:type="dxa"/>
            <w:shd w:val="clear" w:color="auto" w:fill="auto"/>
          </w:tcPr>
          <w:p w:rsidR="00C21644" w:rsidRPr="00FE6980" w:rsidRDefault="00C21644" w:rsidP="00242AEE">
            <w:pPr>
              <w:jc w:val="center"/>
              <w:rPr>
                <w:sz w:val="20"/>
                <w:szCs w:val="20"/>
              </w:rPr>
            </w:pPr>
          </w:p>
        </w:tc>
        <w:tc>
          <w:tcPr>
            <w:tcW w:w="4320" w:type="dxa"/>
            <w:shd w:val="clear" w:color="auto" w:fill="auto"/>
          </w:tcPr>
          <w:p w:rsidR="00DC41B2" w:rsidRPr="00FE6980" w:rsidRDefault="00DC41B2" w:rsidP="005F1ED8">
            <w:pPr>
              <w:rPr>
                <w:b/>
                <w:sz w:val="20"/>
                <w:szCs w:val="20"/>
              </w:rPr>
            </w:pPr>
            <w:r w:rsidRPr="00FE6980">
              <w:rPr>
                <w:b/>
                <w:sz w:val="20"/>
                <w:szCs w:val="20"/>
              </w:rPr>
              <w:t>Samir Ibrahim</w:t>
            </w:r>
          </w:p>
          <w:p w:rsidR="00DC41B2" w:rsidRPr="00FE6980" w:rsidRDefault="00DC41B2" w:rsidP="005F1ED8">
            <w:pPr>
              <w:rPr>
                <w:sz w:val="20"/>
                <w:szCs w:val="20"/>
              </w:rPr>
            </w:pPr>
            <w:r w:rsidRPr="00FE6980">
              <w:rPr>
                <w:sz w:val="20"/>
                <w:szCs w:val="20"/>
              </w:rPr>
              <w:tab/>
              <w:t>Samir Ibrahim</w:t>
            </w:r>
          </w:p>
          <w:p w:rsidR="00DC41B2" w:rsidRPr="00FE6980" w:rsidRDefault="00DC41B2" w:rsidP="005F1ED8">
            <w:pPr>
              <w:rPr>
                <w:sz w:val="20"/>
                <w:szCs w:val="20"/>
              </w:rPr>
            </w:pPr>
          </w:p>
          <w:p w:rsidR="00DC41B2" w:rsidRPr="00FE6980" w:rsidRDefault="00DC41B2" w:rsidP="005F1ED8">
            <w:pPr>
              <w:rPr>
                <w:sz w:val="20"/>
                <w:szCs w:val="20"/>
              </w:rPr>
            </w:pPr>
            <w:r w:rsidRPr="00FE6980">
              <w:rPr>
                <w:sz w:val="20"/>
                <w:szCs w:val="20"/>
              </w:rPr>
              <w:tab/>
              <w:t>v. (37044)</w:t>
            </w:r>
          </w:p>
          <w:p w:rsidR="00DC41B2" w:rsidRPr="00FE6980" w:rsidRDefault="00DC41B2" w:rsidP="005F1ED8">
            <w:pPr>
              <w:rPr>
                <w:sz w:val="20"/>
                <w:szCs w:val="20"/>
              </w:rPr>
            </w:pPr>
          </w:p>
          <w:p w:rsidR="00DC41B2" w:rsidRPr="00FE6980" w:rsidRDefault="00DC41B2" w:rsidP="005F1ED8">
            <w:pPr>
              <w:rPr>
                <w:b/>
                <w:sz w:val="20"/>
                <w:szCs w:val="20"/>
              </w:rPr>
            </w:pPr>
            <w:r w:rsidRPr="00FE6980">
              <w:rPr>
                <w:b/>
                <w:sz w:val="20"/>
                <w:szCs w:val="20"/>
              </w:rPr>
              <w:t>Toronto Transit Commission (Ont.)</w:t>
            </w:r>
          </w:p>
          <w:p w:rsidR="00DC41B2" w:rsidRPr="00FE6980" w:rsidRDefault="00DC41B2" w:rsidP="005F1ED8">
            <w:pPr>
              <w:rPr>
                <w:sz w:val="20"/>
                <w:szCs w:val="20"/>
              </w:rPr>
            </w:pPr>
            <w:r w:rsidRPr="00FE6980">
              <w:rPr>
                <w:sz w:val="20"/>
                <w:szCs w:val="20"/>
              </w:rPr>
              <w:tab/>
              <w:t>Andrew Davidson</w:t>
            </w:r>
          </w:p>
          <w:p w:rsidR="00DC41B2" w:rsidRPr="00FE6980" w:rsidRDefault="00DC41B2" w:rsidP="005F1ED8">
            <w:pPr>
              <w:rPr>
                <w:sz w:val="20"/>
                <w:szCs w:val="20"/>
              </w:rPr>
            </w:pPr>
            <w:r w:rsidRPr="00FE6980">
              <w:rPr>
                <w:sz w:val="20"/>
                <w:szCs w:val="20"/>
              </w:rPr>
              <w:tab/>
              <w:t>Toronto Transit Commission</w:t>
            </w:r>
          </w:p>
          <w:p w:rsidR="00DC41B2" w:rsidRPr="00FE6980" w:rsidRDefault="00DC41B2" w:rsidP="005F1ED8">
            <w:pPr>
              <w:rPr>
                <w:sz w:val="20"/>
                <w:szCs w:val="20"/>
              </w:rPr>
            </w:pPr>
          </w:p>
          <w:p w:rsidR="00DC41B2" w:rsidRPr="00FE6980" w:rsidRDefault="00DC41B2" w:rsidP="005F1ED8">
            <w:pPr>
              <w:rPr>
                <w:sz w:val="20"/>
                <w:szCs w:val="20"/>
                <w:lang w:val="fr-CA"/>
              </w:rPr>
            </w:pPr>
            <w:r w:rsidRPr="00FE6980">
              <w:rPr>
                <w:sz w:val="20"/>
                <w:szCs w:val="20"/>
                <w:lang w:val="fr-CA"/>
              </w:rPr>
              <w:t>FILING DATE : 27.05.2016</w:t>
            </w:r>
          </w:p>
          <w:p w:rsidR="00921820" w:rsidRPr="00FE6980" w:rsidRDefault="00E433FF" w:rsidP="005F1ED8">
            <w:pPr>
              <w:rPr>
                <w:sz w:val="20"/>
                <w:szCs w:val="20"/>
                <w:lang w:val="fr-CA"/>
              </w:rPr>
            </w:pPr>
            <w:r>
              <w:rPr>
                <w:sz w:val="20"/>
                <w:szCs w:val="20"/>
                <w:lang w:val="fr-CA"/>
              </w:rPr>
              <w:pict>
                <v:rect id="_x0000_i1030" style="width:108pt;height:1pt" o:hrpct="0" o:hralign="center" o:hrstd="t" o:hrnoshade="t" o:hr="t" fillcolor="black [3213]" stroked="f"/>
              </w:pict>
            </w:r>
          </w:p>
          <w:p w:rsidR="00DC41B2" w:rsidRPr="00FE6980" w:rsidRDefault="00DC41B2" w:rsidP="005F1ED8">
            <w:pPr>
              <w:rPr>
                <w:sz w:val="20"/>
                <w:szCs w:val="20"/>
              </w:rPr>
            </w:pPr>
          </w:p>
        </w:tc>
      </w:tr>
      <w:tr w:rsidR="00C21644" w:rsidRPr="00FE6980" w:rsidTr="00DC41B2">
        <w:tc>
          <w:tcPr>
            <w:tcW w:w="4320" w:type="dxa"/>
            <w:shd w:val="clear" w:color="auto" w:fill="auto"/>
          </w:tcPr>
          <w:p w:rsidR="00C21644" w:rsidRPr="00FE6980" w:rsidRDefault="00DC41B2" w:rsidP="005F1ED8">
            <w:pPr>
              <w:rPr>
                <w:b/>
                <w:sz w:val="20"/>
                <w:szCs w:val="20"/>
              </w:rPr>
            </w:pPr>
            <w:r w:rsidRPr="00FE6980">
              <w:rPr>
                <w:b/>
                <w:sz w:val="20"/>
                <w:szCs w:val="20"/>
              </w:rPr>
              <w:t>1455257 Ontario Inc.</w:t>
            </w:r>
          </w:p>
          <w:p w:rsidR="00DC41B2" w:rsidRPr="00FE6980" w:rsidRDefault="00DC41B2" w:rsidP="005F1ED8">
            <w:pPr>
              <w:rPr>
                <w:sz w:val="20"/>
                <w:szCs w:val="20"/>
              </w:rPr>
            </w:pPr>
            <w:r w:rsidRPr="00FE6980">
              <w:rPr>
                <w:sz w:val="20"/>
                <w:szCs w:val="20"/>
              </w:rPr>
              <w:tab/>
              <w:t>Domenic Marciano</w:t>
            </w:r>
          </w:p>
          <w:p w:rsidR="00DC41B2" w:rsidRPr="00FE6980" w:rsidRDefault="00DC41B2" w:rsidP="005F1ED8">
            <w:pPr>
              <w:rPr>
                <w:sz w:val="20"/>
                <w:szCs w:val="20"/>
              </w:rPr>
            </w:pPr>
            <w:r w:rsidRPr="00FE6980">
              <w:rPr>
                <w:sz w:val="20"/>
                <w:szCs w:val="20"/>
              </w:rPr>
              <w:tab/>
              <w:t xml:space="preserve">Marciano </w:t>
            </w:r>
            <w:proofErr w:type="spellStart"/>
            <w:r w:rsidRPr="00FE6980">
              <w:rPr>
                <w:sz w:val="20"/>
                <w:szCs w:val="20"/>
              </w:rPr>
              <w:t>Beckenstein</w:t>
            </w:r>
            <w:proofErr w:type="spellEnd"/>
            <w:r w:rsidRPr="00FE6980">
              <w:rPr>
                <w:sz w:val="20"/>
                <w:szCs w:val="20"/>
              </w:rPr>
              <w:t xml:space="preserve"> LLP</w:t>
            </w:r>
          </w:p>
          <w:p w:rsidR="00DC41B2" w:rsidRPr="00FE6980" w:rsidRDefault="00DC41B2" w:rsidP="005F1ED8">
            <w:pPr>
              <w:rPr>
                <w:sz w:val="20"/>
                <w:szCs w:val="20"/>
              </w:rPr>
            </w:pPr>
          </w:p>
          <w:p w:rsidR="00DC41B2" w:rsidRPr="00FE6980" w:rsidRDefault="00DC41B2" w:rsidP="005F1ED8">
            <w:pPr>
              <w:rPr>
                <w:sz w:val="20"/>
                <w:szCs w:val="20"/>
              </w:rPr>
            </w:pPr>
            <w:r w:rsidRPr="00FE6980">
              <w:rPr>
                <w:sz w:val="20"/>
                <w:szCs w:val="20"/>
              </w:rPr>
              <w:tab/>
              <w:t>v. (37024)</w:t>
            </w:r>
          </w:p>
          <w:p w:rsidR="00DC41B2" w:rsidRPr="00FE6980" w:rsidRDefault="00DC41B2" w:rsidP="005F1ED8">
            <w:pPr>
              <w:rPr>
                <w:sz w:val="20"/>
                <w:szCs w:val="20"/>
              </w:rPr>
            </w:pPr>
          </w:p>
          <w:p w:rsidR="00DC41B2" w:rsidRPr="00FE6980" w:rsidRDefault="00DC41B2" w:rsidP="005F1ED8">
            <w:pPr>
              <w:rPr>
                <w:b/>
                <w:sz w:val="20"/>
                <w:szCs w:val="20"/>
              </w:rPr>
            </w:pPr>
            <w:r w:rsidRPr="00FE6980">
              <w:rPr>
                <w:b/>
                <w:sz w:val="20"/>
                <w:szCs w:val="20"/>
              </w:rPr>
              <w:t>Her Majesty the Queen (F.C.)</w:t>
            </w:r>
          </w:p>
          <w:p w:rsidR="00DC41B2" w:rsidRPr="00FE6980" w:rsidRDefault="00DC41B2" w:rsidP="005F1ED8">
            <w:pPr>
              <w:rPr>
                <w:sz w:val="20"/>
                <w:szCs w:val="20"/>
              </w:rPr>
            </w:pPr>
            <w:r w:rsidRPr="00FE6980">
              <w:rPr>
                <w:sz w:val="20"/>
                <w:szCs w:val="20"/>
              </w:rPr>
              <w:tab/>
              <w:t>Craig Maw</w:t>
            </w:r>
          </w:p>
          <w:p w:rsidR="00DC41B2" w:rsidRPr="00FE6980" w:rsidRDefault="00DC41B2" w:rsidP="005F1ED8">
            <w:pPr>
              <w:rPr>
                <w:sz w:val="20"/>
                <w:szCs w:val="20"/>
              </w:rPr>
            </w:pPr>
            <w:r w:rsidRPr="00FE6980">
              <w:rPr>
                <w:sz w:val="20"/>
                <w:szCs w:val="20"/>
              </w:rPr>
              <w:tab/>
              <w:t>A.G. of Canada</w:t>
            </w:r>
          </w:p>
          <w:p w:rsidR="00DC41B2" w:rsidRPr="00FE6980" w:rsidRDefault="00DC41B2" w:rsidP="005F1ED8">
            <w:pPr>
              <w:rPr>
                <w:sz w:val="20"/>
                <w:szCs w:val="20"/>
              </w:rPr>
            </w:pPr>
          </w:p>
          <w:p w:rsidR="00DC41B2" w:rsidRPr="00FE6980" w:rsidRDefault="00DC41B2" w:rsidP="005F1ED8">
            <w:pPr>
              <w:rPr>
                <w:sz w:val="20"/>
                <w:szCs w:val="20"/>
              </w:rPr>
            </w:pPr>
            <w:r w:rsidRPr="00FE6980">
              <w:rPr>
                <w:sz w:val="20"/>
                <w:szCs w:val="20"/>
              </w:rPr>
              <w:t>FILING DATE: 27.05.2016</w:t>
            </w:r>
          </w:p>
          <w:p w:rsidR="00DC41B2" w:rsidRPr="00FE6980" w:rsidRDefault="00E433FF" w:rsidP="005F1ED8">
            <w:pPr>
              <w:rPr>
                <w:sz w:val="20"/>
                <w:szCs w:val="20"/>
              </w:rPr>
            </w:pPr>
            <w:r>
              <w:rPr>
                <w:sz w:val="20"/>
                <w:szCs w:val="20"/>
                <w:lang w:val="fr-CA"/>
              </w:rPr>
              <w:pict>
                <v:rect id="_x0000_i1031" style="width:108pt;height:1pt" o:hrpct="0" o:hralign="center" o:hrstd="t" o:hrnoshade="t" o:hr="t" fillcolor="black [3213]" stroked="f"/>
              </w:pict>
            </w:r>
          </w:p>
          <w:p w:rsidR="00DC41B2" w:rsidRPr="00FE6980" w:rsidRDefault="00DC41B2" w:rsidP="005F1ED8">
            <w:pPr>
              <w:rPr>
                <w:sz w:val="20"/>
                <w:szCs w:val="20"/>
              </w:rPr>
            </w:pPr>
          </w:p>
        </w:tc>
        <w:tc>
          <w:tcPr>
            <w:tcW w:w="1181" w:type="dxa"/>
            <w:shd w:val="clear" w:color="auto" w:fill="auto"/>
          </w:tcPr>
          <w:p w:rsidR="00C21644" w:rsidRPr="00FE6980" w:rsidRDefault="00C21644" w:rsidP="00242AEE">
            <w:pPr>
              <w:jc w:val="center"/>
              <w:rPr>
                <w:sz w:val="20"/>
                <w:szCs w:val="20"/>
              </w:rPr>
            </w:pPr>
          </w:p>
        </w:tc>
        <w:tc>
          <w:tcPr>
            <w:tcW w:w="4320" w:type="dxa"/>
            <w:shd w:val="clear" w:color="auto" w:fill="auto"/>
          </w:tcPr>
          <w:p w:rsidR="00DC41B2" w:rsidRPr="00FE6980" w:rsidRDefault="00DC41B2" w:rsidP="00DC41B2">
            <w:pPr>
              <w:rPr>
                <w:b/>
                <w:sz w:val="20"/>
                <w:szCs w:val="20"/>
                <w:lang w:val="fr-CA"/>
              </w:rPr>
            </w:pPr>
            <w:r w:rsidRPr="00FE6980">
              <w:rPr>
                <w:b/>
                <w:sz w:val="20"/>
                <w:szCs w:val="20"/>
                <w:lang w:val="fr-CA"/>
              </w:rPr>
              <w:t>Fang Hu</w:t>
            </w:r>
          </w:p>
          <w:p w:rsidR="00DC41B2" w:rsidRPr="00FE6980" w:rsidRDefault="00DC41B2" w:rsidP="00DC41B2">
            <w:pPr>
              <w:rPr>
                <w:sz w:val="20"/>
                <w:szCs w:val="20"/>
                <w:lang w:val="fr-CA"/>
              </w:rPr>
            </w:pPr>
            <w:r w:rsidRPr="00FE6980">
              <w:rPr>
                <w:sz w:val="20"/>
                <w:szCs w:val="20"/>
                <w:lang w:val="fr-CA"/>
              </w:rPr>
              <w:tab/>
              <w:t>Fang Hu</w:t>
            </w:r>
          </w:p>
          <w:p w:rsidR="00DC41B2" w:rsidRPr="00FE6980" w:rsidRDefault="00DC41B2" w:rsidP="00DC41B2">
            <w:pPr>
              <w:rPr>
                <w:sz w:val="20"/>
                <w:szCs w:val="20"/>
                <w:lang w:val="fr-CA"/>
              </w:rPr>
            </w:pPr>
          </w:p>
          <w:p w:rsidR="00DC41B2" w:rsidRPr="00FE6980" w:rsidRDefault="00DC41B2" w:rsidP="00DC41B2">
            <w:pPr>
              <w:rPr>
                <w:sz w:val="20"/>
                <w:szCs w:val="20"/>
                <w:lang w:val="fr-CA"/>
              </w:rPr>
            </w:pPr>
            <w:r w:rsidRPr="00FE6980">
              <w:rPr>
                <w:sz w:val="20"/>
                <w:szCs w:val="20"/>
                <w:lang w:val="fr-CA"/>
              </w:rPr>
              <w:tab/>
              <w:t>v. (37004)</w:t>
            </w:r>
          </w:p>
          <w:p w:rsidR="00DC41B2" w:rsidRPr="00FE6980" w:rsidRDefault="00DC41B2" w:rsidP="00DC41B2">
            <w:pPr>
              <w:rPr>
                <w:sz w:val="20"/>
                <w:szCs w:val="20"/>
                <w:lang w:val="fr-CA"/>
              </w:rPr>
            </w:pPr>
          </w:p>
          <w:p w:rsidR="00DC41B2" w:rsidRPr="00FE6980" w:rsidRDefault="00DC41B2" w:rsidP="00DC41B2">
            <w:pPr>
              <w:rPr>
                <w:b/>
                <w:sz w:val="20"/>
                <w:szCs w:val="20"/>
              </w:rPr>
            </w:pPr>
            <w:r w:rsidRPr="00FE6980">
              <w:rPr>
                <w:b/>
                <w:sz w:val="20"/>
                <w:szCs w:val="20"/>
              </w:rPr>
              <w:t>Alberta Law Enforcement Review Board et al. (Alta.)</w:t>
            </w:r>
          </w:p>
          <w:p w:rsidR="00DC41B2" w:rsidRPr="00FE6980" w:rsidRDefault="00DC41B2" w:rsidP="00DC41B2">
            <w:pPr>
              <w:rPr>
                <w:sz w:val="20"/>
                <w:szCs w:val="20"/>
              </w:rPr>
            </w:pPr>
            <w:r w:rsidRPr="00FE6980">
              <w:rPr>
                <w:sz w:val="20"/>
                <w:szCs w:val="20"/>
              </w:rPr>
              <w:tab/>
              <w:t>Sean McDonough</w:t>
            </w:r>
          </w:p>
          <w:p w:rsidR="00DC41B2" w:rsidRPr="00FE6980" w:rsidRDefault="00DC41B2" w:rsidP="00DC41B2">
            <w:pPr>
              <w:rPr>
                <w:sz w:val="20"/>
                <w:szCs w:val="20"/>
              </w:rPr>
            </w:pPr>
            <w:r w:rsidRPr="00FE6980">
              <w:rPr>
                <w:sz w:val="20"/>
                <w:szCs w:val="20"/>
              </w:rPr>
              <w:tab/>
              <w:t>Department of Justice</w:t>
            </w:r>
          </w:p>
          <w:p w:rsidR="00DC41B2" w:rsidRPr="00FE6980" w:rsidRDefault="00DC41B2" w:rsidP="00DC41B2">
            <w:pPr>
              <w:rPr>
                <w:sz w:val="20"/>
                <w:szCs w:val="20"/>
              </w:rPr>
            </w:pPr>
          </w:p>
          <w:p w:rsidR="00DC41B2" w:rsidRPr="00FE6980" w:rsidRDefault="00DC41B2" w:rsidP="00DC41B2">
            <w:pPr>
              <w:rPr>
                <w:sz w:val="20"/>
                <w:szCs w:val="20"/>
              </w:rPr>
            </w:pPr>
            <w:r w:rsidRPr="00FE6980">
              <w:rPr>
                <w:sz w:val="20"/>
                <w:szCs w:val="20"/>
              </w:rPr>
              <w:t>FILING DATE: 11.04.2016</w:t>
            </w:r>
          </w:p>
          <w:p w:rsidR="00C21644" w:rsidRPr="00FE6980" w:rsidRDefault="00E433FF" w:rsidP="005F1ED8">
            <w:pPr>
              <w:rPr>
                <w:sz w:val="20"/>
                <w:szCs w:val="20"/>
              </w:rPr>
            </w:pPr>
            <w:r>
              <w:rPr>
                <w:sz w:val="20"/>
                <w:szCs w:val="20"/>
                <w:lang w:val="fr-CA"/>
              </w:rPr>
              <w:pict>
                <v:rect id="_x0000_i1032" style="width:108pt;height:1pt" o:hrpct="0" o:hralign="center" o:hrstd="t" o:hrnoshade="t" o:hr="t" fillcolor="black [3213]" stroked="f"/>
              </w:pict>
            </w:r>
          </w:p>
        </w:tc>
      </w:tr>
    </w:tbl>
    <w:p w:rsidR="00BD2BBA" w:rsidRPr="00FE6980" w:rsidRDefault="00BD2BBA">
      <w:r w:rsidRPr="00FE6980">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FE6980" w:rsidTr="003B3977">
        <w:trPr>
          <w:cantSplit/>
        </w:trPr>
        <w:tc>
          <w:tcPr>
            <w:tcW w:w="4320" w:type="dxa"/>
            <w:shd w:val="clear" w:color="auto" w:fill="auto"/>
          </w:tcPr>
          <w:p w:rsidR="00BD2BBA" w:rsidRPr="00FE6980" w:rsidRDefault="00BD2BBA" w:rsidP="005F1ED8">
            <w:pPr>
              <w:rPr>
                <w:sz w:val="20"/>
                <w:szCs w:val="20"/>
              </w:rPr>
            </w:pPr>
            <w:r w:rsidRPr="00FE6980">
              <w:rPr>
                <w:b/>
                <w:sz w:val="20"/>
                <w:szCs w:val="20"/>
              </w:rPr>
              <w:lastRenderedPageBreak/>
              <w:t>Enbridge Gas New Brunswick Limited Partnership, as represented by its general partner</w:t>
            </w:r>
            <w:r w:rsidR="00421E57" w:rsidRPr="00FE6980">
              <w:rPr>
                <w:b/>
                <w:sz w:val="20"/>
                <w:szCs w:val="20"/>
              </w:rPr>
              <w:t xml:space="preserve"> et al.</w:t>
            </w:r>
          </w:p>
          <w:p w:rsidR="00BD2BBA" w:rsidRPr="00FE6980" w:rsidRDefault="00BD2BBA" w:rsidP="005F1ED8">
            <w:pPr>
              <w:rPr>
                <w:sz w:val="20"/>
                <w:szCs w:val="20"/>
              </w:rPr>
            </w:pPr>
            <w:r w:rsidRPr="00FE6980">
              <w:rPr>
                <w:sz w:val="20"/>
                <w:szCs w:val="20"/>
              </w:rPr>
              <w:tab/>
              <w:t>David Duncan Young</w:t>
            </w:r>
          </w:p>
          <w:p w:rsidR="00BD2BBA" w:rsidRPr="00FE6980" w:rsidRDefault="00BD2BBA" w:rsidP="005F1ED8">
            <w:pPr>
              <w:rPr>
                <w:sz w:val="20"/>
                <w:szCs w:val="20"/>
              </w:rPr>
            </w:pPr>
            <w:r w:rsidRPr="00FE6980">
              <w:rPr>
                <w:sz w:val="20"/>
                <w:szCs w:val="20"/>
              </w:rPr>
              <w:tab/>
            </w:r>
            <w:proofErr w:type="spellStart"/>
            <w:r w:rsidRPr="00FE6980">
              <w:rPr>
                <w:sz w:val="20"/>
                <w:szCs w:val="20"/>
              </w:rPr>
              <w:t>McInnes</w:t>
            </w:r>
            <w:proofErr w:type="spellEnd"/>
            <w:r w:rsidRPr="00FE6980">
              <w:rPr>
                <w:sz w:val="20"/>
                <w:szCs w:val="20"/>
              </w:rPr>
              <w:t xml:space="preserve"> Cooper</w:t>
            </w:r>
          </w:p>
          <w:p w:rsidR="00BD2BBA" w:rsidRPr="00FE6980" w:rsidRDefault="00BD2BBA" w:rsidP="005F1ED8">
            <w:pPr>
              <w:rPr>
                <w:sz w:val="20"/>
                <w:szCs w:val="20"/>
              </w:rPr>
            </w:pPr>
          </w:p>
          <w:p w:rsidR="00BD2BBA" w:rsidRPr="00FE6980" w:rsidRDefault="00BD2BBA" w:rsidP="005F1ED8">
            <w:pPr>
              <w:rPr>
                <w:sz w:val="20"/>
                <w:szCs w:val="20"/>
              </w:rPr>
            </w:pPr>
            <w:r w:rsidRPr="00FE6980">
              <w:rPr>
                <w:sz w:val="20"/>
                <w:szCs w:val="20"/>
              </w:rPr>
              <w:tab/>
              <w:t>v. (37035)</w:t>
            </w:r>
          </w:p>
          <w:p w:rsidR="00BD2BBA" w:rsidRPr="00FE6980" w:rsidRDefault="00BD2BBA" w:rsidP="005F1ED8">
            <w:pPr>
              <w:rPr>
                <w:sz w:val="20"/>
                <w:szCs w:val="20"/>
              </w:rPr>
            </w:pPr>
          </w:p>
          <w:p w:rsidR="00BD2BBA" w:rsidRPr="00FE6980" w:rsidRDefault="00BD2BBA" w:rsidP="005F1ED8">
            <w:pPr>
              <w:rPr>
                <w:b/>
                <w:sz w:val="20"/>
                <w:szCs w:val="20"/>
              </w:rPr>
            </w:pPr>
            <w:r w:rsidRPr="00FE6980">
              <w:rPr>
                <w:b/>
                <w:sz w:val="20"/>
                <w:szCs w:val="20"/>
              </w:rPr>
              <w:t>Province of New Brunswick (N.B.)</w:t>
            </w:r>
          </w:p>
          <w:p w:rsidR="00BD2BBA" w:rsidRPr="00FE6980" w:rsidRDefault="00BD2BBA" w:rsidP="005F1ED8">
            <w:pPr>
              <w:rPr>
                <w:sz w:val="20"/>
                <w:szCs w:val="20"/>
              </w:rPr>
            </w:pPr>
            <w:r w:rsidRPr="00FE6980">
              <w:rPr>
                <w:sz w:val="20"/>
                <w:szCs w:val="20"/>
              </w:rPr>
              <w:tab/>
              <w:t xml:space="preserve">Catherine A. </w:t>
            </w:r>
            <w:proofErr w:type="spellStart"/>
            <w:r w:rsidRPr="00FE6980">
              <w:rPr>
                <w:sz w:val="20"/>
                <w:szCs w:val="20"/>
              </w:rPr>
              <w:t>Lahey</w:t>
            </w:r>
            <w:proofErr w:type="spellEnd"/>
          </w:p>
          <w:p w:rsidR="00BD2BBA" w:rsidRPr="00FE6980" w:rsidRDefault="00BD2BBA" w:rsidP="005F1ED8">
            <w:pPr>
              <w:rPr>
                <w:sz w:val="20"/>
                <w:szCs w:val="20"/>
              </w:rPr>
            </w:pPr>
            <w:r w:rsidRPr="00FE6980">
              <w:rPr>
                <w:sz w:val="20"/>
                <w:szCs w:val="20"/>
              </w:rPr>
              <w:tab/>
              <w:t xml:space="preserve">Stewart </w:t>
            </w:r>
            <w:proofErr w:type="spellStart"/>
            <w:r w:rsidRPr="00FE6980">
              <w:rPr>
                <w:sz w:val="20"/>
                <w:szCs w:val="20"/>
              </w:rPr>
              <w:t>McKelvey</w:t>
            </w:r>
            <w:proofErr w:type="spellEnd"/>
          </w:p>
          <w:p w:rsidR="00BD2BBA" w:rsidRPr="00FE6980" w:rsidRDefault="00BD2BBA" w:rsidP="005F1ED8">
            <w:pPr>
              <w:rPr>
                <w:sz w:val="20"/>
                <w:szCs w:val="20"/>
              </w:rPr>
            </w:pPr>
          </w:p>
          <w:p w:rsidR="00BD2BBA" w:rsidRPr="00FE6980" w:rsidRDefault="00BD2BBA" w:rsidP="005F1ED8">
            <w:pPr>
              <w:rPr>
                <w:sz w:val="20"/>
                <w:szCs w:val="20"/>
              </w:rPr>
            </w:pPr>
            <w:r w:rsidRPr="00FE6980">
              <w:rPr>
                <w:sz w:val="20"/>
                <w:szCs w:val="20"/>
              </w:rPr>
              <w:t>FILING DATE: 30.05.2016</w:t>
            </w:r>
          </w:p>
          <w:p w:rsidR="00C21644" w:rsidRPr="00FE6980" w:rsidRDefault="00E433FF" w:rsidP="005F1ED8">
            <w:pPr>
              <w:rPr>
                <w:sz w:val="20"/>
                <w:szCs w:val="20"/>
                <w:lang w:val="fr-CA"/>
              </w:rPr>
            </w:pPr>
            <w:r>
              <w:rPr>
                <w:sz w:val="20"/>
                <w:szCs w:val="20"/>
                <w:lang w:val="fr-CA"/>
              </w:rPr>
              <w:pict>
                <v:rect id="_x0000_i1033" style="width:108pt;height:1pt" o:hrpct="0" o:hralign="center" o:hrstd="t" o:hrnoshade="t" o:hr="t" fillcolor="black [3213]" stroked="f"/>
              </w:pict>
            </w:r>
          </w:p>
          <w:p w:rsidR="00BD2BBA" w:rsidRPr="00FE6980" w:rsidRDefault="00BD2BBA" w:rsidP="005F1ED8">
            <w:pPr>
              <w:rPr>
                <w:sz w:val="20"/>
                <w:szCs w:val="20"/>
              </w:rPr>
            </w:pPr>
          </w:p>
        </w:tc>
        <w:tc>
          <w:tcPr>
            <w:tcW w:w="1181" w:type="dxa"/>
            <w:shd w:val="clear" w:color="auto" w:fill="auto"/>
          </w:tcPr>
          <w:p w:rsidR="00C21644" w:rsidRPr="00FE6980" w:rsidRDefault="00C21644" w:rsidP="00242AEE">
            <w:pPr>
              <w:jc w:val="center"/>
              <w:rPr>
                <w:sz w:val="20"/>
                <w:szCs w:val="20"/>
              </w:rPr>
            </w:pPr>
          </w:p>
        </w:tc>
        <w:tc>
          <w:tcPr>
            <w:tcW w:w="4320" w:type="dxa"/>
            <w:shd w:val="clear" w:color="auto" w:fill="auto"/>
          </w:tcPr>
          <w:p w:rsidR="003B5BD3" w:rsidRPr="00FE6980" w:rsidRDefault="003B5BD3" w:rsidP="003B5BD3">
            <w:pPr>
              <w:rPr>
                <w:b/>
                <w:sz w:val="20"/>
                <w:szCs w:val="20"/>
                <w:lang w:val="fr-CA"/>
              </w:rPr>
            </w:pPr>
            <w:proofErr w:type="spellStart"/>
            <w:r w:rsidRPr="00FE6980">
              <w:rPr>
                <w:b/>
                <w:sz w:val="20"/>
                <w:szCs w:val="20"/>
                <w:lang w:val="fr-CA"/>
              </w:rPr>
              <w:t>WestJet</w:t>
            </w:r>
            <w:proofErr w:type="spellEnd"/>
          </w:p>
          <w:p w:rsidR="003B5BD3" w:rsidRPr="00FE6980" w:rsidRDefault="003B5BD3" w:rsidP="003B5BD3">
            <w:pPr>
              <w:rPr>
                <w:sz w:val="20"/>
                <w:szCs w:val="20"/>
                <w:lang w:val="fr-CA"/>
              </w:rPr>
            </w:pPr>
            <w:r w:rsidRPr="00FE6980">
              <w:rPr>
                <w:b/>
                <w:sz w:val="20"/>
                <w:szCs w:val="20"/>
                <w:lang w:val="fr-CA"/>
              </w:rPr>
              <w:tab/>
            </w:r>
            <w:r w:rsidRPr="00FE6980">
              <w:rPr>
                <w:sz w:val="20"/>
                <w:szCs w:val="20"/>
                <w:lang w:val="fr-CA"/>
              </w:rPr>
              <w:t>Vincent de l’Étoile</w:t>
            </w:r>
          </w:p>
          <w:p w:rsidR="003B5BD3" w:rsidRPr="00FE6980" w:rsidRDefault="003B5BD3" w:rsidP="003B5BD3">
            <w:pPr>
              <w:rPr>
                <w:sz w:val="20"/>
                <w:szCs w:val="20"/>
                <w:lang w:val="fr-CA"/>
              </w:rPr>
            </w:pPr>
            <w:r w:rsidRPr="00FE6980">
              <w:rPr>
                <w:sz w:val="20"/>
                <w:szCs w:val="20"/>
                <w:lang w:val="fr-CA"/>
              </w:rPr>
              <w:tab/>
              <w:t xml:space="preserve">Langlois </w:t>
            </w:r>
            <w:proofErr w:type="spellStart"/>
            <w:r w:rsidRPr="00FE6980">
              <w:rPr>
                <w:sz w:val="20"/>
                <w:szCs w:val="20"/>
                <w:lang w:val="fr-CA"/>
              </w:rPr>
              <w:t>Lawyers</w:t>
            </w:r>
            <w:proofErr w:type="spellEnd"/>
            <w:r w:rsidRPr="00FE6980">
              <w:rPr>
                <w:sz w:val="20"/>
                <w:szCs w:val="20"/>
                <w:lang w:val="fr-CA"/>
              </w:rPr>
              <w:t>, LLP</w:t>
            </w:r>
          </w:p>
          <w:p w:rsidR="003B5BD3" w:rsidRPr="00FE6980" w:rsidRDefault="003B5BD3" w:rsidP="003B5BD3">
            <w:pPr>
              <w:rPr>
                <w:sz w:val="20"/>
                <w:szCs w:val="20"/>
                <w:lang w:val="fr-CA"/>
              </w:rPr>
            </w:pPr>
          </w:p>
          <w:p w:rsidR="003B5BD3" w:rsidRPr="00FE6980" w:rsidRDefault="003B5BD3" w:rsidP="003B5BD3">
            <w:pPr>
              <w:rPr>
                <w:sz w:val="20"/>
                <w:szCs w:val="20"/>
              </w:rPr>
            </w:pPr>
            <w:r w:rsidRPr="00FE6980">
              <w:rPr>
                <w:sz w:val="20"/>
                <w:szCs w:val="20"/>
                <w:lang w:val="fr-CA"/>
              </w:rPr>
              <w:tab/>
            </w:r>
            <w:r w:rsidRPr="00FE6980">
              <w:rPr>
                <w:sz w:val="20"/>
                <w:szCs w:val="20"/>
              </w:rPr>
              <w:t>v. (37027)</w:t>
            </w:r>
          </w:p>
          <w:p w:rsidR="003B5BD3" w:rsidRPr="00FE6980" w:rsidRDefault="003B5BD3" w:rsidP="003B5BD3">
            <w:pPr>
              <w:rPr>
                <w:sz w:val="20"/>
                <w:szCs w:val="20"/>
              </w:rPr>
            </w:pPr>
          </w:p>
          <w:p w:rsidR="003B5BD3" w:rsidRPr="00FE6980" w:rsidRDefault="003B5BD3" w:rsidP="003B5BD3">
            <w:pPr>
              <w:rPr>
                <w:b/>
                <w:sz w:val="20"/>
                <w:szCs w:val="20"/>
              </w:rPr>
            </w:pPr>
            <w:r w:rsidRPr="00FE6980">
              <w:rPr>
                <w:b/>
                <w:sz w:val="20"/>
                <w:szCs w:val="20"/>
              </w:rPr>
              <w:t>Nicole Chabot, in her quality of tutor to her minor child N.C. et al. (Que.)</w:t>
            </w:r>
          </w:p>
          <w:p w:rsidR="003B5BD3" w:rsidRPr="00FE6980" w:rsidRDefault="003B5BD3" w:rsidP="003B5BD3">
            <w:pPr>
              <w:rPr>
                <w:sz w:val="20"/>
                <w:szCs w:val="20"/>
              </w:rPr>
            </w:pPr>
            <w:r w:rsidRPr="00FE6980">
              <w:rPr>
                <w:sz w:val="20"/>
                <w:szCs w:val="20"/>
              </w:rPr>
              <w:tab/>
              <w:t>David Bourgoin</w:t>
            </w:r>
          </w:p>
          <w:p w:rsidR="003B5BD3" w:rsidRPr="00FE6980" w:rsidRDefault="003B5BD3" w:rsidP="003B5BD3">
            <w:pPr>
              <w:rPr>
                <w:sz w:val="20"/>
                <w:szCs w:val="20"/>
              </w:rPr>
            </w:pPr>
            <w:r w:rsidRPr="00FE6980">
              <w:rPr>
                <w:sz w:val="20"/>
                <w:szCs w:val="20"/>
              </w:rPr>
              <w:tab/>
              <w:t>BGA-Law LLP</w:t>
            </w:r>
          </w:p>
          <w:p w:rsidR="003B5BD3" w:rsidRPr="00FE6980" w:rsidRDefault="003B5BD3" w:rsidP="003B5BD3">
            <w:pPr>
              <w:rPr>
                <w:sz w:val="20"/>
                <w:szCs w:val="20"/>
              </w:rPr>
            </w:pPr>
          </w:p>
          <w:p w:rsidR="003B5BD3" w:rsidRPr="00FE6980" w:rsidRDefault="003B5BD3" w:rsidP="003B5BD3">
            <w:pPr>
              <w:rPr>
                <w:sz w:val="20"/>
                <w:szCs w:val="20"/>
              </w:rPr>
            </w:pPr>
            <w:r w:rsidRPr="00FE6980">
              <w:rPr>
                <w:sz w:val="20"/>
                <w:szCs w:val="20"/>
              </w:rPr>
              <w:t>FILING DATE: 30.05.2016</w:t>
            </w:r>
          </w:p>
          <w:p w:rsidR="00BD2BBA" w:rsidRPr="00FE6980" w:rsidRDefault="00E433FF" w:rsidP="005F1ED8">
            <w:pPr>
              <w:rPr>
                <w:b/>
                <w:sz w:val="20"/>
                <w:szCs w:val="20"/>
              </w:rPr>
            </w:pPr>
            <w:r>
              <w:rPr>
                <w:sz w:val="20"/>
                <w:szCs w:val="20"/>
                <w:lang w:val="fr-CA"/>
              </w:rPr>
              <w:pict>
                <v:rect id="_x0000_i1034" style="width:108pt;height:1pt" o:hrpct="0" o:hralign="center" o:hrstd="t" o:hrnoshade="t" o:hr="t" fillcolor="black [3213]" stroked="f"/>
              </w:pict>
            </w:r>
          </w:p>
        </w:tc>
      </w:tr>
      <w:tr w:rsidR="00C21644" w:rsidRPr="00FE6980" w:rsidTr="003B3977">
        <w:trPr>
          <w:cantSplit/>
        </w:trPr>
        <w:tc>
          <w:tcPr>
            <w:tcW w:w="4320" w:type="dxa"/>
            <w:shd w:val="clear" w:color="auto" w:fill="auto"/>
          </w:tcPr>
          <w:p w:rsidR="0050580C" w:rsidRPr="00FE6980" w:rsidRDefault="0050580C" w:rsidP="0050580C">
            <w:pPr>
              <w:rPr>
                <w:b/>
                <w:sz w:val="20"/>
                <w:szCs w:val="20"/>
              </w:rPr>
            </w:pPr>
            <w:r w:rsidRPr="00FE6980">
              <w:rPr>
                <w:b/>
                <w:sz w:val="20"/>
                <w:szCs w:val="20"/>
              </w:rPr>
              <w:t>Kenneth J. Rusnak</w:t>
            </w:r>
          </w:p>
          <w:p w:rsidR="0050580C" w:rsidRPr="00FE6980" w:rsidRDefault="0050580C" w:rsidP="0050580C">
            <w:pPr>
              <w:rPr>
                <w:sz w:val="20"/>
                <w:szCs w:val="20"/>
              </w:rPr>
            </w:pPr>
            <w:r w:rsidRPr="00FE6980">
              <w:rPr>
                <w:sz w:val="20"/>
                <w:szCs w:val="20"/>
              </w:rPr>
              <w:tab/>
              <w:t>Kenneth J. Rusnak</w:t>
            </w:r>
          </w:p>
          <w:p w:rsidR="0050580C" w:rsidRPr="00FE6980" w:rsidRDefault="0050580C" w:rsidP="0050580C">
            <w:pPr>
              <w:rPr>
                <w:sz w:val="20"/>
                <w:szCs w:val="20"/>
              </w:rPr>
            </w:pPr>
          </w:p>
          <w:p w:rsidR="0050580C" w:rsidRPr="00FE6980" w:rsidRDefault="0050580C" w:rsidP="0050580C">
            <w:pPr>
              <w:rPr>
                <w:sz w:val="20"/>
                <w:szCs w:val="20"/>
              </w:rPr>
            </w:pPr>
            <w:r w:rsidRPr="00FE6980">
              <w:rPr>
                <w:sz w:val="20"/>
                <w:szCs w:val="20"/>
              </w:rPr>
              <w:tab/>
              <w:t>v. (37028)</w:t>
            </w:r>
          </w:p>
          <w:p w:rsidR="0050580C" w:rsidRPr="00FE6980" w:rsidRDefault="0050580C" w:rsidP="0050580C">
            <w:pPr>
              <w:rPr>
                <w:sz w:val="20"/>
                <w:szCs w:val="20"/>
              </w:rPr>
            </w:pPr>
          </w:p>
          <w:p w:rsidR="0050580C" w:rsidRPr="00FE6980" w:rsidRDefault="0050580C" w:rsidP="0050580C">
            <w:pPr>
              <w:rPr>
                <w:b/>
                <w:sz w:val="20"/>
                <w:szCs w:val="20"/>
              </w:rPr>
            </w:pPr>
            <w:r w:rsidRPr="00FE6980">
              <w:rPr>
                <w:b/>
                <w:sz w:val="20"/>
                <w:szCs w:val="20"/>
              </w:rPr>
              <w:t xml:space="preserve">Joseph M. </w:t>
            </w:r>
            <w:proofErr w:type="spellStart"/>
            <w:r w:rsidRPr="00FE6980">
              <w:rPr>
                <w:b/>
                <w:sz w:val="20"/>
                <w:szCs w:val="20"/>
              </w:rPr>
              <w:t>Shafir</w:t>
            </w:r>
            <w:proofErr w:type="spellEnd"/>
            <w:r w:rsidRPr="00FE6980">
              <w:rPr>
                <w:b/>
                <w:sz w:val="20"/>
                <w:szCs w:val="20"/>
              </w:rPr>
              <w:t xml:space="preserve"> (Alta.)</w:t>
            </w:r>
          </w:p>
          <w:p w:rsidR="0050580C" w:rsidRPr="00FE6980" w:rsidRDefault="0050580C" w:rsidP="0050580C">
            <w:pPr>
              <w:rPr>
                <w:sz w:val="20"/>
                <w:szCs w:val="20"/>
              </w:rPr>
            </w:pPr>
            <w:r w:rsidRPr="00FE6980">
              <w:rPr>
                <w:sz w:val="20"/>
                <w:szCs w:val="20"/>
              </w:rPr>
              <w:tab/>
              <w:t>Phyllis A. Smith</w:t>
            </w:r>
            <w:r w:rsidR="009247C6" w:rsidRPr="00FE6980">
              <w:rPr>
                <w:sz w:val="20"/>
                <w:szCs w:val="20"/>
              </w:rPr>
              <w:t>, Q.C.</w:t>
            </w:r>
          </w:p>
          <w:p w:rsidR="0050580C" w:rsidRPr="00FE6980" w:rsidRDefault="0050580C" w:rsidP="0050580C">
            <w:pPr>
              <w:rPr>
                <w:sz w:val="20"/>
                <w:szCs w:val="20"/>
              </w:rPr>
            </w:pPr>
            <w:r w:rsidRPr="00FE6980">
              <w:rPr>
                <w:sz w:val="20"/>
                <w:szCs w:val="20"/>
              </w:rPr>
              <w:tab/>
              <w:t>Emery Jamieson</w:t>
            </w:r>
          </w:p>
          <w:p w:rsidR="0050580C" w:rsidRPr="00FE6980" w:rsidRDefault="0050580C" w:rsidP="0050580C">
            <w:pPr>
              <w:rPr>
                <w:sz w:val="20"/>
                <w:szCs w:val="20"/>
              </w:rPr>
            </w:pPr>
          </w:p>
          <w:p w:rsidR="0050580C" w:rsidRPr="00FE6980" w:rsidRDefault="0050580C" w:rsidP="0050580C">
            <w:pPr>
              <w:rPr>
                <w:sz w:val="20"/>
                <w:szCs w:val="20"/>
              </w:rPr>
            </w:pPr>
            <w:r w:rsidRPr="00FE6980">
              <w:rPr>
                <w:sz w:val="20"/>
                <w:szCs w:val="20"/>
              </w:rPr>
              <w:t>FILING DATE : 30.05.2016</w:t>
            </w:r>
          </w:p>
          <w:p w:rsidR="00C21644" w:rsidRPr="00FE6980" w:rsidRDefault="00E433FF" w:rsidP="005F1ED8">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FE6980" w:rsidRDefault="00C21644" w:rsidP="00242AEE">
            <w:pPr>
              <w:jc w:val="center"/>
              <w:rPr>
                <w:sz w:val="20"/>
                <w:szCs w:val="20"/>
              </w:rPr>
            </w:pPr>
          </w:p>
        </w:tc>
        <w:tc>
          <w:tcPr>
            <w:tcW w:w="4320" w:type="dxa"/>
            <w:shd w:val="clear" w:color="auto" w:fill="auto"/>
          </w:tcPr>
          <w:p w:rsidR="003B5BD3" w:rsidRPr="00FE6980" w:rsidRDefault="003B5BD3" w:rsidP="003B5BD3">
            <w:pPr>
              <w:rPr>
                <w:b/>
                <w:sz w:val="20"/>
                <w:szCs w:val="20"/>
              </w:rPr>
            </w:pPr>
            <w:r w:rsidRPr="00FE6980">
              <w:rPr>
                <w:b/>
                <w:sz w:val="20"/>
                <w:szCs w:val="20"/>
              </w:rPr>
              <w:t>Jarvis Stewart</w:t>
            </w:r>
          </w:p>
          <w:p w:rsidR="003B5BD3" w:rsidRPr="00FE6980" w:rsidRDefault="003B5BD3" w:rsidP="003B5BD3">
            <w:pPr>
              <w:rPr>
                <w:sz w:val="20"/>
                <w:szCs w:val="20"/>
              </w:rPr>
            </w:pPr>
            <w:r w:rsidRPr="00FE6980">
              <w:rPr>
                <w:b/>
                <w:sz w:val="20"/>
                <w:szCs w:val="20"/>
              </w:rPr>
              <w:tab/>
            </w:r>
            <w:r w:rsidRPr="00FE6980">
              <w:rPr>
                <w:sz w:val="20"/>
                <w:szCs w:val="20"/>
              </w:rPr>
              <w:t>Jarvis Stewart</w:t>
            </w:r>
          </w:p>
          <w:p w:rsidR="003B5BD3" w:rsidRPr="00FE6980" w:rsidRDefault="003B5BD3" w:rsidP="003B5BD3">
            <w:pPr>
              <w:rPr>
                <w:sz w:val="20"/>
                <w:szCs w:val="20"/>
              </w:rPr>
            </w:pPr>
          </w:p>
          <w:p w:rsidR="003B5BD3" w:rsidRPr="00FE6980" w:rsidRDefault="003B5BD3" w:rsidP="003B5BD3">
            <w:pPr>
              <w:rPr>
                <w:sz w:val="20"/>
                <w:szCs w:val="20"/>
              </w:rPr>
            </w:pPr>
            <w:r w:rsidRPr="00FE6980">
              <w:rPr>
                <w:sz w:val="20"/>
                <w:szCs w:val="20"/>
              </w:rPr>
              <w:tab/>
              <w:t>v. (37032)</w:t>
            </w:r>
          </w:p>
          <w:p w:rsidR="003B5BD3" w:rsidRPr="00FE6980" w:rsidRDefault="003B5BD3" w:rsidP="003B5BD3">
            <w:pPr>
              <w:rPr>
                <w:sz w:val="20"/>
                <w:szCs w:val="20"/>
              </w:rPr>
            </w:pPr>
          </w:p>
          <w:p w:rsidR="003B5BD3" w:rsidRPr="00FE6980" w:rsidRDefault="003B5BD3" w:rsidP="003B5BD3">
            <w:pPr>
              <w:rPr>
                <w:b/>
                <w:sz w:val="20"/>
                <w:szCs w:val="20"/>
              </w:rPr>
            </w:pPr>
            <w:r w:rsidRPr="00FE6980">
              <w:rPr>
                <w:b/>
                <w:sz w:val="20"/>
                <w:szCs w:val="20"/>
              </w:rPr>
              <w:t>Gordon James Keating (Sask.)</w:t>
            </w:r>
          </w:p>
          <w:p w:rsidR="003B5BD3" w:rsidRPr="00FE6980" w:rsidRDefault="003B5BD3" w:rsidP="003B5BD3">
            <w:pPr>
              <w:rPr>
                <w:sz w:val="20"/>
                <w:szCs w:val="20"/>
              </w:rPr>
            </w:pPr>
            <w:r w:rsidRPr="00FE6980">
              <w:rPr>
                <w:sz w:val="20"/>
                <w:szCs w:val="20"/>
              </w:rPr>
              <w:tab/>
              <w:t xml:space="preserve">Robert J. </w:t>
            </w:r>
            <w:proofErr w:type="spellStart"/>
            <w:r w:rsidRPr="00FE6980">
              <w:rPr>
                <w:sz w:val="20"/>
                <w:szCs w:val="20"/>
              </w:rPr>
              <w:t>Gibbings</w:t>
            </w:r>
            <w:proofErr w:type="spellEnd"/>
          </w:p>
          <w:p w:rsidR="003B5BD3" w:rsidRPr="00FE6980" w:rsidRDefault="003B5BD3" w:rsidP="003B5BD3">
            <w:pPr>
              <w:rPr>
                <w:sz w:val="20"/>
                <w:szCs w:val="20"/>
              </w:rPr>
            </w:pPr>
            <w:r w:rsidRPr="00FE6980">
              <w:rPr>
                <w:sz w:val="20"/>
                <w:szCs w:val="20"/>
              </w:rPr>
              <w:tab/>
            </w:r>
            <w:proofErr w:type="spellStart"/>
            <w:r w:rsidRPr="00FE6980">
              <w:rPr>
                <w:sz w:val="20"/>
                <w:szCs w:val="20"/>
              </w:rPr>
              <w:t>Scharfstein</w:t>
            </w:r>
            <w:proofErr w:type="spellEnd"/>
            <w:r w:rsidRPr="00FE6980">
              <w:rPr>
                <w:sz w:val="20"/>
                <w:szCs w:val="20"/>
              </w:rPr>
              <w:t xml:space="preserve"> </w:t>
            </w:r>
            <w:proofErr w:type="spellStart"/>
            <w:r w:rsidRPr="00FE6980">
              <w:rPr>
                <w:sz w:val="20"/>
                <w:szCs w:val="20"/>
              </w:rPr>
              <w:t>Gibbings</w:t>
            </w:r>
            <w:proofErr w:type="spellEnd"/>
            <w:r w:rsidRPr="00FE6980">
              <w:rPr>
                <w:sz w:val="20"/>
                <w:szCs w:val="20"/>
              </w:rPr>
              <w:t xml:space="preserve"> </w:t>
            </w:r>
            <w:proofErr w:type="spellStart"/>
            <w:r w:rsidRPr="00FE6980">
              <w:rPr>
                <w:sz w:val="20"/>
                <w:szCs w:val="20"/>
              </w:rPr>
              <w:t>Walen</w:t>
            </w:r>
            <w:proofErr w:type="spellEnd"/>
            <w:r w:rsidRPr="00FE6980">
              <w:rPr>
                <w:sz w:val="20"/>
                <w:szCs w:val="20"/>
              </w:rPr>
              <w:t xml:space="preserve"> &amp; Fisher </w:t>
            </w:r>
            <w:r w:rsidRPr="00FE6980">
              <w:rPr>
                <w:sz w:val="20"/>
                <w:szCs w:val="20"/>
              </w:rPr>
              <w:tab/>
              <w:t>LLP</w:t>
            </w:r>
          </w:p>
          <w:p w:rsidR="003B5BD3" w:rsidRPr="00FE6980" w:rsidRDefault="003B5BD3" w:rsidP="003B5BD3">
            <w:pPr>
              <w:rPr>
                <w:sz w:val="20"/>
                <w:szCs w:val="20"/>
              </w:rPr>
            </w:pPr>
          </w:p>
          <w:p w:rsidR="003B5BD3" w:rsidRPr="00FE6980" w:rsidRDefault="003B5BD3" w:rsidP="003B5BD3">
            <w:pPr>
              <w:rPr>
                <w:sz w:val="20"/>
                <w:szCs w:val="20"/>
              </w:rPr>
            </w:pPr>
            <w:r w:rsidRPr="00FE6980">
              <w:rPr>
                <w:sz w:val="20"/>
                <w:szCs w:val="20"/>
              </w:rPr>
              <w:t>FILING DATE: 27.05.2016</w:t>
            </w:r>
          </w:p>
          <w:p w:rsidR="003B5BD3" w:rsidRPr="00FE6980" w:rsidRDefault="00E433FF" w:rsidP="005F1ED8">
            <w:pPr>
              <w:rPr>
                <w:sz w:val="20"/>
                <w:szCs w:val="20"/>
                <w:lang w:val="fr-CA"/>
              </w:rPr>
            </w:pPr>
            <w:r>
              <w:rPr>
                <w:sz w:val="20"/>
                <w:szCs w:val="20"/>
                <w:lang w:val="fr-CA"/>
              </w:rPr>
              <w:pict>
                <v:rect id="_x0000_i1036" style="width:108pt;height:1pt" o:hrpct="0" o:hralign="center" o:hrstd="t" o:hrnoshade="t" o:hr="t" fillcolor="black [3213]" stroked="f"/>
              </w:pict>
            </w:r>
          </w:p>
          <w:p w:rsidR="003B5BD3" w:rsidRPr="00FE6980" w:rsidRDefault="003B5BD3" w:rsidP="005F1ED8">
            <w:pPr>
              <w:rPr>
                <w:sz w:val="20"/>
                <w:szCs w:val="20"/>
              </w:rPr>
            </w:pPr>
          </w:p>
        </w:tc>
      </w:tr>
      <w:tr w:rsidR="003B5BD3" w:rsidRPr="00FE6980" w:rsidTr="003B3977">
        <w:trPr>
          <w:cantSplit/>
        </w:trPr>
        <w:tc>
          <w:tcPr>
            <w:tcW w:w="4320" w:type="dxa"/>
            <w:shd w:val="clear" w:color="auto" w:fill="auto"/>
          </w:tcPr>
          <w:p w:rsidR="0050580C" w:rsidRPr="00FE6980" w:rsidRDefault="0050580C" w:rsidP="0050580C">
            <w:pPr>
              <w:rPr>
                <w:b/>
                <w:sz w:val="20"/>
                <w:szCs w:val="20"/>
              </w:rPr>
            </w:pPr>
            <w:r w:rsidRPr="00FE6980">
              <w:rPr>
                <w:b/>
                <w:sz w:val="20"/>
                <w:szCs w:val="20"/>
              </w:rPr>
              <w:t xml:space="preserve">Steven </w:t>
            </w:r>
            <w:r w:rsidR="009247C6" w:rsidRPr="00FE6980">
              <w:rPr>
                <w:b/>
                <w:sz w:val="20"/>
                <w:szCs w:val="20"/>
              </w:rPr>
              <w:t xml:space="preserve">Paul </w:t>
            </w:r>
            <w:r w:rsidRPr="00FE6980">
              <w:rPr>
                <w:b/>
                <w:sz w:val="20"/>
                <w:szCs w:val="20"/>
              </w:rPr>
              <w:t>Boone</w:t>
            </w:r>
          </w:p>
          <w:p w:rsidR="0050580C" w:rsidRPr="00FE6980" w:rsidRDefault="0050580C" w:rsidP="0050580C">
            <w:pPr>
              <w:rPr>
                <w:sz w:val="20"/>
                <w:szCs w:val="20"/>
              </w:rPr>
            </w:pPr>
            <w:r w:rsidRPr="00FE6980">
              <w:rPr>
                <w:sz w:val="20"/>
                <w:szCs w:val="20"/>
              </w:rPr>
              <w:tab/>
              <w:t xml:space="preserve">Jonathan A. </w:t>
            </w:r>
            <w:proofErr w:type="spellStart"/>
            <w:r w:rsidRPr="00FE6980">
              <w:rPr>
                <w:sz w:val="20"/>
                <w:szCs w:val="20"/>
              </w:rPr>
              <w:t>Shime</w:t>
            </w:r>
            <w:proofErr w:type="spellEnd"/>
          </w:p>
          <w:p w:rsidR="0050580C" w:rsidRPr="00FE6980" w:rsidRDefault="0050580C" w:rsidP="0050580C">
            <w:pPr>
              <w:rPr>
                <w:sz w:val="20"/>
                <w:szCs w:val="20"/>
              </w:rPr>
            </w:pPr>
            <w:r w:rsidRPr="00FE6980">
              <w:rPr>
                <w:sz w:val="20"/>
                <w:szCs w:val="20"/>
              </w:rPr>
              <w:tab/>
              <w:t xml:space="preserve">Cooper Sandler </w:t>
            </w:r>
            <w:proofErr w:type="spellStart"/>
            <w:r w:rsidRPr="00FE6980">
              <w:rPr>
                <w:sz w:val="20"/>
                <w:szCs w:val="20"/>
              </w:rPr>
              <w:t>S</w:t>
            </w:r>
            <w:r w:rsidR="009247C6" w:rsidRPr="00FE6980">
              <w:rPr>
                <w:sz w:val="20"/>
                <w:szCs w:val="20"/>
              </w:rPr>
              <w:t>h</w:t>
            </w:r>
            <w:r w:rsidRPr="00FE6980">
              <w:rPr>
                <w:sz w:val="20"/>
                <w:szCs w:val="20"/>
              </w:rPr>
              <w:t>ime</w:t>
            </w:r>
            <w:proofErr w:type="spellEnd"/>
            <w:r w:rsidRPr="00FE6980">
              <w:rPr>
                <w:sz w:val="20"/>
                <w:szCs w:val="20"/>
              </w:rPr>
              <w:t xml:space="preserve"> &amp; Bergman LLP</w:t>
            </w:r>
          </w:p>
          <w:p w:rsidR="0050580C" w:rsidRPr="00FE6980" w:rsidRDefault="0050580C" w:rsidP="0050580C">
            <w:pPr>
              <w:rPr>
                <w:sz w:val="20"/>
                <w:szCs w:val="20"/>
              </w:rPr>
            </w:pPr>
          </w:p>
          <w:p w:rsidR="0050580C" w:rsidRPr="00FE6980" w:rsidRDefault="0050580C" w:rsidP="0050580C">
            <w:pPr>
              <w:rPr>
                <w:sz w:val="20"/>
                <w:szCs w:val="20"/>
              </w:rPr>
            </w:pPr>
            <w:r w:rsidRPr="00FE6980">
              <w:rPr>
                <w:sz w:val="20"/>
                <w:szCs w:val="20"/>
              </w:rPr>
              <w:tab/>
              <w:t>v. (37026)</w:t>
            </w:r>
          </w:p>
          <w:p w:rsidR="0050580C" w:rsidRPr="00FE6980" w:rsidRDefault="0050580C" w:rsidP="0050580C">
            <w:pPr>
              <w:rPr>
                <w:sz w:val="20"/>
                <w:szCs w:val="20"/>
              </w:rPr>
            </w:pPr>
          </w:p>
          <w:p w:rsidR="0050580C" w:rsidRPr="00FE6980" w:rsidRDefault="0050580C" w:rsidP="0050580C">
            <w:pPr>
              <w:rPr>
                <w:b/>
                <w:sz w:val="20"/>
                <w:szCs w:val="20"/>
              </w:rPr>
            </w:pPr>
            <w:r w:rsidRPr="00FE6980">
              <w:rPr>
                <w:b/>
                <w:sz w:val="20"/>
                <w:szCs w:val="20"/>
              </w:rPr>
              <w:t>Her Majesty the Queen (Ont.)</w:t>
            </w:r>
          </w:p>
          <w:p w:rsidR="0050580C" w:rsidRPr="00FE6980" w:rsidRDefault="0050580C" w:rsidP="0050580C">
            <w:pPr>
              <w:rPr>
                <w:sz w:val="20"/>
                <w:szCs w:val="20"/>
              </w:rPr>
            </w:pPr>
            <w:r w:rsidRPr="00FE6980">
              <w:rPr>
                <w:sz w:val="20"/>
                <w:szCs w:val="20"/>
              </w:rPr>
              <w:tab/>
              <w:t>Stacey D. Young</w:t>
            </w:r>
          </w:p>
          <w:p w:rsidR="0050580C" w:rsidRPr="00FE6980" w:rsidRDefault="0050580C" w:rsidP="0050580C">
            <w:pPr>
              <w:rPr>
                <w:sz w:val="20"/>
                <w:szCs w:val="20"/>
              </w:rPr>
            </w:pPr>
            <w:r w:rsidRPr="00FE6980">
              <w:rPr>
                <w:sz w:val="20"/>
                <w:szCs w:val="20"/>
              </w:rPr>
              <w:tab/>
              <w:t>A.G. of Ontario</w:t>
            </w:r>
          </w:p>
          <w:p w:rsidR="0050580C" w:rsidRPr="00FE6980" w:rsidRDefault="0050580C" w:rsidP="0050580C">
            <w:pPr>
              <w:rPr>
                <w:sz w:val="20"/>
                <w:szCs w:val="20"/>
              </w:rPr>
            </w:pPr>
          </w:p>
          <w:p w:rsidR="0050580C" w:rsidRPr="00FE6980" w:rsidRDefault="0050580C" w:rsidP="0050580C">
            <w:pPr>
              <w:rPr>
                <w:sz w:val="20"/>
                <w:szCs w:val="20"/>
              </w:rPr>
            </w:pPr>
            <w:r w:rsidRPr="00FE6980">
              <w:rPr>
                <w:sz w:val="20"/>
                <w:szCs w:val="20"/>
              </w:rPr>
              <w:t>FILING DATE: 30.05.2016</w:t>
            </w:r>
          </w:p>
          <w:p w:rsidR="0050580C" w:rsidRPr="00FE6980" w:rsidRDefault="00E433FF" w:rsidP="005F1ED8">
            <w:pPr>
              <w:rPr>
                <w:sz w:val="20"/>
                <w:szCs w:val="20"/>
                <w:lang w:val="fr-CA"/>
              </w:rPr>
            </w:pPr>
            <w:r>
              <w:rPr>
                <w:sz w:val="20"/>
                <w:szCs w:val="20"/>
                <w:lang w:val="fr-CA"/>
              </w:rPr>
              <w:pict>
                <v:rect id="_x0000_i1037" style="width:108pt;height:1pt" o:hrpct="0" o:hralign="center" o:hrstd="t" o:hrnoshade="t" o:hr="t" fillcolor="black [3213]" stroked="f"/>
              </w:pict>
            </w:r>
          </w:p>
          <w:p w:rsidR="0050580C" w:rsidRPr="00FE6980" w:rsidRDefault="0050580C" w:rsidP="005F1ED8">
            <w:pPr>
              <w:rPr>
                <w:sz w:val="20"/>
                <w:szCs w:val="20"/>
                <w:lang w:val="fr-CA"/>
              </w:rPr>
            </w:pPr>
          </w:p>
        </w:tc>
        <w:tc>
          <w:tcPr>
            <w:tcW w:w="1181" w:type="dxa"/>
            <w:shd w:val="clear" w:color="auto" w:fill="auto"/>
          </w:tcPr>
          <w:p w:rsidR="003B5BD3" w:rsidRPr="00FE6980" w:rsidRDefault="003B5BD3" w:rsidP="00242AEE">
            <w:pPr>
              <w:jc w:val="center"/>
              <w:rPr>
                <w:sz w:val="20"/>
                <w:szCs w:val="20"/>
              </w:rPr>
            </w:pPr>
          </w:p>
        </w:tc>
        <w:tc>
          <w:tcPr>
            <w:tcW w:w="4320" w:type="dxa"/>
            <w:shd w:val="clear" w:color="auto" w:fill="auto"/>
          </w:tcPr>
          <w:p w:rsidR="003B5BD3" w:rsidRPr="00FE6980" w:rsidRDefault="0050580C" w:rsidP="005F1ED8">
            <w:pPr>
              <w:rPr>
                <w:b/>
                <w:sz w:val="20"/>
                <w:szCs w:val="20"/>
              </w:rPr>
            </w:pPr>
            <w:r w:rsidRPr="00FE6980">
              <w:rPr>
                <w:b/>
                <w:sz w:val="20"/>
                <w:szCs w:val="20"/>
              </w:rPr>
              <w:t xml:space="preserve">Salvatore </w:t>
            </w:r>
            <w:proofErr w:type="spellStart"/>
            <w:r w:rsidRPr="00FE6980">
              <w:rPr>
                <w:b/>
                <w:sz w:val="20"/>
                <w:szCs w:val="20"/>
              </w:rPr>
              <w:t>Amormino</w:t>
            </w:r>
            <w:proofErr w:type="spellEnd"/>
          </w:p>
          <w:p w:rsidR="0050580C" w:rsidRPr="00FE6980" w:rsidRDefault="0050580C" w:rsidP="005F1ED8">
            <w:pPr>
              <w:rPr>
                <w:sz w:val="20"/>
                <w:szCs w:val="20"/>
              </w:rPr>
            </w:pPr>
            <w:r w:rsidRPr="00FE6980">
              <w:rPr>
                <w:sz w:val="20"/>
                <w:szCs w:val="20"/>
              </w:rPr>
              <w:tab/>
              <w:t>Rocco Galati</w:t>
            </w:r>
          </w:p>
          <w:p w:rsidR="0050580C" w:rsidRPr="00FE6980" w:rsidRDefault="0050580C" w:rsidP="005F1ED8">
            <w:pPr>
              <w:rPr>
                <w:sz w:val="20"/>
                <w:szCs w:val="20"/>
              </w:rPr>
            </w:pPr>
            <w:r w:rsidRPr="00FE6980">
              <w:rPr>
                <w:sz w:val="20"/>
                <w:szCs w:val="20"/>
              </w:rPr>
              <w:tab/>
              <w:t xml:space="preserve">Rocco Galati Law Firm Professional </w:t>
            </w:r>
            <w:r w:rsidRPr="00FE6980">
              <w:rPr>
                <w:sz w:val="20"/>
                <w:szCs w:val="20"/>
              </w:rPr>
              <w:tab/>
              <w:t>Corporation</w:t>
            </w:r>
          </w:p>
          <w:p w:rsidR="0050580C" w:rsidRPr="00FE6980" w:rsidRDefault="0050580C" w:rsidP="005F1ED8">
            <w:pPr>
              <w:rPr>
                <w:sz w:val="20"/>
                <w:szCs w:val="20"/>
              </w:rPr>
            </w:pPr>
          </w:p>
          <w:p w:rsidR="009247C6" w:rsidRPr="00FE6980" w:rsidRDefault="0050580C" w:rsidP="005F1ED8">
            <w:pPr>
              <w:rPr>
                <w:sz w:val="20"/>
                <w:szCs w:val="20"/>
              </w:rPr>
            </w:pPr>
            <w:r w:rsidRPr="00FE6980">
              <w:rPr>
                <w:sz w:val="20"/>
                <w:szCs w:val="20"/>
              </w:rPr>
              <w:tab/>
              <w:t xml:space="preserve">v. </w:t>
            </w:r>
            <w:r w:rsidR="009247C6" w:rsidRPr="00FE6980">
              <w:rPr>
                <w:sz w:val="20"/>
                <w:szCs w:val="20"/>
              </w:rPr>
              <w:t>(37030)</w:t>
            </w:r>
          </w:p>
          <w:p w:rsidR="0050580C" w:rsidRPr="00FE6980" w:rsidRDefault="0050580C" w:rsidP="005F1ED8">
            <w:pPr>
              <w:rPr>
                <w:sz w:val="20"/>
                <w:szCs w:val="20"/>
              </w:rPr>
            </w:pPr>
          </w:p>
          <w:p w:rsidR="0050580C" w:rsidRPr="00FE6980" w:rsidRDefault="0050580C" w:rsidP="005F1ED8">
            <w:pPr>
              <w:rPr>
                <w:b/>
                <w:sz w:val="20"/>
                <w:szCs w:val="20"/>
              </w:rPr>
            </w:pPr>
            <w:r w:rsidRPr="00FE6980">
              <w:rPr>
                <w:b/>
                <w:sz w:val="20"/>
                <w:szCs w:val="20"/>
              </w:rPr>
              <w:t>Police Services Board (OPP)</w:t>
            </w:r>
            <w:r w:rsidR="00421E57" w:rsidRPr="00FE6980">
              <w:rPr>
                <w:b/>
                <w:sz w:val="20"/>
                <w:szCs w:val="20"/>
              </w:rPr>
              <w:t xml:space="preserve"> et al.</w:t>
            </w:r>
            <w:r w:rsidRPr="00FE6980">
              <w:rPr>
                <w:b/>
                <w:sz w:val="20"/>
                <w:szCs w:val="20"/>
              </w:rPr>
              <w:t xml:space="preserve"> (Ont.)</w:t>
            </w:r>
          </w:p>
          <w:p w:rsidR="0050580C" w:rsidRPr="00FE6980" w:rsidRDefault="0050580C" w:rsidP="005F1ED8">
            <w:pPr>
              <w:rPr>
                <w:sz w:val="20"/>
                <w:szCs w:val="20"/>
              </w:rPr>
            </w:pPr>
            <w:r w:rsidRPr="00FE6980">
              <w:rPr>
                <w:sz w:val="20"/>
                <w:szCs w:val="20"/>
              </w:rPr>
              <w:tab/>
              <w:t>Christopher Diana</w:t>
            </w:r>
          </w:p>
          <w:p w:rsidR="0050580C" w:rsidRPr="00FE6980" w:rsidRDefault="0050580C" w:rsidP="005F1ED8">
            <w:pPr>
              <w:rPr>
                <w:sz w:val="20"/>
                <w:szCs w:val="20"/>
              </w:rPr>
            </w:pPr>
            <w:r w:rsidRPr="00FE6980">
              <w:rPr>
                <w:sz w:val="20"/>
                <w:szCs w:val="20"/>
              </w:rPr>
              <w:tab/>
              <w:t xml:space="preserve">Ministry of Community Safety and </w:t>
            </w:r>
            <w:r w:rsidRPr="00FE6980">
              <w:rPr>
                <w:sz w:val="20"/>
                <w:szCs w:val="20"/>
              </w:rPr>
              <w:tab/>
              <w:t>Correctional Services</w:t>
            </w:r>
          </w:p>
          <w:p w:rsidR="0050580C" w:rsidRPr="00FE6980" w:rsidRDefault="0050580C" w:rsidP="005F1ED8">
            <w:pPr>
              <w:rPr>
                <w:sz w:val="20"/>
                <w:szCs w:val="20"/>
              </w:rPr>
            </w:pPr>
          </w:p>
          <w:p w:rsidR="0050580C" w:rsidRPr="00FE6980" w:rsidRDefault="0050580C" w:rsidP="005F1ED8">
            <w:pPr>
              <w:rPr>
                <w:sz w:val="20"/>
                <w:szCs w:val="20"/>
              </w:rPr>
            </w:pPr>
            <w:r w:rsidRPr="00FE6980">
              <w:rPr>
                <w:sz w:val="20"/>
                <w:szCs w:val="20"/>
              </w:rPr>
              <w:t>FILING DATE: 30.05.2016</w:t>
            </w:r>
          </w:p>
          <w:p w:rsidR="0050580C" w:rsidRPr="00FE6980" w:rsidRDefault="00E433FF" w:rsidP="005F1ED8">
            <w:pPr>
              <w:rPr>
                <w:sz w:val="20"/>
                <w:szCs w:val="20"/>
              </w:rPr>
            </w:pPr>
            <w:r>
              <w:rPr>
                <w:sz w:val="20"/>
                <w:szCs w:val="20"/>
                <w:lang w:val="fr-CA"/>
              </w:rPr>
              <w:pict>
                <v:rect id="_x0000_i1038" style="width:108pt;height:1pt" o:hrpct="0" o:hralign="center" o:hrstd="t" o:hrnoshade="t" o:hr="t" fillcolor="black [3213]" stroked="f"/>
              </w:pict>
            </w:r>
          </w:p>
          <w:p w:rsidR="0050580C" w:rsidRPr="00FE6980" w:rsidRDefault="0050580C" w:rsidP="005F1ED8">
            <w:pPr>
              <w:rPr>
                <w:sz w:val="20"/>
                <w:szCs w:val="20"/>
              </w:rPr>
            </w:pPr>
          </w:p>
        </w:tc>
      </w:tr>
      <w:tr w:rsidR="0050580C" w:rsidRPr="00FE6980" w:rsidTr="003B3977">
        <w:trPr>
          <w:cantSplit/>
        </w:trPr>
        <w:tc>
          <w:tcPr>
            <w:tcW w:w="4320" w:type="dxa"/>
            <w:shd w:val="clear" w:color="auto" w:fill="auto"/>
          </w:tcPr>
          <w:p w:rsidR="0050580C" w:rsidRPr="00FE6980" w:rsidRDefault="0050580C" w:rsidP="005F1ED8">
            <w:pPr>
              <w:rPr>
                <w:b/>
                <w:sz w:val="20"/>
                <w:szCs w:val="20"/>
              </w:rPr>
            </w:pPr>
            <w:r w:rsidRPr="00FE6980">
              <w:rPr>
                <w:b/>
                <w:sz w:val="20"/>
                <w:szCs w:val="20"/>
              </w:rPr>
              <w:t>Benson Group Inc., carrying on business as The Benson Group Inc.</w:t>
            </w:r>
          </w:p>
          <w:p w:rsidR="0050580C" w:rsidRPr="00FE6980" w:rsidRDefault="0050580C" w:rsidP="005F1ED8">
            <w:pPr>
              <w:rPr>
                <w:sz w:val="20"/>
                <w:szCs w:val="20"/>
              </w:rPr>
            </w:pPr>
            <w:r w:rsidRPr="00FE6980">
              <w:rPr>
                <w:b/>
                <w:sz w:val="20"/>
                <w:szCs w:val="20"/>
              </w:rPr>
              <w:tab/>
            </w:r>
            <w:r w:rsidRPr="00FE6980">
              <w:rPr>
                <w:sz w:val="20"/>
                <w:szCs w:val="20"/>
              </w:rPr>
              <w:t>Eugene Meehan, Q.C.</w:t>
            </w:r>
          </w:p>
          <w:p w:rsidR="0050580C" w:rsidRPr="00FE6980" w:rsidRDefault="0050580C" w:rsidP="005F1ED8">
            <w:pPr>
              <w:rPr>
                <w:sz w:val="20"/>
                <w:szCs w:val="20"/>
              </w:rPr>
            </w:pPr>
            <w:r w:rsidRPr="00FE6980">
              <w:rPr>
                <w:sz w:val="20"/>
                <w:szCs w:val="20"/>
              </w:rPr>
              <w:tab/>
              <w:t>Supreme Advocacy LLP</w:t>
            </w:r>
          </w:p>
          <w:p w:rsidR="0050580C" w:rsidRPr="00FE6980" w:rsidRDefault="0050580C" w:rsidP="005F1ED8">
            <w:pPr>
              <w:rPr>
                <w:sz w:val="20"/>
                <w:szCs w:val="20"/>
              </w:rPr>
            </w:pPr>
          </w:p>
          <w:p w:rsidR="0050580C" w:rsidRPr="00FE6980" w:rsidRDefault="0050580C" w:rsidP="005F1ED8">
            <w:pPr>
              <w:rPr>
                <w:sz w:val="20"/>
                <w:szCs w:val="20"/>
              </w:rPr>
            </w:pPr>
            <w:r w:rsidRPr="00FE6980">
              <w:rPr>
                <w:sz w:val="20"/>
                <w:szCs w:val="20"/>
              </w:rPr>
              <w:tab/>
              <w:t>v. (37031)</w:t>
            </w:r>
          </w:p>
          <w:p w:rsidR="0050580C" w:rsidRPr="00FE6980" w:rsidRDefault="0050580C" w:rsidP="005F1ED8">
            <w:pPr>
              <w:rPr>
                <w:sz w:val="20"/>
                <w:szCs w:val="20"/>
              </w:rPr>
            </w:pPr>
          </w:p>
          <w:p w:rsidR="0050580C" w:rsidRPr="00FE6980" w:rsidRDefault="0050580C" w:rsidP="005F1ED8">
            <w:pPr>
              <w:rPr>
                <w:b/>
                <w:sz w:val="20"/>
                <w:szCs w:val="20"/>
              </w:rPr>
            </w:pPr>
            <w:r w:rsidRPr="00FE6980">
              <w:rPr>
                <w:b/>
                <w:sz w:val="20"/>
                <w:szCs w:val="20"/>
              </w:rPr>
              <w:t>John Howard (Ont.)</w:t>
            </w:r>
          </w:p>
          <w:p w:rsidR="0050580C" w:rsidRPr="00FE6980" w:rsidRDefault="0050580C" w:rsidP="005F1ED8">
            <w:pPr>
              <w:rPr>
                <w:sz w:val="20"/>
                <w:szCs w:val="20"/>
              </w:rPr>
            </w:pPr>
            <w:r w:rsidRPr="00FE6980">
              <w:rPr>
                <w:sz w:val="20"/>
                <w:szCs w:val="20"/>
              </w:rPr>
              <w:tab/>
              <w:t xml:space="preserve">Kevin D. </w:t>
            </w:r>
            <w:proofErr w:type="spellStart"/>
            <w:r w:rsidRPr="00FE6980">
              <w:rPr>
                <w:sz w:val="20"/>
                <w:szCs w:val="20"/>
              </w:rPr>
              <w:t>Sherkin</w:t>
            </w:r>
            <w:proofErr w:type="spellEnd"/>
          </w:p>
          <w:p w:rsidR="0050580C" w:rsidRPr="00FE6980" w:rsidRDefault="0050580C" w:rsidP="005F1ED8">
            <w:pPr>
              <w:rPr>
                <w:sz w:val="20"/>
                <w:szCs w:val="20"/>
              </w:rPr>
            </w:pPr>
            <w:r w:rsidRPr="00FE6980">
              <w:rPr>
                <w:sz w:val="20"/>
                <w:szCs w:val="20"/>
              </w:rPr>
              <w:tab/>
              <w:t xml:space="preserve">Levine </w:t>
            </w:r>
            <w:proofErr w:type="spellStart"/>
            <w:r w:rsidRPr="00FE6980">
              <w:rPr>
                <w:sz w:val="20"/>
                <w:szCs w:val="20"/>
              </w:rPr>
              <w:t>Sherkin</w:t>
            </w:r>
            <w:proofErr w:type="spellEnd"/>
            <w:r w:rsidRPr="00FE6980">
              <w:rPr>
                <w:sz w:val="20"/>
                <w:szCs w:val="20"/>
              </w:rPr>
              <w:t xml:space="preserve"> </w:t>
            </w:r>
            <w:proofErr w:type="spellStart"/>
            <w:r w:rsidRPr="00FE6980">
              <w:rPr>
                <w:sz w:val="20"/>
                <w:szCs w:val="20"/>
              </w:rPr>
              <w:t>Boussidan</w:t>
            </w:r>
            <w:proofErr w:type="spellEnd"/>
          </w:p>
          <w:p w:rsidR="0050580C" w:rsidRPr="00FE6980" w:rsidRDefault="0050580C" w:rsidP="005F1ED8">
            <w:pPr>
              <w:rPr>
                <w:sz w:val="20"/>
                <w:szCs w:val="20"/>
              </w:rPr>
            </w:pPr>
          </w:p>
          <w:p w:rsidR="0050580C" w:rsidRPr="00FE6980" w:rsidRDefault="0050580C" w:rsidP="005F1ED8">
            <w:pPr>
              <w:rPr>
                <w:sz w:val="20"/>
                <w:szCs w:val="20"/>
              </w:rPr>
            </w:pPr>
            <w:r w:rsidRPr="00FE6980">
              <w:rPr>
                <w:sz w:val="20"/>
                <w:szCs w:val="20"/>
              </w:rPr>
              <w:t>FILING DATE: 30.05.2016</w:t>
            </w:r>
          </w:p>
          <w:p w:rsidR="0050580C" w:rsidRPr="00FE6980" w:rsidRDefault="00E433FF" w:rsidP="005F1ED8">
            <w:pPr>
              <w:rPr>
                <w:sz w:val="20"/>
                <w:szCs w:val="20"/>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50580C" w:rsidRPr="00FE6980" w:rsidRDefault="0050580C" w:rsidP="00242AEE">
            <w:pPr>
              <w:jc w:val="center"/>
              <w:rPr>
                <w:sz w:val="20"/>
                <w:szCs w:val="20"/>
              </w:rPr>
            </w:pPr>
          </w:p>
        </w:tc>
        <w:tc>
          <w:tcPr>
            <w:tcW w:w="4320" w:type="dxa"/>
            <w:shd w:val="clear" w:color="auto" w:fill="auto"/>
          </w:tcPr>
          <w:p w:rsidR="0050580C" w:rsidRPr="00FE6980" w:rsidRDefault="0050580C" w:rsidP="005F1ED8">
            <w:pPr>
              <w:rPr>
                <w:b/>
                <w:sz w:val="20"/>
                <w:szCs w:val="20"/>
              </w:rPr>
            </w:pPr>
            <w:r w:rsidRPr="00FE6980">
              <w:rPr>
                <w:b/>
                <w:sz w:val="20"/>
                <w:szCs w:val="20"/>
              </w:rPr>
              <w:t>Christopher Alexander Falconer</w:t>
            </w:r>
          </w:p>
          <w:p w:rsidR="0050580C" w:rsidRPr="00FE6980" w:rsidRDefault="0050580C" w:rsidP="005F1ED8">
            <w:pPr>
              <w:rPr>
                <w:sz w:val="20"/>
                <w:szCs w:val="20"/>
              </w:rPr>
            </w:pPr>
            <w:r w:rsidRPr="00FE6980">
              <w:rPr>
                <w:b/>
                <w:sz w:val="20"/>
                <w:szCs w:val="20"/>
              </w:rPr>
              <w:tab/>
            </w:r>
            <w:r w:rsidRPr="00FE6980">
              <w:rPr>
                <w:sz w:val="20"/>
                <w:szCs w:val="20"/>
              </w:rPr>
              <w:t xml:space="preserve">Lee V. </w:t>
            </w:r>
            <w:proofErr w:type="spellStart"/>
            <w:r w:rsidRPr="00FE6980">
              <w:rPr>
                <w:sz w:val="20"/>
                <w:szCs w:val="20"/>
              </w:rPr>
              <w:t>Seshagiri</w:t>
            </w:r>
            <w:proofErr w:type="spellEnd"/>
          </w:p>
          <w:p w:rsidR="0050580C" w:rsidRPr="00FE6980" w:rsidRDefault="0050580C" w:rsidP="005F1ED8">
            <w:pPr>
              <w:rPr>
                <w:sz w:val="20"/>
                <w:szCs w:val="20"/>
              </w:rPr>
            </w:pPr>
            <w:r w:rsidRPr="00FE6980">
              <w:rPr>
                <w:sz w:val="20"/>
                <w:szCs w:val="20"/>
              </w:rPr>
              <w:tab/>
              <w:t>Nova Scotia Legal Aid</w:t>
            </w:r>
          </w:p>
          <w:p w:rsidR="0050580C" w:rsidRPr="00FE6980" w:rsidRDefault="0050580C" w:rsidP="005F1ED8">
            <w:pPr>
              <w:rPr>
                <w:sz w:val="20"/>
                <w:szCs w:val="20"/>
              </w:rPr>
            </w:pPr>
          </w:p>
          <w:p w:rsidR="0050580C" w:rsidRPr="00FE6980" w:rsidRDefault="0050580C" w:rsidP="005F1ED8">
            <w:pPr>
              <w:rPr>
                <w:sz w:val="20"/>
                <w:szCs w:val="20"/>
              </w:rPr>
            </w:pPr>
            <w:r w:rsidRPr="00FE6980">
              <w:rPr>
                <w:sz w:val="20"/>
                <w:szCs w:val="20"/>
              </w:rPr>
              <w:tab/>
              <w:t>v. (37033)</w:t>
            </w:r>
          </w:p>
          <w:p w:rsidR="0050580C" w:rsidRPr="00FE6980" w:rsidRDefault="0050580C" w:rsidP="005F1ED8">
            <w:pPr>
              <w:rPr>
                <w:sz w:val="20"/>
                <w:szCs w:val="20"/>
              </w:rPr>
            </w:pPr>
          </w:p>
          <w:p w:rsidR="0050580C" w:rsidRPr="00FE6980" w:rsidRDefault="0050580C" w:rsidP="005F1ED8">
            <w:pPr>
              <w:rPr>
                <w:b/>
                <w:sz w:val="20"/>
                <w:szCs w:val="20"/>
              </w:rPr>
            </w:pPr>
            <w:r w:rsidRPr="00FE6980">
              <w:rPr>
                <w:b/>
                <w:sz w:val="20"/>
                <w:szCs w:val="20"/>
              </w:rPr>
              <w:t>Her Majesty the Queen (N.S.)</w:t>
            </w:r>
          </w:p>
          <w:p w:rsidR="0050580C" w:rsidRPr="00FE6980" w:rsidRDefault="0050580C" w:rsidP="005F1ED8">
            <w:pPr>
              <w:rPr>
                <w:sz w:val="20"/>
                <w:szCs w:val="20"/>
              </w:rPr>
            </w:pPr>
            <w:r w:rsidRPr="00FE6980">
              <w:rPr>
                <w:sz w:val="20"/>
                <w:szCs w:val="20"/>
              </w:rPr>
              <w:tab/>
              <w:t>Timothy S. O’Leary</w:t>
            </w:r>
          </w:p>
          <w:p w:rsidR="0050580C" w:rsidRPr="00FE6980" w:rsidRDefault="0050580C" w:rsidP="005F1ED8">
            <w:pPr>
              <w:rPr>
                <w:sz w:val="20"/>
                <w:szCs w:val="20"/>
              </w:rPr>
            </w:pPr>
            <w:r w:rsidRPr="00FE6980">
              <w:rPr>
                <w:sz w:val="20"/>
                <w:szCs w:val="20"/>
              </w:rPr>
              <w:tab/>
              <w:t>Nova Scotia Public Prosecution Service</w:t>
            </w:r>
          </w:p>
          <w:p w:rsidR="0050580C" w:rsidRPr="00FE6980" w:rsidRDefault="0050580C" w:rsidP="005F1ED8">
            <w:pPr>
              <w:rPr>
                <w:sz w:val="20"/>
                <w:szCs w:val="20"/>
              </w:rPr>
            </w:pPr>
          </w:p>
          <w:p w:rsidR="0050580C" w:rsidRPr="00FE6980" w:rsidRDefault="0050580C" w:rsidP="005F1ED8">
            <w:pPr>
              <w:rPr>
                <w:sz w:val="20"/>
                <w:szCs w:val="20"/>
              </w:rPr>
            </w:pPr>
            <w:r w:rsidRPr="00FE6980">
              <w:rPr>
                <w:sz w:val="20"/>
                <w:szCs w:val="20"/>
              </w:rPr>
              <w:t>FILING DATE: 30.05.2016</w:t>
            </w:r>
          </w:p>
          <w:p w:rsidR="0050580C" w:rsidRPr="00FE6980" w:rsidRDefault="00E433FF" w:rsidP="005F1ED8">
            <w:pPr>
              <w:rPr>
                <w:sz w:val="20"/>
                <w:szCs w:val="20"/>
              </w:rPr>
            </w:pPr>
            <w:r>
              <w:rPr>
                <w:sz w:val="20"/>
                <w:szCs w:val="20"/>
                <w:lang w:val="fr-CA"/>
              </w:rPr>
              <w:pict>
                <v:rect id="_x0000_i1040" style="width:108pt;height:1pt" o:hrpct="0" o:hralign="center" o:hrstd="t" o:hrnoshade="t" o:hr="t" fillcolor="black [3213]" stroked="f"/>
              </w:pict>
            </w:r>
          </w:p>
        </w:tc>
      </w:tr>
      <w:tr w:rsidR="0050580C" w:rsidRPr="00FE6980" w:rsidTr="003B3977">
        <w:trPr>
          <w:cantSplit/>
        </w:trPr>
        <w:tc>
          <w:tcPr>
            <w:tcW w:w="4320" w:type="dxa"/>
            <w:shd w:val="clear" w:color="auto" w:fill="auto"/>
          </w:tcPr>
          <w:p w:rsidR="0050580C" w:rsidRPr="00FE6980" w:rsidRDefault="0050580C" w:rsidP="005F1ED8">
            <w:pPr>
              <w:rPr>
                <w:b/>
                <w:sz w:val="20"/>
                <w:szCs w:val="20"/>
              </w:rPr>
            </w:pPr>
            <w:proofErr w:type="spellStart"/>
            <w:r w:rsidRPr="00FE6980">
              <w:rPr>
                <w:b/>
                <w:sz w:val="20"/>
                <w:szCs w:val="20"/>
              </w:rPr>
              <w:t>Satbir</w:t>
            </w:r>
            <w:proofErr w:type="spellEnd"/>
            <w:r w:rsidRPr="00FE6980">
              <w:rPr>
                <w:b/>
                <w:sz w:val="20"/>
                <w:szCs w:val="20"/>
              </w:rPr>
              <w:t xml:space="preserve"> Singh</w:t>
            </w:r>
          </w:p>
          <w:p w:rsidR="0050580C" w:rsidRPr="00FE6980" w:rsidRDefault="0050580C" w:rsidP="005F1ED8">
            <w:pPr>
              <w:rPr>
                <w:sz w:val="20"/>
                <w:szCs w:val="20"/>
              </w:rPr>
            </w:pPr>
            <w:r w:rsidRPr="00FE6980">
              <w:rPr>
                <w:b/>
                <w:sz w:val="20"/>
                <w:szCs w:val="20"/>
              </w:rPr>
              <w:tab/>
            </w:r>
            <w:proofErr w:type="spellStart"/>
            <w:r w:rsidRPr="00FE6980">
              <w:rPr>
                <w:sz w:val="20"/>
                <w:szCs w:val="20"/>
              </w:rPr>
              <w:t>Satbir</w:t>
            </w:r>
            <w:proofErr w:type="spellEnd"/>
            <w:r w:rsidRPr="00FE6980">
              <w:rPr>
                <w:sz w:val="20"/>
                <w:szCs w:val="20"/>
              </w:rPr>
              <w:t xml:space="preserve"> Singh</w:t>
            </w:r>
          </w:p>
          <w:p w:rsidR="0050580C" w:rsidRPr="00FE6980" w:rsidRDefault="0050580C" w:rsidP="005F1ED8">
            <w:pPr>
              <w:rPr>
                <w:sz w:val="20"/>
                <w:szCs w:val="20"/>
              </w:rPr>
            </w:pPr>
          </w:p>
          <w:p w:rsidR="0050580C" w:rsidRPr="00FE6980" w:rsidRDefault="0050580C" w:rsidP="005F1ED8">
            <w:pPr>
              <w:rPr>
                <w:sz w:val="20"/>
                <w:szCs w:val="20"/>
              </w:rPr>
            </w:pPr>
            <w:r w:rsidRPr="00FE6980">
              <w:rPr>
                <w:sz w:val="20"/>
                <w:szCs w:val="20"/>
              </w:rPr>
              <w:tab/>
              <w:t>v. (37046)</w:t>
            </w:r>
          </w:p>
          <w:p w:rsidR="0050580C" w:rsidRPr="00FE6980" w:rsidRDefault="0050580C" w:rsidP="005F1ED8">
            <w:pPr>
              <w:rPr>
                <w:sz w:val="20"/>
                <w:szCs w:val="20"/>
              </w:rPr>
            </w:pPr>
          </w:p>
          <w:p w:rsidR="0050580C" w:rsidRPr="00FE6980" w:rsidRDefault="0050580C" w:rsidP="005F1ED8">
            <w:pPr>
              <w:rPr>
                <w:b/>
                <w:sz w:val="20"/>
                <w:szCs w:val="20"/>
              </w:rPr>
            </w:pPr>
            <w:r w:rsidRPr="00FE6980">
              <w:rPr>
                <w:b/>
                <w:sz w:val="20"/>
                <w:szCs w:val="20"/>
              </w:rPr>
              <w:t>1299400 Ontario Inc. (Ont.)</w:t>
            </w:r>
          </w:p>
          <w:p w:rsidR="0050580C" w:rsidRPr="00FE6980" w:rsidRDefault="0050580C" w:rsidP="005F1ED8">
            <w:pPr>
              <w:rPr>
                <w:sz w:val="20"/>
                <w:szCs w:val="20"/>
              </w:rPr>
            </w:pPr>
            <w:r w:rsidRPr="00FE6980">
              <w:rPr>
                <w:sz w:val="20"/>
                <w:szCs w:val="20"/>
              </w:rPr>
              <w:tab/>
              <w:t>Ralph Swaine</w:t>
            </w:r>
          </w:p>
          <w:p w:rsidR="0050580C" w:rsidRPr="00FE6980" w:rsidRDefault="0050580C" w:rsidP="005F1ED8">
            <w:pPr>
              <w:rPr>
                <w:sz w:val="20"/>
                <w:szCs w:val="20"/>
              </w:rPr>
            </w:pPr>
            <w:r w:rsidRPr="00FE6980">
              <w:rPr>
                <w:sz w:val="20"/>
                <w:szCs w:val="20"/>
              </w:rPr>
              <w:tab/>
              <w:t>Nanda and Associate Lawyers</w:t>
            </w:r>
          </w:p>
          <w:p w:rsidR="0050580C" w:rsidRPr="00FE6980" w:rsidRDefault="0050580C" w:rsidP="005F1ED8">
            <w:pPr>
              <w:rPr>
                <w:sz w:val="20"/>
                <w:szCs w:val="20"/>
              </w:rPr>
            </w:pPr>
          </w:p>
          <w:p w:rsidR="0050580C" w:rsidRPr="00FE6980" w:rsidRDefault="0050580C" w:rsidP="005F1ED8">
            <w:pPr>
              <w:rPr>
                <w:sz w:val="20"/>
                <w:szCs w:val="20"/>
              </w:rPr>
            </w:pPr>
            <w:r w:rsidRPr="00FE6980">
              <w:rPr>
                <w:sz w:val="20"/>
                <w:szCs w:val="20"/>
              </w:rPr>
              <w:t>FILING DATE: 30.05.2016</w:t>
            </w:r>
          </w:p>
          <w:p w:rsidR="0050580C" w:rsidRPr="00FE6980" w:rsidRDefault="00E433FF" w:rsidP="005F1ED8">
            <w:pPr>
              <w:rPr>
                <w:sz w:val="20"/>
                <w:szCs w:val="20"/>
                <w:lang w:val="fr-CA"/>
              </w:rPr>
            </w:pPr>
            <w:r>
              <w:rPr>
                <w:sz w:val="20"/>
                <w:szCs w:val="20"/>
                <w:lang w:val="fr-CA"/>
              </w:rPr>
              <w:pict>
                <v:rect id="_x0000_i1041" style="width:108pt;height:1pt" o:hrpct="0" o:hralign="center" o:hrstd="t" o:hrnoshade="t" o:hr="t" fillcolor="black [3213]" stroked="f"/>
              </w:pict>
            </w:r>
          </w:p>
          <w:p w:rsidR="0050580C" w:rsidRPr="00FE6980" w:rsidRDefault="0050580C" w:rsidP="005F1ED8">
            <w:pPr>
              <w:rPr>
                <w:sz w:val="20"/>
                <w:szCs w:val="20"/>
              </w:rPr>
            </w:pPr>
          </w:p>
        </w:tc>
        <w:tc>
          <w:tcPr>
            <w:tcW w:w="1181" w:type="dxa"/>
            <w:shd w:val="clear" w:color="auto" w:fill="auto"/>
          </w:tcPr>
          <w:p w:rsidR="0050580C" w:rsidRPr="00FE6980" w:rsidRDefault="0050580C" w:rsidP="00242AEE">
            <w:pPr>
              <w:jc w:val="center"/>
              <w:rPr>
                <w:sz w:val="20"/>
                <w:szCs w:val="20"/>
              </w:rPr>
            </w:pPr>
          </w:p>
        </w:tc>
        <w:tc>
          <w:tcPr>
            <w:tcW w:w="4320" w:type="dxa"/>
            <w:shd w:val="clear" w:color="auto" w:fill="auto"/>
          </w:tcPr>
          <w:p w:rsidR="00211929" w:rsidRPr="00FE6980" w:rsidRDefault="00211929" w:rsidP="009247C6">
            <w:pPr>
              <w:rPr>
                <w:sz w:val="20"/>
                <w:szCs w:val="20"/>
              </w:rPr>
            </w:pPr>
          </w:p>
        </w:tc>
      </w:tr>
      <w:tr w:rsidR="0050580C" w:rsidRPr="00FE6980" w:rsidTr="003B3977">
        <w:trPr>
          <w:cantSplit/>
        </w:trPr>
        <w:tc>
          <w:tcPr>
            <w:tcW w:w="4320" w:type="dxa"/>
            <w:shd w:val="clear" w:color="auto" w:fill="auto"/>
          </w:tcPr>
          <w:p w:rsidR="0050580C" w:rsidRPr="00FE6980" w:rsidRDefault="0050580C" w:rsidP="005F1ED8">
            <w:pPr>
              <w:rPr>
                <w:b/>
                <w:sz w:val="20"/>
                <w:szCs w:val="20"/>
              </w:rPr>
            </w:pPr>
          </w:p>
        </w:tc>
        <w:tc>
          <w:tcPr>
            <w:tcW w:w="1181" w:type="dxa"/>
            <w:shd w:val="clear" w:color="auto" w:fill="auto"/>
          </w:tcPr>
          <w:p w:rsidR="0050580C" w:rsidRPr="00FE6980" w:rsidRDefault="0050580C" w:rsidP="00242AEE">
            <w:pPr>
              <w:jc w:val="center"/>
              <w:rPr>
                <w:sz w:val="20"/>
                <w:szCs w:val="20"/>
              </w:rPr>
            </w:pPr>
          </w:p>
        </w:tc>
        <w:tc>
          <w:tcPr>
            <w:tcW w:w="4320" w:type="dxa"/>
            <w:shd w:val="clear" w:color="auto" w:fill="auto"/>
          </w:tcPr>
          <w:p w:rsidR="0050580C" w:rsidRPr="00FE6980" w:rsidRDefault="0050580C" w:rsidP="005F1ED8">
            <w:pPr>
              <w:rPr>
                <w:b/>
                <w:sz w:val="20"/>
                <w:szCs w:val="20"/>
              </w:rPr>
            </w:pPr>
          </w:p>
        </w:tc>
      </w:tr>
    </w:tbl>
    <w:p w:rsidR="006C3F47" w:rsidRPr="00FE6980" w:rsidRDefault="006C3F47" w:rsidP="0095096B">
      <w:pPr>
        <w:tabs>
          <w:tab w:val="right" w:pos="9360"/>
        </w:tabs>
        <w:rPr>
          <w:sz w:val="20"/>
          <w:szCs w:val="20"/>
        </w:rPr>
      </w:pPr>
    </w:p>
    <w:p w:rsidR="00D94028" w:rsidRPr="00FE6980" w:rsidRDefault="00D94028" w:rsidP="0095096B">
      <w:pPr>
        <w:tabs>
          <w:tab w:val="right" w:pos="9360"/>
        </w:tabs>
        <w:rPr>
          <w:sz w:val="20"/>
          <w:szCs w:val="20"/>
        </w:rPr>
      </w:pPr>
    </w:p>
    <w:p w:rsidR="00242AEE" w:rsidRPr="00FE6980" w:rsidRDefault="00242AEE" w:rsidP="0095096B">
      <w:pPr>
        <w:tabs>
          <w:tab w:val="right" w:pos="9360"/>
        </w:tabs>
        <w:rPr>
          <w:sz w:val="20"/>
          <w:szCs w:val="20"/>
        </w:rPr>
      </w:pPr>
    </w:p>
    <w:p w:rsidR="00242AEE" w:rsidRPr="00FE6980" w:rsidRDefault="00242AEE" w:rsidP="0095096B">
      <w:pPr>
        <w:tabs>
          <w:tab w:val="right" w:pos="9360"/>
        </w:tabs>
        <w:rPr>
          <w:sz w:val="20"/>
          <w:szCs w:val="20"/>
        </w:rPr>
        <w:sectPr w:rsidR="00242AEE" w:rsidRPr="00FE6980" w:rsidSect="00C91E26">
          <w:headerReference w:type="default" r:id="rId16"/>
          <w:footerReference w:type="default" r:id="rId17"/>
          <w:headerReference w:type="first" r:id="rId18"/>
          <w:footerReference w:type="first" r:id="rId19"/>
          <w:pgSz w:w="12240" w:h="15840"/>
          <w:pgMar w:top="720" w:right="965" w:bottom="1080" w:left="1656" w:header="706" w:footer="706" w:gutter="0"/>
          <w:pgNumType w:start="897"/>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E433FF" w:rsidTr="00BA6468">
        <w:trPr>
          <w:trHeight w:val="900"/>
        </w:trPr>
        <w:tc>
          <w:tcPr>
            <w:tcW w:w="4200" w:type="dxa"/>
            <w:tcMar>
              <w:left w:w="0" w:type="dxa"/>
              <w:right w:w="0" w:type="dxa"/>
            </w:tcMar>
          </w:tcPr>
          <w:p w:rsidR="002E2327" w:rsidRPr="00FE6980" w:rsidRDefault="002E2327" w:rsidP="002E2327">
            <w:pPr>
              <w:keepNext/>
              <w:keepLines/>
              <w:widowControl w:val="0"/>
              <w:rPr>
                <w:b/>
                <w:szCs w:val="24"/>
              </w:rPr>
            </w:pPr>
            <w:r w:rsidRPr="00FE6980">
              <w:rPr>
                <w:b/>
                <w:szCs w:val="24"/>
              </w:rPr>
              <w:t>APPLICATIONS FOR LEAVE SUBMITTED TO COURT SINCE LAST ISSUE</w:t>
            </w:r>
          </w:p>
        </w:tc>
        <w:tc>
          <w:tcPr>
            <w:tcW w:w="1200" w:type="dxa"/>
            <w:tcMar>
              <w:left w:w="0" w:type="dxa"/>
              <w:right w:w="0" w:type="dxa"/>
            </w:tcMar>
          </w:tcPr>
          <w:p w:rsidR="002E2327" w:rsidRPr="00FE6980" w:rsidRDefault="002E2327" w:rsidP="002E2327">
            <w:pPr>
              <w:keepNext/>
              <w:keepLines/>
              <w:widowControl w:val="0"/>
              <w:jc w:val="center"/>
              <w:rPr>
                <w:b/>
                <w:szCs w:val="24"/>
              </w:rPr>
            </w:pPr>
          </w:p>
          <w:p w:rsidR="001D0D5F" w:rsidRPr="00FE6980" w:rsidRDefault="001D0D5F" w:rsidP="002E2327">
            <w:pPr>
              <w:keepNext/>
              <w:keepLines/>
              <w:widowControl w:val="0"/>
              <w:jc w:val="center"/>
              <w:rPr>
                <w:b/>
                <w:szCs w:val="24"/>
              </w:rPr>
            </w:pPr>
          </w:p>
          <w:p w:rsidR="001D0D5F" w:rsidRPr="00FE6980" w:rsidRDefault="001D0D5F" w:rsidP="002E2327">
            <w:pPr>
              <w:keepNext/>
              <w:keepLines/>
              <w:widowControl w:val="0"/>
              <w:jc w:val="center"/>
              <w:rPr>
                <w:b/>
                <w:szCs w:val="24"/>
              </w:rPr>
            </w:pPr>
          </w:p>
          <w:p w:rsidR="001D0D5F" w:rsidRPr="00FE6980" w:rsidRDefault="001D0D5F" w:rsidP="002E2327">
            <w:pPr>
              <w:keepNext/>
              <w:keepLines/>
              <w:widowControl w:val="0"/>
              <w:jc w:val="center"/>
              <w:rPr>
                <w:b/>
                <w:szCs w:val="24"/>
              </w:rPr>
            </w:pPr>
          </w:p>
        </w:tc>
        <w:tc>
          <w:tcPr>
            <w:tcW w:w="4080" w:type="dxa"/>
            <w:tcMar>
              <w:left w:w="0" w:type="dxa"/>
              <w:right w:w="0" w:type="dxa"/>
            </w:tcMar>
          </w:tcPr>
          <w:p w:rsidR="002E2327" w:rsidRPr="00FE6980" w:rsidRDefault="002E2327" w:rsidP="002E2327">
            <w:pPr>
              <w:keepLines/>
              <w:widowControl w:val="0"/>
              <w:rPr>
                <w:szCs w:val="24"/>
                <w:lang w:val="fr-CA"/>
              </w:rPr>
            </w:pPr>
            <w:r w:rsidRPr="00FE6980">
              <w:rPr>
                <w:b/>
                <w:szCs w:val="24"/>
                <w:lang w:val="fr-CA"/>
              </w:rPr>
              <w:t>DEMANDES SOUMISES À LA COUR DEPUIS LA DERNIÈRE PARUTION</w:t>
            </w:r>
          </w:p>
          <w:p w:rsidR="002E2327" w:rsidRPr="00FE6980"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FE6980" w:rsidRDefault="002E2327" w:rsidP="002E2327">
      <w:pPr>
        <w:widowControl w:val="0"/>
        <w:rPr>
          <w:b/>
          <w:sz w:val="20"/>
          <w:szCs w:val="20"/>
          <w:lang w:val="fr-CA"/>
        </w:rPr>
      </w:pPr>
    </w:p>
    <w:p w:rsidR="00CB3520" w:rsidRPr="00FE6980" w:rsidRDefault="00FC5C9F" w:rsidP="00CB3520">
      <w:pPr>
        <w:widowControl w:val="0"/>
        <w:rPr>
          <w:b/>
          <w:sz w:val="20"/>
          <w:szCs w:val="20"/>
        </w:rPr>
      </w:pPr>
      <w:r w:rsidRPr="00FE6980">
        <w:rPr>
          <w:b/>
          <w:sz w:val="20"/>
          <w:szCs w:val="20"/>
        </w:rPr>
        <w:t>JUNE 13</w:t>
      </w:r>
      <w:r w:rsidR="00CB3520" w:rsidRPr="00FE6980">
        <w:rPr>
          <w:b/>
          <w:sz w:val="20"/>
          <w:szCs w:val="20"/>
        </w:rPr>
        <w:t>, 201</w:t>
      </w:r>
      <w:r w:rsidR="0030050B" w:rsidRPr="00FE6980">
        <w:rPr>
          <w:b/>
          <w:sz w:val="20"/>
          <w:szCs w:val="20"/>
        </w:rPr>
        <w:t>6</w:t>
      </w:r>
      <w:r w:rsidR="00CB3520" w:rsidRPr="00FE6980">
        <w:rPr>
          <w:b/>
          <w:sz w:val="20"/>
          <w:szCs w:val="20"/>
        </w:rPr>
        <w:t xml:space="preserve"> / LE </w:t>
      </w:r>
      <w:r w:rsidRPr="00FE6980">
        <w:rPr>
          <w:b/>
          <w:sz w:val="20"/>
          <w:szCs w:val="20"/>
        </w:rPr>
        <w:t>13 JUIN</w:t>
      </w:r>
      <w:r w:rsidR="00CB3520" w:rsidRPr="00FE6980">
        <w:rPr>
          <w:b/>
          <w:sz w:val="20"/>
          <w:szCs w:val="20"/>
        </w:rPr>
        <w:t xml:space="preserve"> 201</w:t>
      </w:r>
      <w:r w:rsidR="0030050B" w:rsidRPr="00FE6980">
        <w:rPr>
          <w:b/>
          <w:sz w:val="20"/>
          <w:szCs w:val="20"/>
        </w:rPr>
        <w:t>6</w:t>
      </w:r>
    </w:p>
    <w:p w:rsidR="00CB3520" w:rsidRPr="00FE6980" w:rsidRDefault="00CB3520" w:rsidP="00CB3520">
      <w:pPr>
        <w:widowControl w:val="0"/>
        <w:rPr>
          <w:b/>
          <w:sz w:val="20"/>
          <w:szCs w:val="20"/>
        </w:rPr>
      </w:pPr>
    </w:p>
    <w:p w:rsidR="00CB3520" w:rsidRPr="00FE6980" w:rsidRDefault="00CB3520" w:rsidP="00CB3520">
      <w:pPr>
        <w:widowControl w:val="0"/>
        <w:jc w:val="center"/>
        <w:rPr>
          <w:b/>
          <w:sz w:val="20"/>
          <w:szCs w:val="20"/>
        </w:rPr>
      </w:pPr>
      <w:r w:rsidRPr="00FE6980">
        <w:rPr>
          <w:b/>
          <w:sz w:val="20"/>
          <w:szCs w:val="20"/>
        </w:rPr>
        <w:t xml:space="preserve">CORAM:  Chief Justice McLachlin and </w:t>
      </w:r>
      <w:r w:rsidR="00FC5C9F" w:rsidRPr="00FE6980">
        <w:rPr>
          <w:b/>
          <w:sz w:val="20"/>
          <w:szCs w:val="20"/>
        </w:rPr>
        <w:t>Moldaver</w:t>
      </w:r>
      <w:r w:rsidRPr="00FE6980">
        <w:rPr>
          <w:b/>
          <w:sz w:val="20"/>
          <w:szCs w:val="20"/>
        </w:rPr>
        <w:t xml:space="preserve"> and </w:t>
      </w:r>
      <w:r w:rsidR="00FA3373" w:rsidRPr="00FE6980">
        <w:rPr>
          <w:b/>
          <w:sz w:val="20"/>
          <w:szCs w:val="20"/>
        </w:rPr>
        <w:t xml:space="preserve">Gascon </w:t>
      </w:r>
      <w:r w:rsidRPr="00FE6980">
        <w:rPr>
          <w:b/>
          <w:sz w:val="20"/>
          <w:szCs w:val="20"/>
        </w:rPr>
        <w:t>JJ.</w:t>
      </w:r>
    </w:p>
    <w:p w:rsidR="00CB3520" w:rsidRPr="00FE6980" w:rsidRDefault="00CB3520" w:rsidP="00CB3520">
      <w:pPr>
        <w:widowControl w:val="0"/>
        <w:jc w:val="center"/>
        <w:rPr>
          <w:sz w:val="20"/>
          <w:szCs w:val="20"/>
          <w:lang w:val="fr-CA"/>
        </w:rPr>
      </w:pPr>
      <w:r w:rsidRPr="00FE6980">
        <w:rPr>
          <w:b/>
          <w:sz w:val="20"/>
          <w:szCs w:val="20"/>
          <w:lang w:val="fr-CA"/>
        </w:rPr>
        <w:t xml:space="preserve">La juge en chef McLachlin et les juges </w:t>
      </w:r>
      <w:r w:rsidR="00FC5C9F" w:rsidRPr="00FE6980">
        <w:rPr>
          <w:b/>
          <w:sz w:val="20"/>
          <w:szCs w:val="20"/>
          <w:lang w:val="fr-CA"/>
        </w:rPr>
        <w:t>Moldaver</w:t>
      </w:r>
      <w:r w:rsidRPr="00FE6980">
        <w:rPr>
          <w:b/>
          <w:sz w:val="20"/>
          <w:szCs w:val="20"/>
          <w:lang w:val="fr-CA"/>
        </w:rPr>
        <w:t xml:space="preserve"> et </w:t>
      </w:r>
      <w:r w:rsidR="00FA3373" w:rsidRPr="00FE6980">
        <w:rPr>
          <w:b/>
          <w:sz w:val="20"/>
          <w:szCs w:val="20"/>
          <w:lang w:val="fr-CA"/>
        </w:rPr>
        <w:t>Gascon</w:t>
      </w:r>
    </w:p>
    <w:p w:rsidR="00CB3520" w:rsidRPr="00FE6980" w:rsidRDefault="00CB3520" w:rsidP="00CB3520">
      <w:pPr>
        <w:widowControl w:val="0"/>
        <w:rPr>
          <w:sz w:val="20"/>
          <w:szCs w:val="20"/>
          <w:lang w:val="fr-CA"/>
        </w:rPr>
      </w:pPr>
    </w:p>
    <w:p w:rsidR="00CB3520" w:rsidRPr="00FE6980" w:rsidRDefault="00246728" w:rsidP="00246728">
      <w:pPr>
        <w:pStyle w:val="ListParagraph"/>
        <w:widowControl w:val="0"/>
        <w:numPr>
          <w:ilvl w:val="0"/>
          <w:numId w:val="1"/>
        </w:numPr>
        <w:ind w:hanging="720"/>
        <w:jc w:val="both"/>
        <w:rPr>
          <w:sz w:val="20"/>
          <w:szCs w:val="20"/>
        </w:rPr>
      </w:pPr>
      <w:r w:rsidRPr="00FE6980">
        <w:rPr>
          <w:i/>
          <w:sz w:val="20"/>
          <w:szCs w:val="20"/>
        </w:rPr>
        <w:t>Sobeys West Inc. et al. v. College of Pharmacists of British Columbia</w:t>
      </w:r>
      <w:r w:rsidRPr="00FE6980">
        <w:rPr>
          <w:sz w:val="20"/>
          <w:szCs w:val="20"/>
        </w:rPr>
        <w:t xml:space="preserve"> (B.C.) (Civil) (By Leave) (36917)</w:t>
      </w:r>
    </w:p>
    <w:p w:rsidR="00246728" w:rsidRPr="00FE6980" w:rsidRDefault="00246728" w:rsidP="00246728">
      <w:pPr>
        <w:pStyle w:val="ListParagraph"/>
        <w:widowControl w:val="0"/>
        <w:jc w:val="both"/>
        <w:rPr>
          <w:sz w:val="20"/>
          <w:szCs w:val="20"/>
        </w:rPr>
      </w:pPr>
    </w:p>
    <w:p w:rsidR="00246728" w:rsidRPr="00FE6980" w:rsidRDefault="00246728" w:rsidP="00246728">
      <w:pPr>
        <w:pStyle w:val="ListParagraph"/>
        <w:widowControl w:val="0"/>
        <w:numPr>
          <w:ilvl w:val="0"/>
          <w:numId w:val="1"/>
        </w:numPr>
        <w:ind w:hanging="720"/>
        <w:jc w:val="both"/>
        <w:rPr>
          <w:sz w:val="20"/>
          <w:szCs w:val="20"/>
        </w:rPr>
      </w:pPr>
      <w:r w:rsidRPr="00FE6980">
        <w:rPr>
          <w:i/>
          <w:sz w:val="20"/>
          <w:szCs w:val="20"/>
        </w:rPr>
        <w:t xml:space="preserve">Attorney General of Canada v. Helmut </w:t>
      </w:r>
      <w:proofErr w:type="spellStart"/>
      <w:r w:rsidRPr="00FE6980">
        <w:rPr>
          <w:i/>
          <w:sz w:val="20"/>
          <w:szCs w:val="20"/>
        </w:rPr>
        <w:t>Oberlander</w:t>
      </w:r>
      <w:proofErr w:type="spellEnd"/>
      <w:r w:rsidRPr="00FE6980">
        <w:rPr>
          <w:sz w:val="20"/>
          <w:szCs w:val="20"/>
        </w:rPr>
        <w:t xml:space="preserve"> (F.C.) (Civil) (By Leave) (36949)</w:t>
      </w:r>
    </w:p>
    <w:p w:rsidR="00CB3520" w:rsidRPr="00FE6980" w:rsidRDefault="00CB3520" w:rsidP="00CB3520">
      <w:pPr>
        <w:widowControl w:val="0"/>
        <w:rPr>
          <w:sz w:val="20"/>
          <w:szCs w:val="20"/>
        </w:rPr>
      </w:pPr>
    </w:p>
    <w:p w:rsidR="00CB3520" w:rsidRPr="00FE6980" w:rsidRDefault="00CB3520" w:rsidP="00CB3520">
      <w:pPr>
        <w:widowControl w:val="0"/>
        <w:jc w:val="center"/>
        <w:rPr>
          <w:b/>
          <w:sz w:val="20"/>
          <w:szCs w:val="20"/>
        </w:rPr>
      </w:pPr>
      <w:r w:rsidRPr="00FE6980">
        <w:rPr>
          <w:b/>
          <w:sz w:val="20"/>
          <w:szCs w:val="20"/>
        </w:rPr>
        <w:t xml:space="preserve">CORAM: </w:t>
      </w:r>
      <w:r w:rsidR="00FA3373" w:rsidRPr="00FE6980">
        <w:rPr>
          <w:b/>
          <w:sz w:val="20"/>
          <w:szCs w:val="20"/>
        </w:rPr>
        <w:t>Abella</w:t>
      </w:r>
      <w:r w:rsidRPr="00FE6980">
        <w:rPr>
          <w:b/>
          <w:sz w:val="20"/>
          <w:szCs w:val="20"/>
        </w:rPr>
        <w:t xml:space="preserve">, Karakatsanis and </w:t>
      </w:r>
      <w:r w:rsidR="00246728" w:rsidRPr="00FE6980">
        <w:rPr>
          <w:b/>
          <w:sz w:val="20"/>
          <w:szCs w:val="20"/>
        </w:rPr>
        <w:t>Brown</w:t>
      </w:r>
      <w:r w:rsidRPr="00FE6980">
        <w:rPr>
          <w:b/>
          <w:sz w:val="20"/>
          <w:szCs w:val="20"/>
        </w:rPr>
        <w:t xml:space="preserve"> JJ.</w:t>
      </w:r>
    </w:p>
    <w:p w:rsidR="00CB3520" w:rsidRPr="00FE6980" w:rsidRDefault="00CB3520" w:rsidP="00CB3520">
      <w:pPr>
        <w:widowControl w:val="0"/>
        <w:jc w:val="center"/>
        <w:rPr>
          <w:b/>
          <w:sz w:val="20"/>
          <w:szCs w:val="20"/>
          <w:lang w:val="fr-CA"/>
        </w:rPr>
      </w:pPr>
      <w:r w:rsidRPr="00FE6980">
        <w:rPr>
          <w:b/>
          <w:sz w:val="20"/>
          <w:szCs w:val="20"/>
          <w:lang w:val="fr-CA"/>
        </w:rPr>
        <w:t xml:space="preserve">Les juges </w:t>
      </w:r>
      <w:r w:rsidR="00FA3373" w:rsidRPr="00FE6980">
        <w:rPr>
          <w:b/>
          <w:sz w:val="20"/>
          <w:szCs w:val="20"/>
          <w:lang w:val="fr-CA"/>
        </w:rPr>
        <w:t>Abella</w:t>
      </w:r>
      <w:r w:rsidRPr="00FE6980">
        <w:rPr>
          <w:b/>
          <w:sz w:val="20"/>
          <w:szCs w:val="20"/>
          <w:lang w:val="fr-CA"/>
        </w:rPr>
        <w:t xml:space="preserve">, Karakatsanis et </w:t>
      </w:r>
      <w:r w:rsidR="00246728" w:rsidRPr="00FE6980">
        <w:rPr>
          <w:b/>
          <w:sz w:val="20"/>
          <w:szCs w:val="20"/>
          <w:lang w:val="fr-CA"/>
        </w:rPr>
        <w:t>Brown</w:t>
      </w:r>
    </w:p>
    <w:p w:rsidR="00CB3520" w:rsidRPr="00FE6980" w:rsidRDefault="00CB3520" w:rsidP="00CB3520">
      <w:pPr>
        <w:widowControl w:val="0"/>
        <w:jc w:val="both"/>
        <w:rPr>
          <w:sz w:val="20"/>
          <w:szCs w:val="20"/>
          <w:lang w:val="fr-CA"/>
        </w:rPr>
      </w:pPr>
    </w:p>
    <w:p w:rsidR="00CB3520" w:rsidRPr="00FE6980" w:rsidRDefault="00246728" w:rsidP="00246728">
      <w:pPr>
        <w:pStyle w:val="ListParagraph"/>
        <w:widowControl w:val="0"/>
        <w:numPr>
          <w:ilvl w:val="0"/>
          <w:numId w:val="1"/>
        </w:numPr>
        <w:ind w:hanging="720"/>
        <w:jc w:val="both"/>
        <w:rPr>
          <w:sz w:val="20"/>
          <w:szCs w:val="20"/>
        </w:rPr>
      </w:pPr>
      <w:r w:rsidRPr="00FE6980">
        <w:rPr>
          <w:i/>
          <w:sz w:val="20"/>
          <w:szCs w:val="20"/>
        </w:rPr>
        <w:t xml:space="preserve">Nicola Nero v. Her Majesty the Queen </w:t>
      </w:r>
      <w:r w:rsidRPr="00FE6980">
        <w:rPr>
          <w:sz w:val="20"/>
          <w:szCs w:val="20"/>
        </w:rPr>
        <w:t>(Ont.) (Crim.) (By Leave) (36984)</w:t>
      </w:r>
    </w:p>
    <w:p w:rsidR="00246728" w:rsidRPr="00FE6980" w:rsidRDefault="00246728" w:rsidP="00246728">
      <w:pPr>
        <w:pStyle w:val="ListParagraph"/>
        <w:widowControl w:val="0"/>
        <w:jc w:val="both"/>
        <w:rPr>
          <w:sz w:val="20"/>
          <w:szCs w:val="20"/>
        </w:rPr>
      </w:pPr>
    </w:p>
    <w:p w:rsidR="00246728" w:rsidRPr="00FE6980" w:rsidRDefault="00B51847" w:rsidP="00246728">
      <w:pPr>
        <w:pStyle w:val="ListParagraph"/>
        <w:widowControl w:val="0"/>
        <w:numPr>
          <w:ilvl w:val="0"/>
          <w:numId w:val="1"/>
        </w:numPr>
        <w:ind w:hanging="720"/>
        <w:jc w:val="both"/>
        <w:rPr>
          <w:sz w:val="20"/>
          <w:szCs w:val="20"/>
        </w:rPr>
      </w:pPr>
      <w:r w:rsidRPr="00FE6980">
        <w:rPr>
          <w:i/>
          <w:sz w:val="20"/>
          <w:szCs w:val="20"/>
        </w:rPr>
        <w:t>Martino Caputo v. Her Majesty the Queen</w:t>
      </w:r>
      <w:r w:rsidRPr="00FE6980">
        <w:rPr>
          <w:sz w:val="20"/>
          <w:szCs w:val="20"/>
        </w:rPr>
        <w:t xml:space="preserve"> (Ont.) (Crim.) (By Leave) (36985)</w:t>
      </w:r>
    </w:p>
    <w:p w:rsidR="00B51847" w:rsidRPr="00FE6980" w:rsidRDefault="00B51847" w:rsidP="00B51847">
      <w:pPr>
        <w:pStyle w:val="ListParagraph"/>
        <w:rPr>
          <w:sz w:val="20"/>
          <w:szCs w:val="20"/>
        </w:rPr>
      </w:pPr>
    </w:p>
    <w:p w:rsidR="00B51847" w:rsidRPr="00FE6980" w:rsidRDefault="00B51847" w:rsidP="00246728">
      <w:pPr>
        <w:pStyle w:val="ListParagraph"/>
        <w:widowControl w:val="0"/>
        <w:numPr>
          <w:ilvl w:val="0"/>
          <w:numId w:val="1"/>
        </w:numPr>
        <w:ind w:hanging="720"/>
        <w:jc w:val="both"/>
        <w:rPr>
          <w:sz w:val="20"/>
          <w:szCs w:val="20"/>
        </w:rPr>
      </w:pPr>
      <w:r w:rsidRPr="00FE6980">
        <w:rPr>
          <w:i/>
          <w:sz w:val="20"/>
          <w:szCs w:val="20"/>
        </w:rPr>
        <w:t xml:space="preserve">E.U. et al. v. Children’s Aid Society of Toronto et al. </w:t>
      </w:r>
      <w:r w:rsidRPr="00FE6980">
        <w:rPr>
          <w:sz w:val="20"/>
          <w:szCs w:val="20"/>
        </w:rPr>
        <w:t>(Ont.) (Civil) (By Leave) (36976)</w:t>
      </w:r>
    </w:p>
    <w:p w:rsidR="00CB3520" w:rsidRPr="00FE6980" w:rsidRDefault="00CB3520" w:rsidP="00CB3520">
      <w:pPr>
        <w:widowControl w:val="0"/>
        <w:jc w:val="both"/>
        <w:rPr>
          <w:sz w:val="20"/>
          <w:szCs w:val="20"/>
        </w:rPr>
      </w:pPr>
    </w:p>
    <w:p w:rsidR="00CB3520" w:rsidRPr="00FE6980" w:rsidRDefault="00CB3520" w:rsidP="00CB3520">
      <w:pPr>
        <w:widowControl w:val="0"/>
        <w:jc w:val="center"/>
        <w:rPr>
          <w:b/>
          <w:sz w:val="20"/>
          <w:szCs w:val="20"/>
        </w:rPr>
      </w:pPr>
      <w:r w:rsidRPr="00FE6980">
        <w:rPr>
          <w:b/>
          <w:sz w:val="20"/>
          <w:szCs w:val="20"/>
        </w:rPr>
        <w:t xml:space="preserve">CORAM: </w:t>
      </w:r>
      <w:r w:rsidR="00FA3373" w:rsidRPr="00FE6980">
        <w:rPr>
          <w:b/>
          <w:sz w:val="20"/>
          <w:szCs w:val="20"/>
        </w:rPr>
        <w:t>Cromwell</w:t>
      </w:r>
      <w:r w:rsidR="00B51847" w:rsidRPr="00FE6980">
        <w:rPr>
          <w:b/>
          <w:sz w:val="20"/>
          <w:szCs w:val="20"/>
        </w:rPr>
        <w:t>, Wagner</w:t>
      </w:r>
      <w:r w:rsidR="00FA3373" w:rsidRPr="00FE6980">
        <w:rPr>
          <w:b/>
          <w:sz w:val="20"/>
          <w:szCs w:val="20"/>
        </w:rPr>
        <w:t xml:space="preserve"> </w:t>
      </w:r>
      <w:r w:rsidRPr="00FE6980">
        <w:rPr>
          <w:b/>
          <w:sz w:val="20"/>
          <w:szCs w:val="20"/>
        </w:rPr>
        <w:t xml:space="preserve">and </w:t>
      </w:r>
      <w:r w:rsidR="00B51847" w:rsidRPr="00FE6980">
        <w:rPr>
          <w:b/>
          <w:sz w:val="20"/>
          <w:szCs w:val="20"/>
        </w:rPr>
        <w:t>Côté</w:t>
      </w:r>
      <w:r w:rsidRPr="00FE6980">
        <w:rPr>
          <w:b/>
          <w:sz w:val="20"/>
          <w:szCs w:val="20"/>
        </w:rPr>
        <w:t xml:space="preserve"> JJ.</w:t>
      </w:r>
    </w:p>
    <w:p w:rsidR="00CB3520" w:rsidRPr="00FE6980" w:rsidRDefault="00CB3520" w:rsidP="00CB3520">
      <w:pPr>
        <w:widowControl w:val="0"/>
        <w:jc w:val="center"/>
        <w:rPr>
          <w:b/>
          <w:sz w:val="20"/>
          <w:szCs w:val="20"/>
          <w:lang w:val="fr-CA"/>
        </w:rPr>
      </w:pPr>
      <w:r w:rsidRPr="00FE6980">
        <w:rPr>
          <w:b/>
          <w:sz w:val="20"/>
          <w:szCs w:val="20"/>
          <w:lang w:val="fr-CA"/>
        </w:rPr>
        <w:t xml:space="preserve">Les juges </w:t>
      </w:r>
      <w:r w:rsidR="00FA3373" w:rsidRPr="00FE6980">
        <w:rPr>
          <w:b/>
          <w:sz w:val="20"/>
          <w:szCs w:val="20"/>
          <w:lang w:val="fr-CA"/>
        </w:rPr>
        <w:t>Cromwell</w:t>
      </w:r>
      <w:r w:rsidR="00B51847" w:rsidRPr="00FE6980">
        <w:rPr>
          <w:b/>
          <w:sz w:val="20"/>
          <w:szCs w:val="20"/>
          <w:lang w:val="fr-CA"/>
        </w:rPr>
        <w:t>, Wagner</w:t>
      </w:r>
      <w:r w:rsidR="00FA3373" w:rsidRPr="00FE6980">
        <w:rPr>
          <w:b/>
          <w:sz w:val="20"/>
          <w:szCs w:val="20"/>
          <w:lang w:val="fr-CA"/>
        </w:rPr>
        <w:t xml:space="preserve"> </w:t>
      </w:r>
      <w:r w:rsidRPr="00FE6980">
        <w:rPr>
          <w:b/>
          <w:sz w:val="20"/>
          <w:szCs w:val="20"/>
          <w:lang w:val="fr-CA"/>
        </w:rPr>
        <w:t xml:space="preserve">et </w:t>
      </w:r>
      <w:r w:rsidR="00B51847" w:rsidRPr="00FE6980">
        <w:rPr>
          <w:b/>
          <w:sz w:val="20"/>
          <w:szCs w:val="20"/>
          <w:lang w:val="fr-CA"/>
        </w:rPr>
        <w:t>Côté</w:t>
      </w:r>
    </w:p>
    <w:p w:rsidR="00CB3520" w:rsidRPr="00FE6980" w:rsidRDefault="00CB3520" w:rsidP="00CB3520">
      <w:pPr>
        <w:widowControl w:val="0"/>
        <w:jc w:val="both"/>
        <w:rPr>
          <w:sz w:val="20"/>
          <w:szCs w:val="20"/>
          <w:lang w:val="fr-CA"/>
        </w:rPr>
      </w:pPr>
    </w:p>
    <w:p w:rsidR="002E2327" w:rsidRPr="00FE6980" w:rsidRDefault="00B51847" w:rsidP="00B51847">
      <w:pPr>
        <w:pStyle w:val="ListParagraph"/>
        <w:widowControl w:val="0"/>
        <w:numPr>
          <w:ilvl w:val="0"/>
          <w:numId w:val="1"/>
        </w:numPr>
        <w:ind w:hanging="720"/>
        <w:jc w:val="both"/>
        <w:rPr>
          <w:sz w:val="20"/>
          <w:szCs w:val="20"/>
        </w:rPr>
      </w:pPr>
      <w:r w:rsidRPr="00FE6980">
        <w:rPr>
          <w:i/>
          <w:sz w:val="20"/>
          <w:szCs w:val="20"/>
        </w:rPr>
        <w:t xml:space="preserve">Rocco Galati et al. v. Right Honourable Stephen Harper et al. </w:t>
      </w:r>
      <w:r w:rsidRPr="00FE6980">
        <w:rPr>
          <w:sz w:val="20"/>
          <w:szCs w:val="20"/>
        </w:rPr>
        <w:t>(F.C.) (Civil) (By Leave) (36933)</w:t>
      </w:r>
    </w:p>
    <w:p w:rsidR="00B51847" w:rsidRPr="00FE6980" w:rsidRDefault="00B51847" w:rsidP="00B51847">
      <w:pPr>
        <w:pStyle w:val="ListParagraph"/>
        <w:widowControl w:val="0"/>
        <w:jc w:val="both"/>
        <w:rPr>
          <w:sz w:val="20"/>
          <w:szCs w:val="20"/>
        </w:rPr>
      </w:pPr>
    </w:p>
    <w:p w:rsidR="00B51847" w:rsidRPr="00FE6980" w:rsidRDefault="00B51847" w:rsidP="00B51847">
      <w:pPr>
        <w:pStyle w:val="ListParagraph"/>
        <w:widowControl w:val="0"/>
        <w:numPr>
          <w:ilvl w:val="0"/>
          <w:numId w:val="1"/>
        </w:numPr>
        <w:ind w:hanging="720"/>
        <w:jc w:val="both"/>
        <w:rPr>
          <w:sz w:val="20"/>
          <w:szCs w:val="20"/>
        </w:rPr>
      </w:pPr>
      <w:r w:rsidRPr="00FE6980">
        <w:rPr>
          <w:i/>
          <w:sz w:val="20"/>
          <w:szCs w:val="20"/>
        </w:rPr>
        <w:t>Wayne Ferron v. Peel Regional Police Services et al.</w:t>
      </w:r>
      <w:r w:rsidRPr="00FE6980">
        <w:rPr>
          <w:sz w:val="20"/>
          <w:szCs w:val="20"/>
        </w:rPr>
        <w:t xml:space="preserve"> (Ont.) (Civil) (By Leave) (36881)</w:t>
      </w:r>
    </w:p>
    <w:p w:rsidR="00B51847" w:rsidRPr="00FE6980" w:rsidRDefault="00B51847" w:rsidP="00B51847">
      <w:pPr>
        <w:pStyle w:val="ListParagraph"/>
        <w:rPr>
          <w:sz w:val="20"/>
          <w:szCs w:val="20"/>
        </w:rPr>
      </w:pPr>
    </w:p>
    <w:p w:rsidR="00B51847" w:rsidRDefault="00B51847" w:rsidP="00B51847">
      <w:pPr>
        <w:pStyle w:val="ListParagraph"/>
        <w:widowControl w:val="0"/>
        <w:numPr>
          <w:ilvl w:val="0"/>
          <w:numId w:val="1"/>
        </w:numPr>
        <w:ind w:hanging="720"/>
        <w:jc w:val="both"/>
        <w:rPr>
          <w:sz w:val="20"/>
          <w:szCs w:val="20"/>
          <w:lang w:val="fr-CA"/>
        </w:rPr>
      </w:pPr>
      <w:r w:rsidRPr="00FE6980">
        <w:rPr>
          <w:i/>
          <w:sz w:val="20"/>
          <w:szCs w:val="20"/>
          <w:lang w:val="fr-CA"/>
        </w:rPr>
        <w:t>Jean Grondin, tant personnellement qu’en sa qualité de tuteur à son enfant mineure Coralie Grondin et autre c. Marie-Claude Nadeau et autres</w:t>
      </w:r>
      <w:r w:rsidRPr="00FE6980">
        <w:rPr>
          <w:sz w:val="20"/>
          <w:szCs w:val="20"/>
          <w:lang w:val="fr-CA"/>
        </w:rPr>
        <w:t xml:space="preserve"> (</w:t>
      </w:r>
      <w:proofErr w:type="spellStart"/>
      <w:r w:rsidRPr="00FE6980">
        <w:rPr>
          <w:sz w:val="20"/>
          <w:szCs w:val="20"/>
          <w:lang w:val="fr-CA"/>
        </w:rPr>
        <w:t>Qc</w:t>
      </w:r>
      <w:proofErr w:type="spellEnd"/>
      <w:r w:rsidRPr="00FE6980">
        <w:rPr>
          <w:sz w:val="20"/>
          <w:szCs w:val="20"/>
          <w:lang w:val="fr-CA"/>
        </w:rPr>
        <w:t>) (Civile) (Autorisation) (36924)</w:t>
      </w:r>
    </w:p>
    <w:p w:rsidR="00F6089A" w:rsidRPr="00F6089A" w:rsidRDefault="00F6089A" w:rsidP="00F6089A">
      <w:pPr>
        <w:widowControl w:val="0"/>
        <w:jc w:val="both"/>
        <w:rPr>
          <w:sz w:val="20"/>
          <w:szCs w:val="20"/>
          <w:lang w:val="fr-CA"/>
        </w:rPr>
      </w:pPr>
    </w:p>
    <w:p w:rsidR="002E2327" w:rsidRPr="00FE6980" w:rsidRDefault="00E433FF" w:rsidP="002E2327">
      <w:pPr>
        <w:widowControl w:val="0"/>
        <w:rPr>
          <w:sz w:val="20"/>
          <w:szCs w:val="20"/>
          <w:lang w:val="fr-CA"/>
        </w:rPr>
      </w:pPr>
      <w:r>
        <w:rPr>
          <w:sz w:val="20"/>
          <w:szCs w:val="20"/>
        </w:rPr>
        <w:pict>
          <v:rect id="_x0000_i1044" style="width:2in;height:1pt" o:hrpct="0" o:hralign="center" o:hrstd="t" o:hrnoshade="t" o:hr="t" fillcolor="black [3213]" stroked="f"/>
        </w:pict>
      </w:r>
    </w:p>
    <w:p w:rsidR="00D94028" w:rsidRPr="00FE6980" w:rsidRDefault="00D94028" w:rsidP="002E2327">
      <w:pPr>
        <w:widowControl w:val="0"/>
        <w:rPr>
          <w:sz w:val="20"/>
          <w:szCs w:val="20"/>
          <w:lang w:val="fr-CA"/>
        </w:rPr>
      </w:pPr>
    </w:p>
    <w:p w:rsidR="00D94028" w:rsidRPr="00FE6980" w:rsidRDefault="00D94028" w:rsidP="002E2327">
      <w:pPr>
        <w:widowControl w:val="0"/>
        <w:rPr>
          <w:sz w:val="20"/>
          <w:szCs w:val="20"/>
          <w:lang w:val="fr-CA"/>
        </w:rPr>
      </w:pPr>
    </w:p>
    <w:p w:rsidR="00D94028" w:rsidRPr="00FE6980" w:rsidRDefault="00D94028" w:rsidP="002E2327">
      <w:pPr>
        <w:widowControl w:val="0"/>
        <w:rPr>
          <w:sz w:val="20"/>
          <w:szCs w:val="20"/>
          <w:lang w:val="fr-CA"/>
        </w:rPr>
      </w:pPr>
    </w:p>
    <w:p w:rsidR="0044776A" w:rsidRPr="00FE6980" w:rsidRDefault="0044776A" w:rsidP="002E2327">
      <w:pPr>
        <w:widowControl w:val="0"/>
        <w:spacing w:line="0" w:lineRule="atLeast"/>
        <w:rPr>
          <w:sz w:val="20"/>
          <w:szCs w:val="20"/>
          <w:lang w:val="fr-CA"/>
        </w:rPr>
        <w:sectPr w:rsidR="0044776A" w:rsidRPr="00FE6980"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E433FF" w:rsidTr="00ED7E83">
        <w:tc>
          <w:tcPr>
            <w:tcW w:w="4200" w:type="dxa"/>
            <w:tcMar>
              <w:left w:w="0" w:type="dxa"/>
              <w:right w:w="0" w:type="dxa"/>
            </w:tcMar>
          </w:tcPr>
          <w:p w:rsidR="008D292F" w:rsidRPr="00FE6980" w:rsidRDefault="008D292F" w:rsidP="00ED7E83">
            <w:pPr>
              <w:keepNext/>
              <w:keepLines/>
              <w:jc w:val="both"/>
              <w:rPr>
                <w:b/>
                <w:szCs w:val="24"/>
              </w:rPr>
            </w:pPr>
            <w:bookmarkStart w:id="1" w:name="QuickMark_1"/>
            <w:bookmarkEnd w:id="1"/>
            <w:r w:rsidRPr="00FE6980">
              <w:rPr>
                <w:b/>
                <w:szCs w:val="24"/>
              </w:rPr>
              <w:t>JUDGMENTS ON APPLICATIONS</w:t>
            </w:r>
          </w:p>
          <w:p w:rsidR="008D292F" w:rsidRPr="00FE6980" w:rsidRDefault="008D292F" w:rsidP="00ED7E83">
            <w:pPr>
              <w:keepNext/>
              <w:keepLines/>
              <w:jc w:val="both"/>
              <w:rPr>
                <w:b/>
                <w:szCs w:val="24"/>
              </w:rPr>
            </w:pPr>
            <w:r w:rsidRPr="00FE6980">
              <w:rPr>
                <w:b/>
                <w:szCs w:val="24"/>
              </w:rPr>
              <w:t>FOR LEAVE</w:t>
            </w:r>
          </w:p>
        </w:tc>
        <w:tc>
          <w:tcPr>
            <w:tcW w:w="1200" w:type="dxa"/>
            <w:tcMar>
              <w:left w:w="0" w:type="dxa"/>
              <w:right w:w="0" w:type="dxa"/>
            </w:tcMar>
          </w:tcPr>
          <w:p w:rsidR="008D292F" w:rsidRPr="00FE6980" w:rsidRDefault="008D292F" w:rsidP="008D292F">
            <w:pPr>
              <w:keepNext/>
              <w:keepLines/>
              <w:jc w:val="center"/>
              <w:rPr>
                <w:b/>
                <w:szCs w:val="24"/>
              </w:rPr>
            </w:pPr>
          </w:p>
          <w:p w:rsidR="008D292F" w:rsidRPr="00FE6980" w:rsidRDefault="008D292F" w:rsidP="008D292F">
            <w:pPr>
              <w:keepNext/>
              <w:keepLines/>
              <w:jc w:val="center"/>
              <w:rPr>
                <w:b/>
                <w:szCs w:val="24"/>
              </w:rPr>
            </w:pPr>
          </w:p>
          <w:p w:rsidR="008D292F" w:rsidRPr="00FE6980" w:rsidRDefault="008D292F" w:rsidP="008D292F">
            <w:pPr>
              <w:keepNext/>
              <w:keepLines/>
              <w:jc w:val="center"/>
              <w:rPr>
                <w:b/>
                <w:szCs w:val="24"/>
              </w:rPr>
            </w:pPr>
          </w:p>
        </w:tc>
        <w:tc>
          <w:tcPr>
            <w:tcW w:w="4080" w:type="dxa"/>
            <w:tcMar>
              <w:left w:w="0" w:type="dxa"/>
              <w:right w:w="0" w:type="dxa"/>
            </w:tcMar>
          </w:tcPr>
          <w:p w:rsidR="008D292F" w:rsidRPr="00FE6980" w:rsidRDefault="008D292F" w:rsidP="00ED7E83">
            <w:pPr>
              <w:keepNext/>
              <w:keepLines/>
              <w:jc w:val="both"/>
              <w:rPr>
                <w:b/>
                <w:szCs w:val="24"/>
                <w:lang w:val="fr-CA"/>
              </w:rPr>
            </w:pPr>
            <w:r w:rsidRPr="00FE6980">
              <w:rPr>
                <w:b/>
                <w:szCs w:val="24"/>
                <w:lang w:val="fr-CA"/>
              </w:rPr>
              <w:t>JUGEMENTS RENDUS SUR LES DEMANDES D’AUTORISATION</w:t>
            </w:r>
          </w:p>
        </w:tc>
      </w:tr>
    </w:tbl>
    <w:p w:rsidR="008D292F" w:rsidRPr="00FE6980" w:rsidRDefault="008D292F" w:rsidP="008D292F">
      <w:pPr>
        <w:rPr>
          <w:rFonts w:cs="Times New Roman"/>
          <w:sz w:val="20"/>
          <w:szCs w:val="20"/>
          <w:lang w:val="fr-CA"/>
        </w:rPr>
      </w:pPr>
    </w:p>
    <w:p w:rsidR="000E2959" w:rsidRPr="00FE6980" w:rsidRDefault="0026298F" w:rsidP="000E2959">
      <w:pPr>
        <w:rPr>
          <w:rFonts w:cs="Times New Roman"/>
          <w:b/>
          <w:sz w:val="20"/>
          <w:szCs w:val="20"/>
        </w:rPr>
      </w:pPr>
      <w:r w:rsidRPr="00FE6980">
        <w:rPr>
          <w:rFonts w:cs="Times New Roman"/>
          <w:b/>
          <w:sz w:val="20"/>
          <w:szCs w:val="20"/>
        </w:rPr>
        <w:t>JUNE 16</w:t>
      </w:r>
      <w:r w:rsidR="000E2959" w:rsidRPr="00FE6980">
        <w:rPr>
          <w:rFonts w:cs="Times New Roman"/>
          <w:b/>
          <w:sz w:val="20"/>
          <w:szCs w:val="20"/>
        </w:rPr>
        <w:t xml:space="preserve">, </w:t>
      </w:r>
      <w:r w:rsidR="0030050B" w:rsidRPr="00FE6980">
        <w:rPr>
          <w:rFonts w:cs="Times New Roman"/>
          <w:b/>
          <w:sz w:val="20"/>
          <w:szCs w:val="20"/>
        </w:rPr>
        <w:t>2016</w:t>
      </w:r>
      <w:r w:rsidR="000E2959" w:rsidRPr="00FE6980">
        <w:rPr>
          <w:rFonts w:cs="Times New Roman"/>
          <w:b/>
          <w:sz w:val="20"/>
          <w:szCs w:val="20"/>
        </w:rPr>
        <w:t xml:space="preserve"> / LE </w:t>
      </w:r>
      <w:r w:rsidRPr="00FE6980">
        <w:rPr>
          <w:rFonts w:cs="Times New Roman"/>
          <w:b/>
          <w:sz w:val="20"/>
          <w:szCs w:val="20"/>
        </w:rPr>
        <w:t>16 JUIN</w:t>
      </w:r>
      <w:r w:rsidR="000E2959" w:rsidRPr="00FE6980">
        <w:rPr>
          <w:rFonts w:cs="Times New Roman"/>
          <w:b/>
          <w:sz w:val="20"/>
          <w:szCs w:val="20"/>
        </w:rPr>
        <w:t xml:space="preserve"> </w:t>
      </w:r>
      <w:r w:rsidR="0030050B" w:rsidRPr="00FE6980">
        <w:rPr>
          <w:rFonts w:cs="Times New Roman"/>
          <w:b/>
          <w:sz w:val="20"/>
          <w:szCs w:val="20"/>
        </w:rPr>
        <w:t>2016</w:t>
      </w:r>
    </w:p>
    <w:p w:rsidR="000E2959" w:rsidRPr="00FE6980" w:rsidRDefault="000E2959" w:rsidP="000E2959">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6298F" w:rsidRPr="00FE6980" w:rsidTr="00270FF2">
        <w:trPr>
          <w:cantSplit/>
        </w:trPr>
        <w:tc>
          <w:tcPr>
            <w:tcW w:w="1458" w:type="dxa"/>
          </w:tcPr>
          <w:p w:rsidR="0026298F" w:rsidRPr="00FE6980" w:rsidRDefault="0026298F" w:rsidP="00A926BB">
            <w:pPr>
              <w:jc w:val="both"/>
              <w:rPr>
                <w:rFonts w:cs="Times New Roman"/>
                <w:sz w:val="20"/>
                <w:szCs w:val="20"/>
              </w:rPr>
            </w:pPr>
            <w:r w:rsidRPr="00FE6980">
              <w:rPr>
                <w:rStyle w:val="SCCFileNumberChar"/>
                <w:sz w:val="20"/>
                <w:szCs w:val="20"/>
              </w:rPr>
              <w:t>36856</w:t>
            </w:r>
          </w:p>
          <w:p w:rsidR="0026298F" w:rsidRPr="00FE6980" w:rsidRDefault="0026298F" w:rsidP="00A926BB">
            <w:pPr>
              <w:jc w:val="both"/>
              <w:rPr>
                <w:rFonts w:cs="Times New Roman"/>
                <w:b/>
                <w:sz w:val="20"/>
                <w:szCs w:val="20"/>
              </w:rPr>
            </w:pPr>
          </w:p>
        </w:tc>
        <w:tc>
          <w:tcPr>
            <w:tcW w:w="8118" w:type="dxa"/>
            <w:gridSpan w:val="3"/>
          </w:tcPr>
          <w:p w:rsidR="0026298F" w:rsidRPr="00FE6980" w:rsidRDefault="00A926BB" w:rsidP="00A926BB">
            <w:pPr>
              <w:jc w:val="both"/>
              <w:rPr>
                <w:rFonts w:cs="Times New Roman"/>
                <w:sz w:val="20"/>
                <w:szCs w:val="20"/>
              </w:rPr>
            </w:pPr>
            <w:r w:rsidRPr="00FE6980">
              <w:rPr>
                <w:b/>
                <w:sz w:val="20"/>
                <w:szCs w:val="20"/>
                <w:u w:val="single"/>
                <w:lang w:val="fr-CA"/>
              </w:rPr>
              <w:t xml:space="preserve">Mohamed </w:t>
            </w:r>
            <w:proofErr w:type="spellStart"/>
            <w:r w:rsidRPr="00FE6980">
              <w:rPr>
                <w:b/>
                <w:sz w:val="20"/>
                <w:szCs w:val="20"/>
                <w:u w:val="single"/>
                <w:lang w:val="fr-CA"/>
              </w:rPr>
              <w:t>Balikwisha</w:t>
            </w:r>
            <w:proofErr w:type="spellEnd"/>
            <w:r w:rsidRPr="00FE6980">
              <w:rPr>
                <w:b/>
                <w:sz w:val="20"/>
                <w:szCs w:val="20"/>
                <w:u w:val="single"/>
                <w:lang w:val="fr-CA"/>
              </w:rPr>
              <w:t xml:space="preserve"> </w:t>
            </w:r>
            <w:proofErr w:type="spellStart"/>
            <w:r w:rsidRPr="00FE6980">
              <w:rPr>
                <w:b/>
                <w:sz w:val="20"/>
                <w:szCs w:val="20"/>
                <w:u w:val="single"/>
                <w:lang w:val="fr-CA"/>
              </w:rPr>
              <w:t>Patanguli</w:t>
            </w:r>
            <w:proofErr w:type="spellEnd"/>
            <w:r w:rsidRPr="00FE6980">
              <w:rPr>
                <w:b/>
                <w:sz w:val="20"/>
                <w:szCs w:val="20"/>
                <w:u w:val="single"/>
                <w:lang w:val="fr-CA"/>
              </w:rPr>
              <w:t xml:space="preserve"> c. Administrateur général (Ministère de la Citoyenneté et de l’Immigration)</w:t>
            </w:r>
            <w:r w:rsidRPr="00FE6980">
              <w:rPr>
                <w:rFonts w:cs="Times New Roman"/>
                <w:sz w:val="20"/>
                <w:szCs w:val="20"/>
                <w:lang w:val="fr-CA"/>
              </w:rPr>
              <w:t xml:space="preserve"> </w:t>
            </w:r>
            <w:r w:rsidR="0026298F" w:rsidRPr="00FE6980">
              <w:rPr>
                <w:rFonts w:cs="Times New Roman"/>
                <w:sz w:val="20"/>
                <w:szCs w:val="20"/>
                <w:lang w:val="fr-CA"/>
              </w:rPr>
              <w:t>(</w:t>
            </w:r>
            <w:r w:rsidRPr="00FE6980">
              <w:rPr>
                <w:rFonts w:cs="Times New Roman"/>
                <w:sz w:val="20"/>
                <w:szCs w:val="20"/>
                <w:lang w:val="fr-CA"/>
              </w:rPr>
              <w:t>F.C.</w:t>
            </w:r>
            <w:r w:rsidR="0026298F" w:rsidRPr="00FE6980">
              <w:rPr>
                <w:rFonts w:cs="Times New Roman"/>
                <w:sz w:val="20"/>
                <w:szCs w:val="20"/>
                <w:lang w:val="fr-CA"/>
              </w:rPr>
              <w:t xml:space="preserve">) </w:t>
            </w:r>
            <w:r w:rsidR="0026298F" w:rsidRPr="00FE6980">
              <w:rPr>
                <w:rFonts w:cs="Times New Roman"/>
                <w:sz w:val="20"/>
                <w:szCs w:val="20"/>
              </w:rPr>
              <w:t>(Civil) (By Leave)</w:t>
            </w:r>
          </w:p>
          <w:p w:rsidR="0026298F" w:rsidRPr="00FE6980" w:rsidRDefault="0026298F" w:rsidP="00A926BB">
            <w:pPr>
              <w:jc w:val="both"/>
              <w:rPr>
                <w:rFonts w:cs="Times New Roman"/>
                <w:sz w:val="20"/>
                <w:szCs w:val="20"/>
              </w:rPr>
            </w:pPr>
          </w:p>
        </w:tc>
      </w:tr>
      <w:tr w:rsidR="0026298F" w:rsidRPr="00E433FF" w:rsidTr="00270FF2">
        <w:trPr>
          <w:cantSplit/>
        </w:trPr>
        <w:tc>
          <w:tcPr>
            <w:tcW w:w="1458" w:type="dxa"/>
          </w:tcPr>
          <w:p w:rsidR="0026298F" w:rsidRPr="00FE6980" w:rsidRDefault="0026298F" w:rsidP="00A926BB">
            <w:pPr>
              <w:jc w:val="both"/>
              <w:rPr>
                <w:rFonts w:cs="Times New Roman"/>
                <w:sz w:val="20"/>
                <w:szCs w:val="20"/>
              </w:rPr>
            </w:pPr>
            <w:r w:rsidRPr="00FE6980">
              <w:rPr>
                <w:rFonts w:cs="Times New Roman"/>
                <w:sz w:val="20"/>
                <w:szCs w:val="20"/>
              </w:rPr>
              <w:t>Coram :</w:t>
            </w:r>
          </w:p>
        </w:tc>
        <w:tc>
          <w:tcPr>
            <w:tcW w:w="8118" w:type="dxa"/>
            <w:gridSpan w:val="3"/>
          </w:tcPr>
          <w:p w:rsidR="0026298F" w:rsidRPr="00E433FF" w:rsidRDefault="00A926BB" w:rsidP="00A926BB">
            <w:pPr>
              <w:jc w:val="both"/>
              <w:rPr>
                <w:rFonts w:cs="Times New Roman"/>
                <w:sz w:val="20"/>
                <w:szCs w:val="20"/>
                <w:u w:val="single"/>
                <w:lang w:val="fr-CA"/>
              </w:rPr>
            </w:pPr>
            <w:r w:rsidRPr="00E433FF">
              <w:rPr>
                <w:sz w:val="20"/>
                <w:szCs w:val="20"/>
                <w:u w:val="single"/>
                <w:lang w:val="fr-CA"/>
              </w:rPr>
              <w:t>Les juges Abella, Karakatsanis et Brown</w:t>
            </w:r>
            <w:r w:rsidRPr="00E433FF">
              <w:rPr>
                <w:rFonts w:cs="Times New Roman"/>
                <w:sz w:val="20"/>
                <w:szCs w:val="20"/>
                <w:u w:val="single"/>
                <w:lang w:val="fr-CA"/>
              </w:rPr>
              <w:t xml:space="preserve"> </w:t>
            </w:r>
          </w:p>
          <w:p w:rsidR="00A926BB" w:rsidRPr="00E433FF" w:rsidRDefault="00A926BB" w:rsidP="00A926BB">
            <w:pPr>
              <w:jc w:val="both"/>
              <w:rPr>
                <w:rFonts w:cs="Times New Roman"/>
                <w:sz w:val="20"/>
                <w:szCs w:val="20"/>
                <w:lang w:val="fr-CA"/>
              </w:rPr>
            </w:pPr>
          </w:p>
        </w:tc>
      </w:tr>
      <w:tr w:rsidR="0026298F" w:rsidRPr="00FE6980" w:rsidTr="00270FF2">
        <w:trPr>
          <w:cantSplit/>
        </w:trPr>
        <w:tc>
          <w:tcPr>
            <w:tcW w:w="9576" w:type="dxa"/>
            <w:gridSpan w:val="4"/>
          </w:tcPr>
          <w:p w:rsidR="0026298F" w:rsidRPr="00FE6980" w:rsidRDefault="0026298F" w:rsidP="00A926BB">
            <w:pPr>
              <w:pStyle w:val="SCCShortJudgment"/>
              <w:ind w:firstLine="0"/>
              <w:rPr>
                <w:rFonts w:cs="Times New Roman"/>
                <w:szCs w:val="20"/>
                <w:lang w:val="fr-CA"/>
              </w:rPr>
            </w:pPr>
            <w:r w:rsidRPr="00E433FF">
              <w:rPr>
                <w:rFonts w:cs="Times New Roman"/>
                <w:szCs w:val="20"/>
                <w:lang w:val="fr-CA"/>
              </w:rPr>
              <w:tab/>
            </w:r>
            <w:r w:rsidR="00A926BB" w:rsidRPr="00FE6980">
              <w:rPr>
                <w:szCs w:val="20"/>
                <w:lang w:val="fr-CA"/>
              </w:rPr>
              <w:t>La demande d’autorisation d’appel de l’arrêt de la Cour d’appel fédérale, numéro A-4-15, 2015 CAF 291, daté du 17 décembre 2015, est rejetée avec dépens.</w:t>
            </w:r>
          </w:p>
          <w:p w:rsidR="0026298F" w:rsidRPr="00FE6980" w:rsidRDefault="0026298F" w:rsidP="00A926BB">
            <w:pPr>
              <w:pStyle w:val="SCCShortJudgment"/>
              <w:ind w:firstLine="0"/>
              <w:rPr>
                <w:rFonts w:cs="Times New Roman"/>
                <w:szCs w:val="20"/>
                <w:lang w:val="fr-CA"/>
              </w:rPr>
            </w:pPr>
          </w:p>
          <w:p w:rsidR="0026298F" w:rsidRPr="00FE6980" w:rsidRDefault="0026298F" w:rsidP="00A926BB">
            <w:pPr>
              <w:pStyle w:val="SCCShortJudgment"/>
              <w:ind w:firstLine="0"/>
              <w:rPr>
                <w:rFonts w:cs="Times New Roman"/>
                <w:szCs w:val="20"/>
              </w:rPr>
            </w:pPr>
            <w:r w:rsidRPr="00FE6980">
              <w:rPr>
                <w:rFonts w:cs="Times New Roman"/>
                <w:szCs w:val="20"/>
                <w:lang w:val="fr-CA"/>
              </w:rPr>
              <w:tab/>
            </w:r>
            <w:r w:rsidR="00A926BB" w:rsidRPr="00FE6980">
              <w:rPr>
                <w:szCs w:val="20"/>
              </w:rPr>
              <w:t>The application for leave to appeal from the judgment of the Federal Court of Appeal, Number A-4-15, 2015 CAF 291, dated December 17, 2015, is dismissed with costs.</w:t>
            </w:r>
          </w:p>
          <w:p w:rsidR="0026298F" w:rsidRPr="00FE6980" w:rsidRDefault="0026298F" w:rsidP="00A926BB">
            <w:pPr>
              <w:pStyle w:val="SCCShortJudgment"/>
              <w:ind w:firstLine="0"/>
              <w:rPr>
                <w:rFonts w:cs="Times New Roman"/>
                <w:szCs w:val="20"/>
              </w:rPr>
            </w:pPr>
          </w:p>
        </w:tc>
      </w:tr>
      <w:tr w:rsidR="0026298F" w:rsidRPr="00FE6980" w:rsidTr="00270FF2">
        <w:trPr>
          <w:cantSplit/>
        </w:trPr>
        <w:tc>
          <w:tcPr>
            <w:tcW w:w="9576" w:type="dxa"/>
            <w:gridSpan w:val="4"/>
          </w:tcPr>
          <w:p w:rsidR="0026298F" w:rsidRPr="00FE6980" w:rsidRDefault="0026298F" w:rsidP="00A926BB">
            <w:pPr>
              <w:pStyle w:val="SCCShortJudgment"/>
              <w:ind w:firstLine="0"/>
              <w:rPr>
                <w:rFonts w:cs="Times New Roman"/>
                <w:szCs w:val="20"/>
                <w:u w:val="single"/>
                <w:lang w:val="fr-CA"/>
              </w:rPr>
            </w:pPr>
            <w:r w:rsidRPr="00FE6980">
              <w:rPr>
                <w:rFonts w:cs="Times New Roman"/>
                <w:szCs w:val="20"/>
                <w:u w:val="single"/>
                <w:lang w:val="fr-CA"/>
              </w:rPr>
              <w:t>CASE SUMMARY</w:t>
            </w:r>
          </w:p>
          <w:p w:rsidR="0026298F" w:rsidRPr="00FE6980" w:rsidRDefault="0026298F" w:rsidP="00A926BB">
            <w:pPr>
              <w:pStyle w:val="SCCShortJudgment"/>
              <w:ind w:firstLine="0"/>
              <w:rPr>
                <w:rFonts w:cs="Times New Roman"/>
                <w:szCs w:val="20"/>
                <w:lang w:val="fr-CA"/>
              </w:rPr>
            </w:pPr>
          </w:p>
        </w:tc>
      </w:tr>
      <w:tr w:rsidR="0026298F" w:rsidRPr="00FE6980" w:rsidTr="00270FF2">
        <w:trPr>
          <w:cantSplit/>
        </w:trPr>
        <w:tc>
          <w:tcPr>
            <w:tcW w:w="9576" w:type="dxa"/>
            <w:gridSpan w:val="4"/>
          </w:tcPr>
          <w:p w:rsidR="0026298F" w:rsidRPr="00FE6980" w:rsidRDefault="00A926BB" w:rsidP="00A926BB">
            <w:pPr>
              <w:pStyle w:val="SCCShortJudgment"/>
              <w:ind w:firstLine="0"/>
              <w:rPr>
                <w:szCs w:val="20"/>
              </w:rPr>
            </w:pPr>
            <w:r w:rsidRPr="00FE6980">
              <w:rPr>
                <w:szCs w:val="20"/>
              </w:rPr>
              <w:t>Public service – Labour relations – Grievance – Judicial review – Standard of review – Appeal – Leave to appeal – Public servant dismissed for cheating during hiring process – Public Service Labour Relations Board dismissing public servant’s grievance against his dismissal – Application for judicial review and appeal dismissed – Leave to appeal sought – Whether applicant raising issue of public importance.</w:t>
            </w:r>
          </w:p>
          <w:p w:rsidR="00A926BB" w:rsidRPr="00FE6980" w:rsidRDefault="00A926BB" w:rsidP="00A926BB">
            <w:pPr>
              <w:pStyle w:val="SCCShortJudgment"/>
              <w:ind w:firstLine="0"/>
              <w:rPr>
                <w:rFonts w:cs="Times New Roman"/>
                <w:szCs w:val="20"/>
              </w:rPr>
            </w:pPr>
          </w:p>
        </w:tc>
      </w:tr>
      <w:tr w:rsidR="0026298F" w:rsidRPr="00FE6980" w:rsidTr="00270FF2">
        <w:trPr>
          <w:cantSplit/>
        </w:trPr>
        <w:tc>
          <w:tcPr>
            <w:tcW w:w="9576" w:type="dxa"/>
            <w:gridSpan w:val="4"/>
          </w:tcPr>
          <w:p w:rsidR="00A926BB" w:rsidRPr="00FE6980" w:rsidRDefault="00A926BB" w:rsidP="00A926BB">
            <w:pPr>
              <w:jc w:val="both"/>
              <w:rPr>
                <w:sz w:val="20"/>
                <w:szCs w:val="20"/>
              </w:rPr>
            </w:pPr>
            <w:r w:rsidRPr="00FE6980">
              <w:rPr>
                <w:sz w:val="20"/>
                <w:szCs w:val="20"/>
              </w:rPr>
              <w:t>The applicant was a pre</w:t>
            </w:r>
            <w:r w:rsidRPr="00FE6980">
              <w:rPr>
                <w:sz w:val="20"/>
                <w:szCs w:val="20"/>
              </w:rPr>
              <w:noBreakHyphen/>
              <w:t xml:space="preserve">removal risk assessment officer </w:t>
            </w:r>
            <w:r w:rsidRPr="00FE6980">
              <w:rPr>
                <w:rFonts w:cs="Times New Roman"/>
                <w:sz w:val="20"/>
                <w:szCs w:val="20"/>
              </w:rPr>
              <w:t>with the De</w:t>
            </w:r>
            <w:r w:rsidRPr="00FE6980">
              <w:rPr>
                <w:sz w:val="20"/>
                <w:szCs w:val="20"/>
              </w:rPr>
              <w:t>partment of Citizenship and Immigration in Calgary. In April 2010, he was dismissed following an internal investigation that found that he had improperly obtained the questions and answers for a selection exam for promotion and had used them for the exam. The applicant admitted receiving the exam questions and answers for the selection process in which he had participated and using them to prepare for and then complete the exam. However, he denied the allegation that he had entered the office of a co</w:t>
            </w:r>
            <w:r w:rsidRPr="00FE6980">
              <w:rPr>
                <w:sz w:val="20"/>
                <w:szCs w:val="20"/>
              </w:rPr>
              <w:noBreakHyphen/>
              <w:t>worker who had taken the exam before him to send himself the exam questions from her computer.</w:t>
            </w:r>
          </w:p>
          <w:p w:rsidR="0026298F" w:rsidRPr="00FE6980" w:rsidRDefault="0026298F" w:rsidP="00A926BB">
            <w:pPr>
              <w:pStyle w:val="SCCShortJudgment"/>
              <w:ind w:firstLine="0"/>
              <w:rPr>
                <w:rFonts w:cs="Times New Roman"/>
                <w:szCs w:val="20"/>
              </w:rPr>
            </w:pPr>
          </w:p>
        </w:tc>
      </w:tr>
      <w:tr w:rsidR="0026298F" w:rsidRPr="00FE6980" w:rsidTr="00270FF2">
        <w:trPr>
          <w:cantSplit/>
        </w:trPr>
        <w:tc>
          <w:tcPr>
            <w:tcW w:w="9576" w:type="dxa"/>
            <w:gridSpan w:val="4"/>
          </w:tcPr>
          <w:p w:rsidR="00A926BB" w:rsidRPr="00FE6980" w:rsidRDefault="00A926BB" w:rsidP="00A926BB">
            <w:pPr>
              <w:jc w:val="both"/>
              <w:rPr>
                <w:sz w:val="20"/>
                <w:szCs w:val="20"/>
              </w:rPr>
            </w:pPr>
            <w:r w:rsidRPr="00FE6980">
              <w:rPr>
                <w:sz w:val="20"/>
                <w:szCs w:val="20"/>
              </w:rPr>
              <w:t xml:space="preserve">The applicant grieved his dismissal, arguing that it was too severe a disciplinary sanction. The adjudicator dismissed the grievance, finding that the evidence against the applicant was overwhelming and that the allegations made and proven had damaged the relationship of trust between employee and employer. </w:t>
            </w:r>
          </w:p>
          <w:p w:rsidR="0026298F" w:rsidRPr="00FE6980" w:rsidRDefault="0026298F" w:rsidP="00A926BB">
            <w:pPr>
              <w:pStyle w:val="SCCShortJudgment"/>
              <w:ind w:firstLine="0"/>
              <w:rPr>
                <w:rFonts w:cs="Times New Roman"/>
                <w:szCs w:val="20"/>
              </w:rPr>
            </w:pPr>
          </w:p>
        </w:tc>
      </w:tr>
      <w:tr w:rsidR="00A926BB" w:rsidRPr="00FE6980" w:rsidTr="00270FF2">
        <w:trPr>
          <w:cantSplit/>
        </w:trPr>
        <w:tc>
          <w:tcPr>
            <w:tcW w:w="4410" w:type="dxa"/>
            <w:gridSpan w:val="2"/>
          </w:tcPr>
          <w:p w:rsidR="00A926BB" w:rsidRPr="00FE6980" w:rsidRDefault="00A926BB" w:rsidP="00A926BB">
            <w:pPr>
              <w:jc w:val="both"/>
              <w:rPr>
                <w:sz w:val="20"/>
                <w:szCs w:val="20"/>
              </w:rPr>
            </w:pPr>
            <w:r w:rsidRPr="00FE6980">
              <w:rPr>
                <w:sz w:val="20"/>
                <w:szCs w:val="20"/>
              </w:rPr>
              <w:t>January 20, 2014</w:t>
            </w:r>
          </w:p>
          <w:p w:rsidR="00A926BB" w:rsidRPr="00FE6980" w:rsidRDefault="00A926BB" w:rsidP="00A926BB">
            <w:pPr>
              <w:jc w:val="both"/>
              <w:rPr>
                <w:sz w:val="20"/>
                <w:szCs w:val="20"/>
              </w:rPr>
            </w:pPr>
            <w:r w:rsidRPr="00FE6980">
              <w:rPr>
                <w:sz w:val="20"/>
                <w:szCs w:val="20"/>
              </w:rPr>
              <w:t>Public Service Labour Relations Board</w:t>
            </w:r>
          </w:p>
          <w:p w:rsidR="00A926BB" w:rsidRPr="00FE6980" w:rsidRDefault="00A926BB" w:rsidP="00A926BB">
            <w:pPr>
              <w:jc w:val="both"/>
              <w:rPr>
                <w:sz w:val="20"/>
                <w:szCs w:val="20"/>
              </w:rPr>
            </w:pPr>
            <w:r w:rsidRPr="00FE6980">
              <w:rPr>
                <w:sz w:val="20"/>
                <w:szCs w:val="20"/>
              </w:rPr>
              <w:t xml:space="preserve">(Linda </w:t>
            </w:r>
            <w:proofErr w:type="spellStart"/>
            <w:r w:rsidRPr="00FE6980">
              <w:rPr>
                <w:sz w:val="20"/>
                <w:szCs w:val="20"/>
              </w:rPr>
              <w:t>Gobeil</w:t>
            </w:r>
            <w:proofErr w:type="spellEnd"/>
            <w:r w:rsidRPr="00FE6980">
              <w:rPr>
                <w:sz w:val="20"/>
                <w:szCs w:val="20"/>
              </w:rPr>
              <w:t>, Adjudicator)</w:t>
            </w:r>
          </w:p>
          <w:p w:rsidR="00A926BB" w:rsidRPr="00FE6980" w:rsidRDefault="00E433FF" w:rsidP="00A926BB">
            <w:pPr>
              <w:jc w:val="both"/>
              <w:rPr>
                <w:sz w:val="20"/>
                <w:szCs w:val="20"/>
                <w:u w:val="single"/>
              </w:rPr>
            </w:pPr>
            <w:hyperlink r:id="rId24" w:history="1">
              <w:r w:rsidR="00A926BB" w:rsidRPr="00FE6980">
                <w:rPr>
                  <w:rStyle w:val="Hyperlink"/>
                  <w:sz w:val="20"/>
                  <w:szCs w:val="20"/>
                </w:rPr>
                <w:t>2014 PSLRB 6</w:t>
              </w:r>
            </w:hyperlink>
          </w:p>
          <w:p w:rsidR="00A926BB" w:rsidRPr="00FE6980" w:rsidRDefault="00A926BB" w:rsidP="00A926BB">
            <w:pPr>
              <w:jc w:val="both"/>
              <w:rPr>
                <w:rFonts w:cs="Times New Roman"/>
                <w:sz w:val="20"/>
                <w:szCs w:val="20"/>
              </w:rPr>
            </w:pPr>
          </w:p>
        </w:tc>
        <w:tc>
          <w:tcPr>
            <w:tcW w:w="630" w:type="dxa"/>
          </w:tcPr>
          <w:p w:rsidR="00A926BB" w:rsidRPr="00FE6980" w:rsidRDefault="00A926BB" w:rsidP="00A926BB">
            <w:pPr>
              <w:pStyle w:val="SCCShortJudgment"/>
              <w:ind w:firstLine="0"/>
              <w:rPr>
                <w:rFonts w:cs="Times New Roman"/>
                <w:szCs w:val="20"/>
              </w:rPr>
            </w:pPr>
          </w:p>
        </w:tc>
        <w:tc>
          <w:tcPr>
            <w:tcW w:w="4536" w:type="dxa"/>
          </w:tcPr>
          <w:p w:rsidR="00A926BB" w:rsidRPr="00FE6980" w:rsidRDefault="00A926BB" w:rsidP="00A926BB">
            <w:pPr>
              <w:jc w:val="both"/>
              <w:rPr>
                <w:sz w:val="20"/>
                <w:szCs w:val="20"/>
              </w:rPr>
            </w:pPr>
            <w:r w:rsidRPr="00FE6980">
              <w:rPr>
                <w:sz w:val="20"/>
                <w:szCs w:val="20"/>
              </w:rPr>
              <w:t>Applicant’s grievance dismissed</w:t>
            </w:r>
          </w:p>
        </w:tc>
      </w:tr>
      <w:tr w:rsidR="00A926BB" w:rsidRPr="00FE6980" w:rsidTr="00270FF2">
        <w:trPr>
          <w:cantSplit/>
        </w:trPr>
        <w:tc>
          <w:tcPr>
            <w:tcW w:w="4410" w:type="dxa"/>
            <w:gridSpan w:val="2"/>
          </w:tcPr>
          <w:p w:rsidR="00A926BB" w:rsidRPr="00FE6980" w:rsidRDefault="00A926BB" w:rsidP="00A926BB">
            <w:pPr>
              <w:jc w:val="both"/>
              <w:rPr>
                <w:sz w:val="20"/>
                <w:szCs w:val="20"/>
              </w:rPr>
            </w:pPr>
            <w:r w:rsidRPr="00FE6980">
              <w:rPr>
                <w:sz w:val="20"/>
                <w:szCs w:val="20"/>
              </w:rPr>
              <w:t>December 12, 2014</w:t>
            </w:r>
          </w:p>
          <w:p w:rsidR="00A926BB" w:rsidRPr="00FE6980" w:rsidRDefault="00A926BB" w:rsidP="00A926BB">
            <w:pPr>
              <w:jc w:val="both"/>
              <w:rPr>
                <w:sz w:val="20"/>
                <w:szCs w:val="20"/>
              </w:rPr>
            </w:pPr>
            <w:r w:rsidRPr="00FE6980">
              <w:rPr>
                <w:sz w:val="20"/>
                <w:szCs w:val="20"/>
              </w:rPr>
              <w:t xml:space="preserve">Federal Court </w:t>
            </w:r>
          </w:p>
          <w:p w:rsidR="00A926BB" w:rsidRPr="00FE6980" w:rsidRDefault="00A926BB" w:rsidP="00A926BB">
            <w:pPr>
              <w:jc w:val="both"/>
              <w:rPr>
                <w:sz w:val="20"/>
                <w:szCs w:val="20"/>
              </w:rPr>
            </w:pPr>
            <w:r w:rsidRPr="00FE6980">
              <w:rPr>
                <w:sz w:val="20"/>
                <w:szCs w:val="20"/>
              </w:rPr>
              <w:t>(Locke J.)</w:t>
            </w:r>
          </w:p>
          <w:p w:rsidR="00A926BB" w:rsidRPr="00FE6980" w:rsidRDefault="00E433FF" w:rsidP="00A926BB">
            <w:pPr>
              <w:jc w:val="both"/>
              <w:rPr>
                <w:sz w:val="20"/>
                <w:szCs w:val="20"/>
                <w:u w:val="single"/>
              </w:rPr>
            </w:pPr>
            <w:hyperlink r:id="rId25" w:history="1">
              <w:r w:rsidR="00A926BB" w:rsidRPr="00FE6980">
                <w:rPr>
                  <w:rStyle w:val="Hyperlink"/>
                  <w:sz w:val="20"/>
                  <w:szCs w:val="20"/>
                </w:rPr>
                <w:t>2014 FC 1206</w:t>
              </w:r>
            </w:hyperlink>
          </w:p>
          <w:p w:rsidR="00A926BB" w:rsidRPr="00FE6980" w:rsidRDefault="00A926BB" w:rsidP="00A926BB">
            <w:pPr>
              <w:jc w:val="both"/>
              <w:rPr>
                <w:rFonts w:cs="Times New Roman"/>
                <w:sz w:val="20"/>
                <w:szCs w:val="20"/>
              </w:rPr>
            </w:pPr>
          </w:p>
        </w:tc>
        <w:tc>
          <w:tcPr>
            <w:tcW w:w="630" w:type="dxa"/>
          </w:tcPr>
          <w:p w:rsidR="00A926BB" w:rsidRPr="00FE6980" w:rsidRDefault="00A926BB" w:rsidP="00A926BB">
            <w:pPr>
              <w:pStyle w:val="SCCShortJudgment"/>
              <w:ind w:firstLine="0"/>
              <w:rPr>
                <w:rFonts w:cs="Times New Roman"/>
                <w:szCs w:val="20"/>
              </w:rPr>
            </w:pPr>
          </w:p>
        </w:tc>
        <w:tc>
          <w:tcPr>
            <w:tcW w:w="4536" w:type="dxa"/>
          </w:tcPr>
          <w:p w:rsidR="00A926BB" w:rsidRPr="00FE6980" w:rsidRDefault="00A926BB" w:rsidP="00A926BB">
            <w:pPr>
              <w:jc w:val="both"/>
              <w:rPr>
                <w:sz w:val="20"/>
                <w:szCs w:val="20"/>
              </w:rPr>
            </w:pPr>
            <w:r w:rsidRPr="00FE6980">
              <w:rPr>
                <w:sz w:val="20"/>
                <w:szCs w:val="20"/>
              </w:rPr>
              <w:t>Application for judicial review dismissed</w:t>
            </w:r>
          </w:p>
          <w:p w:rsidR="00A926BB" w:rsidRPr="00FE6980" w:rsidRDefault="00A926BB" w:rsidP="00A926BB">
            <w:pPr>
              <w:jc w:val="both"/>
              <w:rPr>
                <w:rFonts w:cs="Times New Roman"/>
                <w:sz w:val="20"/>
                <w:szCs w:val="20"/>
              </w:rPr>
            </w:pPr>
          </w:p>
        </w:tc>
      </w:tr>
      <w:tr w:rsidR="00A926BB" w:rsidRPr="00FE6980" w:rsidTr="00270FF2">
        <w:trPr>
          <w:cantSplit/>
        </w:trPr>
        <w:tc>
          <w:tcPr>
            <w:tcW w:w="4410" w:type="dxa"/>
            <w:gridSpan w:val="2"/>
          </w:tcPr>
          <w:p w:rsidR="00A926BB" w:rsidRPr="00FE6980" w:rsidRDefault="00A926BB" w:rsidP="00A926BB">
            <w:pPr>
              <w:jc w:val="both"/>
              <w:rPr>
                <w:sz w:val="20"/>
                <w:szCs w:val="20"/>
              </w:rPr>
            </w:pPr>
            <w:r w:rsidRPr="00FE6980">
              <w:rPr>
                <w:sz w:val="20"/>
                <w:szCs w:val="20"/>
              </w:rPr>
              <w:t>December 17, 2015</w:t>
            </w:r>
          </w:p>
          <w:p w:rsidR="00A926BB" w:rsidRPr="00FE6980" w:rsidRDefault="00A926BB" w:rsidP="00A926BB">
            <w:pPr>
              <w:jc w:val="both"/>
              <w:rPr>
                <w:sz w:val="20"/>
                <w:szCs w:val="20"/>
              </w:rPr>
            </w:pPr>
            <w:r w:rsidRPr="00FE6980">
              <w:rPr>
                <w:sz w:val="20"/>
                <w:szCs w:val="20"/>
              </w:rPr>
              <w:t>Federal Court of Appeal</w:t>
            </w:r>
          </w:p>
          <w:p w:rsidR="00A926BB" w:rsidRPr="00FE6980" w:rsidRDefault="00A926BB" w:rsidP="00A926BB">
            <w:pPr>
              <w:jc w:val="both"/>
              <w:rPr>
                <w:sz w:val="20"/>
                <w:szCs w:val="20"/>
              </w:rPr>
            </w:pPr>
            <w:r w:rsidRPr="00FE6980">
              <w:rPr>
                <w:sz w:val="20"/>
                <w:szCs w:val="20"/>
              </w:rPr>
              <w:t xml:space="preserve">(Gauthier, </w:t>
            </w:r>
            <w:proofErr w:type="spellStart"/>
            <w:r w:rsidRPr="00FE6980">
              <w:rPr>
                <w:sz w:val="20"/>
                <w:szCs w:val="20"/>
              </w:rPr>
              <w:t>Boivin</w:t>
            </w:r>
            <w:proofErr w:type="spellEnd"/>
            <w:r w:rsidRPr="00FE6980">
              <w:rPr>
                <w:sz w:val="20"/>
                <w:szCs w:val="20"/>
              </w:rPr>
              <w:t xml:space="preserve"> and Rennie JJ.A.)</w:t>
            </w:r>
          </w:p>
          <w:p w:rsidR="00A926BB" w:rsidRPr="00FE6980" w:rsidRDefault="00E433FF" w:rsidP="00A926BB">
            <w:pPr>
              <w:jc w:val="both"/>
              <w:rPr>
                <w:sz w:val="20"/>
                <w:szCs w:val="20"/>
                <w:u w:val="single"/>
              </w:rPr>
            </w:pPr>
            <w:hyperlink r:id="rId26" w:history="1">
              <w:r w:rsidR="00A926BB" w:rsidRPr="00FE6980">
                <w:rPr>
                  <w:rStyle w:val="Hyperlink"/>
                  <w:sz w:val="20"/>
                  <w:szCs w:val="20"/>
                </w:rPr>
                <w:t>2015 FCA 291</w:t>
              </w:r>
            </w:hyperlink>
          </w:p>
          <w:p w:rsidR="00A926BB" w:rsidRPr="00FE6980" w:rsidRDefault="00A926BB" w:rsidP="00A926BB">
            <w:pPr>
              <w:jc w:val="both"/>
              <w:rPr>
                <w:rFonts w:cs="Times New Roman"/>
                <w:sz w:val="20"/>
                <w:szCs w:val="20"/>
              </w:rPr>
            </w:pPr>
          </w:p>
        </w:tc>
        <w:tc>
          <w:tcPr>
            <w:tcW w:w="630" w:type="dxa"/>
          </w:tcPr>
          <w:p w:rsidR="00A926BB" w:rsidRPr="00FE6980" w:rsidRDefault="00A926BB" w:rsidP="00A926BB">
            <w:pPr>
              <w:pStyle w:val="SCCShortJudgment"/>
              <w:ind w:firstLine="0"/>
              <w:rPr>
                <w:rFonts w:cs="Times New Roman"/>
                <w:szCs w:val="20"/>
              </w:rPr>
            </w:pPr>
          </w:p>
        </w:tc>
        <w:tc>
          <w:tcPr>
            <w:tcW w:w="4536" w:type="dxa"/>
          </w:tcPr>
          <w:p w:rsidR="00A926BB" w:rsidRPr="00FE6980" w:rsidRDefault="00A926BB" w:rsidP="00A926BB">
            <w:pPr>
              <w:jc w:val="both"/>
              <w:rPr>
                <w:sz w:val="20"/>
                <w:szCs w:val="20"/>
              </w:rPr>
            </w:pPr>
            <w:r w:rsidRPr="00FE6980">
              <w:rPr>
                <w:sz w:val="20"/>
                <w:szCs w:val="20"/>
              </w:rPr>
              <w:t>Appeal dismissed</w:t>
            </w:r>
          </w:p>
          <w:p w:rsidR="00A926BB" w:rsidRPr="00FE6980" w:rsidRDefault="00A926BB" w:rsidP="00A926BB">
            <w:pPr>
              <w:jc w:val="both"/>
              <w:rPr>
                <w:rFonts w:cs="Times New Roman"/>
                <w:sz w:val="20"/>
                <w:szCs w:val="20"/>
              </w:rPr>
            </w:pPr>
          </w:p>
        </w:tc>
      </w:tr>
      <w:tr w:rsidR="00A926BB" w:rsidRPr="00FE6980" w:rsidTr="00270FF2">
        <w:trPr>
          <w:cantSplit/>
        </w:trPr>
        <w:tc>
          <w:tcPr>
            <w:tcW w:w="4410" w:type="dxa"/>
            <w:gridSpan w:val="2"/>
          </w:tcPr>
          <w:p w:rsidR="00A926BB" w:rsidRPr="00FE6980" w:rsidRDefault="00A926BB" w:rsidP="00A926BB">
            <w:pPr>
              <w:jc w:val="both"/>
              <w:rPr>
                <w:sz w:val="20"/>
                <w:szCs w:val="20"/>
              </w:rPr>
            </w:pPr>
            <w:r w:rsidRPr="00FE6980">
              <w:rPr>
                <w:sz w:val="20"/>
                <w:szCs w:val="20"/>
              </w:rPr>
              <w:t>February 17, 2016</w:t>
            </w:r>
          </w:p>
          <w:p w:rsidR="00A926BB" w:rsidRPr="00FE6980" w:rsidRDefault="00A926BB" w:rsidP="00A926BB">
            <w:pPr>
              <w:jc w:val="both"/>
              <w:rPr>
                <w:rFonts w:cs="Times New Roman"/>
                <w:sz w:val="20"/>
                <w:szCs w:val="20"/>
              </w:rPr>
            </w:pPr>
            <w:r w:rsidRPr="00FE6980">
              <w:rPr>
                <w:sz w:val="20"/>
                <w:szCs w:val="20"/>
              </w:rPr>
              <w:t>Supreme Court of Canada</w:t>
            </w:r>
          </w:p>
        </w:tc>
        <w:tc>
          <w:tcPr>
            <w:tcW w:w="630" w:type="dxa"/>
          </w:tcPr>
          <w:p w:rsidR="00A926BB" w:rsidRPr="00FE6980" w:rsidRDefault="00A926BB" w:rsidP="00A926BB">
            <w:pPr>
              <w:jc w:val="both"/>
              <w:rPr>
                <w:rFonts w:cs="Times New Roman"/>
                <w:sz w:val="20"/>
                <w:szCs w:val="20"/>
              </w:rPr>
            </w:pPr>
          </w:p>
        </w:tc>
        <w:tc>
          <w:tcPr>
            <w:tcW w:w="4536" w:type="dxa"/>
          </w:tcPr>
          <w:p w:rsidR="00A926BB" w:rsidRPr="00FE6980" w:rsidRDefault="00A926BB" w:rsidP="00A926BB">
            <w:pPr>
              <w:jc w:val="both"/>
              <w:rPr>
                <w:rFonts w:cs="Times New Roman"/>
                <w:sz w:val="20"/>
                <w:szCs w:val="20"/>
              </w:rPr>
            </w:pPr>
            <w:r w:rsidRPr="00FE6980">
              <w:rPr>
                <w:sz w:val="20"/>
                <w:szCs w:val="20"/>
              </w:rPr>
              <w:t>Application for leave to appeal filed</w:t>
            </w:r>
          </w:p>
        </w:tc>
      </w:tr>
      <w:tr w:rsidR="00A926BB" w:rsidRPr="00FE6980" w:rsidTr="00270FF2">
        <w:trPr>
          <w:cantSplit/>
        </w:trPr>
        <w:tc>
          <w:tcPr>
            <w:tcW w:w="9576" w:type="dxa"/>
            <w:gridSpan w:val="4"/>
          </w:tcPr>
          <w:p w:rsidR="00A926BB" w:rsidRPr="00FE6980" w:rsidRDefault="00E433FF" w:rsidP="00A926BB">
            <w:pPr>
              <w:pStyle w:val="SCCShortJudgment"/>
              <w:ind w:firstLine="0"/>
              <w:rPr>
                <w:rFonts w:cs="Times New Roman"/>
                <w:szCs w:val="20"/>
                <w:lang w:val="fr-CA"/>
              </w:rPr>
            </w:pPr>
            <w:r>
              <w:rPr>
                <w:rFonts w:cs="Times New Roman"/>
                <w:szCs w:val="20"/>
                <w:lang w:val="fr-CA"/>
              </w:rPr>
              <w:pict>
                <v:rect id="_x0000_i1047" style="width:2in;height:1pt" o:hrpct="0" o:hralign="center" o:hrstd="t" o:hrnoshade="t" o:hr="t" fillcolor="black [3213]" stroked="f"/>
              </w:pict>
            </w:r>
          </w:p>
          <w:p w:rsidR="00A926BB" w:rsidRPr="00FE6980" w:rsidRDefault="00A926BB" w:rsidP="00A926BB">
            <w:pPr>
              <w:pStyle w:val="SCCShortJudgment"/>
              <w:ind w:firstLine="0"/>
              <w:rPr>
                <w:rFonts w:cs="Times New Roman"/>
                <w:szCs w:val="20"/>
                <w:lang w:val="fr-CA"/>
              </w:rPr>
            </w:pPr>
          </w:p>
        </w:tc>
      </w:tr>
      <w:tr w:rsidR="00A926BB" w:rsidRPr="00FE6980" w:rsidTr="00270FF2">
        <w:trPr>
          <w:cantSplit/>
        </w:trPr>
        <w:tc>
          <w:tcPr>
            <w:tcW w:w="9576" w:type="dxa"/>
            <w:gridSpan w:val="4"/>
          </w:tcPr>
          <w:p w:rsidR="00A926BB" w:rsidRPr="00FE6980" w:rsidRDefault="00A926BB" w:rsidP="00A926BB">
            <w:pPr>
              <w:pStyle w:val="SCCShortJudgment"/>
              <w:ind w:firstLine="0"/>
              <w:rPr>
                <w:rFonts w:cs="Times New Roman"/>
                <w:szCs w:val="20"/>
                <w:u w:val="single"/>
                <w:lang w:val="fr-CA"/>
              </w:rPr>
            </w:pPr>
            <w:r w:rsidRPr="00FE6980">
              <w:rPr>
                <w:rFonts w:cs="Times New Roman"/>
                <w:szCs w:val="20"/>
                <w:u w:val="single"/>
                <w:lang w:val="fr-CA"/>
              </w:rPr>
              <w:t>RÉSUMÉ DE L’AFFAIRE </w:t>
            </w:r>
          </w:p>
          <w:p w:rsidR="00A926BB" w:rsidRPr="00FE6980" w:rsidRDefault="00A926BB" w:rsidP="00A926BB">
            <w:pPr>
              <w:pStyle w:val="SCCShortJudgment"/>
              <w:ind w:firstLine="0"/>
              <w:rPr>
                <w:rFonts w:cs="Times New Roman"/>
                <w:szCs w:val="20"/>
                <w:lang w:val="fr-CA"/>
              </w:rPr>
            </w:pPr>
          </w:p>
        </w:tc>
      </w:tr>
      <w:tr w:rsidR="00A926BB" w:rsidRPr="00E433FF" w:rsidTr="00270FF2">
        <w:trPr>
          <w:cantSplit/>
        </w:trPr>
        <w:tc>
          <w:tcPr>
            <w:tcW w:w="9576" w:type="dxa"/>
            <w:gridSpan w:val="4"/>
          </w:tcPr>
          <w:p w:rsidR="00A926BB" w:rsidRPr="00FE6980" w:rsidRDefault="00A926BB" w:rsidP="00A926BB">
            <w:pPr>
              <w:pStyle w:val="SCCShortJudgment"/>
              <w:ind w:firstLine="0"/>
              <w:rPr>
                <w:szCs w:val="20"/>
                <w:lang w:val="fr-CA"/>
              </w:rPr>
            </w:pPr>
            <w:r w:rsidRPr="00FE6980">
              <w:rPr>
                <w:szCs w:val="20"/>
                <w:lang w:val="fr-CA"/>
              </w:rPr>
              <w:t>Fonction publique – Relations du travail – Grief – Contrôle judiciaire – Norme de contrôle – Appel – Permission d’appeler – Fonctionnaire congédié pour avoir triché lors d’un processus d’embauche – Commission des relations de travail dans la fonction publique rejetant le grief du fonctionnaire contestant son congédiement – Contrôle judiciaire et appel rejetés – Permission d’en appeler déposée – Le demandeur soulève-t-il une question d’importance pour le public?</w:t>
            </w:r>
          </w:p>
          <w:p w:rsidR="00A926BB" w:rsidRPr="00FE6980" w:rsidRDefault="00A926BB" w:rsidP="00A926BB">
            <w:pPr>
              <w:pStyle w:val="SCCShortJudgment"/>
              <w:ind w:firstLine="0"/>
              <w:rPr>
                <w:rFonts w:cs="Times New Roman"/>
                <w:szCs w:val="20"/>
                <w:lang w:val="fr-CA"/>
              </w:rPr>
            </w:pPr>
          </w:p>
        </w:tc>
      </w:tr>
      <w:tr w:rsidR="00A926BB" w:rsidRPr="00E433FF" w:rsidTr="00270FF2">
        <w:trPr>
          <w:cantSplit/>
        </w:trPr>
        <w:tc>
          <w:tcPr>
            <w:tcW w:w="9576" w:type="dxa"/>
            <w:gridSpan w:val="4"/>
          </w:tcPr>
          <w:p w:rsidR="00A926BB" w:rsidRPr="00FE6980" w:rsidRDefault="00A926BB" w:rsidP="00A926BB">
            <w:pPr>
              <w:jc w:val="both"/>
              <w:rPr>
                <w:sz w:val="20"/>
                <w:szCs w:val="20"/>
                <w:lang w:val="fr-CA"/>
              </w:rPr>
            </w:pPr>
            <w:r w:rsidRPr="00FE6980">
              <w:rPr>
                <w:sz w:val="20"/>
                <w:szCs w:val="20"/>
                <w:lang w:val="fr-CA"/>
              </w:rPr>
              <w:t xml:space="preserve">Le demandeur occupait un poste d’agent d’examen des risques avant renvoi au ministère de la Citoyenneté et de l’Immigration à Calgary. En avril 2010, il a été congédié de son poste, suite à une enquête interne concluant qu’il avait obtenu de façon inappropriée les questions et réponses à un examen de sélection pour une promotion, et les avait </w:t>
            </w:r>
            <w:proofErr w:type="gramStart"/>
            <w:r w:rsidRPr="00FE6980">
              <w:rPr>
                <w:sz w:val="20"/>
                <w:szCs w:val="20"/>
                <w:lang w:val="fr-CA"/>
              </w:rPr>
              <w:t>utilisées</w:t>
            </w:r>
            <w:proofErr w:type="gramEnd"/>
            <w:r w:rsidRPr="00FE6980">
              <w:rPr>
                <w:sz w:val="20"/>
                <w:szCs w:val="20"/>
                <w:lang w:val="fr-CA"/>
              </w:rPr>
              <w:t xml:space="preserve"> pour l’examen. Le demandeur a admis avoir reçu les questions et réponses de l’examen du processus de sélection auquel il avait participé et les avoir utilisées pour se préparer à l’examen et ensuite y répondre. Par contre, le demandeur a nié les allégations à l’effet qu’il s’était introduit dans le bureau d’une collègue, qui avait passé l’examen avant lui, pour s’envoyer les questions de l’examen à partir de l’ordinateur de celle-ci.</w:t>
            </w:r>
          </w:p>
          <w:p w:rsidR="00A926BB" w:rsidRPr="00FE6980" w:rsidRDefault="00A926BB" w:rsidP="00A926BB">
            <w:pPr>
              <w:jc w:val="both"/>
              <w:rPr>
                <w:rFonts w:cs="Times New Roman"/>
                <w:sz w:val="20"/>
                <w:szCs w:val="20"/>
                <w:lang w:val="fr-CA"/>
              </w:rPr>
            </w:pPr>
          </w:p>
        </w:tc>
      </w:tr>
      <w:tr w:rsidR="00A926BB" w:rsidRPr="00E433FF" w:rsidTr="00270FF2">
        <w:trPr>
          <w:cantSplit/>
        </w:trPr>
        <w:tc>
          <w:tcPr>
            <w:tcW w:w="9576" w:type="dxa"/>
            <w:gridSpan w:val="4"/>
          </w:tcPr>
          <w:p w:rsidR="00A926BB" w:rsidRPr="00FE6980" w:rsidRDefault="00A926BB" w:rsidP="00A926BB">
            <w:pPr>
              <w:jc w:val="both"/>
              <w:rPr>
                <w:sz w:val="20"/>
                <w:szCs w:val="20"/>
                <w:lang w:val="fr-CA"/>
              </w:rPr>
            </w:pPr>
            <w:r w:rsidRPr="00FE6980">
              <w:rPr>
                <w:sz w:val="20"/>
                <w:szCs w:val="20"/>
                <w:lang w:val="fr-CA"/>
              </w:rPr>
              <w:t xml:space="preserve">Le demandeur a contesté son congédiement dans un grief, soumettant qu’il s’agissait d’une sanction disciplinaire trop sévère. L’arbitre a rejeté le grief, estimant que la preuve contre le demandeur était accablante et que les faits reprochés et prouvés avaient rompu le lien de confiance entre l’employé et l’employeur. </w:t>
            </w:r>
          </w:p>
          <w:p w:rsidR="00A926BB" w:rsidRPr="00FE6980" w:rsidRDefault="00A926BB" w:rsidP="00A926BB">
            <w:pPr>
              <w:pStyle w:val="SCCShortJudgment"/>
              <w:ind w:firstLine="0"/>
              <w:rPr>
                <w:rFonts w:cs="Times New Roman"/>
                <w:szCs w:val="20"/>
                <w:lang w:val="fr-CA"/>
              </w:rPr>
            </w:pPr>
          </w:p>
        </w:tc>
      </w:tr>
      <w:tr w:rsidR="00A926BB" w:rsidRPr="00FE6980" w:rsidTr="00270FF2">
        <w:trPr>
          <w:cantSplit/>
        </w:trPr>
        <w:tc>
          <w:tcPr>
            <w:tcW w:w="4410" w:type="dxa"/>
            <w:gridSpan w:val="2"/>
          </w:tcPr>
          <w:p w:rsidR="00A926BB" w:rsidRPr="00FE6980" w:rsidRDefault="00A926BB" w:rsidP="00A926BB">
            <w:pPr>
              <w:jc w:val="both"/>
              <w:rPr>
                <w:sz w:val="20"/>
                <w:szCs w:val="20"/>
                <w:lang w:val="fr-CA"/>
              </w:rPr>
            </w:pPr>
            <w:r w:rsidRPr="00FE6980">
              <w:rPr>
                <w:sz w:val="20"/>
                <w:szCs w:val="20"/>
                <w:lang w:val="fr-CA"/>
              </w:rPr>
              <w:t>Le 20 janvier 2014</w:t>
            </w:r>
          </w:p>
          <w:p w:rsidR="00A926BB" w:rsidRPr="00FE6980" w:rsidRDefault="00A926BB" w:rsidP="00A926BB">
            <w:pPr>
              <w:jc w:val="both"/>
              <w:rPr>
                <w:sz w:val="20"/>
                <w:szCs w:val="20"/>
                <w:lang w:val="fr-CA"/>
              </w:rPr>
            </w:pPr>
            <w:r w:rsidRPr="00FE6980">
              <w:rPr>
                <w:sz w:val="20"/>
                <w:szCs w:val="20"/>
                <w:lang w:val="fr-CA"/>
              </w:rPr>
              <w:t>Commission des relations de travail dans la fonction publique</w:t>
            </w:r>
          </w:p>
          <w:p w:rsidR="00A926BB" w:rsidRPr="00FE6980" w:rsidRDefault="00A926BB" w:rsidP="00A926BB">
            <w:pPr>
              <w:jc w:val="both"/>
              <w:rPr>
                <w:sz w:val="20"/>
                <w:szCs w:val="20"/>
                <w:lang w:val="fr-CA"/>
              </w:rPr>
            </w:pPr>
            <w:r w:rsidRPr="00FE6980">
              <w:rPr>
                <w:sz w:val="20"/>
                <w:szCs w:val="20"/>
                <w:lang w:val="fr-CA"/>
              </w:rPr>
              <w:t xml:space="preserve">(Linda </w:t>
            </w:r>
            <w:proofErr w:type="spellStart"/>
            <w:r w:rsidRPr="00FE6980">
              <w:rPr>
                <w:sz w:val="20"/>
                <w:szCs w:val="20"/>
                <w:lang w:val="fr-CA"/>
              </w:rPr>
              <w:t>Gobeil</w:t>
            </w:r>
            <w:proofErr w:type="spellEnd"/>
            <w:r w:rsidRPr="00FE6980">
              <w:rPr>
                <w:sz w:val="20"/>
                <w:szCs w:val="20"/>
                <w:lang w:val="fr-CA"/>
              </w:rPr>
              <w:t>, arbitre de grief)</w:t>
            </w:r>
          </w:p>
          <w:p w:rsidR="00A926BB" w:rsidRPr="00FE6980" w:rsidRDefault="00E433FF" w:rsidP="00A926BB">
            <w:pPr>
              <w:jc w:val="both"/>
              <w:rPr>
                <w:sz w:val="20"/>
                <w:szCs w:val="20"/>
                <w:u w:val="single"/>
              </w:rPr>
            </w:pPr>
            <w:hyperlink r:id="rId27" w:history="1">
              <w:r w:rsidR="00A926BB" w:rsidRPr="00FE6980">
                <w:rPr>
                  <w:rStyle w:val="Hyperlink"/>
                  <w:sz w:val="20"/>
                  <w:szCs w:val="20"/>
                </w:rPr>
                <w:t>2014 CRTFP 6</w:t>
              </w:r>
            </w:hyperlink>
          </w:p>
          <w:p w:rsidR="00A926BB" w:rsidRPr="00FE6980" w:rsidRDefault="00A926BB" w:rsidP="00A926BB">
            <w:pPr>
              <w:pStyle w:val="SCCShortJudgment"/>
              <w:ind w:firstLine="0"/>
              <w:rPr>
                <w:rFonts w:cs="Times New Roman"/>
                <w:szCs w:val="20"/>
                <w:lang w:val="fr-CA"/>
              </w:rPr>
            </w:pPr>
          </w:p>
        </w:tc>
        <w:tc>
          <w:tcPr>
            <w:tcW w:w="630" w:type="dxa"/>
          </w:tcPr>
          <w:p w:rsidR="00A926BB" w:rsidRPr="00FE6980" w:rsidRDefault="00A926BB" w:rsidP="00A926BB">
            <w:pPr>
              <w:pStyle w:val="SCCShortJudgment"/>
              <w:ind w:firstLine="0"/>
              <w:rPr>
                <w:rFonts w:cs="Times New Roman"/>
                <w:szCs w:val="20"/>
                <w:lang w:val="fr-CA"/>
              </w:rPr>
            </w:pPr>
          </w:p>
        </w:tc>
        <w:tc>
          <w:tcPr>
            <w:tcW w:w="4536" w:type="dxa"/>
          </w:tcPr>
          <w:p w:rsidR="00A926BB" w:rsidRPr="00FE6980" w:rsidRDefault="00A926BB" w:rsidP="00A926BB">
            <w:pPr>
              <w:jc w:val="both"/>
              <w:rPr>
                <w:sz w:val="20"/>
                <w:szCs w:val="20"/>
              </w:rPr>
            </w:pPr>
            <w:r w:rsidRPr="00FE6980">
              <w:rPr>
                <w:sz w:val="20"/>
                <w:szCs w:val="20"/>
              </w:rPr>
              <w:t xml:space="preserve">Grief du </w:t>
            </w:r>
            <w:proofErr w:type="spellStart"/>
            <w:r w:rsidRPr="00FE6980">
              <w:rPr>
                <w:sz w:val="20"/>
                <w:szCs w:val="20"/>
              </w:rPr>
              <w:t>demandeur</w:t>
            </w:r>
            <w:proofErr w:type="spellEnd"/>
            <w:r w:rsidRPr="00FE6980">
              <w:rPr>
                <w:sz w:val="20"/>
                <w:szCs w:val="20"/>
              </w:rPr>
              <w:t xml:space="preserve"> </w:t>
            </w:r>
            <w:proofErr w:type="spellStart"/>
            <w:r w:rsidRPr="00FE6980">
              <w:rPr>
                <w:sz w:val="20"/>
                <w:szCs w:val="20"/>
              </w:rPr>
              <w:t>rejeté</w:t>
            </w:r>
            <w:proofErr w:type="spellEnd"/>
          </w:p>
        </w:tc>
      </w:tr>
      <w:tr w:rsidR="00A926BB" w:rsidRPr="00FE6980" w:rsidTr="00270FF2">
        <w:trPr>
          <w:cantSplit/>
        </w:trPr>
        <w:tc>
          <w:tcPr>
            <w:tcW w:w="4410" w:type="dxa"/>
            <w:gridSpan w:val="2"/>
          </w:tcPr>
          <w:p w:rsidR="00A926BB" w:rsidRPr="00FE6980" w:rsidRDefault="00A926BB" w:rsidP="00A926BB">
            <w:pPr>
              <w:jc w:val="both"/>
              <w:rPr>
                <w:sz w:val="20"/>
                <w:szCs w:val="20"/>
                <w:lang w:val="fr-CA"/>
              </w:rPr>
            </w:pPr>
            <w:r w:rsidRPr="00FE6980">
              <w:rPr>
                <w:sz w:val="20"/>
                <w:szCs w:val="20"/>
                <w:lang w:val="fr-CA"/>
              </w:rPr>
              <w:t>Le 12 décembre 2014</w:t>
            </w:r>
          </w:p>
          <w:p w:rsidR="00A926BB" w:rsidRPr="00FE6980" w:rsidRDefault="00A926BB" w:rsidP="00A926BB">
            <w:pPr>
              <w:jc w:val="both"/>
              <w:rPr>
                <w:sz w:val="20"/>
                <w:szCs w:val="20"/>
                <w:lang w:val="fr-CA"/>
              </w:rPr>
            </w:pPr>
            <w:r w:rsidRPr="00FE6980">
              <w:rPr>
                <w:sz w:val="20"/>
                <w:szCs w:val="20"/>
                <w:lang w:val="fr-CA"/>
              </w:rPr>
              <w:t>Cour fédérale</w:t>
            </w:r>
          </w:p>
          <w:p w:rsidR="00A926BB" w:rsidRPr="00FE6980" w:rsidRDefault="00A926BB" w:rsidP="00A926BB">
            <w:pPr>
              <w:jc w:val="both"/>
              <w:rPr>
                <w:sz w:val="20"/>
                <w:szCs w:val="20"/>
                <w:lang w:val="fr-CA"/>
              </w:rPr>
            </w:pPr>
            <w:r w:rsidRPr="00FE6980">
              <w:rPr>
                <w:sz w:val="20"/>
                <w:szCs w:val="20"/>
                <w:lang w:val="fr-CA"/>
              </w:rPr>
              <w:t>(Le juge Locke)</w:t>
            </w:r>
          </w:p>
          <w:p w:rsidR="00A926BB" w:rsidRPr="00FE6980" w:rsidRDefault="00E433FF" w:rsidP="00A926BB">
            <w:pPr>
              <w:jc w:val="both"/>
              <w:rPr>
                <w:sz w:val="20"/>
                <w:szCs w:val="20"/>
                <w:u w:val="single"/>
              </w:rPr>
            </w:pPr>
            <w:hyperlink r:id="rId28" w:history="1">
              <w:r w:rsidR="00A926BB" w:rsidRPr="00FE6980">
                <w:rPr>
                  <w:rStyle w:val="Hyperlink"/>
                  <w:sz w:val="20"/>
                  <w:szCs w:val="20"/>
                </w:rPr>
                <w:t>2014 CF 1206</w:t>
              </w:r>
            </w:hyperlink>
          </w:p>
          <w:p w:rsidR="00A926BB" w:rsidRPr="00FE6980" w:rsidRDefault="00A926BB" w:rsidP="00A926BB">
            <w:pPr>
              <w:pStyle w:val="SCCShortJudgment"/>
              <w:ind w:firstLine="0"/>
              <w:rPr>
                <w:rFonts w:cs="Times New Roman"/>
                <w:szCs w:val="20"/>
                <w:lang w:val="fr-CA"/>
              </w:rPr>
            </w:pPr>
          </w:p>
        </w:tc>
        <w:tc>
          <w:tcPr>
            <w:tcW w:w="630" w:type="dxa"/>
          </w:tcPr>
          <w:p w:rsidR="00A926BB" w:rsidRPr="00FE6980" w:rsidRDefault="00A926BB" w:rsidP="00A926BB">
            <w:pPr>
              <w:pStyle w:val="SCCShortJudgment"/>
              <w:ind w:firstLine="0"/>
              <w:rPr>
                <w:rFonts w:cs="Times New Roman"/>
                <w:szCs w:val="20"/>
                <w:lang w:val="fr-CA"/>
              </w:rPr>
            </w:pPr>
          </w:p>
        </w:tc>
        <w:tc>
          <w:tcPr>
            <w:tcW w:w="4536" w:type="dxa"/>
          </w:tcPr>
          <w:p w:rsidR="00A926BB" w:rsidRPr="00FE6980" w:rsidRDefault="00A926BB" w:rsidP="00A926BB">
            <w:pPr>
              <w:jc w:val="both"/>
              <w:rPr>
                <w:sz w:val="20"/>
                <w:szCs w:val="20"/>
              </w:rPr>
            </w:pPr>
            <w:proofErr w:type="spellStart"/>
            <w:r w:rsidRPr="00FE6980">
              <w:rPr>
                <w:sz w:val="20"/>
                <w:szCs w:val="20"/>
              </w:rPr>
              <w:t>Demande</w:t>
            </w:r>
            <w:proofErr w:type="spellEnd"/>
            <w:r w:rsidRPr="00FE6980">
              <w:rPr>
                <w:sz w:val="20"/>
                <w:szCs w:val="20"/>
              </w:rPr>
              <w:t xml:space="preserve"> de </w:t>
            </w:r>
            <w:proofErr w:type="spellStart"/>
            <w:r w:rsidRPr="00FE6980">
              <w:rPr>
                <w:sz w:val="20"/>
                <w:szCs w:val="20"/>
              </w:rPr>
              <w:t>contrôle</w:t>
            </w:r>
            <w:proofErr w:type="spellEnd"/>
            <w:r w:rsidRPr="00FE6980">
              <w:rPr>
                <w:sz w:val="20"/>
                <w:szCs w:val="20"/>
              </w:rPr>
              <w:t xml:space="preserve"> </w:t>
            </w:r>
            <w:proofErr w:type="spellStart"/>
            <w:r w:rsidRPr="00FE6980">
              <w:rPr>
                <w:sz w:val="20"/>
                <w:szCs w:val="20"/>
              </w:rPr>
              <w:t>judiciaire</w:t>
            </w:r>
            <w:proofErr w:type="spellEnd"/>
            <w:r w:rsidRPr="00FE6980">
              <w:rPr>
                <w:sz w:val="20"/>
                <w:szCs w:val="20"/>
              </w:rPr>
              <w:t xml:space="preserve"> </w:t>
            </w:r>
            <w:proofErr w:type="spellStart"/>
            <w:r w:rsidRPr="00FE6980">
              <w:rPr>
                <w:sz w:val="20"/>
                <w:szCs w:val="20"/>
              </w:rPr>
              <w:t>rejetée</w:t>
            </w:r>
            <w:proofErr w:type="spellEnd"/>
          </w:p>
          <w:p w:rsidR="00A926BB" w:rsidRPr="00FE6980" w:rsidRDefault="00A926BB" w:rsidP="00A926BB">
            <w:pPr>
              <w:pStyle w:val="SCCShortJudgment"/>
              <w:ind w:firstLine="0"/>
              <w:rPr>
                <w:rFonts w:cs="Times New Roman"/>
                <w:szCs w:val="20"/>
                <w:lang w:val="fr-CA"/>
              </w:rPr>
            </w:pPr>
          </w:p>
        </w:tc>
      </w:tr>
      <w:tr w:rsidR="00A926BB" w:rsidRPr="00FE6980" w:rsidTr="00270FF2">
        <w:trPr>
          <w:cantSplit/>
        </w:trPr>
        <w:tc>
          <w:tcPr>
            <w:tcW w:w="4410" w:type="dxa"/>
            <w:gridSpan w:val="2"/>
          </w:tcPr>
          <w:p w:rsidR="00A926BB" w:rsidRPr="00FE6980" w:rsidRDefault="00A926BB" w:rsidP="00A926BB">
            <w:pPr>
              <w:jc w:val="both"/>
              <w:rPr>
                <w:sz w:val="20"/>
                <w:szCs w:val="20"/>
                <w:lang w:val="fr-CA"/>
              </w:rPr>
            </w:pPr>
            <w:r w:rsidRPr="00FE6980">
              <w:rPr>
                <w:sz w:val="20"/>
                <w:szCs w:val="20"/>
                <w:lang w:val="fr-CA"/>
              </w:rPr>
              <w:t>Le 17 décembre 2015</w:t>
            </w:r>
          </w:p>
          <w:p w:rsidR="00A926BB" w:rsidRPr="00FE6980" w:rsidRDefault="00A926BB" w:rsidP="00A926BB">
            <w:pPr>
              <w:jc w:val="both"/>
              <w:rPr>
                <w:sz w:val="20"/>
                <w:szCs w:val="20"/>
                <w:lang w:val="fr-CA"/>
              </w:rPr>
            </w:pPr>
            <w:r w:rsidRPr="00FE6980">
              <w:rPr>
                <w:sz w:val="20"/>
                <w:szCs w:val="20"/>
                <w:lang w:val="fr-CA"/>
              </w:rPr>
              <w:t>Cour d’appel fédérale</w:t>
            </w:r>
          </w:p>
          <w:p w:rsidR="00A926BB" w:rsidRPr="00FE6980" w:rsidRDefault="00A926BB" w:rsidP="00A926BB">
            <w:pPr>
              <w:jc w:val="both"/>
              <w:rPr>
                <w:sz w:val="20"/>
                <w:szCs w:val="20"/>
                <w:lang w:val="fr-CA"/>
              </w:rPr>
            </w:pPr>
            <w:r w:rsidRPr="00FE6980">
              <w:rPr>
                <w:sz w:val="20"/>
                <w:szCs w:val="20"/>
                <w:lang w:val="fr-CA"/>
              </w:rPr>
              <w:t>(Les juges Gauthier, Boivin et Rennie)</w:t>
            </w:r>
          </w:p>
          <w:p w:rsidR="00A926BB" w:rsidRPr="00FE6980" w:rsidRDefault="00E433FF" w:rsidP="00A926BB">
            <w:pPr>
              <w:jc w:val="both"/>
              <w:rPr>
                <w:sz w:val="20"/>
                <w:szCs w:val="20"/>
                <w:u w:val="single"/>
              </w:rPr>
            </w:pPr>
            <w:hyperlink r:id="rId29" w:history="1">
              <w:r w:rsidR="00A926BB" w:rsidRPr="00FE6980">
                <w:rPr>
                  <w:rStyle w:val="Hyperlink"/>
                  <w:sz w:val="20"/>
                  <w:szCs w:val="20"/>
                </w:rPr>
                <w:t>2015 CAF 291</w:t>
              </w:r>
            </w:hyperlink>
          </w:p>
          <w:p w:rsidR="00A926BB" w:rsidRPr="00FE6980" w:rsidRDefault="00A926BB" w:rsidP="00A926BB">
            <w:pPr>
              <w:pStyle w:val="SCCShortJudgment"/>
              <w:ind w:firstLine="0"/>
              <w:rPr>
                <w:rFonts w:cs="Times New Roman"/>
                <w:szCs w:val="20"/>
                <w:lang w:val="fr-CA"/>
              </w:rPr>
            </w:pPr>
          </w:p>
        </w:tc>
        <w:tc>
          <w:tcPr>
            <w:tcW w:w="630" w:type="dxa"/>
          </w:tcPr>
          <w:p w:rsidR="00A926BB" w:rsidRPr="00FE6980" w:rsidRDefault="00A926BB" w:rsidP="00A926BB">
            <w:pPr>
              <w:pStyle w:val="SCCShortJudgment"/>
              <w:ind w:firstLine="0"/>
              <w:rPr>
                <w:rFonts w:cs="Times New Roman"/>
                <w:szCs w:val="20"/>
                <w:lang w:val="fr-CA"/>
              </w:rPr>
            </w:pPr>
          </w:p>
        </w:tc>
        <w:tc>
          <w:tcPr>
            <w:tcW w:w="4536" w:type="dxa"/>
          </w:tcPr>
          <w:p w:rsidR="00A926BB" w:rsidRPr="00FE6980" w:rsidRDefault="00A926BB" w:rsidP="00A926BB">
            <w:pPr>
              <w:jc w:val="both"/>
              <w:rPr>
                <w:sz w:val="20"/>
                <w:szCs w:val="20"/>
              </w:rPr>
            </w:pPr>
            <w:r w:rsidRPr="00FE6980">
              <w:rPr>
                <w:sz w:val="20"/>
                <w:szCs w:val="20"/>
              </w:rPr>
              <w:t xml:space="preserve">Appel </w:t>
            </w:r>
            <w:proofErr w:type="spellStart"/>
            <w:r w:rsidRPr="00FE6980">
              <w:rPr>
                <w:sz w:val="20"/>
                <w:szCs w:val="20"/>
              </w:rPr>
              <w:t>rejeté</w:t>
            </w:r>
            <w:proofErr w:type="spellEnd"/>
          </w:p>
          <w:p w:rsidR="00A926BB" w:rsidRPr="00FE6980" w:rsidRDefault="00A926BB" w:rsidP="00A926BB">
            <w:pPr>
              <w:pStyle w:val="SCCShortJudgment"/>
              <w:ind w:firstLine="0"/>
              <w:rPr>
                <w:rFonts w:cs="Times New Roman"/>
                <w:szCs w:val="20"/>
                <w:lang w:val="fr-CA"/>
              </w:rPr>
            </w:pPr>
          </w:p>
        </w:tc>
      </w:tr>
      <w:tr w:rsidR="00A926BB" w:rsidRPr="00FE6980" w:rsidTr="00270FF2">
        <w:trPr>
          <w:cantSplit/>
        </w:trPr>
        <w:tc>
          <w:tcPr>
            <w:tcW w:w="4410" w:type="dxa"/>
            <w:gridSpan w:val="2"/>
          </w:tcPr>
          <w:p w:rsidR="00A926BB" w:rsidRPr="00E433FF" w:rsidRDefault="00A926BB" w:rsidP="00A926BB">
            <w:pPr>
              <w:jc w:val="both"/>
              <w:rPr>
                <w:sz w:val="20"/>
                <w:szCs w:val="20"/>
                <w:lang w:val="fr-CA"/>
              </w:rPr>
            </w:pPr>
            <w:r w:rsidRPr="00E433FF">
              <w:rPr>
                <w:sz w:val="20"/>
                <w:szCs w:val="20"/>
                <w:lang w:val="fr-CA"/>
              </w:rPr>
              <w:t>Le 17 février 2016</w:t>
            </w:r>
          </w:p>
          <w:p w:rsidR="00A926BB" w:rsidRPr="00FE6980" w:rsidRDefault="00A926BB" w:rsidP="00A926BB">
            <w:pPr>
              <w:pStyle w:val="SCCShortJudgment"/>
              <w:ind w:firstLine="0"/>
              <w:rPr>
                <w:rFonts w:cs="Times New Roman"/>
                <w:szCs w:val="20"/>
                <w:lang w:val="fr-CA"/>
              </w:rPr>
            </w:pPr>
            <w:r w:rsidRPr="00E433FF">
              <w:rPr>
                <w:szCs w:val="20"/>
                <w:lang w:val="fr-CA"/>
              </w:rPr>
              <w:t>Cour suprême du Canada</w:t>
            </w:r>
          </w:p>
        </w:tc>
        <w:tc>
          <w:tcPr>
            <w:tcW w:w="630" w:type="dxa"/>
          </w:tcPr>
          <w:p w:rsidR="00A926BB" w:rsidRPr="00FE6980" w:rsidRDefault="00A926BB" w:rsidP="00A926BB">
            <w:pPr>
              <w:pStyle w:val="SCCShortJudgment"/>
              <w:ind w:firstLine="0"/>
              <w:rPr>
                <w:rFonts w:cs="Times New Roman"/>
                <w:szCs w:val="20"/>
                <w:lang w:val="fr-CA"/>
              </w:rPr>
            </w:pPr>
          </w:p>
        </w:tc>
        <w:tc>
          <w:tcPr>
            <w:tcW w:w="4536" w:type="dxa"/>
          </w:tcPr>
          <w:p w:rsidR="00A926BB" w:rsidRPr="00FE6980" w:rsidRDefault="00A926BB" w:rsidP="00A926BB">
            <w:pPr>
              <w:jc w:val="both"/>
              <w:rPr>
                <w:sz w:val="20"/>
                <w:szCs w:val="20"/>
              </w:rPr>
            </w:pPr>
            <w:proofErr w:type="spellStart"/>
            <w:r w:rsidRPr="00FE6980">
              <w:rPr>
                <w:sz w:val="20"/>
                <w:szCs w:val="20"/>
              </w:rPr>
              <w:t>Demande</w:t>
            </w:r>
            <w:proofErr w:type="spellEnd"/>
            <w:r w:rsidRPr="00FE6980">
              <w:rPr>
                <w:sz w:val="20"/>
                <w:szCs w:val="20"/>
              </w:rPr>
              <w:t xml:space="preserve"> </w:t>
            </w:r>
            <w:proofErr w:type="spellStart"/>
            <w:r w:rsidRPr="00FE6980">
              <w:rPr>
                <w:sz w:val="20"/>
                <w:szCs w:val="20"/>
              </w:rPr>
              <w:t>d’autorisation</w:t>
            </w:r>
            <w:proofErr w:type="spellEnd"/>
            <w:r w:rsidRPr="00FE6980">
              <w:rPr>
                <w:sz w:val="20"/>
                <w:szCs w:val="20"/>
              </w:rPr>
              <w:t xml:space="preserve"> </w:t>
            </w:r>
            <w:proofErr w:type="spellStart"/>
            <w:r w:rsidRPr="00FE6980">
              <w:rPr>
                <w:sz w:val="20"/>
                <w:szCs w:val="20"/>
              </w:rPr>
              <w:t>d’appel</w:t>
            </w:r>
            <w:proofErr w:type="spellEnd"/>
            <w:r w:rsidRPr="00FE6980">
              <w:rPr>
                <w:sz w:val="20"/>
                <w:szCs w:val="20"/>
              </w:rPr>
              <w:t xml:space="preserve"> </w:t>
            </w:r>
            <w:proofErr w:type="spellStart"/>
            <w:r w:rsidRPr="00FE6980">
              <w:rPr>
                <w:sz w:val="20"/>
                <w:szCs w:val="20"/>
              </w:rPr>
              <w:t>déposée</w:t>
            </w:r>
            <w:proofErr w:type="spellEnd"/>
          </w:p>
          <w:p w:rsidR="00A926BB" w:rsidRPr="00FE6980" w:rsidRDefault="00A926BB" w:rsidP="00A926BB">
            <w:pPr>
              <w:pStyle w:val="SCCShortJudgment"/>
              <w:ind w:firstLine="0"/>
              <w:rPr>
                <w:rFonts w:cs="Times New Roman"/>
                <w:szCs w:val="20"/>
                <w:lang w:val="fr-CA"/>
              </w:rPr>
            </w:pPr>
          </w:p>
        </w:tc>
      </w:tr>
    </w:tbl>
    <w:p w:rsidR="0026298F" w:rsidRPr="00FE6980" w:rsidRDefault="00E433FF" w:rsidP="0026298F">
      <w:pPr>
        <w:rPr>
          <w:rFonts w:cs="Times New Roman"/>
          <w:sz w:val="20"/>
          <w:szCs w:val="20"/>
          <w:lang w:val="fr-CA"/>
        </w:rPr>
      </w:pPr>
      <w:r>
        <w:rPr>
          <w:rFonts w:cs="Times New Roman"/>
          <w:sz w:val="20"/>
          <w:szCs w:val="20"/>
          <w:lang w:val="fr-CA"/>
        </w:rPr>
        <w:pict>
          <v:rect id="_x0000_i1048" style="width:2in;height:1pt" o:hrpct="0" o:hralign="center" o:hrstd="t" o:hrnoshade="t" o:hr="t" fillcolor="black [3213]" stroked="f"/>
        </w:pict>
      </w:r>
    </w:p>
    <w:p w:rsidR="0026298F" w:rsidRPr="00FE6980" w:rsidRDefault="0026298F" w:rsidP="0026298F">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6298F" w:rsidRPr="00FE6980" w:rsidTr="00EA2546">
        <w:trPr>
          <w:cantSplit/>
        </w:trPr>
        <w:tc>
          <w:tcPr>
            <w:tcW w:w="1458" w:type="dxa"/>
          </w:tcPr>
          <w:p w:rsidR="0026298F" w:rsidRPr="00FE6980" w:rsidRDefault="0026298F" w:rsidP="00270FF2">
            <w:pPr>
              <w:jc w:val="both"/>
              <w:rPr>
                <w:rFonts w:cs="Times New Roman"/>
                <w:sz w:val="20"/>
                <w:szCs w:val="20"/>
              </w:rPr>
            </w:pPr>
            <w:r w:rsidRPr="00FE6980">
              <w:rPr>
                <w:rStyle w:val="SCCFileNumberChar"/>
                <w:sz w:val="20"/>
                <w:szCs w:val="20"/>
              </w:rPr>
              <w:t>36870</w:t>
            </w:r>
          </w:p>
          <w:p w:rsidR="0026298F" w:rsidRPr="00FE6980" w:rsidRDefault="0026298F" w:rsidP="00270FF2">
            <w:pPr>
              <w:jc w:val="both"/>
              <w:rPr>
                <w:rFonts w:cs="Times New Roman"/>
                <w:b/>
                <w:sz w:val="20"/>
                <w:szCs w:val="20"/>
              </w:rPr>
            </w:pPr>
          </w:p>
        </w:tc>
        <w:tc>
          <w:tcPr>
            <w:tcW w:w="8118" w:type="dxa"/>
            <w:gridSpan w:val="3"/>
          </w:tcPr>
          <w:p w:rsidR="0026298F" w:rsidRPr="00FE6980" w:rsidRDefault="00A767AC" w:rsidP="00270FF2">
            <w:pPr>
              <w:jc w:val="both"/>
              <w:rPr>
                <w:rFonts w:cs="Times New Roman"/>
                <w:sz w:val="20"/>
                <w:szCs w:val="20"/>
              </w:rPr>
            </w:pPr>
            <w:r w:rsidRPr="00FE6980">
              <w:rPr>
                <w:b/>
                <w:sz w:val="20"/>
                <w:szCs w:val="20"/>
                <w:u w:val="single"/>
              </w:rPr>
              <w:t xml:space="preserve">Jodi Graham, Colin J. Graham, by their litigation guardian, Cheryl Margaret Graham, Cheryl Margaret Graham, Joseph Raymond Graham and Christopher R. Graham v. Chrysler Canada Inc., Daimler Chrysler Financial Services Canada Inc. and </w:t>
            </w:r>
            <w:proofErr w:type="spellStart"/>
            <w:r w:rsidRPr="00FE6980">
              <w:rPr>
                <w:b/>
                <w:sz w:val="20"/>
                <w:szCs w:val="20"/>
                <w:u w:val="single"/>
              </w:rPr>
              <w:t>CorePointe</w:t>
            </w:r>
            <w:proofErr w:type="spellEnd"/>
            <w:r w:rsidRPr="00FE6980">
              <w:rPr>
                <w:b/>
                <w:sz w:val="20"/>
                <w:szCs w:val="20"/>
                <w:u w:val="single"/>
              </w:rPr>
              <w:t xml:space="preserve"> Insurance Company, formerly carrying on business as Daimler Chrysler Insurance</w:t>
            </w:r>
            <w:r w:rsidRPr="00FE6980">
              <w:rPr>
                <w:rFonts w:cs="Times New Roman"/>
                <w:sz w:val="20"/>
                <w:szCs w:val="20"/>
              </w:rPr>
              <w:t xml:space="preserve"> </w:t>
            </w:r>
            <w:r w:rsidR="0026298F" w:rsidRPr="00FE6980">
              <w:rPr>
                <w:rFonts w:cs="Times New Roman"/>
                <w:sz w:val="20"/>
                <w:szCs w:val="20"/>
              </w:rPr>
              <w:t>(Ont.) (Civil) (By Leave)</w:t>
            </w:r>
          </w:p>
          <w:p w:rsidR="0026298F" w:rsidRPr="00FE6980" w:rsidRDefault="0026298F" w:rsidP="00270FF2">
            <w:pPr>
              <w:jc w:val="both"/>
              <w:rPr>
                <w:rFonts w:cs="Times New Roman"/>
                <w:sz w:val="20"/>
                <w:szCs w:val="20"/>
              </w:rPr>
            </w:pPr>
          </w:p>
        </w:tc>
      </w:tr>
      <w:tr w:rsidR="0026298F" w:rsidRPr="00FE6980" w:rsidTr="00EA2546">
        <w:trPr>
          <w:cantSplit/>
        </w:trPr>
        <w:tc>
          <w:tcPr>
            <w:tcW w:w="1458" w:type="dxa"/>
          </w:tcPr>
          <w:p w:rsidR="0026298F" w:rsidRPr="00FE6980" w:rsidRDefault="0026298F" w:rsidP="00270FF2">
            <w:pPr>
              <w:jc w:val="both"/>
              <w:rPr>
                <w:rFonts w:cs="Times New Roman"/>
                <w:sz w:val="20"/>
                <w:szCs w:val="20"/>
              </w:rPr>
            </w:pPr>
            <w:r w:rsidRPr="00FE6980">
              <w:rPr>
                <w:rFonts w:cs="Times New Roman"/>
                <w:sz w:val="20"/>
                <w:szCs w:val="20"/>
              </w:rPr>
              <w:t>Coram :</w:t>
            </w:r>
          </w:p>
        </w:tc>
        <w:tc>
          <w:tcPr>
            <w:tcW w:w="8118" w:type="dxa"/>
            <w:gridSpan w:val="3"/>
          </w:tcPr>
          <w:p w:rsidR="0026298F" w:rsidRPr="00FE6980" w:rsidRDefault="00A767AC" w:rsidP="00270FF2">
            <w:pPr>
              <w:jc w:val="both"/>
              <w:rPr>
                <w:rStyle w:val="SCCCoramChar"/>
                <w:rFonts w:cs="Times New Roman"/>
                <w:sz w:val="20"/>
                <w:szCs w:val="20"/>
                <w:lang w:val="en-CA"/>
              </w:rPr>
            </w:pPr>
            <w:r w:rsidRPr="00FE6980">
              <w:rPr>
                <w:rStyle w:val="SCCCoramChar"/>
                <w:rFonts w:cs="Times New Roman"/>
                <w:sz w:val="20"/>
                <w:szCs w:val="20"/>
                <w:lang w:val="en-CA"/>
              </w:rPr>
              <w:t>Abella, Karakatsanis and Brown JJ.</w:t>
            </w:r>
          </w:p>
          <w:p w:rsidR="00A767AC" w:rsidRPr="00FE6980" w:rsidRDefault="00A767AC" w:rsidP="00270FF2">
            <w:pPr>
              <w:jc w:val="both"/>
              <w:rPr>
                <w:rFonts w:cs="Times New Roman"/>
                <w:sz w:val="20"/>
                <w:szCs w:val="20"/>
              </w:rPr>
            </w:pPr>
          </w:p>
        </w:tc>
      </w:tr>
      <w:tr w:rsidR="0026298F" w:rsidRPr="00E433FF" w:rsidTr="00EA2546">
        <w:tc>
          <w:tcPr>
            <w:tcW w:w="9576" w:type="dxa"/>
            <w:gridSpan w:val="4"/>
          </w:tcPr>
          <w:p w:rsidR="0026298F" w:rsidRPr="00FE6980" w:rsidRDefault="0026298F" w:rsidP="00270FF2">
            <w:pPr>
              <w:pStyle w:val="SCCShortJudgment"/>
              <w:ind w:firstLine="0"/>
              <w:rPr>
                <w:szCs w:val="20"/>
              </w:rPr>
            </w:pPr>
            <w:r w:rsidRPr="00FE6980">
              <w:rPr>
                <w:rFonts w:cs="Times New Roman"/>
                <w:szCs w:val="20"/>
              </w:rPr>
              <w:tab/>
            </w:r>
            <w:r w:rsidR="00A767AC" w:rsidRPr="00FE6980">
              <w:rPr>
                <w:szCs w:val="20"/>
              </w:rPr>
              <w:t>The application for leave to appeal from the judgment of the Court of Appeal for Ontario, Number C59925, 2016 ONCA 55, dated January 27, 2016, is dismissed with no order as to costs.</w:t>
            </w:r>
          </w:p>
          <w:p w:rsidR="00A767AC" w:rsidRPr="00FE6980" w:rsidRDefault="00A767AC" w:rsidP="00270FF2">
            <w:pPr>
              <w:pStyle w:val="SCCShortJudgment"/>
              <w:ind w:firstLine="0"/>
              <w:rPr>
                <w:rFonts w:cs="Times New Roman"/>
                <w:szCs w:val="20"/>
              </w:rPr>
            </w:pPr>
          </w:p>
          <w:p w:rsidR="0026298F" w:rsidRPr="00FE6980" w:rsidRDefault="0026298F" w:rsidP="00270FF2">
            <w:pPr>
              <w:pStyle w:val="SCCShortJudgment"/>
              <w:ind w:firstLine="0"/>
              <w:rPr>
                <w:rFonts w:cs="Times New Roman"/>
                <w:szCs w:val="20"/>
                <w:lang w:val="fr-CA"/>
              </w:rPr>
            </w:pPr>
            <w:r w:rsidRPr="00FE6980">
              <w:rPr>
                <w:rFonts w:cs="Times New Roman"/>
                <w:szCs w:val="20"/>
              </w:rPr>
              <w:tab/>
            </w:r>
            <w:r w:rsidR="00A767AC" w:rsidRPr="00FE6980">
              <w:rPr>
                <w:szCs w:val="20"/>
                <w:lang w:val="fr-CA"/>
              </w:rPr>
              <w:t xml:space="preserve">La demande d’autorisation d’appel de l’arrêt de la </w:t>
            </w:r>
            <w:r w:rsidR="00A767AC" w:rsidRPr="00FE6980">
              <w:rPr>
                <w:szCs w:val="20"/>
                <w:lang w:val="fr-FR"/>
              </w:rPr>
              <w:t>Cour d’appel de l’Ontario</w:t>
            </w:r>
            <w:r w:rsidR="00A767AC" w:rsidRPr="00FE6980">
              <w:rPr>
                <w:szCs w:val="20"/>
                <w:lang w:val="fr-CA"/>
              </w:rPr>
              <w:t xml:space="preserve">, numéro </w:t>
            </w:r>
            <w:r w:rsidR="00A767AC" w:rsidRPr="00FE6980">
              <w:rPr>
                <w:szCs w:val="20"/>
                <w:lang w:val="fr-FR"/>
              </w:rPr>
              <w:t>C59925, 2016 ONCA 55</w:t>
            </w:r>
            <w:r w:rsidR="00A767AC" w:rsidRPr="00FE6980">
              <w:rPr>
                <w:szCs w:val="20"/>
                <w:lang w:val="fr-CA"/>
              </w:rPr>
              <w:t xml:space="preserve">, daté du </w:t>
            </w:r>
            <w:r w:rsidR="00A767AC" w:rsidRPr="00FE6980">
              <w:rPr>
                <w:szCs w:val="20"/>
                <w:lang w:val="fr-FR"/>
              </w:rPr>
              <w:t>27 janvier 2016</w:t>
            </w:r>
            <w:r w:rsidR="00A767AC" w:rsidRPr="00FE6980">
              <w:rPr>
                <w:szCs w:val="20"/>
                <w:lang w:val="fr-CA"/>
              </w:rPr>
              <w:t>, est rejetée sans ordonnance quant aux dépens.</w:t>
            </w:r>
          </w:p>
          <w:p w:rsidR="0026298F" w:rsidRPr="00FE6980" w:rsidRDefault="0026298F" w:rsidP="00270FF2">
            <w:pPr>
              <w:pStyle w:val="SCCShortJudgment"/>
              <w:ind w:firstLine="0"/>
              <w:rPr>
                <w:rFonts w:cs="Times New Roman"/>
                <w:szCs w:val="20"/>
                <w:lang w:val="fr-CA"/>
              </w:rPr>
            </w:pPr>
          </w:p>
        </w:tc>
      </w:tr>
      <w:tr w:rsidR="0026298F" w:rsidRPr="00FE6980" w:rsidTr="00EA2546">
        <w:trPr>
          <w:cantSplit/>
        </w:trPr>
        <w:tc>
          <w:tcPr>
            <w:tcW w:w="9576" w:type="dxa"/>
            <w:gridSpan w:val="4"/>
          </w:tcPr>
          <w:p w:rsidR="0026298F" w:rsidRPr="00FE6980" w:rsidRDefault="0026298F" w:rsidP="00270FF2">
            <w:pPr>
              <w:pStyle w:val="SCCShortJudgment"/>
              <w:ind w:firstLine="0"/>
              <w:rPr>
                <w:rFonts w:cs="Times New Roman"/>
                <w:szCs w:val="20"/>
                <w:u w:val="single"/>
                <w:lang w:val="fr-CA"/>
              </w:rPr>
            </w:pPr>
            <w:r w:rsidRPr="00FE6980">
              <w:rPr>
                <w:rFonts w:cs="Times New Roman"/>
                <w:szCs w:val="20"/>
                <w:u w:val="single"/>
                <w:lang w:val="fr-CA"/>
              </w:rPr>
              <w:t>CASE SUMMARY</w:t>
            </w:r>
          </w:p>
          <w:p w:rsidR="0026298F" w:rsidRPr="00FE6980" w:rsidRDefault="0026298F" w:rsidP="00270FF2">
            <w:pPr>
              <w:pStyle w:val="SCCShortJudgment"/>
              <w:ind w:firstLine="0"/>
              <w:rPr>
                <w:rFonts w:cs="Times New Roman"/>
                <w:szCs w:val="20"/>
                <w:lang w:val="fr-CA"/>
              </w:rPr>
            </w:pPr>
          </w:p>
        </w:tc>
      </w:tr>
      <w:tr w:rsidR="0026298F" w:rsidRPr="00FE6980" w:rsidTr="00EA2546">
        <w:trPr>
          <w:cantSplit/>
        </w:trPr>
        <w:tc>
          <w:tcPr>
            <w:tcW w:w="9576" w:type="dxa"/>
            <w:gridSpan w:val="4"/>
          </w:tcPr>
          <w:p w:rsidR="00EA2546" w:rsidRPr="00FE6980" w:rsidRDefault="00EA2546" w:rsidP="00EA2546">
            <w:pPr>
              <w:jc w:val="both"/>
              <w:rPr>
                <w:sz w:val="20"/>
                <w:szCs w:val="20"/>
              </w:rPr>
            </w:pPr>
            <w:r w:rsidRPr="00FE6980">
              <w:rPr>
                <w:sz w:val="20"/>
                <w:szCs w:val="20"/>
              </w:rPr>
              <w:t xml:space="preserve">Insurance – Automobile insurance – Coverage – Plaintiff permanently injured in motor vehicle accident by driver of leased vehicle – Whether courts below erred in finding that Chrysler Canada Inc. and Daimler Financial Services Canada Inc. were both lessors within the meaning of s. 267.1(12) of the </w:t>
            </w:r>
            <w:r w:rsidRPr="00FE6980">
              <w:rPr>
                <w:i/>
                <w:sz w:val="20"/>
                <w:szCs w:val="20"/>
              </w:rPr>
              <w:t>Insurance Act</w:t>
            </w:r>
            <w:r w:rsidRPr="00FE6980">
              <w:rPr>
                <w:sz w:val="20"/>
                <w:szCs w:val="20"/>
              </w:rPr>
              <w:t>, R.S.O., c. I.8 and both were entitled to cap on liability – Whether Court of Appeal erred by failing to find that driver of leased vehicle was un-named insured under a Standard Excess Policy and entitled to coverage of $10,000,000 - Whether courts below erred by summarily dismissing the applicants’ claim for negligently entrusting leased vehicle to driver.</w:t>
            </w:r>
          </w:p>
          <w:p w:rsidR="0026298F" w:rsidRPr="00FE6980" w:rsidRDefault="0026298F" w:rsidP="00EA2546">
            <w:pPr>
              <w:pStyle w:val="SCCShortJudgment"/>
              <w:ind w:firstLine="0"/>
              <w:rPr>
                <w:rFonts w:cs="Times New Roman"/>
                <w:szCs w:val="20"/>
              </w:rPr>
            </w:pPr>
          </w:p>
        </w:tc>
      </w:tr>
      <w:tr w:rsidR="0026298F" w:rsidRPr="00FE6980" w:rsidTr="00EA2546">
        <w:trPr>
          <w:cantSplit/>
        </w:trPr>
        <w:tc>
          <w:tcPr>
            <w:tcW w:w="9576" w:type="dxa"/>
            <w:gridSpan w:val="4"/>
          </w:tcPr>
          <w:p w:rsidR="0026298F" w:rsidRPr="00FE6980" w:rsidRDefault="00EA2546" w:rsidP="00EA2546">
            <w:pPr>
              <w:pStyle w:val="SCCShortJudgment"/>
              <w:ind w:firstLine="0"/>
              <w:rPr>
                <w:rFonts w:cs="Times New Roman"/>
                <w:szCs w:val="20"/>
              </w:rPr>
            </w:pPr>
            <w:r w:rsidRPr="00FE6980">
              <w:rPr>
                <w:szCs w:val="20"/>
              </w:rPr>
              <w:t xml:space="preserve">On May 18, 2006, Jodi Graham was a front seat passenger in a vehicle was t-boned on the passenger side by a vehicle driven by the respondent, Mario </w:t>
            </w:r>
            <w:proofErr w:type="spellStart"/>
            <w:r w:rsidRPr="00FE6980">
              <w:rPr>
                <w:szCs w:val="20"/>
              </w:rPr>
              <w:t>Pietrantonio</w:t>
            </w:r>
            <w:proofErr w:type="spellEnd"/>
            <w:r w:rsidRPr="00FE6980">
              <w:rPr>
                <w:szCs w:val="20"/>
              </w:rPr>
              <w:t xml:space="preserve">. The vehicle was leased from the registered owner, Daimler Chrysler Financial Services Canada Inc. (“Daimler”). Pursuant to an agreement with Daimler, Chrysler Canada Inc. (“Chrysler”) allegedly had an ownership interest in the vehicle and the lease. As a result of the accident, Ms. Graham, suffered permanent injuries, the most severe being a traumatic brain injury for which she will require permanent 24 hour care. </w:t>
            </w:r>
            <w:r w:rsidRPr="00FE6980">
              <w:rPr>
                <w:rFonts w:cs="Times New Roman"/>
                <w:szCs w:val="20"/>
              </w:rPr>
              <w:t xml:space="preserve">The lessees of the </w:t>
            </w:r>
            <w:proofErr w:type="spellStart"/>
            <w:r w:rsidRPr="00FE6980">
              <w:rPr>
                <w:rFonts w:cs="Times New Roman"/>
                <w:szCs w:val="20"/>
              </w:rPr>
              <w:t>Pietrantonio</w:t>
            </w:r>
            <w:proofErr w:type="spellEnd"/>
            <w:r w:rsidRPr="00FE6980">
              <w:rPr>
                <w:rFonts w:cs="Times New Roman"/>
                <w:szCs w:val="20"/>
              </w:rPr>
              <w:t xml:space="preserve"> vehicle, Luciano </w:t>
            </w:r>
            <w:proofErr w:type="spellStart"/>
            <w:r w:rsidRPr="00FE6980">
              <w:rPr>
                <w:rFonts w:cs="Times New Roman"/>
                <w:szCs w:val="20"/>
              </w:rPr>
              <w:t>Pietrantonio</w:t>
            </w:r>
            <w:proofErr w:type="spellEnd"/>
            <w:r w:rsidRPr="00FE6980">
              <w:rPr>
                <w:rFonts w:cs="Times New Roman"/>
                <w:szCs w:val="20"/>
              </w:rPr>
              <w:t xml:space="preserve"> and West End Tile Limited carried third-party liability insurance. Daimler carried a standard excess insurance policy that provided $10 million of coverage. This policy provided that coverage extended only to the named insured, Daimler, and excluded coverage for any lessee.</w:t>
            </w:r>
            <w:r w:rsidRPr="00FE6980">
              <w:rPr>
                <w:szCs w:val="20"/>
              </w:rPr>
              <w:t xml:space="preserve"> </w:t>
            </w:r>
            <w:r w:rsidRPr="00FE6980">
              <w:rPr>
                <w:rFonts w:cs="Times New Roman"/>
                <w:szCs w:val="20"/>
              </w:rPr>
              <w:t>The insurance coverage available was insufficient to cover the costs of Jodi’s future care. Several of the parties, including the applicants, brought motions for summary judgment regarding the extent of insurance coverage available and the availability of the tort of negligent entrustment.</w:t>
            </w:r>
          </w:p>
          <w:p w:rsidR="00EA2546" w:rsidRPr="00FE6980" w:rsidRDefault="00EA2546" w:rsidP="00EA2546">
            <w:pPr>
              <w:pStyle w:val="SCCShortJudgment"/>
              <w:ind w:firstLine="0"/>
              <w:rPr>
                <w:rFonts w:cs="Times New Roman"/>
                <w:szCs w:val="20"/>
              </w:rPr>
            </w:pPr>
          </w:p>
        </w:tc>
      </w:tr>
      <w:tr w:rsidR="0026298F" w:rsidRPr="00FE6980" w:rsidTr="00EA2546">
        <w:trPr>
          <w:cantSplit/>
        </w:trPr>
        <w:tc>
          <w:tcPr>
            <w:tcW w:w="4410" w:type="dxa"/>
            <w:gridSpan w:val="2"/>
          </w:tcPr>
          <w:p w:rsidR="00EA2546" w:rsidRPr="00FE6980" w:rsidRDefault="00EA2546" w:rsidP="00EA2546">
            <w:pPr>
              <w:jc w:val="both"/>
              <w:rPr>
                <w:sz w:val="20"/>
                <w:szCs w:val="20"/>
              </w:rPr>
            </w:pPr>
            <w:r w:rsidRPr="00FE6980">
              <w:rPr>
                <w:sz w:val="20"/>
                <w:szCs w:val="20"/>
              </w:rPr>
              <w:t>January 6, 2015</w:t>
            </w:r>
          </w:p>
          <w:p w:rsidR="00EA2546" w:rsidRPr="00FE6980" w:rsidRDefault="00EA2546" w:rsidP="00EA2546">
            <w:pPr>
              <w:jc w:val="both"/>
              <w:rPr>
                <w:sz w:val="20"/>
                <w:szCs w:val="20"/>
              </w:rPr>
            </w:pPr>
            <w:r w:rsidRPr="00FE6980">
              <w:rPr>
                <w:sz w:val="20"/>
                <w:szCs w:val="20"/>
              </w:rPr>
              <w:t>Ontario Superior Court of Justice</w:t>
            </w:r>
          </w:p>
          <w:p w:rsidR="00EA2546" w:rsidRPr="00FE6980" w:rsidRDefault="00EA2546" w:rsidP="00EA2546">
            <w:pPr>
              <w:jc w:val="both"/>
              <w:rPr>
                <w:sz w:val="20"/>
                <w:szCs w:val="20"/>
              </w:rPr>
            </w:pPr>
            <w:r w:rsidRPr="00FE6980">
              <w:rPr>
                <w:sz w:val="20"/>
                <w:szCs w:val="20"/>
              </w:rPr>
              <w:t>(McLean J.)</w:t>
            </w:r>
          </w:p>
          <w:p w:rsidR="00EA2546" w:rsidRPr="00FE6980" w:rsidRDefault="00E433FF" w:rsidP="00EA2546">
            <w:pPr>
              <w:jc w:val="both"/>
              <w:rPr>
                <w:sz w:val="20"/>
                <w:szCs w:val="20"/>
                <w:u w:val="single"/>
              </w:rPr>
            </w:pPr>
            <w:hyperlink r:id="rId30" w:history="1">
              <w:r w:rsidR="00EA2546" w:rsidRPr="00FE6980">
                <w:rPr>
                  <w:rStyle w:val="Hyperlink"/>
                  <w:sz w:val="20"/>
                  <w:szCs w:val="20"/>
                </w:rPr>
                <w:t>2015 ONSC 6821</w:t>
              </w:r>
            </w:hyperlink>
          </w:p>
          <w:p w:rsidR="0026298F" w:rsidRPr="00FE6980" w:rsidRDefault="0026298F" w:rsidP="00EA2546">
            <w:pPr>
              <w:jc w:val="both"/>
              <w:rPr>
                <w:rFonts w:cs="Times New Roman"/>
                <w:sz w:val="20"/>
                <w:szCs w:val="20"/>
              </w:rPr>
            </w:pPr>
          </w:p>
        </w:tc>
        <w:tc>
          <w:tcPr>
            <w:tcW w:w="630" w:type="dxa"/>
          </w:tcPr>
          <w:p w:rsidR="0026298F" w:rsidRPr="00FE6980" w:rsidRDefault="0026298F" w:rsidP="00EA2546">
            <w:pPr>
              <w:pStyle w:val="SCCShortJudgment"/>
              <w:ind w:firstLine="0"/>
              <w:rPr>
                <w:rFonts w:cs="Times New Roman"/>
                <w:szCs w:val="20"/>
              </w:rPr>
            </w:pPr>
          </w:p>
        </w:tc>
        <w:tc>
          <w:tcPr>
            <w:tcW w:w="4536" w:type="dxa"/>
          </w:tcPr>
          <w:p w:rsidR="00EA2546" w:rsidRPr="00FE6980" w:rsidRDefault="00EA2546" w:rsidP="00EA2546">
            <w:pPr>
              <w:jc w:val="both"/>
              <w:rPr>
                <w:sz w:val="20"/>
                <w:szCs w:val="20"/>
              </w:rPr>
            </w:pPr>
            <w:r w:rsidRPr="00FE6980">
              <w:rPr>
                <w:sz w:val="20"/>
                <w:szCs w:val="20"/>
              </w:rPr>
              <w:t>Applicants’ motion for declaration that driver was an un-named insured and entitled to coverage under excess policy dismissed. Applicants’ claim against respondents for negligent entrustment dismissed</w:t>
            </w:r>
          </w:p>
          <w:p w:rsidR="0026298F" w:rsidRPr="00FE6980" w:rsidRDefault="0026298F" w:rsidP="00EA2546">
            <w:pPr>
              <w:jc w:val="both"/>
              <w:rPr>
                <w:rFonts w:cs="Times New Roman"/>
                <w:sz w:val="20"/>
                <w:szCs w:val="20"/>
              </w:rPr>
            </w:pPr>
          </w:p>
        </w:tc>
      </w:tr>
      <w:tr w:rsidR="0026298F" w:rsidRPr="00FE6980" w:rsidTr="00EA2546">
        <w:trPr>
          <w:cantSplit/>
        </w:trPr>
        <w:tc>
          <w:tcPr>
            <w:tcW w:w="4410" w:type="dxa"/>
            <w:gridSpan w:val="2"/>
          </w:tcPr>
          <w:p w:rsidR="00EA2546" w:rsidRPr="00FE6980" w:rsidRDefault="00EA2546" w:rsidP="00EA2546">
            <w:pPr>
              <w:jc w:val="both"/>
              <w:rPr>
                <w:sz w:val="20"/>
                <w:szCs w:val="20"/>
              </w:rPr>
            </w:pPr>
            <w:r w:rsidRPr="00FE6980">
              <w:rPr>
                <w:sz w:val="20"/>
                <w:szCs w:val="20"/>
              </w:rPr>
              <w:t>January 27, 2016</w:t>
            </w:r>
          </w:p>
          <w:p w:rsidR="00EA2546" w:rsidRPr="00FE6980" w:rsidRDefault="00EA2546" w:rsidP="00EA2546">
            <w:pPr>
              <w:jc w:val="both"/>
              <w:rPr>
                <w:sz w:val="20"/>
                <w:szCs w:val="20"/>
              </w:rPr>
            </w:pPr>
            <w:r w:rsidRPr="00FE6980">
              <w:rPr>
                <w:sz w:val="20"/>
                <w:szCs w:val="20"/>
              </w:rPr>
              <w:t>Court of Appeal for Ontario</w:t>
            </w:r>
          </w:p>
          <w:p w:rsidR="00EA2546" w:rsidRPr="00FE6980" w:rsidRDefault="00EA2546" w:rsidP="00EA2546">
            <w:pPr>
              <w:jc w:val="both"/>
              <w:rPr>
                <w:sz w:val="20"/>
                <w:szCs w:val="20"/>
              </w:rPr>
            </w:pPr>
            <w:r w:rsidRPr="00FE6980">
              <w:rPr>
                <w:sz w:val="20"/>
                <w:szCs w:val="20"/>
              </w:rPr>
              <w:t>(</w:t>
            </w:r>
            <w:proofErr w:type="spellStart"/>
            <w:r w:rsidRPr="00FE6980">
              <w:rPr>
                <w:sz w:val="20"/>
                <w:szCs w:val="20"/>
              </w:rPr>
              <w:t>Gillese</w:t>
            </w:r>
            <w:proofErr w:type="spellEnd"/>
            <w:r w:rsidRPr="00FE6980">
              <w:rPr>
                <w:sz w:val="20"/>
                <w:szCs w:val="20"/>
              </w:rPr>
              <w:t xml:space="preserve">, </w:t>
            </w:r>
            <w:proofErr w:type="spellStart"/>
            <w:r w:rsidRPr="00FE6980">
              <w:rPr>
                <w:sz w:val="20"/>
                <w:szCs w:val="20"/>
              </w:rPr>
              <w:t>Pepall</w:t>
            </w:r>
            <w:proofErr w:type="spellEnd"/>
            <w:r w:rsidRPr="00FE6980">
              <w:rPr>
                <w:sz w:val="20"/>
                <w:szCs w:val="20"/>
              </w:rPr>
              <w:t xml:space="preserve"> and </w:t>
            </w:r>
            <w:proofErr w:type="spellStart"/>
            <w:r w:rsidRPr="00FE6980">
              <w:rPr>
                <w:sz w:val="20"/>
                <w:szCs w:val="20"/>
              </w:rPr>
              <w:t>Lauwers</w:t>
            </w:r>
            <w:proofErr w:type="spellEnd"/>
            <w:r w:rsidRPr="00FE6980">
              <w:rPr>
                <w:sz w:val="20"/>
                <w:szCs w:val="20"/>
              </w:rPr>
              <w:t xml:space="preserve"> JJ.A.)</w:t>
            </w:r>
          </w:p>
          <w:p w:rsidR="00EA2546" w:rsidRPr="00FE6980" w:rsidRDefault="00E433FF" w:rsidP="00EA2546">
            <w:pPr>
              <w:jc w:val="both"/>
              <w:rPr>
                <w:sz w:val="20"/>
                <w:szCs w:val="20"/>
                <w:u w:val="single"/>
              </w:rPr>
            </w:pPr>
            <w:hyperlink r:id="rId31" w:history="1">
              <w:r w:rsidR="00EA2546" w:rsidRPr="00FE6980">
                <w:rPr>
                  <w:rStyle w:val="Hyperlink"/>
                  <w:sz w:val="20"/>
                  <w:szCs w:val="20"/>
                </w:rPr>
                <w:t>2016 ONCA 55</w:t>
              </w:r>
            </w:hyperlink>
          </w:p>
          <w:p w:rsidR="0026298F" w:rsidRPr="00FE6980" w:rsidRDefault="0026298F" w:rsidP="00EA2546">
            <w:pPr>
              <w:jc w:val="both"/>
              <w:rPr>
                <w:rFonts w:cs="Times New Roman"/>
                <w:sz w:val="20"/>
                <w:szCs w:val="20"/>
              </w:rPr>
            </w:pPr>
          </w:p>
        </w:tc>
        <w:tc>
          <w:tcPr>
            <w:tcW w:w="630" w:type="dxa"/>
          </w:tcPr>
          <w:p w:rsidR="0026298F" w:rsidRPr="00FE6980" w:rsidRDefault="0026298F" w:rsidP="00EA2546">
            <w:pPr>
              <w:pStyle w:val="SCCShortJudgment"/>
              <w:ind w:firstLine="0"/>
              <w:rPr>
                <w:rFonts w:cs="Times New Roman"/>
                <w:szCs w:val="20"/>
              </w:rPr>
            </w:pPr>
          </w:p>
        </w:tc>
        <w:tc>
          <w:tcPr>
            <w:tcW w:w="4536" w:type="dxa"/>
          </w:tcPr>
          <w:p w:rsidR="00EA2546" w:rsidRPr="00FE6980" w:rsidRDefault="00EA2546" w:rsidP="00EA2546">
            <w:pPr>
              <w:jc w:val="both"/>
              <w:rPr>
                <w:sz w:val="20"/>
                <w:szCs w:val="20"/>
              </w:rPr>
            </w:pPr>
            <w:r w:rsidRPr="00FE6980">
              <w:rPr>
                <w:sz w:val="20"/>
                <w:szCs w:val="20"/>
              </w:rPr>
              <w:t>Applicants’ appeal dismissed.</w:t>
            </w:r>
          </w:p>
          <w:p w:rsidR="0026298F" w:rsidRPr="00FE6980" w:rsidRDefault="0026298F" w:rsidP="00EA2546">
            <w:pPr>
              <w:jc w:val="both"/>
              <w:rPr>
                <w:rFonts w:cs="Times New Roman"/>
                <w:sz w:val="20"/>
                <w:szCs w:val="20"/>
              </w:rPr>
            </w:pPr>
          </w:p>
        </w:tc>
      </w:tr>
      <w:tr w:rsidR="0026298F" w:rsidRPr="00FE6980" w:rsidTr="00EA2546">
        <w:trPr>
          <w:cantSplit/>
        </w:trPr>
        <w:tc>
          <w:tcPr>
            <w:tcW w:w="4410" w:type="dxa"/>
            <w:gridSpan w:val="2"/>
          </w:tcPr>
          <w:p w:rsidR="00EA2546" w:rsidRPr="00FE6980" w:rsidRDefault="00EA2546" w:rsidP="00EA2546">
            <w:pPr>
              <w:jc w:val="both"/>
              <w:rPr>
                <w:sz w:val="20"/>
                <w:szCs w:val="20"/>
              </w:rPr>
            </w:pPr>
            <w:r w:rsidRPr="00FE6980">
              <w:rPr>
                <w:sz w:val="20"/>
                <w:szCs w:val="20"/>
              </w:rPr>
              <w:t>February 23, 2016</w:t>
            </w:r>
          </w:p>
          <w:p w:rsidR="0026298F" w:rsidRPr="00FE6980" w:rsidRDefault="00EA2546" w:rsidP="00F6089A">
            <w:pPr>
              <w:jc w:val="both"/>
              <w:rPr>
                <w:rFonts w:cs="Times New Roman"/>
                <w:sz w:val="20"/>
                <w:szCs w:val="20"/>
              </w:rPr>
            </w:pPr>
            <w:r w:rsidRPr="00FE6980">
              <w:rPr>
                <w:sz w:val="20"/>
                <w:szCs w:val="20"/>
              </w:rPr>
              <w:t>Supreme Court of Canada</w:t>
            </w:r>
          </w:p>
        </w:tc>
        <w:tc>
          <w:tcPr>
            <w:tcW w:w="630" w:type="dxa"/>
          </w:tcPr>
          <w:p w:rsidR="0026298F" w:rsidRPr="00FE6980" w:rsidRDefault="0026298F" w:rsidP="00EA2546">
            <w:pPr>
              <w:pStyle w:val="SCCShortJudgment"/>
              <w:ind w:firstLine="0"/>
              <w:rPr>
                <w:rFonts w:cs="Times New Roman"/>
                <w:szCs w:val="20"/>
              </w:rPr>
            </w:pPr>
          </w:p>
        </w:tc>
        <w:tc>
          <w:tcPr>
            <w:tcW w:w="4536" w:type="dxa"/>
          </w:tcPr>
          <w:p w:rsidR="00EA2546" w:rsidRPr="00FE6980" w:rsidRDefault="00EA2546" w:rsidP="00EA2546">
            <w:pPr>
              <w:jc w:val="both"/>
              <w:rPr>
                <w:sz w:val="20"/>
                <w:szCs w:val="20"/>
              </w:rPr>
            </w:pPr>
            <w:r w:rsidRPr="00FE6980">
              <w:rPr>
                <w:sz w:val="20"/>
                <w:szCs w:val="20"/>
              </w:rPr>
              <w:t>Application for leave to appeal filed</w:t>
            </w:r>
          </w:p>
          <w:p w:rsidR="0026298F" w:rsidRPr="00FE6980" w:rsidRDefault="0026298F" w:rsidP="00EA2546">
            <w:pPr>
              <w:jc w:val="both"/>
              <w:rPr>
                <w:rFonts w:cs="Times New Roman"/>
                <w:sz w:val="20"/>
                <w:szCs w:val="20"/>
              </w:rPr>
            </w:pPr>
          </w:p>
        </w:tc>
      </w:tr>
      <w:tr w:rsidR="0026298F" w:rsidRPr="00FE6980" w:rsidTr="00EA2546">
        <w:trPr>
          <w:cantSplit/>
        </w:trPr>
        <w:tc>
          <w:tcPr>
            <w:tcW w:w="9576" w:type="dxa"/>
            <w:gridSpan w:val="4"/>
          </w:tcPr>
          <w:p w:rsidR="0026298F" w:rsidRPr="00FE6980" w:rsidRDefault="00E433FF" w:rsidP="00EA2546">
            <w:pPr>
              <w:pStyle w:val="SCCShortJudgment"/>
              <w:ind w:firstLine="0"/>
              <w:rPr>
                <w:rFonts w:cs="Times New Roman"/>
                <w:szCs w:val="20"/>
                <w:lang w:val="fr-CA"/>
              </w:rPr>
            </w:pPr>
            <w:r>
              <w:rPr>
                <w:rFonts w:cs="Times New Roman"/>
                <w:szCs w:val="20"/>
                <w:lang w:val="fr-CA"/>
              </w:rPr>
              <w:pict>
                <v:rect id="_x0000_i1049" style="width:2in;height:1pt" o:hrpct="0" o:hralign="center" o:hrstd="t" o:hrnoshade="t" o:hr="t" fillcolor="black [3213]" stroked="f"/>
              </w:pict>
            </w:r>
          </w:p>
          <w:p w:rsidR="0026298F" w:rsidRPr="00FE6980" w:rsidRDefault="0026298F" w:rsidP="00EA2546">
            <w:pPr>
              <w:pStyle w:val="SCCShortJudgment"/>
              <w:ind w:firstLine="0"/>
              <w:rPr>
                <w:rFonts w:cs="Times New Roman"/>
                <w:szCs w:val="20"/>
                <w:lang w:val="fr-CA"/>
              </w:rPr>
            </w:pPr>
          </w:p>
        </w:tc>
      </w:tr>
      <w:tr w:rsidR="0026298F" w:rsidRPr="00FE6980" w:rsidTr="00EA2546">
        <w:trPr>
          <w:cantSplit/>
        </w:trPr>
        <w:tc>
          <w:tcPr>
            <w:tcW w:w="9576" w:type="dxa"/>
            <w:gridSpan w:val="4"/>
          </w:tcPr>
          <w:p w:rsidR="0026298F" w:rsidRPr="00FE6980" w:rsidRDefault="0026298F" w:rsidP="00EA2546">
            <w:pPr>
              <w:pStyle w:val="SCCShortJudgment"/>
              <w:ind w:firstLine="0"/>
              <w:rPr>
                <w:rFonts w:cs="Times New Roman"/>
                <w:szCs w:val="20"/>
                <w:u w:val="single"/>
                <w:lang w:val="fr-CA"/>
              </w:rPr>
            </w:pPr>
            <w:r w:rsidRPr="00FE6980">
              <w:rPr>
                <w:rFonts w:cs="Times New Roman"/>
                <w:szCs w:val="20"/>
                <w:u w:val="single"/>
                <w:lang w:val="fr-CA"/>
              </w:rPr>
              <w:t>RÉSUMÉ DE L’AFFAIRE </w:t>
            </w:r>
          </w:p>
          <w:p w:rsidR="0026298F" w:rsidRPr="00FE6980" w:rsidRDefault="0026298F" w:rsidP="00EA2546">
            <w:pPr>
              <w:pStyle w:val="SCCShortJudgment"/>
              <w:ind w:firstLine="0"/>
              <w:rPr>
                <w:rFonts w:cs="Times New Roman"/>
                <w:szCs w:val="20"/>
                <w:lang w:val="fr-CA"/>
              </w:rPr>
            </w:pPr>
          </w:p>
        </w:tc>
      </w:tr>
      <w:tr w:rsidR="0026298F" w:rsidRPr="00E433FF" w:rsidTr="00EA2546">
        <w:trPr>
          <w:cantSplit/>
        </w:trPr>
        <w:tc>
          <w:tcPr>
            <w:tcW w:w="9576" w:type="dxa"/>
            <w:gridSpan w:val="4"/>
          </w:tcPr>
          <w:p w:rsidR="00EA2546" w:rsidRPr="00FE6980" w:rsidRDefault="00EA2546" w:rsidP="00EA2546">
            <w:pPr>
              <w:jc w:val="both"/>
              <w:rPr>
                <w:sz w:val="20"/>
                <w:szCs w:val="20"/>
                <w:lang w:val="fr-CA"/>
              </w:rPr>
            </w:pPr>
            <w:r w:rsidRPr="00FE6980">
              <w:rPr>
                <w:sz w:val="20"/>
                <w:szCs w:val="20"/>
                <w:lang w:val="fr-CA"/>
              </w:rPr>
              <w:t xml:space="preserve">Assurance – Assurance automobile – Couverture – La demanderesse a subi des blessures permanentes dans un accident de la route causé par le conducteur d’un véhicule loué – Les juridictions inférieures </w:t>
            </w:r>
            <w:proofErr w:type="spellStart"/>
            <w:r w:rsidRPr="00FE6980">
              <w:rPr>
                <w:sz w:val="20"/>
                <w:szCs w:val="20"/>
                <w:lang w:val="fr-CA"/>
              </w:rPr>
              <w:t>ont-elles</w:t>
            </w:r>
            <w:proofErr w:type="spellEnd"/>
            <w:r w:rsidRPr="00FE6980">
              <w:rPr>
                <w:sz w:val="20"/>
                <w:szCs w:val="20"/>
                <w:lang w:val="fr-CA"/>
              </w:rPr>
              <w:t xml:space="preserve"> eu tort de conclure Chrysler Canada Inc. et Daimler Financial Services Canada Inc. étaient toutes les deux des bailleurs au sens du par. 267.1(12) de la </w:t>
            </w:r>
            <w:r w:rsidRPr="00FE6980">
              <w:rPr>
                <w:i/>
                <w:sz w:val="20"/>
                <w:szCs w:val="20"/>
                <w:lang w:val="fr-CA"/>
              </w:rPr>
              <w:t>Loi sur les assurances</w:t>
            </w:r>
            <w:r w:rsidRPr="00FE6980">
              <w:rPr>
                <w:sz w:val="20"/>
                <w:szCs w:val="20"/>
                <w:lang w:val="fr-CA"/>
              </w:rPr>
              <w:t xml:space="preserve">, L.R.O., ch. I.8, si bien qu’elles avaient toutes les deux le droit de bénéficier d’un plafond de responsabilité? – La Cour d’appel a-t-elle eu tort de ne pas conclure que le conducteur du véhicule loué était un assuré non désigné visé par la Police standard d’assurance complémentaire et avait droit à une couverture de 10 millions de dollars? – Les juridictions inférieures </w:t>
            </w:r>
            <w:proofErr w:type="spellStart"/>
            <w:r w:rsidRPr="00FE6980">
              <w:rPr>
                <w:sz w:val="20"/>
                <w:szCs w:val="20"/>
                <w:lang w:val="fr-CA"/>
              </w:rPr>
              <w:t>ont-elles</w:t>
            </w:r>
            <w:proofErr w:type="spellEnd"/>
            <w:r w:rsidRPr="00FE6980">
              <w:rPr>
                <w:sz w:val="20"/>
                <w:szCs w:val="20"/>
                <w:lang w:val="fr-CA"/>
              </w:rPr>
              <w:t xml:space="preserve"> eu tort de rejeter sommairement la demande des demandeurs qui allèguent que le véhicule loué avait été confié par négligence au conducteur?</w:t>
            </w:r>
          </w:p>
          <w:p w:rsidR="0026298F" w:rsidRPr="00FE6980" w:rsidRDefault="0026298F" w:rsidP="00EA2546">
            <w:pPr>
              <w:pStyle w:val="SCCShortJudgment"/>
              <w:ind w:firstLine="0"/>
              <w:rPr>
                <w:rFonts w:cs="Times New Roman"/>
                <w:szCs w:val="20"/>
                <w:lang w:val="fr-CA"/>
              </w:rPr>
            </w:pPr>
          </w:p>
        </w:tc>
      </w:tr>
      <w:tr w:rsidR="0026298F" w:rsidRPr="00E433FF" w:rsidTr="009C0895">
        <w:tc>
          <w:tcPr>
            <w:tcW w:w="9576" w:type="dxa"/>
            <w:gridSpan w:val="4"/>
          </w:tcPr>
          <w:p w:rsidR="0026298F" w:rsidRPr="00FE6980" w:rsidRDefault="00EA2546" w:rsidP="00EA2546">
            <w:pPr>
              <w:pStyle w:val="SCCShortJudgment"/>
              <w:ind w:firstLine="0"/>
              <w:rPr>
                <w:rFonts w:cs="Times New Roman"/>
                <w:szCs w:val="20"/>
                <w:lang w:val="fr-CA"/>
              </w:rPr>
            </w:pPr>
            <w:r w:rsidRPr="00FE6980">
              <w:rPr>
                <w:szCs w:val="20"/>
                <w:lang w:val="fr-CA"/>
              </w:rPr>
              <w:t xml:space="preserve">Le 18 mai 2006, Jodi Graham prenait place comme passagère sur la banquette avant d’un véhicule qui a été heurté sur le côté passager par un véhicule conduit par l’intimé, Mario </w:t>
            </w:r>
            <w:proofErr w:type="spellStart"/>
            <w:r w:rsidRPr="00FE6980">
              <w:rPr>
                <w:szCs w:val="20"/>
                <w:lang w:val="fr-CA"/>
              </w:rPr>
              <w:t>Pietrantonio</w:t>
            </w:r>
            <w:proofErr w:type="spellEnd"/>
            <w:r w:rsidRPr="00FE6980">
              <w:rPr>
                <w:szCs w:val="20"/>
                <w:lang w:val="fr-CA"/>
              </w:rPr>
              <w:t>. Le véhicule avait été loué du propriétaire immatriculé, Daimler Chrysler Financial Services Canada Inc. (« Daimler »). En vertu d’une entente avec Daimler, Chrysler Canada Inc. (« Chrysler ») était censée avoir un droit de propriété à l’égard du véhicule et du bail. En raison de l’accident, Mme Graham a subi des blessures permanentes, la plus grave étant un traumatisme crânien pour laquelle elle devra recevoir des soins permanents 24 heures par jour. Les locataires du véhicule conduit par M. </w:t>
            </w:r>
            <w:proofErr w:type="spellStart"/>
            <w:r w:rsidRPr="00FE6980">
              <w:rPr>
                <w:rFonts w:cs="Times New Roman"/>
                <w:szCs w:val="20"/>
                <w:lang w:val="fr-CA"/>
              </w:rPr>
              <w:t>Pietrantonio</w:t>
            </w:r>
            <w:proofErr w:type="spellEnd"/>
            <w:r w:rsidRPr="00FE6980">
              <w:rPr>
                <w:rFonts w:cs="Times New Roman"/>
                <w:szCs w:val="20"/>
                <w:lang w:val="fr-CA"/>
              </w:rPr>
              <w:t xml:space="preserve">, Luciano </w:t>
            </w:r>
            <w:proofErr w:type="spellStart"/>
            <w:r w:rsidRPr="00FE6980">
              <w:rPr>
                <w:rFonts w:cs="Times New Roman"/>
                <w:szCs w:val="20"/>
                <w:lang w:val="fr-CA"/>
              </w:rPr>
              <w:t>Pietrantonio</w:t>
            </w:r>
            <w:proofErr w:type="spellEnd"/>
            <w:r w:rsidRPr="00FE6980">
              <w:rPr>
                <w:rFonts w:cs="Times New Roman"/>
                <w:szCs w:val="20"/>
                <w:lang w:val="fr-CA"/>
              </w:rPr>
              <w:t xml:space="preserve"> et West End </w:t>
            </w:r>
            <w:proofErr w:type="spellStart"/>
            <w:r w:rsidRPr="00FE6980">
              <w:rPr>
                <w:rFonts w:cs="Times New Roman"/>
                <w:szCs w:val="20"/>
                <w:lang w:val="fr-CA"/>
              </w:rPr>
              <w:t>Tile</w:t>
            </w:r>
            <w:proofErr w:type="spellEnd"/>
            <w:r w:rsidRPr="00FE6980">
              <w:rPr>
                <w:rFonts w:cs="Times New Roman"/>
                <w:szCs w:val="20"/>
                <w:lang w:val="fr-CA"/>
              </w:rPr>
              <w:t xml:space="preserve"> Limited, étaient titulaires d’une assurance responsabilité civile. Daimler était titulaire d’une police standard d’assurance complémentaire qui prévoyait une couverture de 10 millions de </w:t>
            </w:r>
            <w:proofErr w:type="gramStart"/>
            <w:r w:rsidRPr="00FE6980">
              <w:rPr>
                <w:rFonts w:cs="Times New Roman"/>
                <w:szCs w:val="20"/>
                <w:lang w:val="fr-CA"/>
              </w:rPr>
              <w:t>dollars</w:t>
            </w:r>
            <w:proofErr w:type="gramEnd"/>
            <w:r w:rsidRPr="00FE6980">
              <w:rPr>
                <w:rFonts w:cs="Times New Roman"/>
                <w:szCs w:val="20"/>
                <w:lang w:val="fr-CA"/>
              </w:rPr>
              <w:t>. Cette police prévoyait que la couverture ne s’étendait qu’a l’assurée désignée, Daimler, et excluait la couverture pour tout locataire. La couverture d’assurance était insuffisante pour couvrir les coûts des soins dont Jodi aurait besoin à l’avenir. Plusieurs parties, y compris les demandeurs, ont présenté des motions en jugement sommaire relativement à l’ampleur de la couverture disponible et la possibilité d’invoquer le délit civil d’avoir confié par négligence le véhicule au conducteur.</w:t>
            </w:r>
          </w:p>
          <w:p w:rsidR="00EA2546" w:rsidRPr="00FE6980" w:rsidRDefault="00EA2546" w:rsidP="00EA2546">
            <w:pPr>
              <w:pStyle w:val="SCCShortJudgment"/>
              <w:ind w:firstLine="0"/>
              <w:rPr>
                <w:rFonts w:cs="Times New Roman"/>
                <w:szCs w:val="20"/>
                <w:lang w:val="fr-CA"/>
              </w:rPr>
            </w:pPr>
          </w:p>
        </w:tc>
      </w:tr>
      <w:tr w:rsidR="0026298F" w:rsidRPr="00E433FF" w:rsidTr="00EA2546">
        <w:trPr>
          <w:cantSplit/>
        </w:trPr>
        <w:tc>
          <w:tcPr>
            <w:tcW w:w="4410" w:type="dxa"/>
            <w:gridSpan w:val="2"/>
          </w:tcPr>
          <w:p w:rsidR="00EA2546" w:rsidRPr="00FE6980" w:rsidRDefault="00EA2546" w:rsidP="00EA2546">
            <w:pPr>
              <w:jc w:val="both"/>
              <w:rPr>
                <w:sz w:val="20"/>
                <w:szCs w:val="20"/>
                <w:lang w:val="fr-CA"/>
              </w:rPr>
            </w:pPr>
            <w:r w:rsidRPr="00FE6980">
              <w:rPr>
                <w:sz w:val="20"/>
                <w:szCs w:val="20"/>
                <w:lang w:val="fr-CA"/>
              </w:rPr>
              <w:t>6 janvier 2015</w:t>
            </w:r>
          </w:p>
          <w:p w:rsidR="00EA2546" w:rsidRPr="00FE6980" w:rsidRDefault="00EA2546" w:rsidP="00EA2546">
            <w:pPr>
              <w:jc w:val="both"/>
              <w:rPr>
                <w:sz w:val="20"/>
                <w:szCs w:val="20"/>
                <w:lang w:val="fr-CA"/>
              </w:rPr>
            </w:pPr>
            <w:r w:rsidRPr="00FE6980">
              <w:rPr>
                <w:sz w:val="20"/>
                <w:szCs w:val="20"/>
                <w:lang w:val="fr-CA"/>
              </w:rPr>
              <w:t xml:space="preserve">Cour supérieure de justice de l’Ontario </w:t>
            </w:r>
          </w:p>
          <w:p w:rsidR="00EA2546" w:rsidRPr="00FE6980" w:rsidRDefault="00EA2546" w:rsidP="00EA2546">
            <w:pPr>
              <w:jc w:val="both"/>
              <w:rPr>
                <w:sz w:val="20"/>
                <w:szCs w:val="20"/>
                <w:lang w:val="fr-CA"/>
              </w:rPr>
            </w:pPr>
            <w:r w:rsidRPr="00FE6980">
              <w:rPr>
                <w:sz w:val="20"/>
                <w:szCs w:val="20"/>
                <w:lang w:val="fr-CA"/>
              </w:rPr>
              <w:t>(Juge McLean)</w:t>
            </w:r>
          </w:p>
          <w:p w:rsidR="0026298F" w:rsidRPr="00FE6980" w:rsidRDefault="00E433FF" w:rsidP="00EA2546">
            <w:pPr>
              <w:pStyle w:val="SCCShortJudgment"/>
              <w:ind w:firstLine="0"/>
              <w:rPr>
                <w:rStyle w:val="Hyperlink"/>
                <w:szCs w:val="20"/>
                <w:lang w:val="fr-CA"/>
              </w:rPr>
            </w:pPr>
            <w:hyperlink r:id="rId32" w:history="1">
              <w:r w:rsidR="00EA2546" w:rsidRPr="00FE6980">
                <w:rPr>
                  <w:rStyle w:val="Hyperlink"/>
                  <w:szCs w:val="20"/>
                  <w:lang w:val="fr-CA"/>
                </w:rPr>
                <w:t>2015 ONSC 6821</w:t>
              </w:r>
            </w:hyperlink>
          </w:p>
          <w:p w:rsidR="00EA2546" w:rsidRPr="00FE6980" w:rsidRDefault="00EA2546" w:rsidP="00EA2546">
            <w:pPr>
              <w:pStyle w:val="SCCShortJudgment"/>
              <w:ind w:firstLine="0"/>
              <w:rPr>
                <w:rFonts w:cs="Times New Roman"/>
                <w:szCs w:val="20"/>
                <w:lang w:val="fr-CA"/>
              </w:rPr>
            </w:pPr>
          </w:p>
        </w:tc>
        <w:tc>
          <w:tcPr>
            <w:tcW w:w="630" w:type="dxa"/>
          </w:tcPr>
          <w:p w:rsidR="0026298F" w:rsidRPr="00FE6980" w:rsidRDefault="0026298F" w:rsidP="00EA2546">
            <w:pPr>
              <w:pStyle w:val="SCCShortJudgment"/>
              <w:ind w:firstLine="0"/>
              <w:rPr>
                <w:rFonts w:cs="Times New Roman"/>
                <w:szCs w:val="20"/>
                <w:lang w:val="fr-CA"/>
              </w:rPr>
            </w:pPr>
          </w:p>
        </w:tc>
        <w:tc>
          <w:tcPr>
            <w:tcW w:w="4536" w:type="dxa"/>
          </w:tcPr>
          <w:p w:rsidR="00EA2546" w:rsidRPr="00FE6980" w:rsidRDefault="00EA2546" w:rsidP="00EA2546">
            <w:pPr>
              <w:jc w:val="both"/>
              <w:rPr>
                <w:sz w:val="20"/>
                <w:szCs w:val="20"/>
                <w:lang w:val="fr-CA"/>
              </w:rPr>
            </w:pPr>
            <w:r w:rsidRPr="00FE6980">
              <w:rPr>
                <w:sz w:val="20"/>
                <w:szCs w:val="20"/>
                <w:lang w:val="fr-CA"/>
              </w:rPr>
              <w:t xml:space="preserve">Rejet de la motion des demandeurs pour obtenir un jugement déclarant que le conducteur était un assuré non désigné et avait droit à la couverture en vertu de la police complémentaire. Rejet de la demande des demandeurs contre les intimés alléguant que ces derniers auraient confié par négligence le véhicule au conducteur </w:t>
            </w:r>
          </w:p>
          <w:p w:rsidR="0026298F" w:rsidRPr="00FE6980" w:rsidRDefault="0026298F" w:rsidP="00EA2546">
            <w:pPr>
              <w:pStyle w:val="SCCShortJudgment"/>
              <w:ind w:firstLine="0"/>
              <w:rPr>
                <w:rFonts w:cs="Times New Roman"/>
                <w:szCs w:val="20"/>
                <w:lang w:val="fr-CA"/>
              </w:rPr>
            </w:pPr>
          </w:p>
        </w:tc>
      </w:tr>
      <w:tr w:rsidR="0026298F" w:rsidRPr="00E433FF" w:rsidTr="00EA2546">
        <w:trPr>
          <w:cantSplit/>
        </w:trPr>
        <w:tc>
          <w:tcPr>
            <w:tcW w:w="4410" w:type="dxa"/>
            <w:gridSpan w:val="2"/>
          </w:tcPr>
          <w:p w:rsidR="00EA2546" w:rsidRPr="00FE6980" w:rsidRDefault="00EA2546" w:rsidP="00EA2546">
            <w:pPr>
              <w:jc w:val="both"/>
              <w:rPr>
                <w:sz w:val="20"/>
                <w:szCs w:val="20"/>
                <w:lang w:val="fr-CA"/>
              </w:rPr>
            </w:pPr>
            <w:r w:rsidRPr="00FE6980">
              <w:rPr>
                <w:sz w:val="20"/>
                <w:szCs w:val="20"/>
                <w:lang w:val="fr-CA"/>
              </w:rPr>
              <w:t>27 janvier 2016</w:t>
            </w:r>
          </w:p>
          <w:p w:rsidR="00EA2546" w:rsidRPr="00FE6980" w:rsidRDefault="00EA2546" w:rsidP="00EA2546">
            <w:pPr>
              <w:jc w:val="both"/>
              <w:rPr>
                <w:sz w:val="20"/>
                <w:szCs w:val="20"/>
                <w:lang w:val="fr-CA"/>
              </w:rPr>
            </w:pPr>
            <w:r w:rsidRPr="00FE6980">
              <w:rPr>
                <w:sz w:val="20"/>
                <w:szCs w:val="20"/>
                <w:lang w:val="fr-CA"/>
              </w:rPr>
              <w:t xml:space="preserve">Cour d’appel de l’Ontario </w:t>
            </w:r>
          </w:p>
          <w:p w:rsidR="00EA2546" w:rsidRPr="00FE6980" w:rsidRDefault="00EA2546" w:rsidP="00EA2546">
            <w:pPr>
              <w:jc w:val="both"/>
              <w:rPr>
                <w:sz w:val="20"/>
                <w:szCs w:val="20"/>
                <w:lang w:val="fr-CA"/>
              </w:rPr>
            </w:pPr>
            <w:r w:rsidRPr="00FE6980">
              <w:rPr>
                <w:sz w:val="20"/>
                <w:szCs w:val="20"/>
                <w:lang w:val="fr-CA"/>
              </w:rPr>
              <w:t xml:space="preserve">(Juges </w:t>
            </w:r>
            <w:proofErr w:type="spellStart"/>
            <w:r w:rsidRPr="00FE6980">
              <w:rPr>
                <w:sz w:val="20"/>
                <w:szCs w:val="20"/>
                <w:lang w:val="fr-CA"/>
              </w:rPr>
              <w:t>Gillese</w:t>
            </w:r>
            <w:proofErr w:type="spellEnd"/>
            <w:r w:rsidRPr="00FE6980">
              <w:rPr>
                <w:sz w:val="20"/>
                <w:szCs w:val="20"/>
                <w:lang w:val="fr-CA"/>
              </w:rPr>
              <w:t xml:space="preserve">, </w:t>
            </w:r>
            <w:proofErr w:type="spellStart"/>
            <w:r w:rsidRPr="00FE6980">
              <w:rPr>
                <w:sz w:val="20"/>
                <w:szCs w:val="20"/>
                <w:lang w:val="fr-CA"/>
              </w:rPr>
              <w:t>Pepall</w:t>
            </w:r>
            <w:proofErr w:type="spellEnd"/>
            <w:r w:rsidRPr="00FE6980">
              <w:rPr>
                <w:sz w:val="20"/>
                <w:szCs w:val="20"/>
                <w:lang w:val="fr-CA"/>
              </w:rPr>
              <w:t xml:space="preserve"> et </w:t>
            </w:r>
            <w:proofErr w:type="spellStart"/>
            <w:r w:rsidRPr="00FE6980">
              <w:rPr>
                <w:sz w:val="20"/>
                <w:szCs w:val="20"/>
                <w:lang w:val="fr-CA"/>
              </w:rPr>
              <w:t>Lauwers</w:t>
            </w:r>
            <w:proofErr w:type="spellEnd"/>
            <w:r w:rsidRPr="00FE6980">
              <w:rPr>
                <w:sz w:val="20"/>
                <w:szCs w:val="20"/>
                <w:lang w:val="fr-CA"/>
              </w:rPr>
              <w:t>)</w:t>
            </w:r>
          </w:p>
          <w:p w:rsidR="00EA2546" w:rsidRPr="00FE6980" w:rsidRDefault="00E433FF" w:rsidP="00EA2546">
            <w:pPr>
              <w:jc w:val="both"/>
              <w:rPr>
                <w:sz w:val="20"/>
                <w:szCs w:val="20"/>
                <w:u w:val="single"/>
                <w:lang w:val="fr-CA"/>
              </w:rPr>
            </w:pPr>
            <w:hyperlink r:id="rId33" w:history="1">
              <w:r w:rsidR="00EA2546" w:rsidRPr="00FE6980">
                <w:rPr>
                  <w:rStyle w:val="Hyperlink"/>
                  <w:sz w:val="20"/>
                  <w:szCs w:val="20"/>
                  <w:lang w:val="fr-CA"/>
                </w:rPr>
                <w:t>2016 ONCA 55</w:t>
              </w:r>
            </w:hyperlink>
          </w:p>
          <w:p w:rsidR="0026298F" w:rsidRPr="00FE6980" w:rsidRDefault="0026298F" w:rsidP="00EA2546">
            <w:pPr>
              <w:pStyle w:val="SCCShortJudgment"/>
              <w:ind w:firstLine="0"/>
              <w:rPr>
                <w:rFonts w:cs="Times New Roman"/>
                <w:szCs w:val="20"/>
                <w:lang w:val="fr-CA"/>
              </w:rPr>
            </w:pPr>
          </w:p>
        </w:tc>
        <w:tc>
          <w:tcPr>
            <w:tcW w:w="630" w:type="dxa"/>
          </w:tcPr>
          <w:p w:rsidR="0026298F" w:rsidRPr="00FE6980" w:rsidRDefault="0026298F" w:rsidP="00EA2546">
            <w:pPr>
              <w:pStyle w:val="SCCShortJudgment"/>
              <w:ind w:firstLine="0"/>
              <w:rPr>
                <w:rFonts w:cs="Times New Roman"/>
                <w:szCs w:val="20"/>
                <w:lang w:val="fr-CA"/>
              </w:rPr>
            </w:pPr>
          </w:p>
        </w:tc>
        <w:tc>
          <w:tcPr>
            <w:tcW w:w="4536" w:type="dxa"/>
          </w:tcPr>
          <w:p w:rsidR="00EA2546" w:rsidRPr="00FE6980" w:rsidRDefault="00EA2546" w:rsidP="00EA2546">
            <w:pPr>
              <w:jc w:val="both"/>
              <w:rPr>
                <w:sz w:val="20"/>
                <w:szCs w:val="20"/>
                <w:lang w:val="fr-CA"/>
              </w:rPr>
            </w:pPr>
            <w:r w:rsidRPr="00FE6980">
              <w:rPr>
                <w:sz w:val="20"/>
                <w:szCs w:val="20"/>
                <w:lang w:val="fr-CA"/>
              </w:rPr>
              <w:t>Rejet de l’appel des demandeurs.</w:t>
            </w:r>
          </w:p>
          <w:p w:rsidR="0026298F" w:rsidRPr="00FE6980" w:rsidRDefault="0026298F" w:rsidP="00EA2546">
            <w:pPr>
              <w:pStyle w:val="SCCShortJudgment"/>
              <w:ind w:firstLine="0"/>
              <w:rPr>
                <w:rFonts w:cs="Times New Roman"/>
                <w:szCs w:val="20"/>
                <w:lang w:val="fr-CA"/>
              </w:rPr>
            </w:pPr>
          </w:p>
        </w:tc>
      </w:tr>
      <w:tr w:rsidR="00EA2546" w:rsidRPr="00E433FF" w:rsidTr="00EA2546">
        <w:trPr>
          <w:cantSplit/>
        </w:trPr>
        <w:tc>
          <w:tcPr>
            <w:tcW w:w="4410" w:type="dxa"/>
            <w:gridSpan w:val="2"/>
          </w:tcPr>
          <w:p w:rsidR="00EA2546" w:rsidRPr="00FE6980" w:rsidRDefault="00EA2546" w:rsidP="00EA2546">
            <w:pPr>
              <w:jc w:val="both"/>
              <w:rPr>
                <w:sz w:val="20"/>
                <w:szCs w:val="20"/>
                <w:lang w:val="fr-CA"/>
              </w:rPr>
            </w:pPr>
            <w:r w:rsidRPr="00FE6980">
              <w:rPr>
                <w:sz w:val="20"/>
                <w:szCs w:val="20"/>
                <w:lang w:val="fr-CA"/>
              </w:rPr>
              <w:t>23 février 2016</w:t>
            </w:r>
          </w:p>
          <w:p w:rsidR="00EA2546" w:rsidRPr="00FE6980" w:rsidRDefault="00EA2546" w:rsidP="00F6089A">
            <w:pPr>
              <w:jc w:val="both"/>
              <w:rPr>
                <w:rFonts w:cs="Times New Roman"/>
                <w:szCs w:val="20"/>
                <w:lang w:val="fr-CA"/>
              </w:rPr>
            </w:pPr>
            <w:r w:rsidRPr="00FE6980">
              <w:rPr>
                <w:sz w:val="20"/>
                <w:szCs w:val="20"/>
                <w:lang w:val="fr-CA"/>
              </w:rPr>
              <w:t>Cour suprême du Canada</w:t>
            </w:r>
          </w:p>
        </w:tc>
        <w:tc>
          <w:tcPr>
            <w:tcW w:w="630" w:type="dxa"/>
          </w:tcPr>
          <w:p w:rsidR="00EA2546" w:rsidRPr="00FE6980" w:rsidRDefault="00EA2546" w:rsidP="00EA2546">
            <w:pPr>
              <w:pStyle w:val="SCCShortJudgment"/>
              <w:ind w:firstLine="0"/>
              <w:rPr>
                <w:rFonts w:cs="Times New Roman"/>
                <w:szCs w:val="20"/>
                <w:lang w:val="fr-CA"/>
              </w:rPr>
            </w:pPr>
          </w:p>
        </w:tc>
        <w:tc>
          <w:tcPr>
            <w:tcW w:w="4536" w:type="dxa"/>
          </w:tcPr>
          <w:p w:rsidR="00EA2546" w:rsidRPr="00FE6980" w:rsidRDefault="00EA2546" w:rsidP="00EA2546">
            <w:pPr>
              <w:jc w:val="both"/>
              <w:rPr>
                <w:sz w:val="20"/>
                <w:szCs w:val="20"/>
                <w:lang w:val="fr-CA"/>
              </w:rPr>
            </w:pPr>
            <w:r w:rsidRPr="00FE6980">
              <w:rPr>
                <w:sz w:val="20"/>
                <w:szCs w:val="20"/>
                <w:lang w:val="fr-CA"/>
              </w:rPr>
              <w:t>Dépôt de la demande d’autorisation d’appel</w:t>
            </w:r>
          </w:p>
        </w:tc>
      </w:tr>
    </w:tbl>
    <w:p w:rsidR="0026298F" w:rsidRPr="00FE6980" w:rsidRDefault="00E433FF" w:rsidP="0026298F">
      <w:pPr>
        <w:rPr>
          <w:rFonts w:cs="Times New Roman"/>
          <w:sz w:val="20"/>
          <w:szCs w:val="20"/>
          <w:lang w:val="fr-CA"/>
        </w:rPr>
      </w:pPr>
      <w:r>
        <w:rPr>
          <w:rFonts w:cs="Times New Roman"/>
          <w:sz w:val="20"/>
          <w:szCs w:val="20"/>
          <w:lang w:val="fr-CA"/>
        </w:rPr>
        <w:pict>
          <v:rect id="_x0000_i1050" style="width:2in;height:1pt" o:hrpct="0" o:hralign="center" o:hrstd="t" o:hrnoshade="t" o:hr="t" fillcolor="black [3213]" stroked="f"/>
        </w:pict>
      </w:r>
    </w:p>
    <w:p w:rsidR="0026298F" w:rsidRPr="00FE6980" w:rsidRDefault="0026298F" w:rsidP="0026298F">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6298F" w:rsidRPr="00FE6980" w:rsidTr="00A767AC">
        <w:trPr>
          <w:cantSplit/>
        </w:trPr>
        <w:tc>
          <w:tcPr>
            <w:tcW w:w="1458" w:type="dxa"/>
          </w:tcPr>
          <w:p w:rsidR="0026298F" w:rsidRPr="00FE6980" w:rsidRDefault="0026298F" w:rsidP="00270FF2">
            <w:pPr>
              <w:jc w:val="both"/>
              <w:rPr>
                <w:rFonts w:cs="Times New Roman"/>
                <w:sz w:val="20"/>
                <w:szCs w:val="20"/>
              </w:rPr>
            </w:pPr>
            <w:r w:rsidRPr="00FE6980">
              <w:rPr>
                <w:rStyle w:val="SCCFileNumberChar"/>
                <w:sz w:val="20"/>
                <w:szCs w:val="20"/>
              </w:rPr>
              <w:t>36890</w:t>
            </w:r>
          </w:p>
          <w:p w:rsidR="0026298F" w:rsidRPr="00FE6980" w:rsidRDefault="0026298F" w:rsidP="00270FF2">
            <w:pPr>
              <w:jc w:val="both"/>
              <w:rPr>
                <w:rFonts w:cs="Times New Roman"/>
                <w:b/>
                <w:sz w:val="20"/>
                <w:szCs w:val="20"/>
              </w:rPr>
            </w:pPr>
          </w:p>
        </w:tc>
        <w:tc>
          <w:tcPr>
            <w:tcW w:w="8118" w:type="dxa"/>
            <w:gridSpan w:val="3"/>
          </w:tcPr>
          <w:p w:rsidR="0026298F" w:rsidRPr="00FE6980" w:rsidRDefault="0026298F" w:rsidP="00270FF2">
            <w:pPr>
              <w:jc w:val="both"/>
              <w:rPr>
                <w:rFonts w:cs="Times New Roman"/>
                <w:sz w:val="20"/>
                <w:szCs w:val="20"/>
              </w:rPr>
            </w:pPr>
            <w:r w:rsidRPr="00FE6980">
              <w:rPr>
                <w:b/>
                <w:sz w:val="20"/>
                <w:szCs w:val="20"/>
                <w:u w:val="single"/>
              </w:rPr>
              <w:t>Gerald Dyke v. Her Majesty the Queen</w:t>
            </w:r>
            <w:r w:rsidRPr="00FE6980">
              <w:rPr>
                <w:rFonts w:cs="Times New Roman"/>
                <w:sz w:val="20"/>
                <w:szCs w:val="20"/>
              </w:rPr>
              <w:t xml:space="preserve"> (Ont.) (Crim.) (By Leave)</w:t>
            </w:r>
          </w:p>
          <w:p w:rsidR="0026298F" w:rsidRPr="00FE6980" w:rsidRDefault="0026298F" w:rsidP="00270FF2">
            <w:pPr>
              <w:jc w:val="both"/>
              <w:rPr>
                <w:rFonts w:cs="Times New Roman"/>
                <w:sz w:val="20"/>
                <w:szCs w:val="20"/>
              </w:rPr>
            </w:pPr>
          </w:p>
        </w:tc>
      </w:tr>
      <w:tr w:rsidR="0026298F" w:rsidRPr="00FE6980" w:rsidTr="00A767AC">
        <w:trPr>
          <w:cantSplit/>
        </w:trPr>
        <w:tc>
          <w:tcPr>
            <w:tcW w:w="1458" w:type="dxa"/>
          </w:tcPr>
          <w:p w:rsidR="0026298F" w:rsidRPr="00FE6980" w:rsidRDefault="0026298F" w:rsidP="00270FF2">
            <w:pPr>
              <w:jc w:val="both"/>
              <w:rPr>
                <w:rFonts w:cs="Times New Roman"/>
                <w:sz w:val="20"/>
                <w:szCs w:val="20"/>
              </w:rPr>
            </w:pPr>
            <w:r w:rsidRPr="00FE6980">
              <w:rPr>
                <w:rFonts w:cs="Times New Roman"/>
                <w:sz w:val="20"/>
                <w:szCs w:val="20"/>
              </w:rPr>
              <w:t>Coram :</w:t>
            </w:r>
          </w:p>
        </w:tc>
        <w:tc>
          <w:tcPr>
            <w:tcW w:w="8118" w:type="dxa"/>
            <w:gridSpan w:val="3"/>
          </w:tcPr>
          <w:p w:rsidR="0026298F" w:rsidRPr="00FE6980" w:rsidRDefault="00A767AC" w:rsidP="00270FF2">
            <w:pPr>
              <w:jc w:val="both"/>
              <w:rPr>
                <w:rStyle w:val="SCCCoramChar"/>
                <w:rFonts w:cs="Times New Roman"/>
                <w:sz w:val="20"/>
                <w:szCs w:val="20"/>
                <w:lang w:val="en-CA"/>
              </w:rPr>
            </w:pPr>
            <w:r w:rsidRPr="00FE6980">
              <w:rPr>
                <w:rStyle w:val="SCCCoramChar"/>
                <w:rFonts w:cs="Times New Roman"/>
                <w:sz w:val="20"/>
                <w:szCs w:val="20"/>
                <w:lang w:val="en-CA"/>
              </w:rPr>
              <w:t>Abella, Karakatsanis and Brown JJ.</w:t>
            </w:r>
          </w:p>
          <w:p w:rsidR="00A767AC" w:rsidRPr="00FE6980" w:rsidRDefault="00A767AC" w:rsidP="00270FF2">
            <w:pPr>
              <w:jc w:val="both"/>
              <w:rPr>
                <w:rFonts w:cs="Times New Roman"/>
                <w:sz w:val="20"/>
                <w:szCs w:val="20"/>
              </w:rPr>
            </w:pPr>
          </w:p>
        </w:tc>
      </w:tr>
      <w:tr w:rsidR="0026298F" w:rsidRPr="00E433FF" w:rsidTr="00A767AC">
        <w:trPr>
          <w:cantSplit/>
        </w:trPr>
        <w:tc>
          <w:tcPr>
            <w:tcW w:w="9576" w:type="dxa"/>
            <w:gridSpan w:val="4"/>
          </w:tcPr>
          <w:p w:rsidR="0026298F" w:rsidRPr="00FE6980" w:rsidRDefault="0026298F" w:rsidP="00A767AC">
            <w:pPr>
              <w:pStyle w:val="SCCShortJudgment"/>
              <w:ind w:firstLine="0"/>
              <w:rPr>
                <w:rFonts w:cs="Times New Roman"/>
                <w:szCs w:val="20"/>
              </w:rPr>
            </w:pPr>
            <w:r w:rsidRPr="00FE6980">
              <w:rPr>
                <w:rFonts w:cs="Times New Roman"/>
                <w:szCs w:val="20"/>
              </w:rPr>
              <w:tab/>
            </w:r>
            <w:r w:rsidRPr="00FE6980">
              <w:rPr>
                <w:szCs w:val="20"/>
              </w:rPr>
              <w:t>The motion for an extension of time to serve and file the application for leave to appeal is granted. The application for leave to appeal from the judgment of the Court of Appeal for Ontario, Number C53998, 2015 ONCA 120, dated January 30, 2015, is dismissed.</w:t>
            </w:r>
          </w:p>
          <w:p w:rsidR="0026298F" w:rsidRPr="00FE6980" w:rsidRDefault="0026298F" w:rsidP="00A767AC">
            <w:pPr>
              <w:pStyle w:val="SCCShortJudgment"/>
              <w:ind w:firstLine="0"/>
              <w:rPr>
                <w:rFonts w:cs="Times New Roman"/>
                <w:szCs w:val="20"/>
              </w:rPr>
            </w:pPr>
          </w:p>
          <w:p w:rsidR="0026298F" w:rsidRPr="00FE6980" w:rsidRDefault="0026298F" w:rsidP="00A767AC">
            <w:pPr>
              <w:pStyle w:val="SCCShortJudgment"/>
              <w:ind w:firstLine="0"/>
              <w:rPr>
                <w:rFonts w:cs="Times New Roman"/>
                <w:szCs w:val="20"/>
                <w:lang w:val="fr-CA"/>
              </w:rPr>
            </w:pPr>
            <w:r w:rsidRPr="00FE6980">
              <w:rPr>
                <w:rFonts w:cs="Times New Roman"/>
                <w:szCs w:val="20"/>
              </w:rPr>
              <w:tab/>
            </w:r>
            <w:r w:rsidRPr="00FE6980">
              <w:rPr>
                <w:szCs w:val="20"/>
                <w:lang w:val="fr-FR"/>
              </w:rPr>
              <w:t xml:space="preserve">La requête en prorogation du délai pour la signification et le dépôt de la demande d’autorisation d’appel est accueillie. </w:t>
            </w:r>
            <w:r w:rsidRPr="00FE6980">
              <w:rPr>
                <w:szCs w:val="20"/>
                <w:lang w:val="fr-CA"/>
              </w:rPr>
              <w:t xml:space="preserve">La demande d’autorisation d’appel de l’arrêt de la </w:t>
            </w:r>
            <w:r w:rsidRPr="00FE6980">
              <w:rPr>
                <w:szCs w:val="20"/>
                <w:lang w:val="fr-FR"/>
              </w:rPr>
              <w:t>Cour d’appel de l’Ontario</w:t>
            </w:r>
            <w:r w:rsidRPr="00FE6980">
              <w:rPr>
                <w:szCs w:val="20"/>
                <w:lang w:val="fr-CA"/>
              </w:rPr>
              <w:t xml:space="preserve">, numéro </w:t>
            </w:r>
            <w:r w:rsidRPr="00FE6980">
              <w:rPr>
                <w:szCs w:val="20"/>
                <w:lang w:val="fr-FR"/>
              </w:rPr>
              <w:t>C53998, 2015 ONCA 120</w:t>
            </w:r>
            <w:r w:rsidRPr="00FE6980">
              <w:rPr>
                <w:szCs w:val="20"/>
                <w:lang w:val="fr-CA"/>
              </w:rPr>
              <w:t xml:space="preserve">, daté du </w:t>
            </w:r>
            <w:r w:rsidRPr="00FE6980">
              <w:rPr>
                <w:szCs w:val="20"/>
                <w:lang w:val="fr-FR"/>
              </w:rPr>
              <w:t>30 janvier 2015</w:t>
            </w:r>
            <w:r w:rsidRPr="00FE6980">
              <w:rPr>
                <w:szCs w:val="20"/>
                <w:lang w:val="fr-CA"/>
              </w:rPr>
              <w:t>, est rejetée.</w:t>
            </w:r>
          </w:p>
          <w:p w:rsidR="0026298F" w:rsidRPr="00FE6980" w:rsidRDefault="0026298F" w:rsidP="00A767AC">
            <w:pPr>
              <w:pStyle w:val="SCCShortJudgment"/>
              <w:ind w:firstLine="0"/>
              <w:rPr>
                <w:rFonts w:cs="Times New Roman"/>
                <w:szCs w:val="20"/>
                <w:lang w:val="fr-CA"/>
              </w:rPr>
            </w:pPr>
          </w:p>
        </w:tc>
      </w:tr>
      <w:tr w:rsidR="0026298F" w:rsidRPr="00FE6980" w:rsidTr="00A767AC">
        <w:trPr>
          <w:cantSplit/>
        </w:trPr>
        <w:tc>
          <w:tcPr>
            <w:tcW w:w="9576" w:type="dxa"/>
            <w:gridSpan w:val="4"/>
          </w:tcPr>
          <w:p w:rsidR="0026298F" w:rsidRPr="00FE6980" w:rsidRDefault="0026298F" w:rsidP="00A767AC">
            <w:pPr>
              <w:pStyle w:val="SCCShortJudgment"/>
              <w:ind w:firstLine="0"/>
              <w:rPr>
                <w:rFonts w:cs="Times New Roman"/>
                <w:szCs w:val="20"/>
                <w:u w:val="single"/>
                <w:lang w:val="fr-CA"/>
              </w:rPr>
            </w:pPr>
            <w:r w:rsidRPr="00FE6980">
              <w:rPr>
                <w:rFonts w:cs="Times New Roman"/>
                <w:szCs w:val="20"/>
                <w:u w:val="single"/>
                <w:lang w:val="fr-CA"/>
              </w:rPr>
              <w:t>CASE SUMMARY</w:t>
            </w:r>
          </w:p>
          <w:p w:rsidR="0026298F" w:rsidRPr="00FE6980" w:rsidRDefault="0026298F" w:rsidP="00A767AC">
            <w:pPr>
              <w:pStyle w:val="SCCShortJudgment"/>
              <w:ind w:firstLine="0"/>
              <w:rPr>
                <w:rFonts w:cs="Times New Roman"/>
                <w:szCs w:val="20"/>
                <w:lang w:val="fr-CA"/>
              </w:rPr>
            </w:pPr>
          </w:p>
        </w:tc>
      </w:tr>
      <w:tr w:rsidR="0026298F" w:rsidRPr="00FE6980" w:rsidTr="00A767AC">
        <w:trPr>
          <w:cantSplit/>
        </w:trPr>
        <w:tc>
          <w:tcPr>
            <w:tcW w:w="9576" w:type="dxa"/>
            <w:gridSpan w:val="4"/>
          </w:tcPr>
          <w:p w:rsidR="0026298F" w:rsidRPr="00FE6980" w:rsidRDefault="00270FF2" w:rsidP="00A767AC">
            <w:pPr>
              <w:pStyle w:val="SCCShortJudgment"/>
              <w:ind w:firstLine="0"/>
              <w:rPr>
                <w:szCs w:val="20"/>
                <w:lang w:val="en-US"/>
              </w:rPr>
            </w:pPr>
            <w:r w:rsidRPr="00FE6980">
              <w:rPr>
                <w:szCs w:val="20"/>
              </w:rPr>
              <w:t xml:space="preserve">Criminal law – Sentencing – Dangerous Offender – </w:t>
            </w:r>
            <w:r w:rsidRPr="00FE6980">
              <w:rPr>
                <w:szCs w:val="20"/>
                <w:lang w:val="en-US"/>
              </w:rPr>
              <w:t>Who bears the onus of satisfying the court that there is no reasonable possibility of eventually controlling an offender's risk in the community on a dangerous offender application?</w:t>
            </w:r>
          </w:p>
          <w:p w:rsidR="00270FF2" w:rsidRPr="00FE6980" w:rsidRDefault="00270FF2" w:rsidP="00A767AC">
            <w:pPr>
              <w:pStyle w:val="SCCShortJudgment"/>
              <w:ind w:firstLine="0"/>
              <w:rPr>
                <w:rFonts w:cs="Times New Roman"/>
                <w:szCs w:val="20"/>
              </w:rPr>
            </w:pPr>
          </w:p>
        </w:tc>
      </w:tr>
      <w:tr w:rsidR="0026298F" w:rsidRPr="00FE6980" w:rsidTr="00EA2546">
        <w:tc>
          <w:tcPr>
            <w:tcW w:w="9576" w:type="dxa"/>
            <w:gridSpan w:val="4"/>
          </w:tcPr>
          <w:p w:rsidR="00270FF2" w:rsidRPr="00FE6980" w:rsidRDefault="00270FF2" w:rsidP="00A767AC">
            <w:pPr>
              <w:jc w:val="both"/>
              <w:rPr>
                <w:sz w:val="20"/>
                <w:szCs w:val="20"/>
              </w:rPr>
            </w:pPr>
            <w:r w:rsidRPr="00FE6980">
              <w:rPr>
                <w:sz w:val="20"/>
                <w:szCs w:val="20"/>
              </w:rPr>
              <w:t>The applicant has a lengthy criminal record involving domestic violence. A jury found the applicant guilty of unlawful confinement and assault causing bodily harm against his girlfriend. The Crown brought an application to have the applicant declared a dangerous offender. At his sentencing hearing, the trial judge found that the statutory criteria were met and the applicant was declared a dangerous offender. The Court of Appeal dismissed the sentence appeal.</w:t>
            </w:r>
          </w:p>
          <w:p w:rsidR="0026298F" w:rsidRPr="00FE6980" w:rsidRDefault="0026298F" w:rsidP="00A767AC">
            <w:pPr>
              <w:pStyle w:val="SCCShortJudgment"/>
              <w:ind w:firstLine="0"/>
              <w:rPr>
                <w:rFonts w:cs="Times New Roman"/>
                <w:szCs w:val="20"/>
              </w:rPr>
            </w:pPr>
          </w:p>
        </w:tc>
      </w:tr>
      <w:tr w:rsidR="0026298F" w:rsidRPr="00FE6980" w:rsidTr="00A767AC">
        <w:tc>
          <w:tcPr>
            <w:tcW w:w="4410" w:type="dxa"/>
            <w:gridSpan w:val="2"/>
          </w:tcPr>
          <w:p w:rsidR="00270FF2" w:rsidRPr="00FE6980" w:rsidRDefault="00270FF2" w:rsidP="00A767AC">
            <w:pPr>
              <w:jc w:val="both"/>
              <w:rPr>
                <w:sz w:val="20"/>
                <w:szCs w:val="20"/>
              </w:rPr>
            </w:pPr>
            <w:r w:rsidRPr="00FE6980">
              <w:rPr>
                <w:sz w:val="20"/>
                <w:szCs w:val="20"/>
              </w:rPr>
              <w:t>January 28, 2011</w:t>
            </w:r>
          </w:p>
          <w:p w:rsidR="00270FF2" w:rsidRPr="00FE6980" w:rsidRDefault="00270FF2" w:rsidP="00A767AC">
            <w:pPr>
              <w:jc w:val="both"/>
              <w:rPr>
                <w:sz w:val="20"/>
                <w:szCs w:val="20"/>
              </w:rPr>
            </w:pPr>
            <w:r w:rsidRPr="00FE6980">
              <w:rPr>
                <w:sz w:val="20"/>
                <w:szCs w:val="20"/>
              </w:rPr>
              <w:t>Ontario Superior Court of Justice</w:t>
            </w:r>
          </w:p>
          <w:p w:rsidR="00270FF2" w:rsidRPr="00FE6980" w:rsidRDefault="00270FF2" w:rsidP="00A767AC">
            <w:pPr>
              <w:jc w:val="both"/>
              <w:rPr>
                <w:sz w:val="20"/>
                <w:szCs w:val="20"/>
              </w:rPr>
            </w:pPr>
            <w:r w:rsidRPr="00FE6980">
              <w:rPr>
                <w:sz w:val="20"/>
                <w:szCs w:val="20"/>
              </w:rPr>
              <w:t>(Taylor J.)</w:t>
            </w:r>
          </w:p>
          <w:p w:rsidR="0026298F" w:rsidRPr="00FE6980" w:rsidRDefault="0026298F" w:rsidP="00A767AC">
            <w:pPr>
              <w:jc w:val="both"/>
              <w:rPr>
                <w:rFonts w:cs="Times New Roman"/>
                <w:sz w:val="20"/>
                <w:szCs w:val="20"/>
              </w:rPr>
            </w:pPr>
          </w:p>
        </w:tc>
        <w:tc>
          <w:tcPr>
            <w:tcW w:w="630" w:type="dxa"/>
          </w:tcPr>
          <w:p w:rsidR="0026298F" w:rsidRPr="00FE6980" w:rsidRDefault="0026298F" w:rsidP="00A767AC">
            <w:pPr>
              <w:pStyle w:val="SCCShortJudgment"/>
              <w:ind w:firstLine="0"/>
              <w:rPr>
                <w:rFonts w:cs="Times New Roman"/>
                <w:szCs w:val="20"/>
              </w:rPr>
            </w:pPr>
          </w:p>
        </w:tc>
        <w:tc>
          <w:tcPr>
            <w:tcW w:w="4536" w:type="dxa"/>
          </w:tcPr>
          <w:p w:rsidR="00270FF2" w:rsidRPr="00FE6980" w:rsidRDefault="00270FF2" w:rsidP="00A767AC">
            <w:pPr>
              <w:jc w:val="both"/>
              <w:rPr>
                <w:sz w:val="20"/>
                <w:szCs w:val="20"/>
              </w:rPr>
            </w:pPr>
            <w:r w:rsidRPr="00FE6980">
              <w:rPr>
                <w:sz w:val="20"/>
                <w:szCs w:val="20"/>
              </w:rPr>
              <w:t>Applicant declared a dangerous offender</w:t>
            </w:r>
          </w:p>
          <w:p w:rsidR="0026298F" w:rsidRPr="00FE6980" w:rsidRDefault="0026298F" w:rsidP="00A767AC">
            <w:pPr>
              <w:jc w:val="both"/>
              <w:rPr>
                <w:rFonts w:cs="Times New Roman"/>
                <w:sz w:val="20"/>
                <w:szCs w:val="20"/>
              </w:rPr>
            </w:pPr>
          </w:p>
        </w:tc>
      </w:tr>
      <w:tr w:rsidR="0026298F" w:rsidRPr="00FE6980" w:rsidTr="00A767AC">
        <w:trPr>
          <w:cantSplit/>
        </w:trPr>
        <w:tc>
          <w:tcPr>
            <w:tcW w:w="4410" w:type="dxa"/>
            <w:gridSpan w:val="2"/>
          </w:tcPr>
          <w:p w:rsidR="00270FF2" w:rsidRPr="00FE6980" w:rsidRDefault="00270FF2" w:rsidP="00A767AC">
            <w:pPr>
              <w:jc w:val="both"/>
              <w:rPr>
                <w:sz w:val="20"/>
                <w:szCs w:val="20"/>
              </w:rPr>
            </w:pPr>
            <w:r w:rsidRPr="00FE6980">
              <w:rPr>
                <w:sz w:val="20"/>
                <w:szCs w:val="20"/>
              </w:rPr>
              <w:t>January 30, 2015</w:t>
            </w:r>
          </w:p>
          <w:p w:rsidR="00270FF2" w:rsidRPr="00FE6980" w:rsidRDefault="00270FF2" w:rsidP="00A767AC">
            <w:pPr>
              <w:jc w:val="both"/>
              <w:rPr>
                <w:sz w:val="20"/>
                <w:szCs w:val="20"/>
              </w:rPr>
            </w:pPr>
            <w:r w:rsidRPr="00FE6980">
              <w:rPr>
                <w:sz w:val="20"/>
                <w:szCs w:val="20"/>
              </w:rPr>
              <w:t>Court of Appeal for Ontario</w:t>
            </w:r>
          </w:p>
          <w:p w:rsidR="00270FF2" w:rsidRPr="00FE6980" w:rsidRDefault="00270FF2" w:rsidP="00A767AC">
            <w:pPr>
              <w:jc w:val="both"/>
              <w:rPr>
                <w:sz w:val="20"/>
                <w:szCs w:val="20"/>
              </w:rPr>
            </w:pPr>
            <w:r w:rsidRPr="00FE6980">
              <w:rPr>
                <w:sz w:val="20"/>
                <w:szCs w:val="20"/>
              </w:rPr>
              <w:t xml:space="preserve">(Watt, </w:t>
            </w:r>
            <w:proofErr w:type="spellStart"/>
            <w:r w:rsidRPr="00FE6980">
              <w:rPr>
                <w:sz w:val="20"/>
                <w:szCs w:val="20"/>
              </w:rPr>
              <w:t>Pepall</w:t>
            </w:r>
            <w:proofErr w:type="spellEnd"/>
            <w:r w:rsidRPr="00FE6980">
              <w:rPr>
                <w:sz w:val="20"/>
                <w:szCs w:val="20"/>
              </w:rPr>
              <w:t xml:space="preserve">, </w:t>
            </w:r>
            <w:proofErr w:type="spellStart"/>
            <w:r w:rsidRPr="00FE6980">
              <w:rPr>
                <w:sz w:val="20"/>
                <w:szCs w:val="20"/>
              </w:rPr>
              <w:t>Huscroft</w:t>
            </w:r>
            <w:proofErr w:type="spellEnd"/>
            <w:r w:rsidRPr="00FE6980">
              <w:rPr>
                <w:sz w:val="20"/>
                <w:szCs w:val="20"/>
              </w:rPr>
              <w:t xml:space="preserve"> JJ.A.)</w:t>
            </w:r>
          </w:p>
          <w:p w:rsidR="00270FF2" w:rsidRPr="00FE6980" w:rsidRDefault="00270FF2" w:rsidP="00A767AC">
            <w:pPr>
              <w:jc w:val="both"/>
              <w:rPr>
                <w:sz w:val="20"/>
                <w:szCs w:val="20"/>
              </w:rPr>
            </w:pPr>
            <w:r w:rsidRPr="00FE6980">
              <w:rPr>
                <w:sz w:val="20"/>
                <w:szCs w:val="20"/>
              </w:rPr>
              <w:t>2015 ONCA 120; C53998</w:t>
            </w:r>
          </w:p>
          <w:p w:rsidR="00270FF2" w:rsidRPr="00FE6980" w:rsidRDefault="00E433FF" w:rsidP="00A767AC">
            <w:pPr>
              <w:jc w:val="both"/>
              <w:rPr>
                <w:rStyle w:val="documentstaticurl"/>
                <w:color w:val="0000FF" w:themeColor="hyperlink"/>
                <w:sz w:val="20"/>
                <w:szCs w:val="20"/>
                <w:u w:val="single"/>
              </w:rPr>
            </w:pPr>
            <w:hyperlink r:id="rId34" w:history="1">
              <w:r w:rsidR="00270FF2" w:rsidRPr="00FE6980">
                <w:rPr>
                  <w:rStyle w:val="Hyperlink"/>
                  <w:sz w:val="20"/>
                  <w:szCs w:val="20"/>
                </w:rPr>
                <w:t>http://canlii.ca/t/ggdgz</w:t>
              </w:r>
            </w:hyperlink>
          </w:p>
          <w:p w:rsidR="0026298F" w:rsidRPr="00FE6980" w:rsidRDefault="0026298F" w:rsidP="00A767AC">
            <w:pPr>
              <w:jc w:val="both"/>
              <w:rPr>
                <w:rFonts w:cs="Times New Roman"/>
                <w:sz w:val="20"/>
                <w:szCs w:val="20"/>
              </w:rPr>
            </w:pPr>
          </w:p>
        </w:tc>
        <w:tc>
          <w:tcPr>
            <w:tcW w:w="630" w:type="dxa"/>
          </w:tcPr>
          <w:p w:rsidR="0026298F" w:rsidRPr="00FE6980" w:rsidRDefault="0026298F" w:rsidP="00A767AC">
            <w:pPr>
              <w:pStyle w:val="SCCShortJudgment"/>
              <w:ind w:firstLine="0"/>
              <w:rPr>
                <w:rFonts w:cs="Times New Roman"/>
                <w:szCs w:val="20"/>
              </w:rPr>
            </w:pPr>
          </w:p>
        </w:tc>
        <w:tc>
          <w:tcPr>
            <w:tcW w:w="4536" w:type="dxa"/>
          </w:tcPr>
          <w:p w:rsidR="0026298F" w:rsidRPr="00FE6980" w:rsidRDefault="00270FF2" w:rsidP="00A767AC">
            <w:pPr>
              <w:jc w:val="both"/>
              <w:rPr>
                <w:rFonts w:cs="Times New Roman"/>
                <w:sz w:val="20"/>
                <w:szCs w:val="20"/>
              </w:rPr>
            </w:pPr>
            <w:r w:rsidRPr="00FE6980">
              <w:rPr>
                <w:sz w:val="20"/>
                <w:szCs w:val="20"/>
              </w:rPr>
              <w:t>Appeal dismissed</w:t>
            </w:r>
          </w:p>
        </w:tc>
      </w:tr>
      <w:tr w:rsidR="0026298F" w:rsidRPr="00FE6980" w:rsidTr="00A767AC">
        <w:trPr>
          <w:cantSplit/>
        </w:trPr>
        <w:tc>
          <w:tcPr>
            <w:tcW w:w="4410" w:type="dxa"/>
            <w:gridSpan w:val="2"/>
          </w:tcPr>
          <w:p w:rsidR="00270FF2" w:rsidRPr="00FE6980" w:rsidRDefault="00270FF2" w:rsidP="00A767AC">
            <w:pPr>
              <w:jc w:val="both"/>
              <w:rPr>
                <w:sz w:val="20"/>
                <w:szCs w:val="20"/>
              </w:rPr>
            </w:pPr>
            <w:r w:rsidRPr="00FE6980">
              <w:rPr>
                <w:sz w:val="20"/>
                <w:szCs w:val="20"/>
              </w:rPr>
              <w:t>March 11, 2016</w:t>
            </w:r>
          </w:p>
          <w:p w:rsidR="00270FF2" w:rsidRPr="00FE6980" w:rsidRDefault="00270FF2" w:rsidP="00A767AC">
            <w:pPr>
              <w:jc w:val="both"/>
              <w:rPr>
                <w:sz w:val="20"/>
                <w:szCs w:val="20"/>
              </w:rPr>
            </w:pPr>
            <w:r w:rsidRPr="00FE6980">
              <w:rPr>
                <w:sz w:val="20"/>
                <w:szCs w:val="20"/>
              </w:rPr>
              <w:t>Supreme Court of Canada</w:t>
            </w:r>
          </w:p>
          <w:p w:rsidR="0026298F" w:rsidRPr="00FE6980" w:rsidRDefault="0026298F" w:rsidP="00A767AC">
            <w:pPr>
              <w:jc w:val="both"/>
              <w:rPr>
                <w:rFonts w:cs="Times New Roman"/>
                <w:sz w:val="20"/>
                <w:szCs w:val="20"/>
              </w:rPr>
            </w:pPr>
          </w:p>
        </w:tc>
        <w:tc>
          <w:tcPr>
            <w:tcW w:w="630" w:type="dxa"/>
          </w:tcPr>
          <w:p w:rsidR="0026298F" w:rsidRPr="00FE6980" w:rsidRDefault="0026298F" w:rsidP="00A767AC">
            <w:pPr>
              <w:pStyle w:val="SCCShortJudgment"/>
              <w:ind w:firstLine="0"/>
              <w:rPr>
                <w:rFonts w:cs="Times New Roman"/>
                <w:szCs w:val="20"/>
              </w:rPr>
            </w:pPr>
          </w:p>
        </w:tc>
        <w:tc>
          <w:tcPr>
            <w:tcW w:w="4536" w:type="dxa"/>
          </w:tcPr>
          <w:p w:rsidR="0026298F" w:rsidRPr="00FE6980" w:rsidRDefault="00270FF2" w:rsidP="00A767AC">
            <w:pPr>
              <w:jc w:val="both"/>
              <w:rPr>
                <w:rFonts w:cs="Times New Roman"/>
                <w:sz w:val="20"/>
                <w:szCs w:val="20"/>
              </w:rPr>
            </w:pPr>
            <w:r w:rsidRPr="00FE6980">
              <w:rPr>
                <w:sz w:val="20"/>
                <w:szCs w:val="20"/>
              </w:rPr>
              <w:t>Motion for an extension of time to serve and file the application for leave to appeal and application for leave to appeal filed</w:t>
            </w:r>
          </w:p>
        </w:tc>
      </w:tr>
      <w:tr w:rsidR="0026298F" w:rsidRPr="00FE6980" w:rsidTr="00A767AC">
        <w:trPr>
          <w:cantSplit/>
        </w:trPr>
        <w:tc>
          <w:tcPr>
            <w:tcW w:w="9576" w:type="dxa"/>
            <w:gridSpan w:val="4"/>
          </w:tcPr>
          <w:p w:rsidR="0026298F" w:rsidRPr="00FE6980" w:rsidRDefault="00E433FF" w:rsidP="00A767AC">
            <w:pPr>
              <w:pStyle w:val="SCCShortJudgment"/>
              <w:ind w:firstLine="0"/>
              <w:rPr>
                <w:rFonts w:cs="Times New Roman"/>
                <w:szCs w:val="20"/>
                <w:lang w:val="fr-CA"/>
              </w:rPr>
            </w:pPr>
            <w:r>
              <w:rPr>
                <w:rFonts w:cs="Times New Roman"/>
                <w:szCs w:val="20"/>
                <w:lang w:val="fr-CA"/>
              </w:rPr>
              <w:pict>
                <v:rect id="_x0000_i1051" style="width:2in;height:1pt" o:hrpct="0" o:hralign="center" o:hrstd="t" o:hrnoshade="t" o:hr="t" fillcolor="black [3213]" stroked="f"/>
              </w:pict>
            </w:r>
          </w:p>
          <w:p w:rsidR="0026298F" w:rsidRPr="00FE6980" w:rsidRDefault="0026298F" w:rsidP="00A767AC">
            <w:pPr>
              <w:pStyle w:val="SCCShortJudgment"/>
              <w:ind w:firstLine="0"/>
              <w:rPr>
                <w:rFonts w:cs="Times New Roman"/>
                <w:szCs w:val="20"/>
                <w:lang w:val="fr-CA"/>
              </w:rPr>
            </w:pPr>
          </w:p>
        </w:tc>
      </w:tr>
      <w:tr w:rsidR="0026298F" w:rsidRPr="00FE6980" w:rsidTr="00A767AC">
        <w:trPr>
          <w:cantSplit/>
        </w:trPr>
        <w:tc>
          <w:tcPr>
            <w:tcW w:w="9576" w:type="dxa"/>
            <w:gridSpan w:val="4"/>
          </w:tcPr>
          <w:p w:rsidR="0026298F" w:rsidRPr="00FE6980" w:rsidRDefault="0026298F" w:rsidP="00A767AC">
            <w:pPr>
              <w:pStyle w:val="SCCShortJudgment"/>
              <w:ind w:firstLine="0"/>
              <w:rPr>
                <w:rFonts w:cs="Times New Roman"/>
                <w:szCs w:val="20"/>
                <w:u w:val="single"/>
                <w:lang w:val="fr-CA"/>
              </w:rPr>
            </w:pPr>
            <w:r w:rsidRPr="00FE6980">
              <w:rPr>
                <w:rFonts w:cs="Times New Roman"/>
                <w:szCs w:val="20"/>
                <w:u w:val="single"/>
                <w:lang w:val="fr-CA"/>
              </w:rPr>
              <w:t>RÉSUMÉ DE L’AFFAIRE </w:t>
            </w:r>
          </w:p>
          <w:p w:rsidR="0026298F" w:rsidRPr="00FE6980" w:rsidRDefault="0026298F" w:rsidP="00A767AC">
            <w:pPr>
              <w:pStyle w:val="SCCShortJudgment"/>
              <w:ind w:firstLine="0"/>
              <w:rPr>
                <w:rFonts w:cs="Times New Roman"/>
                <w:szCs w:val="20"/>
                <w:lang w:val="fr-CA"/>
              </w:rPr>
            </w:pPr>
          </w:p>
        </w:tc>
      </w:tr>
      <w:tr w:rsidR="0026298F" w:rsidRPr="00E433FF" w:rsidTr="00A767AC">
        <w:trPr>
          <w:cantSplit/>
        </w:trPr>
        <w:tc>
          <w:tcPr>
            <w:tcW w:w="9576" w:type="dxa"/>
            <w:gridSpan w:val="4"/>
          </w:tcPr>
          <w:p w:rsidR="0026298F" w:rsidRPr="00FE6980" w:rsidRDefault="00270FF2" w:rsidP="00A767AC">
            <w:pPr>
              <w:pStyle w:val="SCCShortJudgment"/>
              <w:ind w:firstLine="0"/>
              <w:rPr>
                <w:szCs w:val="20"/>
                <w:lang w:val="fr-CA"/>
              </w:rPr>
            </w:pPr>
            <w:r w:rsidRPr="00FE6980">
              <w:rPr>
                <w:szCs w:val="20"/>
                <w:lang w:val="fr-CA"/>
              </w:rPr>
              <w:t>Droit criminel – Détermination de la peine – Délinquant dangereux – Qui a le fardeau de convaincre le tribunal qu’il n’existe aucune possibilité réelle que le risque que pose le délinquant puisse être maîtrisé au sein de la collectivité dans une demande de déclaration de délinquant dangereux?</w:t>
            </w:r>
          </w:p>
          <w:p w:rsidR="00270FF2" w:rsidRPr="00FE6980" w:rsidRDefault="00270FF2" w:rsidP="00A767AC">
            <w:pPr>
              <w:pStyle w:val="SCCShortJudgment"/>
              <w:ind w:firstLine="0"/>
              <w:rPr>
                <w:rFonts w:cs="Times New Roman"/>
                <w:szCs w:val="20"/>
                <w:lang w:val="fr-CA"/>
              </w:rPr>
            </w:pPr>
          </w:p>
        </w:tc>
      </w:tr>
      <w:tr w:rsidR="0026298F" w:rsidRPr="00FE6980" w:rsidTr="00A767AC">
        <w:trPr>
          <w:cantSplit/>
        </w:trPr>
        <w:tc>
          <w:tcPr>
            <w:tcW w:w="9576" w:type="dxa"/>
            <w:gridSpan w:val="4"/>
          </w:tcPr>
          <w:p w:rsidR="00270FF2" w:rsidRPr="00FE6980" w:rsidRDefault="00270FF2" w:rsidP="00A767AC">
            <w:pPr>
              <w:jc w:val="both"/>
              <w:rPr>
                <w:sz w:val="20"/>
                <w:szCs w:val="20"/>
                <w:lang w:val="fr-CA"/>
              </w:rPr>
            </w:pPr>
            <w:r w:rsidRPr="00FE6980">
              <w:rPr>
                <w:sz w:val="20"/>
                <w:szCs w:val="20"/>
                <w:lang w:val="fr-CA"/>
              </w:rPr>
              <w:t>Le demandeur a un lourd casier judiciaire en lien avec la violence conjugale. Un jury a déclaré le demandeur coupable de séquestration et de voies de fait causant des lésions corporelles à l’endroit de sa petite amie. Le ministère public a présenté une demande en vue de faire déclarer le demandeur délinquant dangereux. À l’audience de détermination de la peine, le juge du procès a conclu que les critères de la loi avaient été satisfaits et il a déclaré le demandeur délinquant dangereux. La Cour d’appel a rejeté l’appel de la peine.</w:t>
            </w:r>
          </w:p>
          <w:p w:rsidR="0026298F" w:rsidRPr="00FE6980" w:rsidRDefault="0026298F" w:rsidP="00A767AC">
            <w:pPr>
              <w:jc w:val="both"/>
              <w:rPr>
                <w:rFonts w:cs="Times New Roman"/>
                <w:sz w:val="20"/>
                <w:szCs w:val="20"/>
                <w:lang w:val="fr-CA"/>
              </w:rPr>
            </w:pPr>
          </w:p>
        </w:tc>
      </w:tr>
      <w:tr w:rsidR="0026298F" w:rsidRPr="00E433FF" w:rsidTr="00A767AC">
        <w:trPr>
          <w:cantSplit/>
        </w:trPr>
        <w:tc>
          <w:tcPr>
            <w:tcW w:w="4410" w:type="dxa"/>
            <w:gridSpan w:val="2"/>
          </w:tcPr>
          <w:p w:rsidR="00270FF2" w:rsidRPr="00FE6980" w:rsidRDefault="00270FF2" w:rsidP="00A767AC">
            <w:pPr>
              <w:jc w:val="both"/>
              <w:rPr>
                <w:sz w:val="20"/>
                <w:szCs w:val="20"/>
                <w:lang w:val="fr-CA"/>
              </w:rPr>
            </w:pPr>
            <w:r w:rsidRPr="00FE6980">
              <w:rPr>
                <w:sz w:val="20"/>
                <w:szCs w:val="20"/>
                <w:lang w:val="fr-CA"/>
              </w:rPr>
              <w:t>28 janvier 2011</w:t>
            </w:r>
          </w:p>
          <w:p w:rsidR="00270FF2" w:rsidRPr="00FE6980" w:rsidRDefault="00270FF2" w:rsidP="00A767AC">
            <w:pPr>
              <w:jc w:val="both"/>
              <w:rPr>
                <w:sz w:val="20"/>
                <w:szCs w:val="20"/>
                <w:lang w:val="fr-CA"/>
              </w:rPr>
            </w:pPr>
            <w:r w:rsidRPr="00FE6980">
              <w:rPr>
                <w:sz w:val="20"/>
                <w:szCs w:val="20"/>
                <w:lang w:val="fr-CA"/>
              </w:rPr>
              <w:t xml:space="preserve">Cour supérieure de justice de l’Ontario </w:t>
            </w:r>
          </w:p>
          <w:p w:rsidR="00270FF2" w:rsidRPr="00FE6980" w:rsidRDefault="00270FF2" w:rsidP="00A767AC">
            <w:pPr>
              <w:jc w:val="both"/>
              <w:rPr>
                <w:sz w:val="20"/>
                <w:szCs w:val="20"/>
                <w:lang w:val="fr-CA"/>
              </w:rPr>
            </w:pPr>
            <w:r w:rsidRPr="00FE6980">
              <w:rPr>
                <w:sz w:val="20"/>
                <w:szCs w:val="20"/>
                <w:lang w:val="fr-CA"/>
              </w:rPr>
              <w:t>(Juge Taylor)</w:t>
            </w:r>
          </w:p>
          <w:p w:rsidR="0026298F" w:rsidRPr="00FE6980" w:rsidRDefault="0026298F" w:rsidP="00A767AC">
            <w:pPr>
              <w:pStyle w:val="SCCShortJudgment"/>
              <w:ind w:firstLine="0"/>
              <w:rPr>
                <w:rFonts w:cs="Times New Roman"/>
                <w:szCs w:val="20"/>
                <w:lang w:val="fr-CA"/>
              </w:rPr>
            </w:pPr>
          </w:p>
        </w:tc>
        <w:tc>
          <w:tcPr>
            <w:tcW w:w="630" w:type="dxa"/>
          </w:tcPr>
          <w:p w:rsidR="0026298F" w:rsidRPr="00FE6980" w:rsidRDefault="0026298F" w:rsidP="00A767AC">
            <w:pPr>
              <w:pStyle w:val="SCCShortJudgment"/>
              <w:ind w:firstLine="0"/>
              <w:rPr>
                <w:rFonts w:cs="Times New Roman"/>
                <w:szCs w:val="20"/>
                <w:lang w:val="fr-CA"/>
              </w:rPr>
            </w:pPr>
          </w:p>
        </w:tc>
        <w:tc>
          <w:tcPr>
            <w:tcW w:w="4536" w:type="dxa"/>
          </w:tcPr>
          <w:p w:rsidR="0026298F" w:rsidRPr="00FE6980" w:rsidRDefault="00270FF2" w:rsidP="00A767AC">
            <w:pPr>
              <w:pStyle w:val="SCCShortJudgment"/>
              <w:ind w:firstLine="0"/>
              <w:rPr>
                <w:rFonts w:cs="Times New Roman"/>
                <w:szCs w:val="20"/>
                <w:lang w:val="fr-CA"/>
              </w:rPr>
            </w:pPr>
            <w:r w:rsidRPr="00FE6980">
              <w:rPr>
                <w:szCs w:val="20"/>
                <w:lang w:val="fr-CA"/>
              </w:rPr>
              <w:t>Jugement déclarant le demandeur délinquant dangereux</w:t>
            </w:r>
          </w:p>
        </w:tc>
      </w:tr>
      <w:tr w:rsidR="0026298F" w:rsidRPr="00FE6980" w:rsidTr="00A767AC">
        <w:trPr>
          <w:cantSplit/>
        </w:trPr>
        <w:tc>
          <w:tcPr>
            <w:tcW w:w="4410" w:type="dxa"/>
            <w:gridSpan w:val="2"/>
          </w:tcPr>
          <w:p w:rsidR="00270FF2" w:rsidRPr="00FE6980" w:rsidRDefault="00270FF2" w:rsidP="00A767AC">
            <w:pPr>
              <w:jc w:val="both"/>
              <w:rPr>
                <w:sz w:val="20"/>
                <w:szCs w:val="20"/>
                <w:lang w:val="fr-CA"/>
              </w:rPr>
            </w:pPr>
            <w:r w:rsidRPr="00FE6980">
              <w:rPr>
                <w:sz w:val="20"/>
                <w:szCs w:val="20"/>
                <w:lang w:val="fr-CA"/>
              </w:rPr>
              <w:t>30 janvier 2015</w:t>
            </w:r>
          </w:p>
          <w:p w:rsidR="00270FF2" w:rsidRPr="00FE6980" w:rsidRDefault="00270FF2" w:rsidP="00A767AC">
            <w:pPr>
              <w:jc w:val="both"/>
              <w:rPr>
                <w:sz w:val="20"/>
                <w:szCs w:val="20"/>
                <w:lang w:val="fr-CA"/>
              </w:rPr>
            </w:pPr>
            <w:r w:rsidRPr="00FE6980">
              <w:rPr>
                <w:sz w:val="20"/>
                <w:szCs w:val="20"/>
                <w:lang w:val="fr-CA"/>
              </w:rPr>
              <w:t xml:space="preserve">Cour d’appel de l’Ontario </w:t>
            </w:r>
          </w:p>
          <w:p w:rsidR="00270FF2" w:rsidRPr="00FE6980" w:rsidRDefault="00270FF2" w:rsidP="00A767AC">
            <w:pPr>
              <w:jc w:val="both"/>
              <w:rPr>
                <w:sz w:val="20"/>
                <w:szCs w:val="20"/>
                <w:lang w:val="fr-CA"/>
              </w:rPr>
            </w:pPr>
            <w:r w:rsidRPr="00FE6980">
              <w:rPr>
                <w:sz w:val="20"/>
                <w:szCs w:val="20"/>
                <w:lang w:val="fr-CA"/>
              </w:rPr>
              <w:t xml:space="preserve">(Juges Watt, </w:t>
            </w:r>
            <w:proofErr w:type="spellStart"/>
            <w:r w:rsidRPr="00FE6980">
              <w:rPr>
                <w:sz w:val="20"/>
                <w:szCs w:val="20"/>
                <w:lang w:val="fr-CA"/>
              </w:rPr>
              <w:t>Pepall</w:t>
            </w:r>
            <w:proofErr w:type="spellEnd"/>
            <w:r w:rsidRPr="00FE6980">
              <w:rPr>
                <w:sz w:val="20"/>
                <w:szCs w:val="20"/>
                <w:lang w:val="fr-CA"/>
              </w:rPr>
              <w:t xml:space="preserve"> et </w:t>
            </w:r>
            <w:proofErr w:type="spellStart"/>
            <w:r w:rsidRPr="00FE6980">
              <w:rPr>
                <w:sz w:val="20"/>
                <w:szCs w:val="20"/>
                <w:lang w:val="fr-CA"/>
              </w:rPr>
              <w:t>Huscroft</w:t>
            </w:r>
            <w:proofErr w:type="spellEnd"/>
            <w:r w:rsidRPr="00FE6980">
              <w:rPr>
                <w:sz w:val="20"/>
                <w:szCs w:val="20"/>
                <w:lang w:val="fr-CA"/>
              </w:rPr>
              <w:t>)</w:t>
            </w:r>
          </w:p>
          <w:p w:rsidR="00270FF2" w:rsidRPr="00FE6980" w:rsidRDefault="00270FF2" w:rsidP="00A767AC">
            <w:pPr>
              <w:jc w:val="both"/>
              <w:rPr>
                <w:sz w:val="20"/>
                <w:szCs w:val="20"/>
                <w:lang w:val="en-US"/>
              </w:rPr>
            </w:pPr>
            <w:r w:rsidRPr="00FE6980">
              <w:rPr>
                <w:sz w:val="20"/>
                <w:szCs w:val="20"/>
                <w:lang w:val="en-US"/>
              </w:rPr>
              <w:t>2015 ONCA 120; C53998</w:t>
            </w:r>
          </w:p>
          <w:p w:rsidR="00270FF2" w:rsidRPr="00FE6980" w:rsidRDefault="00E433FF" w:rsidP="00A767AC">
            <w:pPr>
              <w:jc w:val="both"/>
              <w:rPr>
                <w:rStyle w:val="documentstaticurl"/>
                <w:color w:val="0000FF" w:themeColor="hyperlink"/>
                <w:sz w:val="20"/>
                <w:szCs w:val="20"/>
                <w:u w:val="single"/>
                <w:lang w:val="en-US"/>
              </w:rPr>
            </w:pPr>
            <w:hyperlink r:id="rId35" w:history="1">
              <w:r w:rsidR="00270FF2" w:rsidRPr="00FE6980">
                <w:rPr>
                  <w:rStyle w:val="Hyperlink"/>
                  <w:sz w:val="20"/>
                  <w:szCs w:val="20"/>
                  <w:lang w:val="en-US"/>
                </w:rPr>
                <w:t>http://canlii.ca/t/ggdgz</w:t>
              </w:r>
            </w:hyperlink>
          </w:p>
          <w:p w:rsidR="0026298F" w:rsidRPr="00FE6980" w:rsidRDefault="0026298F" w:rsidP="00A767AC">
            <w:pPr>
              <w:pStyle w:val="SCCShortJudgment"/>
              <w:ind w:firstLine="0"/>
              <w:rPr>
                <w:rFonts w:cs="Times New Roman"/>
                <w:szCs w:val="20"/>
                <w:lang w:val="en-US"/>
              </w:rPr>
            </w:pPr>
          </w:p>
        </w:tc>
        <w:tc>
          <w:tcPr>
            <w:tcW w:w="630" w:type="dxa"/>
          </w:tcPr>
          <w:p w:rsidR="0026298F" w:rsidRPr="00FE6980" w:rsidRDefault="0026298F" w:rsidP="00A767AC">
            <w:pPr>
              <w:pStyle w:val="SCCShortJudgment"/>
              <w:ind w:firstLine="0"/>
              <w:rPr>
                <w:rFonts w:cs="Times New Roman"/>
                <w:szCs w:val="20"/>
              </w:rPr>
            </w:pPr>
          </w:p>
        </w:tc>
        <w:tc>
          <w:tcPr>
            <w:tcW w:w="4536" w:type="dxa"/>
          </w:tcPr>
          <w:p w:rsidR="00270FF2" w:rsidRPr="00FE6980" w:rsidRDefault="00270FF2" w:rsidP="00A767AC">
            <w:pPr>
              <w:jc w:val="both"/>
              <w:rPr>
                <w:sz w:val="20"/>
                <w:szCs w:val="20"/>
                <w:lang w:val="fr-CA"/>
              </w:rPr>
            </w:pPr>
            <w:r w:rsidRPr="00FE6980">
              <w:rPr>
                <w:sz w:val="20"/>
                <w:szCs w:val="20"/>
                <w:lang w:val="fr-CA"/>
              </w:rPr>
              <w:t>Rejet de l’appel</w:t>
            </w:r>
          </w:p>
          <w:p w:rsidR="0026298F" w:rsidRPr="00FE6980" w:rsidRDefault="0026298F" w:rsidP="00A767AC">
            <w:pPr>
              <w:pStyle w:val="SCCShortJudgment"/>
              <w:ind w:firstLine="0"/>
              <w:rPr>
                <w:rFonts w:cs="Times New Roman"/>
                <w:szCs w:val="20"/>
              </w:rPr>
            </w:pPr>
          </w:p>
        </w:tc>
      </w:tr>
      <w:tr w:rsidR="0026298F" w:rsidRPr="00E433FF" w:rsidTr="00A767AC">
        <w:trPr>
          <w:cantSplit/>
        </w:trPr>
        <w:tc>
          <w:tcPr>
            <w:tcW w:w="4410" w:type="dxa"/>
            <w:gridSpan w:val="2"/>
          </w:tcPr>
          <w:p w:rsidR="00270FF2" w:rsidRPr="00FE6980" w:rsidRDefault="00270FF2" w:rsidP="00A767AC">
            <w:pPr>
              <w:jc w:val="both"/>
              <w:rPr>
                <w:sz w:val="20"/>
                <w:szCs w:val="20"/>
                <w:lang w:val="fr-CA"/>
              </w:rPr>
            </w:pPr>
            <w:r w:rsidRPr="00FE6980">
              <w:rPr>
                <w:sz w:val="20"/>
                <w:szCs w:val="20"/>
                <w:lang w:val="fr-CA"/>
              </w:rPr>
              <w:t>11 mars 2016</w:t>
            </w:r>
          </w:p>
          <w:p w:rsidR="00270FF2" w:rsidRPr="00FE6980" w:rsidRDefault="00270FF2" w:rsidP="00A767AC">
            <w:pPr>
              <w:jc w:val="both"/>
              <w:rPr>
                <w:sz w:val="20"/>
                <w:szCs w:val="20"/>
                <w:lang w:val="fr-CA"/>
              </w:rPr>
            </w:pPr>
            <w:r w:rsidRPr="00FE6980">
              <w:rPr>
                <w:sz w:val="20"/>
                <w:szCs w:val="20"/>
                <w:lang w:val="fr-CA"/>
              </w:rPr>
              <w:t>Cour suprême du Canada</w:t>
            </w:r>
          </w:p>
          <w:p w:rsidR="0026298F" w:rsidRPr="00FE6980" w:rsidRDefault="0026298F" w:rsidP="00A767AC">
            <w:pPr>
              <w:pStyle w:val="SCCShortJudgment"/>
              <w:ind w:firstLine="0"/>
              <w:rPr>
                <w:rFonts w:cs="Times New Roman"/>
                <w:szCs w:val="20"/>
              </w:rPr>
            </w:pPr>
          </w:p>
        </w:tc>
        <w:tc>
          <w:tcPr>
            <w:tcW w:w="630" w:type="dxa"/>
          </w:tcPr>
          <w:p w:rsidR="0026298F" w:rsidRPr="00FE6980" w:rsidRDefault="0026298F" w:rsidP="00A767AC">
            <w:pPr>
              <w:pStyle w:val="SCCShortJudgment"/>
              <w:ind w:firstLine="0"/>
              <w:rPr>
                <w:rFonts w:cs="Times New Roman"/>
                <w:szCs w:val="20"/>
              </w:rPr>
            </w:pPr>
          </w:p>
        </w:tc>
        <w:tc>
          <w:tcPr>
            <w:tcW w:w="4536" w:type="dxa"/>
          </w:tcPr>
          <w:p w:rsidR="0026298F" w:rsidRPr="00FE6980" w:rsidRDefault="00270FF2" w:rsidP="00A767AC">
            <w:pPr>
              <w:pStyle w:val="SCCShortJudgment"/>
              <w:ind w:firstLine="0"/>
              <w:rPr>
                <w:rFonts w:cs="Times New Roman"/>
                <w:szCs w:val="20"/>
                <w:lang w:val="fr-CA"/>
              </w:rPr>
            </w:pPr>
            <w:r w:rsidRPr="00FE6980">
              <w:rPr>
                <w:szCs w:val="20"/>
                <w:lang w:val="fr-CA"/>
              </w:rPr>
              <w:t>Dépôt de la requête en prorogation du délai de signification et de dépôt de la demande d’autorisation d’appel et de la demande d’autorisation d’appel</w:t>
            </w:r>
          </w:p>
        </w:tc>
      </w:tr>
    </w:tbl>
    <w:p w:rsidR="0026298F" w:rsidRPr="00FE6980" w:rsidRDefault="00E433FF" w:rsidP="0026298F">
      <w:pPr>
        <w:rPr>
          <w:rFonts w:cs="Times New Roman"/>
          <w:sz w:val="20"/>
          <w:szCs w:val="20"/>
          <w:lang w:val="fr-CA"/>
        </w:rPr>
      </w:pPr>
      <w:r>
        <w:rPr>
          <w:rFonts w:cs="Times New Roman"/>
          <w:sz w:val="20"/>
          <w:szCs w:val="20"/>
          <w:lang w:val="fr-CA"/>
        </w:rPr>
        <w:pict>
          <v:rect id="_x0000_i1052" style="width:2in;height:1pt" o:hrpct="0" o:hralign="center" o:hrstd="t" o:hrnoshade="t" o:hr="t" fillcolor="black [3213]" stroked="f"/>
        </w:pict>
      </w:r>
    </w:p>
    <w:p w:rsidR="0026298F" w:rsidRPr="00FE6980" w:rsidRDefault="0026298F" w:rsidP="0026298F">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26298F" w:rsidRPr="00FE6980" w:rsidTr="00270FF2">
        <w:trPr>
          <w:cantSplit/>
        </w:trPr>
        <w:tc>
          <w:tcPr>
            <w:tcW w:w="1458" w:type="dxa"/>
          </w:tcPr>
          <w:p w:rsidR="0026298F" w:rsidRPr="00FE6980" w:rsidRDefault="0026298F" w:rsidP="009C0895">
            <w:pPr>
              <w:jc w:val="both"/>
              <w:rPr>
                <w:rFonts w:cs="Times New Roman"/>
                <w:sz w:val="20"/>
                <w:szCs w:val="20"/>
              </w:rPr>
            </w:pPr>
            <w:r w:rsidRPr="00FE6980">
              <w:rPr>
                <w:rStyle w:val="SCCFileNumberChar"/>
                <w:sz w:val="20"/>
                <w:szCs w:val="20"/>
              </w:rPr>
              <w:t>36902</w:t>
            </w:r>
          </w:p>
          <w:p w:rsidR="0026298F" w:rsidRPr="00FE6980" w:rsidRDefault="0026298F" w:rsidP="009C0895">
            <w:pPr>
              <w:jc w:val="both"/>
              <w:rPr>
                <w:rFonts w:cs="Times New Roman"/>
                <w:b/>
                <w:sz w:val="20"/>
                <w:szCs w:val="20"/>
              </w:rPr>
            </w:pPr>
          </w:p>
        </w:tc>
        <w:tc>
          <w:tcPr>
            <w:tcW w:w="8118" w:type="dxa"/>
          </w:tcPr>
          <w:p w:rsidR="0026298F" w:rsidRPr="00FE6980" w:rsidRDefault="009C0895" w:rsidP="009C0895">
            <w:pPr>
              <w:jc w:val="both"/>
              <w:rPr>
                <w:rFonts w:cs="Times New Roman"/>
                <w:sz w:val="20"/>
                <w:szCs w:val="20"/>
              </w:rPr>
            </w:pPr>
            <w:proofErr w:type="spellStart"/>
            <w:r w:rsidRPr="00FE6980">
              <w:rPr>
                <w:b/>
                <w:sz w:val="20"/>
                <w:szCs w:val="20"/>
                <w:u w:val="single"/>
              </w:rPr>
              <w:t>Ileshkumar</w:t>
            </w:r>
            <w:proofErr w:type="spellEnd"/>
            <w:r w:rsidRPr="00FE6980">
              <w:rPr>
                <w:b/>
                <w:sz w:val="20"/>
                <w:szCs w:val="20"/>
                <w:u w:val="single"/>
              </w:rPr>
              <w:t xml:space="preserve"> Shah also known as </w:t>
            </w:r>
            <w:proofErr w:type="spellStart"/>
            <w:r w:rsidRPr="00FE6980">
              <w:rPr>
                <w:b/>
                <w:sz w:val="20"/>
                <w:szCs w:val="20"/>
                <w:u w:val="single"/>
              </w:rPr>
              <w:t>Ileshkumarpadm</w:t>
            </w:r>
            <w:proofErr w:type="spellEnd"/>
            <w:r w:rsidRPr="00FE6980">
              <w:rPr>
                <w:b/>
                <w:sz w:val="20"/>
                <w:szCs w:val="20"/>
                <w:u w:val="single"/>
              </w:rPr>
              <w:t xml:space="preserve"> Shah v. Bank of Montreal for itself and on behalf of all creditors of </w:t>
            </w:r>
            <w:proofErr w:type="spellStart"/>
            <w:r w:rsidRPr="00FE6980">
              <w:rPr>
                <w:b/>
                <w:sz w:val="20"/>
                <w:szCs w:val="20"/>
                <w:u w:val="single"/>
              </w:rPr>
              <w:t>Amer</w:t>
            </w:r>
            <w:proofErr w:type="spellEnd"/>
            <w:r w:rsidRPr="00FE6980">
              <w:rPr>
                <w:b/>
                <w:sz w:val="20"/>
                <w:szCs w:val="20"/>
                <w:u w:val="single"/>
              </w:rPr>
              <w:t xml:space="preserve"> </w:t>
            </w:r>
            <w:proofErr w:type="spellStart"/>
            <w:r w:rsidRPr="00FE6980">
              <w:rPr>
                <w:b/>
                <w:sz w:val="20"/>
                <w:szCs w:val="20"/>
                <w:u w:val="single"/>
              </w:rPr>
              <w:t>Javed</w:t>
            </w:r>
            <w:proofErr w:type="spellEnd"/>
            <w:r w:rsidRPr="00FE6980">
              <w:rPr>
                <w:b/>
                <w:sz w:val="20"/>
                <w:szCs w:val="20"/>
                <w:u w:val="single"/>
              </w:rPr>
              <w:t xml:space="preserve">, </w:t>
            </w:r>
            <w:proofErr w:type="spellStart"/>
            <w:r w:rsidRPr="00FE6980">
              <w:rPr>
                <w:b/>
                <w:sz w:val="20"/>
                <w:szCs w:val="20"/>
                <w:u w:val="single"/>
              </w:rPr>
              <w:t>Ileshkumar</w:t>
            </w:r>
            <w:proofErr w:type="spellEnd"/>
            <w:r w:rsidRPr="00FE6980">
              <w:rPr>
                <w:b/>
                <w:sz w:val="20"/>
                <w:szCs w:val="20"/>
                <w:u w:val="single"/>
              </w:rPr>
              <w:t xml:space="preserve"> Shah also known as </w:t>
            </w:r>
            <w:proofErr w:type="spellStart"/>
            <w:r w:rsidRPr="00FE6980">
              <w:rPr>
                <w:b/>
                <w:sz w:val="20"/>
                <w:szCs w:val="20"/>
                <w:u w:val="single"/>
              </w:rPr>
              <w:t>Ileshkumarpadm</w:t>
            </w:r>
            <w:proofErr w:type="spellEnd"/>
            <w:r w:rsidRPr="00FE6980">
              <w:rPr>
                <w:b/>
                <w:sz w:val="20"/>
                <w:szCs w:val="20"/>
                <w:u w:val="single"/>
              </w:rPr>
              <w:t xml:space="preserve"> Shah and </w:t>
            </w:r>
            <w:proofErr w:type="spellStart"/>
            <w:r w:rsidRPr="00FE6980">
              <w:rPr>
                <w:b/>
                <w:sz w:val="20"/>
                <w:szCs w:val="20"/>
                <w:u w:val="single"/>
              </w:rPr>
              <w:t>Mayaben</w:t>
            </w:r>
            <w:proofErr w:type="spellEnd"/>
            <w:r w:rsidRPr="00FE6980">
              <w:rPr>
                <w:b/>
                <w:sz w:val="20"/>
                <w:szCs w:val="20"/>
                <w:u w:val="single"/>
              </w:rPr>
              <w:t xml:space="preserve"> </w:t>
            </w:r>
            <w:proofErr w:type="spellStart"/>
            <w:r w:rsidRPr="00FE6980">
              <w:rPr>
                <w:b/>
                <w:sz w:val="20"/>
                <w:szCs w:val="20"/>
                <w:u w:val="single"/>
              </w:rPr>
              <w:t>Ileshkumar</w:t>
            </w:r>
            <w:proofErr w:type="spellEnd"/>
            <w:r w:rsidRPr="00FE6980">
              <w:rPr>
                <w:b/>
                <w:sz w:val="20"/>
                <w:szCs w:val="20"/>
                <w:u w:val="single"/>
              </w:rPr>
              <w:t xml:space="preserve"> Shah</w:t>
            </w:r>
            <w:r w:rsidRPr="00FE6980">
              <w:rPr>
                <w:rFonts w:cs="Times New Roman"/>
                <w:sz w:val="20"/>
                <w:szCs w:val="20"/>
              </w:rPr>
              <w:t xml:space="preserve"> </w:t>
            </w:r>
            <w:r w:rsidR="0026298F" w:rsidRPr="00FE6980">
              <w:rPr>
                <w:rFonts w:cs="Times New Roman"/>
                <w:sz w:val="20"/>
                <w:szCs w:val="20"/>
              </w:rPr>
              <w:t>(Ont.) (Civil) (By Leave)</w:t>
            </w:r>
          </w:p>
          <w:p w:rsidR="0026298F" w:rsidRPr="00FE6980" w:rsidRDefault="0026298F" w:rsidP="009C0895">
            <w:pPr>
              <w:jc w:val="both"/>
              <w:rPr>
                <w:rFonts w:cs="Times New Roman"/>
                <w:sz w:val="20"/>
                <w:szCs w:val="20"/>
              </w:rPr>
            </w:pPr>
          </w:p>
        </w:tc>
      </w:tr>
      <w:tr w:rsidR="0026298F" w:rsidRPr="00FE6980" w:rsidTr="00270FF2">
        <w:trPr>
          <w:cantSplit/>
        </w:trPr>
        <w:tc>
          <w:tcPr>
            <w:tcW w:w="1458" w:type="dxa"/>
          </w:tcPr>
          <w:p w:rsidR="0026298F" w:rsidRPr="00FE6980" w:rsidRDefault="0026298F" w:rsidP="009C0895">
            <w:pPr>
              <w:jc w:val="both"/>
              <w:rPr>
                <w:rFonts w:cs="Times New Roman"/>
                <w:sz w:val="20"/>
                <w:szCs w:val="20"/>
              </w:rPr>
            </w:pPr>
            <w:r w:rsidRPr="00FE6980">
              <w:rPr>
                <w:rFonts w:cs="Times New Roman"/>
                <w:sz w:val="20"/>
                <w:szCs w:val="20"/>
              </w:rPr>
              <w:t>Coram :</w:t>
            </w:r>
          </w:p>
        </w:tc>
        <w:tc>
          <w:tcPr>
            <w:tcW w:w="8118" w:type="dxa"/>
          </w:tcPr>
          <w:p w:rsidR="0026298F" w:rsidRPr="00FE6980" w:rsidRDefault="009C0895" w:rsidP="009C0895">
            <w:pPr>
              <w:jc w:val="both"/>
              <w:rPr>
                <w:sz w:val="20"/>
                <w:szCs w:val="20"/>
                <w:u w:val="single"/>
              </w:rPr>
            </w:pPr>
            <w:r w:rsidRPr="00FE6980">
              <w:rPr>
                <w:sz w:val="20"/>
                <w:szCs w:val="20"/>
                <w:u w:val="single"/>
              </w:rPr>
              <w:t>Abella, Karakatsanis and Brown JJ.</w:t>
            </w:r>
          </w:p>
          <w:p w:rsidR="00421E57" w:rsidRPr="00FE6980" w:rsidRDefault="00421E57" w:rsidP="009C0895">
            <w:pPr>
              <w:jc w:val="both"/>
              <w:rPr>
                <w:rFonts w:cs="Times New Roman"/>
                <w:sz w:val="20"/>
                <w:szCs w:val="20"/>
                <w:u w:val="single"/>
              </w:rPr>
            </w:pPr>
          </w:p>
        </w:tc>
      </w:tr>
      <w:tr w:rsidR="0026298F" w:rsidRPr="00E433FF" w:rsidTr="00270FF2">
        <w:trPr>
          <w:cantSplit/>
        </w:trPr>
        <w:tc>
          <w:tcPr>
            <w:tcW w:w="9576" w:type="dxa"/>
            <w:gridSpan w:val="2"/>
          </w:tcPr>
          <w:p w:rsidR="0026298F" w:rsidRPr="00FE6980" w:rsidRDefault="0026298F" w:rsidP="009C0895">
            <w:pPr>
              <w:pStyle w:val="SCCShortJudgment"/>
              <w:ind w:firstLine="0"/>
              <w:rPr>
                <w:rFonts w:cs="Times New Roman"/>
                <w:szCs w:val="20"/>
              </w:rPr>
            </w:pPr>
            <w:r w:rsidRPr="00FE6980">
              <w:rPr>
                <w:rFonts w:cs="Times New Roman"/>
                <w:szCs w:val="20"/>
              </w:rPr>
              <w:tab/>
            </w:r>
            <w:r w:rsidR="009C0895" w:rsidRPr="00FE6980">
              <w:rPr>
                <w:szCs w:val="20"/>
              </w:rPr>
              <w:t>The application for leave to appeal from the judgment of the Court of Appeal for Ontario, Number C60246, 2016 ONCA 49, dated January 18, 2016, is dismissed with costs.</w:t>
            </w:r>
          </w:p>
          <w:p w:rsidR="0026298F" w:rsidRPr="00FE6980" w:rsidRDefault="0026298F" w:rsidP="009C0895">
            <w:pPr>
              <w:pStyle w:val="SCCShortJudgment"/>
              <w:ind w:firstLine="0"/>
              <w:rPr>
                <w:rFonts w:cs="Times New Roman"/>
                <w:szCs w:val="20"/>
              </w:rPr>
            </w:pPr>
          </w:p>
          <w:p w:rsidR="0026298F" w:rsidRPr="00FE6980" w:rsidRDefault="0026298F" w:rsidP="009C0895">
            <w:pPr>
              <w:pStyle w:val="SCCShortJudgment"/>
              <w:ind w:firstLine="0"/>
              <w:rPr>
                <w:szCs w:val="20"/>
                <w:lang w:val="fr-CA"/>
              </w:rPr>
            </w:pPr>
            <w:r w:rsidRPr="00FE6980">
              <w:rPr>
                <w:rFonts w:cs="Times New Roman"/>
                <w:szCs w:val="20"/>
              </w:rPr>
              <w:tab/>
            </w:r>
            <w:r w:rsidR="009C0895" w:rsidRPr="00FE6980">
              <w:rPr>
                <w:szCs w:val="20"/>
                <w:lang w:val="fr-CA"/>
              </w:rPr>
              <w:t xml:space="preserve">La demande d’autorisation d’appel de l’arrêt de la </w:t>
            </w:r>
            <w:r w:rsidR="009C0895" w:rsidRPr="00FE6980">
              <w:rPr>
                <w:szCs w:val="20"/>
                <w:lang w:val="fr-FR"/>
              </w:rPr>
              <w:t>Cour d’appel de l’Ontario</w:t>
            </w:r>
            <w:r w:rsidR="009C0895" w:rsidRPr="00FE6980">
              <w:rPr>
                <w:szCs w:val="20"/>
                <w:lang w:val="fr-CA"/>
              </w:rPr>
              <w:t xml:space="preserve">, numéro </w:t>
            </w:r>
            <w:r w:rsidR="009C0895" w:rsidRPr="00FE6980">
              <w:rPr>
                <w:szCs w:val="20"/>
                <w:lang w:val="fr-FR"/>
              </w:rPr>
              <w:t>C60246, 2016 ONCA 49</w:t>
            </w:r>
            <w:r w:rsidR="009C0895" w:rsidRPr="00FE6980">
              <w:rPr>
                <w:szCs w:val="20"/>
                <w:lang w:val="fr-CA"/>
              </w:rPr>
              <w:t xml:space="preserve">, daté du </w:t>
            </w:r>
            <w:r w:rsidR="009C0895" w:rsidRPr="00FE6980">
              <w:rPr>
                <w:szCs w:val="20"/>
                <w:lang w:val="fr-FR"/>
              </w:rPr>
              <w:t>18 janvier 2016</w:t>
            </w:r>
            <w:r w:rsidR="009C0895" w:rsidRPr="00FE6980">
              <w:rPr>
                <w:szCs w:val="20"/>
                <w:lang w:val="fr-CA"/>
              </w:rPr>
              <w:t xml:space="preserve">, est rejetée avec dépens. </w:t>
            </w:r>
          </w:p>
          <w:p w:rsidR="009C0895" w:rsidRPr="00FE6980" w:rsidRDefault="009C0895" w:rsidP="009C0895">
            <w:pPr>
              <w:pStyle w:val="SCCShortJudgment"/>
              <w:ind w:firstLine="0"/>
              <w:rPr>
                <w:rFonts w:cs="Times New Roman"/>
                <w:szCs w:val="20"/>
                <w:lang w:val="fr-CA"/>
              </w:rPr>
            </w:pPr>
          </w:p>
        </w:tc>
      </w:tr>
    </w:tbl>
    <w:p w:rsidR="009C0895" w:rsidRPr="00E433FF" w:rsidRDefault="009C0895">
      <w:pPr>
        <w:rPr>
          <w:lang w:val="fr-CA"/>
        </w:rPr>
      </w:pPr>
      <w:r w:rsidRPr="00E433FF">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26298F" w:rsidRPr="00FE6980" w:rsidTr="00270FF2">
        <w:trPr>
          <w:cantSplit/>
        </w:trPr>
        <w:tc>
          <w:tcPr>
            <w:tcW w:w="9576" w:type="dxa"/>
            <w:gridSpan w:val="3"/>
          </w:tcPr>
          <w:p w:rsidR="0026298F" w:rsidRPr="00FE6980" w:rsidRDefault="0026298F" w:rsidP="009C0895">
            <w:pPr>
              <w:pStyle w:val="SCCShortJudgment"/>
              <w:ind w:firstLine="0"/>
              <w:rPr>
                <w:rFonts w:cs="Times New Roman"/>
                <w:szCs w:val="20"/>
                <w:u w:val="single"/>
                <w:lang w:val="fr-CA"/>
              </w:rPr>
            </w:pPr>
            <w:r w:rsidRPr="00FE6980">
              <w:rPr>
                <w:rFonts w:cs="Times New Roman"/>
                <w:szCs w:val="20"/>
                <w:u w:val="single"/>
                <w:lang w:val="fr-CA"/>
              </w:rPr>
              <w:t>CASE SUMMARY</w:t>
            </w:r>
          </w:p>
          <w:p w:rsidR="0026298F" w:rsidRPr="00FE6980" w:rsidRDefault="0026298F" w:rsidP="009C0895">
            <w:pPr>
              <w:pStyle w:val="SCCShortJudgment"/>
              <w:ind w:firstLine="0"/>
              <w:rPr>
                <w:rFonts w:cs="Times New Roman"/>
                <w:szCs w:val="20"/>
                <w:lang w:val="fr-CA"/>
              </w:rPr>
            </w:pPr>
          </w:p>
        </w:tc>
      </w:tr>
      <w:tr w:rsidR="0026298F" w:rsidRPr="00FE6980" w:rsidTr="00270FF2">
        <w:trPr>
          <w:cantSplit/>
        </w:trPr>
        <w:tc>
          <w:tcPr>
            <w:tcW w:w="9576" w:type="dxa"/>
            <w:gridSpan w:val="3"/>
          </w:tcPr>
          <w:p w:rsidR="0026298F" w:rsidRPr="00FE6980" w:rsidRDefault="009C0895" w:rsidP="009C0895">
            <w:pPr>
              <w:pStyle w:val="SCCShortJudgment"/>
              <w:ind w:firstLine="0"/>
              <w:rPr>
                <w:szCs w:val="20"/>
              </w:rPr>
            </w:pPr>
            <w:r w:rsidRPr="00FE6980">
              <w:rPr>
                <w:szCs w:val="20"/>
              </w:rPr>
              <w:t xml:space="preserve">Contracts – Unconscionability – Loans – Personal guarantee – Applicant giving personal guarantee on small business loan from bank – Business defaulting on loan and bank suing applicant for payment of personal guarantee amount – Whether the Court of Appeal erred in finding that the decision in </w:t>
            </w:r>
            <w:proofErr w:type="spellStart"/>
            <w:r w:rsidRPr="00FE6980">
              <w:rPr>
                <w:i/>
                <w:szCs w:val="20"/>
              </w:rPr>
              <w:t>Bhasin</w:t>
            </w:r>
            <w:proofErr w:type="spellEnd"/>
            <w:r w:rsidRPr="00FE6980">
              <w:rPr>
                <w:i/>
                <w:szCs w:val="20"/>
              </w:rPr>
              <w:t xml:space="preserve"> v. </w:t>
            </w:r>
            <w:proofErr w:type="spellStart"/>
            <w:r w:rsidRPr="00FE6980">
              <w:rPr>
                <w:i/>
                <w:szCs w:val="20"/>
              </w:rPr>
              <w:t>Hrynew</w:t>
            </w:r>
            <w:proofErr w:type="spellEnd"/>
            <w:r w:rsidRPr="00FE6980">
              <w:rPr>
                <w:szCs w:val="20"/>
              </w:rPr>
              <w:t>, 2014 SCC 71, [2014] 3 S.C.R. 494, has not modified or extended the common law test for unconscionability – Whether the Court of Appeal erred in concluding that the applicant’s evidence in respect of damages was entirely abstract and speculative.</w:t>
            </w:r>
          </w:p>
          <w:p w:rsidR="009C0895" w:rsidRPr="00FE6980" w:rsidRDefault="009C0895" w:rsidP="009C0895">
            <w:pPr>
              <w:pStyle w:val="SCCShortJudgment"/>
              <w:ind w:firstLine="0"/>
              <w:rPr>
                <w:rFonts w:cs="Times New Roman"/>
                <w:szCs w:val="20"/>
              </w:rPr>
            </w:pPr>
          </w:p>
        </w:tc>
      </w:tr>
      <w:tr w:rsidR="0026298F" w:rsidRPr="00FE6980" w:rsidTr="00270FF2">
        <w:trPr>
          <w:cantSplit/>
        </w:trPr>
        <w:tc>
          <w:tcPr>
            <w:tcW w:w="9576" w:type="dxa"/>
            <w:gridSpan w:val="3"/>
          </w:tcPr>
          <w:p w:rsidR="009C0895" w:rsidRPr="00FE6980" w:rsidRDefault="009C0895" w:rsidP="009C0895">
            <w:pPr>
              <w:jc w:val="both"/>
              <w:rPr>
                <w:sz w:val="20"/>
                <w:szCs w:val="20"/>
              </w:rPr>
            </w:pPr>
            <w:r w:rsidRPr="00FE6980">
              <w:rPr>
                <w:sz w:val="20"/>
                <w:szCs w:val="20"/>
              </w:rPr>
              <w:t>In 2011, the applicant delivered a personal guarantee in respect of a loan from the respondent BMO to a company operating a Country Style franchise in Newcastle, Ontario. In late 2011, the applicant resigned as a director of the company and ceased to have an active role in it, although he remained vice-president. In early 2013, the applicant contacted BMO’s account manager, seeking access to the company’s business account information, but was refused the information.</w:t>
            </w:r>
          </w:p>
          <w:p w:rsidR="0026298F" w:rsidRPr="00FE6980" w:rsidRDefault="0026298F" w:rsidP="009C0895">
            <w:pPr>
              <w:pStyle w:val="SCCShortJudgment"/>
              <w:ind w:firstLine="0"/>
              <w:rPr>
                <w:rFonts w:cs="Times New Roman"/>
                <w:szCs w:val="20"/>
              </w:rPr>
            </w:pPr>
          </w:p>
        </w:tc>
      </w:tr>
      <w:tr w:rsidR="0026298F" w:rsidRPr="00FE6980" w:rsidTr="00270FF2">
        <w:trPr>
          <w:cantSplit/>
        </w:trPr>
        <w:tc>
          <w:tcPr>
            <w:tcW w:w="9576" w:type="dxa"/>
            <w:gridSpan w:val="3"/>
          </w:tcPr>
          <w:p w:rsidR="009C0895" w:rsidRPr="00FE6980" w:rsidRDefault="009C0895" w:rsidP="009C0895">
            <w:pPr>
              <w:jc w:val="both"/>
              <w:rPr>
                <w:sz w:val="20"/>
                <w:szCs w:val="20"/>
              </w:rPr>
            </w:pPr>
            <w:r w:rsidRPr="00FE6980">
              <w:rPr>
                <w:sz w:val="20"/>
                <w:szCs w:val="20"/>
              </w:rPr>
              <w:t>The company defaulted on the loan and a demand for payment was made upon the company and the applicant. In August 2014, BMO commenced an action against the applicant seeking payment of the amount of the personal guarantee. BMO then moved for summary judgment. The applicant opposed the motion, arguing that the personal guarantee was unconscionable because BMO had failed to provide him with financial information on the small business account when he requested it. The motion was granted. The applicant’s appeal to the Court of Appeal was dismissed.</w:t>
            </w:r>
          </w:p>
          <w:p w:rsidR="0026298F" w:rsidRPr="00FE6980" w:rsidRDefault="0026298F" w:rsidP="009C0895">
            <w:pPr>
              <w:pStyle w:val="SCCShortJudgment"/>
              <w:ind w:firstLine="0"/>
              <w:rPr>
                <w:rFonts w:cs="Times New Roman"/>
                <w:szCs w:val="20"/>
              </w:rPr>
            </w:pPr>
          </w:p>
        </w:tc>
      </w:tr>
      <w:tr w:rsidR="0026298F" w:rsidRPr="00FE6980" w:rsidTr="00270FF2">
        <w:trPr>
          <w:cantSplit/>
        </w:trPr>
        <w:tc>
          <w:tcPr>
            <w:tcW w:w="4410" w:type="dxa"/>
          </w:tcPr>
          <w:p w:rsidR="009C0895" w:rsidRPr="00FE6980" w:rsidRDefault="009C0895" w:rsidP="009C0895">
            <w:pPr>
              <w:jc w:val="both"/>
              <w:rPr>
                <w:sz w:val="20"/>
                <w:szCs w:val="20"/>
              </w:rPr>
            </w:pPr>
            <w:r w:rsidRPr="00FE6980">
              <w:rPr>
                <w:sz w:val="20"/>
                <w:szCs w:val="20"/>
              </w:rPr>
              <w:t>March 11, 2015</w:t>
            </w:r>
          </w:p>
          <w:p w:rsidR="009C0895" w:rsidRPr="00FE6980" w:rsidRDefault="009C0895" w:rsidP="009C0895">
            <w:pPr>
              <w:jc w:val="both"/>
              <w:rPr>
                <w:sz w:val="20"/>
                <w:szCs w:val="20"/>
              </w:rPr>
            </w:pPr>
            <w:r w:rsidRPr="00FE6980">
              <w:rPr>
                <w:sz w:val="20"/>
                <w:szCs w:val="20"/>
              </w:rPr>
              <w:t>Ontario Superior Court of Justice</w:t>
            </w:r>
          </w:p>
          <w:p w:rsidR="009C0895" w:rsidRPr="00FE6980" w:rsidRDefault="009C0895" w:rsidP="009C0895">
            <w:pPr>
              <w:jc w:val="both"/>
              <w:rPr>
                <w:sz w:val="20"/>
                <w:szCs w:val="20"/>
              </w:rPr>
            </w:pPr>
            <w:r w:rsidRPr="00FE6980">
              <w:rPr>
                <w:sz w:val="20"/>
                <w:szCs w:val="20"/>
              </w:rPr>
              <w:t>(</w:t>
            </w:r>
            <w:proofErr w:type="spellStart"/>
            <w:r w:rsidRPr="00FE6980">
              <w:rPr>
                <w:sz w:val="20"/>
                <w:szCs w:val="20"/>
              </w:rPr>
              <w:t>Faieta</w:t>
            </w:r>
            <w:proofErr w:type="spellEnd"/>
            <w:r w:rsidRPr="00FE6980">
              <w:rPr>
                <w:sz w:val="20"/>
                <w:szCs w:val="20"/>
              </w:rPr>
              <w:t xml:space="preserve"> J.)</w:t>
            </w:r>
          </w:p>
          <w:p w:rsidR="009C0895" w:rsidRPr="00FE6980" w:rsidRDefault="00E433FF" w:rsidP="009C0895">
            <w:pPr>
              <w:jc w:val="both"/>
              <w:rPr>
                <w:sz w:val="20"/>
                <w:szCs w:val="20"/>
                <w:u w:val="single"/>
              </w:rPr>
            </w:pPr>
            <w:hyperlink r:id="rId36" w:history="1">
              <w:r w:rsidR="009C0895" w:rsidRPr="00FE6980">
                <w:rPr>
                  <w:rStyle w:val="Hyperlink"/>
                  <w:sz w:val="20"/>
                  <w:szCs w:val="20"/>
                </w:rPr>
                <w:t>2015 ONSC 1229</w:t>
              </w:r>
            </w:hyperlink>
          </w:p>
          <w:p w:rsidR="0026298F" w:rsidRPr="00FE6980" w:rsidRDefault="0026298F" w:rsidP="009C0895">
            <w:pPr>
              <w:jc w:val="both"/>
              <w:rPr>
                <w:rFonts w:cs="Times New Roman"/>
                <w:sz w:val="20"/>
                <w:szCs w:val="20"/>
              </w:rPr>
            </w:pPr>
          </w:p>
        </w:tc>
        <w:tc>
          <w:tcPr>
            <w:tcW w:w="630" w:type="dxa"/>
          </w:tcPr>
          <w:p w:rsidR="0026298F" w:rsidRPr="00FE6980" w:rsidRDefault="0026298F" w:rsidP="009C0895">
            <w:pPr>
              <w:pStyle w:val="SCCShortJudgment"/>
              <w:ind w:firstLine="0"/>
              <w:rPr>
                <w:rFonts w:cs="Times New Roman"/>
                <w:szCs w:val="20"/>
              </w:rPr>
            </w:pPr>
          </w:p>
        </w:tc>
        <w:tc>
          <w:tcPr>
            <w:tcW w:w="4536" w:type="dxa"/>
          </w:tcPr>
          <w:p w:rsidR="009C0895" w:rsidRPr="00FE6980" w:rsidRDefault="009C0895" w:rsidP="009C0895">
            <w:pPr>
              <w:jc w:val="both"/>
              <w:rPr>
                <w:sz w:val="20"/>
                <w:szCs w:val="20"/>
              </w:rPr>
            </w:pPr>
            <w:r w:rsidRPr="00FE6980">
              <w:rPr>
                <w:sz w:val="20"/>
                <w:szCs w:val="20"/>
              </w:rPr>
              <w:t>Motion for summary judgment by respondent granted</w:t>
            </w:r>
          </w:p>
          <w:p w:rsidR="0026298F" w:rsidRPr="00FE6980" w:rsidRDefault="0026298F" w:rsidP="009C0895">
            <w:pPr>
              <w:jc w:val="both"/>
              <w:rPr>
                <w:rFonts w:cs="Times New Roman"/>
                <w:sz w:val="20"/>
                <w:szCs w:val="20"/>
              </w:rPr>
            </w:pPr>
          </w:p>
        </w:tc>
      </w:tr>
      <w:tr w:rsidR="0026298F" w:rsidRPr="00FE6980" w:rsidTr="00270FF2">
        <w:trPr>
          <w:cantSplit/>
        </w:trPr>
        <w:tc>
          <w:tcPr>
            <w:tcW w:w="4410" w:type="dxa"/>
          </w:tcPr>
          <w:p w:rsidR="009C0895" w:rsidRPr="00FE6980" w:rsidRDefault="009C0895" w:rsidP="009C0895">
            <w:pPr>
              <w:jc w:val="both"/>
              <w:rPr>
                <w:sz w:val="20"/>
                <w:szCs w:val="20"/>
              </w:rPr>
            </w:pPr>
            <w:r w:rsidRPr="00FE6980">
              <w:rPr>
                <w:sz w:val="20"/>
                <w:szCs w:val="20"/>
              </w:rPr>
              <w:t>January 18, 2016</w:t>
            </w:r>
          </w:p>
          <w:p w:rsidR="009C0895" w:rsidRPr="00FE6980" w:rsidRDefault="009C0895" w:rsidP="009C0895">
            <w:pPr>
              <w:jc w:val="both"/>
              <w:rPr>
                <w:sz w:val="20"/>
                <w:szCs w:val="20"/>
              </w:rPr>
            </w:pPr>
            <w:r w:rsidRPr="00FE6980">
              <w:rPr>
                <w:sz w:val="20"/>
                <w:szCs w:val="20"/>
              </w:rPr>
              <w:t>Court of Appeal for Ontario</w:t>
            </w:r>
          </w:p>
          <w:p w:rsidR="009C0895" w:rsidRPr="00FE6980" w:rsidRDefault="009C0895" w:rsidP="009C0895">
            <w:pPr>
              <w:jc w:val="both"/>
              <w:rPr>
                <w:sz w:val="20"/>
                <w:szCs w:val="20"/>
              </w:rPr>
            </w:pPr>
            <w:r w:rsidRPr="00FE6980">
              <w:rPr>
                <w:sz w:val="20"/>
                <w:szCs w:val="20"/>
              </w:rPr>
              <w:t xml:space="preserve">(Cronk, </w:t>
            </w:r>
            <w:proofErr w:type="spellStart"/>
            <w:r w:rsidRPr="00FE6980">
              <w:rPr>
                <w:sz w:val="20"/>
                <w:szCs w:val="20"/>
              </w:rPr>
              <w:t>Pepall</w:t>
            </w:r>
            <w:proofErr w:type="spellEnd"/>
            <w:r w:rsidRPr="00FE6980">
              <w:rPr>
                <w:sz w:val="20"/>
                <w:szCs w:val="20"/>
              </w:rPr>
              <w:t xml:space="preserve"> and </w:t>
            </w:r>
            <w:proofErr w:type="spellStart"/>
            <w:r w:rsidRPr="00FE6980">
              <w:rPr>
                <w:sz w:val="20"/>
                <w:szCs w:val="20"/>
              </w:rPr>
              <w:t>Lauwers</w:t>
            </w:r>
            <w:proofErr w:type="spellEnd"/>
            <w:r w:rsidRPr="00FE6980">
              <w:rPr>
                <w:sz w:val="20"/>
                <w:szCs w:val="20"/>
              </w:rPr>
              <w:t xml:space="preserve"> JJ.A.)</w:t>
            </w:r>
          </w:p>
          <w:p w:rsidR="009C0895" w:rsidRPr="00FE6980" w:rsidRDefault="00E433FF" w:rsidP="009C0895">
            <w:pPr>
              <w:jc w:val="both"/>
              <w:rPr>
                <w:sz w:val="20"/>
                <w:szCs w:val="20"/>
                <w:u w:val="single"/>
              </w:rPr>
            </w:pPr>
            <w:hyperlink r:id="rId37" w:history="1">
              <w:r w:rsidR="009C0895" w:rsidRPr="00FE6980">
                <w:rPr>
                  <w:rStyle w:val="Hyperlink"/>
                  <w:sz w:val="20"/>
                  <w:szCs w:val="20"/>
                </w:rPr>
                <w:t>2016 ONCA 49</w:t>
              </w:r>
            </w:hyperlink>
          </w:p>
          <w:p w:rsidR="0026298F" w:rsidRPr="00FE6980" w:rsidRDefault="0026298F" w:rsidP="009C0895">
            <w:pPr>
              <w:jc w:val="both"/>
              <w:rPr>
                <w:rFonts w:cs="Times New Roman"/>
                <w:sz w:val="20"/>
                <w:szCs w:val="20"/>
              </w:rPr>
            </w:pPr>
          </w:p>
        </w:tc>
        <w:tc>
          <w:tcPr>
            <w:tcW w:w="630" w:type="dxa"/>
          </w:tcPr>
          <w:p w:rsidR="0026298F" w:rsidRPr="00FE6980" w:rsidRDefault="0026298F" w:rsidP="009C0895">
            <w:pPr>
              <w:pStyle w:val="SCCShortJudgment"/>
              <w:ind w:firstLine="0"/>
              <w:rPr>
                <w:rFonts w:cs="Times New Roman"/>
                <w:szCs w:val="20"/>
              </w:rPr>
            </w:pPr>
          </w:p>
        </w:tc>
        <w:tc>
          <w:tcPr>
            <w:tcW w:w="4536" w:type="dxa"/>
          </w:tcPr>
          <w:p w:rsidR="009C0895" w:rsidRPr="00FE6980" w:rsidRDefault="009C0895" w:rsidP="009C0895">
            <w:pPr>
              <w:jc w:val="both"/>
              <w:rPr>
                <w:sz w:val="20"/>
                <w:szCs w:val="20"/>
              </w:rPr>
            </w:pPr>
            <w:r w:rsidRPr="00FE6980">
              <w:rPr>
                <w:sz w:val="20"/>
                <w:szCs w:val="20"/>
              </w:rPr>
              <w:t>Appeal dismissed</w:t>
            </w:r>
          </w:p>
          <w:p w:rsidR="0026298F" w:rsidRPr="00FE6980" w:rsidRDefault="0026298F" w:rsidP="009C0895">
            <w:pPr>
              <w:jc w:val="both"/>
              <w:rPr>
                <w:rFonts w:cs="Times New Roman"/>
                <w:sz w:val="20"/>
                <w:szCs w:val="20"/>
              </w:rPr>
            </w:pPr>
          </w:p>
        </w:tc>
      </w:tr>
      <w:tr w:rsidR="0026298F" w:rsidRPr="00FE6980" w:rsidTr="00270FF2">
        <w:trPr>
          <w:cantSplit/>
        </w:trPr>
        <w:tc>
          <w:tcPr>
            <w:tcW w:w="4410" w:type="dxa"/>
          </w:tcPr>
          <w:p w:rsidR="009C0895" w:rsidRPr="00FE6980" w:rsidRDefault="009C0895" w:rsidP="009C0895">
            <w:pPr>
              <w:jc w:val="both"/>
              <w:rPr>
                <w:sz w:val="20"/>
                <w:szCs w:val="20"/>
              </w:rPr>
            </w:pPr>
            <w:r w:rsidRPr="00FE6980">
              <w:rPr>
                <w:sz w:val="20"/>
                <w:szCs w:val="20"/>
              </w:rPr>
              <w:t>March 17, 2016</w:t>
            </w:r>
          </w:p>
          <w:p w:rsidR="0026298F" w:rsidRPr="00FE6980" w:rsidRDefault="009C0895" w:rsidP="009C0895">
            <w:pPr>
              <w:jc w:val="both"/>
              <w:rPr>
                <w:rFonts w:cs="Times New Roman"/>
                <w:sz w:val="20"/>
                <w:szCs w:val="20"/>
              </w:rPr>
            </w:pPr>
            <w:r w:rsidRPr="00FE6980">
              <w:rPr>
                <w:sz w:val="20"/>
                <w:szCs w:val="20"/>
              </w:rPr>
              <w:t>Supreme Court of Canada</w:t>
            </w:r>
          </w:p>
        </w:tc>
        <w:tc>
          <w:tcPr>
            <w:tcW w:w="630" w:type="dxa"/>
          </w:tcPr>
          <w:p w:rsidR="0026298F" w:rsidRPr="00FE6980" w:rsidRDefault="0026298F" w:rsidP="009C0895">
            <w:pPr>
              <w:pStyle w:val="SCCShortJudgment"/>
              <w:ind w:firstLine="0"/>
              <w:rPr>
                <w:rFonts w:cs="Times New Roman"/>
                <w:szCs w:val="20"/>
              </w:rPr>
            </w:pPr>
          </w:p>
        </w:tc>
        <w:tc>
          <w:tcPr>
            <w:tcW w:w="4536" w:type="dxa"/>
          </w:tcPr>
          <w:p w:rsidR="009C0895" w:rsidRPr="00FE6980" w:rsidRDefault="009C0895" w:rsidP="009C0895">
            <w:pPr>
              <w:jc w:val="both"/>
              <w:rPr>
                <w:sz w:val="20"/>
                <w:szCs w:val="20"/>
              </w:rPr>
            </w:pPr>
            <w:r w:rsidRPr="00FE6980">
              <w:rPr>
                <w:sz w:val="20"/>
                <w:szCs w:val="20"/>
              </w:rPr>
              <w:t>Application for leave to appeal filed</w:t>
            </w:r>
          </w:p>
          <w:p w:rsidR="0026298F" w:rsidRPr="00FE6980" w:rsidRDefault="0026298F" w:rsidP="009C0895">
            <w:pPr>
              <w:jc w:val="both"/>
              <w:rPr>
                <w:rFonts w:cs="Times New Roman"/>
                <w:sz w:val="20"/>
                <w:szCs w:val="20"/>
              </w:rPr>
            </w:pPr>
          </w:p>
        </w:tc>
      </w:tr>
      <w:tr w:rsidR="0026298F" w:rsidRPr="00FE6980" w:rsidTr="00270FF2">
        <w:trPr>
          <w:cantSplit/>
        </w:trPr>
        <w:tc>
          <w:tcPr>
            <w:tcW w:w="9576" w:type="dxa"/>
            <w:gridSpan w:val="3"/>
          </w:tcPr>
          <w:p w:rsidR="0026298F" w:rsidRPr="00FE6980" w:rsidRDefault="00E433FF" w:rsidP="009C0895">
            <w:pPr>
              <w:pStyle w:val="SCCShortJudgment"/>
              <w:ind w:firstLine="0"/>
              <w:rPr>
                <w:rFonts w:cs="Times New Roman"/>
                <w:szCs w:val="20"/>
                <w:lang w:val="fr-CA"/>
              </w:rPr>
            </w:pPr>
            <w:r>
              <w:rPr>
                <w:rFonts w:cs="Times New Roman"/>
                <w:szCs w:val="20"/>
                <w:lang w:val="fr-CA"/>
              </w:rPr>
              <w:pict>
                <v:rect id="_x0000_i1053" style="width:2in;height:1pt" o:hrpct="0" o:hralign="center" o:hrstd="t" o:hrnoshade="t" o:hr="t" fillcolor="black [3213]" stroked="f"/>
              </w:pict>
            </w:r>
          </w:p>
          <w:p w:rsidR="0026298F" w:rsidRPr="00FE6980" w:rsidRDefault="0026298F" w:rsidP="009C0895">
            <w:pPr>
              <w:pStyle w:val="SCCShortJudgment"/>
              <w:ind w:firstLine="0"/>
              <w:rPr>
                <w:rFonts w:cs="Times New Roman"/>
                <w:szCs w:val="20"/>
                <w:lang w:val="fr-CA"/>
              </w:rPr>
            </w:pPr>
          </w:p>
        </w:tc>
      </w:tr>
      <w:tr w:rsidR="0026298F" w:rsidRPr="00FE6980" w:rsidTr="00270FF2">
        <w:trPr>
          <w:cantSplit/>
        </w:trPr>
        <w:tc>
          <w:tcPr>
            <w:tcW w:w="9576" w:type="dxa"/>
            <w:gridSpan w:val="3"/>
          </w:tcPr>
          <w:p w:rsidR="0026298F" w:rsidRPr="00FE6980" w:rsidRDefault="0026298F" w:rsidP="009C0895">
            <w:pPr>
              <w:pStyle w:val="SCCShortJudgment"/>
              <w:ind w:firstLine="0"/>
              <w:rPr>
                <w:rFonts w:cs="Times New Roman"/>
                <w:szCs w:val="20"/>
                <w:u w:val="single"/>
                <w:lang w:val="fr-CA"/>
              </w:rPr>
            </w:pPr>
            <w:r w:rsidRPr="00FE6980">
              <w:rPr>
                <w:rFonts w:cs="Times New Roman"/>
                <w:szCs w:val="20"/>
                <w:u w:val="single"/>
                <w:lang w:val="fr-CA"/>
              </w:rPr>
              <w:t>RÉSUMÉ DE L’AFFAIRE </w:t>
            </w:r>
          </w:p>
          <w:p w:rsidR="0026298F" w:rsidRPr="00FE6980" w:rsidRDefault="0026298F" w:rsidP="009C0895">
            <w:pPr>
              <w:pStyle w:val="SCCShortJudgment"/>
              <w:ind w:firstLine="0"/>
              <w:rPr>
                <w:rFonts w:cs="Times New Roman"/>
                <w:szCs w:val="20"/>
                <w:lang w:val="fr-CA"/>
              </w:rPr>
            </w:pPr>
          </w:p>
        </w:tc>
      </w:tr>
      <w:tr w:rsidR="0026298F" w:rsidRPr="00E433FF" w:rsidTr="00270FF2">
        <w:trPr>
          <w:cantSplit/>
        </w:trPr>
        <w:tc>
          <w:tcPr>
            <w:tcW w:w="9576" w:type="dxa"/>
            <w:gridSpan w:val="3"/>
          </w:tcPr>
          <w:p w:rsidR="0026298F" w:rsidRPr="00FE6980" w:rsidRDefault="009C0895" w:rsidP="009C0895">
            <w:pPr>
              <w:pStyle w:val="SCCShortJudgment"/>
              <w:ind w:firstLine="0"/>
              <w:rPr>
                <w:szCs w:val="20"/>
                <w:lang w:val="fr-CA"/>
              </w:rPr>
            </w:pPr>
            <w:r w:rsidRPr="00FE6980">
              <w:rPr>
                <w:szCs w:val="20"/>
                <w:lang w:val="fr-CA"/>
              </w:rPr>
              <w:t xml:space="preserve">Contrats – Caractère abusif – Prêts – Garantie personnelle – Le demandeur a personnellement garanti un prêt que la banque a consenti à sa petite entreprise – L’entreprise s’est trouvée en défaut quant au prêt et la banque a poursuivi le demandeur pour le montant de sa garantie personnelle – La Cour d’appel a-t-elle eu tort de conclure que l’arrêt </w:t>
            </w:r>
            <w:proofErr w:type="spellStart"/>
            <w:r w:rsidRPr="00FE6980">
              <w:rPr>
                <w:i/>
                <w:szCs w:val="20"/>
                <w:lang w:val="fr-CA"/>
              </w:rPr>
              <w:t>Bhasin</w:t>
            </w:r>
            <w:proofErr w:type="spellEnd"/>
            <w:r w:rsidRPr="00FE6980">
              <w:rPr>
                <w:i/>
                <w:szCs w:val="20"/>
                <w:lang w:val="fr-CA"/>
              </w:rPr>
              <w:t xml:space="preserve"> c. </w:t>
            </w:r>
            <w:proofErr w:type="spellStart"/>
            <w:r w:rsidRPr="00FE6980">
              <w:rPr>
                <w:i/>
                <w:szCs w:val="20"/>
                <w:lang w:val="fr-CA"/>
              </w:rPr>
              <w:t>Hrynew</w:t>
            </w:r>
            <w:proofErr w:type="spellEnd"/>
            <w:r w:rsidRPr="00FE6980">
              <w:rPr>
                <w:szCs w:val="20"/>
                <w:lang w:val="fr-CA"/>
              </w:rPr>
              <w:t xml:space="preserve">, 2014 CSC 71, [2014] 3 R.C.S. 494, n’a pas eu pour effet de modifier ou d’élargir le critère applicable au caractère abusif en </w:t>
            </w:r>
            <w:proofErr w:type="spellStart"/>
            <w:r w:rsidRPr="00FE6980">
              <w:rPr>
                <w:szCs w:val="20"/>
                <w:lang w:val="fr-CA"/>
              </w:rPr>
              <w:t>common</w:t>
            </w:r>
            <w:proofErr w:type="spellEnd"/>
            <w:r w:rsidRPr="00FE6980">
              <w:rPr>
                <w:szCs w:val="20"/>
                <w:lang w:val="fr-CA"/>
              </w:rPr>
              <w:t xml:space="preserve"> </w:t>
            </w:r>
            <w:proofErr w:type="spellStart"/>
            <w:r w:rsidRPr="00FE6980">
              <w:rPr>
                <w:szCs w:val="20"/>
                <w:lang w:val="fr-CA"/>
              </w:rPr>
              <w:t>law</w:t>
            </w:r>
            <w:proofErr w:type="spellEnd"/>
            <w:r w:rsidRPr="00FE6980">
              <w:rPr>
                <w:szCs w:val="20"/>
                <w:lang w:val="fr-CA"/>
              </w:rPr>
              <w:t>? – La Cour d’appel a-t-elle eu tort de conclure que la preuve du demandeur relativement au préjudice était entièrement abstraite et qu’elle reposait entièrement sur la conjecture?</w:t>
            </w:r>
          </w:p>
          <w:p w:rsidR="009C0895" w:rsidRPr="00FE6980" w:rsidRDefault="009C0895" w:rsidP="009C0895">
            <w:pPr>
              <w:pStyle w:val="SCCShortJudgment"/>
              <w:ind w:firstLine="0"/>
              <w:rPr>
                <w:rFonts w:cs="Times New Roman"/>
                <w:szCs w:val="20"/>
                <w:lang w:val="fr-CA"/>
              </w:rPr>
            </w:pPr>
          </w:p>
        </w:tc>
      </w:tr>
      <w:tr w:rsidR="0026298F" w:rsidRPr="00E433FF" w:rsidTr="00270FF2">
        <w:trPr>
          <w:cantSplit/>
        </w:trPr>
        <w:tc>
          <w:tcPr>
            <w:tcW w:w="9576" w:type="dxa"/>
            <w:gridSpan w:val="3"/>
          </w:tcPr>
          <w:p w:rsidR="009C0895" w:rsidRPr="00FE6980" w:rsidRDefault="009C0895" w:rsidP="009C0895">
            <w:pPr>
              <w:jc w:val="both"/>
              <w:rPr>
                <w:sz w:val="20"/>
                <w:szCs w:val="20"/>
                <w:lang w:val="fr-CA"/>
              </w:rPr>
            </w:pPr>
            <w:r w:rsidRPr="00FE6980">
              <w:rPr>
                <w:sz w:val="20"/>
                <w:szCs w:val="20"/>
                <w:lang w:val="fr-CA"/>
              </w:rPr>
              <w:t>En 2011, le demandeur a remis une garantie personnelle à l’égard d’un prêt consenti par la BMO intimée à une compagnie qui exploitait une franchise Country Style à Newcastle (Ontario). À la fin de 2011, le demandeur a démissionné comme administrateur de la compagnie et à cesser d’y jouer un rôle actif, bien qu’il soit demeuré en poste comme vice-président. Au début de 2013, le demandeur a communiqué avec le directeur des comptes de BMO pour obtenir des renseignements sur le compte d’entreprise de la compagnie, mais sa demande de renseignements a été refusée.</w:t>
            </w:r>
          </w:p>
          <w:p w:rsidR="0026298F" w:rsidRPr="00FE6980" w:rsidRDefault="0026298F" w:rsidP="009C0895">
            <w:pPr>
              <w:jc w:val="both"/>
              <w:rPr>
                <w:rFonts w:cs="Times New Roman"/>
                <w:sz w:val="20"/>
                <w:szCs w:val="20"/>
                <w:lang w:val="fr-CA"/>
              </w:rPr>
            </w:pPr>
          </w:p>
        </w:tc>
      </w:tr>
      <w:tr w:rsidR="0026298F" w:rsidRPr="00E433FF" w:rsidTr="00270FF2">
        <w:trPr>
          <w:cantSplit/>
        </w:trPr>
        <w:tc>
          <w:tcPr>
            <w:tcW w:w="9576" w:type="dxa"/>
            <w:gridSpan w:val="3"/>
          </w:tcPr>
          <w:p w:rsidR="009C0895" w:rsidRPr="00FE6980" w:rsidRDefault="009C0895" w:rsidP="009C0895">
            <w:pPr>
              <w:jc w:val="both"/>
              <w:rPr>
                <w:sz w:val="20"/>
                <w:szCs w:val="20"/>
                <w:lang w:val="fr-CA"/>
              </w:rPr>
            </w:pPr>
            <w:r w:rsidRPr="00FE6980">
              <w:rPr>
                <w:sz w:val="20"/>
                <w:szCs w:val="20"/>
                <w:lang w:val="fr-CA"/>
              </w:rPr>
              <w:t>La compagnie s’est trouvée en défaut quant au prêt et une demande de paiement a été présentée à la compagnie et au demandeur. En août 2014, BMO a intenté une action contre le demandeur pour obtenir le paiement du montant de la garantie personnelle. BMO a ensuite présenté une motion en jugement sommaire. Le demandeur s’est opposé à la motion, plaidant que la garantie personnelle était abusive,  puisque BMO avait omis de lui fournir les renseignements financiers qu’il avait demandés sur le compte de petite entreprise. La motion a été accueillie. L’appel du demandeur à la Cour d’appel a été rejeté.</w:t>
            </w:r>
          </w:p>
          <w:p w:rsidR="0026298F" w:rsidRPr="00FE6980" w:rsidRDefault="0026298F" w:rsidP="009C0895">
            <w:pPr>
              <w:pStyle w:val="SCCShortJudgment"/>
              <w:ind w:firstLine="0"/>
              <w:rPr>
                <w:rFonts w:cs="Times New Roman"/>
                <w:szCs w:val="20"/>
                <w:lang w:val="fr-CA"/>
              </w:rPr>
            </w:pPr>
          </w:p>
        </w:tc>
      </w:tr>
      <w:tr w:rsidR="0026298F" w:rsidRPr="00E433FF" w:rsidTr="00270FF2">
        <w:trPr>
          <w:cantSplit/>
        </w:trPr>
        <w:tc>
          <w:tcPr>
            <w:tcW w:w="4410" w:type="dxa"/>
          </w:tcPr>
          <w:p w:rsidR="009C0895" w:rsidRPr="00FE6980" w:rsidRDefault="009C0895" w:rsidP="009C0895">
            <w:pPr>
              <w:jc w:val="both"/>
              <w:rPr>
                <w:sz w:val="20"/>
                <w:szCs w:val="20"/>
                <w:lang w:val="fr-CA"/>
              </w:rPr>
            </w:pPr>
            <w:r w:rsidRPr="00FE6980">
              <w:rPr>
                <w:sz w:val="20"/>
                <w:szCs w:val="20"/>
                <w:lang w:val="fr-CA"/>
              </w:rPr>
              <w:t>11 mars 2015</w:t>
            </w:r>
          </w:p>
          <w:p w:rsidR="009C0895" w:rsidRPr="00FE6980" w:rsidRDefault="009C0895" w:rsidP="009C0895">
            <w:pPr>
              <w:jc w:val="both"/>
              <w:rPr>
                <w:sz w:val="20"/>
                <w:szCs w:val="20"/>
                <w:lang w:val="fr-CA"/>
              </w:rPr>
            </w:pPr>
            <w:r w:rsidRPr="00FE6980">
              <w:rPr>
                <w:sz w:val="20"/>
                <w:szCs w:val="20"/>
                <w:lang w:val="fr-CA"/>
              </w:rPr>
              <w:t xml:space="preserve">Cour supérieure de justice de l’Ontario </w:t>
            </w:r>
          </w:p>
          <w:p w:rsidR="009C0895" w:rsidRPr="00FE6980" w:rsidRDefault="009C0895" w:rsidP="009C0895">
            <w:pPr>
              <w:jc w:val="both"/>
              <w:rPr>
                <w:sz w:val="20"/>
                <w:szCs w:val="20"/>
                <w:lang w:val="fr-CA"/>
              </w:rPr>
            </w:pPr>
            <w:r w:rsidRPr="00FE6980">
              <w:rPr>
                <w:sz w:val="20"/>
                <w:szCs w:val="20"/>
                <w:lang w:val="fr-CA"/>
              </w:rPr>
              <w:t xml:space="preserve">(Juge </w:t>
            </w:r>
            <w:proofErr w:type="spellStart"/>
            <w:r w:rsidRPr="00FE6980">
              <w:rPr>
                <w:sz w:val="20"/>
                <w:szCs w:val="20"/>
                <w:lang w:val="fr-CA"/>
              </w:rPr>
              <w:t>Faieta</w:t>
            </w:r>
            <w:proofErr w:type="spellEnd"/>
            <w:r w:rsidRPr="00FE6980">
              <w:rPr>
                <w:sz w:val="20"/>
                <w:szCs w:val="20"/>
                <w:lang w:val="fr-CA"/>
              </w:rPr>
              <w:t>)</w:t>
            </w:r>
          </w:p>
          <w:p w:rsidR="009C0895" w:rsidRPr="00FE6980" w:rsidRDefault="00E433FF" w:rsidP="009C0895">
            <w:pPr>
              <w:jc w:val="both"/>
              <w:rPr>
                <w:sz w:val="20"/>
                <w:szCs w:val="20"/>
                <w:u w:val="single"/>
                <w:lang w:val="fr-CA"/>
              </w:rPr>
            </w:pPr>
            <w:hyperlink r:id="rId38" w:history="1">
              <w:r w:rsidR="009C0895" w:rsidRPr="00FE6980">
                <w:rPr>
                  <w:rStyle w:val="Hyperlink"/>
                  <w:sz w:val="20"/>
                  <w:szCs w:val="20"/>
                  <w:lang w:val="fr-CA"/>
                </w:rPr>
                <w:t>2015 ONSC 1229</w:t>
              </w:r>
            </w:hyperlink>
          </w:p>
          <w:p w:rsidR="0026298F" w:rsidRPr="00FE6980" w:rsidRDefault="0026298F" w:rsidP="009C0895">
            <w:pPr>
              <w:pStyle w:val="SCCShortJudgment"/>
              <w:ind w:firstLine="0"/>
              <w:rPr>
                <w:rFonts w:cs="Times New Roman"/>
                <w:szCs w:val="20"/>
                <w:lang w:val="fr-CA"/>
              </w:rPr>
            </w:pPr>
          </w:p>
        </w:tc>
        <w:tc>
          <w:tcPr>
            <w:tcW w:w="630" w:type="dxa"/>
          </w:tcPr>
          <w:p w:rsidR="0026298F" w:rsidRPr="00FE6980" w:rsidRDefault="0026298F" w:rsidP="009C0895">
            <w:pPr>
              <w:pStyle w:val="SCCShortJudgment"/>
              <w:ind w:firstLine="0"/>
              <w:rPr>
                <w:rFonts w:cs="Times New Roman"/>
                <w:szCs w:val="20"/>
                <w:lang w:val="fr-CA"/>
              </w:rPr>
            </w:pPr>
          </w:p>
        </w:tc>
        <w:tc>
          <w:tcPr>
            <w:tcW w:w="4536" w:type="dxa"/>
          </w:tcPr>
          <w:p w:rsidR="009C0895" w:rsidRPr="00FE6980" w:rsidRDefault="009C0895" w:rsidP="009C0895">
            <w:pPr>
              <w:jc w:val="both"/>
              <w:rPr>
                <w:sz w:val="20"/>
                <w:szCs w:val="20"/>
                <w:lang w:val="fr-CA"/>
              </w:rPr>
            </w:pPr>
            <w:r w:rsidRPr="00FE6980">
              <w:rPr>
                <w:sz w:val="20"/>
                <w:szCs w:val="20"/>
                <w:lang w:val="fr-CA"/>
              </w:rPr>
              <w:t>Jugement accueillant la motion en jugement sommaire de l’intimée</w:t>
            </w:r>
          </w:p>
          <w:p w:rsidR="0026298F" w:rsidRPr="00FE6980" w:rsidRDefault="0026298F" w:rsidP="009C0895">
            <w:pPr>
              <w:pStyle w:val="SCCShortJudgment"/>
              <w:ind w:firstLine="0"/>
              <w:rPr>
                <w:rFonts w:cs="Times New Roman"/>
                <w:szCs w:val="20"/>
                <w:lang w:val="fr-CA"/>
              </w:rPr>
            </w:pPr>
          </w:p>
        </w:tc>
      </w:tr>
      <w:tr w:rsidR="0026298F" w:rsidRPr="00FE6980" w:rsidTr="00270FF2">
        <w:trPr>
          <w:cantSplit/>
        </w:trPr>
        <w:tc>
          <w:tcPr>
            <w:tcW w:w="4410" w:type="dxa"/>
          </w:tcPr>
          <w:p w:rsidR="009C0895" w:rsidRPr="00FE6980" w:rsidRDefault="009C0895" w:rsidP="009C0895">
            <w:pPr>
              <w:jc w:val="both"/>
              <w:rPr>
                <w:sz w:val="20"/>
                <w:szCs w:val="20"/>
                <w:lang w:val="fr-CA"/>
              </w:rPr>
            </w:pPr>
            <w:r w:rsidRPr="00FE6980">
              <w:rPr>
                <w:sz w:val="20"/>
                <w:szCs w:val="20"/>
                <w:lang w:val="fr-CA"/>
              </w:rPr>
              <w:t>18 janvier 2016</w:t>
            </w:r>
          </w:p>
          <w:p w:rsidR="009C0895" w:rsidRPr="00FE6980" w:rsidRDefault="009C0895" w:rsidP="009C0895">
            <w:pPr>
              <w:jc w:val="both"/>
              <w:rPr>
                <w:sz w:val="20"/>
                <w:szCs w:val="20"/>
                <w:lang w:val="fr-CA"/>
              </w:rPr>
            </w:pPr>
            <w:r w:rsidRPr="00FE6980">
              <w:rPr>
                <w:sz w:val="20"/>
                <w:szCs w:val="20"/>
                <w:lang w:val="fr-CA"/>
              </w:rPr>
              <w:t>Cour d’appel de l’Ontario</w:t>
            </w:r>
          </w:p>
          <w:p w:rsidR="009C0895" w:rsidRPr="00FE6980" w:rsidRDefault="009C0895" w:rsidP="009C0895">
            <w:pPr>
              <w:jc w:val="both"/>
              <w:rPr>
                <w:sz w:val="20"/>
                <w:szCs w:val="20"/>
                <w:lang w:val="fr-CA"/>
              </w:rPr>
            </w:pPr>
            <w:r w:rsidRPr="00FE6980">
              <w:rPr>
                <w:sz w:val="20"/>
                <w:szCs w:val="20"/>
                <w:lang w:val="fr-CA"/>
              </w:rPr>
              <w:t xml:space="preserve">(Juges </w:t>
            </w:r>
            <w:proofErr w:type="spellStart"/>
            <w:r w:rsidRPr="00FE6980">
              <w:rPr>
                <w:sz w:val="20"/>
                <w:szCs w:val="20"/>
                <w:lang w:val="fr-CA"/>
              </w:rPr>
              <w:t>Cronk</w:t>
            </w:r>
            <w:proofErr w:type="spellEnd"/>
            <w:r w:rsidRPr="00FE6980">
              <w:rPr>
                <w:sz w:val="20"/>
                <w:szCs w:val="20"/>
                <w:lang w:val="fr-CA"/>
              </w:rPr>
              <w:t xml:space="preserve">, </w:t>
            </w:r>
            <w:proofErr w:type="spellStart"/>
            <w:r w:rsidRPr="00FE6980">
              <w:rPr>
                <w:sz w:val="20"/>
                <w:szCs w:val="20"/>
                <w:lang w:val="fr-CA"/>
              </w:rPr>
              <w:t>Pepall</w:t>
            </w:r>
            <w:proofErr w:type="spellEnd"/>
            <w:r w:rsidRPr="00FE6980">
              <w:rPr>
                <w:sz w:val="20"/>
                <w:szCs w:val="20"/>
                <w:lang w:val="fr-CA"/>
              </w:rPr>
              <w:t xml:space="preserve"> et </w:t>
            </w:r>
            <w:proofErr w:type="spellStart"/>
            <w:r w:rsidRPr="00FE6980">
              <w:rPr>
                <w:sz w:val="20"/>
                <w:szCs w:val="20"/>
                <w:lang w:val="fr-CA"/>
              </w:rPr>
              <w:t>Lauwers</w:t>
            </w:r>
            <w:proofErr w:type="spellEnd"/>
            <w:r w:rsidRPr="00FE6980">
              <w:rPr>
                <w:sz w:val="20"/>
                <w:szCs w:val="20"/>
                <w:lang w:val="fr-CA"/>
              </w:rPr>
              <w:t>)</w:t>
            </w:r>
          </w:p>
          <w:p w:rsidR="009C0895" w:rsidRPr="00FE6980" w:rsidRDefault="00E433FF" w:rsidP="009C0895">
            <w:pPr>
              <w:jc w:val="both"/>
              <w:rPr>
                <w:sz w:val="20"/>
                <w:szCs w:val="20"/>
                <w:u w:val="single"/>
                <w:lang w:val="fr-CA"/>
              </w:rPr>
            </w:pPr>
            <w:hyperlink r:id="rId39" w:history="1">
              <w:r w:rsidR="009C0895" w:rsidRPr="00FE6980">
                <w:rPr>
                  <w:rStyle w:val="Hyperlink"/>
                  <w:sz w:val="20"/>
                  <w:szCs w:val="20"/>
                  <w:lang w:val="fr-CA"/>
                </w:rPr>
                <w:t>2016 ONCA 49</w:t>
              </w:r>
            </w:hyperlink>
          </w:p>
          <w:p w:rsidR="0026298F" w:rsidRPr="00FE6980" w:rsidRDefault="0026298F" w:rsidP="009C0895">
            <w:pPr>
              <w:pStyle w:val="SCCShortJudgment"/>
              <w:ind w:firstLine="0"/>
              <w:rPr>
                <w:rFonts w:cs="Times New Roman"/>
                <w:szCs w:val="20"/>
                <w:lang w:val="fr-CA"/>
              </w:rPr>
            </w:pPr>
          </w:p>
        </w:tc>
        <w:tc>
          <w:tcPr>
            <w:tcW w:w="630" w:type="dxa"/>
          </w:tcPr>
          <w:p w:rsidR="0026298F" w:rsidRPr="00FE6980" w:rsidRDefault="0026298F" w:rsidP="009C0895">
            <w:pPr>
              <w:pStyle w:val="SCCShortJudgment"/>
              <w:ind w:firstLine="0"/>
              <w:rPr>
                <w:rFonts w:cs="Times New Roman"/>
                <w:szCs w:val="20"/>
                <w:lang w:val="fr-CA"/>
              </w:rPr>
            </w:pPr>
          </w:p>
        </w:tc>
        <w:tc>
          <w:tcPr>
            <w:tcW w:w="4536" w:type="dxa"/>
          </w:tcPr>
          <w:p w:rsidR="009C0895" w:rsidRPr="00FE6980" w:rsidRDefault="009C0895" w:rsidP="009C0895">
            <w:pPr>
              <w:jc w:val="both"/>
              <w:rPr>
                <w:sz w:val="20"/>
                <w:szCs w:val="20"/>
                <w:lang w:val="fr-CA"/>
              </w:rPr>
            </w:pPr>
            <w:r w:rsidRPr="00FE6980">
              <w:rPr>
                <w:sz w:val="20"/>
                <w:szCs w:val="20"/>
                <w:lang w:val="fr-CA"/>
              </w:rPr>
              <w:t>Rejet de l’appel</w:t>
            </w:r>
          </w:p>
          <w:p w:rsidR="0026298F" w:rsidRPr="00FE6980" w:rsidRDefault="0026298F" w:rsidP="009C0895">
            <w:pPr>
              <w:pStyle w:val="SCCShortJudgment"/>
              <w:ind w:firstLine="0"/>
              <w:rPr>
                <w:rFonts w:cs="Times New Roman"/>
                <w:szCs w:val="20"/>
                <w:lang w:val="fr-CA"/>
              </w:rPr>
            </w:pPr>
          </w:p>
        </w:tc>
      </w:tr>
      <w:tr w:rsidR="0026298F" w:rsidRPr="00E433FF" w:rsidTr="00270FF2">
        <w:trPr>
          <w:cantSplit/>
        </w:trPr>
        <w:tc>
          <w:tcPr>
            <w:tcW w:w="4410" w:type="dxa"/>
          </w:tcPr>
          <w:p w:rsidR="009C0895" w:rsidRPr="00FE6980" w:rsidRDefault="009C0895" w:rsidP="009C0895">
            <w:pPr>
              <w:jc w:val="both"/>
              <w:rPr>
                <w:sz w:val="20"/>
                <w:szCs w:val="20"/>
                <w:lang w:val="fr-CA"/>
              </w:rPr>
            </w:pPr>
            <w:r w:rsidRPr="00FE6980">
              <w:rPr>
                <w:sz w:val="20"/>
                <w:szCs w:val="20"/>
                <w:lang w:val="fr-CA"/>
              </w:rPr>
              <w:t>17 mars 2016</w:t>
            </w:r>
          </w:p>
          <w:p w:rsidR="0026298F" w:rsidRPr="00FE6980" w:rsidRDefault="009C0895" w:rsidP="009C0895">
            <w:pPr>
              <w:pStyle w:val="SCCShortJudgment"/>
              <w:ind w:firstLine="0"/>
              <w:rPr>
                <w:rFonts w:cs="Times New Roman"/>
                <w:szCs w:val="20"/>
                <w:lang w:val="fr-CA"/>
              </w:rPr>
            </w:pPr>
            <w:r w:rsidRPr="00FE6980">
              <w:rPr>
                <w:szCs w:val="20"/>
                <w:lang w:val="fr-CA"/>
              </w:rPr>
              <w:t>Cour suprême du Canada</w:t>
            </w:r>
          </w:p>
        </w:tc>
        <w:tc>
          <w:tcPr>
            <w:tcW w:w="630" w:type="dxa"/>
          </w:tcPr>
          <w:p w:rsidR="0026298F" w:rsidRPr="00FE6980" w:rsidRDefault="0026298F" w:rsidP="009C0895">
            <w:pPr>
              <w:pStyle w:val="SCCShortJudgment"/>
              <w:ind w:firstLine="0"/>
              <w:rPr>
                <w:rFonts w:cs="Times New Roman"/>
                <w:szCs w:val="20"/>
                <w:lang w:val="fr-CA"/>
              </w:rPr>
            </w:pPr>
          </w:p>
        </w:tc>
        <w:tc>
          <w:tcPr>
            <w:tcW w:w="4536" w:type="dxa"/>
          </w:tcPr>
          <w:p w:rsidR="009C0895" w:rsidRPr="00FE6980" w:rsidRDefault="009C0895" w:rsidP="009C0895">
            <w:pPr>
              <w:jc w:val="both"/>
              <w:rPr>
                <w:sz w:val="20"/>
                <w:szCs w:val="20"/>
                <w:lang w:val="fr-CA"/>
              </w:rPr>
            </w:pPr>
            <w:r w:rsidRPr="00FE6980">
              <w:rPr>
                <w:sz w:val="20"/>
                <w:szCs w:val="20"/>
                <w:lang w:val="fr-CA"/>
              </w:rPr>
              <w:t>Dépôt de la demande d’autorisation d’appel</w:t>
            </w:r>
          </w:p>
          <w:p w:rsidR="0026298F" w:rsidRPr="00FE6980" w:rsidRDefault="0026298F" w:rsidP="009C0895">
            <w:pPr>
              <w:pStyle w:val="SCCShortJudgment"/>
              <w:ind w:firstLine="0"/>
              <w:rPr>
                <w:rFonts w:cs="Times New Roman"/>
                <w:szCs w:val="20"/>
                <w:lang w:val="fr-CA"/>
              </w:rPr>
            </w:pPr>
          </w:p>
        </w:tc>
      </w:tr>
    </w:tbl>
    <w:p w:rsidR="0026298F" w:rsidRPr="00FE6980" w:rsidRDefault="00E433FF" w:rsidP="0026298F">
      <w:pPr>
        <w:rPr>
          <w:rFonts w:cs="Times New Roman"/>
          <w:sz w:val="20"/>
          <w:szCs w:val="20"/>
          <w:lang w:val="fr-CA"/>
        </w:rPr>
      </w:pPr>
      <w:r>
        <w:rPr>
          <w:rFonts w:cs="Times New Roman"/>
          <w:sz w:val="20"/>
          <w:szCs w:val="20"/>
          <w:lang w:val="fr-CA"/>
        </w:rPr>
        <w:pict>
          <v:rect id="_x0000_i1054" style="width:2in;height:1pt" o:hrpct="0" o:hralign="center" o:hrstd="t" o:hrnoshade="t" o:hr="t" fillcolor="black [3213]" stroked="f"/>
        </w:pict>
      </w:r>
    </w:p>
    <w:p w:rsidR="0026298F" w:rsidRPr="00FE6980" w:rsidRDefault="0026298F" w:rsidP="0026298F">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6298F" w:rsidRPr="00FE6980" w:rsidTr="00270FF2">
        <w:trPr>
          <w:cantSplit/>
        </w:trPr>
        <w:tc>
          <w:tcPr>
            <w:tcW w:w="1458" w:type="dxa"/>
          </w:tcPr>
          <w:p w:rsidR="0026298F" w:rsidRPr="00FE6980" w:rsidRDefault="0026298F" w:rsidP="00270FF2">
            <w:pPr>
              <w:jc w:val="both"/>
              <w:rPr>
                <w:rFonts w:cs="Times New Roman"/>
                <w:sz w:val="20"/>
                <w:szCs w:val="20"/>
              </w:rPr>
            </w:pPr>
            <w:r w:rsidRPr="00FE6980">
              <w:rPr>
                <w:rStyle w:val="SCCFileNumberChar"/>
                <w:sz w:val="20"/>
                <w:szCs w:val="20"/>
              </w:rPr>
              <w:t>36935</w:t>
            </w:r>
          </w:p>
          <w:p w:rsidR="0026298F" w:rsidRPr="00FE6980" w:rsidRDefault="0026298F" w:rsidP="00270FF2">
            <w:pPr>
              <w:jc w:val="both"/>
              <w:rPr>
                <w:rFonts w:cs="Times New Roman"/>
                <w:b/>
                <w:sz w:val="20"/>
                <w:szCs w:val="20"/>
              </w:rPr>
            </w:pPr>
          </w:p>
        </w:tc>
        <w:tc>
          <w:tcPr>
            <w:tcW w:w="8118" w:type="dxa"/>
            <w:gridSpan w:val="3"/>
          </w:tcPr>
          <w:p w:rsidR="0026298F" w:rsidRPr="00FE6980" w:rsidRDefault="00EA2546" w:rsidP="00270FF2">
            <w:pPr>
              <w:jc w:val="both"/>
              <w:rPr>
                <w:rFonts w:cs="Times New Roman"/>
                <w:sz w:val="20"/>
                <w:szCs w:val="20"/>
              </w:rPr>
            </w:pPr>
            <w:r w:rsidRPr="00FE6980">
              <w:rPr>
                <w:rStyle w:val="SCCLsocChar"/>
                <w:rFonts w:cs="Times New Roman"/>
                <w:sz w:val="20"/>
                <w:szCs w:val="20"/>
                <w:lang w:val="en-CA"/>
              </w:rPr>
              <w:t xml:space="preserve">K. Matthew Hoang v. Mann Engineering Ltd., </w:t>
            </w:r>
            <w:proofErr w:type="spellStart"/>
            <w:r w:rsidRPr="00FE6980">
              <w:rPr>
                <w:rStyle w:val="SCCLsocChar"/>
                <w:rFonts w:cs="Times New Roman"/>
                <w:sz w:val="20"/>
                <w:szCs w:val="20"/>
                <w:lang w:val="en-CA"/>
              </w:rPr>
              <w:t>Aris</w:t>
            </w:r>
            <w:proofErr w:type="spellEnd"/>
            <w:r w:rsidRPr="00FE6980">
              <w:rPr>
                <w:rStyle w:val="SCCLsocChar"/>
                <w:rFonts w:cs="Times New Roman"/>
                <w:sz w:val="20"/>
                <w:szCs w:val="20"/>
                <w:lang w:val="en-CA"/>
              </w:rPr>
              <w:t xml:space="preserve"> Building Technologies, Cartwright Management, Mann Enterprises, Wu Ventures, Hay Solar Ltd. and Gigajoule Research and Development Ltd. (carrying on business as the “MANN GROUP”)</w:t>
            </w:r>
            <w:r w:rsidRPr="00FE6980">
              <w:rPr>
                <w:rStyle w:val="SCCLsocChar"/>
                <w:rFonts w:cs="Times New Roman"/>
                <w:sz w:val="20"/>
                <w:szCs w:val="20"/>
                <w:u w:val="none"/>
                <w:lang w:val="en-CA"/>
              </w:rPr>
              <w:t xml:space="preserve"> </w:t>
            </w:r>
            <w:r w:rsidR="0026298F" w:rsidRPr="00FE6980">
              <w:rPr>
                <w:rFonts w:cs="Times New Roman"/>
                <w:sz w:val="20"/>
                <w:szCs w:val="20"/>
              </w:rPr>
              <w:t>(Ont.) (Civil) (By Leave)</w:t>
            </w:r>
          </w:p>
          <w:p w:rsidR="0026298F" w:rsidRPr="00FE6980" w:rsidRDefault="0026298F" w:rsidP="00270FF2">
            <w:pPr>
              <w:jc w:val="both"/>
              <w:rPr>
                <w:rFonts w:cs="Times New Roman"/>
                <w:sz w:val="20"/>
                <w:szCs w:val="20"/>
              </w:rPr>
            </w:pPr>
          </w:p>
        </w:tc>
      </w:tr>
      <w:tr w:rsidR="0026298F" w:rsidRPr="00FE6980" w:rsidTr="00270FF2">
        <w:trPr>
          <w:cantSplit/>
        </w:trPr>
        <w:tc>
          <w:tcPr>
            <w:tcW w:w="1458" w:type="dxa"/>
          </w:tcPr>
          <w:p w:rsidR="0026298F" w:rsidRPr="00FE6980" w:rsidRDefault="0026298F" w:rsidP="00270FF2">
            <w:pPr>
              <w:jc w:val="both"/>
              <w:rPr>
                <w:rFonts w:cs="Times New Roman"/>
                <w:sz w:val="20"/>
                <w:szCs w:val="20"/>
              </w:rPr>
            </w:pPr>
            <w:r w:rsidRPr="00FE6980">
              <w:rPr>
                <w:rFonts w:cs="Times New Roman"/>
                <w:sz w:val="20"/>
                <w:szCs w:val="20"/>
              </w:rPr>
              <w:t>Coram :</w:t>
            </w:r>
          </w:p>
        </w:tc>
        <w:tc>
          <w:tcPr>
            <w:tcW w:w="8118" w:type="dxa"/>
            <w:gridSpan w:val="3"/>
          </w:tcPr>
          <w:p w:rsidR="0026298F" w:rsidRPr="00FE6980" w:rsidRDefault="00EA2546" w:rsidP="00270FF2">
            <w:pPr>
              <w:jc w:val="both"/>
              <w:rPr>
                <w:sz w:val="20"/>
                <w:szCs w:val="20"/>
                <w:u w:val="single"/>
              </w:rPr>
            </w:pPr>
            <w:r w:rsidRPr="00FE6980">
              <w:rPr>
                <w:sz w:val="20"/>
                <w:szCs w:val="20"/>
                <w:u w:val="single"/>
              </w:rPr>
              <w:t>Abella, Karakatsanis and Brown JJ.</w:t>
            </w:r>
          </w:p>
          <w:p w:rsidR="00EA2546" w:rsidRPr="00FE6980" w:rsidRDefault="00EA2546" w:rsidP="00270FF2">
            <w:pPr>
              <w:jc w:val="both"/>
              <w:rPr>
                <w:rFonts w:cs="Times New Roman"/>
                <w:sz w:val="20"/>
                <w:szCs w:val="20"/>
              </w:rPr>
            </w:pPr>
          </w:p>
        </w:tc>
      </w:tr>
      <w:tr w:rsidR="0026298F" w:rsidRPr="00E433FF" w:rsidTr="00270FF2">
        <w:trPr>
          <w:cantSplit/>
        </w:trPr>
        <w:tc>
          <w:tcPr>
            <w:tcW w:w="9576" w:type="dxa"/>
            <w:gridSpan w:val="4"/>
          </w:tcPr>
          <w:p w:rsidR="0026298F" w:rsidRPr="00FE6980" w:rsidRDefault="00EA2546" w:rsidP="00A926BB">
            <w:pPr>
              <w:pStyle w:val="SCCShortJudgment"/>
              <w:ind w:firstLine="0"/>
              <w:rPr>
                <w:rFonts w:cs="Times New Roman"/>
                <w:szCs w:val="20"/>
              </w:rPr>
            </w:pPr>
            <w:r w:rsidRPr="00FE6980">
              <w:rPr>
                <w:szCs w:val="20"/>
              </w:rPr>
              <w:tab/>
              <w:t>The motion for an extension of time to serve and file the application for leave to appeal from the judgment of the Court of Appeal for Ontario, Numbers C59356 and M45863, dated January 28, 2016, is dismissed.</w:t>
            </w:r>
          </w:p>
          <w:p w:rsidR="0026298F" w:rsidRPr="00FE6980" w:rsidRDefault="0026298F" w:rsidP="00A926BB">
            <w:pPr>
              <w:pStyle w:val="SCCShortJudgment"/>
              <w:ind w:firstLine="0"/>
              <w:rPr>
                <w:rFonts w:cs="Times New Roman"/>
                <w:szCs w:val="20"/>
              </w:rPr>
            </w:pPr>
          </w:p>
          <w:p w:rsidR="0026298F" w:rsidRPr="00FE6980" w:rsidRDefault="0026298F" w:rsidP="00A926BB">
            <w:pPr>
              <w:pStyle w:val="SCCShortJudgment"/>
              <w:ind w:firstLine="0"/>
              <w:rPr>
                <w:rFonts w:cs="Times New Roman"/>
                <w:szCs w:val="20"/>
                <w:lang w:val="fr-CA"/>
              </w:rPr>
            </w:pPr>
            <w:r w:rsidRPr="00FE6980">
              <w:rPr>
                <w:rFonts w:cs="Times New Roman"/>
                <w:szCs w:val="20"/>
              </w:rPr>
              <w:tab/>
            </w:r>
            <w:r w:rsidR="00EA2546" w:rsidRPr="00FE6980">
              <w:rPr>
                <w:szCs w:val="20"/>
                <w:lang w:val="fr-FR"/>
              </w:rPr>
              <w:t>La requête en prorogation du délai pour la signification et le dépôt de la demande d’autorisation d’appel de l’</w:t>
            </w:r>
            <w:proofErr w:type="spellStart"/>
            <w:r w:rsidR="00EA2546" w:rsidRPr="00FE6980">
              <w:rPr>
                <w:szCs w:val="20"/>
                <w:lang w:val="fr-FR"/>
              </w:rPr>
              <w:t>arret</w:t>
            </w:r>
            <w:proofErr w:type="spellEnd"/>
            <w:r w:rsidR="00EA2546" w:rsidRPr="00FE6980">
              <w:rPr>
                <w:szCs w:val="20"/>
                <w:lang w:val="fr-FR"/>
              </w:rPr>
              <w:t xml:space="preserve"> </w:t>
            </w:r>
            <w:r w:rsidR="00EA2546" w:rsidRPr="00FE6980">
              <w:rPr>
                <w:szCs w:val="20"/>
                <w:lang w:val="fr-CA"/>
              </w:rPr>
              <w:t xml:space="preserve">de la </w:t>
            </w:r>
            <w:r w:rsidR="00EA2546" w:rsidRPr="00FE6980">
              <w:rPr>
                <w:szCs w:val="20"/>
                <w:lang w:val="fr-FR"/>
              </w:rPr>
              <w:t>Cour d’appel de l’Ontario</w:t>
            </w:r>
            <w:r w:rsidR="00EA2546" w:rsidRPr="00FE6980">
              <w:rPr>
                <w:szCs w:val="20"/>
                <w:lang w:val="fr-CA"/>
              </w:rPr>
              <w:t xml:space="preserve">, numéros </w:t>
            </w:r>
            <w:r w:rsidR="00EA2546" w:rsidRPr="00FE6980">
              <w:rPr>
                <w:szCs w:val="20"/>
                <w:lang w:val="fr-FR"/>
              </w:rPr>
              <w:t>C59356 et M45863</w:t>
            </w:r>
            <w:r w:rsidR="00EA2546" w:rsidRPr="00FE6980">
              <w:rPr>
                <w:szCs w:val="20"/>
                <w:lang w:val="fr-CA"/>
              </w:rPr>
              <w:t xml:space="preserve">, daté du </w:t>
            </w:r>
            <w:r w:rsidR="00EA2546" w:rsidRPr="00FE6980">
              <w:rPr>
                <w:szCs w:val="20"/>
                <w:lang w:val="fr-FR"/>
              </w:rPr>
              <w:t>28 janvier 2016</w:t>
            </w:r>
            <w:r w:rsidR="00EA2546" w:rsidRPr="00FE6980">
              <w:rPr>
                <w:szCs w:val="20"/>
                <w:lang w:val="fr-CA"/>
              </w:rPr>
              <w:t>, est rejetée.</w:t>
            </w:r>
          </w:p>
          <w:p w:rsidR="0026298F" w:rsidRPr="00FE6980" w:rsidRDefault="0026298F" w:rsidP="00A926BB">
            <w:pPr>
              <w:pStyle w:val="SCCShortJudgment"/>
              <w:ind w:firstLine="0"/>
              <w:rPr>
                <w:rFonts w:cs="Times New Roman"/>
                <w:szCs w:val="20"/>
                <w:lang w:val="fr-CA"/>
              </w:rPr>
            </w:pPr>
          </w:p>
        </w:tc>
      </w:tr>
      <w:tr w:rsidR="0026298F" w:rsidRPr="00FE6980" w:rsidTr="00270FF2">
        <w:trPr>
          <w:cantSplit/>
        </w:trPr>
        <w:tc>
          <w:tcPr>
            <w:tcW w:w="9576" w:type="dxa"/>
            <w:gridSpan w:val="4"/>
          </w:tcPr>
          <w:p w:rsidR="0026298F" w:rsidRPr="00FE6980" w:rsidRDefault="0026298F" w:rsidP="00A926BB">
            <w:pPr>
              <w:pStyle w:val="SCCShortJudgment"/>
              <w:ind w:firstLine="0"/>
              <w:rPr>
                <w:rFonts w:cs="Times New Roman"/>
                <w:szCs w:val="20"/>
                <w:u w:val="single"/>
                <w:lang w:val="fr-CA"/>
              </w:rPr>
            </w:pPr>
            <w:r w:rsidRPr="00FE6980">
              <w:rPr>
                <w:rFonts w:cs="Times New Roman"/>
                <w:szCs w:val="20"/>
                <w:u w:val="single"/>
                <w:lang w:val="fr-CA"/>
              </w:rPr>
              <w:t>CASE SUMMARY</w:t>
            </w:r>
          </w:p>
          <w:p w:rsidR="0026298F" w:rsidRPr="00FE6980" w:rsidRDefault="0026298F" w:rsidP="00A926BB">
            <w:pPr>
              <w:pStyle w:val="SCCShortJudgment"/>
              <w:ind w:firstLine="0"/>
              <w:rPr>
                <w:rFonts w:cs="Times New Roman"/>
                <w:szCs w:val="20"/>
                <w:lang w:val="fr-CA"/>
              </w:rPr>
            </w:pPr>
          </w:p>
        </w:tc>
      </w:tr>
      <w:tr w:rsidR="0026298F" w:rsidRPr="00FE6980" w:rsidTr="00EA2546">
        <w:tc>
          <w:tcPr>
            <w:tcW w:w="9576" w:type="dxa"/>
            <w:gridSpan w:val="4"/>
          </w:tcPr>
          <w:p w:rsidR="00EA2546" w:rsidRPr="00FE6980" w:rsidRDefault="00EA2546" w:rsidP="00A926BB">
            <w:pPr>
              <w:jc w:val="both"/>
              <w:rPr>
                <w:sz w:val="20"/>
                <w:szCs w:val="20"/>
              </w:rPr>
            </w:pPr>
            <w:r w:rsidRPr="00FE6980">
              <w:rPr>
                <w:sz w:val="20"/>
                <w:szCs w:val="20"/>
              </w:rPr>
              <w:t xml:space="preserve">Employment Law – Wrongful dismissal – Civil Procedure – Appeals – Applicant’s employment terminated for just cause – Applicant largely unsuccessful in action against employer and on appeal – Applicant’s motions to set aside or vary endorsement in Court of Appeal dismissed – </w:t>
            </w:r>
            <w:r w:rsidRPr="00FE6980">
              <w:rPr>
                <w:rFonts w:ascii="Times-Roman" w:hAnsi="Times-Roman" w:cs="Times-Roman"/>
                <w:sz w:val="20"/>
                <w:szCs w:val="20"/>
                <w:lang w:val="en-US"/>
              </w:rPr>
              <w:t>When the Court of Appeal is asked to reconsider and vary its own decision, should it consider whether the party making the request was self-represented and has since obtained the assistance of counsel to clarify his legal argument, such that it appears to the court that it has misunderstood or overlooked essential aspects of the party’s argument that would have likely led to a different result?</w:t>
            </w:r>
          </w:p>
          <w:p w:rsidR="0026298F" w:rsidRPr="00FE6980" w:rsidRDefault="0026298F" w:rsidP="00A926BB">
            <w:pPr>
              <w:pStyle w:val="SCCShortJudgment"/>
              <w:ind w:firstLine="0"/>
              <w:rPr>
                <w:rFonts w:cs="Times New Roman"/>
                <w:szCs w:val="20"/>
              </w:rPr>
            </w:pPr>
          </w:p>
        </w:tc>
      </w:tr>
      <w:tr w:rsidR="0026298F" w:rsidRPr="00FE6980" w:rsidTr="00270FF2">
        <w:trPr>
          <w:cantSplit/>
        </w:trPr>
        <w:tc>
          <w:tcPr>
            <w:tcW w:w="9576" w:type="dxa"/>
            <w:gridSpan w:val="4"/>
          </w:tcPr>
          <w:p w:rsidR="0026298F" w:rsidRPr="00FE6980" w:rsidRDefault="00EA2546" w:rsidP="00A926BB">
            <w:pPr>
              <w:pStyle w:val="SCCShortJudgment"/>
              <w:ind w:firstLine="0"/>
              <w:rPr>
                <w:szCs w:val="20"/>
              </w:rPr>
            </w:pPr>
            <w:r w:rsidRPr="00FE6980">
              <w:rPr>
                <w:szCs w:val="20"/>
              </w:rPr>
              <w:t>Mr. Hoang was hired by the Mann Group (the “employer”) as CFO on a fixed-term contract of employment. According to Mr. Hoang, in the course of his employment, he received a better offer elsewhere and attempted, on that basis, to renegotiate his existing contract of employment. According to the employer, the company agreed to renegotiate the terms of employment, despite ongoing issues with Mr. Hoang’s job performance, insubordination, professionalism and civility, as it was in the midst of negotiations on a new project. As a result, an amended letter of employment was prepared; however, at trial, the parties disagreed as to whether the new employment contract came into existence at that time. Shortly thereafter, Mr. Hoang’s employment was terminated for cause. Mr. Hoang commenced an action against the employer seeking damages for wrongful dismissal, breach of contract, sales commissions owing, and punitive and aggravated damages.</w:t>
            </w:r>
          </w:p>
          <w:p w:rsidR="00EA2546" w:rsidRPr="00FE6980" w:rsidRDefault="00EA2546" w:rsidP="00A926BB">
            <w:pPr>
              <w:pStyle w:val="SCCShortJudgment"/>
              <w:ind w:firstLine="0"/>
              <w:rPr>
                <w:rFonts w:cs="Times New Roman"/>
                <w:szCs w:val="20"/>
              </w:rPr>
            </w:pPr>
          </w:p>
        </w:tc>
      </w:tr>
      <w:tr w:rsidR="00EA2546" w:rsidRPr="00FE6980" w:rsidTr="00270FF2">
        <w:trPr>
          <w:cantSplit/>
        </w:trPr>
        <w:tc>
          <w:tcPr>
            <w:tcW w:w="4410" w:type="dxa"/>
            <w:gridSpan w:val="2"/>
          </w:tcPr>
          <w:p w:rsidR="00EA2546" w:rsidRPr="00FE6980" w:rsidRDefault="00EA2546" w:rsidP="00A926BB">
            <w:pPr>
              <w:jc w:val="both"/>
              <w:rPr>
                <w:sz w:val="22"/>
              </w:rPr>
            </w:pPr>
            <w:r w:rsidRPr="00FE6980">
              <w:rPr>
                <w:sz w:val="22"/>
              </w:rPr>
              <w:t>August 22, 2014</w:t>
            </w:r>
          </w:p>
          <w:p w:rsidR="00EA2546" w:rsidRPr="00FE6980" w:rsidRDefault="00EA2546" w:rsidP="00A926BB">
            <w:pPr>
              <w:jc w:val="both"/>
              <w:rPr>
                <w:sz w:val="22"/>
              </w:rPr>
            </w:pPr>
            <w:r w:rsidRPr="00FE6980">
              <w:rPr>
                <w:sz w:val="22"/>
              </w:rPr>
              <w:t>Ontario Superior Court of Justice</w:t>
            </w:r>
          </w:p>
          <w:p w:rsidR="00EA2546" w:rsidRPr="00FE6980" w:rsidRDefault="00EA2546" w:rsidP="00A926BB">
            <w:pPr>
              <w:jc w:val="both"/>
              <w:rPr>
                <w:sz w:val="22"/>
              </w:rPr>
            </w:pPr>
            <w:r w:rsidRPr="00FE6980">
              <w:rPr>
                <w:sz w:val="22"/>
              </w:rPr>
              <w:t>Brown J.</w:t>
            </w:r>
          </w:p>
          <w:p w:rsidR="00EA2546" w:rsidRPr="00FE6980" w:rsidRDefault="00E433FF" w:rsidP="00A926BB">
            <w:pPr>
              <w:jc w:val="both"/>
              <w:rPr>
                <w:sz w:val="22"/>
                <w:u w:val="single"/>
              </w:rPr>
            </w:pPr>
            <w:hyperlink r:id="rId40" w:history="1">
              <w:r w:rsidR="00EA2546" w:rsidRPr="00FE6980">
                <w:rPr>
                  <w:rStyle w:val="Hyperlink"/>
                  <w:sz w:val="22"/>
                </w:rPr>
                <w:t>2014 ONSC 3762</w:t>
              </w:r>
            </w:hyperlink>
          </w:p>
          <w:p w:rsidR="00EA2546" w:rsidRPr="00FE6980" w:rsidRDefault="00EA2546" w:rsidP="00A926BB">
            <w:pPr>
              <w:jc w:val="both"/>
              <w:rPr>
                <w:rFonts w:cs="Times New Roman"/>
                <w:sz w:val="20"/>
                <w:szCs w:val="20"/>
              </w:rPr>
            </w:pPr>
          </w:p>
        </w:tc>
        <w:tc>
          <w:tcPr>
            <w:tcW w:w="630" w:type="dxa"/>
          </w:tcPr>
          <w:p w:rsidR="00EA2546" w:rsidRPr="00FE6980" w:rsidRDefault="00EA2546" w:rsidP="00A926BB">
            <w:pPr>
              <w:pStyle w:val="SCCShortJudgment"/>
              <w:ind w:firstLine="0"/>
              <w:rPr>
                <w:rFonts w:cs="Times New Roman"/>
                <w:szCs w:val="20"/>
              </w:rPr>
            </w:pPr>
          </w:p>
        </w:tc>
        <w:tc>
          <w:tcPr>
            <w:tcW w:w="4536" w:type="dxa"/>
          </w:tcPr>
          <w:p w:rsidR="00EA2546" w:rsidRPr="00FE6980" w:rsidRDefault="00EA2546" w:rsidP="00A926BB">
            <w:pPr>
              <w:jc w:val="both"/>
              <w:rPr>
                <w:sz w:val="22"/>
              </w:rPr>
            </w:pPr>
            <w:r w:rsidRPr="00FE6980">
              <w:rPr>
                <w:sz w:val="22"/>
              </w:rPr>
              <w:t xml:space="preserve">Action dismissed </w:t>
            </w:r>
          </w:p>
        </w:tc>
      </w:tr>
      <w:tr w:rsidR="00EA2546" w:rsidRPr="00FE6980" w:rsidTr="00270FF2">
        <w:trPr>
          <w:cantSplit/>
        </w:trPr>
        <w:tc>
          <w:tcPr>
            <w:tcW w:w="4410" w:type="dxa"/>
            <w:gridSpan w:val="2"/>
          </w:tcPr>
          <w:p w:rsidR="00EA2546" w:rsidRPr="00FE6980" w:rsidRDefault="00EA2546" w:rsidP="00A926BB">
            <w:pPr>
              <w:jc w:val="both"/>
              <w:rPr>
                <w:sz w:val="22"/>
              </w:rPr>
            </w:pPr>
            <w:r w:rsidRPr="00FE6980">
              <w:rPr>
                <w:sz w:val="22"/>
              </w:rPr>
              <w:t>May 1, 2015</w:t>
            </w:r>
          </w:p>
          <w:p w:rsidR="00EA2546" w:rsidRPr="00FE6980" w:rsidRDefault="00EA2546" w:rsidP="00A926BB">
            <w:pPr>
              <w:jc w:val="both"/>
              <w:rPr>
                <w:sz w:val="22"/>
              </w:rPr>
            </w:pPr>
            <w:r w:rsidRPr="00FE6980">
              <w:rPr>
                <w:sz w:val="22"/>
              </w:rPr>
              <w:t>Court of Appeal for Ontario</w:t>
            </w:r>
          </w:p>
          <w:p w:rsidR="00EA2546" w:rsidRPr="00FE6980" w:rsidRDefault="00EA2546" w:rsidP="00A926BB">
            <w:pPr>
              <w:jc w:val="both"/>
              <w:rPr>
                <w:sz w:val="22"/>
              </w:rPr>
            </w:pPr>
            <w:r w:rsidRPr="00FE6980">
              <w:rPr>
                <w:sz w:val="22"/>
              </w:rPr>
              <w:t xml:space="preserve">(Doherty, </w:t>
            </w:r>
            <w:proofErr w:type="spellStart"/>
            <w:r w:rsidRPr="00FE6980">
              <w:rPr>
                <w:sz w:val="22"/>
              </w:rPr>
              <w:t>Pepall</w:t>
            </w:r>
            <w:proofErr w:type="spellEnd"/>
            <w:r w:rsidRPr="00FE6980">
              <w:rPr>
                <w:sz w:val="22"/>
              </w:rPr>
              <w:t xml:space="preserve"> and van </w:t>
            </w:r>
            <w:proofErr w:type="spellStart"/>
            <w:r w:rsidRPr="00FE6980">
              <w:rPr>
                <w:sz w:val="22"/>
              </w:rPr>
              <w:t>Rensburg</w:t>
            </w:r>
            <w:proofErr w:type="spellEnd"/>
            <w:r w:rsidRPr="00FE6980">
              <w:rPr>
                <w:sz w:val="22"/>
              </w:rPr>
              <w:t xml:space="preserve"> JJ.A.)</w:t>
            </w:r>
          </w:p>
          <w:p w:rsidR="00EA2546" w:rsidRPr="00FE6980" w:rsidRDefault="00E433FF" w:rsidP="00A926BB">
            <w:pPr>
              <w:jc w:val="both"/>
              <w:rPr>
                <w:sz w:val="22"/>
                <w:u w:val="single"/>
              </w:rPr>
            </w:pPr>
            <w:hyperlink r:id="rId41" w:history="1">
              <w:r w:rsidR="00EA2546" w:rsidRPr="00FE6980">
                <w:rPr>
                  <w:rStyle w:val="Hyperlink"/>
                  <w:sz w:val="22"/>
                </w:rPr>
                <w:t>2015 ONCA 300</w:t>
              </w:r>
            </w:hyperlink>
          </w:p>
          <w:p w:rsidR="00EA2546" w:rsidRPr="00FE6980" w:rsidRDefault="00EA2546" w:rsidP="00A926BB">
            <w:pPr>
              <w:jc w:val="both"/>
              <w:rPr>
                <w:rFonts w:cs="Times New Roman"/>
                <w:sz w:val="20"/>
                <w:szCs w:val="20"/>
              </w:rPr>
            </w:pPr>
          </w:p>
        </w:tc>
        <w:tc>
          <w:tcPr>
            <w:tcW w:w="630" w:type="dxa"/>
          </w:tcPr>
          <w:p w:rsidR="00EA2546" w:rsidRPr="00FE6980" w:rsidRDefault="00EA2546" w:rsidP="00A926BB">
            <w:pPr>
              <w:pStyle w:val="SCCShortJudgment"/>
              <w:ind w:firstLine="0"/>
              <w:rPr>
                <w:rFonts w:cs="Times New Roman"/>
                <w:szCs w:val="20"/>
              </w:rPr>
            </w:pPr>
          </w:p>
        </w:tc>
        <w:tc>
          <w:tcPr>
            <w:tcW w:w="4536" w:type="dxa"/>
          </w:tcPr>
          <w:p w:rsidR="00EA2546" w:rsidRPr="00FE6980" w:rsidRDefault="00EA2546" w:rsidP="00A926BB">
            <w:pPr>
              <w:jc w:val="both"/>
              <w:rPr>
                <w:sz w:val="22"/>
              </w:rPr>
            </w:pPr>
            <w:r w:rsidRPr="00FE6980">
              <w:rPr>
                <w:sz w:val="22"/>
              </w:rPr>
              <w:t xml:space="preserve">Appeal allowed in part, trial judgment varied </w:t>
            </w:r>
          </w:p>
          <w:p w:rsidR="00EA2546" w:rsidRPr="00FE6980" w:rsidRDefault="00EA2546" w:rsidP="00A926BB">
            <w:pPr>
              <w:jc w:val="both"/>
              <w:rPr>
                <w:rFonts w:cs="Times New Roman"/>
                <w:sz w:val="20"/>
                <w:szCs w:val="20"/>
              </w:rPr>
            </w:pPr>
          </w:p>
        </w:tc>
      </w:tr>
      <w:tr w:rsidR="00EA2546" w:rsidRPr="00FE6980" w:rsidTr="00270FF2">
        <w:trPr>
          <w:cantSplit/>
        </w:trPr>
        <w:tc>
          <w:tcPr>
            <w:tcW w:w="4410" w:type="dxa"/>
            <w:gridSpan w:val="2"/>
          </w:tcPr>
          <w:p w:rsidR="00EA2546" w:rsidRPr="00FE6980" w:rsidRDefault="00EA2546" w:rsidP="00A926BB">
            <w:pPr>
              <w:jc w:val="both"/>
              <w:rPr>
                <w:sz w:val="22"/>
              </w:rPr>
            </w:pPr>
            <w:r w:rsidRPr="00FE6980">
              <w:rPr>
                <w:sz w:val="22"/>
              </w:rPr>
              <w:t xml:space="preserve">June 18, 2015 </w:t>
            </w:r>
          </w:p>
          <w:p w:rsidR="00EA2546" w:rsidRPr="00FE6980" w:rsidRDefault="00EA2546" w:rsidP="00A926BB">
            <w:pPr>
              <w:jc w:val="both"/>
              <w:rPr>
                <w:sz w:val="22"/>
              </w:rPr>
            </w:pPr>
            <w:r w:rsidRPr="00FE6980">
              <w:rPr>
                <w:sz w:val="22"/>
              </w:rPr>
              <w:t>Court of Appeal for Ontario</w:t>
            </w:r>
          </w:p>
          <w:p w:rsidR="00EA2546" w:rsidRPr="00FE6980" w:rsidRDefault="00EA2546" w:rsidP="00A926BB">
            <w:pPr>
              <w:jc w:val="both"/>
              <w:rPr>
                <w:sz w:val="22"/>
              </w:rPr>
            </w:pPr>
            <w:r w:rsidRPr="00FE6980">
              <w:rPr>
                <w:sz w:val="22"/>
              </w:rPr>
              <w:t xml:space="preserve">(Doherty, </w:t>
            </w:r>
            <w:proofErr w:type="spellStart"/>
            <w:r w:rsidRPr="00FE6980">
              <w:rPr>
                <w:sz w:val="22"/>
              </w:rPr>
              <w:t>Pepall</w:t>
            </w:r>
            <w:proofErr w:type="spellEnd"/>
            <w:r w:rsidRPr="00FE6980">
              <w:rPr>
                <w:sz w:val="22"/>
              </w:rPr>
              <w:t xml:space="preserve"> and van </w:t>
            </w:r>
            <w:proofErr w:type="spellStart"/>
            <w:r w:rsidRPr="00FE6980">
              <w:rPr>
                <w:sz w:val="22"/>
              </w:rPr>
              <w:t>Rensburg</w:t>
            </w:r>
            <w:proofErr w:type="spellEnd"/>
            <w:r w:rsidRPr="00FE6980">
              <w:rPr>
                <w:sz w:val="22"/>
              </w:rPr>
              <w:t xml:space="preserve"> JJ.A.)</w:t>
            </w:r>
          </w:p>
          <w:p w:rsidR="00EA2546" w:rsidRPr="00FE6980" w:rsidRDefault="00EA2546" w:rsidP="00A926BB">
            <w:pPr>
              <w:jc w:val="both"/>
              <w:rPr>
                <w:sz w:val="22"/>
              </w:rPr>
            </w:pPr>
            <w:r w:rsidRPr="00FE6980">
              <w:rPr>
                <w:sz w:val="22"/>
              </w:rPr>
              <w:t xml:space="preserve">Unreported </w:t>
            </w:r>
          </w:p>
          <w:p w:rsidR="00EA2546" w:rsidRPr="00FE6980" w:rsidRDefault="00EA2546" w:rsidP="00A926BB">
            <w:pPr>
              <w:jc w:val="both"/>
              <w:rPr>
                <w:rFonts w:cs="Times New Roman"/>
                <w:sz w:val="20"/>
                <w:szCs w:val="20"/>
              </w:rPr>
            </w:pPr>
          </w:p>
        </w:tc>
        <w:tc>
          <w:tcPr>
            <w:tcW w:w="630" w:type="dxa"/>
          </w:tcPr>
          <w:p w:rsidR="00EA2546" w:rsidRPr="00FE6980" w:rsidRDefault="00EA2546" w:rsidP="00A926BB">
            <w:pPr>
              <w:pStyle w:val="SCCShortJudgment"/>
              <w:ind w:firstLine="0"/>
              <w:rPr>
                <w:rFonts w:cs="Times New Roman"/>
                <w:szCs w:val="20"/>
              </w:rPr>
            </w:pPr>
          </w:p>
        </w:tc>
        <w:tc>
          <w:tcPr>
            <w:tcW w:w="4536" w:type="dxa"/>
          </w:tcPr>
          <w:p w:rsidR="00EA2546" w:rsidRPr="00FE6980" w:rsidRDefault="00EA2546" w:rsidP="00A926BB">
            <w:pPr>
              <w:jc w:val="both"/>
              <w:rPr>
                <w:sz w:val="22"/>
              </w:rPr>
            </w:pPr>
            <w:r w:rsidRPr="00FE6980">
              <w:rPr>
                <w:sz w:val="22"/>
              </w:rPr>
              <w:t>Motion to set aside or vary endorsement dismissed</w:t>
            </w:r>
          </w:p>
        </w:tc>
      </w:tr>
      <w:tr w:rsidR="00EA2546" w:rsidRPr="00FE6980" w:rsidTr="00270FF2">
        <w:trPr>
          <w:cantSplit/>
        </w:trPr>
        <w:tc>
          <w:tcPr>
            <w:tcW w:w="4410" w:type="dxa"/>
            <w:gridSpan w:val="2"/>
          </w:tcPr>
          <w:p w:rsidR="00EA2546" w:rsidRPr="00FE6980" w:rsidRDefault="00EA2546" w:rsidP="00A926BB">
            <w:pPr>
              <w:jc w:val="both"/>
              <w:rPr>
                <w:sz w:val="22"/>
              </w:rPr>
            </w:pPr>
            <w:r w:rsidRPr="00FE6980">
              <w:rPr>
                <w:sz w:val="22"/>
              </w:rPr>
              <w:t>December 2, 2015</w:t>
            </w:r>
          </w:p>
          <w:p w:rsidR="00EA2546" w:rsidRPr="00FE6980" w:rsidRDefault="00EA2546" w:rsidP="00A926BB">
            <w:pPr>
              <w:jc w:val="both"/>
              <w:rPr>
                <w:sz w:val="22"/>
              </w:rPr>
            </w:pPr>
            <w:r w:rsidRPr="00FE6980">
              <w:rPr>
                <w:sz w:val="22"/>
              </w:rPr>
              <w:t>Court of Appeal for Ontario</w:t>
            </w:r>
          </w:p>
          <w:p w:rsidR="00EA2546" w:rsidRPr="00FE6980" w:rsidRDefault="00EA2546" w:rsidP="00A926BB">
            <w:pPr>
              <w:jc w:val="both"/>
              <w:rPr>
                <w:sz w:val="22"/>
              </w:rPr>
            </w:pPr>
            <w:r w:rsidRPr="00FE6980">
              <w:rPr>
                <w:sz w:val="22"/>
              </w:rPr>
              <w:t xml:space="preserve">(Strathy C.J.O and </w:t>
            </w:r>
            <w:proofErr w:type="spellStart"/>
            <w:r w:rsidRPr="00FE6980">
              <w:rPr>
                <w:sz w:val="22"/>
              </w:rPr>
              <w:t>LaForme</w:t>
            </w:r>
            <w:proofErr w:type="spellEnd"/>
            <w:r w:rsidRPr="00FE6980">
              <w:rPr>
                <w:sz w:val="22"/>
              </w:rPr>
              <w:t xml:space="preserve"> and </w:t>
            </w:r>
            <w:proofErr w:type="spellStart"/>
            <w:r w:rsidRPr="00FE6980">
              <w:rPr>
                <w:sz w:val="22"/>
              </w:rPr>
              <w:t>Huscroft</w:t>
            </w:r>
            <w:proofErr w:type="spellEnd"/>
            <w:r w:rsidRPr="00FE6980">
              <w:rPr>
                <w:sz w:val="22"/>
              </w:rPr>
              <w:t xml:space="preserve"> JJ.A.)</w:t>
            </w:r>
          </w:p>
          <w:p w:rsidR="00EA2546" w:rsidRPr="00FE6980" w:rsidRDefault="00E433FF" w:rsidP="00A926BB">
            <w:pPr>
              <w:jc w:val="both"/>
              <w:rPr>
                <w:sz w:val="22"/>
                <w:u w:val="single"/>
              </w:rPr>
            </w:pPr>
            <w:hyperlink r:id="rId42" w:history="1">
              <w:r w:rsidR="00EA2546" w:rsidRPr="00FE6980">
                <w:rPr>
                  <w:rStyle w:val="Hyperlink"/>
                  <w:sz w:val="22"/>
                </w:rPr>
                <w:t>2015 ONCA 838</w:t>
              </w:r>
            </w:hyperlink>
          </w:p>
          <w:p w:rsidR="00EA2546" w:rsidRPr="00FE6980" w:rsidRDefault="00EA2546" w:rsidP="00A926BB">
            <w:pPr>
              <w:jc w:val="both"/>
              <w:rPr>
                <w:rFonts w:cs="Times New Roman"/>
                <w:sz w:val="20"/>
                <w:szCs w:val="20"/>
              </w:rPr>
            </w:pPr>
          </w:p>
        </w:tc>
        <w:tc>
          <w:tcPr>
            <w:tcW w:w="630" w:type="dxa"/>
          </w:tcPr>
          <w:p w:rsidR="00EA2546" w:rsidRPr="00FE6980" w:rsidRDefault="00EA2546" w:rsidP="00A926BB">
            <w:pPr>
              <w:jc w:val="both"/>
              <w:rPr>
                <w:rFonts w:cs="Times New Roman"/>
                <w:sz w:val="20"/>
                <w:szCs w:val="20"/>
              </w:rPr>
            </w:pPr>
          </w:p>
        </w:tc>
        <w:tc>
          <w:tcPr>
            <w:tcW w:w="4536" w:type="dxa"/>
          </w:tcPr>
          <w:p w:rsidR="00EA2546" w:rsidRPr="00FE6980" w:rsidRDefault="00EA2546" w:rsidP="00A926BB">
            <w:pPr>
              <w:jc w:val="both"/>
              <w:rPr>
                <w:sz w:val="22"/>
              </w:rPr>
            </w:pPr>
            <w:r w:rsidRPr="00FE6980">
              <w:rPr>
                <w:sz w:val="22"/>
              </w:rPr>
              <w:t xml:space="preserve">Motion to set aside or vary endorsement dismissed </w:t>
            </w:r>
          </w:p>
          <w:p w:rsidR="00EA2546" w:rsidRPr="00FE6980" w:rsidRDefault="00EA2546" w:rsidP="00A926BB">
            <w:pPr>
              <w:jc w:val="both"/>
              <w:rPr>
                <w:rFonts w:cs="Times New Roman"/>
                <w:sz w:val="20"/>
                <w:szCs w:val="20"/>
              </w:rPr>
            </w:pPr>
          </w:p>
        </w:tc>
      </w:tr>
      <w:tr w:rsidR="00EA2546" w:rsidRPr="00FE6980" w:rsidTr="00270FF2">
        <w:trPr>
          <w:cantSplit/>
        </w:trPr>
        <w:tc>
          <w:tcPr>
            <w:tcW w:w="4410" w:type="dxa"/>
            <w:gridSpan w:val="2"/>
          </w:tcPr>
          <w:p w:rsidR="00EA2546" w:rsidRPr="00FE6980" w:rsidRDefault="00EA2546" w:rsidP="00A926BB">
            <w:pPr>
              <w:jc w:val="both"/>
              <w:rPr>
                <w:sz w:val="22"/>
              </w:rPr>
            </w:pPr>
            <w:r w:rsidRPr="00FE6980">
              <w:rPr>
                <w:sz w:val="22"/>
              </w:rPr>
              <w:t>January 28, 2016</w:t>
            </w:r>
          </w:p>
          <w:p w:rsidR="00EA2546" w:rsidRPr="00FE6980" w:rsidRDefault="00EA2546" w:rsidP="00A926BB">
            <w:pPr>
              <w:jc w:val="both"/>
              <w:rPr>
                <w:sz w:val="22"/>
              </w:rPr>
            </w:pPr>
            <w:r w:rsidRPr="00FE6980">
              <w:rPr>
                <w:sz w:val="22"/>
              </w:rPr>
              <w:t>Court of Appeal for Ontario</w:t>
            </w:r>
          </w:p>
          <w:p w:rsidR="00EA2546" w:rsidRPr="00FE6980" w:rsidRDefault="00EA2546" w:rsidP="00A926BB">
            <w:pPr>
              <w:jc w:val="both"/>
              <w:rPr>
                <w:sz w:val="22"/>
              </w:rPr>
            </w:pPr>
            <w:r w:rsidRPr="00FE6980">
              <w:rPr>
                <w:sz w:val="22"/>
              </w:rPr>
              <w:t xml:space="preserve">(Strathy C.J.O and </w:t>
            </w:r>
            <w:proofErr w:type="spellStart"/>
            <w:r w:rsidRPr="00FE6980">
              <w:rPr>
                <w:sz w:val="22"/>
              </w:rPr>
              <w:t>LaForme</w:t>
            </w:r>
            <w:proofErr w:type="spellEnd"/>
            <w:r w:rsidRPr="00FE6980">
              <w:rPr>
                <w:sz w:val="22"/>
              </w:rPr>
              <w:t xml:space="preserve"> and </w:t>
            </w:r>
            <w:proofErr w:type="spellStart"/>
            <w:r w:rsidRPr="00FE6980">
              <w:rPr>
                <w:sz w:val="22"/>
              </w:rPr>
              <w:t>Huscroft</w:t>
            </w:r>
            <w:proofErr w:type="spellEnd"/>
            <w:r w:rsidRPr="00FE6980">
              <w:rPr>
                <w:sz w:val="22"/>
              </w:rPr>
              <w:t xml:space="preserve"> JJ.A.)</w:t>
            </w:r>
          </w:p>
          <w:p w:rsidR="00EA2546" w:rsidRPr="00FE6980" w:rsidRDefault="00EA2546" w:rsidP="00A926BB">
            <w:pPr>
              <w:jc w:val="both"/>
              <w:rPr>
                <w:sz w:val="22"/>
              </w:rPr>
            </w:pPr>
            <w:r w:rsidRPr="00FE6980">
              <w:rPr>
                <w:sz w:val="22"/>
              </w:rPr>
              <w:t xml:space="preserve">Unreported </w:t>
            </w:r>
          </w:p>
          <w:p w:rsidR="00EA2546" w:rsidRPr="00FE6980" w:rsidRDefault="00EA2546" w:rsidP="00A926BB">
            <w:pPr>
              <w:jc w:val="both"/>
              <w:rPr>
                <w:sz w:val="22"/>
              </w:rPr>
            </w:pPr>
          </w:p>
        </w:tc>
        <w:tc>
          <w:tcPr>
            <w:tcW w:w="630" w:type="dxa"/>
          </w:tcPr>
          <w:p w:rsidR="00EA2546" w:rsidRPr="00FE6980" w:rsidRDefault="00EA2546" w:rsidP="00A926BB">
            <w:pPr>
              <w:jc w:val="both"/>
              <w:rPr>
                <w:rFonts w:cs="Times New Roman"/>
                <w:sz w:val="20"/>
                <w:szCs w:val="20"/>
              </w:rPr>
            </w:pPr>
          </w:p>
        </w:tc>
        <w:tc>
          <w:tcPr>
            <w:tcW w:w="4536" w:type="dxa"/>
          </w:tcPr>
          <w:p w:rsidR="00EA2546" w:rsidRPr="00FE6980" w:rsidRDefault="00EA2546" w:rsidP="00A926BB">
            <w:pPr>
              <w:jc w:val="both"/>
              <w:rPr>
                <w:sz w:val="22"/>
              </w:rPr>
            </w:pPr>
            <w:r w:rsidRPr="00FE6980">
              <w:rPr>
                <w:sz w:val="22"/>
              </w:rPr>
              <w:t xml:space="preserve">Motion to set aside or vary endorsement dismissed </w:t>
            </w:r>
          </w:p>
          <w:p w:rsidR="00EA2546" w:rsidRPr="00FE6980" w:rsidRDefault="00EA2546" w:rsidP="00A926BB">
            <w:pPr>
              <w:jc w:val="both"/>
              <w:rPr>
                <w:rFonts w:cs="Times New Roman"/>
                <w:sz w:val="20"/>
                <w:szCs w:val="20"/>
              </w:rPr>
            </w:pPr>
          </w:p>
        </w:tc>
      </w:tr>
      <w:tr w:rsidR="00EA2546" w:rsidRPr="00FE6980" w:rsidTr="00270FF2">
        <w:trPr>
          <w:cantSplit/>
        </w:trPr>
        <w:tc>
          <w:tcPr>
            <w:tcW w:w="4410" w:type="dxa"/>
            <w:gridSpan w:val="2"/>
          </w:tcPr>
          <w:p w:rsidR="00EA2546" w:rsidRPr="00FE6980" w:rsidRDefault="00EA2546" w:rsidP="00A926BB">
            <w:pPr>
              <w:jc w:val="both"/>
              <w:rPr>
                <w:sz w:val="22"/>
              </w:rPr>
            </w:pPr>
            <w:r w:rsidRPr="00FE6980">
              <w:rPr>
                <w:sz w:val="22"/>
              </w:rPr>
              <w:t>April 7, 2016</w:t>
            </w:r>
          </w:p>
          <w:p w:rsidR="00EA2546" w:rsidRPr="00FE6980" w:rsidRDefault="00EA2546" w:rsidP="00A926BB">
            <w:pPr>
              <w:jc w:val="both"/>
              <w:rPr>
                <w:sz w:val="22"/>
              </w:rPr>
            </w:pPr>
            <w:r w:rsidRPr="00FE6980">
              <w:rPr>
                <w:sz w:val="22"/>
              </w:rPr>
              <w:t>Supreme Court of Canada</w:t>
            </w:r>
          </w:p>
        </w:tc>
        <w:tc>
          <w:tcPr>
            <w:tcW w:w="630" w:type="dxa"/>
          </w:tcPr>
          <w:p w:rsidR="00EA2546" w:rsidRPr="00FE6980" w:rsidRDefault="00EA2546" w:rsidP="00A926BB">
            <w:pPr>
              <w:jc w:val="both"/>
              <w:rPr>
                <w:rFonts w:cs="Times New Roman"/>
                <w:sz w:val="20"/>
                <w:szCs w:val="20"/>
              </w:rPr>
            </w:pPr>
          </w:p>
        </w:tc>
        <w:tc>
          <w:tcPr>
            <w:tcW w:w="4536" w:type="dxa"/>
          </w:tcPr>
          <w:p w:rsidR="00EA2546" w:rsidRPr="00FE6980" w:rsidRDefault="00EA2546" w:rsidP="00A926BB">
            <w:pPr>
              <w:jc w:val="both"/>
              <w:rPr>
                <w:sz w:val="22"/>
              </w:rPr>
            </w:pPr>
            <w:r w:rsidRPr="00FE6980">
              <w:rPr>
                <w:sz w:val="22"/>
              </w:rPr>
              <w:t>Motion to extend time to serve and file application for leave to appeal, motion for stay of execution and application for leave to appeal filed</w:t>
            </w:r>
          </w:p>
        </w:tc>
      </w:tr>
      <w:tr w:rsidR="00EA2546" w:rsidRPr="00FE6980" w:rsidTr="00270FF2">
        <w:trPr>
          <w:cantSplit/>
        </w:trPr>
        <w:tc>
          <w:tcPr>
            <w:tcW w:w="9576" w:type="dxa"/>
            <w:gridSpan w:val="4"/>
          </w:tcPr>
          <w:p w:rsidR="00EA2546" w:rsidRPr="00FE6980" w:rsidRDefault="00E433FF" w:rsidP="00A926BB">
            <w:pPr>
              <w:pStyle w:val="SCCShortJudgment"/>
              <w:ind w:firstLine="0"/>
              <w:rPr>
                <w:rFonts w:cs="Times New Roman"/>
                <w:szCs w:val="20"/>
                <w:lang w:val="fr-CA"/>
              </w:rPr>
            </w:pPr>
            <w:r>
              <w:rPr>
                <w:rFonts w:cs="Times New Roman"/>
                <w:szCs w:val="20"/>
                <w:lang w:val="fr-CA"/>
              </w:rPr>
              <w:pict>
                <v:rect id="_x0000_i1055" style="width:2in;height:1pt" o:hrpct="0" o:hralign="center" o:hrstd="t" o:hrnoshade="t" o:hr="t" fillcolor="black [3213]" stroked="f"/>
              </w:pict>
            </w:r>
          </w:p>
          <w:p w:rsidR="00EA2546" w:rsidRPr="00FE6980" w:rsidRDefault="00EA2546" w:rsidP="00A926BB">
            <w:pPr>
              <w:pStyle w:val="SCCShortJudgment"/>
              <w:ind w:firstLine="0"/>
              <w:rPr>
                <w:rFonts w:cs="Times New Roman"/>
                <w:szCs w:val="20"/>
                <w:lang w:val="fr-CA"/>
              </w:rPr>
            </w:pPr>
          </w:p>
        </w:tc>
      </w:tr>
      <w:tr w:rsidR="00EA2546" w:rsidRPr="00FE6980" w:rsidTr="00270FF2">
        <w:trPr>
          <w:cantSplit/>
        </w:trPr>
        <w:tc>
          <w:tcPr>
            <w:tcW w:w="9576" w:type="dxa"/>
            <w:gridSpan w:val="4"/>
          </w:tcPr>
          <w:p w:rsidR="00EA2546" w:rsidRPr="00FE6980" w:rsidRDefault="00EA2546" w:rsidP="00A926BB">
            <w:pPr>
              <w:pStyle w:val="SCCShortJudgment"/>
              <w:ind w:firstLine="0"/>
              <w:rPr>
                <w:rFonts w:cs="Times New Roman"/>
                <w:szCs w:val="20"/>
                <w:u w:val="single"/>
                <w:lang w:val="fr-CA"/>
              </w:rPr>
            </w:pPr>
            <w:r w:rsidRPr="00FE6980">
              <w:rPr>
                <w:rFonts w:cs="Times New Roman"/>
                <w:szCs w:val="20"/>
                <w:u w:val="single"/>
                <w:lang w:val="fr-CA"/>
              </w:rPr>
              <w:t>RÉSUMÉ DE L’AFFAIRE </w:t>
            </w:r>
          </w:p>
          <w:p w:rsidR="00EA2546" w:rsidRPr="00FE6980" w:rsidRDefault="00EA2546" w:rsidP="00A926BB">
            <w:pPr>
              <w:pStyle w:val="SCCShortJudgment"/>
              <w:ind w:firstLine="0"/>
              <w:rPr>
                <w:rFonts w:cs="Times New Roman"/>
                <w:szCs w:val="20"/>
                <w:lang w:val="fr-CA"/>
              </w:rPr>
            </w:pPr>
          </w:p>
        </w:tc>
      </w:tr>
      <w:tr w:rsidR="00EA2546" w:rsidRPr="00E433FF" w:rsidTr="009C0895">
        <w:tc>
          <w:tcPr>
            <w:tcW w:w="9576" w:type="dxa"/>
            <w:gridSpan w:val="4"/>
          </w:tcPr>
          <w:p w:rsidR="00EA2546" w:rsidRPr="00FE6980" w:rsidRDefault="00EA2546" w:rsidP="00A926BB">
            <w:pPr>
              <w:jc w:val="both"/>
              <w:rPr>
                <w:sz w:val="20"/>
                <w:szCs w:val="20"/>
                <w:lang w:val="fr-CA"/>
              </w:rPr>
            </w:pPr>
            <w:r w:rsidRPr="00FE6980">
              <w:rPr>
                <w:sz w:val="20"/>
                <w:szCs w:val="20"/>
                <w:lang w:val="fr-CA"/>
              </w:rPr>
              <w:t xml:space="preserve">Droit de l’emploi – Congédiement injustifié – Procédure civile – Appels – Le demandeur a été congédié pour un motif valable – Dans l’ensemble, le demandeur a été débouté dans son action contre l’employeur et en appel – Les motions en annulation ou en modification de l’arrêt de la Cour d’appel ont été rejetées – Lorsqu’on demande à la Cour d’appel de réexaminer et de modifier sa propre décision, cette dernière </w:t>
            </w:r>
            <w:proofErr w:type="spellStart"/>
            <w:r w:rsidRPr="00FE6980">
              <w:rPr>
                <w:sz w:val="20"/>
                <w:szCs w:val="20"/>
                <w:lang w:val="fr-CA"/>
              </w:rPr>
              <w:t>doit-elle</w:t>
            </w:r>
            <w:proofErr w:type="spellEnd"/>
            <w:r w:rsidRPr="00FE6980">
              <w:rPr>
                <w:sz w:val="20"/>
                <w:szCs w:val="20"/>
                <w:lang w:val="fr-CA"/>
              </w:rPr>
              <w:t xml:space="preserve"> prendre en considération le fait que la partie qui fait la demande n’était pas représentée par un avocat et qu’elle a depuis lors obtenu l’aide d’un avocat pour clarifier son argument juridique, si bien que la cour est en mesure de constater qu’elle avait mal compris ou négligé de prendre en considération des aspects essentiels de l’argument de la partie qui auraient vraisemblablement donné lieu à un résultat différent</w:t>
            </w:r>
            <w:r w:rsidRPr="00FE6980">
              <w:rPr>
                <w:rFonts w:ascii="Times-Roman" w:hAnsi="Times-Roman" w:cs="Times-Roman"/>
                <w:sz w:val="20"/>
                <w:szCs w:val="20"/>
                <w:lang w:val="fr-CA"/>
              </w:rPr>
              <w:t>?</w:t>
            </w:r>
          </w:p>
          <w:p w:rsidR="00EA2546" w:rsidRPr="00FE6980" w:rsidRDefault="00EA2546" w:rsidP="00A926BB">
            <w:pPr>
              <w:pStyle w:val="SCCShortJudgment"/>
              <w:ind w:firstLine="0"/>
              <w:rPr>
                <w:rFonts w:cs="Times New Roman"/>
                <w:szCs w:val="20"/>
                <w:lang w:val="fr-CA"/>
              </w:rPr>
            </w:pPr>
          </w:p>
        </w:tc>
      </w:tr>
      <w:tr w:rsidR="00EA2546" w:rsidRPr="00E433FF" w:rsidTr="009C0895">
        <w:tc>
          <w:tcPr>
            <w:tcW w:w="9576" w:type="dxa"/>
            <w:gridSpan w:val="4"/>
          </w:tcPr>
          <w:p w:rsidR="00EA2546" w:rsidRPr="00FE6980" w:rsidRDefault="00EA2546" w:rsidP="00A926BB">
            <w:pPr>
              <w:jc w:val="both"/>
              <w:rPr>
                <w:sz w:val="20"/>
                <w:szCs w:val="20"/>
                <w:lang w:val="fr-CA"/>
              </w:rPr>
            </w:pPr>
            <w:r w:rsidRPr="00FE6980">
              <w:rPr>
                <w:sz w:val="20"/>
                <w:szCs w:val="20"/>
                <w:lang w:val="fr-CA"/>
              </w:rPr>
              <w:t>Mann Group (l’« employeur ») a embauché M. Hoang comme directeur financier en vertu d’un contrat d’emploi à durée déterminée. Selon M. Hoang, pendant son emploi, il aurait obtenu une meilleure offre ailleurs et il aurait donc tenté de renégocier son contrat d’emploi. Selon l’employeur, l’entreprise aurait accepté de renégocier les conditions d’emploi, en dépit des difficultés continues touchant le rendement professionnel, l’insubordination, le professionnalisme et la civilité de M. Hoang, puisqu’elle était en cours de négociation sur un nouveau projet. Par conséquent, une lettre d’emploi modifiée a été établie; toutefois, au procès, les parties ne s’entendaient pas sur question de savoir si un nouveau contrat d’emploi avait pris naissance à l’époque. Peu temps après, M. Hoang a été congédié pour un motif valable. Monsieur Hoang a intenté une action en dommages-intérêts contre l’employeur pour congédiement injustifié, violation de contrat, commissions de vente impayées et dommages-intérêts punitifs et majorés.</w:t>
            </w:r>
          </w:p>
          <w:p w:rsidR="00EA2546" w:rsidRPr="00FE6980" w:rsidRDefault="00EA2546" w:rsidP="00A926BB">
            <w:pPr>
              <w:jc w:val="both"/>
              <w:rPr>
                <w:rFonts w:cs="Times New Roman"/>
                <w:sz w:val="20"/>
                <w:szCs w:val="20"/>
                <w:lang w:val="fr-CA"/>
              </w:rPr>
            </w:pPr>
          </w:p>
        </w:tc>
      </w:tr>
      <w:tr w:rsidR="00EA2546" w:rsidRPr="00FE6980" w:rsidTr="00270FF2">
        <w:trPr>
          <w:cantSplit/>
        </w:trPr>
        <w:tc>
          <w:tcPr>
            <w:tcW w:w="4410" w:type="dxa"/>
            <w:gridSpan w:val="2"/>
          </w:tcPr>
          <w:p w:rsidR="00EA2546" w:rsidRPr="00FE6980" w:rsidRDefault="00EA2546" w:rsidP="00A926BB">
            <w:pPr>
              <w:jc w:val="both"/>
              <w:rPr>
                <w:sz w:val="22"/>
                <w:lang w:val="fr-CA"/>
              </w:rPr>
            </w:pPr>
            <w:r w:rsidRPr="00FE6980">
              <w:rPr>
                <w:sz w:val="22"/>
                <w:lang w:val="fr-CA"/>
              </w:rPr>
              <w:t>22 août 2014</w:t>
            </w:r>
          </w:p>
          <w:p w:rsidR="00EA2546" w:rsidRPr="00FE6980" w:rsidRDefault="00EA2546" w:rsidP="00A926BB">
            <w:pPr>
              <w:jc w:val="both"/>
              <w:rPr>
                <w:sz w:val="22"/>
                <w:lang w:val="fr-CA"/>
              </w:rPr>
            </w:pPr>
            <w:r w:rsidRPr="00FE6980">
              <w:rPr>
                <w:sz w:val="22"/>
                <w:lang w:val="fr-CA"/>
              </w:rPr>
              <w:t xml:space="preserve">Cour supérieure de justice de l’Ontario </w:t>
            </w:r>
          </w:p>
          <w:p w:rsidR="00EA2546" w:rsidRPr="00FE6980" w:rsidRDefault="00EA2546" w:rsidP="00A926BB">
            <w:pPr>
              <w:jc w:val="both"/>
              <w:rPr>
                <w:sz w:val="22"/>
                <w:lang w:val="fr-CA"/>
              </w:rPr>
            </w:pPr>
            <w:r w:rsidRPr="00FE6980">
              <w:rPr>
                <w:sz w:val="22"/>
                <w:lang w:val="fr-CA"/>
              </w:rPr>
              <w:t>Juge Brown</w:t>
            </w:r>
          </w:p>
          <w:p w:rsidR="00EA2546" w:rsidRPr="00FE6980" w:rsidRDefault="00E433FF" w:rsidP="00A926BB">
            <w:pPr>
              <w:jc w:val="both"/>
              <w:rPr>
                <w:sz w:val="22"/>
                <w:u w:val="single"/>
                <w:lang w:val="fr-CA"/>
              </w:rPr>
            </w:pPr>
            <w:hyperlink r:id="rId43" w:history="1">
              <w:r w:rsidR="00EA2546" w:rsidRPr="00FE6980">
                <w:rPr>
                  <w:rStyle w:val="Hyperlink"/>
                  <w:sz w:val="22"/>
                  <w:lang w:val="fr-CA"/>
                </w:rPr>
                <w:t>2014 ONSC 3762</w:t>
              </w:r>
            </w:hyperlink>
          </w:p>
          <w:p w:rsidR="00EA2546" w:rsidRPr="00FE6980" w:rsidRDefault="00EA2546" w:rsidP="00A926BB">
            <w:pPr>
              <w:pStyle w:val="SCCShortJudgment"/>
              <w:ind w:firstLine="0"/>
              <w:rPr>
                <w:rFonts w:cs="Times New Roman"/>
                <w:szCs w:val="20"/>
                <w:lang w:val="fr-CA"/>
              </w:rPr>
            </w:pPr>
          </w:p>
        </w:tc>
        <w:tc>
          <w:tcPr>
            <w:tcW w:w="630" w:type="dxa"/>
          </w:tcPr>
          <w:p w:rsidR="00EA2546" w:rsidRPr="00FE6980" w:rsidRDefault="00EA2546" w:rsidP="00A926BB">
            <w:pPr>
              <w:pStyle w:val="SCCShortJudgment"/>
              <w:ind w:firstLine="0"/>
              <w:rPr>
                <w:rFonts w:cs="Times New Roman"/>
                <w:szCs w:val="20"/>
                <w:lang w:val="fr-CA"/>
              </w:rPr>
            </w:pPr>
          </w:p>
        </w:tc>
        <w:tc>
          <w:tcPr>
            <w:tcW w:w="4536" w:type="dxa"/>
          </w:tcPr>
          <w:p w:rsidR="00EA2546" w:rsidRPr="00FE6980" w:rsidRDefault="00EA2546" w:rsidP="00A926BB">
            <w:pPr>
              <w:pStyle w:val="SCCShortJudgment"/>
              <w:ind w:firstLine="0"/>
              <w:rPr>
                <w:rFonts w:cs="Times New Roman"/>
                <w:szCs w:val="20"/>
                <w:lang w:val="fr-CA"/>
              </w:rPr>
            </w:pPr>
            <w:r w:rsidRPr="00FE6980">
              <w:rPr>
                <w:sz w:val="22"/>
                <w:lang w:val="fr-CA"/>
              </w:rPr>
              <w:t>Rejet de l’action</w:t>
            </w:r>
          </w:p>
        </w:tc>
      </w:tr>
      <w:tr w:rsidR="00EA2546" w:rsidRPr="00E433FF" w:rsidTr="00270FF2">
        <w:trPr>
          <w:cantSplit/>
        </w:trPr>
        <w:tc>
          <w:tcPr>
            <w:tcW w:w="4410" w:type="dxa"/>
            <w:gridSpan w:val="2"/>
          </w:tcPr>
          <w:p w:rsidR="00EA2546" w:rsidRPr="00FE6980" w:rsidRDefault="00EA2546" w:rsidP="00A926BB">
            <w:pPr>
              <w:jc w:val="both"/>
              <w:rPr>
                <w:sz w:val="22"/>
                <w:lang w:val="fr-CA"/>
              </w:rPr>
            </w:pPr>
            <w:r w:rsidRPr="00FE6980">
              <w:rPr>
                <w:sz w:val="22"/>
                <w:lang w:val="fr-CA"/>
              </w:rPr>
              <w:t>1</w:t>
            </w:r>
            <w:r w:rsidRPr="00FE6980">
              <w:rPr>
                <w:sz w:val="22"/>
                <w:vertAlign w:val="superscript"/>
                <w:lang w:val="fr-CA"/>
              </w:rPr>
              <w:t>er</w:t>
            </w:r>
            <w:r w:rsidRPr="00FE6980">
              <w:rPr>
                <w:sz w:val="22"/>
                <w:lang w:val="fr-CA"/>
              </w:rPr>
              <w:t xml:space="preserve"> mai 2015</w:t>
            </w:r>
          </w:p>
          <w:p w:rsidR="00EA2546" w:rsidRPr="00FE6980" w:rsidRDefault="00EA2546" w:rsidP="00A926BB">
            <w:pPr>
              <w:jc w:val="both"/>
              <w:rPr>
                <w:sz w:val="22"/>
                <w:lang w:val="fr-CA"/>
              </w:rPr>
            </w:pPr>
            <w:r w:rsidRPr="00FE6980">
              <w:rPr>
                <w:sz w:val="22"/>
                <w:lang w:val="fr-CA"/>
              </w:rPr>
              <w:t xml:space="preserve">Cour d’appel de l’Ontario </w:t>
            </w:r>
          </w:p>
          <w:p w:rsidR="00EA2546" w:rsidRPr="00FE6980" w:rsidRDefault="00EA2546" w:rsidP="00A926BB">
            <w:pPr>
              <w:jc w:val="both"/>
              <w:rPr>
                <w:sz w:val="22"/>
                <w:lang w:val="fr-CA"/>
              </w:rPr>
            </w:pPr>
            <w:r w:rsidRPr="00FE6980">
              <w:rPr>
                <w:sz w:val="22"/>
                <w:lang w:val="fr-CA"/>
              </w:rPr>
              <w:t xml:space="preserve">(Juges Doherty, </w:t>
            </w:r>
            <w:proofErr w:type="spellStart"/>
            <w:r w:rsidRPr="00FE6980">
              <w:rPr>
                <w:sz w:val="22"/>
                <w:lang w:val="fr-CA"/>
              </w:rPr>
              <w:t>Pepall</w:t>
            </w:r>
            <w:proofErr w:type="spellEnd"/>
            <w:r w:rsidRPr="00FE6980">
              <w:rPr>
                <w:sz w:val="22"/>
                <w:lang w:val="fr-CA"/>
              </w:rPr>
              <w:t xml:space="preserve"> et van </w:t>
            </w:r>
            <w:proofErr w:type="spellStart"/>
            <w:r w:rsidRPr="00FE6980">
              <w:rPr>
                <w:sz w:val="22"/>
                <w:lang w:val="fr-CA"/>
              </w:rPr>
              <w:t>Rensburg</w:t>
            </w:r>
            <w:proofErr w:type="spellEnd"/>
            <w:r w:rsidRPr="00FE6980">
              <w:rPr>
                <w:sz w:val="22"/>
                <w:lang w:val="fr-CA"/>
              </w:rPr>
              <w:t>)</w:t>
            </w:r>
          </w:p>
          <w:p w:rsidR="00EA2546" w:rsidRPr="00FE6980" w:rsidRDefault="00E433FF" w:rsidP="00A926BB">
            <w:pPr>
              <w:jc w:val="both"/>
              <w:rPr>
                <w:sz w:val="22"/>
                <w:u w:val="single"/>
                <w:lang w:val="fr-CA"/>
              </w:rPr>
            </w:pPr>
            <w:hyperlink r:id="rId44" w:history="1">
              <w:r w:rsidR="00EA2546" w:rsidRPr="00FE6980">
                <w:rPr>
                  <w:rStyle w:val="Hyperlink"/>
                  <w:sz w:val="22"/>
                  <w:lang w:val="fr-CA"/>
                </w:rPr>
                <w:t>2015 ONCA 300</w:t>
              </w:r>
            </w:hyperlink>
          </w:p>
          <w:p w:rsidR="00EA2546" w:rsidRPr="00FE6980" w:rsidRDefault="00EA2546" w:rsidP="00A926BB">
            <w:pPr>
              <w:pStyle w:val="SCCShortJudgment"/>
              <w:ind w:firstLine="0"/>
              <w:rPr>
                <w:rFonts w:cs="Times New Roman"/>
                <w:szCs w:val="20"/>
                <w:lang w:val="fr-CA"/>
              </w:rPr>
            </w:pPr>
          </w:p>
        </w:tc>
        <w:tc>
          <w:tcPr>
            <w:tcW w:w="630" w:type="dxa"/>
          </w:tcPr>
          <w:p w:rsidR="00EA2546" w:rsidRPr="00FE6980" w:rsidRDefault="00EA2546" w:rsidP="00A926BB">
            <w:pPr>
              <w:pStyle w:val="SCCShortJudgment"/>
              <w:ind w:firstLine="0"/>
              <w:rPr>
                <w:rFonts w:cs="Times New Roman"/>
                <w:szCs w:val="20"/>
                <w:lang w:val="fr-CA"/>
              </w:rPr>
            </w:pPr>
          </w:p>
        </w:tc>
        <w:tc>
          <w:tcPr>
            <w:tcW w:w="4536" w:type="dxa"/>
          </w:tcPr>
          <w:p w:rsidR="00EA2546" w:rsidRPr="00FE6980" w:rsidRDefault="00EA2546" w:rsidP="00A926BB">
            <w:pPr>
              <w:pStyle w:val="SCCShortJudgment"/>
              <w:ind w:firstLine="0"/>
              <w:rPr>
                <w:rFonts w:cs="Times New Roman"/>
                <w:szCs w:val="20"/>
                <w:lang w:val="fr-CA"/>
              </w:rPr>
            </w:pPr>
            <w:r w:rsidRPr="00FE6980">
              <w:rPr>
                <w:sz w:val="22"/>
                <w:lang w:val="fr-CA"/>
              </w:rPr>
              <w:t>Arrêt accueillant l’appel en partie et modifiant le jugement de première instance</w:t>
            </w:r>
          </w:p>
        </w:tc>
      </w:tr>
      <w:tr w:rsidR="00EA2546" w:rsidRPr="00E433FF" w:rsidTr="00270FF2">
        <w:trPr>
          <w:cantSplit/>
        </w:trPr>
        <w:tc>
          <w:tcPr>
            <w:tcW w:w="4410" w:type="dxa"/>
            <w:gridSpan w:val="2"/>
          </w:tcPr>
          <w:p w:rsidR="00EA2546" w:rsidRPr="00FE6980" w:rsidRDefault="00EA2546" w:rsidP="00A926BB">
            <w:pPr>
              <w:jc w:val="both"/>
              <w:rPr>
                <w:sz w:val="22"/>
                <w:lang w:val="fr-CA"/>
              </w:rPr>
            </w:pPr>
            <w:r w:rsidRPr="00FE6980">
              <w:rPr>
                <w:sz w:val="22"/>
                <w:lang w:val="fr-CA"/>
              </w:rPr>
              <w:t xml:space="preserve">18 juin 2015 </w:t>
            </w:r>
          </w:p>
          <w:p w:rsidR="00EA2546" w:rsidRPr="00FE6980" w:rsidRDefault="00EA2546" w:rsidP="00A926BB">
            <w:pPr>
              <w:jc w:val="both"/>
              <w:rPr>
                <w:sz w:val="22"/>
                <w:lang w:val="fr-CA"/>
              </w:rPr>
            </w:pPr>
            <w:r w:rsidRPr="00FE6980">
              <w:rPr>
                <w:sz w:val="22"/>
                <w:lang w:val="fr-CA"/>
              </w:rPr>
              <w:t xml:space="preserve">Cour d’appel de l’Ontario </w:t>
            </w:r>
          </w:p>
          <w:p w:rsidR="00EA2546" w:rsidRPr="00FE6980" w:rsidRDefault="00EA2546" w:rsidP="00A926BB">
            <w:pPr>
              <w:jc w:val="both"/>
              <w:rPr>
                <w:sz w:val="22"/>
                <w:lang w:val="fr-CA"/>
              </w:rPr>
            </w:pPr>
            <w:r w:rsidRPr="00FE6980">
              <w:rPr>
                <w:sz w:val="22"/>
                <w:lang w:val="fr-CA"/>
              </w:rPr>
              <w:t xml:space="preserve">(Juges Doherty, </w:t>
            </w:r>
            <w:proofErr w:type="spellStart"/>
            <w:r w:rsidRPr="00FE6980">
              <w:rPr>
                <w:sz w:val="22"/>
                <w:lang w:val="fr-CA"/>
              </w:rPr>
              <w:t>Pepall</w:t>
            </w:r>
            <w:proofErr w:type="spellEnd"/>
            <w:r w:rsidRPr="00FE6980">
              <w:rPr>
                <w:sz w:val="22"/>
                <w:lang w:val="fr-CA"/>
              </w:rPr>
              <w:t xml:space="preserve"> et van </w:t>
            </w:r>
            <w:proofErr w:type="spellStart"/>
            <w:r w:rsidRPr="00FE6980">
              <w:rPr>
                <w:sz w:val="22"/>
                <w:lang w:val="fr-CA"/>
              </w:rPr>
              <w:t>Rensburg</w:t>
            </w:r>
            <w:proofErr w:type="spellEnd"/>
            <w:r w:rsidRPr="00FE6980">
              <w:rPr>
                <w:sz w:val="22"/>
                <w:lang w:val="fr-CA"/>
              </w:rPr>
              <w:t>)</w:t>
            </w:r>
          </w:p>
          <w:p w:rsidR="00EA2546" w:rsidRPr="00FE6980" w:rsidRDefault="00EA2546" w:rsidP="00A926BB">
            <w:pPr>
              <w:jc w:val="both"/>
              <w:rPr>
                <w:sz w:val="22"/>
                <w:lang w:val="fr-CA"/>
              </w:rPr>
            </w:pPr>
            <w:r w:rsidRPr="00FE6980">
              <w:rPr>
                <w:sz w:val="22"/>
                <w:lang w:val="fr-CA"/>
              </w:rPr>
              <w:t>Non publié</w:t>
            </w:r>
          </w:p>
          <w:p w:rsidR="00EA2546" w:rsidRPr="00FE6980" w:rsidRDefault="00EA2546" w:rsidP="00A926BB">
            <w:pPr>
              <w:pStyle w:val="SCCShortJudgment"/>
              <w:ind w:firstLine="0"/>
              <w:rPr>
                <w:rFonts w:cs="Times New Roman"/>
                <w:szCs w:val="20"/>
                <w:lang w:val="fr-CA"/>
              </w:rPr>
            </w:pPr>
          </w:p>
        </w:tc>
        <w:tc>
          <w:tcPr>
            <w:tcW w:w="630" w:type="dxa"/>
          </w:tcPr>
          <w:p w:rsidR="00EA2546" w:rsidRPr="00FE6980" w:rsidRDefault="00EA2546" w:rsidP="00A926BB">
            <w:pPr>
              <w:pStyle w:val="SCCShortJudgment"/>
              <w:ind w:firstLine="0"/>
              <w:rPr>
                <w:rFonts w:cs="Times New Roman"/>
                <w:szCs w:val="20"/>
                <w:lang w:val="fr-CA"/>
              </w:rPr>
            </w:pPr>
          </w:p>
        </w:tc>
        <w:tc>
          <w:tcPr>
            <w:tcW w:w="4536" w:type="dxa"/>
          </w:tcPr>
          <w:p w:rsidR="00EA2546" w:rsidRPr="00FE6980" w:rsidRDefault="00EA2546" w:rsidP="00A926BB">
            <w:pPr>
              <w:pStyle w:val="SCCShortJudgment"/>
              <w:ind w:firstLine="0"/>
              <w:rPr>
                <w:rFonts w:cs="Times New Roman"/>
                <w:szCs w:val="20"/>
                <w:lang w:val="fr-CA"/>
              </w:rPr>
            </w:pPr>
            <w:r w:rsidRPr="00FE6980">
              <w:rPr>
                <w:sz w:val="22"/>
                <w:lang w:val="fr-CA"/>
              </w:rPr>
              <w:t>Rejet de la motion en annulation ou en modification de l’arrêt</w:t>
            </w:r>
          </w:p>
        </w:tc>
      </w:tr>
      <w:tr w:rsidR="00EA2546" w:rsidRPr="00E433FF" w:rsidTr="00270FF2">
        <w:trPr>
          <w:cantSplit/>
        </w:trPr>
        <w:tc>
          <w:tcPr>
            <w:tcW w:w="4410" w:type="dxa"/>
            <w:gridSpan w:val="2"/>
          </w:tcPr>
          <w:p w:rsidR="00EA2546" w:rsidRPr="00FE6980" w:rsidRDefault="00EA2546" w:rsidP="00A926BB">
            <w:pPr>
              <w:jc w:val="both"/>
              <w:rPr>
                <w:sz w:val="22"/>
                <w:lang w:val="fr-CA"/>
              </w:rPr>
            </w:pPr>
            <w:r w:rsidRPr="00FE6980">
              <w:rPr>
                <w:sz w:val="22"/>
                <w:lang w:val="fr-CA"/>
              </w:rPr>
              <w:t>2 décembre 2015</w:t>
            </w:r>
          </w:p>
          <w:p w:rsidR="00EA2546" w:rsidRPr="00FE6980" w:rsidRDefault="00EA2546" w:rsidP="00A926BB">
            <w:pPr>
              <w:jc w:val="both"/>
              <w:rPr>
                <w:sz w:val="22"/>
                <w:lang w:val="fr-CA"/>
              </w:rPr>
            </w:pPr>
            <w:r w:rsidRPr="00FE6980">
              <w:rPr>
                <w:sz w:val="22"/>
                <w:lang w:val="fr-CA"/>
              </w:rPr>
              <w:t xml:space="preserve">Cour d’appel de l’Ontario </w:t>
            </w:r>
          </w:p>
          <w:p w:rsidR="00EA2546" w:rsidRPr="00FE6980" w:rsidRDefault="00EA2546" w:rsidP="00A926BB">
            <w:pPr>
              <w:jc w:val="both"/>
              <w:rPr>
                <w:sz w:val="22"/>
                <w:lang w:val="fr-CA"/>
              </w:rPr>
            </w:pPr>
            <w:r w:rsidRPr="00FE6980">
              <w:rPr>
                <w:sz w:val="22"/>
                <w:lang w:val="fr-CA"/>
              </w:rPr>
              <w:t xml:space="preserve">(Juge en chef </w:t>
            </w:r>
            <w:proofErr w:type="spellStart"/>
            <w:r w:rsidRPr="00FE6980">
              <w:rPr>
                <w:sz w:val="22"/>
                <w:lang w:val="fr-CA"/>
              </w:rPr>
              <w:t>Strathy</w:t>
            </w:r>
            <w:proofErr w:type="spellEnd"/>
            <w:r w:rsidRPr="00FE6980">
              <w:rPr>
                <w:sz w:val="22"/>
                <w:lang w:val="fr-CA"/>
              </w:rPr>
              <w:t xml:space="preserve">, juges </w:t>
            </w:r>
            <w:proofErr w:type="spellStart"/>
            <w:r w:rsidRPr="00FE6980">
              <w:rPr>
                <w:sz w:val="22"/>
                <w:lang w:val="fr-CA"/>
              </w:rPr>
              <w:t>LaForme</w:t>
            </w:r>
            <w:proofErr w:type="spellEnd"/>
            <w:r w:rsidRPr="00FE6980">
              <w:rPr>
                <w:sz w:val="22"/>
                <w:lang w:val="fr-CA"/>
              </w:rPr>
              <w:t xml:space="preserve"> et </w:t>
            </w:r>
            <w:proofErr w:type="spellStart"/>
            <w:r w:rsidRPr="00FE6980">
              <w:rPr>
                <w:sz w:val="22"/>
                <w:lang w:val="fr-CA"/>
              </w:rPr>
              <w:t>Huscroft</w:t>
            </w:r>
            <w:proofErr w:type="spellEnd"/>
            <w:r w:rsidRPr="00FE6980">
              <w:rPr>
                <w:sz w:val="22"/>
                <w:lang w:val="fr-CA"/>
              </w:rPr>
              <w:t>)</w:t>
            </w:r>
          </w:p>
          <w:p w:rsidR="00EA2546" w:rsidRPr="00FE6980" w:rsidRDefault="00E433FF" w:rsidP="00A926BB">
            <w:pPr>
              <w:jc w:val="both"/>
              <w:rPr>
                <w:sz w:val="22"/>
                <w:u w:val="single"/>
                <w:lang w:val="fr-CA"/>
              </w:rPr>
            </w:pPr>
            <w:hyperlink r:id="rId45" w:history="1">
              <w:r w:rsidR="00EA2546" w:rsidRPr="00FE6980">
                <w:rPr>
                  <w:rStyle w:val="Hyperlink"/>
                  <w:sz w:val="22"/>
                  <w:lang w:val="fr-CA"/>
                </w:rPr>
                <w:t>2015 ONCA 838</w:t>
              </w:r>
            </w:hyperlink>
          </w:p>
          <w:p w:rsidR="00EA2546" w:rsidRPr="00FE6980" w:rsidRDefault="00EA2546" w:rsidP="00A926BB">
            <w:pPr>
              <w:pStyle w:val="SCCShortJudgment"/>
              <w:ind w:firstLine="0"/>
              <w:rPr>
                <w:rFonts w:cs="Times New Roman"/>
                <w:szCs w:val="20"/>
                <w:lang w:val="fr-CA"/>
              </w:rPr>
            </w:pPr>
          </w:p>
        </w:tc>
        <w:tc>
          <w:tcPr>
            <w:tcW w:w="630" w:type="dxa"/>
          </w:tcPr>
          <w:p w:rsidR="00EA2546" w:rsidRPr="00FE6980" w:rsidRDefault="00EA2546" w:rsidP="00A926BB">
            <w:pPr>
              <w:pStyle w:val="SCCShortJudgment"/>
              <w:ind w:firstLine="0"/>
              <w:rPr>
                <w:rFonts w:cs="Times New Roman"/>
                <w:szCs w:val="20"/>
                <w:lang w:val="fr-CA"/>
              </w:rPr>
            </w:pPr>
          </w:p>
        </w:tc>
        <w:tc>
          <w:tcPr>
            <w:tcW w:w="4536" w:type="dxa"/>
          </w:tcPr>
          <w:p w:rsidR="00EA2546" w:rsidRPr="00FE6980" w:rsidRDefault="00EA2546" w:rsidP="00A926BB">
            <w:pPr>
              <w:pStyle w:val="SCCShortJudgment"/>
              <w:ind w:firstLine="0"/>
              <w:rPr>
                <w:rFonts w:cs="Times New Roman"/>
                <w:szCs w:val="20"/>
                <w:lang w:val="fr-CA"/>
              </w:rPr>
            </w:pPr>
            <w:r w:rsidRPr="00FE6980">
              <w:rPr>
                <w:sz w:val="22"/>
                <w:lang w:val="fr-CA"/>
              </w:rPr>
              <w:t>Rejet de la motion en annulation ou en modification de l’arrêt</w:t>
            </w:r>
          </w:p>
        </w:tc>
      </w:tr>
      <w:tr w:rsidR="00EA2546" w:rsidRPr="00E433FF" w:rsidTr="00270FF2">
        <w:trPr>
          <w:cantSplit/>
        </w:trPr>
        <w:tc>
          <w:tcPr>
            <w:tcW w:w="4410" w:type="dxa"/>
            <w:gridSpan w:val="2"/>
          </w:tcPr>
          <w:p w:rsidR="00EA2546" w:rsidRPr="00FE6980" w:rsidRDefault="00EA2546" w:rsidP="00A926BB">
            <w:pPr>
              <w:jc w:val="both"/>
              <w:rPr>
                <w:sz w:val="22"/>
                <w:lang w:val="fr-CA"/>
              </w:rPr>
            </w:pPr>
            <w:r w:rsidRPr="00FE6980">
              <w:rPr>
                <w:sz w:val="22"/>
                <w:lang w:val="fr-CA"/>
              </w:rPr>
              <w:t>28 janvier 2016</w:t>
            </w:r>
          </w:p>
          <w:p w:rsidR="00EA2546" w:rsidRPr="00FE6980" w:rsidRDefault="00EA2546" w:rsidP="00A926BB">
            <w:pPr>
              <w:jc w:val="both"/>
              <w:rPr>
                <w:sz w:val="22"/>
                <w:lang w:val="fr-CA"/>
              </w:rPr>
            </w:pPr>
            <w:r w:rsidRPr="00FE6980">
              <w:rPr>
                <w:sz w:val="22"/>
                <w:lang w:val="fr-CA"/>
              </w:rPr>
              <w:t xml:space="preserve">Cour d’appel de l’Ontario </w:t>
            </w:r>
          </w:p>
          <w:p w:rsidR="00EA2546" w:rsidRPr="00FE6980" w:rsidRDefault="00EA2546" w:rsidP="00A926BB">
            <w:pPr>
              <w:jc w:val="both"/>
              <w:rPr>
                <w:sz w:val="22"/>
                <w:lang w:val="fr-CA"/>
              </w:rPr>
            </w:pPr>
            <w:r w:rsidRPr="00FE6980">
              <w:rPr>
                <w:sz w:val="22"/>
                <w:lang w:val="fr-CA"/>
              </w:rPr>
              <w:t xml:space="preserve">(Juge en chef </w:t>
            </w:r>
            <w:proofErr w:type="spellStart"/>
            <w:r w:rsidRPr="00FE6980">
              <w:rPr>
                <w:sz w:val="22"/>
                <w:lang w:val="fr-CA"/>
              </w:rPr>
              <w:t>Strathy</w:t>
            </w:r>
            <w:proofErr w:type="spellEnd"/>
            <w:r w:rsidRPr="00FE6980">
              <w:rPr>
                <w:sz w:val="22"/>
                <w:lang w:val="fr-CA"/>
              </w:rPr>
              <w:t xml:space="preserve">, juges </w:t>
            </w:r>
            <w:proofErr w:type="spellStart"/>
            <w:r w:rsidRPr="00FE6980">
              <w:rPr>
                <w:sz w:val="22"/>
                <w:lang w:val="fr-CA"/>
              </w:rPr>
              <w:t>LaForme</w:t>
            </w:r>
            <w:proofErr w:type="spellEnd"/>
            <w:r w:rsidRPr="00FE6980">
              <w:rPr>
                <w:sz w:val="22"/>
                <w:lang w:val="fr-CA"/>
              </w:rPr>
              <w:t xml:space="preserve"> et </w:t>
            </w:r>
            <w:proofErr w:type="spellStart"/>
            <w:r w:rsidRPr="00FE6980">
              <w:rPr>
                <w:sz w:val="22"/>
                <w:lang w:val="fr-CA"/>
              </w:rPr>
              <w:t>Huscroft</w:t>
            </w:r>
            <w:proofErr w:type="spellEnd"/>
            <w:r w:rsidRPr="00FE6980">
              <w:rPr>
                <w:sz w:val="22"/>
                <w:lang w:val="fr-CA"/>
              </w:rPr>
              <w:t>)</w:t>
            </w:r>
          </w:p>
          <w:p w:rsidR="00EA2546" w:rsidRPr="00FE6980" w:rsidRDefault="00EA2546" w:rsidP="00A926BB">
            <w:pPr>
              <w:jc w:val="both"/>
              <w:rPr>
                <w:sz w:val="22"/>
                <w:lang w:val="fr-CA"/>
              </w:rPr>
            </w:pPr>
            <w:r w:rsidRPr="00FE6980">
              <w:rPr>
                <w:sz w:val="22"/>
                <w:lang w:val="fr-CA"/>
              </w:rPr>
              <w:t>Non publié</w:t>
            </w:r>
          </w:p>
          <w:p w:rsidR="00EA2546" w:rsidRPr="00FE6980" w:rsidRDefault="00EA2546" w:rsidP="00A926BB">
            <w:pPr>
              <w:pStyle w:val="SCCShortJudgment"/>
              <w:ind w:firstLine="0"/>
              <w:rPr>
                <w:rFonts w:cs="Times New Roman"/>
                <w:szCs w:val="20"/>
                <w:lang w:val="fr-CA"/>
              </w:rPr>
            </w:pPr>
          </w:p>
        </w:tc>
        <w:tc>
          <w:tcPr>
            <w:tcW w:w="630" w:type="dxa"/>
          </w:tcPr>
          <w:p w:rsidR="00EA2546" w:rsidRPr="00FE6980" w:rsidRDefault="00EA2546" w:rsidP="00A926BB">
            <w:pPr>
              <w:pStyle w:val="SCCShortJudgment"/>
              <w:ind w:firstLine="0"/>
              <w:rPr>
                <w:rFonts w:cs="Times New Roman"/>
                <w:szCs w:val="20"/>
                <w:lang w:val="fr-CA"/>
              </w:rPr>
            </w:pPr>
          </w:p>
        </w:tc>
        <w:tc>
          <w:tcPr>
            <w:tcW w:w="4536" w:type="dxa"/>
          </w:tcPr>
          <w:p w:rsidR="00EA2546" w:rsidRPr="00FE6980" w:rsidRDefault="00EA2546" w:rsidP="00A926BB">
            <w:pPr>
              <w:pStyle w:val="SCCShortJudgment"/>
              <w:ind w:firstLine="0"/>
              <w:rPr>
                <w:rFonts w:cs="Times New Roman"/>
                <w:szCs w:val="20"/>
                <w:lang w:val="fr-CA"/>
              </w:rPr>
            </w:pPr>
            <w:r w:rsidRPr="00FE6980">
              <w:rPr>
                <w:sz w:val="22"/>
                <w:lang w:val="fr-CA"/>
              </w:rPr>
              <w:t>Rejet de la motion en annulation ou en modification de l’arrêt</w:t>
            </w:r>
          </w:p>
        </w:tc>
      </w:tr>
      <w:tr w:rsidR="00EA2546" w:rsidRPr="00E433FF" w:rsidTr="00270FF2">
        <w:trPr>
          <w:cantSplit/>
        </w:trPr>
        <w:tc>
          <w:tcPr>
            <w:tcW w:w="4410" w:type="dxa"/>
            <w:gridSpan w:val="2"/>
          </w:tcPr>
          <w:p w:rsidR="00EA2546" w:rsidRPr="00FE6980" w:rsidRDefault="00EA2546" w:rsidP="00A926BB">
            <w:pPr>
              <w:jc w:val="both"/>
              <w:rPr>
                <w:sz w:val="22"/>
                <w:lang w:val="fr-CA"/>
              </w:rPr>
            </w:pPr>
            <w:r w:rsidRPr="00FE6980">
              <w:rPr>
                <w:sz w:val="22"/>
                <w:lang w:val="fr-CA"/>
              </w:rPr>
              <w:t>7 avril 2016</w:t>
            </w:r>
          </w:p>
          <w:p w:rsidR="00EA2546" w:rsidRPr="00FE6980" w:rsidRDefault="00EA2546" w:rsidP="00A926BB">
            <w:pPr>
              <w:pStyle w:val="SCCShortJudgment"/>
              <w:ind w:firstLine="0"/>
              <w:rPr>
                <w:rFonts w:cs="Times New Roman"/>
                <w:szCs w:val="20"/>
                <w:lang w:val="fr-CA"/>
              </w:rPr>
            </w:pPr>
            <w:r w:rsidRPr="00FE6980">
              <w:rPr>
                <w:sz w:val="22"/>
                <w:lang w:val="fr-CA"/>
              </w:rPr>
              <w:t>Cour suprême du Canada</w:t>
            </w:r>
          </w:p>
        </w:tc>
        <w:tc>
          <w:tcPr>
            <w:tcW w:w="630" w:type="dxa"/>
          </w:tcPr>
          <w:p w:rsidR="00EA2546" w:rsidRPr="00FE6980" w:rsidRDefault="00EA2546" w:rsidP="00A926BB">
            <w:pPr>
              <w:pStyle w:val="SCCShortJudgment"/>
              <w:ind w:firstLine="0"/>
              <w:rPr>
                <w:rFonts w:cs="Times New Roman"/>
                <w:szCs w:val="20"/>
                <w:lang w:val="fr-CA"/>
              </w:rPr>
            </w:pPr>
          </w:p>
        </w:tc>
        <w:tc>
          <w:tcPr>
            <w:tcW w:w="4536" w:type="dxa"/>
          </w:tcPr>
          <w:p w:rsidR="00EA2546" w:rsidRPr="00FE6980" w:rsidRDefault="00EA2546" w:rsidP="00A926BB">
            <w:pPr>
              <w:pStyle w:val="SCCShortJudgment"/>
              <w:ind w:firstLine="0"/>
              <w:rPr>
                <w:rFonts w:cs="Times New Roman"/>
                <w:szCs w:val="20"/>
                <w:lang w:val="fr-CA"/>
              </w:rPr>
            </w:pPr>
            <w:r w:rsidRPr="00FE6980">
              <w:rPr>
                <w:sz w:val="22"/>
                <w:lang w:val="fr-CA"/>
              </w:rPr>
              <w:t>Dépôt de la requête en prorogation du délai de signification et de dépôt de la demande d’autorisation d’appel, de la requête en sursis à l’exécution et de la demande d’autorisation d’appel</w:t>
            </w:r>
          </w:p>
        </w:tc>
      </w:tr>
    </w:tbl>
    <w:p w:rsidR="0026298F" w:rsidRPr="00FE6980" w:rsidRDefault="00E433FF" w:rsidP="0026298F">
      <w:pPr>
        <w:rPr>
          <w:rFonts w:cs="Times New Roman"/>
          <w:sz w:val="20"/>
          <w:szCs w:val="20"/>
          <w:lang w:val="fr-CA"/>
        </w:rPr>
      </w:pPr>
      <w:r>
        <w:rPr>
          <w:rFonts w:cs="Times New Roman"/>
          <w:sz w:val="20"/>
          <w:szCs w:val="20"/>
          <w:lang w:val="fr-CA"/>
        </w:rPr>
        <w:pict>
          <v:rect id="_x0000_i1056" style="width:2in;height:1pt" o:hrpct="0" o:hralign="center" o:hrstd="t" o:hrnoshade="t" o:hr="t" fillcolor="black [3213]" stroked="f"/>
        </w:pict>
      </w:r>
    </w:p>
    <w:p w:rsidR="0026298F" w:rsidRPr="00FE6980" w:rsidRDefault="0026298F" w:rsidP="0026298F">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26298F" w:rsidRPr="00FE6980" w:rsidTr="00270FF2">
        <w:trPr>
          <w:cantSplit/>
        </w:trPr>
        <w:tc>
          <w:tcPr>
            <w:tcW w:w="1458" w:type="dxa"/>
          </w:tcPr>
          <w:p w:rsidR="0026298F" w:rsidRPr="00FE6980" w:rsidRDefault="0026298F" w:rsidP="00270FF2">
            <w:pPr>
              <w:jc w:val="both"/>
              <w:rPr>
                <w:rFonts w:cs="Times New Roman"/>
                <w:sz w:val="20"/>
                <w:szCs w:val="20"/>
              </w:rPr>
            </w:pPr>
            <w:r w:rsidRPr="00FE6980">
              <w:rPr>
                <w:rStyle w:val="SCCFileNumberChar"/>
                <w:sz w:val="20"/>
                <w:szCs w:val="20"/>
              </w:rPr>
              <w:t>36942</w:t>
            </w:r>
          </w:p>
          <w:p w:rsidR="0026298F" w:rsidRPr="00FE6980" w:rsidRDefault="0026298F" w:rsidP="00270FF2">
            <w:pPr>
              <w:jc w:val="both"/>
              <w:rPr>
                <w:rFonts w:cs="Times New Roman"/>
                <w:b/>
                <w:sz w:val="20"/>
                <w:szCs w:val="20"/>
              </w:rPr>
            </w:pPr>
          </w:p>
        </w:tc>
        <w:tc>
          <w:tcPr>
            <w:tcW w:w="8118" w:type="dxa"/>
          </w:tcPr>
          <w:p w:rsidR="0026298F" w:rsidRPr="00FE6980" w:rsidRDefault="0026298F" w:rsidP="00270FF2">
            <w:pPr>
              <w:jc w:val="both"/>
              <w:rPr>
                <w:rFonts w:cs="Times New Roman"/>
                <w:sz w:val="20"/>
                <w:szCs w:val="20"/>
              </w:rPr>
            </w:pPr>
            <w:r w:rsidRPr="00FE6980">
              <w:rPr>
                <w:rStyle w:val="SCCLsocChar"/>
                <w:rFonts w:cs="Times New Roman"/>
                <w:sz w:val="20"/>
                <w:szCs w:val="20"/>
                <w:lang w:val="en-CA"/>
              </w:rPr>
              <w:t>Donald Glen Bird v. Her Majesty the Queen</w:t>
            </w:r>
            <w:r w:rsidRPr="00FE6980">
              <w:rPr>
                <w:rStyle w:val="SCCLsocChar"/>
                <w:rFonts w:cs="Times New Roman"/>
                <w:sz w:val="20"/>
                <w:szCs w:val="20"/>
                <w:u w:val="none"/>
                <w:lang w:val="en-CA"/>
              </w:rPr>
              <w:t xml:space="preserve"> </w:t>
            </w:r>
            <w:r w:rsidRPr="00FE6980">
              <w:rPr>
                <w:rFonts w:cs="Times New Roman"/>
                <w:sz w:val="20"/>
                <w:szCs w:val="20"/>
              </w:rPr>
              <w:t>(Sask.) (Crim.) (By Leave)</w:t>
            </w:r>
          </w:p>
          <w:p w:rsidR="0026298F" w:rsidRPr="00FE6980" w:rsidRDefault="0026298F" w:rsidP="00270FF2">
            <w:pPr>
              <w:jc w:val="both"/>
              <w:rPr>
                <w:rFonts w:cs="Times New Roman"/>
                <w:sz w:val="20"/>
                <w:szCs w:val="20"/>
              </w:rPr>
            </w:pPr>
          </w:p>
        </w:tc>
      </w:tr>
      <w:tr w:rsidR="0026298F" w:rsidRPr="00FE6980" w:rsidTr="00270FF2">
        <w:trPr>
          <w:cantSplit/>
        </w:trPr>
        <w:tc>
          <w:tcPr>
            <w:tcW w:w="1458" w:type="dxa"/>
          </w:tcPr>
          <w:p w:rsidR="0026298F" w:rsidRPr="00FE6980" w:rsidRDefault="0026298F" w:rsidP="00270FF2">
            <w:pPr>
              <w:jc w:val="both"/>
              <w:rPr>
                <w:rFonts w:cs="Times New Roman"/>
                <w:sz w:val="20"/>
                <w:szCs w:val="20"/>
              </w:rPr>
            </w:pPr>
            <w:r w:rsidRPr="00FE6980">
              <w:rPr>
                <w:rFonts w:cs="Times New Roman"/>
                <w:sz w:val="20"/>
                <w:szCs w:val="20"/>
              </w:rPr>
              <w:t>Coram :</w:t>
            </w:r>
          </w:p>
        </w:tc>
        <w:tc>
          <w:tcPr>
            <w:tcW w:w="8118" w:type="dxa"/>
          </w:tcPr>
          <w:p w:rsidR="0026298F" w:rsidRPr="00FE6980" w:rsidRDefault="0026298F" w:rsidP="00270FF2">
            <w:pPr>
              <w:jc w:val="both"/>
              <w:rPr>
                <w:rStyle w:val="SCCCoramChar"/>
                <w:rFonts w:cs="Times New Roman"/>
                <w:sz w:val="20"/>
                <w:szCs w:val="20"/>
                <w:lang w:val="en-CA"/>
              </w:rPr>
            </w:pPr>
            <w:r w:rsidRPr="00FE6980">
              <w:rPr>
                <w:rStyle w:val="SCCCoramChar"/>
                <w:rFonts w:cs="Times New Roman"/>
                <w:sz w:val="20"/>
                <w:szCs w:val="20"/>
                <w:lang w:val="en-CA"/>
              </w:rPr>
              <w:t>Abella, Karakatsanis and Brown JJ.</w:t>
            </w:r>
          </w:p>
          <w:p w:rsidR="0026298F" w:rsidRPr="00FE6980" w:rsidRDefault="0026298F" w:rsidP="00270FF2">
            <w:pPr>
              <w:jc w:val="both"/>
              <w:rPr>
                <w:rFonts w:cs="Times New Roman"/>
                <w:sz w:val="20"/>
                <w:szCs w:val="20"/>
              </w:rPr>
            </w:pPr>
          </w:p>
        </w:tc>
      </w:tr>
      <w:tr w:rsidR="0026298F" w:rsidRPr="00E433FF" w:rsidTr="00270FF2">
        <w:trPr>
          <w:cantSplit/>
        </w:trPr>
        <w:tc>
          <w:tcPr>
            <w:tcW w:w="9576" w:type="dxa"/>
            <w:gridSpan w:val="2"/>
          </w:tcPr>
          <w:p w:rsidR="0026298F" w:rsidRPr="00FE6980" w:rsidRDefault="0026298F" w:rsidP="00270FF2">
            <w:pPr>
              <w:pStyle w:val="SCCShortJudgment"/>
              <w:ind w:firstLine="0"/>
              <w:rPr>
                <w:rFonts w:cs="Times New Roman"/>
                <w:szCs w:val="20"/>
              </w:rPr>
            </w:pPr>
            <w:r w:rsidRPr="00FE6980">
              <w:rPr>
                <w:rFonts w:cs="Times New Roman"/>
                <w:szCs w:val="20"/>
              </w:rPr>
              <w:tab/>
            </w:r>
            <w:r w:rsidRPr="00FE6980">
              <w:rPr>
                <w:szCs w:val="20"/>
              </w:rPr>
              <w:t>The motion for an extension of time to serve and file the application for leave to appeal is granted. The application for leave to appeal from the judgment of the</w:t>
            </w:r>
            <w:bookmarkStart w:id="2" w:name="BM_1_"/>
            <w:bookmarkEnd w:id="2"/>
            <w:r w:rsidRPr="00FE6980">
              <w:rPr>
                <w:szCs w:val="20"/>
              </w:rPr>
              <w:t xml:space="preserve"> Court of Appeal for Saskatchewan, Number CACR2419, 2015 SKCA 134, dated December 8, 2015, is dismissed.</w:t>
            </w:r>
          </w:p>
          <w:p w:rsidR="0026298F" w:rsidRPr="00FE6980" w:rsidRDefault="0026298F" w:rsidP="00270FF2">
            <w:pPr>
              <w:pStyle w:val="SCCShortJudgment"/>
              <w:ind w:firstLine="0"/>
              <w:rPr>
                <w:rFonts w:cs="Times New Roman"/>
                <w:szCs w:val="20"/>
              </w:rPr>
            </w:pPr>
          </w:p>
          <w:p w:rsidR="0026298F" w:rsidRPr="00FE6980" w:rsidRDefault="0026298F" w:rsidP="00270FF2">
            <w:pPr>
              <w:pStyle w:val="SCCShortJudgment"/>
              <w:ind w:firstLine="0"/>
              <w:rPr>
                <w:rFonts w:cs="Times New Roman"/>
                <w:szCs w:val="20"/>
                <w:lang w:val="fr-CA"/>
              </w:rPr>
            </w:pPr>
            <w:r w:rsidRPr="00FE6980">
              <w:rPr>
                <w:rFonts w:cs="Times New Roman"/>
                <w:szCs w:val="20"/>
              </w:rPr>
              <w:tab/>
            </w:r>
            <w:r w:rsidRPr="00FE6980">
              <w:rPr>
                <w:szCs w:val="20"/>
                <w:lang w:val="fr-FR"/>
              </w:rPr>
              <w:t xml:space="preserve">La requête en prorogation du délai pour la signification et le dépôt de la demande d’autorisation d’appel est accueillie. </w:t>
            </w:r>
            <w:r w:rsidRPr="00FE6980">
              <w:rPr>
                <w:szCs w:val="20"/>
                <w:lang w:val="fr-CA"/>
              </w:rPr>
              <w:t xml:space="preserve">La demande d’autorisation d’appel de l’arrêt de la </w:t>
            </w:r>
            <w:r w:rsidRPr="00FE6980">
              <w:rPr>
                <w:szCs w:val="20"/>
                <w:lang w:val="fr-FR"/>
              </w:rPr>
              <w:t>Cour d’appel de la Saskatchewan</w:t>
            </w:r>
            <w:r w:rsidRPr="00FE6980">
              <w:rPr>
                <w:szCs w:val="20"/>
                <w:lang w:val="fr-CA"/>
              </w:rPr>
              <w:t xml:space="preserve">, numéro </w:t>
            </w:r>
            <w:r w:rsidRPr="00FE6980">
              <w:rPr>
                <w:szCs w:val="20"/>
                <w:lang w:val="fr-FR"/>
              </w:rPr>
              <w:t>CACR2419, 2015 SKCA 134</w:t>
            </w:r>
            <w:r w:rsidRPr="00FE6980">
              <w:rPr>
                <w:szCs w:val="20"/>
                <w:lang w:val="fr-CA"/>
              </w:rPr>
              <w:t xml:space="preserve">, daté du </w:t>
            </w:r>
            <w:r w:rsidRPr="00FE6980">
              <w:rPr>
                <w:szCs w:val="20"/>
                <w:lang w:val="fr-FR"/>
              </w:rPr>
              <w:t>8 décembre 2015</w:t>
            </w:r>
            <w:r w:rsidRPr="00FE6980">
              <w:rPr>
                <w:szCs w:val="20"/>
                <w:lang w:val="fr-CA"/>
              </w:rPr>
              <w:t>, est rejetée.</w:t>
            </w:r>
          </w:p>
          <w:p w:rsidR="0026298F" w:rsidRPr="00FE6980" w:rsidRDefault="0026298F" w:rsidP="00270FF2">
            <w:pPr>
              <w:pStyle w:val="SCCShortJudgment"/>
              <w:ind w:firstLine="0"/>
              <w:rPr>
                <w:rFonts w:cs="Times New Roman"/>
                <w:szCs w:val="20"/>
                <w:lang w:val="fr-CA"/>
              </w:rPr>
            </w:pPr>
          </w:p>
        </w:tc>
      </w:tr>
    </w:tbl>
    <w:p w:rsidR="0026298F" w:rsidRPr="00E433FF" w:rsidRDefault="0026298F">
      <w:pPr>
        <w:rPr>
          <w:lang w:val="fr-CA"/>
        </w:rPr>
      </w:pPr>
      <w:r w:rsidRPr="00E433FF">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26298F" w:rsidRPr="00FE6980" w:rsidTr="00270FF2">
        <w:trPr>
          <w:cantSplit/>
        </w:trPr>
        <w:tc>
          <w:tcPr>
            <w:tcW w:w="9576" w:type="dxa"/>
            <w:gridSpan w:val="3"/>
          </w:tcPr>
          <w:p w:rsidR="0026298F" w:rsidRPr="00FE6980" w:rsidRDefault="0026298F" w:rsidP="00270FF2">
            <w:pPr>
              <w:pStyle w:val="SCCShortJudgment"/>
              <w:ind w:firstLine="0"/>
              <w:rPr>
                <w:rFonts w:cs="Times New Roman"/>
                <w:szCs w:val="20"/>
                <w:u w:val="single"/>
                <w:lang w:val="fr-CA"/>
              </w:rPr>
            </w:pPr>
            <w:r w:rsidRPr="00FE6980">
              <w:rPr>
                <w:rFonts w:cs="Times New Roman"/>
                <w:szCs w:val="20"/>
                <w:u w:val="single"/>
                <w:lang w:val="fr-CA"/>
              </w:rPr>
              <w:t>CASE SUMMARY</w:t>
            </w:r>
          </w:p>
          <w:p w:rsidR="0026298F" w:rsidRPr="00FE6980" w:rsidRDefault="0026298F" w:rsidP="00270FF2">
            <w:pPr>
              <w:pStyle w:val="SCCShortJudgment"/>
              <w:ind w:firstLine="0"/>
              <w:rPr>
                <w:rFonts w:cs="Times New Roman"/>
                <w:szCs w:val="20"/>
                <w:lang w:val="fr-CA"/>
              </w:rPr>
            </w:pPr>
          </w:p>
        </w:tc>
      </w:tr>
      <w:tr w:rsidR="0026298F" w:rsidRPr="00FE6980" w:rsidTr="0026298F">
        <w:tc>
          <w:tcPr>
            <w:tcW w:w="9576" w:type="dxa"/>
            <w:gridSpan w:val="3"/>
          </w:tcPr>
          <w:p w:rsidR="0026298F" w:rsidRPr="00FE6980" w:rsidRDefault="0026298F" w:rsidP="0026298F">
            <w:pPr>
              <w:pStyle w:val="SCCBanSummary"/>
              <w:rPr>
                <w:sz w:val="20"/>
                <w:szCs w:val="20"/>
              </w:rPr>
            </w:pPr>
            <w:r w:rsidRPr="00FE6980">
              <w:rPr>
                <w:sz w:val="20"/>
                <w:szCs w:val="20"/>
              </w:rPr>
              <w:t>(Publication ban in case)</w:t>
            </w:r>
          </w:p>
          <w:p w:rsidR="0026298F" w:rsidRPr="00FE6980" w:rsidRDefault="0026298F" w:rsidP="0026298F">
            <w:pPr>
              <w:rPr>
                <w:sz w:val="20"/>
                <w:szCs w:val="20"/>
              </w:rPr>
            </w:pPr>
          </w:p>
          <w:p w:rsidR="0026298F" w:rsidRPr="00FE6980" w:rsidRDefault="0026298F" w:rsidP="0026298F">
            <w:pPr>
              <w:pStyle w:val="SCCShortJudgment"/>
              <w:ind w:firstLine="0"/>
              <w:rPr>
                <w:szCs w:val="20"/>
              </w:rPr>
            </w:pPr>
            <w:r w:rsidRPr="00FE6980">
              <w:rPr>
                <w:szCs w:val="20"/>
              </w:rPr>
              <w:t xml:space="preserve">Criminal law – Sentencing – Application by the Crown for a dangerous offender designation – Whether the Court of Appeal erred in upholding the trial judge’s decision to designate the applicant a dangerous offender – Whether the Court of Appeal erred by failing to give adequate weight to factors enumerated in ss. 718.1 and 718.2 of the </w:t>
            </w:r>
            <w:r w:rsidRPr="00FE6980">
              <w:rPr>
                <w:i/>
                <w:szCs w:val="20"/>
              </w:rPr>
              <w:t>Criminal Code</w:t>
            </w:r>
            <w:r w:rsidRPr="00FE6980">
              <w:rPr>
                <w:szCs w:val="20"/>
              </w:rPr>
              <w:t xml:space="preserve">, and in failing to give proper weight and effect to </w:t>
            </w:r>
            <w:r w:rsidRPr="00FE6980">
              <w:rPr>
                <w:i/>
                <w:szCs w:val="20"/>
              </w:rPr>
              <w:t>R. v.</w:t>
            </w:r>
            <w:r w:rsidRPr="00FE6980">
              <w:rPr>
                <w:szCs w:val="20"/>
              </w:rPr>
              <w:t xml:space="preserve"> </w:t>
            </w:r>
            <w:proofErr w:type="spellStart"/>
            <w:r w:rsidRPr="00FE6980">
              <w:rPr>
                <w:i/>
                <w:szCs w:val="20"/>
              </w:rPr>
              <w:t>Gladue</w:t>
            </w:r>
            <w:proofErr w:type="spellEnd"/>
            <w:r w:rsidRPr="00FE6980">
              <w:rPr>
                <w:szCs w:val="20"/>
              </w:rPr>
              <w:t xml:space="preserve">, ([1999] 1 S.C.R. 688) and </w:t>
            </w:r>
            <w:r w:rsidRPr="00FE6980">
              <w:rPr>
                <w:i/>
                <w:szCs w:val="20"/>
              </w:rPr>
              <w:t>R. v.</w:t>
            </w:r>
            <w:r w:rsidRPr="00FE6980">
              <w:rPr>
                <w:szCs w:val="20"/>
              </w:rPr>
              <w:t xml:space="preserve"> </w:t>
            </w:r>
            <w:proofErr w:type="spellStart"/>
            <w:r w:rsidRPr="00FE6980">
              <w:rPr>
                <w:i/>
                <w:szCs w:val="20"/>
              </w:rPr>
              <w:t>Ipeelee</w:t>
            </w:r>
            <w:proofErr w:type="spellEnd"/>
            <w:r w:rsidRPr="00FE6980">
              <w:rPr>
                <w:szCs w:val="20"/>
              </w:rPr>
              <w:t xml:space="preserve">  (2012 SCC 13) considerations, and in erroneously concluding there was no “reasonable expectation” for protection of the public from the applicant – Whether the Court of Appeal erred by failing to consider or give adequate weight to the sentencing principle of proportionality – Whether the Court of Appeal erred by failing to consider or give adequate weight to the sentencing principle of restraint – Whether the Court of Appeal erred in concluding the evidence could not support the imposition of a lesser sentence pursuant to subsection 753(4.1) of the </w:t>
            </w:r>
            <w:r w:rsidRPr="00FE6980">
              <w:rPr>
                <w:i/>
                <w:szCs w:val="20"/>
              </w:rPr>
              <w:t>Criminal Code</w:t>
            </w:r>
            <w:r w:rsidRPr="00FE6980">
              <w:rPr>
                <w:szCs w:val="20"/>
              </w:rPr>
              <w:t>.</w:t>
            </w:r>
          </w:p>
          <w:p w:rsidR="0026298F" w:rsidRPr="00FE6980" w:rsidRDefault="0026298F" w:rsidP="0026298F">
            <w:pPr>
              <w:pStyle w:val="SCCShortJudgment"/>
              <w:ind w:firstLine="0"/>
              <w:rPr>
                <w:rFonts w:cs="Times New Roman"/>
                <w:szCs w:val="20"/>
              </w:rPr>
            </w:pPr>
          </w:p>
        </w:tc>
      </w:tr>
      <w:tr w:rsidR="0026298F" w:rsidRPr="00FE6980" w:rsidTr="00270FF2">
        <w:trPr>
          <w:cantSplit/>
        </w:trPr>
        <w:tc>
          <w:tcPr>
            <w:tcW w:w="9576" w:type="dxa"/>
            <w:gridSpan w:val="3"/>
          </w:tcPr>
          <w:p w:rsidR="0026298F" w:rsidRPr="00FE6980" w:rsidRDefault="0026298F" w:rsidP="0026298F">
            <w:pPr>
              <w:jc w:val="both"/>
              <w:rPr>
                <w:sz w:val="20"/>
                <w:szCs w:val="20"/>
              </w:rPr>
            </w:pPr>
            <w:r w:rsidRPr="00FE6980">
              <w:rPr>
                <w:sz w:val="20"/>
                <w:szCs w:val="20"/>
              </w:rPr>
              <w:t>The applicant is an aboriginal with a lengthy sexual assault criminal record. The Crown applied to have him declared a dangerous offender. The sentencing judge found that the statutory criteria were met. The applicant was declared a dangerous offender and was sentenced to a determinate sentence of five years and a long-term supervision order of three years. The Court of Appeal granted the Crown’s application for leave to appeal sentence and allowed the sentence appeal. An indeterminate sentence was imposed.</w:t>
            </w:r>
          </w:p>
          <w:p w:rsidR="0026298F" w:rsidRPr="00FE6980" w:rsidRDefault="0026298F" w:rsidP="00270FF2">
            <w:pPr>
              <w:pStyle w:val="SCCShortJudgment"/>
              <w:ind w:firstLine="0"/>
              <w:rPr>
                <w:rFonts w:cs="Times New Roman"/>
                <w:szCs w:val="20"/>
              </w:rPr>
            </w:pPr>
          </w:p>
        </w:tc>
      </w:tr>
      <w:tr w:rsidR="0026298F" w:rsidRPr="00FE6980" w:rsidTr="00270FF2">
        <w:trPr>
          <w:cantSplit/>
        </w:trPr>
        <w:tc>
          <w:tcPr>
            <w:tcW w:w="4410" w:type="dxa"/>
          </w:tcPr>
          <w:p w:rsidR="0026298F" w:rsidRPr="00FE6980" w:rsidRDefault="0026298F" w:rsidP="0026298F">
            <w:pPr>
              <w:rPr>
                <w:sz w:val="20"/>
                <w:szCs w:val="20"/>
              </w:rPr>
            </w:pPr>
            <w:r w:rsidRPr="00FE6980">
              <w:rPr>
                <w:sz w:val="20"/>
                <w:szCs w:val="20"/>
              </w:rPr>
              <w:t>March 17, 2014</w:t>
            </w:r>
          </w:p>
          <w:p w:rsidR="0026298F" w:rsidRPr="00FE6980" w:rsidRDefault="0026298F" w:rsidP="0026298F">
            <w:pPr>
              <w:rPr>
                <w:sz w:val="20"/>
                <w:szCs w:val="20"/>
              </w:rPr>
            </w:pPr>
            <w:r w:rsidRPr="00FE6980">
              <w:rPr>
                <w:sz w:val="20"/>
                <w:szCs w:val="20"/>
              </w:rPr>
              <w:t>Court of Queen’s Bench of Saskatchewan</w:t>
            </w:r>
          </w:p>
          <w:p w:rsidR="0026298F" w:rsidRPr="00FE6980" w:rsidRDefault="0026298F" w:rsidP="0026298F">
            <w:pPr>
              <w:rPr>
                <w:sz w:val="20"/>
                <w:szCs w:val="20"/>
              </w:rPr>
            </w:pPr>
            <w:r w:rsidRPr="00FE6980">
              <w:rPr>
                <w:sz w:val="20"/>
                <w:szCs w:val="20"/>
              </w:rPr>
              <w:t>(Mills J.)</w:t>
            </w:r>
          </w:p>
          <w:p w:rsidR="0026298F" w:rsidRPr="00FE6980" w:rsidRDefault="0026298F" w:rsidP="0026298F">
            <w:pPr>
              <w:rPr>
                <w:sz w:val="20"/>
                <w:szCs w:val="20"/>
              </w:rPr>
            </w:pPr>
            <w:r w:rsidRPr="00FE6980">
              <w:rPr>
                <w:sz w:val="20"/>
                <w:szCs w:val="20"/>
              </w:rPr>
              <w:t>2014 SKQB 75</w:t>
            </w:r>
          </w:p>
          <w:p w:rsidR="0026298F" w:rsidRPr="00FE6980" w:rsidRDefault="00E433FF" w:rsidP="0026298F">
            <w:pPr>
              <w:rPr>
                <w:rStyle w:val="documentstaticurl"/>
                <w:sz w:val="20"/>
                <w:szCs w:val="20"/>
                <w:u w:val="single"/>
              </w:rPr>
            </w:pPr>
            <w:hyperlink r:id="rId46" w:history="1">
              <w:r w:rsidR="0026298F" w:rsidRPr="00FE6980">
                <w:rPr>
                  <w:rStyle w:val="Hyperlink"/>
                  <w:sz w:val="20"/>
                  <w:szCs w:val="20"/>
                </w:rPr>
                <w:t>http://canlii.ca/t/g6g1w</w:t>
              </w:r>
            </w:hyperlink>
          </w:p>
          <w:p w:rsidR="0026298F" w:rsidRPr="00FE6980" w:rsidRDefault="0026298F" w:rsidP="00270FF2">
            <w:pPr>
              <w:jc w:val="both"/>
              <w:rPr>
                <w:rFonts w:cs="Times New Roman"/>
                <w:sz w:val="20"/>
                <w:szCs w:val="20"/>
              </w:rPr>
            </w:pPr>
          </w:p>
        </w:tc>
        <w:tc>
          <w:tcPr>
            <w:tcW w:w="630" w:type="dxa"/>
          </w:tcPr>
          <w:p w:rsidR="0026298F" w:rsidRPr="00FE6980" w:rsidRDefault="0026298F" w:rsidP="00270FF2">
            <w:pPr>
              <w:pStyle w:val="SCCShortJudgment"/>
              <w:ind w:firstLine="0"/>
              <w:rPr>
                <w:rFonts w:cs="Times New Roman"/>
                <w:szCs w:val="20"/>
              </w:rPr>
            </w:pPr>
          </w:p>
        </w:tc>
        <w:tc>
          <w:tcPr>
            <w:tcW w:w="4536" w:type="dxa"/>
          </w:tcPr>
          <w:p w:rsidR="0026298F" w:rsidRPr="00FE6980" w:rsidRDefault="0026298F" w:rsidP="0026298F">
            <w:pPr>
              <w:jc w:val="both"/>
              <w:rPr>
                <w:sz w:val="20"/>
                <w:szCs w:val="20"/>
              </w:rPr>
            </w:pPr>
            <w:r w:rsidRPr="00FE6980">
              <w:rPr>
                <w:sz w:val="20"/>
                <w:szCs w:val="20"/>
              </w:rPr>
              <w:t>Sentence imposed: applicant declared a dangerous offender and sentenced to a determinate sentence of five years and a long-term supervision order of three years</w:t>
            </w:r>
          </w:p>
          <w:p w:rsidR="0026298F" w:rsidRPr="00FE6980" w:rsidRDefault="0026298F" w:rsidP="00270FF2">
            <w:pPr>
              <w:jc w:val="both"/>
              <w:rPr>
                <w:rFonts w:cs="Times New Roman"/>
                <w:sz w:val="20"/>
                <w:szCs w:val="20"/>
              </w:rPr>
            </w:pPr>
          </w:p>
        </w:tc>
      </w:tr>
      <w:tr w:rsidR="0026298F" w:rsidRPr="00FE6980" w:rsidTr="00270FF2">
        <w:trPr>
          <w:cantSplit/>
        </w:trPr>
        <w:tc>
          <w:tcPr>
            <w:tcW w:w="4410" w:type="dxa"/>
          </w:tcPr>
          <w:p w:rsidR="0026298F" w:rsidRPr="00FE6980" w:rsidRDefault="0026298F" w:rsidP="0026298F">
            <w:pPr>
              <w:rPr>
                <w:sz w:val="20"/>
                <w:szCs w:val="20"/>
              </w:rPr>
            </w:pPr>
            <w:r w:rsidRPr="00FE6980">
              <w:rPr>
                <w:sz w:val="20"/>
                <w:szCs w:val="20"/>
              </w:rPr>
              <w:t>December 8, 2015</w:t>
            </w:r>
          </w:p>
          <w:p w:rsidR="0026298F" w:rsidRPr="00FE6980" w:rsidRDefault="0026298F" w:rsidP="0026298F">
            <w:pPr>
              <w:rPr>
                <w:sz w:val="20"/>
                <w:szCs w:val="20"/>
              </w:rPr>
            </w:pPr>
            <w:r w:rsidRPr="00FE6980">
              <w:rPr>
                <w:sz w:val="20"/>
                <w:szCs w:val="20"/>
              </w:rPr>
              <w:t>Court of Appeal for Saskatchewan</w:t>
            </w:r>
          </w:p>
          <w:p w:rsidR="0026298F" w:rsidRPr="00FE6980" w:rsidRDefault="0026298F" w:rsidP="0026298F">
            <w:pPr>
              <w:rPr>
                <w:sz w:val="20"/>
                <w:szCs w:val="20"/>
              </w:rPr>
            </w:pPr>
            <w:r w:rsidRPr="00FE6980">
              <w:rPr>
                <w:sz w:val="20"/>
                <w:szCs w:val="20"/>
              </w:rPr>
              <w:t>(</w:t>
            </w:r>
            <w:proofErr w:type="spellStart"/>
            <w:r w:rsidRPr="00FE6980">
              <w:rPr>
                <w:sz w:val="20"/>
                <w:szCs w:val="20"/>
              </w:rPr>
              <w:t>Ottenbreit</w:t>
            </w:r>
            <w:proofErr w:type="spellEnd"/>
            <w:r w:rsidRPr="00FE6980">
              <w:rPr>
                <w:sz w:val="20"/>
                <w:szCs w:val="20"/>
              </w:rPr>
              <w:t xml:space="preserve">, </w:t>
            </w:r>
            <w:proofErr w:type="spellStart"/>
            <w:r w:rsidRPr="00FE6980">
              <w:rPr>
                <w:sz w:val="20"/>
                <w:szCs w:val="20"/>
              </w:rPr>
              <w:t>Herauf</w:t>
            </w:r>
            <w:proofErr w:type="spellEnd"/>
            <w:r w:rsidRPr="00FE6980">
              <w:rPr>
                <w:sz w:val="20"/>
                <w:szCs w:val="20"/>
              </w:rPr>
              <w:t>, Whitmore JJ.A.)</w:t>
            </w:r>
          </w:p>
          <w:p w:rsidR="0026298F" w:rsidRPr="00FE6980" w:rsidRDefault="0026298F" w:rsidP="0026298F">
            <w:pPr>
              <w:rPr>
                <w:sz w:val="20"/>
                <w:szCs w:val="20"/>
                <w:lang w:val="en-US"/>
              </w:rPr>
            </w:pPr>
            <w:r w:rsidRPr="00FE6980">
              <w:rPr>
                <w:sz w:val="20"/>
                <w:szCs w:val="20"/>
                <w:lang w:val="en-US"/>
              </w:rPr>
              <w:t>2015 SKCA 134; CACR2419</w:t>
            </w:r>
          </w:p>
          <w:p w:rsidR="0026298F" w:rsidRPr="00FE6980" w:rsidRDefault="00E433FF" w:rsidP="0026298F">
            <w:pPr>
              <w:rPr>
                <w:sz w:val="20"/>
                <w:szCs w:val="20"/>
                <w:u w:val="single"/>
                <w:lang w:val="en-US"/>
              </w:rPr>
            </w:pPr>
            <w:hyperlink r:id="rId47" w:history="1">
              <w:r w:rsidR="0026298F" w:rsidRPr="00FE6980">
                <w:rPr>
                  <w:rStyle w:val="Hyperlink"/>
                  <w:rFonts w:eastAsiaTheme="majorEastAsia"/>
                  <w:sz w:val="20"/>
                  <w:szCs w:val="20"/>
                  <w:lang w:val="en-US"/>
                </w:rPr>
                <w:t>http://canlii.ca/t/gmjrn</w:t>
              </w:r>
            </w:hyperlink>
          </w:p>
          <w:p w:rsidR="0026298F" w:rsidRPr="00FE6980" w:rsidRDefault="0026298F" w:rsidP="00270FF2">
            <w:pPr>
              <w:jc w:val="both"/>
              <w:rPr>
                <w:rFonts w:cs="Times New Roman"/>
                <w:sz w:val="20"/>
                <w:szCs w:val="20"/>
                <w:lang w:val="en-US"/>
              </w:rPr>
            </w:pPr>
          </w:p>
        </w:tc>
        <w:tc>
          <w:tcPr>
            <w:tcW w:w="630" w:type="dxa"/>
          </w:tcPr>
          <w:p w:rsidR="0026298F" w:rsidRPr="00FE6980" w:rsidRDefault="0026298F" w:rsidP="00270FF2">
            <w:pPr>
              <w:pStyle w:val="SCCShortJudgment"/>
              <w:ind w:firstLine="0"/>
              <w:rPr>
                <w:rFonts w:cs="Times New Roman"/>
                <w:szCs w:val="20"/>
              </w:rPr>
            </w:pPr>
          </w:p>
        </w:tc>
        <w:tc>
          <w:tcPr>
            <w:tcW w:w="4536" w:type="dxa"/>
          </w:tcPr>
          <w:p w:rsidR="0026298F" w:rsidRPr="00FE6980" w:rsidRDefault="0026298F" w:rsidP="0026298F">
            <w:pPr>
              <w:jc w:val="both"/>
              <w:rPr>
                <w:sz w:val="20"/>
                <w:szCs w:val="20"/>
              </w:rPr>
            </w:pPr>
            <w:r w:rsidRPr="00FE6980">
              <w:rPr>
                <w:sz w:val="20"/>
                <w:szCs w:val="20"/>
              </w:rPr>
              <w:t>Leave to appeal sentence granted and sentence appeal allowed: indeterminate sentence imposed</w:t>
            </w:r>
          </w:p>
          <w:p w:rsidR="0026298F" w:rsidRPr="00FE6980" w:rsidRDefault="0026298F" w:rsidP="00270FF2">
            <w:pPr>
              <w:jc w:val="both"/>
              <w:rPr>
                <w:rFonts w:cs="Times New Roman"/>
                <w:sz w:val="20"/>
                <w:szCs w:val="20"/>
              </w:rPr>
            </w:pPr>
          </w:p>
        </w:tc>
      </w:tr>
      <w:tr w:rsidR="0026298F" w:rsidRPr="00FE6980" w:rsidTr="00270FF2">
        <w:trPr>
          <w:cantSplit/>
        </w:trPr>
        <w:tc>
          <w:tcPr>
            <w:tcW w:w="4410" w:type="dxa"/>
          </w:tcPr>
          <w:p w:rsidR="0026298F" w:rsidRPr="00FE6980" w:rsidRDefault="0026298F" w:rsidP="0026298F">
            <w:pPr>
              <w:rPr>
                <w:sz w:val="20"/>
                <w:szCs w:val="20"/>
              </w:rPr>
            </w:pPr>
            <w:r w:rsidRPr="00FE6980">
              <w:rPr>
                <w:sz w:val="20"/>
                <w:szCs w:val="20"/>
              </w:rPr>
              <w:t>April 8, 2016</w:t>
            </w:r>
          </w:p>
          <w:p w:rsidR="0026298F" w:rsidRPr="00FE6980" w:rsidRDefault="0026298F" w:rsidP="0026298F">
            <w:pPr>
              <w:rPr>
                <w:sz w:val="20"/>
                <w:szCs w:val="20"/>
              </w:rPr>
            </w:pPr>
            <w:r w:rsidRPr="00FE6980">
              <w:rPr>
                <w:sz w:val="20"/>
                <w:szCs w:val="20"/>
              </w:rPr>
              <w:t>Supreme Court of Canada</w:t>
            </w:r>
          </w:p>
          <w:p w:rsidR="0026298F" w:rsidRPr="00FE6980" w:rsidRDefault="0026298F" w:rsidP="00270FF2">
            <w:pPr>
              <w:jc w:val="both"/>
              <w:rPr>
                <w:rFonts w:cs="Times New Roman"/>
                <w:sz w:val="20"/>
                <w:szCs w:val="20"/>
              </w:rPr>
            </w:pPr>
          </w:p>
        </w:tc>
        <w:tc>
          <w:tcPr>
            <w:tcW w:w="630" w:type="dxa"/>
          </w:tcPr>
          <w:p w:rsidR="0026298F" w:rsidRPr="00FE6980" w:rsidRDefault="0026298F" w:rsidP="00270FF2">
            <w:pPr>
              <w:pStyle w:val="SCCShortJudgment"/>
              <w:ind w:firstLine="0"/>
              <w:rPr>
                <w:rFonts w:cs="Times New Roman"/>
                <w:szCs w:val="20"/>
              </w:rPr>
            </w:pPr>
          </w:p>
        </w:tc>
        <w:tc>
          <w:tcPr>
            <w:tcW w:w="4536" w:type="dxa"/>
          </w:tcPr>
          <w:p w:rsidR="0026298F" w:rsidRPr="00FE6980" w:rsidRDefault="0026298F" w:rsidP="00F6089A">
            <w:pPr>
              <w:jc w:val="both"/>
              <w:rPr>
                <w:rFonts w:cs="Times New Roman"/>
                <w:sz w:val="20"/>
                <w:szCs w:val="20"/>
              </w:rPr>
            </w:pPr>
            <w:r w:rsidRPr="00FE6980">
              <w:rPr>
                <w:sz w:val="20"/>
                <w:szCs w:val="20"/>
              </w:rPr>
              <w:t>Motion for an extension of time to serve and file the application for leave to appeal and application for leave to appeal filed</w:t>
            </w:r>
          </w:p>
        </w:tc>
      </w:tr>
      <w:tr w:rsidR="0026298F" w:rsidRPr="00FE6980" w:rsidTr="00270FF2">
        <w:trPr>
          <w:cantSplit/>
        </w:trPr>
        <w:tc>
          <w:tcPr>
            <w:tcW w:w="9576" w:type="dxa"/>
            <w:gridSpan w:val="3"/>
          </w:tcPr>
          <w:p w:rsidR="0026298F" w:rsidRPr="00FE6980" w:rsidRDefault="00E433FF" w:rsidP="00270FF2">
            <w:pPr>
              <w:pStyle w:val="SCCShortJudgment"/>
              <w:ind w:firstLine="0"/>
              <w:rPr>
                <w:rFonts w:cs="Times New Roman"/>
                <w:szCs w:val="20"/>
                <w:lang w:val="fr-CA"/>
              </w:rPr>
            </w:pPr>
            <w:r>
              <w:rPr>
                <w:rFonts w:cs="Times New Roman"/>
                <w:szCs w:val="20"/>
                <w:lang w:val="fr-CA"/>
              </w:rPr>
              <w:pict>
                <v:rect id="_x0000_i1057" style="width:2in;height:1pt" o:hrpct="0" o:hralign="center" o:hrstd="t" o:hrnoshade="t" o:hr="t" fillcolor="black [3213]" stroked="f"/>
              </w:pict>
            </w:r>
          </w:p>
          <w:p w:rsidR="0026298F" w:rsidRPr="00FE6980" w:rsidRDefault="0026298F" w:rsidP="00270FF2">
            <w:pPr>
              <w:pStyle w:val="SCCShortJudgment"/>
              <w:ind w:firstLine="0"/>
              <w:rPr>
                <w:rFonts w:cs="Times New Roman"/>
                <w:szCs w:val="20"/>
                <w:lang w:val="fr-CA"/>
              </w:rPr>
            </w:pPr>
          </w:p>
        </w:tc>
      </w:tr>
      <w:tr w:rsidR="0026298F" w:rsidRPr="00FE6980" w:rsidTr="00270FF2">
        <w:trPr>
          <w:cantSplit/>
        </w:trPr>
        <w:tc>
          <w:tcPr>
            <w:tcW w:w="9576" w:type="dxa"/>
            <w:gridSpan w:val="3"/>
          </w:tcPr>
          <w:p w:rsidR="0026298F" w:rsidRPr="00FE6980" w:rsidRDefault="0026298F" w:rsidP="00270FF2">
            <w:pPr>
              <w:pStyle w:val="SCCShortJudgment"/>
              <w:ind w:firstLine="0"/>
              <w:rPr>
                <w:rFonts w:cs="Times New Roman"/>
                <w:szCs w:val="20"/>
                <w:u w:val="single"/>
                <w:lang w:val="fr-CA"/>
              </w:rPr>
            </w:pPr>
            <w:r w:rsidRPr="00FE6980">
              <w:rPr>
                <w:rFonts w:cs="Times New Roman"/>
                <w:szCs w:val="20"/>
                <w:u w:val="single"/>
                <w:lang w:val="fr-CA"/>
              </w:rPr>
              <w:t>RÉSUMÉ DE L’AFFAIRE </w:t>
            </w:r>
          </w:p>
          <w:p w:rsidR="0026298F" w:rsidRPr="00FE6980" w:rsidRDefault="0026298F" w:rsidP="00270FF2">
            <w:pPr>
              <w:pStyle w:val="SCCShortJudgment"/>
              <w:ind w:firstLine="0"/>
              <w:rPr>
                <w:rFonts w:cs="Times New Roman"/>
                <w:szCs w:val="20"/>
                <w:lang w:val="fr-CA"/>
              </w:rPr>
            </w:pPr>
          </w:p>
        </w:tc>
      </w:tr>
      <w:tr w:rsidR="0026298F" w:rsidRPr="00E433FF" w:rsidTr="0026298F">
        <w:tc>
          <w:tcPr>
            <w:tcW w:w="9576" w:type="dxa"/>
            <w:gridSpan w:val="3"/>
          </w:tcPr>
          <w:p w:rsidR="0026298F" w:rsidRPr="00FE6980" w:rsidRDefault="0026298F" w:rsidP="0026298F">
            <w:pPr>
              <w:pStyle w:val="SCCBanSummary"/>
              <w:rPr>
                <w:sz w:val="20"/>
                <w:szCs w:val="20"/>
                <w:lang w:val="fr-CA"/>
              </w:rPr>
            </w:pPr>
            <w:r w:rsidRPr="00FE6980">
              <w:rPr>
                <w:sz w:val="20"/>
                <w:szCs w:val="20"/>
                <w:lang w:val="fr-CA"/>
              </w:rPr>
              <w:t>(Ordonnance de non-publication dans le dossier)</w:t>
            </w:r>
          </w:p>
          <w:p w:rsidR="0026298F" w:rsidRPr="00FE6980" w:rsidRDefault="0026298F" w:rsidP="0026298F">
            <w:pPr>
              <w:rPr>
                <w:sz w:val="20"/>
                <w:szCs w:val="20"/>
                <w:lang w:val="fr-CA"/>
              </w:rPr>
            </w:pPr>
          </w:p>
          <w:p w:rsidR="0026298F" w:rsidRPr="00FE6980" w:rsidRDefault="0026298F" w:rsidP="0026298F">
            <w:pPr>
              <w:pStyle w:val="SCCShortJudgment"/>
              <w:ind w:firstLine="0"/>
              <w:rPr>
                <w:szCs w:val="20"/>
                <w:lang w:val="fr-CA"/>
              </w:rPr>
            </w:pPr>
            <w:r w:rsidRPr="00FE6980">
              <w:rPr>
                <w:szCs w:val="20"/>
                <w:lang w:val="fr-CA"/>
              </w:rPr>
              <w:t xml:space="preserve">Droit criminel – Détermination de la peine – Demande du ministère public en vue d’obtenir une déclaration de délinquant dangereux – La Cour d’appel a-t-elle eu tort de confirmer la décision du juge du procès de déclarer le demandeur délinquant dangereux? – La Cour d’appel a-t-elle eu tort de ne pas avoir tenu dûment compte des facteurs énumérés </w:t>
            </w:r>
            <w:proofErr w:type="gramStart"/>
            <w:r w:rsidRPr="00FE6980">
              <w:rPr>
                <w:szCs w:val="20"/>
                <w:lang w:val="fr-CA"/>
              </w:rPr>
              <w:t>aux art</w:t>
            </w:r>
            <w:proofErr w:type="gramEnd"/>
            <w:r w:rsidRPr="00FE6980">
              <w:rPr>
                <w:szCs w:val="20"/>
                <w:lang w:val="fr-CA"/>
              </w:rPr>
              <w:t xml:space="preserve">. 718.1 et 718.2 du </w:t>
            </w:r>
            <w:r w:rsidRPr="00FE6980">
              <w:rPr>
                <w:i/>
                <w:szCs w:val="20"/>
                <w:lang w:val="fr-CA"/>
              </w:rPr>
              <w:t>Code criminel</w:t>
            </w:r>
            <w:r w:rsidRPr="00FE6980">
              <w:rPr>
                <w:szCs w:val="20"/>
                <w:lang w:val="fr-CA"/>
              </w:rPr>
              <w:t xml:space="preserve"> et de ne pas avoir tenu dûment compte des considérations mentionnées dans les arrêts </w:t>
            </w:r>
            <w:r w:rsidRPr="00FE6980">
              <w:rPr>
                <w:i/>
                <w:szCs w:val="20"/>
                <w:lang w:val="fr-CA"/>
              </w:rPr>
              <w:t>R. c.</w:t>
            </w:r>
            <w:r w:rsidRPr="00FE6980">
              <w:rPr>
                <w:szCs w:val="20"/>
                <w:lang w:val="fr-CA"/>
              </w:rPr>
              <w:t xml:space="preserve"> </w:t>
            </w:r>
            <w:proofErr w:type="spellStart"/>
            <w:r w:rsidRPr="00FE6980">
              <w:rPr>
                <w:i/>
                <w:szCs w:val="20"/>
                <w:lang w:val="fr-CA"/>
              </w:rPr>
              <w:t>Gladue</w:t>
            </w:r>
            <w:proofErr w:type="spellEnd"/>
            <w:r w:rsidRPr="00FE6980">
              <w:rPr>
                <w:szCs w:val="20"/>
                <w:lang w:val="fr-CA"/>
              </w:rPr>
              <w:t xml:space="preserve">, [1999] 1 R.C.S. 688 et </w:t>
            </w:r>
            <w:r w:rsidRPr="00FE6980">
              <w:rPr>
                <w:i/>
                <w:szCs w:val="20"/>
                <w:lang w:val="fr-CA"/>
              </w:rPr>
              <w:t>R. c.</w:t>
            </w:r>
            <w:r w:rsidRPr="00FE6980">
              <w:rPr>
                <w:szCs w:val="20"/>
                <w:lang w:val="fr-CA"/>
              </w:rPr>
              <w:t xml:space="preserve"> </w:t>
            </w:r>
            <w:proofErr w:type="spellStart"/>
            <w:r w:rsidRPr="00FE6980">
              <w:rPr>
                <w:i/>
                <w:szCs w:val="20"/>
                <w:lang w:val="fr-CA"/>
              </w:rPr>
              <w:t>Ipeelee</w:t>
            </w:r>
            <w:proofErr w:type="spellEnd"/>
            <w:r w:rsidRPr="00FE6980">
              <w:rPr>
                <w:szCs w:val="20"/>
                <w:lang w:val="fr-CA"/>
              </w:rPr>
              <w:t xml:space="preserve">  (2012 CSC 13) et a-t-elle commis une erreur en concluant à tort que l’on ne pouvait pas « vraisemblablement s’attendre » à ce que le public soit protégé contre le demandeur? – La Cour d’appel a-t-elle eu tort de ne pas avoir dûment pris en considération le principe de proportionnalité dans la détermination de la peine? – La Cour d’appel a-t-elle eu tort de ne pas avoir dûment pris en considération le principe de retenue dans la détermination de la peine? – La Cour d’appel a-t-elle eu tort de conclure que la preuve ne pouvait justifier l’imposition d’une peine moins sévère en application du par. 753(4.1) du </w:t>
            </w:r>
            <w:r w:rsidRPr="00FE6980">
              <w:rPr>
                <w:i/>
                <w:szCs w:val="20"/>
                <w:lang w:val="fr-CA"/>
              </w:rPr>
              <w:t>Code criminel</w:t>
            </w:r>
            <w:r w:rsidRPr="00FE6980">
              <w:rPr>
                <w:szCs w:val="20"/>
                <w:lang w:val="fr-CA"/>
              </w:rPr>
              <w:t>?</w:t>
            </w:r>
          </w:p>
          <w:p w:rsidR="0026298F" w:rsidRPr="00FE6980" w:rsidRDefault="0026298F" w:rsidP="0026298F">
            <w:pPr>
              <w:pStyle w:val="SCCShortJudgment"/>
              <w:ind w:firstLine="0"/>
              <w:rPr>
                <w:rFonts w:cs="Times New Roman"/>
                <w:szCs w:val="20"/>
                <w:lang w:val="fr-CA"/>
              </w:rPr>
            </w:pPr>
          </w:p>
        </w:tc>
      </w:tr>
      <w:tr w:rsidR="0026298F" w:rsidRPr="00FE6980" w:rsidTr="00270FF2">
        <w:trPr>
          <w:cantSplit/>
        </w:trPr>
        <w:tc>
          <w:tcPr>
            <w:tcW w:w="9576" w:type="dxa"/>
            <w:gridSpan w:val="3"/>
          </w:tcPr>
          <w:p w:rsidR="0026298F" w:rsidRPr="00FE6980" w:rsidRDefault="0026298F" w:rsidP="0026298F">
            <w:pPr>
              <w:jc w:val="both"/>
              <w:rPr>
                <w:sz w:val="20"/>
                <w:szCs w:val="20"/>
                <w:lang w:val="fr-CA"/>
              </w:rPr>
            </w:pPr>
            <w:r w:rsidRPr="00FE6980">
              <w:rPr>
                <w:sz w:val="20"/>
                <w:szCs w:val="20"/>
                <w:lang w:val="fr-CA"/>
              </w:rPr>
              <w:t xml:space="preserve">Le demandeur, un Autochtone, a un lourd casier judiciaire d’agressions sexuelles. Le ministère public </w:t>
            </w:r>
            <w:proofErr w:type="gramStart"/>
            <w:r w:rsidRPr="00FE6980">
              <w:rPr>
                <w:sz w:val="20"/>
                <w:szCs w:val="20"/>
                <w:lang w:val="fr-CA"/>
              </w:rPr>
              <w:t>a</w:t>
            </w:r>
            <w:proofErr w:type="gramEnd"/>
            <w:r w:rsidRPr="00FE6980">
              <w:rPr>
                <w:sz w:val="20"/>
                <w:szCs w:val="20"/>
                <w:lang w:val="fr-CA"/>
              </w:rPr>
              <w:t xml:space="preserve"> demandé qu’il soit déclaré délinquant dangereux. Le juge chargé de la détermination de la peine a conclu que les conditions légales avaient été réunies. Le demandeur a été déclaré délinquant dangereux, condamné à une peine d’une durée déterminée de cinq ans et fait l’objet d’une ordonnance de surveillance de longue durée, à savoir de trois ans. La Cour d’appel a accueilli la demande d’autorisation d’appel de la peine présentée par le ministère public et a accueilli l’appel de la peine. Une peine d’une durée indéterminée a été imposée.</w:t>
            </w:r>
          </w:p>
          <w:p w:rsidR="0026298F" w:rsidRPr="00FE6980" w:rsidRDefault="0026298F" w:rsidP="0026298F">
            <w:pPr>
              <w:jc w:val="both"/>
              <w:rPr>
                <w:rFonts w:cs="Times New Roman"/>
                <w:sz w:val="20"/>
                <w:szCs w:val="20"/>
                <w:lang w:val="fr-CA"/>
              </w:rPr>
            </w:pPr>
          </w:p>
        </w:tc>
      </w:tr>
      <w:tr w:rsidR="0026298F" w:rsidRPr="00E433FF" w:rsidTr="00270FF2">
        <w:trPr>
          <w:cantSplit/>
        </w:trPr>
        <w:tc>
          <w:tcPr>
            <w:tcW w:w="4410" w:type="dxa"/>
          </w:tcPr>
          <w:p w:rsidR="0026298F" w:rsidRPr="00FE6980" w:rsidRDefault="0026298F" w:rsidP="0026298F">
            <w:pPr>
              <w:jc w:val="both"/>
              <w:rPr>
                <w:sz w:val="20"/>
                <w:szCs w:val="20"/>
                <w:lang w:val="fr-CA"/>
              </w:rPr>
            </w:pPr>
            <w:r w:rsidRPr="00FE6980">
              <w:rPr>
                <w:sz w:val="20"/>
                <w:szCs w:val="20"/>
                <w:lang w:val="fr-CA"/>
              </w:rPr>
              <w:t>17 mars 2014</w:t>
            </w:r>
          </w:p>
          <w:p w:rsidR="0026298F" w:rsidRPr="00FE6980" w:rsidRDefault="0026298F" w:rsidP="0026298F">
            <w:pPr>
              <w:jc w:val="both"/>
              <w:rPr>
                <w:sz w:val="20"/>
                <w:szCs w:val="20"/>
                <w:lang w:val="fr-CA"/>
              </w:rPr>
            </w:pPr>
            <w:r w:rsidRPr="00FE6980">
              <w:rPr>
                <w:sz w:val="20"/>
                <w:szCs w:val="20"/>
                <w:lang w:val="fr-CA"/>
              </w:rPr>
              <w:t xml:space="preserve">Cour du Banc de la Reine de la Saskatchewan </w:t>
            </w:r>
          </w:p>
          <w:p w:rsidR="0026298F" w:rsidRPr="00FE6980" w:rsidRDefault="0026298F" w:rsidP="0026298F">
            <w:pPr>
              <w:jc w:val="both"/>
              <w:rPr>
                <w:sz w:val="20"/>
                <w:szCs w:val="20"/>
                <w:lang w:val="fr-CA"/>
              </w:rPr>
            </w:pPr>
            <w:r w:rsidRPr="00FE6980">
              <w:rPr>
                <w:sz w:val="20"/>
                <w:szCs w:val="20"/>
                <w:lang w:val="fr-CA"/>
              </w:rPr>
              <w:t>(Juge Mills)</w:t>
            </w:r>
          </w:p>
          <w:p w:rsidR="0026298F" w:rsidRPr="00FE6980" w:rsidRDefault="0026298F" w:rsidP="0026298F">
            <w:pPr>
              <w:jc w:val="both"/>
              <w:rPr>
                <w:sz w:val="20"/>
                <w:szCs w:val="20"/>
                <w:lang w:val="fr-CA"/>
              </w:rPr>
            </w:pPr>
            <w:r w:rsidRPr="00FE6980">
              <w:rPr>
                <w:sz w:val="20"/>
                <w:szCs w:val="20"/>
                <w:lang w:val="fr-CA"/>
              </w:rPr>
              <w:t>2014 SKQB 75</w:t>
            </w:r>
          </w:p>
          <w:p w:rsidR="0026298F" w:rsidRPr="00FE6980" w:rsidRDefault="00E433FF" w:rsidP="0026298F">
            <w:pPr>
              <w:jc w:val="both"/>
              <w:rPr>
                <w:rStyle w:val="documentstaticurl"/>
                <w:sz w:val="20"/>
                <w:szCs w:val="20"/>
                <w:u w:val="single"/>
                <w:lang w:val="fr-CA"/>
              </w:rPr>
            </w:pPr>
            <w:hyperlink r:id="rId48" w:history="1">
              <w:r w:rsidR="0026298F" w:rsidRPr="00FE6980">
                <w:rPr>
                  <w:rStyle w:val="Hyperlink"/>
                  <w:sz w:val="20"/>
                  <w:szCs w:val="20"/>
                  <w:lang w:val="fr-CA"/>
                </w:rPr>
                <w:t>http://canlii.ca/t/g6g1w</w:t>
              </w:r>
            </w:hyperlink>
          </w:p>
          <w:p w:rsidR="0026298F" w:rsidRPr="00FE6980" w:rsidRDefault="0026298F" w:rsidP="0026298F">
            <w:pPr>
              <w:pStyle w:val="SCCShortJudgment"/>
              <w:ind w:firstLine="0"/>
              <w:rPr>
                <w:rFonts w:cs="Times New Roman"/>
                <w:szCs w:val="20"/>
                <w:lang w:val="fr-CA"/>
              </w:rPr>
            </w:pPr>
          </w:p>
        </w:tc>
        <w:tc>
          <w:tcPr>
            <w:tcW w:w="630" w:type="dxa"/>
          </w:tcPr>
          <w:p w:rsidR="0026298F" w:rsidRPr="00FE6980" w:rsidRDefault="0026298F" w:rsidP="0026298F">
            <w:pPr>
              <w:pStyle w:val="SCCShortJudgment"/>
              <w:ind w:firstLine="0"/>
              <w:rPr>
                <w:rFonts w:cs="Times New Roman"/>
                <w:szCs w:val="20"/>
                <w:lang w:val="fr-CA"/>
              </w:rPr>
            </w:pPr>
          </w:p>
        </w:tc>
        <w:tc>
          <w:tcPr>
            <w:tcW w:w="4536" w:type="dxa"/>
          </w:tcPr>
          <w:p w:rsidR="0026298F" w:rsidRPr="00FE6980" w:rsidRDefault="0026298F" w:rsidP="0026298F">
            <w:pPr>
              <w:jc w:val="both"/>
              <w:rPr>
                <w:sz w:val="20"/>
                <w:szCs w:val="20"/>
                <w:lang w:val="fr-CA"/>
              </w:rPr>
            </w:pPr>
            <w:r w:rsidRPr="00FE6980">
              <w:rPr>
                <w:sz w:val="20"/>
                <w:szCs w:val="20"/>
                <w:lang w:val="fr-CA"/>
              </w:rPr>
              <w:t>Imposition de la peine : déclaration de délinquant dangereux, peine d’une durée déterminée de cinq et ordonnance de surveillance de longue durée (trois ans)</w:t>
            </w:r>
          </w:p>
          <w:p w:rsidR="0026298F" w:rsidRPr="00FE6980" w:rsidRDefault="0026298F" w:rsidP="0026298F">
            <w:pPr>
              <w:pStyle w:val="SCCShortJudgment"/>
              <w:ind w:firstLine="0"/>
              <w:rPr>
                <w:rFonts w:cs="Times New Roman"/>
                <w:szCs w:val="20"/>
                <w:lang w:val="fr-CA"/>
              </w:rPr>
            </w:pPr>
          </w:p>
        </w:tc>
      </w:tr>
      <w:tr w:rsidR="0026298F" w:rsidRPr="00E433FF" w:rsidTr="00270FF2">
        <w:trPr>
          <w:cantSplit/>
        </w:trPr>
        <w:tc>
          <w:tcPr>
            <w:tcW w:w="4410" w:type="dxa"/>
          </w:tcPr>
          <w:p w:rsidR="0026298F" w:rsidRPr="00FE6980" w:rsidRDefault="0026298F" w:rsidP="0026298F">
            <w:pPr>
              <w:jc w:val="both"/>
              <w:rPr>
                <w:sz w:val="20"/>
                <w:szCs w:val="20"/>
                <w:lang w:val="fr-CA"/>
              </w:rPr>
            </w:pPr>
            <w:r w:rsidRPr="00FE6980">
              <w:rPr>
                <w:sz w:val="20"/>
                <w:szCs w:val="20"/>
                <w:lang w:val="fr-CA"/>
              </w:rPr>
              <w:t>8 décembre 2015</w:t>
            </w:r>
          </w:p>
          <w:p w:rsidR="0026298F" w:rsidRPr="00FE6980" w:rsidRDefault="0026298F" w:rsidP="0026298F">
            <w:pPr>
              <w:jc w:val="both"/>
              <w:rPr>
                <w:sz w:val="20"/>
                <w:szCs w:val="20"/>
                <w:lang w:val="fr-CA"/>
              </w:rPr>
            </w:pPr>
            <w:r w:rsidRPr="00FE6980">
              <w:rPr>
                <w:sz w:val="20"/>
                <w:szCs w:val="20"/>
                <w:lang w:val="fr-CA"/>
              </w:rPr>
              <w:t xml:space="preserve">Cour d’appel de la Saskatchewan </w:t>
            </w:r>
          </w:p>
          <w:p w:rsidR="0026298F" w:rsidRPr="00FE6980" w:rsidRDefault="0026298F" w:rsidP="0026298F">
            <w:pPr>
              <w:jc w:val="both"/>
              <w:rPr>
                <w:sz w:val="20"/>
                <w:szCs w:val="20"/>
                <w:lang w:val="fr-CA"/>
              </w:rPr>
            </w:pPr>
            <w:r w:rsidRPr="00FE6980">
              <w:rPr>
                <w:sz w:val="20"/>
                <w:szCs w:val="20"/>
                <w:lang w:val="fr-CA"/>
              </w:rPr>
              <w:t xml:space="preserve">(Juges </w:t>
            </w:r>
            <w:proofErr w:type="spellStart"/>
            <w:r w:rsidRPr="00FE6980">
              <w:rPr>
                <w:sz w:val="20"/>
                <w:szCs w:val="20"/>
                <w:lang w:val="fr-CA"/>
              </w:rPr>
              <w:t>Ottenbreit</w:t>
            </w:r>
            <w:proofErr w:type="spellEnd"/>
            <w:r w:rsidRPr="00FE6980">
              <w:rPr>
                <w:sz w:val="20"/>
                <w:szCs w:val="20"/>
                <w:lang w:val="fr-CA"/>
              </w:rPr>
              <w:t xml:space="preserve">, </w:t>
            </w:r>
            <w:proofErr w:type="spellStart"/>
            <w:r w:rsidRPr="00FE6980">
              <w:rPr>
                <w:sz w:val="20"/>
                <w:szCs w:val="20"/>
                <w:lang w:val="fr-CA"/>
              </w:rPr>
              <w:t>Herauf</w:t>
            </w:r>
            <w:proofErr w:type="spellEnd"/>
            <w:r w:rsidRPr="00FE6980">
              <w:rPr>
                <w:sz w:val="20"/>
                <w:szCs w:val="20"/>
                <w:lang w:val="fr-CA"/>
              </w:rPr>
              <w:t xml:space="preserve"> et </w:t>
            </w:r>
            <w:proofErr w:type="spellStart"/>
            <w:r w:rsidRPr="00FE6980">
              <w:rPr>
                <w:sz w:val="20"/>
                <w:szCs w:val="20"/>
                <w:lang w:val="fr-CA"/>
              </w:rPr>
              <w:t>Whitmore</w:t>
            </w:r>
            <w:proofErr w:type="spellEnd"/>
            <w:r w:rsidRPr="00FE6980">
              <w:rPr>
                <w:sz w:val="20"/>
                <w:szCs w:val="20"/>
                <w:lang w:val="fr-CA"/>
              </w:rPr>
              <w:t>)</w:t>
            </w:r>
          </w:p>
          <w:p w:rsidR="0026298F" w:rsidRPr="00FE6980" w:rsidRDefault="0026298F" w:rsidP="0026298F">
            <w:pPr>
              <w:jc w:val="both"/>
              <w:rPr>
                <w:sz w:val="20"/>
                <w:szCs w:val="20"/>
                <w:lang w:val="fr-CA"/>
              </w:rPr>
            </w:pPr>
            <w:r w:rsidRPr="00FE6980">
              <w:rPr>
                <w:sz w:val="20"/>
                <w:szCs w:val="20"/>
                <w:lang w:val="fr-CA"/>
              </w:rPr>
              <w:t>2015 SKCA 134; CACR2419</w:t>
            </w:r>
          </w:p>
          <w:p w:rsidR="0026298F" w:rsidRPr="00FE6980" w:rsidRDefault="00E433FF" w:rsidP="0026298F">
            <w:pPr>
              <w:jc w:val="both"/>
              <w:rPr>
                <w:sz w:val="20"/>
                <w:szCs w:val="20"/>
                <w:u w:val="single"/>
                <w:lang w:val="fr-CA"/>
              </w:rPr>
            </w:pPr>
            <w:hyperlink r:id="rId49" w:history="1">
              <w:r w:rsidR="0026298F" w:rsidRPr="00FE6980">
                <w:rPr>
                  <w:rStyle w:val="Hyperlink"/>
                  <w:rFonts w:eastAsiaTheme="majorEastAsia"/>
                  <w:sz w:val="20"/>
                  <w:szCs w:val="20"/>
                  <w:lang w:val="fr-CA"/>
                </w:rPr>
                <w:t>http://canlii.ca/t/gmjrn</w:t>
              </w:r>
            </w:hyperlink>
          </w:p>
          <w:p w:rsidR="0026298F" w:rsidRPr="00FE6980" w:rsidRDefault="0026298F" w:rsidP="0026298F">
            <w:pPr>
              <w:pStyle w:val="SCCShortJudgment"/>
              <w:ind w:firstLine="0"/>
              <w:rPr>
                <w:rFonts w:cs="Times New Roman"/>
                <w:szCs w:val="20"/>
                <w:lang w:val="fr-CA"/>
              </w:rPr>
            </w:pPr>
          </w:p>
        </w:tc>
        <w:tc>
          <w:tcPr>
            <w:tcW w:w="630" w:type="dxa"/>
          </w:tcPr>
          <w:p w:rsidR="0026298F" w:rsidRPr="00FE6980" w:rsidRDefault="0026298F" w:rsidP="0026298F">
            <w:pPr>
              <w:pStyle w:val="SCCShortJudgment"/>
              <w:ind w:firstLine="0"/>
              <w:rPr>
                <w:rFonts w:cs="Times New Roman"/>
                <w:szCs w:val="20"/>
                <w:lang w:val="fr-CA"/>
              </w:rPr>
            </w:pPr>
          </w:p>
        </w:tc>
        <w:tc>
          <w:tcPr>
            <w:tcW w:w="4536" w:type="dxa"/>
          </w:tcPr>
          <w:p w:rsidR="0026298F" w:rsidRPr="00FE6980" w:rsidRDefault="0026298F" w:rsidP="0026298F">
            <w:pPr>
              <w:jc w:val="both"/>
              <w:rPr>
                <w:sz w:val="20"/>
                <w:szCs w:val="20"/>
                <w:lang w:val="fr-CA"/>
              </w:rPr>
            </w:pPr>
            <w:r w:rsidRPr="00FE6980">
              <w:rPr>
                <w:sz w:val="20"/>
                <w:szCs w:val="20"/>
                <w:lang w:val="fr-CA"/>
              </w:rPr>
              <w:t xml:space="preserve">Arrêt accueillant la demande d’autorisation d’appel de la peine, accueillant l’appel de la peine et imposant une peine d’une durée indéterminée </w:t>
            </w:r>
          </w:p>
          <w:p w:rsidR="0026298F" w:rsidRPr="00FE6980" w:rsidRDefault="0026298F" w:rsidP="0026298F">
            <w:pPr>
              <w:pStyle w:val="SCCShortJudgment"/>
              <w:ind w:firstLine="0"/>
              <w:rPr>
                <w:rFonts w:cs="Times New Roman"/>
                <w:szCs w:val="20"/>
                <w:lang w:val="fr-CA"/>
              </w:rPr>
            </w:pPr>
          </w:p>
        </w:tc>
      </w:tr>
      <w:tr w:rsidR="0026298F" w:rsidRPr="00E433FF" w:rsidTr="00270FF2">
        <w:trPr>
          <w:cantSplit/>
        </w:trPr>
        <w:tc>
          <w:tcPr>
            <w:tcW w:w="4410" w:type="dxa"/>
          </w:tcPr>
          <w:p w:rsidR="0026298F" w:rsidRPr="00FE6980" w:rsidRDefault="0026298F" w:rsidP="0026298F">
            <w:pPr>
              <w:jc w:val="both"/>
              <w:rPr>
                <w:sz w:val="20"/>
                <w:szCs w:val="20"/>
                <w:lang w:val="fr-CA"/>
              </w:rPr>
            </w:pPr>
            <w:r w:rsidRPr="00FE6980">
              <w:rPr>
                <w:sz w:val="20"/>
                <w:szCs w:val="20"/>
                <w:lang w:val="fr-CA"/>
              </w:rPr>
              <w:t>8 avril 2016</w:t>
            </w:r>
          </w:p>
          <w:p w:rsidR="0026298F" w:rsidRPr="00FE6980" w:rsidRDefault="0026298F" w:rsidP="0026298F">
            <w:pPr>
              <w:jc w:val="both"/>
              <w:rPr>
                <w:sz w:val="20"/>
                <w:szCs w:val="20"/>
                <w:lang w:val="fr-CA"/>
              </w:rPr>
            </w:pPr>
            <w:r w:rsidRPr="00FE6980">
              <w:rPr>
                <w:sz w:val="20"/>
                <w:szCs w:val="20"/>
                <w:lang w:val="fr-CA"/>
              </w:rPr>
              <w:t>Cour suprême du Canada</w:t>
            </w:r>
          </w:p>
          <w:p w:rsidR="0026298F" w:rsidRPr="00FE6980" w:rsidRDefault="0026298F" w:rsidP="0026298F">
            <w:pPr>
              <w:pStyle w:val="SCCShortJudgment"/>
              <w:ind w:firstLine="0"/>
              <w:rPr>
                <w:rFonts w:cs="Times New Roman"/>
                <w:szCs w:val="20"/>
                <w:lang w:val="fr-CA"/>
              </w:rPr>
            </w:pPr>
          </w:p>
        </w:tc>
        <w:tc>
          <w:tcPr>
            <w:tcW w:w="630" w:type="dxa"/>
          </w:tcPr>
          <w:p w:rsidR="0026298F" w:rsidRPr="00FE6980" w:rsidRDefault="0026298F" w:rsidP="0026298F">
            <w:pPr>
              <w:pStyle w:val="SCCShortJudgment"/>
              <w:ind w:firstLine="0"/>
              <w:rPr>
                <w:rFonts w:cs="Times New Roman"/>
                <w:szCs w:val="20"/>
                <w:lang w:val="fr-CA"/>
              </w:rPr>
            </w:pPr>
          </w:p>
        </w:tc>
        <w:tc>
          <w:tcPr>
            <w:tcW w:w="4536" w:type="dxa"/>
          </w:tcPr>
          <w:p w:rsidR="0026298F" w:rsidRPr="00FE6980" w:rsidRDefault="0026298F" w:rsidP="0026298F">
            <w:pPr>
              <w:pStyle w:val="SCCShortJudgment"/>
              <w:ind w:firstLine="0"/>
              <w:rPr>
                <w:rFonts w:cs="Times New Roman"/>
                <w:szCs w:val="20"/>
                <w:lang w:val="fr-CA"/>
              </w:rPr>
            </w:pPr>
            <w:r w:rsidRPr="00FE6980">
              <w:rPr>
                <w:szCs w:val="20"/>
                <w:lang w:val="fr-CA"/>
              </w:rPr>
              <w:t>Dépôt de la requête en prorogation du délai de signification et de dépôt de la demande d’autorisation d’appel et de la demande d’autorisation d’appel</w:t>
            </w:r>
          </w:p>
        </w:tc>
      </w:tr>
    </w:tbl>
    <w:p w:rsidR="0026298F" w:rsidRPr="00FE6980" w:rsidRDefault="00E433FF" w:rsidP="0026298F">
      <w:pPr>
        <w:rPr>
          <w:rFonts w:cs="Times New Roman"/>
          <w:sz w:val="20"/>
          <w:szCs w:val="20"/>
          <w:lang w:val="fr-CA"/>
        </w:rPr>
      </w:pPr>
      <w:r>
        <w:rPr>
          <w:rFonts w:cs="Times New Roman"/>
          <w:sz w:val="20"/>
          <w:szCs w:val="20"/>
          <w:lang w:val="fr-CA"/>
        </w:rPr>
        <w:pict>
          <v:rect id="_x0000_i1058" style="width:2in;height:1pt" o:hrpct="0" o:hralign="center" o:hrstd="t" o:hrnoshade="t" o:hr="t" fillcolor="black [3213]" stroked="f"/>
        </w:pict>
      </w:r>
    </w:p>
    <w:p w:rsidR="0026298F" w:rsidRPr="00FE6980" w:rsidRDefault="0026298F" w:rsidP="0026298F"/>
    <w:p w:rsidR="00890FEB" w:rsidRPr="00FE6980" w:rsidRDefault="00890FEB" w:rsidP="008D292F">
      <w:pPr>
        <w:rPr>
          <w:sz w:val="20"/>
          <w:szCs w:val="20"/>
          <w:lang w:val="fr-CA"/>
        </w:rPr>
      </w:pPr>
    </w:p>
    <w:p w:rsidR="00890FEB" w:rsidRPr="00FE6980" w:rsidRDefault="00890FEB" w:rsidP="008D292F">
      <w:pPr>
        <w:rPr>
          <w:b/>
          <w:sz w:val="20"/>
          <w:szCs w:val="20"/>
          <w:lang w:val="fr-CA"/>
        </w:rPr>
        <w:sectPr w:rsidR="00890FEB" w:rsidRPr="00FE6980" w:rsidSect="008D292F">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FE6980" w:rsidTr="00BA6468">
        <w:tc>
          <w:tcPr>
            <w:tcW w:w="4230" w:type="dxa"/>
            <w:shd w:val="clear" w:color="auto" w:fill="auto"/>
            <w:tcMar>
              <w:left w:w="0" w:type="dxa"/>
              <w:right w:w="0" w:type="dxa"/>
            </w:tcMar>
          </w:tcPr>
          <w:p w:rsidR="00890FEB" w:rsidRPr="00FE6980" w:rsidRDefault="00890FEB" w:rsidP="00EB2B90">
            <w:pPr>
              <w:keepNext/>
              <w:keepLines/>
              <w:tabs>
                <w:tab w:val="left" w:pos="-1440"/>
                <w:tab w:val="left" w:pos="-720"/>
              </w:tabs>
              <w:jc w:val="both"/>
              <w:rPr>
                <w:szCs w:val="24"/>
              </w:rPr>
            </w:pPr>
            <w:r w:rsidRPr="00FE6980">
              <w:rPr>
                <w:b/>
                <w:szCs w:val="24"/>
              </w:rPr>
              <w:t>MOTIONS</w:t>
            </w:r>
          </w:p>
        </w:tc>
        <w:tc>
          <w:tcPr>
            <w:tcW w:w="1170" w:type="dxa"/>
            <w:shd w:val="clear" w:color="auto" w:fill="auto"/>
            <w:tcMar>
              <w:left w:w="0" w:type="dxa"/>
              <w:right w:w="0" w:type="dxa"/>
            </w:tcMar>
          </w:tcPr>
          <w:p w:rsidR="00890FEB" w:rsidRPr="00FE6980" w:rsidRDefault="00890FEB" w:rsidP="00890FEB">
            <w:pPr>
              <w:keepNext/>
              <w:keepLines/>
              <w:tabs>
                <w:tab w:val="left" w:pos="-1440"/>
                <w:tab w:val="left" w:pos="-720"/>
              </w:tabs>
              <w:jc w:val="center"/>
              <w:rPr>
                <w:szCs w:val="24"/>
              </w:rPr>
            </w:pPr>
          </w:p>
          <w:p w:rsidR="00890FEB" w:rsidRPr="00FE6980"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FE6980" w:rsidRDefault="00890FEB" w:rsidP="00831CA9">
            <w:pPr>
              <w:keepNext/>
              <w:keepLines/>
              <w:tabs>
                <w:tab w:val="left" w:pos="-1440"/>
                <w:tab w:val="left" w:pos="-720"/>
              </w:tabs>
              <w:rPr>
                <w:szCs w:val="24"/>
                <w:lang w:val="fr-CA"/>
              </w:rPr>
            </w:pPr>
            <w:r w:rsidRPr="00FE6980">
              <w:rPr>
                <w:b/>
                <w:szCs w:val="24"/>
                <w:lang w:val="fr-CA"/>
              </w:rPr>
              <w:t>REQUÊTES</w:t>
            </w:r>
          </w:p>
        </w:tc>
      </w:tr>
    </w:tbl>
    <w:p w:rsidR="00890FEB" w:rsidRPr="00FE6980" w:rsidRDefault="00890FEB" w:rsidP="00890FEB">
      <w:pPr>
        <w:rPr>
          <w:rFonts w:cs="Times New Roman"/>
          <w:sz w:val="20"/>
          <w:szCs w:val="20"/>
        </w:rPr>
      </w:pPr>
    </w:p>
    <w:p w:rsidR="00640E6B" w:rsidRPr="00FE6980" w:rsidRDefault="00640E6B" w:rsidP="00640E6B">
      <w:pPr>
        <w:tabs>
          <w:tab w:val="left" w:pos="-1440"/>
          <w:tab w:val="left" w:pos="-720"/>
        </w:tabs>
        <w:jc w:val="both"/>
        <w:rPr>
          <w:rFonts w:cs="Times New Roman"/>
          <w:sz w:val="20"/>
          <w:szCs w:val="20"/>
          <w:lang w:val="fr-CA"/>
        </w:rPr>
      </w:pPr>
      <w:r w:rsidRPr="00FE6980">
        <w:rPr>
          <w:rFonts w:cs="Times New Roman"/>
          <w:sz w:val="20"/>
          <w:szCs w:val="20"/>
          <w:lang w:val="fr-CA"/>
        </w:rPr>
        <w:t>06.06.2016</w:t>
      </w:r>
    </w:p>
    <w:p w:rsidR="00640E6B" w:rsidRPr="00FE6980" w:rsidRDefault="00640E6B" w:rsidP="00640E6B">
      <w:pPr>
        <w:tabs>
          <w:tab w:val="left" w:pos="-1440"/>
          <w:tab w:val="left" w:pos="-720"/>
        </w:tabs>
        <w:jc w:val="both"/>
        <w:rPr>
          <w:rFonts w:cs="Times New Roman"/>
          <w:sz w:val="20"/>
          <w:szCs w:val="20"/>
          <w:lang w:val="fr-CA"/>
        </w:rPr>
      </w:pPr>
    </w:p>
    <w:p w:rsidR="00640E6B" w:rsidRPr="00FE6980" w:rsidRDefault="00640E6B" w:rsidP="00640E6B">
      <w:pPr>
        <w:tabs>
          <w:tab w:val="left" w:pos="-1440"/>
          <w:tab w:val="left" w:pos="-720"/>
        </w:tabs>
        <w:jc w:val="both"/>
        <w:rPr>
          <w:rFonts w:cs="Times New Roman"/>
          <w:sz w:val="20"/>
          <w:szCs w:val="20"/>
        </w:rPr>
      </w:pPr>
      <w:r w:rsidRPr="00FE6980">
        <w:rPr>
          <w:rFonts w:cs="Times New Roman"/>
          <w:sz w:val="20"/>
          <w:szCs w:val="20"/>
        </w:rPr>
        <w:t xml:space="preserve">Before / </w:t>
      </w:r>
      <w:proofErr w:type="spellStart"/>
      <w:r w:rsidRPr="00FE6980">
        <w:rPr>
          <w:rFonts w:cs="Times New Roman"/>
          <w:sz w:val="20"/>
          <w:szCs w:val="20"/>
        </w:rPr>
        <w:t>Devant</w:t>
      </w:r>
      <w:proofErr w:type="spellEnd"/>
      <w:r w:rsidRPr="00FE6980">
        <w:rPr>
          <w:rFonts w:cs="Times New Roman"/>
          <w:sz w:val="20"/>
          <w:szCs w:val="20"/>
        </w:rPr>
        <w:t>:   THE REGISTRAR / LE REGISTRAIRE</w:t>
      </w:r>
    </w:p>
    <w:p w:rsidR="00640E6B" w:rsidRPr="00FE6980" w:rsidRDefault="00640E6B" w:rsidP="00640E6B">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640E6B" w:rsidRPr="00E433FF" w:rsidTr="00C91E26">
        <w:tc>
          <w:tcPr>
            <w:tcW w:w="4338" w:type="dxa"/>
          </w:tcPr>
          <w:p w:rsidR="00640E6B" w:rsidRPr="00FE6980" w:rsidRDefault="00640E6B" w:rsidP="00C91E26">
            <w:pPr>
              <w:tabs>
                <w:tab w:val="left" w:pos="-1440"/>
                <w:tab w:val="left" w:pos="-720"/>
              </w:tabs>
              <w:jc w:val="both"/>
              <w:rPr>
                <w:rFonts w:cs="Times New Roman"/>
                <w:b/>
                <w:sz w:val="20"/>
                <w:szCs w:val="20"/>
              </w:rPr>
            </w:pPr>
            <w:r w:rsidRPr="00FE6980">
              <w:rPr>
                <w:rFonts w:cs="Times New Roman"/>
                <w:sz w:val="20"/>
                <w:szCs w:val="20"/>
              </w:rPr>
              <w:fldChar w:fldCharType="begin"/>
            </w:r>
            <w:r w:rsidRPr="00FE6980">
              <w:rPr>
                <w:rFonts w:cs="Times New Roman"/>
                <w:sz w:val="20"/>
                <w:szCs w:val="20"/>
              </w:rPr>
              <w:instrText xml:space="preserve"> SEQ CHAPTER \h \r 1</w:instrText>
            </w:r>
            <w:r w:rsidRPr="00FE6980">
              <w:rPr>
                <w:rFonts w:cs="Times New Roman"/>
                <w:sz w:val="20"/>
                <w:szCs w:val="20"/>
              </w:rPr>
              <w:fldChar w:fldCharType="end"/>
            </w:r>
            <w:r w:rsidRPr="00FE6980">
              <w:rPr>
                <w:rFonts w:cs="Times New Roman"/>
                <w:b/>
                <w:bCs/>
                <w:sz w:val="20"/>
                <w:szCs w:val="20"/>
              </w:rPr>
              <w:t>Motion to extend time</w:t>
            </w:r>
          </w:p>
        </w:tc>
        <w:tc>
          <w:tcPr>
            <w:tcW w:w="1170" w:type="dxa"/>
          </w:tcPr>
          <w:p w:rsidR="00640E6B" w:rsidRPr="00FE6980" w:rsidRDefault="00640E6B" w:rsidP="00C91E26">
            <w:pPr>
              <w:tabs>
                <w:tab w:val="left" w:pos="-1440"/>
                <w:tab w:val="left" w:pos="-720"/>
              </w:tabs>
              <w:jc w:val="both"/>
              <w:rPr>
                <w:rFonts w:cs="Times New Roman"/>
                <w:sz w:val="20"/>
                <w:szCs w:val="20"/>
              </w:rPr>
            </w:pPr>
          </w:p>
          <w:p w:rsidR="00640E6B" w:rsidRPr="00FE6980" w:rsidRDefault="00640E6B" w:rsidP="00C91E26">
            <w:pPr>
              <w:tabs>
                <w:tab w:val="left" w:pos="-1440"/>
                <w:tab w:val="left" w:pos="-720"/>
              </w:tabs>
              <w:jc w:val="both"/>
              <w:rPr>
                <w:rFonts w:cs="Times New Roman"/>
                <w:sz w:val="20"/>
                <w:szCs w:val="20"/>
              </w:rPr>
            </w:pPr>
          </w:p>
        </w:tc>
        <w:tc>
          <w:tcPr>
            <w:tcW w:w="4327" w:type="dxa"/>
          </w:tcPr>
          <w:p w:rsidR="00640E6B" w:rsidRPr="00FE6980" w:rsidRDefault="00640E6B" w:rsidP="00C91E26">
            <w:pPr>
              <w:tabs>
                <w:tab w:val="left" w:pos="-1440"/>
                <w:tab w:val="left" w:pos="-720"/>
              </w:tabs>
              <w:jc w:val="both"/>
              <w:rPr>
                <w:rFonts w:cs="Times New Roman"/>
                <w:sz w:val="20"/>
                <w:szCs w:val="20"/>
                <w:lang w:val="fr-CA"/>
              </w:rPr>
            </w:pPr>
            <w:r w:rsidRPr="00FE6980">
              <w:rPr>
                <w:rFonts w:cs="Times New Roman"/>
                <w:b/>
                <w:bCs/>
                <w:color w:val="000000"/>
                <w:sz w:val="20"/>
                <w:szCs w:val="20"/>
                <w:lang w:val="fr-CA"/>
              </w:rPr>
              <w:t>Requête en prorogation de délai</w:t>
            </w:r>
            <w:r w:rsidRPr="00FE6980">
              <w:rPr>
                <w:rFonts w:cs="Times New Roman"/>
                <w:sz w:val="20"/>
                <w:szCs w:val="20"/>
                <w:lang w:val="fr-CA"/>
              </w:rPr>
              <w:t xml:space="preserve"> </w:t>
            </w:r>
            <w:r w:rsidRPr="00FE6980">
              <w:rPr>
                <w:rFonts w:cs="Times New Roman"/>
                <w:sz w:val="20"/>
                <w:szCs w:val="20"/>
              </w:rPr>
              <w:fldChar w:fldCharType="begin"/>
            </w:r>
            <w:r w:rsidRPr="00FE6980">
              <w:rPr>
                <w:rFonts w:cs="Times New Roman"/>
                <w:sz w:val="20"/>
                <w:szCs w:val="20"/>
                <w:lang w:val="fr-CA"/>
              </w:rPr>
              <w:instrText xml:space="preserve"> SEQ CHAPTER \h \r 1</w:instrText>
            </w:r>
            <w:r w:rsidRPr="00FE6980">
              <w:rPr>
                <w:rFonts w:cs="Times New Roman"/>
                <w:sz w:val="20"/>
                <w:szCs w:val="20"/>
              </w:rPr>
              <w:fldChar w:fldCharType="end"/>
            </w:r>
            <w:r w:rsidRPr="00FE6980">
              <w:rPr>
                <w:rFonts w:cs="Times New Roman"/>
                <w:sz w:val="20"/>
                <w:szCs w:val="20"/>
              </w:rPr>
              <w:fldChar w:fldCharType="begin"/>
            </w:r>
            <w:r w:rsidRPr="00FE6980">
              <w:rPr>
                <w:rFonts w:cs="Times New Roman"/>
                <w:sz w:val="20"/>
                <w:szCs w:val="20"/>
                <w:lang w:val="fr-CA"/>
              </w:rPr>
              <w:instrText xml:space="preserve"> SEQ CHAPTER \h \r 1</w:instrText>
            </w:r>
            <w:r w:rsidRPr="00FE6980">
              <w:rPr>
                <w:rFonts w:cs="Times New Roman"/>
                <w:sz w:val="20"/>
                <w:szCs w:val="20"/>
              </w:rPr>
              <w:fldChar w:fldCharType="end"/>
            </w:r>
          </w:p>
        </w:tc>
      </w:tr>
      <w:tr w:rsidR="00640E6B" w:rsidRPr="00FE6980" w:rsidTr="00C91E26">
        <w:tc>
          <w:tcPr>
            <w:tcW w:w="4338" w:type="dxa"/>
          </w:tcPr>
          <w:p w:rsidR="00640E6B" w:rsidRPr="00FE6980" w:rsidRDefault="00640E6B" w:rsidP="00C91E26">
            <w:pPr>
              <w:tabs>
                <w:tab w:val="left" w:pos="-1440"/>
                <w:tab w:val="left" w:pos="-720"/>
              </w:tabs>
              <w:jc w:val="both"/>
              <w:rPr>
                <w:rFonts w:cs="Times New Roman"/>
                <w:sz w:val="20"/>
                <w:szCs w:val="20"/>
              </w:rPr>
            </w:pPr>
            <w:r w:rsidRPr="00FE6980">
              <w:rPr>
                <w:rFonts w:cs="Times New Roman"/>
                <w:sz w:val="20"/>
                <w:szCs w:val="20"/>
              </w:rPr>
              <w:t>Her Majesty the Queen</w:t>
            </w:r>
          </w:p>
          <w:p w:rsidR="00640E6B" w:rsidRPr="00FE6980" w:rsidRDefault="00640E6B" w:rsidP="00C91E26">
            <w:pPr>
              <w:tabs>
                <w:tab w:val="left" w:pos="-1440"/>
                <w:tab w:val="left" w:pos="-720"/>
              </w:tabs>
              <w:jc w:val="both"/>
              <w:rPr>
                <w:rFonts w:cs="Times New Roman"/>
                <w:sz w:val="20"/>
                <w:szCs w:val="20"/>
              </w:rPr>
            </w:pPr>
          </w:p>
          <w:p w:rsidR="00640E6B" w:rsidRPr="00FE6980" w:rsidRDefault="00640E6B" w:rsidP="00C91E26">
            <w:pPr>
              <w:tabs>
                <w:tab w:val="left" w:pos="-1440"/>
                <w:tab w:val="left" w:pos="-720"/>
              </w:tabs>
              <w:jc w:val="both"/>
              <w:rPr>
                <w:rFonts w:cs="Times New Roman"/>
                <w:sz w:val="20"/>
                <w:szCs w:val="20"/>
              </w:rPr>
            </w:pPr>
            <w:r w:rsidRPr="00FE6980">
              <w:rPr>
                <w:rFonts w:cs="Times New Roman"/>
                <w:sz w:val="20"/>
                <w:szCs w:val="20"/>
              </w:rPr>
              <w:tab/>
              <w:t>v. (36537)</w:t>
            </w:r>
          </w:p>
          <w:p w:rsidR="00640E6B" w:rsidRPr="00FE6980" w:rsidRDefault="00640E6B" w:rsidP="00C91E26">
            <w:pPr>
              <w:tabs>
                <w:tab w:val="left" w:pos="-1440"/>
                <w:tab w:val="left" w:pos="-720"/>
              </w:tabs>
              <w:jc w:val="both"/>
              <w:rPr>
                <w:rFonts w:cs="Times New Roman"/>
                <w:sz w:val="20"/>
                <w:szCs w:val="20"/>
              </w:rPr>
            </w:pPr>
          </w:p>
          <w:p w:rsidR="00640E6B" w:rsidRPr="00FE6980" w:rsidRDefault="00640E6B" w:rsidP="00C91E26">
            <w:pPr>
              <w:tabs>
                <w:tab w:val="left" w:pos="-1440"/>
                <w:tab w:val="left" w:pos="-720"/>
              </w:tabs>
              <w:jc w:val="both"/>
              <w:rPr>
                <w:rFonts w:cs="Times New Roman"/>
                <w:sz w:val="20"/>
                <w:szCs w:val="20"/>
                <w:lang w:val="fr-CA"/>
              </w:rPr>
            </w:pPr>
            <w:r w:rsidRPr="00FE6980">
              <w:rPr>
                <w:rFonts w:cs="Times New Roman"/>
                <w:sz w:val="20"/>
                <w:szCs w:val="20"/>
              </w:rPr>
              <w:t>Robert David Nicholas Bradshaw (B.C.) (Crim.)</w:t>
            </w:r>
          </w:p>
        </w:tc>
        <w:tc>
          <w:tcPr>
            <w:tcW w:w="1170" w:type="dxa"/>
          </w:tcPr>
          <w:p w:rsidR="00640E6B" w:rsidRPr="00FE6980" w:rsidRDefault="00640E6B" w:rsidP="00C91E26">
            <w:pPr>
              <w:tabs>
                <w:tab w:val="left" w:pos="-1440"/>
                <w:tab w:val="left" w:pos="-720"/>
              </w:tabs>
              <w:jc w:val="both"/>
              <w:rPr>
                <w:rFonts w:cs="Times New Roman"/>
                <w:sz w:val="20"/>
                <w:szCs w:val="20"/>
                <w:lang w:val="fr-CA"/>
              </w:rPr>
            </w:pPr>
          </w:p>
        </w:tc>
        <w:tc>
          <w:tcPr>
            <w:tcW w:w="4327" w:type="dxa"/>
          </w:tcPr>
          <w:p w:rsidR="00640E6B" w:rsidRPr="00FE6980" w:rsidRDefault="00640E6B" w:rsidP="00C91E26">
            <w:pPr>
              <w:tabs>
                <w:tab w:val="left" w:pos="-1440"/>
                <w:tab w:val="left" w:pos="-720"/>
              </w:tabs>
              <w:jc w:val="both"/>
              <w:rPr>
                <w:rFonts w:cs="Times New Roman"/>
                <w:sz w:val="20"/>
                <w:szCs w:val="20"/>
                <w:lang w:val="fr-CA"/>
              </w:rPr>
            </w:pPr>
          </w:p>
        </w:tc>
      </w:tr>
    </w:tbl>
    <w:p w:rsidR="00640E6B" w:rsidRPr="00FE6980" w:rsidRDefault="00640E6B" w:rsidP="00640E6B">
      <w:pPr>
        <w:tabs>
          <w:tab w:val="left" w:pos="-1440"/>
          <w:tab w:val="left" w:pos="-720"/>
        </w:tabs>
        <w:jc w:val="both"/>
        <w:rPr>
          <w:rFonts w:cs="Times New Roman"/>
          <w:sz w:val="20"/>
          <w:szCs w:val="20"/>
          <w:lang w:val="fr-CA"/>
        </w:rPr>
      </w:pPr>
    </w:p>
    <w:p w:rsidR="00640E6B" w:rsidRPr="00FE6980" w:rsidRDefault="00640E6B" w:rsidP="00640E6B">
      <w:pPr>
        <w:tabs>
          <w:tab w:val="left" w:pos="-1440"/>
          <w:tab w:val="left" w:pos="-720"/>
        </w:tabs>
        <w:jc w:val="both"/>
        <w:rPr>
          <w:rFonts w:cs="Times New Roman"/>
          <w:b/>
          <w:sz w:val="20"/>
          <w:szCs w:val="20"/>
        </w:rPr>
      </w:pPr>
      <w:r w:rsidRPr="00FE6980">
        <w:rPr>
          <w:rFonts w:cs="Times New Roman"/>
          <w:b/>
          <w:sz w:val="20"/>
          <w:szCs w:val="20"/>
        </w:rPr>
        <w:t>GRANTED / ACCORDÉE</w:t>
      </w:r>
    </w:p>
    <w:p w:rsidR="00640E6B" w:rsidRPr="00FE6980" w:rsidRDefault="00640E6B" w:rsidP="00640E6B">
      <w:pPr>
        <w:tabs>
          <w:tab w:val="left" w:pos="-1440"/>
          <w:tab w:val="left" w:pos="-720"/>
        </w:tabs>
        <w:jc w:val="both"/>
        <w:rPr>
          <w:rFonts w:cs="Times New Roman"/>
          <w:sz w:val="20"/>
          <w:szCs w:val="20"/>
        </w:rPr>
      </w:pPr>
    </w:p>
    <w:p w:rsidR="00640E6B" w:rsidRPr="00FE6980" w:rsidRDefault="00640E6B" w:rsidP="00640E6B">
      <w:pPr>
        <w:rPr>
          <w:rFonts w:cs="Times New Roman"/>
          <w:sz w:val="20"/>
          <w:szCs w:val="20"/>
        </w:rPr>
      </w:pPr>
      <w:r w:rsidRPr="00FE6980">
        <w:rPr>
          <w:rFonts w:cs="Times New Roman"/>
          <w:b/>
          <w:bCs/>
          <w:sz w:val="20"/>
          <w:szCs w:val="20"/>
        </w:rPr>
        <w:t>UPON APPLICATION</w:t>
      </w:r>
      <w:r w:rsidRPr="00FE6980">
        <w:rPr>
          <w:rFonts w:cs="Times New Roman"/>
          <w:sz w:val="20"/>
          <w:szCs w:val="20"/>
        </w:rPr>
        <w:t xml:space="preserve"> by the appellant for an order extending the time to serve and file its Factum, Record, and Book of Authorities to May 27, 2016;</w:t>
      </w:r>
    </w:p>
    <w:p w:rsidR="00640E6B" w:rsidRPr="00FE6980" w:rsidRDefault="00640E6B" w:rsidP="00640E6B">
      <w:pPr>
        <w:rPr>
          <w:rFonts w:cs="Times New Roman"/>
          <w:sz w:val="20"/>
          <w:szCs w:val="20"/>
        </w:rPr>
      </w:pPr>
    </w:p>
    <w:p w:rsidR="00640E6B" w:rsidRPr="00FE6980" w:rsidRDefault="00640E6B" w:rsidP="00640E6B">
      <w:pPr>
        <w:rPr>
          <w:rFonts w:cs="Times New Roman"/>
          <w:sz w:val="20"/>
          <w:szCs w:val="20"/>
        </w:rPr>
      </w:pPr>
      <w:r w:rsidRPr="00FE6980">
        <w:rPr>
          <w:rFonts w:cs="Times New Roman"/>
          <w:b/>
          <w:bCs/>
          <w:sz w:val="20"/>
          <w:szCs w:val="20"/>
        </w:rPr>
        <w:t>AND THE MATERIAL FILED</w:t>
      </w:r>
      <w:r w:rsidRPr="00FE6980">
        <w:rPr>
          <w:rFonts w:cs="Times New Roman"/>
          <w:sz w:val="20"/>
          <w:szCs w:val="20"/>
        </w:rPr>
        <w:t xml:space="preserve"> having been read;</w:t>
      </w:r>
    </w:p>
    <w:p w:rsidR="00640E6B" w:rsidRPr="00FE6980" w:rsidRDefault="00640E6B" w:rsidP="00640E6B">
      <w:pPr>
        <w:rPr>
          <w:rFonts w:cs="Times New Roman"/>
          <w:sz w:val="20"/>
          <w:szCs w:val="20"/>
        </w:rPr>
      </w:pPr>
    </w:p>
    <w:p w:rsidR="00640E6B" w:rsidRPr="00FE6980" w:rsidRDefault="00640E6B" w:rsidP="00640E6B">
      <w:pPr>
        <w:spacing w:line="233" w:lineRule="auto"/>
        <w:jc w:val="both"/>
        <w:rPr>
          <w:rFonts w:cs="Times New Roman"/>
          <w:sz w:val="20"/>
          <w:szCs w:val="20"/>
        </w:rPr>
      </w:pPr>
      <w:r w:rsidRPr="00FE6980">
        <w:rPr>
          <w:rFonts w:cs="Times New Roman"/>
          <w:b/>
          <w:sz w:val="20"/>
          <w:szCs w:val="20"/>
        </w:rPr>
        <w:t>AND NOTING</w:t>
      </w:r>
      <w:r w:rsidRPr="00FE6980">
        <w:rPr>
          <w:rFonts w:cs="Times New Roman"/>
          <w:sz w:val="20"/>
          <w:szCs w:val="20"/>
        </w:rPr>
        <w:t xml:space="preserve"> the consent of the respondent;</w:t>
      </w:r>
    </w:p>
    <w:p w:rsidR="00640E6B" w:rsidRPr="00FE6980" w:rsidRDefault="00640E6B" w:rsidP="00640E6B">
      <w:pPr>
        <w:rPr>
          <w:rFonts w:cs="Times New Roman"/>
          <w:sz w:val="20"/>
          <w:szCs w:val="20"/>
        </w:rPr>
      </w:pPr>
    </w:p>
    <w:p w:rsidR="00640E6B" w:rsidRPr="00FE6980" w:rsidRDefault="00640E6B" w:rsidP="00640E6B">
      <w:pPr>
        <w:rPr>
          <w:rFonts w:cs="Times New Roman"/>
          <w:sz w:val="20"/>
          <w:szCs w:val="20"/>
        </w:rPr>
      </w:pPr>
      <w:r w:rsidRPr="00FE6980">
        <w:rPr>
          <w:rFonts w:cs="Times New Roman"/>
          <w:b/>
          <w:bCs/>
          <w:sz w:val="20"/>
          <w:szCs w:val="20"/>
        </w:rPr>
        <w:t>IT IS HEREBY ORDERED THAT:</w:t>
      </w:r>
    </w:p>
    <w:p w:rsidR="00640E6B" w:rsidRPr="00FE6980" w:rsidRDefault="00640E6B" w:rsidP="00640E6B">
      <w:pPr>
        <w:rPr>
          <w:rFonts w:cs="Times New Roman"/>
          <w:sz w:val="20"/>
          <w:szCs w:val="20"/>
        </w:rPr>
      </w:pPr>
    </w:p>
    <w:p w:rsidR="00640E6B" w:rsidRPr="00FE6980" w:rsidRDefault="00640E6B" w:rsidP="00640E6B">
      <w:pPr>
        <w:rPr>
          <w:rFonts w:cs="Times New Roman"/>
          <w:sz w:val="20"/>
          <w:szCs w:val="20"/>
          <w:lang w:val="fr-CA"/>
        </w:rPr>
      </w:pPr>
      <w:r w:rsidRPr="00FE6980">
        <w:rPr>
          <w:rFonts w:cs="Times New Roman"/>
          <w:sz w:val="20"/>
          <w:szCs w:val="20"/>
          <w:lang w:val="fr-CA"/>
        </w:rPr>
        <w:t xml:space="preserve">The motion </w:t>
      </w:r>
      <w:proofErr w:type="spellStart"/>
      <w:r w:rsidRPr="00FE6980">
        <w:rPr>
          <w:rFonts w:cs="Times New Roman"/>
          <w:sz w:val="20"/>
          <w:szCs w:val="20"/>
          <w:lang w:val="fr-CA"/>
        </w:rPr>
        <w:t>is</w:t>
      </w:r>
      <w:proofErr w:type="spellEnd"/>
      <w:r w:rsidRPr="00FE6980">
        <w:rPr>
          <w:rFonts w:cs="Times New Roman"/>
          <w:sz w:val="20"/>
          <w:szCs w:val="20"/>
          <w:lang w:val="fr-CA"/>
        </w:rPr>
        <w:t xml:space="preserve"> </w:t>
      </w:r>
      <w:proofErr w:type="spellStart"/>
      <w:r w:rsidRPr="00FE6980">
        <w:rPr>
          <w:rFonts w:cs="Times New Roman"/>
          <w:sz w:val="20"/>
          <w:szCs w:val="20"/>
          <w:lang w:val="fr-CA"/>
        </w:rPr>
        <w:t>granted</w:t>
      </w:r>
      <w:proofErr w:type="spellEnd"/>
      <w:r w:rsidRPr="00FE6980">
        <w:rPr>
          <w:rFonts w:cs="Times New Roman"/>
          <w:sz w:val="20"/>
          <w:szCs w:val="20"/>
          <w:lang w:val="fr-CA"/>
        </w:rPr>
        <w:t>.</w:t>
      </w:r>
    </w:p>
    <w:p w:rsidR="00640E6B" w:rsidRPr="00FE6980" w:rsidRDefault="00640E6B" w:rsidP="00640E6B">
      <w:pPr>
        <w:tabs>
          <w:tab w:val="left" w:pos="-1440"/>
          <w:tab w:val="left" w:pos="-720"/>
        </w:tabs>
        <w:jc w:val="both"/>
        <w:rPr>
          <w:rFonts w:cs="Times New Roman"/>
          <w:sz w:val="20"/>
          <w:szCs w:val="20"/>
          <w:lang w:val="fr-CA"/>
        </w:rPr>
      </w:pPr>
    </w:p>
    <w:p w:rsidR="00640E6B" w:rsidRPr="00FE6980" w:rsidRDefault="00640E6B" w:rsidP="00640E6B">
      <w:pPr>
        <w:tabs>
          <w:tab w:val="left" w:pos="-1440"/>
          <w:tab w:val="left" w:pos="-720"/>
        </w:tabs>
        <w:jc w:val="both"/>
        <w:rPr>
          <w:rFonts w:cs="Times New Roman"/>
          <w:sz w:val="20"/>
          <w:szCs w:val="20"/>
          <w:lang w:val="fr-CA"/>
        </w:rPr>
      </w:pPr>
    </w:p>
    <w:p w:rsidR="00640E6B" w:rsidRPr="00FE6980" w:rsidRDefault="00640E6B" w:rsidP="00640E6B">
      <w:pPr>
        <w:tabs>
          <w:tab w:val="left" w:pos="-1440"/>
          <w:tab w:val="left" w:pos="-720"/>
        </w:tabs>
        <w:jc w:val="both"/>
        <w:rPr>
          <w:rFonts w:cs="Times New Roman"/>
          <w:sz w:val="20"/>
          <w:szCs w:val="20"/>
          <w:lang w:val="fr-CA"/>
        </w:rPr>
      </w:pPr>
    </w:p>
    <w:p w:rsidR="00640E6B" w:rsidRPr="00FE6980" w:rsidRDefault="00640E6B" w:rsidP="00640E6B">
      <w:pPr>
        <w:rPr>
          <w:rFonts w:cs="Times New Roman"/>
          <w:sz w:val="20"/>
          <w:szCs w:val="20"/>
          <w:lang w:val="fr-CA"/>
        </w:rPr>
      </w:pPr>
      <w:r w:rsidRPr="00FE6980">
        <w:rPr>
          <w:rFonts w:cs="Times New Roman"/>
          <w:b/>
          <w:bCs/>
          <w:sz w:val="20"/>
          <w:szCs w:val="20"/>
          <w:lang w:val="fr-CA"/>
        </w:rPr>
        <w:t>À LA SUITE DE LA DEMANDE</w:t>
      </w:r>
      <w:r w:rsidRPr="00FE6980">
        <w:rPr>
          <w:rFonts w:cs="Times New Roman"/>
          <w:sz w:val="20"/>
          <w:szCs w:val="20"/>
          <w:lang w:val="fr-CA"/>
        </w:rPr>
        <w:t xml:space="preserve"> de l’appelante sollicitant une ordonnance prorogeant au 27 mai 2016 le délai de signification et de dépôt de ses mémoire, dossier et recueil de sources;</w:t>
      </w:r>
    </w:p>
    <w:p w:rsidR="00640E6B" w:rsidRPr="00FE6980" w:rsidRDefault="00640E6B" w:rsidP="00640E6B">
      <w:pPr>
        <w:rPr>
          <w:rFonts w:cs="Times New Roman"/>
          <w:sz w:val="20"/>
          <w:szCs w:val="20"/>
          <w:lang w:val="fr-CA"/>
        </w:rPr>
      </w:pPr>
    </w:p>
    <w:p w:rsidR="00640E6B" w:rsidRPr="00FE6980" w:rsidRDefault="00640E6B" w:rsidP="00640E6B">
      <w:pPr>
        <w:rPr>
          <w:rFonts w:cs="Times New Roman"/>
          <w:sz w:val="20"/>
          <w:szCs w:val="20"/>
          <w:lang w:val="fr-CA"/>
        </w:rPr>
      </w:pPr>
      <w:r w:rsidRPr="00FE6980">
        <w:rPr>
          <w:rFonts w:cs="Times New Roman"/>
          <w:b/>
          <w:bCs/>
          <w:sz w:val="20"/>
          <w:szCs w:val="20"/>
          <w:lang w:val="fr-CA"/>
        </w:rPr>
        <w:t>APRÈS EXAMEN</w:t>
      </w:r>
      <w:r w:rsidRPr="00FE6980">
        <w:rPr>
          <w:rFonts w:cs="Times New Roman"/>
          <w:sz w:val="20"/>
          <w:szCs w:val="20"/>
          <w:lang w:val="fr-CA"/>
        </w:rPr>
        <w:t xml:space="preserve"> des documents déposés;</w:t>
      </w:r>
    </w:p>
    <w:p w:rsidR="00640E6B" w:rsidRPr="00FE6980" w:rsidRDefault="00640E6B" w:rsidP="00640E6B">
      <w:pPr>
        <w:rPr>
          <w:rFonts w:cs="Times New Roman"/>
          <w:sz w:val="20"/>
          <w:szCs w:val="20"/>
          <w:lang w:val="fr-CA"/>
        </w:rPr>
      </w:pPr>
    </w:p>
    <w:p w:rsidR="00640E6B" w:rsidRPr="00FE6980" w:rsidRDefault="00640E6B" w:rsidP="00640E6B">
      <w:pPr>
        <w:spacing w:line="233" w:lineRule="auto"/>
        <w:jc w:val="both"/>
        <w:rPr>
          <w:rFonts w:cs="Times New Roman"/>
          <w:sz w:val="20"/>
          <w:szCs w:val="20"/>
          <w:lang w:val="fr-CA"/>
        </w:rPr>
      </w:pPr>
      <w:r w:rsidRPr="00FE6980">
        <w:rPr>
          <w:rFonts w:cs="Times New Roman"/>
          <w:b/>
          <w:sz w:val="20"/>
          <w:szCs w:val="20"/>
          <w:lang w:val="fr-CA"/>
        </w:rPr>
        <w:t>ET VU</w:t>
      </w:r>
      <w:r w:rsidRPr="00FE6980">
        <w:rPr>
          <w:rFonts w:cs="Times New Roman"/>
          <w:sz w:val="20"/>
          <w:szCs w:val="20"/>
          <w:lang w:val="fr-CA"/>
        </w:rPr>
        <w:t xml:space="preserve"> le consentement de l’intimé;</w:t>
      </w:r>
    </w:p>
    <w:p w:rsidR="00640E6B" w:rsidRPr="00FE6980" w:rsidRDefault="00640E6B" w:rsidP="00640E6B">
      <w:pPr>
        <w:rPr>
          <w:rFonts w:cs="Times New Roman"/>
          <w:sz w:val="20"/>
          <w:szCs w:val="20"/>
          <w:lang w:val="fr-CA"/>
        </w:rPr>
      </w:pPr>
    </w:p>
    <w:p w:rsidR="00640E6B" w:rsidRPr="00FE6980" w:rsidRDefault="00640E6B" w:rsidP="00640E6B">
      <w:pPr>
        <w:rPr>
          <w:rFonts w:cs="Times New Roman"/>
          <w:sz w:val="20"/>
          <w:szCs w:val="20"/>
          <w:lang w:val="fr-CA"/>
        </w:rPr>
      </w:pPr>
      <w:r w:rsidRPr="00FE6980">
        <w:rPr>
          <w:rFonts w:cs="Times New Roman"/>
          <w:b/>
          <w:bCs/>
          <w:sz w:val="20"/>
          <w:szCs w:val="20"/>
          <w:lang w:val="fr-CA"/>
        </w:rPr>
        <w:t>IL EST ORDONNÉ CE QUI SUIT :</w:t>
      </w:r>
    </w:p>
    <w:p w:rsidR="00640E6B" w:rsidRPr="00FE6980" w:rsidRDefault="00640E6B" w:rsidP="00640E6B">
      <w:pPr>
        <w:tabs>
          <w:tab w:val="left" w:pos="-1080"/>
          <w:tab w:val="left" w:pos="-720"/>
          <w:tab w:val="left" w:pos="0"/>
          <w:tab w:val="left" w:pos="1494"/>
          <w:tab w:val="left" w:pos="2160"/>
          <w:tab w:val="left" w:pos="2880"/>
          <w:tab w:val="left" w:pos="3600"/>
          <w:tab w:val="left" w:pos="4320"/>
          <w:tab w:val="left" w:pos="5040"/>
          <w:tab w:val="left" w:pos="5760"/>
        </w:tabs>
        <w:rPr>
          <w:rFonts w:cs="Times New Roman"/>
          <w:sz w:val="20"/>
          <w:szCs w:val="20"/>
          <w:lang w:val="fr-CA"/>
        </w:rPr>
      </w:pPr>
    </w:p>
    <w:p w:rsidR="00640E6B" w:rsidRPr="00FE6980" w:rsidRDefault="00640E6B" w:rsidP="00640E6B">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lang w:val="fr-CA"/>
        </w:rPr>
      </w:pPr>
      <w:r w:rsidRPr="00FE6980">
        <w:rPr>
          <w:rFonts w:cs="Times New Roman"/>
          <w:sz w:val="20"/>
          <w:szCs w:val="20"/>
          <w:lang w:val="fr-CA"/>
        </w:rPr>
        <w:t>La requête est accueillie.</w:t>
      </w:r>
    </w:p>
    <w:p w:rsidR="00640E6B" w:rsidRPr="00FE6980" w:rsidRDefault="00E433FF" w:rsidP="00640E6B">
      <w:pPr>
        <w:tabs>
          <w:tab w:val="left" w:pos="-1440"/>
          <w:tab w:val="left" w:pos="-720"/>
        </w:tabs>
        <w:jc w:val="both"/>
        <w:rPr>
          <w:rFonts w:cs="Times New Roman"/>
          <w:sz w:val="20"/>
          <w:szCs w:val="20"/>
          <w:lang w:val="fr-CA"/>
        </w:rPr>
      </w:pPr>
      <w:r>
        <w:rPr>
          <w:rFonts w:cs="Times New Roman"/>
          <w:sz w:val="20"/>
          <w:szCs w:val="20"/>
          <w:lang w:val="fr-CA"/>
        </w:rPr>
        <w:pict>
          <v:rect id="_x0000_i1061" style="width:2in;height:1pt" o:hrpct="0" o:hralign="center" o:hrstd="t" o:hrnoshade="t" o:hr="t" fillcolor="black [3213]" stroked="f"/>
        </w:pict>
      </w:r>
    </w:p>
    <w:p w:rsidR="00183454" w:rsidRPr="00FE6980" w:rsidRDefault="00183454" w:rsidP="00183454">
      <w:pPr>
        <w:tabs>
          <w:tab w:val="left" w:pos="-1440"/>
          <w:tab w:val="left" w:pos="-720"/>
        </w:tabs>
        <w:jc w:val="both"/>
        <w:rPr>
          <w:rFonts w:eastAsia="Times New Roman" w:cs="Times New Roman"/>
          <w:sz w:val="20"/>
          <w:szCs w:val="20"/>
          <w:lang w:val="en-US" w:eastAsia="en-CA"/>
        </w:rPr>
      </w:pPr>
    </w:p>
    <w:p w:rsidR="00890FEB" w:rsidRPr="00FE6980" w:rsidRDefault="00890FEB" w:rsidP="00831CA9">
      <w:pPr>
        <w:jc w:val="both"/>
        <w:rPr>
          <w:rFonts w:cs="Times New Roman"/>
          <w:sz w:val="20"/>
          <w:szCs w:val="20"/>
          <w:lang w:val="fr-CA"/>
        </w:rPr>
      </w:pPr>
    </w:p>
    <w:p w:rsidR="00831CA9" w:rsidRPr="00FE6980" w:rsidRDefault="00831CA9" w:rsidP="00831CA9">
      <w:pPr>
        <w:jc w:val="both"/>
        <w:rPr>
          <w:rFonts w:cs="Times New Roman"/>
          <w:sz w:val="20"/>
          <w:szCs w:val="20"/>
          <w:lang w:val="fr-CA"/>
        </w:rPr>
        <w:sectPr w:rsidR="00831CA9" w:rsidRPr="00FE6980" w:rsidSect="00831CA9">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E433FF" w:rsidTr="00EB2B90">
        <w:tc>
          <w:tcPr>
            <w:tcW w:w="4200" w:type="dxa"/>
            <w:shd w:val="clear" w:color="auto" w:fill="auto"/>
            <w:tcMar>
              <w:left w:w="0" w:type="dxa"/>
              <w:right w:w="0" w:type="dxa"/>
            </w:tcMar>
          </w:tcPr>
          <w:p w:rsidR="00F40249" w:rsidRPr="00FE6980" w:rsidRDefault="00F40249" w:rsidP="00EB2B90">
            <w:pPr>
              <w:rPr>
                <w:rFonts w:cs="Times New Roman"/>
                <w:b/>
                <w:sz w:val="20"/>
                <w:szCs w:val="20"/>
              </w:rPr>
            </w:pPr>
            <w:r w:rsidRPr="00FE6980">
              <w:rPr>
                <w:rFonts w:cs="Times New Roman"/>
                <w:b/>
                <w:sz w:val="20"/>
                <w:szCs w:val="20"/>
              </w:rPr>
              <w:t>NOTICES OF APPEAL FILED SINCE LAST ISSUE</w:t>
            </w:r>
          </w:p>
        </w:tc>
        <w:tc>
          <w:tcPr>
            <w:tcW w:w="1200" w:type="dxa"/>
            <w:shd w:val="clear" w:color="auto" w:fill="auto"/>
            <w:tcMar>
              <w:left w:w="0" w:type="dxa"/>
              <w:right w:w="0" w:type="dxa"/>
            </w:tcMar>
          </w:tcPr>
          <w:p w:rsidR="00F40249" w:rsidRPr="00FE6980" w:rsidRDefault="00F40249" w:rsidP="00F40249">
            <w:pPr>
              <w:jc w:val="center"/>
              <w:rPr>
                <w:rFonts w:cs="Times New Roman"/>
                <w:sz w:val="20"/>
                <w:szCs w:val="20"/>
              </w:rPr>
            </w:pPr>
          </w:p>
          <w:p w:rsidR="00F33CCE" w:rsidRPr="00FE6980" w:rsidRDefault="00F33CCE" w:rsidP="00F40249">
            <w:pPr>
              <w:jc w:val="center"/>
              <w:rPr>
                <w:rFonts w:cs="Times New Roman"/>
                <w:sz w:val="20"/>
                <w:szCs w:val="20"/>
              </w:rPr>
            </w:pPr>
          </w:p>
          <w:p w:rsidR="00F33CCE" w:rsidRPr="00FE6980" w:rsidRDefault="00F33CCE" w:rsidP="00F40249">
            <w:pPr>
              <w:jc w:val="center"/>
              <w:rPr>
                <w:rFonts w:cs="Times New Roman"/>
                <w:sz w:val="20"/>
                <w:szCs w:val="20"/>
              </w:rPr>
            </w:pPr>
          </w:p>
        </w:tc>
        <w:tc>
          <w:tcPr>
            <w:tcW w:w="4230" w:type="dxa"/>
            <w:shd w:val="clear" w:color="auto" w:fill="auto"/>
            <w:tcMar>
              <w:left w:w="0" w:type="dxa"/>
              <w:right w:w="0" w:type="dxa"/>
            </w:tcMar>
          </w:tcPr>
          <w:p w:rsidR="00F40249" w:rsidRPr="00FE6980" w:rsidRDefault="00F40249" w:rsidP="00EB2B90">
            <w:pPr>
              <w:rPr>
                <w:rFonts w:cs="Times New Roman"/>
                <w:b/>
                <w:sz w:val="20"/>
                <w:szCs w:val="20"/>
                <w:lang w:val="fr-CA"/>
              </w:rPr>
            </w:pPr>
            <w:r w:rsidRPr="00FE6980">
              <w:rPr>
                <w:rFonts w:cs="Times New Roman"/>
                <w:b/>
                <w:sz w:val="20"/>
                <w:szCs w:val="20"/>
                <w:lang w:val="fr-CA"/>
              </w:rPr>
              <w:t>AVIS D’APPEL DÉPOSÉS DEPUIS LA DERNIÈRE PARUTION</w:t>
            </w:r>
          </w:p>
        </w:tc>
      </w:tr>
    </w:tbl>
    <w:p w:rsidR="00F40249" w:rsidRPr="00FE6980"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FE6980" w:rsidTr="005F1ED8">
        <w:trPr>
          <w:cantSplit/>
        </w:trPr>
        <w:tc>
          <w:tcPr>
            <w:tcW w:w="2206" w:type="pct"/>
            <w:tcMar>
              <w:left w:w="0" w:type="dxa"/>
              <w:right w:w="0" w:type="dxa"/>
            </w:tcMar>
          </w:tcPr>
          <w:p w:rsidR="0086340B" w:rsidRPr="00FE6980" w:rsidRDefault="00415FBD" w:rsidP="005F1ED8">
            <w:pPr>
              <w:rPr>
                <w:sz w:val="20"/>
                <w:szCs w:val="20"/>
              </w:rPr>
            </w:pPr>
            <w:r w:rsidRPr="00FE6980">
              <w:rPr>
                <w:sz w:val="20"/>
                <w:szCs w:val="20"/>
              </w:rPr>
              <w:t>01.06.2016</w:t>
            </w:r>
          </w:p>
          <w:p w:rsidR="00415FBD" w:rsidRPr="00FE6980" w:rsidRDefault="00415FBD" w:rsidP="005F1ED8">
            <w:pPr>
              <w:rPr>
                <w:sz w:val="20"/>
                <w:szCs w:val="20"/>
              </w:rPr>
            </w:pPr>
          </w:p>
          <w:p w:rsidR="00415FBD" w:rsidRPr="00FE6980" w:rsidRDefault="00415FBD" w:rsidP="005F1ED8">
            <w:pPr>
              <w:rPr>
                <w:b/>
                <w:sz w:val="20"/>
                <w:szCs w:val="20"/>
              </w:rPr>
            </w:pPr>
            <w:r w:rsidRPr="00FE6980">
              <w:rPr>
                <w:b/>
                <w:sz w:val="20"/>
                <w:szCs w:val="20"/>
              </w:rPr>
              <w:t>Her Majesty the Queen</w:t>
            </w:r>
          </w:p>
          <w:p w:rsidR="00415FBD" w:rsidRPr="00FE6980" w:rsidRDefault="00415FBD" w:rsidP="005F1ED8">
            <w:pPr>
              <w:rPr>
                <w:b/>
                <w:sz w:val="20"/>
                <w:szCs w:val="20"/>
              </w:rPr>
            </w:pPr>
          </w:p>
          <w:p w:rsidR="00415FBD" w:rsidRPr="00FE6980" w:rsidRDefault="00415FBD" w:rsidP="005F1ED8">
            <w:pPr>
              <w:rPr>
                <w:b/>
                <w:sz w:val="20"/>
                <w:szCs w:val="20"/>
              </w:rPr>
            </w:pPr>
            <w:r w:rsidRPr="00FE6980">
              <w:rPr>
                <w:b/>
                <w:sz w:val="20"/>
                <w:szCs w:val="20"/>
              </w:rPr>
              <w:tab/>
              <w:t>v. (37042)</w:t>
            </w:r>
          </w:p>
          <w:p w:rsidR="00415FBD" w:rsidRPr="00FE6980" w:rsidRDefault="00415FBD" w:rsidP="005F1ED8">
            <w:pPr>
              <w:rPr>
                <w:b/>
                <w:sz w:val="20"/>
                <w:szCs w:val="20"/>
              </w:rPr>
            </w:pPr>
          </w:p>
          <w:p w:rsidR="00415FBD" w:rsidRPr="00FE6980" w:rsidRDefault="00415FBD" w:rsidP="005F1ED8">
            <w:pPr>
              <w:rPr>
                <w:b/>
                <w:sz w:val="20"/>
                <w:szCs w:val="20"/>
              </w:rPr>
            </w:pPr>
            <w:r w:rsidRPr="00FE6980">
              <w:rPr>
                <w:b/>
                <w:sz w:val="20"/>
                <w:szCs w:val="20"/>
              </w:rPr>
              <w:t>S.B. (N.L.)</w:t>
            </w:r>
          </w:p>
          <w:p w:rsidR="00415FBD" w:rsidRPr="00FE6980" w:rsidRDefault="00415FBD" w:rsidP="005F1ED8">
            <w:pPr>
              <w:rPr>
                <w:b/>
                <w:sz w:val="20"/>
                <w:szCs w:val="20"/>
              </w:rPr>
            </w:pPr>
          </w:p>
          <w:p w:rsidR="00415FBD" w:rsidRPr="00FE6980" w:rsidRDefault="00415FBD" w:rsidP="005F1ED8">
            <w:pPr>
              <w:rPr>
                <w:sz w:val="20"/>
                <w:szCs w:val="20"/>
              </w:rPr>
            </w:pPr>
            <w:r w:rsidRPr="00FE6980">
              <w:rPr>
                <w:sz w:val="20"/>
                <w:szCs w:val="20"/>
              </w:rPr>
              <w:t>(As of Right)</w:t>
            </w:r>
          </w:p>
          <w:p w:rsidR="0086340B" w:rsidRPr="00FE6980" w:rsidRDefault="0086340B" w:rsidP="005F1ED8">
            <w:pPr>
              <w:rPr>
                <w:sz w:val="20"/>
                <w:szCs w:val="20"/>
              </w:rPr>
            </w:pPr>
          </w:p>
          <w:p w:rsidR="0086340B" w:rsidRPr="00FE6980" w:rsidRDefault="00E433FF" w:rsidP="005F1ED8">
            <w:pPr>
              <w:rPr>
                <w:sz w:val="20"/>
                <w:szCs w:val="20"/>
                <w:lang w:val="fr-CA"/>
              </w:rPr>
            </w:pPr>
            <w:r>
              <w:rPr>
                <w:sz w:val="20"/>
                <w:szCs w:val="20"/>
                <w:lang w:val="fr-CA"/>
              </w:rPr>
              <w:pict>
                <v:rect id="_x0000_i1064" style="width:106.1pt;height:1pt" o:hrpct="500" o:hralign="center" o:hrstd="t" o:hrnoshade="t" o:hr="t" fillcolor="black [3213]" stroked="f"/>
              </w:pict>
            </w:r>
          </w:p>
        </w:tc>
        <w:tc>
          <w:tcPr>
            <w:tcW w:w="588" w:type="pct"/>
          </w:tcPr>
          <w:p w:rsidR="0086340B" w:rsidRPr="00FE6980" w:rsidRDefault="0086340B" w:rsidP="005F1ED8">
            <w:pPr>
              <w:jc w:val="center"/>
              <w:rPr>
                <w:sz w:val="20"/>
                <w:szCs w:val="20"/>
              </w:rPr>
            </w:pPr>
          </w:p>
          <w:p w:rsidR="0086340B" w:rsidRPr="00FE6980" w:rsidRDefault="0086340B" w:rsidP="005F1ED8">
            <w:pPr>
              <w:jc w:val="center"/>
              <w:rPr>
                <w:sz w:val="20"/>
                <w:szCs w:val="20"/>
              </w:rPr>
            </w:pPr>
          </w:p>
          <w:p w:rsidR="0086340B" w:rsidRPr="00FE6980" w:rsidRDefault="0086340B" w:rsidP="005F1ED8">
            <w:pPr>
              <w:jc w:val="center"/>
              <w:rPr>
                <w:sz w:val="20"/>
                <w:szCs w:val="20"/>
              </w:rPr>
            </w:pPr>
          </w:p>
          <w:p w:rsidR="0086340B" w:rsidRPr="00FE6980" w:rsidRDefault="0086340B" w:rsidP="005F1ED8">
            <w:pPr>
              <w:jc w:val="center"/>
              <w:rPr>
                <w:sz w:val="20"/>
                <w:szCs w:val="20"/>
              </w:rPr>
            </w:pPr>
          </w:p>
          <w:p w:rsidR="0086340B" w:rsidRPr="00FE6980" w:rsidRDefault="0086340B" w:rsidP="005F1ED8">
            <w:pPr>
              <w:jc w:val="center"/>
              <w:rPr>
                <w:sz w:val="20"/>
                <w:szCs w:val="20"/>
              </w:rPr>
            </w:pPr>
          </w:p>
          <w:p w:rsidR="0086340B" w:rsidRPr="00FE6980" w:rsidRDefault="0086340B" w:rsidP="005F1ED8">
            <w:pPr>
              <w:jc w:val="center"/>
              <w:rPr>
                <w:sz w:val="20"/>
                <w:szCs w:val="20"/>
              </w:rPr>
            </w:pPr>
          </w:p>
          <w:p w:rsidR="0086340B" w:rsidRPr="00FE6980" w:rsidRDefault="0086340B" w:rsidP="005F1ED8">
            <w:pPr>
              <w:jc w:val="center"/>
              <w:rPr>
                <w:sz w:val="20"/>
                <w:szCs w:val="20"/>
              </w:rPr>
            </w:pPr>
          </w:p>
          <w:p w:rsidR="0086340B" w:rsidRPr="00FE6980" w:rsidRDefault="0086340B" w:rsidP="005F1ED8">
            <w:pPr>
              <w:jc w:val="center"/>
              <w:rPr>
                <w:sz w:val="20"/>
                <w:szCs w:val="20"/>
              </w:rPr>
            </w:pPr>
          </w:p>
          <w:p w:rsidR="0086340B" w:rsidRPr="00FE6980" w:rsidRDefault="0086340B" w:rsidP="005F1ED8">
            <w:pPr>
              <w:jc w:val="center"/>
              <w:rPr>
                <w:sz w:val="20"/>
                <w:szCs w:val="20"/>
              </w:rPr>
            </w:pPr>
          </w:p>
          <w:p w:rsidR="0086340B" w:rsidRPr="00FE6980" w:rsidRDefault="0086340B" w:rsidP="005F1ED8">
            <w:pPr>
              <w:jc w:val="center"/>
              <w:rPr>
                <w:sz w:val="20"/>
                <w:szCs w:val="20"/>
              </w:rPr>
            </w:pPr>
          </w:p>
          <w:p w:rsidR="0086340B" w:rsidRPr="00FE6980" w:rsidRDefault="0086340B" w:rsidP="005F1ED8">
            <w:pPr>
              <w:jc w:val="center"/>
              <w:rPr>
                <w:sz w:val="20"/>
                <w:szCs w:val="20"/>
              </w:rPr>
            </w:pPr>
          </w:p>
          <w:p w:rsidR="0086340B" w:rsidRPr="00FE6980" w:rsidRDefault="0086340B" w:rsidP="005F1ED8">
            <w:pPr>
              <w:jc w:val="center"/>
              <w:rPr>
                <w:sz w:val="20"/>
                <w:szCs w:val="20"/>
              </w:rPr>
            </w:pPr>
          </w:p>
          <w:p w:rsidR="0086340B" w:rsidRPr="00FE6980" w:rsidRDefault="0086340B" w:rsidP="005F1ED8">
            <w:pPr>
              <w:jc w:val="center"/>
              <w:rPr>
                <w:sz w:val="20"/>
                <w:szCs w:val="20"/>
              </w:rPr>
            </w:pPr>
          </w:p>
        </w:tc>
        <w:tc>
          <w:tcPr>
            <w:tcW w:w="2206" w:type="pct"/>
          </w:tcPr>
          <w:p w:rsidR="0086340B" w:rsidRPr="00FE6980" w:rsidRDefault="0086340B" w:rsidP="00415FBD">
            <w:pPr>
              <w:rPr>
                <w:sz w:val="20"/>
                <w:szCs w:val="20"/>
              </w:rPr>
            </w:pPr>
          </w:p>
        </w:tc>
      </w:tr>
      <w:tr w:rsidR="0086340B" w:rsidRPr="00FE6980" w:rsidTr="005F1ED8">
        <w:trPr>
          <w:cantSplit/>
        </w:trPr>
        <w:tc>
          <w:tcPr>
            <w:tcW w:w="2206" w:type="pct"/>
            <w:tcMar>
              <w:left w:w="0" w:type="dxa"/>
              <w:right w:w="0" w:type="dxa"/>
            </w:tcMar>
          </w:tcPr>
          <w:p w:rsidR="0086340B" w:rsidRPr="00FE6980" w:rsidRDefault="0086340B" w:rsidP="005F1ED8">
            <w:pPr>
              <w:rPr>
                <w:sz w:val="20"/>
                <w:szCs w:val="20"/>
              </w:rPr>
            </w:pPr>
          </w:p>
        </w:tc>
        <w:tc>
          <w:tcPr>
            <w:tcW w:w="588" w:type="pct"/>
          </w:tcPr>
          <w:p w:rsidR="0086340B" w:rsidRPr="00FE6980" w:rsidRDefault="0086340B" w:rsidP="005F1ED8">
            <w:pPr>
              <w:jc w:val="center"/>
              <w:rPr>
                <w:sz w:val="20"/>
                <w:szCs w:val="20"/>
              </w:rPr>
            </w:pPr>
          </w:p>
        </w:tc>
        <w:tc>
          <w:tcPr>
            <w:tcW w:w="2206" w:type="pct"/>
          </w:tcPr>
          <w:p w:rsidR="0086340B" w:rsidRPr="00FE6980" w:rsidRDefault="0086340B" w:rsidP="005F1ED8">
            <w:pPr>
              <w:rPr>
                <w:sz w:val="20"/>
                <w:szCs w:val="20"/>
                <w:lang w:val="fr-CA"/>
              </w:rPr>
            </w:pPr>
          </w:p>
        </w:tc>
      </w:tr>
    </w:tbl>
    <w:p w:rsidR="00F40249" w:rsidRPr="00FE6980" w:rsidRDefault="00F40249" w:rsidP="00F40249">
      <w:pPr>
        <w:rPr>
          <w:sz w:val="20"/>
          <w:szCs w:val="20"/>
        </w:rPr>
      </w:pPr>
    </w:p>
    <w:p w:rsidR="0010587F" w:rsidRPr="00FE6980" w:rsidRDefault="0010587F" w:rsidP="00F40249">
      <w:pPr>
        <w:rPr>
          <w:sz w:val="20"/>
          <w:szCs w:val="20"/>
        </w:rPr>
      </w:pPr>
    </w:p>
    <w:p w:rsidR="00EB2B90" w:rsidRPr="00FE6980" w:rsidRDefault="00EB2B90" w:rsidP="00F40249">
      <w:pPr>
        <w:rPr>
          <w:sz w:val="20"/>
          <w:szCs w:val="20"/>
        </w:rPr>
        <w:sectPr w:rsidR="00EB2B90" w:rsidRPr="00FE6980" w:rsidSect="00F40249">
          <w:headerReference w:type="even" r:id="rId62"/>
          <w:headerReference w:type="default" r:id="rId63"/>
          <w:footerReference w:type="even"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E433FF" w:rsidTr="0085476B">
        <w:tc>
          <w:tcPr>
            <w:tcW w:w="4200" w:type="dxa"/>
            <w:tcMar>
              <w:left w:w="0" w:type="dxa"/>
              <w:right w:w="0" w:type="dxa"/>
            </w:tcMar>
          </w:tcPr>
          <w:p w:rsidR="00FF6EEC" w:rsidRPr="00FE6980" w:rsidRDefault="00FF6EEC" w:rsidP="0085476B">
            <w:pPr>
              <w:keepNext/>
              <w:keepLines/>
              <w:tabs>
                <w:tab w:val="left" w:pos="-1440"/>
                <w:tab w:val="left" w:pos="-720"/>
              </w:tabs>
              <w:rPr>
                <w:b/>
                <w:szCs w:val="24"/>
              </w:rPr>
            </w:pPr>
            <w:r w:rsidRPr="00FE6980">
              <w:rPr>
                <w:b/>
                <w:szCs w:val="24"/>
              </w:rPr>
              <w:t>PRONOUNCEMENTS OF APPEALS</w:t>
            </w:r>
            <w:r w:rsidR="0085476B" w:rsidRPr="00FE6980">
              <w:rPr>
                <w:b/>
                <w:szCs w:val="24"/>
              </w:rPr>
              <w:t xml:space="preserve"> </w:t>
            </w:r>
            <w:r w:rsidRPr="00FE6980">
              <w:rPr>
                <w:b/>
                <w:szCs w:val="24"/>
              </w:rPr>
              <w:t>RESERVED</w:t>
            </w:r>
          </w:p>
          <w:p w:rsidR="00FF6EEC" w:rsidRPr="00FE6980"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FE6980"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FE6980">
              <w:rPr>
                <w:b/>
                <w:szCs w:val="24"/>
              </w:rPr>
              <w:t>Reasons for judgment are available</w:t>
            </w:r>
          </w:p>
        </w:tc>
        <w:tc>
          <w:tcPr>
            <w:tcW w:w="1200" w:type="dxa"/>
            <w:tcMar>
              <w:left w:w="0" w:type="dxa"/>
              <w:right w:w="0" w:type="dxa"/>
            </w:tcMar>
          </w:tcPr>
          <w:p w:rsidR="00FF6EEC" w:rsidRPr="00FE6980" w:rsidRDefault="00FF6EEC" w:rsidP="00FF6EEC">
            <w:pPr>
              <w:keepNext/>
              <w:keepLines/>
              <w:tabs>
                <w:tab w:val="left" w:pos="-1440"/>
                <w:tab w:val="left" w:pos="-720"/>
              </w:tabs>
              <w:jc w:val="center"/>
              <w:rPr>
                <w:b/>
                <w:szCs w:val="24"/>
              </w:rPr>
            </w:pPr>
          </w:p>
          <w:p w:rsidR="00FF6EEC" w:rsidRPr="00FE6980" w:rsidRDefault="00FF6EEC" w:rsidP="00FF6EEC">
            <w:pPr>
              <w:keepNext/>
              <w:keepLines/>
              <w:tabs>
                <w:tab w:val="left" w:pos="-1440"/>
                <w:tab w:val="left" w:pos="-720"/>
              </w:tabs>
              <w:jc w:val="center"/>
              <w:rPr>
                <w:b/>
                <w:szCs w:val="24"/>
              </w:rPr>
            </w:pPr>
          </w:p>
          <w:p w:rsidR="00FF6EEC" w:rsidRPr="00FE6980" w:rsidRDefault="00FF6EEC" w:rsidP="00FF6EEC">
            <w:pPr>
              <w:keepNext/>
              <w:keepLines/>
              <w:tabs>
                <w:tab w:val="left" w:pos="-1440"/>
                <w:tab w:val="left" w:pos="-720"/>
              </w:tabs>
              <w:jc w:val="center"/>
              <w:rPr>
                <w:b/>
                <w:szCs w:val="24"/>
              </w:rPr>
            </w:pPr>
          </w:p>
          <w:p w:rsidR="00FF6EEC" w:rsidRPr="00FE6980" w:rsidRDefault="00FF6EEC" w:rsidP="00FF6EEC">
            <w:pPr>
              <w:keepNext/>
              <w:keepLines/>
              <w:tabs>
                <w:tab w:val="left" w:pos="-1440"/>
                <w:tab w:val="left" w:pos="-720"/>
              </w:tabs>
              <w:jc w:val="center"/>
              <w:rPr>
                <w:b/>
                <w:szCs w:val="24"/>
              </w:rPr>
            </w:pPr>
          </w:p>
          <w:p w:rsidR="00FF6EEC" w:rsidRPr="00FE6980"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FE6980" w:rsidRDefault="00FF6EEC" w:rsidP="00FF6EEC">
            <w:pPr>
              <w:keepNext/>
              <w:keepLines/>
              <w:tabs>
                <w:tab w:val="left" w:pos="-1440"/>
                <w:tab w:val="left" w:pos="-720"/>
              </w:tabs>
              <w:rPr>
                <w:b/>
                <w:szCs w:val="24"/>
                <w:lang w:val="fr-CA"/>
              </w:rPr>
            </w:pPr>
            <w:r w:rsidRPr="00FE6980">
              <w:rPr>
                <w:b/>
                <w:szCs w:val="24"/>
                <w:lang w:val="fr-CA"/>
              </w:rPr>
              <w:t>JUGEMENTS RENDUS SUR LES APPELS EN DÉLIBÉRÉ</w:t>
            </w:r>
          </w:p>
          <w:p w:rsidR="00FF6EEC" w:rsidRPr="00FE6980"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FE6980"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FE6980">
              <w:rPr>
                <w:b/>
                <w:szCs w:val="24"/>
                <w:lang w:val="fr-CA"/>
              </w:rPr>
              <w:t>Les motifs de jugement sont disponibles</w:t>
            </w:r>
          </w:p>
        </w:tc>
      </w:tr>
    </w:tbl>
    <w:p w:rsidR="00FF6EEC" w:rsidRPr="00FE6980" w:rsidRDefault="00FF6EEC" w:rsidP="00FF6EEC">
      <w:pPr>
        <w:rPr>
          <w:b/>
          <w:sz w:val="20"/>
          <w:szCs w:val="20"/>
          <w:lang w:val="fr-CA"/>
        </w:rPr>
      </w:pPr>
    </w:p>
    <w:p w:rsidR="0052229C" w:rsidRPr="00E433FF" w:rsidRDefault="00640E6B" w:rsidP="0052229C">
      <w:pPr>
        <w:rPr>
          <w:b/>
          <w:sz w:val="20"/>
          <w:szCs w:val="20"/>
        </w:rPr>
      </w:pPr>
      <w:r w:rsidRPr="00E433FF">
        <w:rPr>
          <w:b/>
          <w:sz w:val="20"/>
          <w:szCs w:val="20"/>
        </w:rPr>
        <w:t>JUNE</w:t>
      </w:r>
      <w:r w:rsidR="0052229C" w:rsidRPr="00E433FF">
        <w:rPr>
          <w:b/>
          <w:sz w:val="20"/>
          <w:szCs w:val="20"/>
        </w:rPr>
        <w:t xml:space="preserve"> 16, 201</w:t>
      </w:r>
      <w:r w:rsidRPr="00E433FF">
        <w:rPr>
          <w:b/>
          <w:sz w:val="20"/>
          <w:szCs w:val="20"/>
        </w:rPr>
        <w:t>6</w:t>
      </w:r>
      <w:r w:rsidR="0052229C" w:rsidRPr="00E433FF">
        <w:rPr>
          <w:b/>
          <w:sz w:val="20"/>
          <w:szCs w:val="20"/>
        </w:rPr>
        <w:t xml:space="preserve"> / LE 16 J</w:t>
      </w:r>
      <w:r w:rsidRPr="00E433FF">
        <w:rPr>
          <w:b/>
          <w:sz w:val="20"/>
          <w:szCs w:val="20"/>
        </w:rPr>
        <w:t xml:space="preserve">UIN </w:t>
      </w:r>
      <w:r w:rsidR="0052229C" w:rsidRPr="00E433FF">
        <w:rPr>
          <w:b/>
          <w:sz w:val="20"/>
          <w:szCs w:val="20"/>
        </w:rPr>
        <w:t>201</w:t>
      </w:r>
      <w:r w:rsidRPr="00E433FF">
        <w:rPr>
          <w:b/>
          <w:sz w:val="20"/>
          <w:szCs w:val="20"/>
        </w:rPr>
        <w:t>6</w:t>
      </w:r>
    </w:p>
    <w:p w:rsidR="0052229C" w:rsidRPr="00E433FF" w:rsidRDefault="0052229C" w:rsidP="0052229C">
      <w:pPr>
        <w:rPr>
          <w:sz w:val="20"/>
          <w:szCs w:val="20"/>
        </w:rPr>
      </w:pPr>
    </w:p>
    <w:p w:rsidR="0052229C" w:rsidRPr="00FE6980" w:rsidRDefault="000E27A5" w:rsidP="0052229C">
      <w:pPr>
        <w:ind w:left="1440" w:hanging="1440"/>
        <w:jc w:val="both"/>
        <w:rPr>
          <w:sz w:val="20"/>
        </w:rPr>
      </w:pPr>
      <w:r w:rsidRPr="00FE6980">
        <w:rPr>
          <w:b/>
          <w:sz w:val="20"/>
        </w:rPr>
        <w:fldChar w:fldCharType="begin"/>
      </w:r>
      <w:r w:rsidR="0052229C" w:rsidRPr="00FE6980">
        <w:rPr>
          <w:b/>
          <w:sz w:val="20"/>
        </w:rPr>
        <w:instrText xml:space="preserve"> SEQ CHAPTER \h \r 1</w:instrText>
      </w:r>
      <w:r w:rsidRPr="00FE6980">
        <w:rPr>
          <w:b/>
          <w:sz w:val="20"/>
        </w:rPr>
        <w:fldChar w:fldCharType="end"/>
      </w:r>
      <w:r w:rsidR="00DF5F3E" w:rsidRPr="00FE6980">
        <w:rPr>
          <w:b/>
          <w:sz w:val="20"/>
        </w:rPr>
        <w:t>36027</w:t>
      </w:r>
      <w:r w:rsidR="0052229C" w:rsidRPr="00FE6980">
        <w:rPr>
          <w:sz w:val="20"/>
        </w:rPr>
        <w:tab/>
      </w:r>
      <w:r w:rsidR="00DF5F3E" w:rsidRPr="00FE6980">
        <w:rPr>
          <w:b/>
          <w:sz w:val="20"/>
          <w:u w:val="single"/>
        </w:rPr>
        <w:t xml:space="preserve">Rogers Communications Inc. v. City of </w:t>
      </w:r>
      <w:proofErr w:type="spellStart"/>
      <w:r w:rsidR="00DF5F3E" w:rsidRPr="00FE6980">
        <w:rPr>
          <w:b/>
          <w:sz w:val="20"/>
          <w:u w:val="single"/>
        </w:rPr>
        <w:t>Châteauguay</w:t>
      </w:r>
      <w:proofErr w:type="spellEnd"/>
      <w:r w:rsidR="00DF5F3E" w:rsidRPr="00FE6980">
        <w:rPr>
          <w:b/>
          <w:sz w:val="20"/>
          <w:u w:val="single"/>
        </w:rPr>
        <w:t xml:space="preserve"> and Attorney General of Quebec - and between - Rogers Communications Inc. v. City of </w:t>
      </w:r>
      <w:proofErr w:type="spellStart"/>
      <w:r w:rsidR="00DF5F3E" w:rsidRPr="00FE6980">
        <w:rPr>
          <w:b/>
          <w:sz w:val="20"/>
          <w:u w:val="single"/>
        </w:rPr>
        <w:t>Châteauguay</w:t>
      </w:r>
      <w:proofErr w:type="spellEnd"/>
      <w:r w:rsidR="00DF5F3E" w:rsidRPr="00FE6980">
        <w:rPr>
          <w:b/>
          <w:sz w:val="20"/>
          <w:u w:val="single"/>
        </w:rPr>
        <w:t xml:space="preserve"> and Attorney General of Quebec - and - Attorney General of Canada, Christina White, Federation of Canadian Municipalities, City of Toronto, Bell </w:t>
      </w:r>
      <w:proofErr w:type="spellStart"/>
      <w:r w:rsidR="00DF5F3E" w:rsidRPr="00FE6980">
        <w:rPr>
          <w:b/>
          <w:sz w:val="20"/>
          <w:u w:val="single"/>
        </w:rPr>
        <w:t>Mobilité</w:t>
      </w:r>
      <w:proofErr w:type="spellEnd"/>
      <w:r w:rsidR="00DF5F3E" w:rsidRPr="00FE6980">
        <w:rPr>
          <w:b/>
          <w:sz w:val="20"/>
          <w:u w:val="single"/>
        </w:rPr>
        <w:t xml:space="preserve"> Inc., TELUS Communications Inc., </w:t>
      </w:r>
      <w:proofErr w:type="spellStart"/>
      <w:r w:rsidR="00DF5F3E" w:rsidRPr="00FE6980">
        <w:rPr>
          <w:b/>
          <w:sz w:val="20"/>
          <w:u w:val="single"/>
        </w:rPr>
        <w:t>Vidéotron</w:t>
      </w:r>
      <w:proofErr w:type="spellEnd"/>
      <w:r w:rsidR="00DF5F3E" w:rsidRPr="00FE6980">
        <w:rPr>
          <w:b/>
          <w:sz w:val="20"/>
          <w:u w:val="single"/>
        </w:rPr>
        <w:t xml:space="preserve"> </w:t>
      </w:r>
      <w:proofErr w:type="spellStart"/>
      <w:r w:rsidR="00DF5F3E" w:rsidRPr="00FE6980">
        <w:rPr>
          <w:b/>
          <w:sz w:val="20"/>
          <w:u w:val="single"/>
        </w:rPr>
        <w:t>s.e.n.c</w:t>
      </w:r>
      <w:proofErr w:type="spellEnd"/>
      <w:r w:rsidR="00DF5F3E" w:rsidRPr="00FE6980">
        <w:rPr>
          <w:b/>
          <w:sz w:val="20"/>
          <w:u w:val="single"/>
        </w:rPr>
        <w:t xml:space="preserve">. and Union des </w:t>
      </w:r>
      <w:proofErr w:type="spellStart"/>
      <w:r w:rsidR="00DF5F3E" w:rsidRPr="00FE6980">
        <w:rPr>
          <w:b/>
          <w:sz w:val="20"/>
          <w:u w:val="single"/>
        </w:rPr>
        <w:t>municipalités</w:t>
      </w:r>
      <w:proofErr w:type="spellEnd"/>
      <w:r w:rsidR="00DF5F3E" w:rsidRPr="00FE6980">
        <w:rPr>
          <w:b/>
          <w:sz w:val="20"/>
          <w:u w:val="single"/>
        </w:rPr>
        <w:t xml:space="preserve"> du Québec</w:t>
      </w:r>
      <w:r w:rsidR="00DF5F3E" w:rsidRPr="00FE6980">
        <w:rPr>
          <w:b/>
          <w:sz w:val="20"/>
        </w:rPr>
        <w:t xml:space="preserve"> </w:t>
      </w:r>
      <w:r w:rsidR="0052229C" w:rsidRPr="00FE6980">
        <w:rPr>
          <w:iCs/>
          <w:sz w:val="20"/>
        </w:rPr>
        <w:t>(Q</w:t>
      </w:r>
      <w:r w:rsidR="00DF5F3E" w:rsidRPr="00FE6980">
        <w:rPr>
          <w:iCs/>
          <w:sz w:val="20"/>
        </w:rPr>
        <w:t>ue.</w:t>
      </w:r>
      <w:r w:rsidR="0052229C" w:rsidRPr="00FE6980">
        <w:rPr>
          <w:iCs/>
          <w:sz w:val="20"/>
        </w:rPr>
        <w:t>)</w:t>
      </w:r>
    </w:p>
    <w:p w:rsidR="0052229C" w:rsidRPr="00FE6980" w:rsidRDefault="00DF5F3E"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FE6980">
        <w:rPr>
          <w:b/>
          <w:sz w:val="20"/>
        </w:rPr>
        <w:t>2016 SCC 23</w:t>
      </w:r>
      <w:r w:rsidR="0052229C" w:rsidRPr="00FE6980">
        <w:rPr>
          <w:b/>
          <w:sz w:val="20"/>
        </w:rPr>
        <w:t xml:space="preserve"> / 201</w:t>
      </w:r>
      <w:r w:rsidRPr="00FE6980">
        <w:rPr>
          <w:b/>
          <w:sz w:val="20"/>
        </w:rPr>
        <w:t>6</w:t>
      </w:r>
      <w:r w:rsidR="0052229C" w:rsidRPr="00FE6980">
        <w:rPr>
          <w:b/>
          <w:sz w:val="20"/>
        </w:rPr>
        <w:t xml:space="preserve"> CSC </w:t>
      </w:r>
      <w:r w:rsidRPr="00FE6980">
        <w:rPr>
          <w:b/>
          <w:sz w:val="20"/>
        </w:rPr>
        <w:t>23</w:t>
      </w:r>
    </w:p>
    <w:p w:rsidR="0052229C" w:rsidRPr="00FE6980"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2229C" w:rsidRPr="00FE6980" w:rsidRDefault="0052229C" w:rsidP="0052229C">
      <w:pPr>
        <w:ind w:left="1440" w:hanging="1440"/>
        <w:rPr>
          <w:sz w:val="20"/>
          <w:u w:val="single"/>
        </w:rPr>
      </w:pPr>
      <w:r w:rsidRPr="00FE6980">
        <w:rPr>
          <w:sz w:val="20"/>
        </w:rPr>
        <w:t>Coram:</w:t>
      </w:r>
      <w:r w:rsidRPr="00FE6980">
        <w:rPr>
          <w:sz w:val="20"/>
        </w:rPr>
        <w:tab/>
      </w:r>
      <w:r w:rsidR="00F76267" w:rsidRPr="00FE6980">
        <w:rPr>
          <w:sz w:val="20"/>
          <w:u w:val="single"/>
        </w:rPr>
        <w:t>McLachlin C.J. and Abella, Cromwell, Moldaver, Karakatsanis, Wagner, Gascon, Côté and Brown JJ.</w:t>
      </w:r>
    </w:p>
    <w:p w:rsidR="0052229C" w:rsidRPr="00FE6980" w:rsidRDefault="0052229C" w:rsidP="00F76267">
      <w:pPr>
        <w:ind w:left="1440" w:hanging="1440"/>
        <w:jc w:val="both"/>
        <w:rPr>
          <w:sz w:val="16"/>
          <w:u w:val="single"/>
        </w:rPr>
      </w:pPr>
      <w:r w:rsidRPr="00FE6980">
        <w:rPr>
          <w:sz w:val="20"/>
          <w:u w:val="single"/>
        </w:rPr>
        <w:t xml:space="preserve"> </w:t>
      </w:r>
    </w:p>
    <w:p w:rsidR="00F76267" w:rsidRPr="00FE6980" w:rsidRDefault="00F76267" w:rsidP="00F76267">
      <w:pPr>
        <w:jc w:val="both"/>
        <w:rPr>
          <w:rFonts w:cs="Times New Roman"/>
          <w:sz w:val="20"/>
          <w:szCs w:val="20"/>
        </w:rPr>
      </w:pPr>
      <w:r w:rsidRPr="00FE6980">
        <w:rPr>
          <w:rFonts w:cs="Times New Roman"/>
          <w:sz w:val="20"/>
          <w:szCs w:val="20"/>
        </w:rPr>
        <w:t>The appeal from the judgment of Court of Appeal of Quebec (Montréal), Numbers 500-09-023781-131 and 500-09-023782-139, 2014 QCCA 1121, dated May 30, 2014, heard on October 9, 2015, is allowed with costs throughout.</w:t>
      </w:r>
    </w:p>
    <w:p w:rsidR="00F76267" w:rsidRPr="00FE6980" w:rsidRDefault="00F76267" w:rsidP="00F76267">
      <w:pPr>
        <w:jc w:val="both"/>
        <w:rPr>
          <w:rFonts w:eastAsia="Calibri"/>
          <w:sz w:val="20"/>
        </w:rPr>
      </w:pPr>
    </w:p>
    <w:p w:rsidR="00F76267" w:rsidRPr="00FE6980" w:rsidRDefault="00F76267" w:rsidP="00F76267">
      <w:pPr>
        <w:jc w:val="both"/>
        <w:rPr>
          <w:rFonts w:cs="Times New Roman"/>
          <w:sz w:val="20"/>
          <w:szCs w:val="20"/>
          <w:lang w:val="fr-CA"/>
        </w:rPr>
      </w:pPr>
      <w:r w:rsidRPr="00FE6980">
        <w:rPr>
          <w:rFonts w:cs="Times New Roman"/>
          <w:sz w:val="20"/>
          <w:szCs w:val="20"/>
          <w:lang w:val="fr-CA"/>
        </w:rPr>
        <w:t>L’appel interjeté contre l’arrêt de la Cour d’appel du Québec (Montréal), numéros 500-09-023781-131 et 500-09-023782-139, 2014 QCCA 1121, daté du 30 mai 2014, entendu le 9 octobre 2015, est accueilli avec dépens dans toutes les cours.</w:t>
      </w:r>
    </w:p>
    <w:p w:rsidR="0052229C" w:rsidRPr="00FE6980" w:rsidRDefault="0052229C" w:rsidP="0052229C">
      <w:pPr>
        <w:rPr>
          <w:sz w:val="20"/>
          <w:szCs w:val="20"/>
          <w:lang w:val="fr-CA"/>
        </w:rPr>
      </w:pPr>
    </w:p>
    <w:p w:rsidR="0052229C" w:rsidRPr="00FE6980" w:rsidRDefault="00E433FF" w:rsidP="0052229C">
      <w:pPr>
        <w:spacing w:line="0" w:lineRule="atLeast"/>
        <w:rPr>
          <w:sz w:val="20"/>
          <w:szCs w:val="20"/>
        </w:rPr>
      </w:pPr>
      <w:r>
        <w:rPr>
          <w:b/>
          <w:sz w:val="20"/>
          <w:szCs w:val="20"/>
        </w:rPr>
        <w:pict>
          <v:rect id="_x0000_i1067" style="width:144.3pt;height:1pt" o:hrpct="300" o:hralign="center" o:hrstd="t" o:hrnoshade="t" o:hr="t" fillcolor="black [3213]" stroked="f"/>
        </w:pict>
      </w:r>
    </w:p>
    <w:p w:rsidR="0052229C" w:rsidRPr="00FE6980" w:rsidRDefault="0052229C" w:rsidP="0052229C">
      <w:pPr>
        <w:spacing w:line="0" w:lineRule="atLeast"/>
        <w:rPr>
          <w:sz w:val="20"/>
          <w:szCs w:val="20"/>
        </w:rPr>
      </w:pPr>
    </w:p>
    <w:p w:rsidR="00732DB7" w:rsidRPr="00FE6980" w:rsidRDefault="00732DB7" w:rsidP="00732DB7">
      <w:pPr>
        <w:widowControl w:val="0"/>
        <w:rPr>
          <w:sz w:val="20"/>
          <w:szCs w:val="20"/>
        </w:rPr>
      </w:pPr>
    </w:p>
    <w:p w:rsidR="00697C62" w:rsidRPr="00FE6980" w:rsidRDefault="00697C62" w:rsidP="00732DB7">
      <w:pPr>
        <w:widowControl w:val="0"/>
        <w:rPr>
          <w:sz w:val="20"/>
          <w:szCs w:val="20"/>
        </w:rPr>
        <w:sectPr w:rsidR="00697C62" w:rsidRPr="00FE6980" w:rsidSect="00782AE4">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FE6980" w:rsidTr="0085476B">
        <w:tc>
          <w:tcPr>
            <w:tcW w:w="4200" w:type="dxa"/>
            <w:tcMar>
              <w:left w:w="0" w:type="dxa"/>
              <w:right w:w="0" w:type="dxa"/>
            </w:tcMar>
          </w:tcPr>
          <w:p w:rsidR="00782AE4" w:rsidRPr="00FE6980" w:rsidRDefault="00782AE4" w:rsidP="00782AE4">
            <w:pPr>
              <w:keepNext/>
              <w:keepLines/>
              <w:jc w:val="both"/>
              <w:rPr>
                <w:b/>
                <w:szCs w:val="24"/>
              </w:rPr>
            </w:pPr>
            <w:r w:rsidRPr="00FE6980">
              <w:rPr>
                <w:b/>
                <w:szCs w:val="24"/>
              </w:rPr>
              <w:t>HEADNOTES OF RECENT</w:t>
            </w:r>
          </w:p>
          <w:p w:rsidR="00782AE4" w:rsidRPr="00FE6980" w:rsidRDefault="00782AE4" w:rsidP="00782AE4">
            <w:pPr>
              <w:keepNext/>
              <w:keepLines/>
              <w:jc w:val="both"/>
              <w:rPr>
                <w:b/>
                <w:szCs w:val="24"/>
              </w:rPr>
            </w:pPr>
            <w:r w:rsidRPr="00FE6980">
              <w:rPr>
                <w:b/>
                <w:szCs w:val="24"/>
              </w:rPr>
              <w:t>JUDGMENTS</w:t>
            </w:r>
          </w:p>
        </w:tc>
        <w:tc>
          <w:tcPr>
            <w:tcW w:w="1200" w:type="dxa"/>
            <w:tcMar>
              <w:left w:w="0" w:type="dxa"/>
              <w:right w:w="0" w:type="dxa"/>
            </w:tcMar>
          </w:tcPr>
          <w:p w:rsidR="00782AE4" w:rsidRPr="00FE6980" w:rsidRDefault="00782AE4" w:rsidP="00102926">
            <w:pPr>
              <w:keepNext/>
              <w:keepLines/>
              <w:jc w:val="center"/>
              <w:rPr>
                <w:b/>
                <w:szCs w:val="24"/>
              </w:rPr>
            </w:pPr>
          </w:p>
          <w:p w:rsidR="00782AE4" w:rsidRPr="00FE6980" w:rsidRDefault="00782AE4" w:rsidP="00102926">
            <w:pPr>
              <w:keepNext/>
              <w:keepLines/>
              <w:jc w:val="center"/>
              <w:rPr>
                <w:b/>
                <w:szCs w:val="24"/>
              </w:rPr>
            </w:pPr>
          </w:p>
          <w:p w:rsidR="00782AE4" w:rsidRPr="00FE6980" w:rsidRDefault="00782AE4" w:rsidP="00102926">
            <w:pPr>
              <w:keepNext/>
              <w:keepLines/>
              <w:jc w:val="center"/>
              <w:rPr>
                <w:b/>
                <w:szCs w:val="24"/>
              </w:rPr>
            </w:pPr>
          </w:p>
        </w:tc>
        <w:tc>
          <w:tcPr>
            <w:tcW w:w="4080" w:type="dxa"/>
            <w:tcMar>
              <w:left w:w="0" w:type="dxa"/>
              <w:right w:w="0" w:type="dxa"/>
            </w:tcMar>
          </w:tcPr>
          <w:p w:rsidR="00782AE4" w:rsidRPr="00FE6980" w:rsidRDefault="00782AE4" w:rsidP="00782AE4">
            <w:pPr>
              <w:keepNext/>
              <w:keepLines/>
              <w:rPr>
                <w:b/>
                <w:szCs w:val="24"/>
              </w:rPr>
            </w:pPr>
            <w:r w:rsidRPr="00FE6980">
              <w:rPr>
                <w:b/>
                <w:szCs w:val="24"/>
              </w:rPr>
              <w:t>SOMMAIRES DE JUGEMENTS RÉCENTS</w:t>
            </w:r>
          </w:p>
        </w:tc>
      </w:tr>
    </w:tbl>
    <w:p w:rsidR="003B3977" w:rsidRPr="00FE6980" w:rsidRDefault="003B3977" w:rsidP="005C6840">
      <w:pPr>
        <w:rPr>
          <w:rFonts w:cs="Times New Roman"/>
          <w:i/>
          <w:sz w:val="20"/>
          <w:szCs w:val="20"/>
        </w:rPr>
      </w:pPr>
    </w:p>
    <w:p w:rsidR="0052229C" w:rsidRPr="00E433FF" w:rsidRDefault="00B354FE" w:rsidP="0052229C">
      <w:pPr>
        <w:ind w:left="1440" w:hanging="1440"/>
        <w:jc w:val="both"/>
        <w:rPr>
          <w:sz w:val="20"/>
          <w:szCs w:val="20"/>
          <w:lang w:val="fr-CA"/>
        </w:rPr>
      </w:pPr>
      <w:r w:rsidRPr="00E433FF">
        <w:rPr>
          <w:rFonts w:eastAsia="Calibri"/>
          <w:i/>
          <w:sz w:val="20"/>
          <w:szCs w:val="20"/>
          <w:lang w:val="fr-CA"/>
        </w:rPr>
        <w:t>Rogers Communications Inc. et al. v. City of Chateauguay et al.</w:t>
      </w:r>
      <w:r w:rsidR="0052229C" w:rsidRPr="00E433FF">
        <w:rPr>
          <w:sz w:val="20"/>
          <w:szCs w:val="20"/>
          <w:lang w:val="fr-CA"/>
        </w:rPr>
        <w:t xml:space="preserve"> (Q</w:t>
      </w:r>
      <w:r w:rsidRPr="00E433FF">
        <w:rPr>
          <w:sz w:val="20"/>
          <w:szCs w:val="20"/>
          <w:lang w:val="fr-CA"/>
        </w:rPr>
        <w:t>ue.</w:t>
      </w:r>
      <w:r w:rsidR="0052229C" w:rsidRPr="00E433FF">
        <w:rPr>
          <w:sz w:val="20"/>
          <w:szCs w:val="20"/>
          <w:lang w:val="fr-CA"/>
        </w:rPr>
        <w:t>) (</w:t>
      </w:r>
      <w:hyperlink r:id="rId74" w:history="1">
        <w:r w:rsidR="006F12EF" w:rsidRPr="00E433FF">
          <w:rPr>
            <w:rStyle w:val="Hyperlink"/>
            <w:sz w:val="20"/>
            <w:szCs w:val="20"/>
            <w:lang w:val="fr-CA"/>
          </w:rPr>
          <w:t>36027</w:t>
        </w:r>
      </w:hyperlink>
      <w:r w:rsidR="0052229C" w:rsidRPr="00E433FF">
        <w:rPr>
          <w:sz w:val="20"/>
          <w:szCs w:val="20"/>
          <w:lang w:val="fr-CA"/>
        </w:rPr>
        <w:t>)</w:t>
      </w:r>
    </w:p>
    <w:p w:rsidR="00B354FE" w:rsidRPr="00FE6980" w:rsidRDefault="00B354FE" w:rsidP="00B354FE">
      <w:pPr>
        <w:jc w:val="both"/>
        <w:rPr>
          <w:rStyle w:val="SCCRespondentForIndexChar"/>
          <w:rFonts w:eastAsiaTheme="minorHAnsi"/>
          <w:sz w:val="20"/>
        </w:rPr>
      </w:pPr>
      <w:r w:rsidRPr="00FE6980">
        <w:rPr>
          <w:b/>
          <w:sz w:val="20"/>
          <w:szCs w:val="20"/>
        </w:rPr>
        <w:t xml:space="preserve">Indexed as: </w:t>
      </w:r>
      <w:r w:rsidRPr="00E433FF">
        <w:rPr>
          <w:rStyle w:val="SCCAppellantForIndexChar"/>
          <w:rFonts w:eastAsiaTheme="minorHAnsi"/>
          <w:sz w:val="20"/>
          <w:lang w:val="en-CA"/>
        </w:rPr>
        <w:t>Rogers Communications Inc.</w:t>
      </w:r>
      <w:r w:rsidRPr="00FE6980">
        <w:rPr>
          <w:b/>
          <w:sz w:val="20"/>
          <w:szCs w:val="20"/>
        </w:rPr>
        <w:t xml:space="preserve"> </w:t>
      </w:r>
      <w:r w:rsidRPr="00FE6980">
        <w:rPr>
          <w:b/>
          <w:i/>
          <w:sz w:val="20"/>
          <w:szCs w:val="20"/>
        </w:rPr>
        <w:t>v.</w:t>
      </w:r>
      <w:r w:rsidRPr="00FE6980">
        <w:rPr>
          <w:b/>
          <w:sz w:val="20"/>
          <w:szCs w:val="20"/>
        </w:rPr>
        <w:t xml:space="preserve"> </w:t>
      </w:r>
      <w:proofErr w:type="spellStart"/>
      <w:r w:rsidRPr="00FE6980">
        <w:rPr>
          <w:rStyle w:val="SCCRespondentForIndexChar"/>
          <w:rFonts w:eastAsiaTheme="minorHAnsi"/>
          <w:sz w:val="20"/>
        </w:rPr>
        <w:t>Châteauguay</w:t>
      </w:r>
      <w:proofErr w:type="spellEnd"/>
      <w:r w:rsidRPr="00FE6980">
        <w:rPr>
          <w:rStyle w:val="SCCRespondentForIndexChar"/>
          <w:rFonts w:eastAsiaTheme="minorHAnsi"/>
          <w:sz w:val="20"/>
        </w:rPr>
        <w:t xml:space="preserve"> (City)</w:t>
      </w:r>
      <w:r w:rsidRPr="00FE6980">
        <w:rPr>
          <w:b/>
          <w:sz w:val="20"/>
          <w:szCs w:val="20"/>
        </w:rPr>
        <w:t xml:space="preserve"> </w:t>
      </w:r>
      <w:r w:rsidR="0052229C" w:rsidRPr="00FE6980">
        <w:rPr>
          <w:rStyle w:val="SCCRespondentForIndexChar"/>
          <w:rFonts w:eastAsiaTheme="minorHAnsi"/>
          <w:sz w:val="20"/>
        </w:rPr>
        <w:t xml:space="preserve">/ </w:t>
      </w:r>
    </w:p>
    <w:p w:rsidR="00B354FE" w:rsidRPr="00FE6980" w:rsidRDefault="00B354FE" w:rsidP="00B354FE">
      <w:pPr>
        <w:jc w:val="both"/>
        <w:rPr>
          <w:b/>
          <w:sz w:val="20"/>
          <w:szCs w:val="20"/>
          <w:lang w:val="fr-CA"/>
        </w:rPr>
      </w:pPr>
      <w:r w:rsidRPr="00FE6980">
        <w:rPr>
          <w:b/>
          <w:sz w:val="20"/>
          <w:szCs w:val="20"/>
          <w:lang w:val="fr-CA"/>
        </w:rPr>
        <w:t>Répertorié : </w:t>
      </w:r>
      <w:r w:rsidRPr="00FE6980">
        <w:rPr>
          <w:rStyle w:val="SCCAppellantForIndexChar"/>
          <w:rFonts w:eastAsiaTheme="minorHAnsi"/>
          <w:sz w:val="20"/>
        </w:rPr>
        <w:t>Rogers Communications Inc.</w:t>
      </w:r>
      <w:r w:rsidRPr="00FE6980">
        <w:rPr>
          <w:b/>
          <w:sz w:val="20"/>
          <w:szCs w:val="20"/>
          <w:lang w:val="fr-CA"/>
        </w:rPr>
        <w:t xml:space="preserve"> </w:t>
      </w:r>
      <w:r w:rsidRPr="00FE6980">
        <w:rPr>
          <w:b/>
          <w:i/>
          <w:sz w:val="20"/>
          <w:szCs w:val="20"/>
          <w:lang w:val="fr-CA"/>
        </w:rPr>
        <w:t>c.</w:t>
      </w:r>
      <w:r w:rsidRPr="00FE6980">
        <w:rPr>
          <w:b/>
          <w:sz w:val="20"/>
          <w:szCs w:val="20"/>
          <w:lang w:val="fr-CA"/>
        </w:rPr>
        <w:t xml:space="preserve"> </w:t>
      </w:r>
      <w:r w:rsidRPr="00FE6980">
        <w:rPr>
          <w:rStyle w:val="SCCRespondentForIndexChar"/>
          <w:rFonts w:eastAsiaTheme="minorHAnsi"/>
          <w:sz w:val="20"/>
          <w:lang w:val="fr-CA"/>
        </w:rPr>
        <w:t>Châteauguay (Ville)</w:t>
      </w:r>
    </w:p>
    <w:p w:rsidR="0052229C" w:rsidRPr="00FE6980" w:rsidRDefault="0052229C" w:rsidP="0052229C">
      <w:pPr>
        <w:pStyle w:val="SCCSystemYear"/>
        <w:jc w:val="both"/>
        <w:rPr>
          <w:sz w:val="20"/>
        </w:rPr>
      </w:pPr>
      <w:proofErr w:type="spellStart"/>
      <w:r w:rsidRPr="00FE6980">
        <w:rPr>
          <w:sz w:val="20"/>
        </w:rPr>
        <w:t>Neutral</w:t>
      </w:r>
      <w:proofErr w:type="spellEnd"/>
      <w:r w:rsidRPr="00FE6980">
        <w:rPr>
          <w:sz w:val="20"/>
        </w:rPr>
        <w:t xml:space="preserve"> citation</w:t>
      </w:r>
      <w:proofErr w:type="gramStart"/>
      <w:r w:rsidRPr="00FE6980">
        <w:rPr>
          <w:sz w:val="20"/>
        </w:rPr>
        <w:t xml:space="preserve">:  </w:t>
      </w:r>
      <w:r w:rsidR="0030050B" w:rsidRPr="00FE6980">
        <w:rPr>
          <w:sz w:val="20"/>
        </w:rPr>
        <w:t>2016</w:t>
      </w:r>
      <w:proofErr w:type="gramEnd"/>
      <w:r w:rsidRPr="00FE6980">
        <w:rPr>
          <w:sz w:val="20"/>
        </w:rPr>
        <w:t xml:space="preserve"> SCC </w:t>
      </w:r>
      <w:r w:rsidR="00B354FE" w:rsidRPr="00FE6980">
        <w:rPr>
          <w:sz w:val="20"/>
        </w:rPr>
        <w:t>23</w:t>
      </w:r>
      <w:r w:rsidRPr="00FE6980">
        <w:rPr>
          <w:sz w:val="20"/>
        </w:rPr>
        <w:t xml:space="preserve"> / Référence neutre : </w:t>
      </w:r>
      <w:r w:rsidR="0030050B" w:rsidRPr="00FE6980">
        <w:rPr>
          <w:sz w:val="20"/>
        </w:rPr>
        <w:t>2016</w:t>
      </w:r>
      <w:r w:rsidRPr="00FE6980">
        <w:rPr>
          <w:sz w:val="20"/>
        </w:rPr>
        <w:t xml:space="preserve"> CSC </w:t>
      </w:r>
      <w:r w:rsidR="00B354FE" w:rsidRPr="00FE6980">
        <w:rPr>
          <w:sz w:val="20"/>
        </w:rPr>
        <w:t>23</w:t>
      </w:r>
    </w:p>
    <w:p w:rsidR="0052229C" w:rsidRPr="00FE6980" w:rsidRDefault="0052229C" w:rsidP="0052229C">
      <w:pPr>
        <w:rPr>
          <w:rFonts w:cs="Times New Roman"/>
          <w:sz w:val="20"/>
          <w:szCs w:val="20"/>
          <w:lang w:val="fr-CA"/>
        </w:rPr>
      </w:pPr>
      <w:proofErr w:type="spellStart"/>
      <w:r w:rsidRPr="00FE6980">
        <w:rPr>
          <w:rFonts w:cs="Times New Roman"/>
          <w:sz w:val="20"/>
          <w:szCs w:val="20"/>
          <w:lang w:val="fr-CA"/>
        </w:rPr>
        <w:t>Hearing</w:t>
      </w:r>
      <w:proofErr w:type="spellEnd"/>
      <w:proofErr w:type="gramStart"/>
      <w:r w:rsidRPr="00FE6980">
        <w:rPr>
          <w:rFonts w:cs="Times New Roman"/>
          <w:sz w:val="20"/>
          <w:szCs w:val="20"/>
          <w:lang w:val="fr-CA"/>
        </w:rPr>
        <w:t xml:space="preserve">:  </w:t>
      </w:r>
      <w:proofErr w:type="spellStart"/>
      <w:r w:rsidR="00B354FE" w:rsidRPr="00FE6980">
        <w:rPr>
          <w:rFonts w:cs="Times New Roman"/>
          <w:sz w:val="20"/>
          <w:szCs w:val="20"/>
          <w:lang w:val="fr-CA"/>
        </w:rPr>
        <w:t>October</w:t>
      </w:r>
      <w:proofErr w:type="spellEnd"/>
      <w:proofErr w:type="gramEnd"/>
      <w:r w:rsidR="00B354FE" w:rsidRPr="00FE6980">
        <w:rPr>
          <w:rFonts w:cs="Times New Roman"/>
          <w:sz w:val="20"/>
          <w:szCs w:val="20"/>
          <w:lang w:val="fr-CA"/>
        </w:rPr>
        <w:t xml:space="preserve"> 9, 2015</w:t>
      </w:r>
      <w:r w:rsidRPr="00FE6980">
        <w:rPr>
          <w:rFonts w:cs="Times New Roman"/>
          <w:sz w:val="20"/>
          <w:szCs w:val="20"/>
          <w:lang w:val="fr-CA"/>
        </w:rPr>
        <w:t xml:space="preserve"> / </w:t>
      </w:r>
      <w:proofErr w:type="spellStart"/>
      <w:r w:rsidRPr="00FE6980">
        <w:rPr>
          <w:rFonts w:cs="Times New Roman"/>
          <w:sz w:val="20"/>
          <w:szCs w:val="20"/>
          <w:lang w:val="fr-CA"/>
        </w:rPr>
        <w:t>Judgment</w:t>
      </w:r>
      <w:proofErr w:type="spellEnd"/>
      <w:r w:rsidRPr="00FE6980">
        <w:rPr>
          <w:rFonts w:cs="Times New Roman"/>
          <w:sz w:val="20"/>
          <w:szCs w:val="20"/>
          <w:lang w:val="fr-CA"/>
        </w:rPr>
        <w:t xml:space="preserve">:  </w:t>
      </w:r>
      <w:proofErr w:type="spellStart"/>
      <w:r w:rsidRPr="00FE6980">
        <w:rPr>
          <w:rFonts w:cs="Times New Roman"/>
          <w:sz w:val="20"/>
          <w:szCs w:val="20"/>
          <w:lang w:val="fr-CA"/>
        </w:rPr>
        <w:t>J</w:t>
      </w:r>
      <w:r w:rsidR="00B354FE" w:rsidRPr="00FE6980">
        <w:rPr>
          <w:rFonts w:cs="Times New Roman"/>
          <w:sz w:val="20"/>
          <w:szCs w:val="20"/>
          <w:lang w:val="fr-CA"/>
        </w:rPr>
        <w:t>une</w:t>
      </w:r>
      <w:proofErr w:type="spellEnd"/>
      <w:r w:rsidRPr="00FE6980">
        <w:rPr>
          <w:rFonts w:cs="Times New Roman"/>
          <w:sz w:val="20"/>
          <w:szCs w:val="20"/>
          <w:lang w:val="fr-CA"/>
        </w:rPr>
        <w:t xml:space="preserve"> 16, </w:t>
      </w:r>
      <w:r w:rsidR="0030050B" w:rsidRPr="00FE6980">
        <w:rPr>
          <w:rFonts w:cs="Times New Roman"/>
          <w:sz w:val="20"/>
          <w:szCs w:val="20"/>
          <w:lang w:val="fr-CA"/>
        </w:rPr>
        <w:t>2016</w:t>
      </w:r>
    </w:p>
    <w:p w:rsidR="0052229C" w:rsidRPr="00FE6980" w:rsidRDefault="0052229C" w:rsidP="0052229C">
      <w:pPr>
        <w:rPr>
          <w:rFonts w:cs="Times New Roman"/>
          <w:sz w:val="20"/>
          <w:szCs w:val="20"/>
          <w:lang w:val="fr-CA"/>
        </w:rPr>
      </w:pPr>
      <w:r w:rsidRPr="00FE6980">
        <w:rPr>
          <w:rFonts w:cs="Times New Roman"/>
          <w:sz w:val="20"/>
          <w:szCs w:val="20"/>
          <w:lang w:val="fr-CA"/>
        </w:rPr>
        <w:t xml:space="preserve">Audition : Le </w:t>
      </w:r>
      <w:r w:rsidR="00B354FE" w:rsidRPr="00FE6980">
        <w:rPr>
          <w:rFonts w:cs="Times New Roman"/>
          <w:sz w:val="20"/>
          <w:szCs w:val="20"/>
          <w:lang w:val="fr-CA"/>
        </w:rPr>
        <w:t>9 octobre 2015</w:t>
      </w:r>
      <w:r w:rsidRPr="00FE6980">
        <w:rPr>
          <w:rFonts w:cs="Times New Roman"/>
          <w:sz w:val="20"/>
          <w:szCs w:val="20"/>
          <w:lang w:val="fr-CA"/>
        </w:rPr>
        <w:t xml:space="preserve"> / Jugement : Le </w:t>
      </w:r>
      <w:r w:rsidR="00B354FE" w:rsidRPr="00FE6980">
        <w:rPr>
          <w:rFonts w:cs="Times New Roman"/>
          <w:sz w:val="20"/>
          <w:szCs w:val="20"/>
          <w:lang w:val="fr-CA"/>
        </w:rPr>
        <w:t>16 juin</w:t>
      </w:r>
      <w:r w:rsidRPr="00FE6980">
        <w:rPr>
          <w:rFonts w:cs="Times New Roman"/>
          <w:sz w:val="20"/>
          <w:szCs w:val="20"/>
          <w:lang w:val="fr-CA"/>
        </w:rPr>
        <w:t xml:space="preserve"> </w:t>
      </w:r>
      <w:r w:rsidR="0030050B" w:rsidRPr="00FE6980">
        <w:rPr>
          <w:rFonts w:cs="Times New Roman"/>
          <w:sz w:val="20"/>
          <w:szCs w:val="20"/>
          <w:lang w:val="fr-CA"/>
        </w:rPr>
        <w:t>2016</w:t>
      </w:r>
    </w:p>
    <w:p w:rsidR="005C6840" w:rsidRPr="00FE6980" w:rsidRDefault="00E433FF" w:rsidP="005C6840">
      <w:pPr>
        <w:rPr>
          <w:rFonts w:cs="Times New Roman"/>
          <w:sz w:val="20"/>
          <w:szCs w:val="20"/>
          <w:lang w:val="fr-CA"/>
        </w:rPr>
      </w:pPr>
      <w:r>
        <w:rPr>
          <w:rFonts w:cs="Times New Roman"/>
          <w:i/>
          <w:sz w:val="20"/>
          <w:szCs w:val="20"/>
        </w:rPr>
        <w:pict>
          <v:rect id="_x0000_i1070" style="width:480.95pt;height:1pt" o:hralign="center" o:hrstd="t" o:hrnoshade="t" o:hr="t" fillcolor="black [3213]" stroked="f"/>
        </w:pict>
      </w:r>
    </w:p>
    <w:p w:rsidR="005C6840" w:rsidRPr="00FE6980" w:rsidRDefault="005C6840" w:rsidP="005C6840">
      <w:pPr>
        <w:rPr>
          <w:rFonts w:cs="Times New Roman"/>
          <w:sz w:val="20"/>
          <w:szCs w:val="20"/>
          <w:lang w:val="fr-CA"/>
        </w:rPr>
      </w:pPr>
    </w:p>
    <w:p w:rsidR="00B354FE" w:rsidRPr="00FE6980" w:rsidRDefault="00B354FE" w:rsidP="00B354FE">
      <w:pPr>
        <w:jc w:val="both"/>
        <w:rPr>
          <w:sz w:val="20"/>
          <w:szCs w:val="20"/>
        </w:rPr>
      </w:pPr>
      <w:r w:rsidRPr="00FE6980">
        <w:rPr>
          <w:sz w:val="20"/>
          <w:szCs w:val="20"/>
        </w:rPr>
        <w:t>Present: McLachlin C.J. and Abella, Cromwell, Moldaver, Karakatsanis, Wagner, Gascon, Côté and Brown JJ.</w:t>
      </w:r>
    </w:p>
    <w:p w:rsidR="00B354FE" w:rsidRPr="00FE6980" w:rsidRDefault="00B354FE" w:rsidP="00B354FE">
      <w:pPr>
        <w:pStyle w:val="SCCNormalDoubleSpacing"/>
        <w:spacing w:line="240" w:lineRule="auto"/>
        <w:rPr>
          <w:sz w:val="20"/>
        </w:rPr>
      </w:pPr>
    </w:p>
    <w:p w:rsidR="00B354FE" w:rsidRPr="00FE6980" w:rsidRDefault="00B354FE" w:rsidP="00B354FE">
      <w:pPr>
        <w:pStyle w:val="SCCNormalDoubleSpacing"/>
        <w:spacing w:line="240" w:lineRule="auto"/>
        <w:rPr>
          <w:i/>
          <w:sz w:val="20"/>
        </w:rPr>
      </w:pPr>
      <w:r w:rsidRPr="00FE6980">
        <w:rPr>
          <w:sz w:val="20"/>
        </w:rPr>
        <w:tab/>
      </w:r>
      <w:r w:rsidRPr="00FE6980">
        <w:rPr>
          <w:i/>
          <w:sz w:val="20"/>
        </w:rPr>
        <w:t xml:space="preserve">Constitutional law — Division of powers — </w:t>
      </w:r>
      <w:proofErr w:type="spellStart"/>
      <w:r w:rsidRPr="00FE6980">
        <w:rPr>
          <w:i/>
          <w:sz w:val="20"/>
        </w:rPr>
        <w:t>Radiocommunication</w:t>
      </w:r>
      <w:proofErr w:type="spellEnd"/>
      <w:r w:rsidRPr="00FE6980">
        <w:rPr>
          <w:i/>
          <w:sz w:val="20"/>
        </w:rPr>
        <w:t xml:space="preserve"> — Pith and substance doctrine — Double aspect doctrine — Notice of establishment of reserve served by city to prevent construction of </w:t>
      </w:r>
      <w:proofErr w:type="spellStart"/>
      <w:r w:rsidRPr="00FE6980">
        <w:rPr>
          <w:i/>
          <w:sz w:val="20"/>
        </w:rPr>
        <w:t>radiocommunication</w:t>
      </w:r>
      <w:proofErr w:type="spellEnd"/>
      <w:r w:rsidRPr="00FE6980">
        <w:rPr>
          <w:i/>
          <w:sz w:val="20"/>
        </w:rPr>
        <w:t xml:space="preserve"> antenna system on its territory — Whether notice of reserve is ultra vires city on basis that it relates in pith and substance to exclusive federal power — </w:t>
      </w:r>
      <w:proofErr w:type="spellStart"/>
      <w:r w:rsidRPr="00FE6980">
        <w:rPr>
          <w:i/>
          <w:sz w:val="20"/>
        </w:rPr>
        <w:t>Radiocommunication</w:t>
      </w:r>
      <w:proofErr w:type="spellEnd"/>
      <w:r w:rsidRPr="00FE6980">
        <w:rPr>
          <w:i/>
          <w:sz w:val="20"/>
        </w:rPr>
        <w:t xml:space="preserve"> Act, R.S.C. 1985, c. R-2, s. 5(1)(f) — Constitution Act, 1867, ss. 91(29), 92(10)(a), (13), (16).</w:t>
      </w:r>
    </w:p>
    <w:p w:rsidR="00B354FE" w:rsidRPr="00FE6980" w:rsidRDefault="00B354FE" w:rsidP="00B354FE">
      <w:pPr>
        <w:pStyle w:val="SCCNormalDoubleSpacing"/>
        <w:spacing w:line="240" w:lineRule="auto"/>
        <w:rPr>
          <w:i/>
          <w:sz w:val="20"/>
        </w:rPr>
      </w:pPr>
    </w:p>
    <w:p w:rsidR="00B354FE" w:rsidRPr="00FE6980" w:rsidRDefault="00B354FE" w:rsidP="00B354FE">
      <w:pPr>
        <w:pStyle w:val="SCCNormalDoubleSpacing"/>
        <w:spacing w:line="240" w:lineRule="auto"/>
        <w:rPr>
          <w:i/>
          <w:sz w:val="20"/>
        </w:rPr>
      </w:pPr>
      <w:r w:rsidRPr="00FE6980">
        <w:rPr>
          <w:i/>
          <w:sz w:val="20"/>
        </w:rPr>
        <w:tab/>
        <w:t xml:space="preserve">Constitutional law — Division of powers — </w:t>
      </w:r>
      <w:proofErr w:type="spellStart"/>
      <w:r w:rsidRPr="00FE6980">
        <w:rPr>
          <w:i/>
          <w:sz w:val="20"/>
        </w:rPr>
        <w:t>Radiocommunication</w:t>
      </w:r>
      <w:proofErr w:type="spellEnd"/>
      <w:r w:rsidRPr="00FE6980">
        <w:rPr>
          <w:i/>
          <w:sz w:val="20"/>
        </w:rPr>
        <w:t xml:space="preserve"> — Interjurisdictional immunity — Notice of establishment of reserve served by city to prevent construction of </w:t>
      </w:r>
      <w:proofErr w:type="spellStart"/>
      <w:r w:rsidRPr="00FE6980">
        <w:rPr>
          <w:i/>
          <w:sz w:val="20"/>
        </w:rPr>
        <w:t>radiocommunication</w:t>
      </w:r>
      <w:proofErr w:type="spellEnd"/>
      <w:r w:rsidRPr="00FE6980">
        <w:rPr>
          <w:i/>
          <w:sz w:val="20"/>
        </w:rPr>
        <w:t xml:space="preserve"> antenna system on its territory — Whether notice of reserve inapplicable by reason of doctrine of interjurisdictional immunity — </w:t>
      </w:r>
      <w:proofErr w:type="spellStart"/>
      <w:r w:rsidRPr="00FE6980">
        <w:rPr>
          <w:i/>
          <w:sz w:val="20"/>
        </w:rPr>
        <w:t>Radiocommunication</w:t>
      </w:r>
      <w:proofErr w:type="spellEnd"/>
      <w:r w:rsidRPr="00FE6980">
        <w:rPr>
          <w:i/>
          <w:sz w:val="20"/>
        </w:rPr>
        <w:t xml:space="preserve"> Act, R.S.C. 1985, c. R-2, s. 5(1)(f) — Constitution Act, 1867, ss. 91(29), 92(10)(a), (13), (16).</w:t>
      </w:r>
    </w:p>
    <w:p w:rsidR="00B354FE" w:rsidRPr="00FE6980" w:rsidRDefault="00B354FE" w:rsidP="00B354FE">
      <w:pPr>
        <w:pStyle w:val="SCCNormalDoubleSpacing"/>
        <w:spacing w:line="240" w:lineRule="auto"/>
        <w:rPr>
          <w:sz w:val="20"/>
        </w:rPr>
      </w:pPr>
    </w:p>
    <w:p w:rsidR="00B354FE" w:rsidRPr="00FE6980" w:rsidRDefault="00B354FE" w:rsidP="00B354FE">
      <w:pPr>
        <w:pStyle w:val="SCCNormalDoubleSpacing"/>
        <w:spacing w:line="240" w:lineRule="auto"/>
        <w:rPr>
          <w:sz w:val="20"/>
        </w:rPr>
      </w:pPr>
      <w:r w:rsidRPr="00FE6980">
        <w:rPr>
          <w:sz w:val="20"/>
        </w:rPr>
        <w:tab/>
        <w:t xml:space="preserve">Rogers Communications Inc. (“Rogers”), a Canadian corporation, offers various communication services everywhere in Canada. It holds a spectrum licence, which authorizes it to provide services in specified frequency ranges. This licence requires it to meet a number of obligations, one of which is to ensure an adequate network coverage in the geographic regions attributed to it. In the fall of 2007, Rogers decided to construct a new </w:t>
      </w:r>
      <w:proofErr w:type="spellStart"/>
      <w:r w:rsidRPr="00FE6980">
        <w:rPr>
          <w:sz w:val="20"/>
        </w:rPr>
        <w:t>radiocommunication</w:t>
      </w:r>
      <w:proofErr w:type="spellEnd"/>
      <w:r w:rsidRPr="00FE6980">
        <w:rPr>
          <w:sz w:val="20"/>
        </w:rPr>
        <w:t xml:space="preserve"> antenna system on the territory of the City of </w:t>
      </w:r>
      <w:proofErr w:type="spellStart"/>
      <w:r w:rsidRPr="00FE6980">
        <w:rPr>
          <w:sz w:val="20"/>
        </w:rPr>
        <w:t>Châteauguay</w:t>
      </w:r>
      <w:proofErr w:type="spellEnd"/>
      <w:r w:rsidRPr="00FE6980">
        <w:rPr>
          <w:sz w:val="20"/>
        </w:rPr>
        <w:t xml:space="preserve"> (“</w:t>
      </w:r>
      <w:proofErr w:type="spellStart"/>
      <w:r w:rsidRPr="00FE6980">
        <w:rPr>
          <w:sz w:val="20"/>
        </w:rPr>
        <w:t>Châteauguay</w:t>
      </w:r>
      <w:proofErr w:type="spellEnd"/>
      <w:r w:rsidRPr="00FE6980">
        <w:rPr>
          <w:sz w:val="20"/>
        </w:rPr>
        <w:t>”) in order to fill gaps in its wireless telephone network. Pursuant to his powers under the</w:t>
      </w:r>
      <w:r w:rsidRPr="00FE6980">
        <w:rPr>
          <w:i/>
          <w:sz w:val="20"/>
        </w:rPr>
        <w:t xml:space="preserve"> </w:t>
      </w:r>
      <w:proofErr w:type="spellStart"/>
      <w:r w:rsidRPr="00FE6980">
        <w:rPr>
          <w:i/>
          <w:sz w:val="20"/>
        </w:rPr>
        <w:t>Radiocommunication</w:t>
      </w:r>
      <w:proofErr w:type="spellEnd"/>
      <w:r w:rsidRPr="00FE6980">
        <w:rPr>
          <w:i/>
          <w:sz w:val="20"/>
        </w:rPr>
        <w:t xml:space="preserve"> Act</w:t>
      </w:r>
      <w:r w:rsidRPr="00FE6980">
        <w:rPr>
          <w:sz w:val="20"/>
        </w:rPr>
        <w:t>, the federal Minister of Industry authorized Rogers to install an antenna system on property located at 411 Boulevard Saint</w:t>
      </w:r>
      <w:r w:rsidRPr="00FE6980">
        <w:rPr>
          <w:sz w:val="20"/>
        </w:rPr>
        <w:noBreakHyphen/>
        <w:t xml:space="preserve">Francis in </w:t>
      </w:r>
      <w:proofErr w:type="spellStart"/>
      <w:r w:rsidRPr="00FE6980">
        <w:rPr>
          <w:sz w:val="20"/>
        </w:rPr>
        <w:t>Châteauguay</w:t>
      </w:r>
      <w:proofErr w:type="spellEnd"/>
      <w:r w:rsidRPr="00FE6980">
        <w:rPr>
          <w:sz w:val="20"/>
        </w:rPr>
        <w:t xml:space="preserve">. </w:t>
      </w:r>
      <w:proofErr w:type="spellStart"/>
      <w:r w:rsidRPr="00FE6980">
        <w:rPr>
          <w:sz w:val="20"/>
        </w:rPr>
        <w:t>Châteauguay</w:t>
      </w:r>
      <w:proofErr w:type="spellEnd"/>
      <w:r w:rsidRPr="00FE6980">
        <w:rPr>
          <w:sz w:val="20"/>
        </w:rPr>
        <w:t>, arguing that the health and well</w:t>
      </w:r>
      <w:r w:rsidRPr="00FE6980">
        <w:rPr>
          <w:sz w:val="20"/>
        </w:rPr>
        <w:noBreakHyphen/>
        <w:t xml:space="preserve">being of people living near such an installation would be at risk, adopted a municipal resolution authorizing the service of a notice of establishment of a reserve that prohibited all </w:t>
      </w:r>
      <w:r w:rsidRPr="00FE6980">
        <w:rPr>
          <w:sz w:val="20"/>
          <w:lang w:val="en-US"/>
        </w:rPr>
        <w:t>construction</w:t>
      </w:r>
      <w:r w:rsidRPr="00FE6980">
        <w:rPr>
          <w:sz w:val="20"/>
        </w:rPr>
        <w:t xml:space="preserve"> on the property in question for two years. A few days before the notice was due to lapse, it was renewed for two additional years. Rogers filed a motion to contest the notice of a reserve, arguing that the notice was unconstitutional because it constituted an exercise of the federal power over </w:t>
      </w:r>
      <w:proofErr w:type="spellStart"/>
      <w:r w:rsidRPr="00FE6980">
        <w:rPr>
          <w:sz w:val="20"/>
        </w:rPr>
        <w:t>radiocommunication</w:t>
      </w:r>
      <w:proofErr w:type="spellEnd"/>
      <w:r w:rsidRPr="00FE6980">
        <w:rPr>
          <w:sz w:val="20"/>
        </w:rPr>
        <w:t>. Rogers also expressed the view that the notice was either inapplicable to it by reason of the doctrine of interjurisdictional immunity or inoperative by reason of the doctrine of federal paramountcy.</w:t>
      </w:r>
    </w:p>
    <w:p w:rsidR="00B354FE" w:rsidRPr="00FE6980" w:rsidRDefault="00B354FE" w:rsidP="00B354FE">
      <w:pPr>
        <w:pStyle w:val="SCCNormalDoubleSpacing"/>
        <w:spacing w:line="240" w:lineRule="auto"/>
        <w:rPr>
          <w:sz w:val="20"/>
        </w:rPr>
      </w:pPr>
    </w:p>
    <w:p w:rsidR="00B354FE" w:rsidRPr="00FE6980" w:rsidRDefault="00B354FE" w:rsidP="00B354FE">
      <w:pPr>
        <w:pStyle w:val="SCCNormalDoubleSpacing"/>
        <w:spacing w:line="240" w:lineRule="auto"/>
        <w:rPr>
          <w:sz w:val="20"/>
        </w:rPr>
      </w:pPr>
      <w:r w:rsidRPr="00FE6980">
        <w:rPr>
          <w:sz w:val="20"/>
        </w:rPr>
        <w:tab/>
        <w:t xml:space="preserve">The Superior Court, applying administrative law principles, found that </w:t>
      </w:r>
      <w:proofErr w:type="spellStart"/>
      <w:r w:rsidRPr="00FE6980">
        <w:rPr>
          <w:sz w:val="20"/>
        </w:rPr>
        <w:t>Châteauguay</w:t>
      </w:r>
      <w:proofErr w:type="spellEnd"/>
      <w:r w:rsidRPr="00FE6980">
        <w:rPr>
          <w:sz w:val="20"/>
        </w:rPr>
        <w:t xml:space="preserve"> had acted in bad faith, and annulled the notice of a reserve and its renewal, as well as the resolutions on which they were based. The Court of Appeal set aside the Superior Court’s judgment and also rejected Rogers’ constitutional arguments.</w:t>
      </w:r>
    </w:p>
    <w:p w:rsidR="00B354FE" w:rsidRPr="00FE6980" w:rsidRDefault="00B354FE" w:rsidP="00B354FE">
      <w:pPr>
        <w:pStyle w:val="SCCNormalDoubleSpacing"/>
        <w:spacing w:line="240" w:lineRule="auto"/>
        <w:rPr>
          <w:sz w:val="20"/>
        </w:rPr>
      </w:pPr>
    </w:p>
    <w:p w:rsidR="00B354FE" w:rsidRPr="00FE6980" w:rsidRDefault="00B354FE" w:rsidP="00B354FE">
      <w:pPr>
        <w:pStyle w:val="SCCNormalDoubleSpacing"/>
        <w:spacing w:line="240" w:lineRule="auto"/>
        <w:rPr>
          <w:sz w:val="20"/>
        </w:rPr>
      </w:pPr>
      <w:r w:rsidRPr="00FE6980">
        <w:rPr>
          <w:sz w:val="20"/>
        </w:rPr>
        <w:tab/>
      </w:r>
      <w:r w:rsidRPr="00FE6980">
        <w:rPr>
          <w:i/>
          <w:sz w:val="20"/>
        </w:rPr>
        <w:t>Held</w:t>
      </w:r>
      <w:r w:rsidRPr="00FE6980">
        <w:rPr>
          <w:sz w:val="20"/>
        </w:rPr>
        <w:t>: The appeal should be allowed. The notice of a reserve is unconstitutional.</w:t>
      </w:r>
    </w:p>
    <w:p w:rsidR="00B354FE" w:rsidRPr="00FE6980" w:rsidRDefault="00B354FE" w:rsidP="00B354FE">
      <w:pPr>
        <w:pStyle w:val="SCCNormalDoubleSpacing"/>
        <w:spacing w:line="240" w:lineRule="auto"/>
        <w:rPr>
          <w:sz w:val="20"/>
        </w:rPr>
      </w:pPr>
    </w:p>
    <w:p w:rsidR="00B354FE" w:rsidRPr="00FE6980" w:rsidRDefault="00B354FE" w:rsidP="00B354FE">
      <w:pPr>
        <w:pStyle w:val="SCCNormalDoubleSpacing"/>
        <w:spacing w:line="240" w:lineRule="auto"/>
        <w:rPr>
          <w:sz w:val="20"/>
        </w:rPr>
      </w:pPr>
      <w:r w:rsidRPr="00FE6980">
        <w:rPr>
          <w:sz w:val="20"/>
        </w:rPr>
        <w:tab/>
      </w:r>
      <w:r w:rsidRPr="00FE6980">
        <w:rPr>
          <w:i/>
          <w:sz w:val="20"/>
        </w:rPr>
        <w:t>Per</w:t>
      </w:r>
      <w:r w:rsidRPr="00FE6980">
        <w:rPr>
          <w:sz w:val="20"/>
        </w:rPr>
        <w:t xml:space="preserve"> McLachlin C.J. and Abella, Cromwell, Moldaver, Karakatsanis, </w:t>
      </w:r>
      <w:r w:rsidRPr="00FE6980">
        <w:rPr>
          <w:b/>
          <w:sz w:val="20"/>
        </w:rPr>
        <w:t>Wagner</w:t>
      </w:r>
      <w:r w:rsidRPr="00FE6980">
        <w:rPr>
          <w:sz w:val="20"/>
        </w:rPr>
        <w:t xml:space="preserve">, </w:t>
      </w:r>
      <w:r w:rsidRPr="00FE6980">
        <w:rPr>
          <w:b/>
          <w:sz w:val="20"/>
        </w:rPr>
        <w:t>Côté</w:t>
      </w:r>
      <w:r w:rsidRPr="00FE6980">
        <w:rPr>
          <w:sz w:val="20"/>
        </w:rPr>
        <w:t xml:space="preserve"> and Brown JJ.: The notice of a reserve is </w:t>
      </w:r>
      <w:r w:rsidRPr="00FE6980">
        <w:rPr>
          <w:i/>
          <w:sz w:val="20"/>
        </w:rPr>
        <w:t>ultra vires</w:t>
      </w:r>
      <w:r w:rsidRPr="00FE6980">
        <w:rPr>
          <w:sz w:val="20"/>
        </w:rPr>
        <w:t xml:space="preserve">, because it constitutes an exercise of the federal power over </w:t>
      </w:r>
      <w:proofErr w:type="spellStart"/>
      <w:r w:rsidRPr="00FE6980">
        <w:rPr>
          <w:sz w:val="20"/>
        </w:rPr>
        <w:t>radiocommunication</w:t>
      </w:r>
      <w:proofErr w:type="spellEnd"/>
      <w:r w:rsidRPr="00FE6980">
        <w:rPr>
          <w:sz w:val="20"/>
        </w:rPr>
        <w:t xml:space="preserve">, which is an exclusive federal power. In analyzing the pith and substance of the notice of a reserve, a court must consider both its purpose and its effects. An analysis of the evidence in this regard leads to but one conclusion: the purpose of the notice of a reserve was to prevent Rogers from installing its </w:t>
      </w:r>
      <w:proofErr w:type="spellStart"/>
      <w:r w:rsidRPr="00FE6980">
        <w:rPr>
          <w:sz w:val="20"/>
        </w:rPr>
        <w:t>radiocommunication</w:t>
      </w:r>
      <w:proofErr w:type="spellEnd"/>
      <w:r w:rsidRPr="00FE6980">
        <w:rPr>
          <w:sz w:val="20"/>
        </w:rPr>
        <w:t xml:space="preserve"> antenna system on the property at 411 Boulevard Saint</w:t>
      </w:r>
      <w:r w:rsidRPr="00FE6980">
        <w:rPr>
          <w:sz w:val="20"/>
        </w:rPr>
        <w:noBreakHyphen/>
        <w:t xml:space="preserve">Francis by limiting the possible choices for the system’s location. The same conclusion applies with regard to the legal and practical effects of the notice of a reserve. Even if this measure addressed health concerns raised by certain residents, the fact remains that it would </w:t>
      </w:r>
      <w:r w:rsidRPr="00FE6980">
        <w:rPr>
          <w:sz w:val="20"/>
          <w:lang w:val="en-US"/>
        </w:rPr>
        <w:t>constitute</w:t>
      </w:r>
      <w:r w:rsidRPr="00FE6980">
        <w:rPr>
          <w:sz w:val="20"/>
        </w:rPr>
        <w:t xml:space="preserve"> a usurpation of the federal power over </w:t>
      </w:r>
      <w:proofErr w:type="spellStart"/>
      <w:r w:rsidRPr="00FE6980">
        <w:rPr>
          <w:sz w:val="20"/>
        </w:rPr>
        <w:t>radiocommunication</w:t>
      </w:r>
      <w:proofErr w:type="spellEnd"/>
      <w:r w:rsidRPr="00FE6980">
        <w:rPr>
          <w:sz w:val="20"/>
        </w:rPr>
        <w:t>. The principle of co</w:t>
      </w:r>
      <w:r w:rsidRPr="00FE6980">
        <w:rPr>
          <w:sz w:val="20"/>
        </w:rPr>
        <w:noBreakHyphen/>
        <w:t xml:space="preserve">operative federalism is of no assistance in this case, as it can neither override nor modify the division of powers itself. It cannot be seen as imposing limits on the valid exercise of legislative authority. Nor can it support a finding that an otherwise unconstitutional measure is valid.  </w:t>
      </w:r>
    </w:p>
    <w:p w:rsidR="00B354FE" w:rsidRPr="00FE6980" w:rsidRDefault="00B354FE" w:rsidP="00B354FE">
      <w:pPr>
        <w:pStyle w:val="SCCNormalDoubleSpacing"/>
        <w:spacing w:line="240" w:lineRule="auto"/>
        <w:rPr>
          <w:sz w:val="20"/>
        </w:rPr>
      </w:pPr>
    </w:p>
    <w:p w:rsidR="00B354FE" w:rsidRPr="00FE6980" w:rsidRDefault="00B354FE" w:rsidP="00B354FE">
      <w:pPr>
        <w:pStyle w:val="SCCNormalDoubleSpacing"/>
        <w:spacing w:line="240" w:lineRule="auto"/>
        <w:rPr>
          <w:sz w:val="20"/>
        </w:rPr>
      </w:pPr>
      <w:r w:rsidRPr="00FE6980">
        <w:rPr>
          <w:sz w:val="20"/>
        </w:rPr>
        <w:tab/>
        <w:t xml:space="preserve">The notice of a reserve does not have a double aspect. Because the pith and substance of the notice of a reserve is the choice of the location of </w:t>
      </w:r>
      <w:proofErr w:type="spellStart"/>
      <w:r w:rsidRPr="00FE6980">
        <w:rPr>
          <w:sz w:val="20"/>
        </w:rPr>
        <w:t>radiocommunication</w:t>
      </w:r>
      <w:proofErr w:type="spellEnd"/>
      <w:r w:rsidRPr="00FE6980">
        <w:rPr>
          <w:sz w:val="20"/>
        </w:rPr>
        <w:t xml:space="preserve"> infrastructure, there is no equivalence between the federal aspect, that is, the power over </w:t>
      </w:r>
      <w:proofErr w:type="spellStart"/>
      <w:r w:rsidRPr="00FE6980">
        <w:rPr>
          <w:sz w:val="20"/>
        </w:rPr>
        <w:t>radiocommunication</w:t>
      </w:r>
      <w:proofErr w:type="spellEnd"/>
      <w:r w:rsidRPr="00FE6980">
        <w:rPr>
          <w:sz w:val="20"/>
        </w:rPr>
        <w:t xml:space="preserve">, and the provincial aspects, namely </w:t>
      </w:r>
      <w:r w:rsidRPr="00FE6980">
        <w:rPr>
          <w:sz w:val="20"/>
          <w:lang w:val="en-US"/>
        </w:rPr>
        <w:t>the</w:t>
      </w:r>
      <w:r w:rsidRPr="00FE6980">
        <w:rPr>
          <w:sz w:val="20"/>
        </w:rPr>
        <w:t xml:space="preserve"> protection of the health and well</w:t>
      </w:r>
      <w:r w:rsidRPr="00FE6980">
        <w:rPr>
          <w:sz w:val="20"/>
        </w:rPr>
        <w:noBreakHyphen/>
        <w:t xml:space="preserve">being of residents living nearby and the harmonious development of the municipality’s territory. A finding that the siting of </w:t>
      </w:r>
      <w:proofErr w:type="spellStart"/>
      <w:r w:rsidRPr="00FE6980">
        <w:rPr>
          <w:sz w:val="20"/>
        </w:rPr>
        <w:t>radiocommunication</w:t>
      </w:r>
      <w:proofErr w:type="spellEnd"/>
      <w:r w:rsidRPr="00FE6980">
        <w:rPr>
          <w:sz w:val="20"/>
        </w:rPr>
        <w:t xml:space="preserve"> infrastructure has a double aspect would imply that both the federal and provincial governments can legislate in this regard, which would contradict the precedent established by the Privy Council in </w:t>
      </w:r>
      <w:r w:rsidRPr="00FE6980">
        <w:rPr>
          <w:i/>
          <w:sz w:val="20"/>
        </w:rPr>
        <w:t>In re Regulation and Control of Radio Communication in Canada</w:t>
      </w:r>
      <w:r w:rsidRPr="00FE6980">
        <w:rPr>
          <w:sz w:val="20"/>
        </w:rPr>
        <w:t xml:space="preserve">, [1932] A.C. 304, to the effect that the federal jurisdiction over the siting of such infrastructure is exclusive. </w:t>
      </w:r>
    </w:p>
    <w:p w:rsidR="00B354FE" w:rsidRPr="00FE6980" w:rsidRDefault="00B354FE" w:rsidP="00B354FE">
      <w:pPr>
        <w:pStyle w:val="SCCNormalDoubleSpacing"/>
        <w:spacing w:line="240" w:lineRule="auto"/>
        <w:rPr>
          <w:sz w:val="20"/>
        </w:rPr>
      </w:pPr>
    </w:p>
    <w:p w:rsidR="00B354FE" w:rsidRPr="00FE6980" w:rsidRDefault="00B354FE" w:rsidP="00B354FE">
      <w:pPr>
        <w:pStyle w:val="SCCNormalDoubleSpacing"/>
        <w:spacing w:line="240" w:lineRule="auto"/>
        <w:rPr>
          <w:sz w:val="20"/>
        </w:rPr>
      </w:pPr>
      <w:r w:rsidRPr="00FE6980">
        <w:rPr>
          <w:sz w:val="20"/>
        </w:rPr>
        <w:tab/>
        <w:t xml:space="preserve">Although the application of the pith and substance doctrine suffices to dispose of the appeal, the application of the doctrine of interjurisdictional immunity is also discussed in order to clarify the law. The application of this doctrine is generally reserved for situations that are already covered by precedent. There is a precedent that supports the application of interjurisdictional immunity in this situation, namely the Privy Council’s decision in </w:t>
      </w:r>
      <w:r w:rsidRPr="00FE6980">
        <w:rPr>
          <w:i/>
          <w:sz w:val="20"/>
        </w:rPr>
        <w:t>Toronto Corporation v. Bell Telephone Co. of Canada</w:t>
      </w:r>
      <w:r w:rsidRPr="00FE6980">
        <w:rPr>
          <w:sz w:val="20"/>
        </w:rPr>
        <w:t xml:space="preserve">, [1905] A.C. 52, which suggests that the siting of </w:t>
      </w:r>
      <w:r w:rsidRPr="00FE6980">
        <w:rPr>
          <w:sz w:val="20"/>
          <w:lang w:val="en-US"/>
        </w:rPr>
        <w:t>telecommunications</w:t>
      </w:r>
      <w:r w:rsidRPr="00FE6980">
        <w:rPr>
          <w:sz w:val="20"/>
        </w:rPr>
        <w:t xml:space="preserve"> infrastructure is at the core of the federal power. Moreover, the evidence in the record favours such a finding as regards the siting of </w:t>
      </w:r>
      <w:proofErr w:type="spellStart"/>
      <w:r w:rsidRPr="00FE6980">
        <w:rPr>
          <w:sz w:val="20"/>
        </w:rPr>
        <w:t>radiocommunication</w:t>
      </w:r>
      <w:proofErr w:type="spellEnd"/>
      <w:r w:rsidRPr="00FE6980">
        <w:rPr>
          <w:sz w:val="20"/>
        </w:rPr>
        <w:t xml:space="preserve"> antenna systems, given that it is the appropriate and specific siting of antenna systems that ensures the orderly development and efficient operation of </w:t>
      </w:r>
      <w:proofErr w:type="spellStart"/>
      <w:r w:rsidRPr="00FE6980">
        <w:rPr>
          <w:sz w:val="20"/>
        </w:rPr>
        <w:t>radiocommunication</w:t>
      </w:r>
      <w:proofErr w:type="spellEnd"/>
      <w:r w:rsidRPr="00FE6980">
        <w:rPr>
          <w:sz w:val="20"/>
        </w:rPr>
        <w:t xml:space="preserve"> in Canada. The siting of antenna systems is part of the core of the federal power over </w:t>
      </w:r>
      <w:proofErr w:type="spellStart"/>
      <w:r w:rsidRPr="00FE6980">
        <w:rPr>
          <w:sz w:val="20"/>
        </w:rPr>
        <w:t>radiocommunication</w:t>
      </w:r>
      <w:proofErr w:type="spellEnd"/>
      <w:r w:rsidRPr="00FE6980">
        <w:rPr>
          <w:sz w:val="20"/>
        </w:rPr>
        <w:t>; any other conclusion would make it impossible for Parliament to achieve the purpose for which this power was conferred on it.</w:t>
      </w:r>
    </w:p>
    <w:p w:rsidR="00B354FE" w:rsidRPr="00FE6980" w:rsidRDefault="00B354FE" w:rsidP="00B354FE">
      <w:pPr>
        <w:pStyle w:val="SCCNormalDoubleSpacing"/>
        <w:spacing w:line="240" w:lineRule="auto"/>
        <w:rPr>
          <w:sz w:val="20"/>
        </w:rPr>
      </w:pPr>
    </w:p>
    <w:p w:rsidR="00B354FE" w:rsidRPr="00FE6980" w:rsidRDefault="00B354FE" w:rsidP="00B354FE">
      <w:pPr>
        <w:pStyle w:val="SCCNormalDoubleSpacing"/>
        <w:spacing w:line="240" w:lineRule="auto"/>
        <w:rPr>
          <w:sz w:val="20"/>
        </w:rPr>
      </w:pPr>
      <w:r w:rsidRPr="00FE6980">
        <w:rPr>
          <w:sz w:val="20"/>
        </w:rPr>
        <w:tab/>
        <w:t xml:space="preserve">Thus, the notice of a reserve seriously and significantly impaired the core of the federal power over </w:t>
      </w:r>
      <w:proofErr w:type="spellStart"/>
      <w:r w:rsidRPr="00FE6980">
        <w:rPr>
          <w:sz w:val="20"/>
        </w:rPr>
        <w:t>radiocommunication</w:t>
      </w:r>
      <w:proofErr w:type="spellEnd"/>
      <w:r w:rsidRPr="00FE6980">
        <w:rPr>
          <w:sz w:val="20"/>
        </w:rPr>
        <w:t>. The facts show that Rogers was unable to meet its obligation to serve the geographic area in question as required by its spectrum licence. The notice prevented Rogers from constructing its antenna system on the property at 411 Boulevard Saint</w:t>
      </w:r>
      <w:r w:rsidRPr="00FE6980">
        <w:rPr>
          <w:sz w:val="20"/>
        </w:rPr>
        <w:noBreakHyphen/>
        <w:t>Francis for two successive two</w:t>
      </w:r>
      <w:r w:rsidRPr="00FE6980">
        <w:rPr>
          <w:sz w:val="20"/>
        </w:rPr>
        <w:noBreakHyphen/>
        <w:t>year periods, and there was no alternative solution to which it could have turned on short notice. The notice of a reserve served on Rogers is therefore inapplicable by reason of the doctrine of interjurisdictional immunity.</w:t>
      </w:r>
    </w:p>
    <w:p w:rsidR="00B354FE" w:rsidRPr="00FE6980" w:rsidRDefault="00B354FE" w:rsidP="00B354FE">
      <w:pPr>
        <w:pStyle w:val="SCCNormalDoubleSpacing"/>
        <w:spacing w:line="240" w:lineRule="auto"/>
        <w:rPr>
          <w:sz w:val="20"/>
        </w:rPr>
      </w:pPr>
    </w:p>
    <w:p w:rsidR="00B354FE" w:rsidRPr="00FE6980" w:rsidRDefault="00B354FE" w:rsidP="00B354FE">
      <w:pPr>
        <w:pStyle w:val="SCCNormalDoubleSpacing"/>
        <w:spacing w:line="240" w:lineRule="auto"/>
        <w:rPr>
          <w:sz w:val="20"/>
        </w:rPr>
      </w:pPr>
      <w:r w:rsidRPr="00FE6980">
        <w:rPr>
          <w:sz w:val="20"/>
        </w:rPr>
        <w:tab/>
      </w:r>
      <w:r w:rsidRPr="00FE6980">
        <w:rPr>
          <w:i/>
          <w:sz w:val="20"/>
        </w:rPr>
        <w:t>Per</w:t>
      </w:r>
      <w:r w:rsidRPr="00FE6980">
        <w:rPr>
          <w:sz w:val="20"/>
        </w:rPr>
        <w:t xml:space="preserve"> </w:t>
      </w:r>
      <w:r w:rsidRPr="00FE6980">
        <w:rPr>
          <w:b/>
          <w:sz w:val="20"/>
        </w:rPr>
        <w:t>Gascon </w:t>
      </w:r>
      <w:r w:rsidRPr="00FE6980">
        <w:rPr>
          <w:sz w:val="20"/>
        </w:rPr>
        <w:t xml:space="preserve">J.: Contrary to the opinion expressed by the majority, the </w:t>
      </w:r>
      <w:r w:rsidRPr="00FE6980">
        <w:rPr>
          <w:sz w:val="20"/>
          <w:lang w:val="en-US"/>
        </w:rPr>
        <w:t>notice</w:t>
      </w:r>
      <w:r w:rsidRPr="00FE6980">
        <w:rPr>
          <w:sz w:val="20"/>
        </w:rPr>
        <w:t xml:space="preserve"> of a reserve is </w:t>
      </w:r>
      <w:r w:rsidRPr="00FE6980">
        <w:rPr>
          <w:i/>
          <w:sz w:val="20"/>
        </w:rPr>
        <w:t>intra vires</w:t>
      </w:r>
      <w:r w:rsidRPr="00FE6980">
        <w:rPr>
          <w:sz w:val="20"/>
        </w:rPr>
        <w:t xml:space="preserve"> </w:t>
      </w:r>
      <w:proofErr w:type="spellStart"/>
      <w:r w:rsidRPr="00FE6980">
        <w:rPr>
          <w:sz w:val="20"/>
        </w:rPr>
        <w:t>Châteauguay</w:t>
      </w:r>
      <w:proofErr w:type="spellEnd"/>
      <w:r w:rsidRPr="00FE6980">
        <w:rPr>
          <w:sz w:val="20"/>
        </w:rPr>
        <w:t xml:space="preserve">, and the appeal should be resolved on the basis not of the pith and substance doctrine, but of the doctrine of interjurisdictional immunity. </w:t>
      </w:r>
    </w:p>
    <w:p w:rsidR="00B354FE" w:rsidRPr="00FE6980" w:rsidRDefault="00B354FE" w:rsidP="00B354FE">
      <w:pPr>
        <w:pStyle w:val="SCCNormalDoubleSpacing"/>
        <w:spacing w:line="240" w:lineRule="auto"/>
        <w:rPr>
          <w:sz w:val="20"/>
        </w:rPr>
      </w:pPr>
    </w:p>
    <w:p w:rsidR="00B354FE" w:rsidRPr="00FE6980" w:rsidRDefault="00B354FE" w:rsidP="00B354FE">
      <w:pPr>
        <w:pStyle w:val="SCCNormalDoubleSpacing"/>
        <w:spacing w:line="240" w:lineRule="auto"/>
        <w:rPr>
          <w:i/>
          <w:sz w:val="20"/>
        </w:rPr>
      </w:pPr>
      <w:r w:rsidRPr="00FE6980">
        <w:rPr>
          <w:sz w:val="20"/>
        </w:rPr>
        <w:tab/>
        <w:t>The determination of a legislative measure’s pith and substance is a delicate exercise of judgment that requires a court to consider and assess the impugned measure as a whole, weighing all its aspects. Although an overly general approach that would make the pith and substance analysis superficial is not recommended, the identification of the matter to which the measure relates requires the adoption of a flexible approach tailored to the modern conception of federalism, which allows for some overlapping and favours a spirit of co</w:t>
      </w:r>
      <w:r w:rsidRPr="00FE6980">
        <w:rPr>
          <w:sz w:val="20"/>
        </w:rPr>
        <w:noBreakHyphen/>
        <w:t xml:space="preserve">operation. It is therefore necessary to consider the context of the adoption of the resolution authorizing the notice of a reserve and the purpose of issuing the notice while bearing in mind the presumption of validity of a provincial or municipal measure. The factual context supports the existence of another normative perspective that relates to provincial jurisdiction. The history and the preamble to the municipal resolution show that </w:t>
      </w:r>
      <w:proofErr w:type="spellStart"/>
      <w:r w:rsidRPr="00FE6980">
        <w:rPr>
          <w:sz w:val="20"/>
        </w:rPr>
        <w:t>Châteauguay</w:t>
      </w:r>
      <w:proofErr w:type="spellEnd"/>
      <w:r w:rsidRPr="00FE6980">
        <w:rPr>
          <w:sz w:val="20"/>
        </w:rPr>
        <w:t xml:space="preserve"> opposed the </w:t>
      </w:r>
      <w:r w:rsidRPr="00FE6980">
        <w:rPr>
          <w:sz w:val="20"/>
          <w:lang w:val="en-US"/>
        </w:rPr>
        <w:t>construction</w:t>
      </w:r>
      <w:r w:rsidRPr="00FE6980">
        <w:rPr>
          <w:sz w:val="20"/>
        </w:rPr>
        <w:t xml:space="preserve"> of a tower on the property at 411 Boulevard St</w:t>
      </w:r>
      <w:r w:rsidRPr="00FE6980">
        <w:rPr>
          <w:sz w:val="20"/>
        </w:rPr>
        <w:noBreakHyphen/>
        <w:t xml:space="preserve">Francis not simply to control the siting of a </w:t>
      </w:r>
      <w:proofErr w:type="spellStart"/>
      <w:r w:rsidRPr="00FE6980">
        <w:rPr>
          <w:sz w:val="20"/>
        </w:rPr>
        <w:t>radiocommunication</w:t>
      </w:r>
      <w:proofErr w:type="spellEnd"/>
      <w:r w:rsidRPr="00FE6980">
        <w:rPr>
          <w:sz w:val="20"/>
        </w:rPr>
        <w:t xml:space="preserve"> system, but to respond to its residents’ concerns about their health and well-being. These matters correspond to a valid municipal purpose and fall within the provincial heads of power provided for in s. 92(13) and (16) of the </w:t>
      </w:r>
      <w:r w:rsidRPr="00FE6980">
        <w:rPr>
          <w:i/>
          <w:sz w:val="20"/>
        </w:rPr>
        <w:t xml:space="preserve">Constitution Act, 1867. </w:t>
      </w:r>
    </w:p>
    <w:p w:rsidR="00B354FE" w:rsidRPr="00FE6980" w:rsidRDefault="00B354FE" w:rsidP="00B354FE">
      <w:pPr>
        <w:pStyle w:val="SCCNormalDoubleSpacing"/>
        <w:spacing w:line="240" w:lineRule="auto"/>
        <w:rPr>
          <w:sz w:val="20"/>
        </w:rPr>
      </w:pPr>
    </w:p>
    <w:p w:rsidR="00B354FE" w:rsidRPr="00FE6980" w:rsidRDefault="00B354FE" w:rsidP="00B354FE">
      <w:pPr>
        <w:pStyle w:val="SCCNormalDoubleSpacing"/>
        <w:spacing w:line="240" w:lineRule="auto"/>
        <w:rPr>
          <w:sz w:val="20"/>
        </w:rPr>
      </w:pPr>
      <w:r w:rsidRPr="00FE6980">
        <w:rPr>
          <w:sz w:val="20"/>
        </w:rPr>
        <w:tab/>
        <w:t xml:space="preserve">As regards the effects of the notice of a reserve, its legal effect must be distinguished from its practical effect. Although in practice, the effect of the notice is to prohibit Rogers from constructing its </w:t>
      </w:r>
      <w:proofErr w:type="spellStart"/>
      <w:r w:rsidRPr="00FE6980">
        <w:rPr>
          <w:sz w:val="20"/>
        </w:rPr>
        <w:t>radiocommunication</w:t>
      </w:r>
      <w:proofErr w:type="spellEnd"/>
      <w:r w:rsidRPr="00FE6980">
        <w:rPr>
          <w:sz w:val="20"/>
        </w:rPr>
        <w:t xml:space="preserve"> tower on the property at 411 Boulevard St</w:t>
      </w:r>
      <w:r w:rsidRPr="00FE6980">
        <w:rPr>
          <w:sz w:val="20"/>
        </w:rPr>
        <w:noBreakHyphen/>
        <w:t xml:space="preserve">Francis, the notice’s legal effect opens the way for </w:t>
      </w:r>
      <w:proofErr w:type="spellStart"/>
      <w:r w:rsidRPr="00FE6980">
        <w:rPr>
          <w:sz w:val="20"/>
        </w:rPr>
        <w:t>Châteauguay</w:t>
      </w:r>
      <w:proofErr w:type="spellEnd"/>
      <w:r w:rsidRPr="00FE6980">
        <w:rPr>
          <w:sz w:val="20"/>
        </w:rPr>
        <w:t xml:space="preserve"> to exercise its powers of expropriation, which falls within its jurisdiction to regulate the development of its territory in accordance with its needs and priorities. This more nuanced understanding of the effects of the notice is in line with a more flexible conception of the pith and substance doctrine that is more consistent with the guiding principles already set out and that favours a more accurate understanding of the matter to which the notice actually applies.</w:t>
      </w:r>
    </w:p>
    <w:p w:rsidR="00B354FE" w:rsidRPr="00FE6980" w:rsidRDefault="00B354FE" w:rsidP="00B354FE">
      <w:pPr>
        <w:pStyle w:val="SCCNormalDoubleSpacing"/>
        <w:spacing w:line="240" w:lineRule="auto"/>
        <w:rPr>
          <w:sz w:val="20"/>
        </w:rPr>
      </w:pPr>
    </w:p>
    <w:p w:rsidR="00B354FE" w:rsidRPr="00FE6980" w:rsidRDefault="00B354FE">
      <w:pPr>
        <w:rPr>
          <w:rFonts w:eastAsia="Times New Roman" w:cs="Times New Roman"/>
          <w:sz w:val="20"/>
          <w:szCs w:val="20"/>
          <w:lang w:eastAsia="en-CA"/>
        </w:rPr>
      </w:pPr>
      <w:r w:rsidRPr="00FE6980">
        <w:rPr>
          <w:sz w:val="20"/>
        </w:rPr>
        <w:br w:type="page"/>
      </w:r>
    </w:p>
    <w:p w:rsidR="00B354FE" w:rsidRPr="00FE6980" w:rsidRDefault="00B354FE" w:rsidP="00B354FE">
      <w:pPr>
        <w:pStyle w:val="SCCNormalDoubleSpacing"/>
        <w:spacing w:line="240" w:lineRule="auto"/>
        <w:rPr>
          <w:sz w:val="20"/>
        </w:rPr>
      </w:pPr>
      <w:r w:rsidRPr="00FE6980">
        <w:rPr>
          <w:sz w:val="20"/>
        </w:rPr>
        <w:tab/>
        <w:t xml:space="preserve">The effects of a municipal measure must be considered in conjunction with its purpose. The fact that such a measure affects a federal head of power does not on its own explain why the action was taken. However, the evidence in the record does clearly show what motivated it, which, moreover, appears to outweigh its effects. Thus, if the resolution’s purposes and effects are considered as a whole in a comprehensive analysis of the pith and substance, the purposes that were pursued and achieved in establishing the land reserve were to ensure the harmonious development of the territory of </w:t>
      </w:r>
      <w:proofErr w:type="spellStart"/>
      <w:r w:rsidRPr="00FE6980">
        <w:rPr>
          <w:sz w:val="20"/>
        </w:rPr>
        <w:t>Châteauguay</w:t>
      </w:r>
      <w:proofErr w:type="spellEnd"/>
      <w:r w:rsidRPr="00FE6980">
        <w:rPr>
          <w:sz w:val="20"/>
        </w:rPr>
        <w:t>, to allay its residents’ concerns and to protect their health and well</w:t>
      </w:r>
      <w:r w:rsidRPr="00FE6980">
        <w:rPr>
          <w:sz w:val="20"/>
        </w:rPr>
        <w:noBreakHyphen/>
        <w:t xml:space="preserve">being, despite the fact that there was clearly an effect on the siting of Rogers’ </w:t>
      </w:r>
      <w:proofErr w:type="spellStart"/>
      <w:r w:rsidRPr="00FE6980">
        <w:rPr>
          <w:sz w:val="20"/>
        </w:rPr>
        <w:t>radiocommunication</w:t>
      </w:r>
      <w:proofErr w:type="spellEnd"/>
      <w:r w:rsidRPr="00FE6980">
        <w:rPr>
          <w:sz w:val="20"/>
        </w:rPr>
        <w:t xml:space="preserve"> tower. This approach tends to support a finding that the actions of the governments at both levels are valid and to favour the key principles underlying the division of powers, including subsidiarity and co</w:t>
      </w:r>
      <w:r w:rsidRPr="00FE6980">
        <w:rPr>
          <w:sz w:val="20"/>
        </w:rPr>
        <w:noBreakHyphen/>
        <w:t>operative federalism.</w:t>
      </w:r>
    </w:p>
    <w:p w:rsidR="00B354FE" w:rsidRPr="00FE6980" w:rsidRDefault="00B354FE" w:rsidP="00B354FE">
      <w:pPr>
        <w:pStyle w:val="SCCNormalDoubleSpacing"/>
        <w:spacing w:line="240" w:lineRule="auto"/>
        <w:rPr>
          <w:sz w:val="20"/>
        </w:rPr>
      </w:pPr>
    </w:p>
    <w:p w:rsidR="00B354FE" w:rsidRPr="00FE6980" w:rsidRDefault="00B354FE" w:rsidP="00B354FE">
      <w:pPr>
        <w:pStyle w:val="SCCNormalDoubleSpacing"/>
        <w:spacing w:line="240" w:lineRule="auto"/>
        <w:rPr>
          <w:sz w:val="20"/>
        </w:rPr>
      </w:pPr>
      <w:r w:rsidRPr="00FE6980">
        <w:rPr>
          <w:sz w:val="20"/>
        </w:rPr>
        <w:tab/>
        <w:t xml:space="preserve">On the basis of the doctrine of interjurisdictional immunity, the notice of a reserve nevertheless impairs the core of the federal power over </w:t>
      </w:r>
      <w:proofErr w:type="spellStart"/>
      <w:r w:rsidRPr="00FE6980">
        <w:rPr>
          <w:sz w:val="20"/>
        </w:rPr>
        <w:t>radiocommunication</w:t>
      </w:r>
      <w:proofErr w:type="spellEnd"/>
      <w:r w:rsidRPr="00FE6980">
        <w:rPr>
          <w:sz w:val="20"/>
        </w:rPr>
        <w:t xml:space="preserve">. The choice of location or the siting of antenna systems is at the core of that power. By blocking the location decided on in accordance with the </w:t>
      </w:r>
      <w:r w:rsidRPr="00FE6980">
        <w:rPr>
          <w:sz w:val="20"/>
          <w:lang w:val="en-US"/>
        </w:rPr>
        <w:t>procedure</w:t>
      </w:r>
      <w:r w:rsidRPr="00FE6980">
        <w:rPr>
          <w:sz w:val="20"/>
        </w:rPr>
        <w:t xml:space="preserve"> provided for in the </w:t>
      </w:r>
      <w:proofErr w:type="spellStart"/>
      <w:r w:rsidRPr="00FE6980">
        <w:rPr>
          <w:i/>
          <w:sz w:val="20"/>
        </w:rPr>
        <w:t>Radiocommunication</w:t>
      </w:r>
      <w:proofErr w:type="spellEnd"/>
      <w:r w:rsidRPr="00FE6980">
        <w:rPr>
          <w:i/>
          <w:sz w:val="20"/>
        </w:rPr>
        <w:t xml:space="preserve"> Act</w:t>
      </w:r>
      <w:r w:rsidRPr="00FE6980">
        <w:rPr>
          <w:sz w:val="20"/>
        </w:rPr>
        <w:t xml:space="preserve"> and circular</w:t>
      </w:r>
      <w:r w:rsidRPr="00FE6980">
        <w:rPr>
          <w:i/>
          <w:sz w:val="20"/>
        </w:rPr>
        <w:t xml:space="preserve"> CPC</w:t>
      </w:r>
      <w:r w:rsidRPr="00FE6980">
        <w:rPr>
          <w:i/>
          <w:sz w:val="20"/>
        </w:rPr>
        <w:noBreakHyphen/>
        <w:t>2</w:t>
      </w:r>
      <w:r w:rsidRPr="00FE6980">
        <w:rPr>
          <w:i/>
          <w:sz w:val="20"/>
        </w:rPr>
        <w:noBreakHyphen/>
        <w:t>0</w:t>
      </w:r>
      <w:r w:rsidRPr="00FE6980">
        <w:rPr>
          <w:i/>
          <w:sz w:val="20"/>
        </w:rPr>
        <w:noBreakHyphen/>
        <w:t xml:space="preserve">03 </w:t>
      </w:r>
      <w:r w:rsidRPr="00FE6980">
        <w:rPr>
          <w:sz w:val="20"/>
        </w:rPr>
        <w:t xml:space="preserve">— </w:t>
      </w:r>
      <w:proofErr w:type="spellStart"/>
      <w:r w:rsidRPr="00FE6980">
        <w:rPr>
          <w:i/>
          <w:sz w:val="20"/>
        </w:rPr>
        <w:t>Radiocommunication</w:t>
      </w:r>
      <w:proofErr w:type="spellEnd"/>
      <w:r w:rsidRPr="00FE6980">
        <w:rPr>
          <w:i/>
          <w:sz w:val="20"/>
        </w:rPr>
        <w:t xml:space="preserve"> and Broadcasting Antenna Systems</w:t>
      </w:r>
      <w:r w:rsidRPr="00FE6980">
        <w:rPr>
          <w:sz w:val="20"/>
        </w:rPr>
        <w:t>, the notice intrudes significantly on a vital and essential aspect of the power.</w:t>
      </w:r>
    </w:p>
    <w:p w:rsidR="00B354FE" w:rsidRPr="00FE6980" w:rsidRDefault="00B354FE" w:rsidP="00B354FE">
      <w:pPr>
        <w:pStyle w:val="SCCNormalDoubleSpacing"/>
        <w:spacing w:line="240" w:lineRule="auto"/>
        <w:rPr>
          <w:b/>
          <w:sz w:val="20"/>
        </w:rPr>
      </w:pPr>
    </w:p>
    <w:p w:rsidR="00B354FE" w:rsidRPr="00FE6980" w:rsidRDefault="00B354FE" w:rsidP="00B354FE">
      <w:pPr>
        <w:pStyle w:val="SCCNormalDoubleSpacing"/>
        <w:spacing w:line="240" w:lineRule="auto"/>
        <w:rPr>
          <w:sz w:val="20"/>
        </w:rPr>
      </w:pPr>
      <w:r w:rsidRPr="00FE6980">
        <w:rPr>
          <w:sz w:val="20"/>
        </w:rPr>
        <w:tab/>
        <w:t>APPEAL from a judgment of the Quebec Court of Appeal (</w:t>
      </w:r>
      <w:proofErr w:type="spellStart"/>
      <w:r w:rsidRPr="00FE6980">
        <w:rPr>
          <w:sz w:val="20"/>
        </w:rPr>
        <w:t>Morissette</w:t>
      </w:r>
      <w:proofErr w:type="spellEnd"/>
      <w:r w:rsidRPr="00FE6980">
        <w:rPr>
          <w:sz w:val="20"/>
        </w:rPr>
        <w:t xml:space="preserve">, </w:t>
      </w:r>
      <w:proofErr w:type="spellStart"/>
      <w:r w:rsidRPr="00FE6980">
        <w:rPr>
          <w:sz w:val="20"/>
        </w:rPr>
        <w:t>Dutil</w:t>
      </w:r>
      <w:proofErr w:type="spellEnd"/>
      <w:r w:rsidRPr="00FE6980">
        <w:rPr>
          <w:sz w:val="20"/>
        </w:rPr>
        <w:t xml:space="preserve"> and Léger JJ.A.), 2014 QCCA 1121, 113 L.C.R. 233, [2014] AZ</w:t>
      </w:r>
      <w:r w:rsidRPr="00FE6980">
        <w:rPr>
          <w:sz w:val="20"/>
        </w:rPr>
        <w:noBreakHyphen/>
        <w:t>51078720, [2014] J.Q. n</w:t>
      </w:r>
      <w:r w:rsidRPr="00FE6980">
        <w:rPr>
          <w:sz w:val="20"/>
          <w:vertAlign w:val="superscript"/>
        </w:rPr>
        <w:t>o</w:t>
      </w:r>
      <w:r w:rsidRPr="00FE6980">
        <w:rPr>
          <w:sz w:val="20"/>
        </w:rPr>
        <w:t xml:space="preserve"> 5163 (QL), 2014 </w:t>
      </w:r>
      <w:proofErr w:type="spellStart"/>
      <w:r w:rsidRPr="00FE6980">
        <w:rPr>
          <w:sz w:val="20"/>
        </w:rPr>
        <w:t>CarswellQue</w:t>
      </w:r>
      <w:proofErr w:type="spellEnd"/>
      <w:r w:rsidRPr="00FE6980">
        <w:rPr>
          <w:sz w:val="20"/>
        </w:rPr>
        <w:t xml:space="preserve"> 13182 (WL Can.), setting aside in part a decision of Perrault J., 2013 QCCS 3138, [2013] R.J.Q. 1177, 110 L.C.R. 81, [2013] AZ</w:t>
      </w:r>
      <w:r w:rsidRPr="00FE6980">
        <w:rPr>
          <w:sz w:val="20"/>
        </w:rPr>
        <w:noBreakHyphen/>
        <w:t>50985779, [2013] J.Q. n</w:t>
      </w:r>
      <w:r w:rsidRPr="00FE6980">
        <w:rPr>
          <w:sz w:val="20"/>
          <w:vertAlign w:val="superscript"/>
        </w:rPr>
        <w:t>o</w:t>
      </w:r>
      <w:r w:rsidRPr="00FE6980">
        <w:rPr>
          <w:sz w:val="20"/>
        </w:rPr>
        <w:t xml:space="preserve"> 7419 (QL), 2013 </w:t>
      </w:r>
      <w:proofErr w:type="spellStart"/>
      <w:r w:rsidRPr="00FE6980">
        <w:rPr>
          <w:sz w:val="20"/>
        </w:rPr>
        <w:t>CarswellQue</w:t>
      </w:r>
      <w:proofErr w:type="spellEnd"/>
      <w:r w:rsidRPr="00FE6980">
        <w:rPr>
          <w:sz w:val="20"/>
        </w:rPr>
        <w:t xml:space="preserve"> 8577 (WL Can.). Appeal allowed.</w:t>
      </w:r>
    </w:p>
    <w:p w:rsidR="00B354FE" w:rsidRPr="00FE6980" w:rsidRDefault="00B354FE" w:rsidP="00B354FE">
      <w:pPr>
        <w:pStyle w:val="SCCNormalDoubleSpacing"/>
        <w:spacing w:line="240" w:lineRule="auto"/>
        <w:rPr>
          <w:sz w:val="20"/>
        </w:rPr>
      </w:pPr>
    </w:p>
    <w:p w:rsidR="00B354FE" w:rsidRPr="00FE6980" w:rsidRDefault="00B354FE" w:rsidP="00B354FE">
      <w:pPr>
        <w:pStyle w:val="SCCNormalDoubleSpacing"/>
        <w:spacing w:line="240" w:lineRule="auto"/>
        <w:rPr>
          <w:rStyle w:val="SCCCounselPartyRoleChar"/>
          <w:sz w:val="20"/>
        </w:rPr>
      </w:pPr>
      <w:r w:rsidRPr="00FE6980">
        <w:rPr>
          <w:rStyle w:val="SCCCounselNameChar"/>
          <w:sz w:val="20"/>
        </w:rPr>
        <w:tab/>
        <w:t xml:space="preserve">John B. </w:t>
      </w:r>
      <w:proofErr w:type="spellStart"/>
      <w:r w:rsidRPr="00FE6980">
        <w:rPr>
          <w:rStyle w:val="SCCCounselNameChar"/>
          <w:sz w:val="20"/>
        </w:rPr>
        <w:t>Laskin</w:t>
      </w:r>
      <w:proofErr w:type="spellEnd"/>
      <w:r w:rsidRPr="00FE6980">
        <w:rPr>
          <w:rStyle w:val="SCCCounselNameChar"/>
          <w:sz w:val="20"/>
        </w:rPr>
        <w:t>,</w:t>
      </w:r>
      <w:r w:rsidRPr="00FE6980">
        <w:rPr>
          <w:rStyle w:val="SCCCounselSeparatorChar"/>
          <w:sz w:val="20"/>
          <w:lang w:val="en-CA"/>
        </w:rPr>
        <w:t xml:space="preserve"> </w:t>
      </w:r>
      <w:r w:rsidRPr="00FE6980">
        <w:rPr>
          <w:rStyle w:val="SCCCounselNameChar"/>
          <w:sz w:val="20"/>
        </w:rPr>
        <w:t>Nicholas Kennedy, Pierre Y. Lefebvre</w:t>
      </w:r>
      <w:r w:rsidRPr="00FE6980">
        <w:rPr>
          <w:rStyle w:val="SCCCounselSeparatorChar"/>
          <w:sz w:val="20"/>
          <w:lang w:val="en-CA"/>
        </w:rPr>
        <w:t xml:space="preserve"> and</w:t>
      </w:r>
      <w:r w:rsidRPr="00FE6980">
        <w:rPr>
          <w:rStyle w:val="SCCCounselNameChar"/>
          <w:sz w:val="20"/>
        </w:rPr>
        <w:t xml:space="preserve"> Vincent </w:t>
      </w:r>
      <w:proofErr w:type="spellStart"/>
      <w:r w:rsidRPr="00FE6980">
        <w:rPr>
          <w:rStyle w:val="SCCCounselNameChar"/>
          <w:sz w:val="20"/>
        </w:rPr>
        <w:t>Cérat</w:t>
      </w:r>
      <w:proofErr w:type="spellEnd"/>
      <w:r w:rsidRPr="00FE6980">
        <w:rPr>
          <w:rStyle w:val="SCCCounselNameChar"/>
          <w:sz w:val="20"/>
        </w:rPr>
        <w:t xml:space="preserve"> </w:t>
      </w:r>
      <w:proofErr w:type="spellStart"/>
      <w:r w:rsidRPr="00FE6980">
        <w:rPr>
          <w:rStyle w:val="SCCCounselNameChar"/>
          <w:sz w:val="20"/>
        </w:rPr>
        <w:t>Lagana</w:t>
      </w:r>
      <w:proofErr w:type="spellEnd"/>
      <w:r w:rsidRPr="00FE6980">
        <w:rPr>
          <w:rStyle w:val="SCCCounselPartyRoleChar"/>
          <w:sz w:val="20"/>
        </w:rPr>
        <w:t>, for the appellant.</w:t>
      </w:r>
    </w:p>
    <w:p w:rsidR="00B354FE" w:rsidRPr="00FE6980" w:rsidRDefault="00B354FE" w:rsidP="00B354FE">
      <w:pPr>
        <w:pStyle w:val="SCCNormalDoubleSpacing"/>
        <w:spacing w:line="240" w:lineRule="auto"/>
        <w:rPr>
          <w:sz w:val="20"/>
        </w:rPr>
      </w:pPr>
    </w:p>
    <w:p w:rsidR="00B354FE" w:rsidRPr="00FE6980" w:rsidRDefault="00B354FE" w:rsidP="00B354FE">
      <w:pPr>
        <w:pStyle w:val="SCCNormalDoubleSpacing"/>
        <w:spacing w:line="240" w:lineRule="auto"/>
        <w:rPr>
          <w:rStyle w:val="SCCCounselPartyRoleChar"/>
          <w:sz w:val="20"/>
        </w:rPr>
      </w:pPr>
      <w:r w:rsidRPr="00FE6980">
        <w:rPr>
          <w:rStyle w:val="SCCCounselNameChar"/>
          <w:sz w:val="20"/>
        </w:rPr>
        <w:tab/>
        <w:t xml:space="preserve">Patrice </w:t>
      </w:r>
      <w:proofErr w:type="spellStart"/>
      <w:r w:rsidRPr="00FE6980">
        <w:rPr>
          <w:rStyle w:val="SCCCounselNameChar"/>
          <w:sz w:val="20"/>
        </w:rPr>
        <w:t>Gladu</w:t>
      </w:r>
      <w:proofErr w:type="spellEnd"/>
      <w:r w:rsidRPr="00FE6980">
        <w:rPr>
          <w:rStyle w:val="SCCCounselSeparatorChar"/>
          <w:sz w:val="20"/>
          <w:lang w:val="en-CA"/>
        </w:rPr>
        <w:t xml:space="preserve"> and </w:t>
      </w:r>
      <w:r w:rsidRPr="00FE6980">
        <w:rPr>
          <w:rStyle w:val="SCCCounselNameChar"/>
          <w:sz w:val="20"/>
        </w:rPr>
        <w:t xml:space="preserve">Sébastien </w:t>
      </w:r>
      <w:proofErr w:type="spellStart"/>
      <w:r w:rsidRPr="00FE6980">
        <w:rPr>
          <w:rStyle w:val="SCCCounselNameChar"/>
          <w:sz w:val="20"/>
        </w:rPr>
        <w:t>Dorion</w:t>
      </w:r>
      <w:proofErr w:type="spellEnd"/>
      <w:r w:rsidRPr="00FE6980">
        <w:rPr>
          <w:rStyle w:val="SCCCounselPartyRoleChar"/>
          <w:sz w:val="20"/>
        </w:rPr>
        <w:t xml:space="preserve">, for the respondent the City of </w:t>
      </w:r>
      <w:proofErr w:type="spellStart"/>
      <w:r w:rsidRPr="00FE6980">
        <w:rPr>
          <w:rStyle w:val="SCCCounselPartyRoleChar"/>
          <w:sz w:val="20"/>
        </w:rPr>
        <w:t>Châteauguay</w:t>
      </w:r>
      <w:proofErr w:type="spellEnd"/>
      <w:r w:rsidRPr="00FE6980">
        <w:rPr>
          <w:rStyle w:val="SCCCounselPartyRoleChar"/>
          <w:sz w:val="20"/>
        </w:rPr>
        <w:t>.</w:t>
      </w:r>
    </w:p>
    <w:p w:rsidR="00B354FE" w:rsidRPr="00FE6980" w:rsidRDefault="00B354FE" w:rsidP="00B354FE">
      <w:pPr>
        <w:pStyle w:val="SCCNormalDoubleSpacing"/>
        <w:spacing w:line="240" w:lineRule="auto"/>
        <w:rPr>
          <w:sz w:val="20"/>
        </w:rPr>
      </w:pPr>
    </w:p>
    <w:p w:rsidR="00B354FE" w:rsidRPr="00FE6980" w:rsidRDefault="00B354FE" w:rsidP="00B354FE">
      <w:pPr>
        <w:pStyle w:val="SCCNormalDoubleSpacing"/>
        <w:spacing w:line="240" w:lineRule="auto"/>
        <w:rPr>
          <w:rStyle w:val="SCCCounselPartyRoleChar"/>
          <w:sz w:val="20"/>
        </w:rPr>
      </w:pPr>
      <w:r w:rsidRPr="00FE6980">
        <w:rPr>
          <w:rStyle w:val="SCCCounselNameChar"/>
          <w:sz w:val="20"/>
        </w:rPr>
        <w:tab/>
      </w:r>
      <w:proofErr w:type="spellStart"/>
      <w:r w:rsidRPr="00FE6980">
        <w:rPr>
          <w:rStyle w:val="SCCCounselNameChar"/>
          <w:sz w:val="20"/>
        </w:rPr>
        <w:t>Benoît</w:t>
      </w:r>
      <w:proofErr w:type="spellEnd"/>
      <w:r w:rsidRPr="00FE6980">
        <w:rPr>
          <w:rStyle w:val="SCCCounselNameChar"/>
          <w:sz w:val="20"/>
        </w:rPr>
        <w:t xml:space="preserve"> Belleau</w:t>
      </w:r>
      <w:r w:rsidRPr="00FE6980">
        <w:rPr>
          <w:rStyle w:val="SCCCounselSeparatorChar"/>
          <w:sz w:val="20"/>
          <w:lang w:val="en-CA"/>
        </w:rPr>
        <w:t xml:space="preserve">, </w:t>
      </w:r>
      <w:r w:rsidRPr="00FE6980">
        <w:rPr>
          <w:rStyle w:val="SCCCounselNameChar"/>
          <w:sz w:val="20"/>
        </w:rPr>
        <w:t xml:space="preserve">Simon Larose </w:t>
      </w:r>
      <w:r w:rsidRPr="00FE6980">
        <w:rPr>
          <w:rStyle w:val="SCCCounselSeparatorChar"/>
          <w:sz w:val="20"/>
          <w:lang w:val="en-CA"/>
        </w:rPr>
        <w:t>and</w:t>
      </w:r>
      <w:r w:rsidRPr="00FE6980">
        <w:rPr>
          <w:rStyle w:val="SCCCounselNameChar"/>
          <w:sz w:val="20"/>
        </w:rPr>
        <w:t xml:space="preserve"> Hugo Jean</w:t>
      </w:r>
      <w:r w:rsidRPr="00FE6980">
        <w:rPr>
          <w:rStyle w:val="SCCCounselPartyRoleChar"/>
          <w:sz w:val="20"/>
        </w:rPr>
        <w:t>, for the respondent the Attorney General of Quebec.</w:t>
      </w:r>
    </w:p>
    <w:p w:rsidR="00B354FE" w:rsidRPr="00FE6980" w:rsidRDefault="00B354FE" w:rsidP="00B354FE">
      <w:pPr>
        <w:pStyle w:val="SCCNormalDoubleSpacing"/>
        <w:spacing w:line="240" w:lineRule="auto"/>
        <w:rPr>
          <w:sz w:val="20"/>
        </w:rPr>
      </w:pPr>
    </w:p>
    <w:p w:rsidR="00B354FE" w:rsidRPr="00FE6980" w:rsidRDefault="00B354FE" w:rsidP="00B354FE">
      <w:pPr>
        <w:pStyle w:val="SCCNormalDoubleSpacing"/>
        <w:spacing w:line="240" w:lineRule="auto"/>
        <w:rPr>
          <w:rStyle w:val="SCCCounselPartyRoleChar"/>
          <w:sz w:val="20"/>
        </w:rPr>
      </w:pPr>
      <w:r w:rsidRPr="00FE6980">
        <w:rPr>
          <w:rStyle w:val="SCCCounselNameChar"/>
          <w:sz w:val="20"/>
        </w:rPr>
        <w:tab/>
        <w:t xml:space="preserve">Pierre </w:t>
      </w:r>
      <w:proofErr w:type="spellStart"/>
      <w:r w:rsidRPr="00FE6980">
        <w:rPr>
          <w:rStyle w:val="SCCCounselNameChar"/>
          <w:sz w:val="20"/>
        </w:rPr>
        <w:t>Salois</w:t>
      </w:r>
      <w:proofErr w:type="spellEnd"/>
      <w:r w:rsidRPr="00FE6980">
        <w:rPr>
          <w:rStyle w:val="SCCCounselSeparatorChar"/>
          <w:sz w:val="20"/>
          <w:lang w:val="en-CA"/>
        </w:rPr>
        <w:t xml:space="preserve"> and </w:t>
      </w:r>
      <w:r w:rsidRPr="00FE6980">
        <w:rPr>
          <w:rStyle w:val="SCCCounselNameChar"/>
          <w:sz w:val="20"/>
        </w:rPr>
        <w:t xml:space="preserve">François </w:t>
      </w:r>
      <w:proofErr w:type="spellStart"/>
      <w:r w:rsidRPr="00FE6980">
        <w:rPr>
          <w:rStyle w:val="SCCCounselNameChar"/>
          <w:sz w:val="20"/>
        </w:rPr>
        <w:t>Joyal</w:t>
      </w:r>
      <w:proofErr w:type="spellEnd"/>
      <w:r w:rsidRPr="00FE6980">
        <w:rPr>
          <w:rStyle w:val="SCCCounselPartyRoleChar"/>
          <w:sz w:val="20"/>
        </w:rPr>
        <w:t>, for the intervener the Attorney General of Canada.</w:t>
      </w:r>
    </w:p>
    <w:p w:rsidR="00B354FE" w:rsidRPr="00FE6980" w:rsidRDefault="00B354FE" w:rsidP="00B354FE">
      <w:pPr>
        <w:pStyle w:val="SCCNormalDoubleSpacing"/>
        <w:spacing w:line="240" w:lineRule="auto"/>
        <w:rPr>
          <w:sz w:val="20"/>
        </w:rPr>
      </w:pPr>
    </w:p>
    <w:p w:rsidR="00B354FE" w:rsidRPr="00FE6980" w:rsidRDefault="00B354FE" w:rsidP="00B354FE">
      <w:pPr>
        <w:pStyle w:val="SCCNormalDoubleSpacing"/>
        <w:spacing w:line="240" w:lineRule="auto"/>
        <w:rPr>
          <w:rStyle w:val="SCCCounselPartyRoleChar"/>
          <w:sz w:val="20"/>
        </w:rPr>
      </w:pPr>
      <w:r w:rsidRPr="00FE6980">
        <w:rPr>
          <w:rStyle w:val="SCCCounselNameChar"/>
          <w:sz w:val="20"/>
          <w:lang w:val="en-US"/>
        </w:rPr>
        <w:tab/>
      </w:r>
      <w:r w:rsidRPr="00FE6980">
        <w:rPr>
          <w:rStyle w:val="SCCCounselNameChar"/>
          <w:sz w:val="20"/>
        </w:rPr>
        <w:t xml:space="preserve">No one appeared </w:t>
      </w:r>
      <w:r w:rsidRPr="00FE6980">
        <w:rPr>
          <w:rStyle w:val="SCCCounselPartyRoleChar"/>
          <w:sz w:val="20"/>
        </w:rPr>
        <w:t>for the intervener Christina White.</w:t>
      </w:r>
    </w:p>
    <w:p w:rsidR="00B354FE" w:rsidRPr="00FE6980" w:rsidRDefault="00B354FE" w:rsidP="00B354FE">
      <w:pPr>
        <w:pStyle w:val="SCCNormalDoubleSpacing"/>
        <w:spacing w:line="240" w:lineRule="auto"/>
        <w:rPr>
          <w:sz w:val="20"/>
        </w:rPr>
      </w:pPr>
    </w:p>
    <w:p w:rsidR="00B354FE" w:rsidRPr="00FE6980" w:rsidRDefault="00B354FE" w:rsidP="00B354FE">
      <w:pPr>
        <w:pStyle w:val="SCCNormalDoubleSpacing"/>
        <w:spacing w:line="240" w:lineRule="auto"/>
        <w:rPr>
          <w:rStyle w:val="SCCCounselPartyRoleChar"/>
          <w:sz w:val="20"/>
        </w:rPr>
      </w:pPr>
      <w:r w:rsidRPr="00FE6980">
        <w:rPr>
          <w:rStyle w:val="SCCCounselNameChar"/>
          <w:sz w:val="20"/>
        </w:rPr>
        <w:tab/>
        <w:t xml:space="preserve">Stéphane </w:t>
      </w:r>
      <w:proofErr w:type="spellStart"/>
      <w:r w:rsidRPr="00FE6980">
        <w:rPr>
          <w:rStyle w:val="SCCCounselNameChar"/>
          <w:sz w:val="20"/>
        </w:rPr>
        <w:t>Émard</w:t>
      </w:r>
      <w:proofErr w:type="spellEnd"/>
      <w:r w:rsidRPr="00FE6980">
        <w:rPr>
          <w:rStyle w:val="SCCCounselNameChar"/>
          <w:sz w:val="20"/>
        </w:rPr>
        <w:noBreakHyphen/>
        <w:t>Chabot</w:t>
      </w:r>
      <w:r w:rsidRPr="00FE6980">
        <w:rPr>
          <w:rStyle w:val="SCCCounselPartyRoleChar"/>
          <w:sz w:val="20"/>
        </w:rPr>
        <w:t>, for the intervener the Federation of Canadian Municipalities.</w:t>
      </w:r>
    </w:p>
    <w:p w:rsidR="00B354FE" w:rsidRPr="00FE6980" w:rsidRDefault="00B354FE" w:rsidP="00B354FE">
      <w:pPr>
        <w:pStyle w:val="SCCNormalDoubleSpacing"/>
        <w:spacing w:line="240" w:lineRule="auto"/>
        <w:rPr>
          <w:sz w:val="20"/>
        </w:rPr>
      </w:pPr>
    </w:p>
    <w:p w:rsidR="00B354FE" w:rsidRPr="00FE6980" w:rsidRDefault="00B354FE" w:rsidP="00B354FE">
      <w:pPr>
        <w:pStyle w:val="SCCNormalDoubleSpacing"/>
        <w:spacing w:line="240" w:lineRule="auto"/>
        <w:rPr>
          <w:rStyle w:val="SCCCounselPartyRoleChar"/>
          <w:sz w:val="20"/>
        </w:rPr>
      </w:pPr>
      <w:r w:rsidRPr="00FE6980">
        <w:rPr>
          <w:rStyle w:val="SCCCounselNameChar"/>
          <w:sz w:val="20"/>
        </w:rPr>
        <w:tab/>
        <w:t>Darrel A. Smith</w:t>
      </w:r>
      <w:r w:rsidRPr="00FE6980">
        <w:rPr>
          <w:rStyle w:val="SCCCounselSeparatorChar"/>
          <w:sz w:val="20"/>
          <w:lang w:val="en-CA"/>
        </w:rPr>
        <w:t xml:space="preserve"> and </w:t>
      </w:r>
      <w:r w:rsidRPr="00FE6980">
        <w:rPr>
          <w:rStyle w:val="SCCCounselSeparatorChar"/>
          <w:i/>
          <w:sz w:val="20"/>
          <w:lang w:val="en-CA"/>
        </w:rPr>
        <w:t xml:space="preserve">Jared </w:t>
      </w:r>
      <w:proofErr w:type="spellStart"/>
      <w:r w:rsidRPr="00FE6980">
        <w:rPr>
          <w:rStyle w:val="SCCCounselSeparatorChar"/>
          <w:i/>
          <w:sz w:val="20"/>
          <w:lang w:val="en-CA"/>
        </w:rPr>
        <w:t>Wehrle</w:t>
      </w:r>
      <w:proofErr w:type="spellEnd"/>
      <w:r w:rsidRPr="00FE6980">
        <w:rPr>
          <w:rStyle w:val="SCCCounselPartyRoleChar"/>
          <w:sz w:val="20"/>
        </w:rPr>
        <w:t>, for the intervener the City of Toronto.</w:t>
      </w:r>
    </w:p>
    <w:p w:rsidR="00B354FE" w:rsidRPr="00FE6980" w:rsidRDefault="00B354FE" w:rsidP="00B354FE">
      <w:pPr>
        <w:pStyle w:val="SCCNormalDoubleSpacing"/>
        <w:spacing w:line="240" w:lineRule="auto"/>
        <w:rPr>
          <w:sz w:val="20"/>
        </w:rPr>
      </w:pPr>
    </w:p>
    <w:p w:rsidR="00B354FE" w:rsidRPr="00FE6980" w:rsidRDefault="00B354FE" w:rsidP="00B354FE">
      <w:pPr>
        <w:pStyle w:val="SCCNormalDoubleSpacing"/>
        <w:spacing w:line="240" w:lineRule="auto"/>
        <w:rPr>
          <w:rStyle w:val="SCCCounselPartyRoleChar"/>
          <w:sz w:val="20"/>
        </w:rPr>
      </w:pPr>
      <w:r w:rsidRPr="00FE6980">
        <w:rPr>
          <w:rStyle w:val="SCCCounselNameChar"/>
          <w:sz w:val="20"/>
        </w:rPr>
        <w:tab/>
        <w:t xml:space="preserve">Mathieu </w:t>
      </w:r>
      <w:proofErr w:type="spellStart"/>
      <w:r w:rsidRPr="00FE6980">
        <w:rPr>
          <w:rStyle w:val="SCCCounselNameChar"/>
          <w:sz w:val="20"/>
        </w:rPr>
        <w:t>Quenneville</w:t>
      </w:r>
      <w:proofErr w:type="spellEnd"/>
      <w:r w:rsidRPr="00FE6980">
        <w:rPr>
          <w:rStyle w:val="SCCCounselSeparatorChar"/>
          <w:sz w:val="20"/>
          <w:lang w:val="en-CA"/>
        </w:rPr>
        <w:t xml:space="preserve">, </w:t>
      </w:r>
      <w:r w:rsidRPr="00FE6980">
        <w:rPr>
          <w:rStyle w:val="SCCCounselNameChar"/>
          <w:sz w:val="20"/>
        </w:rPr>
        <w:t xml:space="preserve">Stephen Schmidt, Valérie </w:t>
      </w:r>
      <w:proofErr w:type="spellStart"/>
      <w:r w:rsidRPr="00FE6980">
        <w:rPr>
          <w:rStyle w:val="SCCCounselNameChar"/>
          <w:sz w:val="20"/>
        </w:rPr>
        <w:t>Beaudin</w:t>
      </w:r>
      <w:proofErr w:type="spellEnd"/>
      <w:r w:rsidRPr="00FE6980">
        <w:rPr>
          <w:rStyle w:val="SCCCounselSeparatorChar"/>
          <w:sz w:val="20"/>
          <w:lang w:val="en-CA"/>
        </w:rPr>
        <w:t xml:space="preserve"> and </w:t>
      </w:r>
      <w:proofErr w:type="spellStart"/>
      <w:r w:rsidRPr="00FE6980">
        <w:rPr>
          <w:rStyle w:val="SCCCounselNameChar"/>
          <w:sz w:val="20"/>
        </w:rPr>
        <w:t>Roudine</w:t>
      </w:r>
      <w:proofErr w:type="spellEnd"/>
      <w:r w:rsidRPr="00FE6980">
        <w:rPr>
          <w:rStyle w:val="SCCCounselNameChar"/>
          <w:sz w:val="20"/>
        </w:rPr>
        <w:t xml:space="preserve"> </w:t>
      </w:r>
      <w:proofErr w:type="spellStart"/>
      <w:r w:rsidRPr="00FE6980">
        <w:rPr>
          <w:rStyle w:val="SCCCounselNameChar"/>
          <w:sz w:val="20"/>
        </w:rPr>
        <w:t>Ishak</w:t>
      </w:r>
      <w:proofErr w:type="spellEnd"/>
      <w:r w:rsidRPr="00FE6980">
        <w:rPr>
          <w:rStyle w:val="SCCCounselPartyRoleChar"/>
          <w:sz w:val="20"/>
        </w:rPr>
        <w:t xml:space="preserve">, for the interveners Bell </w:t>
      </w:r>
      <w:proofErr w:type="spellStart"/>
      <w:r w:rsidRPr="00FE6980">
        <w:rPr>
          <w:rStyle w:val="SCCCounselPartyRoleChar"/>
          <w:sz w:val="20"/>
        </w:rPr>
        <w:t>Mobilité</w:t>
      </w:r>
      <w:proofErr w:type="spellEnd"/>
      <w:r w:rsidRPr="00FE6980">
        <w:rPr>
          <w:rStyle w:val="SCCCounselPartyRoleChar"/>
          <w:sz w:val="20"/>
        </w:rPr>
        <w:t xml:space="preserve"> Inc., TELUS Communications Inc. and </w:t>
      </w:r>
      <w:proofErr w:type="spellStart"/>
      <w:r w:rsidRPr="00FE6980">
        <w:rPr>
          <w:rStyle w:val="SCCCounselPartyRoleChar"/>
          <w:sz w:val="20"/>
        </w:rPr>
        <w:t>Vidéotron</w:t>
      </w:r>
      <w:proofErr w:type="spellEnd"/>
      <w:r w:rsidRPr="00FE6980">
        <w:rPr>
          <w:rStyle w:val="SCCCounselPartyRoleChar"/>
          <w:sz w:val="20"/>
        </w:rPr>
        <w:t xml:space="preserve"> </w:t>
      </w:r>
      <w:proofErr w:type="spellStart"/>
      <w:r w:rsidRPr="00FE6980">
        <w:rPr>
          <w:rStyle w:val="SCCCounselPartyRoleChar"/>
          <w:sz w:val="20"/>
        </w:rPr>
        <w:t>s.e.n.c</w:t>
      </w:r>
      <w:proofErr w:type="spellEnd"/>
      <w:r w:rsidRPr="00FE6980">
        <w:rPr>
          <w:rStyle w:val="SCCCounselPartyRoleChar"/>
          <w:sz w:val="20"/>
        </w:rPr>
        <w:t>.</w:t>
      </w:r>
    </w:p>
    <w:p w:rsidR="00B354FE" w:rsidRPr="00FE6980" w:rsidRDefault="00B354FE" w:rsidP="00B354FE">
      <w:pPr>
        <w:pStyle w:val="SCCNormalDoubleSpacing"/>
        <w:spacing w:line="240" w:lineRule="auto"/>
        <w:rPr>
          <w:sz w:val="20"/>
        </w:rPr>
      </w:pPr>
    </w:p>
    <w:p w:rsidR="00B354FE" w:rsidRPr="00FE6980" w:rsidRDefault="00B354FE" w:rsidP="00B354FE">
      <w:pPr>
        <w:pStyle w:val="SCCNormalDoubleSpacing"/>
        <w:spacing w:line="240" w:lineRule="auto"/>
        <w:rPr>
          <w:rStyle w:val="SCCCounselPartyRoleChar"/>
          <w:sz w:val="20"/>
          <w:lang w:val="fr-CA"/>
        </w:rPr>
      </w:pPr>
      <w:r w:rsidRPr="00FE6980">
        <w:rPr>
          <w:rStyle w:val="SCCCounselNameChar"/>
          <w:sz w:val="20"/>
        </w:rPr>
        <w:tab/>
      </w:r>
      <w:r w:rsidRPr="00FE6980">
        <w:rPr>
          <w:rStyle w:val="SCCCounselNameChar"/>
          <w:sz w:val="20"/>
          <w:lang w:val="fr-CA"/>
        </w:rPr>
        <w:t>Marc</w:t>
      </w:r>
      <w:r w:rsidRPr="00FE6980">
        <w:rPr>
          <w:rStyle w:val="SCCCounselNameChar"/>
          <w:sz w:val="20"/>
          <w:lang w:val="fr-CA"/>
        </w:rPr>
        <w:noBreakHyphen/>
        <w:t xml:space="preserve">André </w:t>
      </w:r>
      <w:proofErr w:type="spellStart"/>
      <w:r w:rsidRPr="00FE6980">
        <w:rPr>
          <w:rStyle w:val="SCCCounselNameChar"/>
          <w:sz w:val="20"/>
          <w:lang w:val="fr-CA"/>
        </w:rPr>
        <w:t>LeChasseur</w:t>
      </w:r>
      <w:proofErr w:type="spellEnd"/>
      <w:r w:rsidRPr="00FE6980">
        <w:rPr>
          <w:rStyle w:val="SCCCounselSeparatorChar"/>
          <w:sz w:val="20"/>
        </w:rPr>
        <w:t>,</w:t>
      </w:r>
      <w:r w:rsidRPr="00FE6980">
        <w:rPr>
          <w:rStyle w:val="SCCCounselPartyRoleChar"/>
          <w:sz w:val="20"/>
          <w:lang w:val="fr-CA"/>
        </w:rPr>
        <w:t xml:space="preserve"> for the </w:t>
      </w:r>
      <w:proofErr w:type="spellStart"/>
      <w:r w:rsidRPr="00FE6980">
        <w:rPr>
          <w:rStyle w:val="SCCCounselPartyRoleChar"/>
          <w:sz w:val="20"/>
          <w:lang w:val="fr-CA"/>
        </w:rPr>
        <w:t>intervener</w:t>
      </w:r>
      <w:proofErr w:type="spellEnd"/>
      <w:r w:rsidRPr="00FE6980">
        <w:rPr>
          <w:rStyle w:val="SCCCounselPartyRoleChar"/>
          <w:sz w:val="20"/>
          <w:lang w:val="fr-CA"/>
        </w:rPr>
        <w:t xml:space="preserve"> Union des municipalités du Québec.</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LawFirm"/>
        <w:spacing w:line="240" w:lineRule="auto"/>
        <w:rPr>
          <w:sz w:val="20"/>
        </w:rPr>
      </w:pPr>
      <w:r w:rsidRPr="00FE6980">
        <w:rPr>
          <w:sz w:val="20"/>
          <w:lang w:val="fr-CA"/>
        </w:rPr>
        <w:tab/>
      </w:r>
      <w:r w:rsidRPr="00FE6980">
        <w:rPr>
          <w:sz w:val="20"/>
        </w:rPr>
        <w:t>Solicitors for the appellant: </w:t>
      </w:r>
      <w:proofErr w:type="spellStart"/>
      <w:r w:rsidRPr="00FE6980">
        <w:rPr>
          <w:sz w:val="20"/>
        </w:rPr>
        <w:t>Torys</w:t>
      </w:r>
      <w:proofErr w:type="spellEnd"/>
      <w:r w:rsidRPr="00FE6980">
        <w:rPr>
          <w:sz w:val="20"/>
        </w:rPr>
        <w:t xml:space="preserve">, Toronto; Fasken Martineau </w:t>
      </w:r>
      <w:proofErr w:type="spellStart"/>
      <w:r w:rsidRPr="00FE6980">
        <w:rPr>
          <w:sz w:val="20"/>
        </w:rPr>
        <w:t>DuMoulin</w:t>
      </w:r>
      <w:proofErr w:type="spellEnd"/>
      <w:r w:rsidRPr="00FE6980">
        <w:rPr>
          <w:sz w:val="20"/>
        </w:rPr>
        <w:t>, Montréal.</w:t>
      </w:r>
    </w:p>
    <w:p w:rsidR="00B354FE" w:rsidRPr="00FE6980" w:rsidRDefault="00B354FE" w:rsidP="00B354FE">
      <w:pPr>
        <w:pStyle w:val="SCCNormalDoubleSpacing"/>
        <w:spacing w:line="240" w:lineRule="auto"/>
      </w:pPr>
    </w:p>
    <w:p w:rsidR="00B354FE" w:rsidRPr="00FE6980" w:rsidRDefault="00B354FE" w:rsidP="00B354FE">
      <w:pPr>
        <w:pStyle w:val="SCCLawFirm"/>
        <w:spacing w:line="240" w:lineRule="auto"/>
        <w:rPr>
          <w:sz w:val="20"/>
        </w:rPr>
      </w:pPr>
      <w:r w:rsidRPr="00FE6980">
        <w:rPr>
          <w:sz w:val="20"/>
        </w:rPr>
        <w:tab/>
        <w:t xml:space="preserve">Solicitors for the respondent </w:t>
      </w:r>
      <w:r w:rsidRPr="00FE6980">
        <w:rPr>
          <w:rStyle w:val="SCCCounselPartyRoleChar"/>
          <w:sz w:val="20"/>
        </w:rPr>
        <w:t xml:space="preserve">the City of </w:t>
      </w:r>
      <w:proofErr w:type="spellStart"/>
      <w:r w:rsidRPr="00FE6980">
        <w:rPr>
          <w:rStyle w:val="SCCCounselPartyRoleChar"/>
          <w:sz w:val="20"/>
        </w:rPr>
        <w:t>Châteauguay</w:t>
      </w:r>
      <w:proofErr w:type="spellEnd"/>
      <w:r w:rsidRPr="00FE6980">
        <w:rPr>
          <w:sz w:val="20"/>
        </w:rPr>
        <w:t>: </w:t>
      </w:r>
      <w:proofErr w:type="spellStart"/>
      <w:r w:rsidRPr="00FE6980">
        <w:rPr>
          <w:sz w:val="20"/>
        </w:rPr>
        <w:t>Dunton</w:t>
      </w:r>
      <w:proofErr w:type="spellEnd"/>
      <w:r w:rsidRPr="00FE6980">
        <w:rPr>
          <w:sz w:val="20"/>
        </w:rPr>
        <w:t xml:space="preserve"> </w:t>
      </w:r>
      <w:proofErr w:type="spellStart"/>
      <w:r w:rsidRPr="00FE6980">
        <w:rPr>
          <w:sz w:val="20"/>
        </w:rPr>
        <w:t>Rainville</w:t>
      </w:r>
      <w:proofErr w:type="spellEnd"/>
      <w:r w:rsidRPr="00FE6980">
        <w:rPr>
          <w:sz w:val="20"/>
        </w:rPr>
        <w:t>, Montréal.</w:t>
      </w:r>
    </w:p>
    <w:p w:rsidR="00B354FE" w:rsidRPr="00FE6980" w:rsidRDefault="00B354FE" w:rsidP="00B354FE">
      <w:pPr>
        <w:pStyle w:val="SCCNormalDoubleSpacing"/>
        <w:spacing w:line="240" w:lineRule="auto"/>
      </w:pPr>
    </w:p>
    <w:p w:rsidR="00B354FE" w:rsidRPr="00FE6980" w:rsidRDefault="00B354FE" w:rsidP="00B354FE">
      <w:pPr>
        <w:pStyle w:val="SCCLawFirm"/>
        <w:spacing w:line="240" w:lineRule="auto"/>
        <w:rPr>
          <w:sz w:val="20"/>
        </w:rPr>
      </w:pPr>
      <w:r w:rsidRPr="00FE6980">
        <w:rPr>
          <w:sz w:val="20"/>
        </w:rPr>
        <w:tab/>
        <w:t xml:space="preserve">Solicitors for the respondent </w:t>
      </w:r>
      <w:r w:rsidRPr="00FE6980">
        <w:rPr>
          <w:rStyle w:val="SCCCounselPartyRoleChar"/>
          <w:sz w:val="20"/>
        </w:rPr>
        <w:t>the Attorney General of Quebec</w:t>
      </w:r>
      <w:r w:rsidRPr="00FE6980">
        <w:rPr>
          <w:sz w:val="20"/>
        </w:rPr>
        <w:t xml:space="preserve">: Bernard, Roy &amp; </w:t>
      </w:r>
      <w:proofErr w:type="spellStart"/>
      <w:r w:rsidRPr="00FE6980">
        <w:rPr>
          <w:sz w:val="20"/>
        </w:rPr>
        <w:t>Associés</w:t>
      </w:r>
      <w:proofErr w:type="spellEnd"/>
      <w:r w:rsidRPr="00FE6980">
        <w:rPr>
          <w:sz w:val="20"/>
        </w:rPr>
        <w:t>, Montréal.</w:t>
      </w:r>
    </w:p>
    <w:p w:rsidR="00B354FE" w:rsidRPr="00FE6980" w:rsidRDefault="00B354FE" w:rsidP="00B354FE">
      <w:pPr>
        <w:pStyle w:val="SCCNormalDoubleSpacing"/>
        <w:spacing w:line="240" w:lineRule="auto"/>
      </w:pPr>
    </w:p>
    <w:p w:rsidR="00B354FE" w:rsidRPr="00FE6980" w:rsidRDefault="00B354FE" w:rsidP="00B354FE">
      <w:pPr>
        <w:pStyle w:val="SCCLawFirm"/>
        <w:spacing w:line="240" w:lineRule="auto"/>
        <w:rPr>
          <w:sz w:val="20"/>
        </w:rPr>
      </w:pPr>
      <w:r w:rsidRPr="00FE6980">
        <w:rPr>
          <w:sz w:val="20"/>
        </w:rPr>
        <w:tab/>
        <w:t>Solicitor for the intervener the Attorney General of Canada: Attorney General of Canada, Montréal.</w:t>
      </w:r>
    </w:p>
    <w:p w:rsidR="00B354FE" w:rsidRPr="00FE6980" w:rsidRDefault="00B354FE" w:rsidP="00B354FE">
      <w:pPr>
        <w:pStyle w:val="SCCNormalDoubleSpacing"/>
        <w:spacing w:line="240" w:lineRule="auto"/>
      </w:pPr>
    </w:p>
    <w:p w:rsidR="00B354FE" w:rsidRPr="00FE6980" w:rsidRDefault="00B354FE" w:rsidP="00B354FE">
      <w:pPr>
        <w:pStyle w:val="SCCLawFirm"/>
        <w:spacing w:line="240" w:lineRule="auto"/>
        <w:rPr>
          <w:sz w:val="20"/>
        </w:rPr>
      </w:pPr>
      <w:r w:rsidRPr="00FE6980">
        <w:rPr>
          <w:sz w:val="20"/>
        </w:rPr>
        <w:tab/>
        <w:t>Solicitor for the intervener the Federation of Canadian Municipalities: Federation of Canadian Municipalities, Ottawa.</w:t>
      </w:r>
    </w:p>
    <w:p w:rsidR="00B354FE" w:rsidRPr="00FE6980" w:rsidRDefault="00B354FE" w:rsidP="00B354FE">
      <w:pPr>
        <w:pStyle w:val="SCCNormalDoubleSpacing"/>
        <w:spacing w:line="240" w:lineRule="auto"/>
      </w:pPr>
    </w:p>
    <w:p w:rsidR="00B354FE" w:rsidRPr="00FE6980" w:rsidRDefault="00B354FE" w:rsidP="00B354FE">
      <w:pPr>
        <w:pStyle w:val="SCCLawFirm"/>
        <w:spacing w:line="240" w:lineRule="auto"/>
        <w:rPr>
          <w:sz w:val="20"/>
        </w:rPr>
      </w:pPr>
      <w:r w:rsidRPr="00FE6980">
        <w:rPr>
          <w:sz w:val="20"/>
        </w:rPr>
        <w:tab/>
        <w:t>Solicitor for the intervener the City of Toronto: City of Toronto, Toronto.</w:t>
      </w:r>
    </w:p>
    <w:p w:rsidR="00B354FE" w:rsidRPr="00FE6980" w:rsidRDefault="00B354FE" w:rsidP="00B354FE">
      <w:pPr>
        <w:pStyle w:val="SCCNormalDoubleSpacing"/>
        <w:spacing w:line="240" w:lineRule="auto"/>
      </w:pPr>
    </w:p>
    <w:p w:rsidR="00B354FE" w:rsidRPr="00FE6980" w:rsidRDefault="00B354FE" w:rsidP="00B354FE">
      <w:pPr>
        <w:pStyle w:val="SCCLawFirm"/>
        <w:spacing w:line="240" w:lineRule="auto"/>
        <w:rPr>
          <w:sz w:val="20"/>
        </w:rPr>
      </w:pPr>
      <w:r w:rsidRPr="00FE6980">
        <w:rPr>
          <w:sz w:val="20"/>
        </w:rPr>
        <w:tab/>
        <w:t xml:space="preserve">Solicitors for the interveners Bell </w:t>
      </w:r>
      <w:proofErr w:type="spellStart"/>
      <w:r w:rsidRPr="00FE6980">
        <w:rPr>
          <w:sz w:val="20"/>
        </w:rPr>
        <w:t>Mobilité</w:t>
      </w:r>
      <w:proofErr w:type="spellEnd"/>
      <w:r w:rsidRPr="00FE6980">
        <w:rPr>
          <w:sz w:val="20"/>
        </w:rPr>
        <w:t xml:space="preserve"> Inc., TELUS Communications Inc. and </w:t>
      </w:r>
      <w:proofErr w:type="spellStart"/>
      <w:r w:rsidRPr="00FE6980">
        <w:rPr>
          <w:sz w:val="20"/>
        </w:rPr>
        <w:t>Vidéotron</w:t>
      </w:r>
      <w:proofErr w:type="spellEnd"/>
      <w:r w:rsidRPr="00FE6980">
        <w:rPr>
          <w:sz w:val="20"/>
        </w:rPr>
        <w:t xml:space="preserve"> </w:t>
      </w:r>
      <w:proofErr w:type="spellStart"/>
      <w:r w:rsidRPr="00FE6980">
        <w:rPr>
          <w:sz w:val="20"/>
        </w:rPr>
        <w:t>s.e.n.c</w:t>
      </w:r>
      <w:proofErr w:type="spellEnd"/>
      <w:r w:rsidRPr="00FE6980">
        <w:rPr>
          <w:sz w:val="20"/>
        </w:rPr>
        <w:t>.: </w:t>
      </w:r>
      <w:proofErr w:type="spellStart"/>
      <w:r w:rsidRPr="00FE6980">
        <w:rPr>
          <w:sz w:val="20"/>
        </w:rPr>
        <w:t>Prévost</w:t>
      </w:r>
      <w:proofErr w:type="spellEnd"/>
      <w:r w:rsidRPr="00FE6980">
        <w:rPr>
          <w:sz w:val="20"/>
        </w:rPr>
        <w:t xml:space="preserve"> Fortin </w:t>
      </w:r>
      <w:proofErr w:type="spellStart"/>
      <w:r w:rsidRPr="00FE6980">
        <w:rPr>
          <w:sz w:val="20"/>
        </w:rPr>
        <w:t>D’Aoust</w:t>
      </w:r>
      <w:proofErr w:type="spellEnd"/>
      <w:r w:rsidRPr="00FE6980">
        <w:rPr>
          <w:sz w:val="20"/>
        </w:rPr>
        <w:t xml:space="preserve">, Boisbriand, Quebec; TELUS Communications, Ottawa; </w:t>
      </w:r>
      <w:proofErr w:type="spellStart"/>
      <w:r w:rsidRPr="00FE6980">
        <w:rPr>
          <w:sz w:val="20"/>
        </w:rPr>
        <w:t>Beaudin</w:t>
      </w:r>
      <w:proofErr w:type="spellEnd"/>
      <w:r w:rsidRPr="00FE6980">
        <w:rPr>
          <w:sz w:val="20"/>
        </w:rPr>
        <w:t xml:space="preserve"> &amp; </w:t>
      </w:r>
      <w:proofErr w:type="spellStart"/>
      <w:r w:rsidRPr="00FE6980">
        <w:rPr>
          <w:sz w:val="20"/>
        </w:rPr>
        <w:t>Associés</w:t>
      </w:r>
      <w:proofErr w:type="spellEnd"/>
      <w:r w:rsidRPr="00FE6980">
        <w:rPr>
          <w:sz w:val="20"/>
        </w:rPr>
        <w:t>, Verdun, Quebec; Quebecor Media, Montréal.</w:t>
      </w:r>
    </w:p>
    <w:p w:rsidR="00B354FE" w:rsidRPr="00FE6980" w:rsidRDefault="00B354FE" w:rsidP="00B354FE">
      <w:pPr>
        <w:pStyle w:val="SCCNormalDoubleSpacing"/>
        <w:spacing w:line="240" w:lineRule="auto"/>
      </w:pPr>
    </w:p>
    <w:p w:rsidR="00B354FE" w:rsidRPr="00FE6980" w:rsidRDefault="00B354FE" w:rsidP="00B354FE">
      <w:pPr>
        <w:pStyle w:val="SCCLawFirm"/>
        <w:spacing w:line="240" w:lineRule="auto"/>
        <w:rPr>
          <w:sz w:val="20"/>
          <w:lang w:val="fr-CA"/>
        </w:rPr>
      </w:pPr>
      <w:r w:rsidRPr="00FE6980">
        <w:rPr>
          <w:sz w:val="20"/>
        </w:rPr>
        <w:tab/>
      </w:r>
      <w:r w:rsidRPr="00FE6980">
        <w:rPr>
          <w:sz w:val="20"/>
          <w:lang w:val="fr-CA"/>
        </w:rPr>
        <w:t xml:space="preserve">Solicitors for the </w:t>
      </w:r>
      <w:proofErr w:type="spellStart"/>
      <w:r w:rsidRPr="00FE6980">
        <w:rPr>
          <w:sz w:val="20"/>
          <w:lang w:val="fr-CA"/>
        </w:rPr>
        <w:t>intervener</w:t>
      </w:r>
      <w:proofErr w:type="spellEnd"/>
      <w:r w:rsidRPr="00FE6980">
        <w:rPr>
          <w:sz w:val="20"/>
          <w:lang w:val="fr-CA"/>
        </w:rPr>
        <w:t xml:space="preserve"> Union des municipalités du Québec: </w:t>
      </w:r>
      <w:proofErr w:type="spellStart"/>
      <w:r w:rsidRPr="00FE6980">
        <w:rPr>
          <w:sz w:val="20"/>
          <w:lang w:val="fr-CA"/>
        </w:rPr>
        <w:t>LeChasseur</w:t>
      </w:r>
      <w:proofErr w:type="spellEnd"/>
      <w:r w:rsidRPr="00FE6980">
        <w:rPr>
          <w:sz w:val="20"/>
          <w:lang w:val="fr-CA"/>
        </w:rPr>
        <w:t xml:space="preserve"> avocats, Montréal.</w:t>
      </w:r>
    </w:p>
    <w:p w:rsidR="00B354FE" w:rsidRPr="00E433FF" w:rsidRDefault="00B354FE" w:rsidP="0052229C">
      <w:pPr>
        <w:rPr>
          <w:rFonts w:cs="Times New Roman"/>
          <w:sz w:val="20"/>
          <w:szCs w:val="20"/>
          <w:lang w:val="fr-CA"/>
        </w:rPr>
      </w:pPr>
    </w:p>
    <w:p w:rsidR="0052229C" w:rsidRPr="00FE6980" w:rsidRDefault="0052229C" w:rsidP="0052229C">
      <w:pPr>
        <w:rPr>
          <w:rFonts w:cs="Times New Roman"/>
          <w:sz w:val="20"/>
          <w:szCs w:val="20"/>
          <w:lang w:val="fr-CA"/>
        </w:rPr>
      </w:pPr>
      <w:r w:rsidRPr="00FE6980">
        <w:rPr>
          <w:rFonts w:cs="Times New Roman"/>
          <w:sz w:val="20"/>
          <w:szCs w:val="20"/>
          <w:lang w:val="fr-CA"/>
        </w:rPr>
        <w:t>________________________</w:t>
      </w:r>
    </w:p>
    <w:p w:rsidR="00B354FE" w:rsidRPr="00FE6980" w:rsidRDefault="00B354FE" w:rsidP="005C6840">
      <w:pPr>
        <w:rPr>
          <w:sz w:val="20"/>
          <w:szCs w:val="20"/>
          <w:lang w:val="fr-CA"/>
        </w:rPr>
      </w:pPr>
    </w:p>
    <w:p w:rsidR="00B354FE" w:rsidRPr="00FE6980" w:rsidRDefault="00B354FE" w:rsidP="00B354FE">
      <w:pPr>
        <w:jc w:val="both"/>
        <w:rPr>
          <w:sz w:val="20"/>
          <w:szCs w:val="20"/>
          <w:lang w:val="fr-CA"/>
        </w:rPr>
      </w:pPr>
      <w:r w:rsidRPr="00FE6980">
        <w:rPr>
          <w:sz w:val="20"/>
          <w:szCs w:val="20"/>
          <w:lang w:val="fr-CA"/>
        </w:rPr>
        <w:t>Présents : La juge en chef McLachlin et les juges Abella, Cromwell, Moldaver, Karakatsanis, Wagner, Gascon, Côté et Brown.</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NormalDoubleSpacing"/>
        <w:spacing w:line="240" w:lineRule="auto"/>
        <w:rPr>
          <w:i/>
          <w:sz w:val="20"/>
          <w:lang w:val="fr-CA"/>
        </w:rPr>
      </w:pPr>
      <w:r w:rsidRPr="00FE6980">
        <w:rPr>
          <w:sz w:val="20"/>
          <w:lang w:val="fr-CA"/>
        </w:rPr>
        <w:tab/>
      </w:r>
      <w:r w:rsidRPr="00FE6980">
        <w:rPr>
          <w:i/>
          <w:sz w:val="20"/>
          <w:lang w:val="fr-CA"/>
        </w:rPr>
        <w:t>Droit constitutionnel — Partage des compétences — Radiocommunication — Doctrine du caractère véritable — Théorie du double aspect — Avis d’imposition de réserve signifié par la ville pour empêcher la construction d’un système d’antennes de radiocommunication sur son territoire — L’avis de réserve est</w:t>
      </w:r>
      <w:r w:rsidRPr="00FE6980">
        <w:rPr>
          <w:i/>
          <w:sz w:val="20"/>
          <w:lang w:val="fr-CA"/>
        </w:rPr>
        <w:noBreakHyphen/>
        <w:t>il ultra vires de la compétence de la ville parce que son caractère véritable relève d’une compétence fédérale exclusive? — Loi sur la radiocommunication, L.R.C. 1985, c. R</w:t>
      </w:r>
      <w:r w:rsidRPr="00FE6980">
        <w:rPr>
          <w:i/>
          <w:sz w:val="20"/>
          <w:lang w:val="fr-CA"/>
        </w:rPr>
        <w:noBreakHyphen/>
        <w:t>2, art. 5(1)f) — Loi constitutionnelle de 1867, art. 91(29), 92(10)a), (13), (16).</w:t>
      </w:r>
    </w:p>
    <w:p w:rsidR="00B354FE" w:rsidRPr="00FE6980" w:rsidRDefault="00B354FE" w:rsidP="00B354FE">
      <w:pPr>
        <w:pStyle w:val="SCCNormalDoubleSpacing"/>
        <w:spacing w:line="240" w:lineRule="auto"/>
        <w:rPr>
          <w:i/>
          <w:sz w:val="20"/>
          <w:lang w:val="fr-CA"/>
        </w:rPr>
      </w:pPr>
    </w:p>
    <w:p w:rsidR="00B354FE" w:rsidRPr="00FE6980" w:rsidRDefault="00B354FE" w:rsidP="00B354FE">
      <w:pPr>
        <w:pStyle w:val="SCCNormalDoubleSpacing"/>
        <w:spacing w:line="240" w:lineRule="auto"/>
        <w:rPr>
          <w:i/>
          <w:sz w:val="20"/>
          <w:lang w:val="fr-CA"/>
        </w:rPr>
      </w:pPr>
      <w:r w:rsidRPr="00FE6980">
        <w:rPr>
          <w:i/>
          <w:sz w:val="20"/>
          <w:lang w:val="fr-CA"/>
        </w:rPr>
        <w:tab/>
        <w:t>Droit constitutionnel — Partage des compétences — Radiocommunication — Doctrine de l’exclusivité des compétences — Avis d’imposition de réserve signifié par la ville pour empêcher la construction d’un système d’antennes de radiocommunication sur son territoire — La doctrine de l’exclusivité des compétences rend</w:t>
      </w:r>
      <w:r w:rsidRPr="00FE6980">
        <w:rPr>
          <w:i/>
          <w:sz w:val="20"/>
          <w:lang w:val="fr-CA"/>
        </w:rPr>
        <w:noBreakHyphen/>
        <w:t>elle l’avis de réserve inapplicable? — Loi sur la radiocommunication, L.R.C. 1985, c. R</w:t>
      </w:r>
      <w:r w:rsidRPr="00FE6980">
        <w:rPr>
          <w:i/>
          <w:sz w:val="20"/>
          <w:lang w:val="fr-CA"/>
        </w:rPr>
        <w:noBreakHyphen/>
        <w:t>2, art. 5(1)f) — Loi constitutionnelle de 1867, art. 91(29), 92(10)a), (13), (16).</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NormalDoubleSpacing"/>
        <w:tabs>
          <w:tab w:val="left" w:pos="1170"/>
        </w:tabs>
        <w:spacing w:line="240" w:lineRule="auto"/>
        <w:rPr>
          <w:sz w:val="20"/>
          <w:lang w:val="fr-CA"/>
        </w:rPr>
      </w:pPr>
      <w:r w:rsidRPr="00FE6980">
        <w:rPr>
          <w:sz w:val="20"/>
          <w:lang w:val="fr-CA"/>
        </w:rPr>
        <w:tab/>
        <w:t>Rogers Communications Inc. (« Rogers »), une société canadienne, offre divers services de communication sur l’ensemble du territoire canadien. Elle détient une licence de spectre qui l’autorise à exploiter ses services dans certaines gammes de fréquence. Cette licence lui impose plusieurs obligations, dont celle d’assurer une couverture de réseau adéquate dans les régions géographiques qui lui sont attribuées. À l’automne 2007, Rogers décide d’ériger un nouveau système d’antennes de radiocommunication sur le territoire de la Ville de Châteauguay (« Châteauguay ») afin de combler des lacunes dans son réseau de téléphonie sans fil. En vertu des pouvoirs qui lui sont conférés par la</w:t>
      </w:r>
      <w:r w:rsidRPr="00FE6980">
        <w:rPr>
          <w:i/>
          <w:sz w:val="20"/>
          <w:lang w:val="fr-CA"/>
        </w:rPr>
        <w:t xml:space="preserve"> Loi sur la radiocommunication</w:t>
      </w:r>
      <w:r w:rsidRPr="00FE6980">
        <w:rPr>
          <w:sz w:val="20"/>
          <w:lang w:val="fr-CA"/>
        </w:rPr>
        <w:t xml:space="preserve">, le ministre fédéral de l’Industrie a autorisé Rogers à installer un système d’antennes sur le terrain situé au 411, boulevard </w:t>
      </w:r>
      <w:proofErr w:type="spellStart"/>
      <w:r w:rsidRPr="00FE6980">
        <w:rPr>
          <w:sz w:val="20"/>
          <w:lang w:val="fr-CA"/>
        </w:rPr>
        <w:t>Saint</w:t>
      </w:r>
      <w:r w:rsidRPr="00FE6980">
        <w:rPr>
          <w:sz w:val="20"/>
          <w:lang w:val="fr-CA"/>
        </w:rPr>
        <w:noBreakHyphen/>
        <w:t>Francis</w:t>
      </w:r>
      <w:proofErr w:type="spellEnd"/>
      <w:r w:rsidRPr="00FE6980">
        <w:rPr>
          <w:sz w:val="20"/>
          <w:lang w:val="fr-CA"/>
        </w:rPr>
        <w:t xml:space="preserve"> à Châteauguay. Invoquant le risque pour la santé et le bien</w:t>
      </w:r>
      <w:r w:rsidRPr="00FE6980">
        <w:rPr>
          <w:sz w:val="20"/>
          <w:lang w:val="fr-CA"/>
        </w:rPr>
        <w:noBreakHyphen/>
        <w:t>être des citoyens qui résident à proximité d’une telle installation, Châteauguay a adopté une résolution municipale autorisant la signification d’un avis d’imposition de réserve qui interdit toute construction sur le terrain en question pour une période de deux ans. Quelques jours avant son expiration, cet avis fut renouvelé pour une période additionnelle de deux ans. Rogers dépose une requête pour contester l’avis et allègue que l’avis de réserve est inconstitutionnel puisqu’il constitue un exercice de la compétence fédérale en matière de radiocommunication. Rogers estime en outre que l’avis lui serait inapplicable en raison de la doctrine de l’exclusivité des compétences, ou encore inopérant en application de la doctrine de la prépondérance fédérale.</w:t>
      </w:r>
    </w:p>
    <w:p w:rsidR="00B354FE" w:rsidRPr="00FE6980" w:rsidRDefault="00B354FE" w:rsidP="00B354FE">
      <w:pPr>
        <w:pStyle w:val="SCCNormalDoubleSpacing"/>
        <w:tabs>
          <w:tab w:val="left" w:pos="1170"/>
        </w:tabs>
        <w:spacing w:line="240" w:lineRule="auto"/>
        <w:rPr>
          <w:sz w:val="20"/>
          <w:lang w:val="fr-CA"/>
        </w:rPr>
      </w:pPr>
    </w:p>
    <w:p w:rsidR="00B354FE" w:rsidRPr="00FE6980" w:rsidRDefault="00B354FE" w:rsidP="00B354FE">
      <w:pPr>
        <w:pStyle w:val="SCCNormalDoubleSpacing"/>
        <w:spacing w:line="240" w:lineRule="auto"/>
        <w:rPr>
          <w:sz w:val="20"/>
          <w:lang w:val="fr-CA"/>
        </w:rPr>
      </w:pPr>
      <w:r w:rsidRPr="00FE6980">
        <w:rPr>
          <w:sz w:val="20"/>
          <w:lang w:val="fr-CA"/>
        </w:rPr>
        <w:tab/>
        <w:t>Appliquant les principes de droit administratif, la Cour supérieure conclut à la mauvaise foi de Châteauguay et annule l’avis de réserve et son renouvellement, ainsi que les résolutions à l’appui. La Cour d’appel infirme le jugement de première instance et rejette également les arguments d’ordre constitutionnel soulevés par Rogers.</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NormalDoubleSpacing"/>
        <w:spacing w:line="240" w:lineRule="auto"/>
        <w:rPr>
          <w:sz w:val="20"/>
          <w:lang w:val="fr-CA"/>
        </w:rPr>
      </w:pPr>
      <w:r w:rsidRPr="00FE6980">
        <w:rPr>
          <w:sz w:val="20"/>
          <w:lang w:val="fr-CA"/>
        </w:rPr>
        <w:tab/>
      </w:r>
      <w:r w:rsidRPr="00FE6980">
        <w:rPr>
          <w:i/>
          <w:sz w:val="20"/>
          <w:lang w:val="fr-CA"/>
        </w:rPr>
        <w:t>Arrêt</w:t>
      </w:r>
      <w:r w:rsidRPr="00FE6980">
        <w:rPr>
          <w:sz w:val="20"/>
          <w:lang w:val="fr-CA"/>
        </w:rPr>
        <w:t> : Le pourvoi est accueilli. L’avis de réserve est inconstitutionnel.</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NormalDoubleSpacing"/>
        <w:spacing w:line="240" w:lineRule="auto"/>
        <w:rPr>
          <w:sz w:val="20"/>
          <w:lang w:val="fr-CA"/>
        </w:rPr>
      </w:pPr>
      <w:r w:rsidRPr="00FE6980">
        <w:rPr>
          <w:sz w:val="20"/>
          <w:lang w:val="fr-CA"/>
        </w:rPr>
        <w:tab/>
      </w:r>
      <w:r w:rsidRPr="00FE6980">
        <w:rPr>
          <w:i/>
          <w:sz w:val="20"/>
          <w:lang w:val="fr-CA"/>
        </w:rPr>
        <w:t>La</w:t>
      </w:r>
      <w:r w:rsidRPr="00FE6980">
        <w:rPr>
          <w:sz w:val="20"/>
          <w:lang w:val="fr-CA"/>
        </w:rPr>
        <w:t xml:space="preserve"> juge en chef McLachlin et les juges Abella, Cromwell, Moldaver, Karakatsanis, </w:t>
      </w:r>
      <w:r w:rsidRPr="00FE6980">
        <w:rPr>
          <w:b/>
          <w:sz w:val="20"/>
          <w:lang w:val="fr-CA"/>
        </w:rPr>
        <w:t>Wagner</w:t>
      </w:r>
      <w:r w:rsidRPr="00FE6980">
        <w:rPr>
          <w:sz w:val="20"/>
          <w:lang w:val="fr-CA"/>
        </w:rPr>
        <w:t xml:space="preserve">, </w:t>
      </w:r>
      <w:r w:rsidRPr="00FE6980">
        <w:rPr>
          <w:b/>
          <w:sz w:val="20"/>
          <w:lang w:val="fr-CA"/>
        </w:rPr>
        <w:t>Côté</w:t>
      </w:r>
      <w:r w:rsidRPr="00FE6980">
        <w:rPr>
          <w:sz w:val="20"/>
          <w:lang w:val="fr-CA"/>
        </w:rPr>
        <w:t xml:space="preserve"> et Brown : L’avis de réserve est </w:t>
      </w:r>
      <w:r w:rsidRPr="00FE6980">
        <w:rPr>
          <w:i/>
          <w:sz w:val="20"/>
          <w:lang w:val="fr-CA"/>
        </w:rPr>
        <w:t xml:space="preserve">ultra vires </w:t>
      </w:r>
      <w:r w:rsidRPr="00FE6980">
        <w:rPr>
          <w:sz w:val="20"/>
          <w:lang w:val="fr-CA"/>
        </w:rPr>
        <w:t>puisqu’il constitue l’exercice de la compétence fédérale en matière de radiocommunication, une compétence fédérale exclusive. L’analyse du caractère véritable de l’avis de réserve requiert l’examen tant de son objet que de ses effets. L’analyse de la preuve à cet égard n’autorise qu’une conclusion : l’objet de l’avis de réserve est d’empêcher Rogers d’installer son système d’antennes de radiocommunication sur le terrain situé au 411 Saint Francis en circonscrivant le choix de l’emplacement de ce système. La même conclusion s’impose au regard des effets juridiques et pratiques de l’avis de réserve. Même si cette mesure répondait à des préoccupations de santé soulevées par certains citoyens, il n’en demeure pas moins qu’elle usurperait l’exercice de la compétence fédérale en matière de radiocommunication. Le principe du fédéralisme coopératif n’est d’aucune assistance en l’espèce puisqu’il ne peut ni l’emporter sur le partage des compétences lui</w:t>
      </w:r>
      <w:r w:rsidRPr="00FE6980">
        <w:rPr>
          <w:sz w:val="20"/>
          <w:lang w:val="fr-CA"/>
        </w:rPr>
        <w:noBreakHyphen/>
        <w:t xml:space="preserve">même ni le modifier. Il ne peut être considéré comme imposant des limites à l’exercice valide d’une compétence législative. Il ne peut non plus être utilisé pour valider des mesures inconstitutionnelles.  </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NormalDoubleSpacing"/>
        <w:spacing w:line="240" w:lineRule="auto"/>
        <w:rPr>
          <w:sz w:val="20"/>
          <w:lang w:val="fr-CA"/>
        </w:rPr>
      </w:pPr>
      <w:r w:rsidRPr="00FE6980">
        <w:rPr>
          <w:sz w:val="20"/>
          <w:lang w:val="fr-CA"/>
        </w:rPr>
        <w:tab/>
        <w:t>L’avis de réserve ne jouit pas d’un double aspect. En effet, puisque le caractère véritable de l’avis de réserve est de choisir l’emplacement des infrastructures en matière de radiocommunication, il n’y a pas d’équivalence entre l’aspect fédéral, soit sa compétence en matière de radiocommunication, et les aspects provinciaux, soit la protection de la santé et du bien</w:t>
      </w:r>
      <w:r w:rsidRPr="00FE6980">
        <w:rPr>
          <w:sz w:val="20"/>
          <w:lang w:val="fr-CA"/>
        </w:rPr>
        <w:noBreakHyphen/>
        <w:t xml:space="preserve">être des résidents à proximité et le développement harmonieux du territoire. Reconnaître un double aspect à l’emplacement des infrastructures en matière de radiocommunication impliquerait que le fédéral et les provinces peuvent légiférer à cet égard, ce qui serait contraire au précédent établi par le Conseil privé dans </w:t>
      </w:r>
      <w:r w:rsidRPr="00FE6980">
        <w:rPr>
          <w:i/>
          <w:sz w:val="20"/>
          <w:lang w:val="fr-CA"/>
        </w:rPr>
        <w:t xml:space="preserve">In </w:t>
      </w:r>
      <w:proofErr w:type="spellStart"/>
      <w:r w:rsidRPr="00FE6980">
        <w:rPr>
          <w:i/>
          <w:sz w:val="20"/>
          <w:lang w:val="fr-CA"/>
        </w:rPr>
        <w:t>re</w:t>
      </w:r>
      <w:proofErr w:type="spellEnd"/>
      <w:r w:rsidRPr="00FE6980">
        <w:rPr>
          <w:i/>
          <w:sz w:val="20"/>
          <w:lang w:val="fr-CA"/>
        </w:rPr>
        <w:t xml:space="preserve"> </w:t>
      </w:r>
      <w:proofErr w:type="spellStart"/>
      <w:r w:rsidRPr="00FE6980">
        <w:rPr>
          <w:i/>
          <w:sz w:val="20"/>
          <w:lang w:val="fr-CA"/>
        </w:rPr>
        <w:t>Regulation</w:t>
      </w:r>
      <w:proofErr w:type="spellEnd"/>
      <w:r w:rsidRPr="00FE6980">
        <w:rPr>
          <w:i/>
          <w:sz w:val="20"/>
          <w:lang w:val="fr-CA"/>
        </w:rPr>
        <w:t xml:space="preserve"> and Control of Radio Communication in Canada</w:t>
      </w:r>
      <w:r w:rsidRPr="00FE6980">
        <w:rPr>
          <w:sz w:val="20"/>
          <w:lang w:val="fr-CA"/>
        </w:rPr>
        <w:t xml:space="preserve">, [1932] A.C. 304, selon lequel la compétence fédérale à l’égard de l’emplacement de telles infrastructures est exclusive. </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NormalDoubleSpacing"/>
        <w:spacing w:line="240" w:lineRule="auto"/>
        <w:rPr>
          <w:sz w:val="20"/>
          <w:lang w:val="fr-CA"/>
        </w:rPr>
      </w:pPr>
      <w:r w:rsidRPr="00FE6980">
        <w:rPr>
          <w:sz w:val="20"/>
          <w:lang w:val="fr-CA"/>
        </w:rPr>
        <w:tab/>
        <w:t xml:space="preserve">Bien que l’application de la doctrine du caractère véritable suffise pour disposer du pourvoi, l’application de la doctrine de l’exclusivité des compétences est également abordée afin de clarifier le droit. L’application de la doctrine de l’exclusivité des compétences est généralement limitée à des situations déjà traitées par les tribunaux dans le passé. Il existe </w:t>
      </w:r>
      <w:proofErr w:type="gramStart"/>
      <w:r w:rsidRPr="00FE6980">
        <w:rPr>
          <w:sz w:val="20"/>
          <w:lang w:val="fr-CA"/>
        </w:rPr>
        <w:t>un précédent donnant</w:t>
      </w:r>
      <w:proofErr w:type="gramEnd"/>
      <w:r w:rsidRPr="00FE6980">
        <w:rPr>
          <w:sz w:val="20"/>
          <w:lang w:val="fr-CA"/>
        </w:rPr>
        <w:t xml:space="preserve"> ouverture à l’application de cette doctrine à la présente situation soit, l’arrêt du Conseil privé </w:t>
      </w:r>
      <w:r w:rsidRPr="00FE6980">
        <w:rPr>
          <w:i/>
          <w:sz w:val="20"/>
          <w:lang w:val="fr-CA"/>
        </w:rPr>
        <w:t xml:space="preserve">Toronto Corporation c. Bell </w:t>
      </w:r>
      <w:proofErr w:type="spellStart"/>
      <w:r w:rsidRPr="00FE6980">
        <w:rPr>
          <w:i/>
          <w:sz w:val="20"/>
          <w:lang w:val="fr-CA"/>
        </w:rPr>
        <w:t>Telephone</w:t>
      </w:r>
      <w:proofErr w:type="spellEnd"/>
      <w:r w:rsidRPr="00FE6980">
        <w:rPr>
          <w:i/>
          <w:sz w:val="20"/>
          <w:lang w:val="fr-CA"/>
        </w:rPr>
        <w:t xml:space="preserve"> Co. of Canada</w:t>
      </w:r>
      <w:r w:rsidRPr="00FE6980">
        <w:rPr>
          <w:sz w:val="20"/>
          <w:lang w:val="fr-CA"/>
        </w:rPr>
        <w:t>, [1905] A.C. 52, qui suggère que l’emplacement des infrastructures dans le domaine des télécommunications relève du cœur de la compétence fédérale. Par ailleurs, la preuve présentée ici milite en faveur d’une telle conclusion dans le cas du choix de l’emplacement des systèmes d’antennes de radiocommunication puisque c’est l’emplacement adéquat et précis des systèmes d’antennes qui permet d’assurer le développement ordonné et l’exploitation efficace de la radiocommunication au Canada. La détermination de l’emplacement des systèmes d’antennes est au cœur de la compétence fédérale en matière de radiocommunication et il est absolument nécessaire qu’il en soit ainsi pour que le Parlement puisse réaliser l’objet pour lequel ladite compétence lui a été attribuée.</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NormalDoubleSpacing"/>
        <w:tabs>
          <w:tab w:val="left" w:pos="1170"/>
        </w:tabs>
        <w:spacing w:line="240" w:lineRule="auto"/>
        <w:rPr>
          <w:sz w:val="20"/>
          <w:lang w:val="fr-CA"/>
        </w:rPr>
      </w:pPr>
      <w:r w:rsidRPr="00FE6980">
        <w:rPr>
          <w:sz w:val="20"/>
          <w:lang w:val="fr-CA"/>
        </w:rPr>
        <w:tab/>
        <w:t xml:space="preserve">L’avis de réserve constitue donc une atteinte grave et importante au cœur de la compétence fédérale en matière de radiocommunication. Les faits démontrent que Rogers n’était pas en mesure de satisfaire à son obligation de desservir la région géographique en cause, telle que l’exigeait sa licence de spectre. Cet avis de réserve a empêché Rogers de construire son système d’antennes sur le terrain situé au 411 </w:t>
      </w:r>
      <w:proofErr w:type="spellStart"/>
      <w:r w:rsidRPr="00FE6980">
        <w:rPr>
          <w:sz w:val="20"/>
          <w:lang w:val="fr-CA"/>
        </w:rPr>
        <w:t>Saint</w:t>
      </w:r>
      <w:r w:rsidRPr="00FE6980">
        <w:rPr>
          <w:sz w:val="20"/>
          <w:lang w:val="fr-CA"/>
        </w:rPr>
        <w:noBreakHyphen/>
        <w:t>Francis</w:t>
      </w:r>
      <w:proofErr w:type="spellEnd"/>
      <w:r w:rsidRPr="00FE6980">
        <w:rPr>
          <w:sz w:val="20"/>
          <w:lang w:val="fr-CA"/>
        </w:rPr>
        <w:t xml:space="preserve"> pour deux périodes successives de deux ans, alors qu’il n’existait aucune solution de rechange à laquelle elle aurait pu recourir à brève échéance. Ainsi, la doctrine de l’exclusivité des compétences rend inapplicable l’avis de réserve signifié à Rogers.</w:t>
      </w:r>
    </w:p>
    <w:p w:rsidR="00B354FE" w:rsidRPr="00FE6980" w:rsidRDefault="00B354FE" w:rsidP="00B354FE">
      <w:pPr>
        <w:pStyle w:val="SCCNormalDoubleSpacing"/>
        <w:tabs>
          <w:tab w:val="left" w:pos="1170"/>
        </w:tabs>
        <w:spacing w:line="240" w:lineRule="auto"/>
        <w:rPr>
          <w:sz w:val="20"/>
          <w:lang w:val="fr-CA"/>
        </w:rPr>
      </w:pPr>
    </w:p>
    <w:p w:rsidR="00B354FE" w:rsidRPr="00FE6980" w:rsidRDefault="00B354FE" w:rsidP="00B354FE">
      <w:pPr>
        <w:pStyle w:val="SCCNormalDoubleSpacing"/>
        <w:spacing w:line="240" w:lineRule="auto"/>
        <w:rPr>
          <w:sz w:val="20"/>
          <w:lang w:val="fr-CA"/>
        </w:rPr>
      </w:pPr>
      <w:r w:rsidRPr="00FE6980">
        <w:rPr>
          <w:sz w:val="20"/>
          <w:lang w:val="fr-CA"/>
        </w:rPr>
        <w:tab/>
      </w:r>
      <w:r w:rsidRPr="00FE6980">
        <w:rPr>
          <w:i/>
          <w:sz w:val="20"/>
          <w:lang w:val="fr-CA"/>
        </w:rPr>
        <w:t>Le</w:t>
      </w:r>
      <w:r w:rsidRPr="00FE6980">
        <w:rPr>
          <w:sz w:val="20"/>
          <w:lang w:val="fr-CA"/>
        </w:rPr>
        <w:t xml:space="preserve"> juge </w:t>
      </w:r>
      <w:r w:rsidRPr="00FE6980">
        <w:rPr>
          <w:b/>
          <w:sz w:val="20"/>
          <w:lang w:val="fr-CA"/>
        </w:rPr>
        <w:t>Gascon</w:t>
      </w:r>
      <w:r w:rsidRPr="00FE6980">
        <w:rPr>
          <w:sz w:val="20"/>
          <w:lang w:val="fr-CA"/>
        </w:rPr>
        <w:t xml:space="preserve">: Contrairement à l’opinion exprimée par la majorité, l’avis de réserve est </w:t>
      </w:r>
      <w:r w:rsidRPr="00FE6980">
        <w:rPr>
          <w:i/>
          <w:sz w:val="20"/>
          <w:lang w:val="fr-CA"/>
        </w:rPr>
        <w:t>intra vires</w:t>
      </w:r>
      <w:r w:rsidRPr="00FE6980">
        <w:rPr>
          <w:sz w:val="20"/>
          <w:lang w:val="fr-CA"/>
        </w:rPr>
        <w:t xml:space="preserve"> des pouvoirs de Châteauguay et le pourvoi doit se résoudre non pas en vertu de la doctrine du caractère véritable, mais en appliquant la doctrine de l’exclusivité des compétences. </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NormalDoubleSpacing"/>
        <w:spacing w:line="240" w:lineRule="auto"/>
        <w:rPr>
          <w:i/>
          <w:sz w:val="20"/>
          <w:lang w:val="fr-CA"/>
        </w:rPr>
      </w:pPr>
      <w:r w:rsidRPr="00FE6980">
        <w:rPr>
          <w:sz w:val="20"/>
          <w:lang w:val="fr-CA"/>
        </w:rPr>
        <w:tab/>
        <w:t>Déterminer le caractère véritable d’une mesure législative demeure un délicat exercice de jugement qui commande d’évaluer et d’apprécier la mesure contestée dans son ensemble, en soupesant toutes ses facettes. Sans préconiser une démarche trop générale qui rendrait l’analyse du caractère véritable superficielle, l’identification de la matière sur laquelle porte la mesure requiert l’adoption d’une approche souple, adaptée à la conception moderne du fédéralisme qui permet certains chevauchements et favorise un esprit de coopération. Il est donc nécessaire de tenir compte du contexte de l’adoption de la résolution autorisant l’avis de réserve et de l’objet de l’imposition de l’avis en gardant à l’esprit la présomption relative à la validité d’une mesure provinciale ou municipale. Le contexte factuel appuie l’existence d’une autre perspective normative qui relève de la compétence provinciale. L’historique et le préambule de la résolution municipale font ressortir que Châteauguay ne s’est pas opposée à la présence d’une tour sur le 411 St</w:t>
      </w:r>
      <w:r w:rsidRPr="00FE6980">
        <w:rPr>
          <w:sz w:val="20"/>
          <w:lang w:val="fr-CA"/>
        </w:rPr>
        <w:noBreakHyphen/>
        <w:t>Francis simplement pour contrôler l’emplacement d’un système de radiocommunication, mais pour répondre aux préoccupations de ses résidents quant à leur santé et leur bien</w:t>
      </w:r>
      <w:r w:rsidRPr="00FE6980">
        <w:rPr>
          <w:sz w:val="20"/>
          <w:lang w:val="fr-CA"/>
        </w:rPr>
        <w:noBreakHyphen/>
        <w:t xml:space="preserve">être. Ces matières correspondent à une fin municipale valide et entrent dans les champs de compétence provinciaux des par. 92(13) et 92(16) de la </w:t>
      </w:r>
      <w:r w:rsidRPr="00FE6980">
        <w:rPr>
          <w:i/>
          <w:sz w:val="20"/>
          <w:lang w:val="fr-CA"/>
        </w:rPr>
        <w:t xml:space="preserve">Loi constitutionnelle de 1867. </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NormalDoubleSpacing"/>
        <w:spacing w:line="240" w:lineRule="auto"/>
        <w:rPr>
          <w:sz w:val="20"/>
          <w:lang w:val="fr-CA"/>
        </w:rPr>
      </w:pPr>
      <w:r w:rsidRPr="00FE6980">
        <w:rPr>
          <w:sz w:val="20"/>
          <w:lang w:val="fr-CA"/>
        </w:rPr>
        <w:tab/>
        <w:t>Quant aux effets de l’avis de réserve, il faut distinguer son effet juridique de son effet pratique. Bien qu’en pratique, l’effet de l’avis se traduit par une interdiction pour Rogers de bâtir sa tour de radiocommunication sur le terrain situé au 411 St</w:t>
      </w:r>
      <w:r w:rsidRPr="00FE6980">
        <w:rPr>
          <w:sz w:val="20"/>
          <w:lang w:val="fr-CA"/>
        </w:rPr>
        <w:noBreakHyphen/>
        <w:t>Francis, son effet juridique ouvre la porte à un exercice par Châteauguay de ses pouvoirs d’expropriation, ce qui relève de sa compétence de réglementer l’aménagement de son territoire selon ses besoins et priorités. Cette vision plus nuancée des effets de l’avis s’inscrit dans une conception plus souple de la doctrine du caractère véritable qui concorde mieux avec les principes directeurs énoncés et qui favorise une conception plus juste de la matière réellement visée par l’avis.</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NormalDoubleSpacing"/>
        <w:spacing w:line="240" w:lineRule="auto"/>
        <w:rPr>
          <w:sz w:val="20"/>
          <w:lang w:val="fr-CA"/>
        </w:rPr>
      </w:pPr>
      <w:r w:rsidRPr="00FE6980">
        <w:rPr>
          <w:sz w:val="20"/>
          <w:lang w:val="fr-CA"/>
        </w:rPr>
        <w:tab/>
        <w:t>Les effets d’une mesure municipale doivent être considérés en conjonction avec son objet. Le simple fait que la mesure municipale affecte un champ de compétence fédérale ne dit pas pourquoi le geste est entrepris. Or, la preuve retenue cerne bien cette motivation qui, du reste, apparaît dominante par rapport aux effets de la mesure. Ainsi, lorsque l’objet et les effets de la résolution sont considérés dans leur ensemble dans une analyse globale du caractère véritable, le but recherché et obtenu par l’imposition de la réserve foncière reste l’aménagement harmonieux du territoire de Châteauguay, l’apaisement des inquiétudes de ses résidents et la protection de leur santé et de leur bien</w:t>
      </w:r>
      <w:r w:rsidRPr="00FE6980">
        <w:rPr>
          <w:sz w:val="20"/>
          <w:lang w:val="fr-CA"/>
        </w:rPr>
        <w:noBreakHyphen/>
        <w:t>être, malgré l’existence d’un effet certain sur l’emplacement de la tour de radiocommunication de Rogers. L’adoption d’une approche semblable permet de favoriser la validité des gestes des deux ordres de gouvernements et de promouvoir des principes clés sous</w:t>
      </w:r>
      <w:r w:rsidRPr="00FE6980">
        <w:rPr>
          <w:sz w:val="20"/>
          <w:lang w:val="fr-CA"/>
        </w:rPr>
        <w:noBreakHyphen/>
        <w:t xml:space="preserve">tendant le partage des compétences, </w:t>
      </w:r>
      <w:proofErr w:type="gramStart"/>
      <w:r w:rsidRPr="00FE6980">
        <w:rPr>
          <w:sz w:val="20"/>
          <w:lang w:val="fr-CA"/>
        </w:rPr>
        <w:t>tels la subsidiarité</w:t>
      </w:r>
      <w:proofErr w:type="gramEnd"/>
      <w:r w:rsidRPr="00FE6980">
        <w:rPr>
          <w:sz w:val="20"/>
          <w:lang w:val="fr-CA"/>
        </w:rPr>
        <w:t xml:space="preserve"> et le fédéralisme coopératif.</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NormalDoubleSpacing"/>
        <w:spacing w:line="240" w:lineRule="auto"/>
        <w:rPr>
          <w:sz w:val="20"/>
          <w:lang w:val="fr-CA"/>
        </w:rPr>
      </w:pPr>
      <w:r w:rsidRPr="00FE6980">
        <w:rPr>
          <w:sz w:val="20"/>
          <w:lang w:val="fr-CA"/>
        </w:rPr>
        <w:tab/>
        <w:t xml:space="preserve">En appliquant la doctrine de l’exclusivité des compétences, l’avis de réserve entrave néanmoins le cœur de la compétence fédérale sur les radiocommunications. Le choix ou la détermination de l’emplacement des systèmes d’antennes se situe au cœur de cette compétence. En faisant échec à l’emplacement déterminé selon le mécanisme prévu à la </w:t>
      </w:r>
      <w:r w:rsidRPr="00FE6980">
        <w:rPr>
          <w:i/>
          <w:sz w:val="20"/>
          <w:lang w:val="fr-CA"/>
        </w:rPr>
        <w:t>Loi sur la radiocommunication</w:t>
      </w:r>
      <w:r w:rsidRPr="00FE6980">
        <w:rPr>
          <w:sz w:val="20"/>
          <w:lang w:val="fr-CA"/>
        </w:rPr>
        <w:t xml:space="preserve"> et à la circulaire </w:t>
      </w:r>
      <w:r w:rsidRPr="00FE6980">
        <w:rPr>
          <w:i/>
          <w:sz w:val="20"/>
          <w:lang w:val="fr-CA"/>
        </w:rPr>
        <w:t>CPC</w:t>
      </w:r>
      <w:r w:rsidRPr="00FE6980">
        <w:rPr>
          <w:i/>
          <w:sz w:val="20"/>
          <w:lang w:val="fr-CA"/>
        </w:rPr>
        <w:noBreakHyphen/>
        <w:t>2</w:t>
      </w:r>
      <w:r w:rsidRPr="00FE6980">
        <w:rPr>
          <w:i/>
          <w:sz w:val="20"/>
          <w:lang w:val="fr-CA"/>
        </w:rPr>
        <w:noBreakHyphen/>
        <w:t>0</w:t>
      </w:r>
      <w:r w:rsidRPr="00FE6980">
        <w:rPr>
          <w:i/>
          <w:sz w:val="20"/>
          <w:lang w:val="fr-CA"/>
        </w:rPr>
        <w:noBreakHyphen/>
        <w:t>03 ─ Systèmes d’antennes de radiocommunications et de radiodiffusion</w:t>
      </w:r>
      <w:r w:rsidRPr="00FE6980">
        <w:rPr>
          <w:sz w:val="20"/>
          <w:lang w:val="fr-CA"/>
        </w:rPr>
        <w:t>, l’avis de réserve empiète de façon importante sur un élément du contenu vital et essentiel de la compétence.</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NormalDoubleSpacing"/>
        <w:spacing w:line="240" w:lineRule="auto"/>
        <w:rPr>
          <w:sz w:val="20"/>
          <w:lang w:val="fr-CA"/>
        </w:rPr>
      </w:pPr>
      <w:r w:rsidRPr="00FE6980">
        <w:rPr>
          <w:sz w:val="20"/>
          <w:lang w:val="fr-CA"/>
        </w:rPr>
        <w:tab/>
        <w:t xml:space="preserve">POURVOI contre un arrêt de la Cour d’appel du Québec (les juges Morissette, </w:t>
      </w:r>
      <w:proofErr w:type="spellStart"/>
      <w:r w:rsidRPr="00FE6980">
        <w:rPr>
          <w:sz w:val="20"/>
          <w:lang w:val="fr-CA"/>
        </w:rPr>
        <w:t>Dutil</w:t>
      </w:r>
      <w:proofErr w:type="spellEnd"/>
      <w:r w:rsidRPr="00FE6980">
        <w:rPr>
          <w:sz w:val="20"/>
          <w:lang w:val="fr-CA"/>
        </w:rPr>
        <w:t xml:space="preserve"> et Léger), 2014 QCCA 1121, 113 L.C.R. 233, [2014] AZ</w:t>
      </w:r>
      <w:r w:rsidRPr="00FE6980">
        <w:rPr>
          <w:sz w:val="20"/>
          <w:lang w:val="fr-CA"/>
        </w:rPr>
        <w:noBreakHyphen/>
        <w:t>51078720, [2014] J.Q. n</w:t>
      </w:r>
      <w:r w:rsidRPr="00FE6980">
        <w:rPr>
          <w:sz w:val="20"/>
          <w:vertAlign w:val="superscript"/>
          <w:lang w:val="fr-CA"/>
        </w:rPr>
        <w:t>o</w:t>
      </w:r>
      <w:r w:rsidRPr="00FE6980">
        <w:rPr>
          <w:sz w:val="20"/>
          <w:lang w:val="fr-CA"/>
        </w:rPr>
        <w:t xml:space="preserve"> 5163 (QL), 2014 </w:t>
      </w:r>
      <w:proofErr w:type="spellStart"/>
      <w:r w:rsidRPr="00FE6980">
        <w:rPr>
          <w:sz w:val="20"/>
          <w:lang w:val="fr-CA"/>
        </w:rPr>
        <w:t>CarswellQue</w:t>
      </w:r>
      <w:proofErr w:type="spellEnd"/>
      <w:r w:rsidRPr="00FE6980">
        <w:rPr>
          <w:sz w:val="20"/>
          <w:lang w:val="fr-CA"/>
        </w:rPr>
        <w:t xml:space="preserve"> 5123 (WL Can.), qui a infirmé en partie une décision de la juge Perrault, 2013 QCCS 3138, [2013] R.J.Q. 1177, 110 L.C.R. 81, [2013] AZ</w:t>
      </w:r>
      <w:r w:rsidRPr="00FE6980">
        <w:rPr>
          <w:sz w:val="20"/>
          <w:lang w:val="fr-CA"/>
        </w:rPr>
        <w:noBreakHyphen/>
        <w:t>50985779, [2013] J.Q. n</w:t>
      </w:r>
      <w:r w:rsidRPr="00FE6980">
        <w:rPr>
          <w:sz w:val="20"/>
          <w:vertAlign w:val="superscript"/>
          <w:lang w:val="fr-CA"/>
        </w:rPr>
        <w:t>o</w:t>
      </w:r>
      <w:r w:rsidRPr="00FE6980">
        <w:rPr>
          <w:sz w:val="20"/>
          <w:lang w:val="fr-CA"/>
        </w:rPr>
        <w:t xml:space="preserve"> 7419 (QL), 2013 </w:t>
      </w:r>
      <w:proofErr w:type="spellStart"/>
      <w:r w:rsidRPr="00FE6980">
        <w:rPr>
          <w:sz w:val="20"/>
          <w:lang w:val="fr-CA"/>
        </w:rPr>
        <w:t>CarswellQue</w:t>
      </w:r>
      <w:proofErr w:type="spellEnd"/>
      <w:r w:rsidRPr="00FE6980">
        <w:rPr>
          <w:sz w:val="20"/>
          <w:lang w:val="fr-CA"/>
        </w:rPr>
        <w:t xml:space="preserve"> 7250 (WL Can.). Pourvoi accueilli.</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NormalDoubleSpacing"/>
        <w:spacing w:line="240" w:lineRule="auto"/>
        <w:rPr>
          <w:rStyle w:val="SCCCounselPartyRoleChar"/>
          <w:sz w:val="20"/>
          <w:lang w:val="fr-CA"/>
        </w:rPr>
      </w:pPr>
      <w:r w:rsidRPr="00FE6980">
        <w:rPr>
          <w:rStyle w:val="SCCCounselNameChar"/>
          <w:sz w:val="20"/>
          <w:lang w:val="fr-CA"/>
        </w:rPr>
        <w:tab/>
        <w:t xml:space="preserve">John B. </w:t>
      </w:r>
      <w:proofErr w:type="spellStart"/>
      <w:r w:rsidRPr="00FE6980">
        <w:rPr>
          <w:rStyle w:val="SCCCounselNameChar"/>
          <w:sz w:val="20"/>
          <w:lang w:val="fr-CA"/>
        </w:rPr>
        <w:t>Laskin</w:t>
      </w:r>
      <w:proofErr w:type="spellEnd"/>
      <w:r w:rsidRPr="00FE6980">
        <w:rPr>
          <w:rStyle w:val="SCCCounselNameChar"/>
          <w:sz w:val="20"/>
          <w:lang w:val="fr-CA"/>
        </w:rPr>
        <w:t>,</w:t>
      </w:r>
      <w:r w:rsidRPr="00FE6980">
        <w:rPr>
          <w:rStyle w:val="SCCCounselSeparatorChar"/>
          <w:sz w:val="20"/>
        </w:rPr>
        <w:t xml:space="preserve"> </w:t>
      </w:r>
      <w:r w:rsidRPr="00FE6980">
        <w:rPr>
          <w:rStyle w:val="SCCCounselNameChar"/>
          <w:sz w:val="20"/>
          <w:lang w:val="fr-CA"/>
        </w:rPr>
        <w:t>Nicholas Kennedy, Pierre Y. Lefebvre</w:t>
      </w:r>
      <w:r w:rsidRPr="00FE6980">
        <w:rPr>
          <w:rStyle w:val="SCCCounselSeparatorChar"/>
          <w:sz w:val="20"/>
        </w:rPr>
        <w:t xml:space="preserve"> et</w:t>
      </w:r>
      <w:r w:rsidRPr="00FE6980">
        <w:rPr>
          <w:rStyle w:val="SCCCounselNameChar"/>
          <w:sz w:val="20"/>
          <w:lang w:val="fr-CA"/>
        </w:rPr>
        <w:t xml:space="preserve"> Vincent Cérat </w:t>
      </w:r>
      <w:proofErr w:type="spellStart"/>
      <w:r w:rsidRPr="00FE6980">
        <w:rPr>
          <w:rStyle w:val="SCCCounselNameChar"/>
          <w:sz w:val="20"/>
          <w:lang w:val="fr-CA"/>
        </w:rPr>
        <w:t>Lagana</w:t>
      </w:r>
      <w:proofErr w:type="spellEnd"/>
      <w:r w:rsidRPr="00FE6980">
        <w:rPr>
          <w:rStyle w:val="SCCCounselPartyRoleChar"/>
          <w:sz w:val="20"/>
          <w:lang w:val="fr-CA"/>
        </w:rPr>
        <w:t>, pour l’appelante.</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NormalDoubleSpacing"/>
        <w:spacing w:line="240" w:lineRule="auto"/>
        <w:rPr>
          <w:rStyle w:val="SCCCounselPartyRoleChar"/>
          <w:sz w:val="20"/>
          <w:lang w:val="fr-CA"/>
        </w:rPr>
      </w:pPr>
      <w:r w:rsidRPr="00FE6980">
        <w:rPr>
          <w:rStyle w:val="SCCCounselNameChar"/>
          <w:sz w:val="20"/>
          <w:lang w:val="fr-CA"/>
        </w:rPr>
        <w:tab/>
        <w:t>Patrice Gladu</w:t>
      </w:r>
      <w:r w:rsidRPr="00FE6980">
        <w:rPr>
          <w:rStyle w:val="SCCCounselSeparatorChar"/>
          <w:sz w:val="20"/>
        </w:rPr>
        <w:t xml:space="preserve"> et </w:t>
      </w:r>
      <w:r w:rsidRPr="00FE6980">
        <w:rPr>
          <w:rStyle w:val="SCCCounselNameChar"/>
          <w:sz w:val="20"/>
          <w:lang w:val="fr-CA"/>
        </w:rPr>
        <w:t xml:space="preserve">Sébastien </w:t>
      </w:r>
      <w:proofErr w:type="spellStart"/>
      <w:r w:rsidRPr="00FE6980">
        <w:rPr>
          <w:rStyle w:val="SCCCounselNameChar"/>
          <w:sz w:val="20"/>
          <w:lang w:val="fr-CA"/>
        </w:rPr>
        <w:t>Dorion</w:t>
      </w:r>
      <w:proofErr w:type="spellEnd"/>
      <w:r w:rsidRPr="00FE6980">
        <w:rPr>
          <w:rStyle w:val="SCCCounselPartyRoleChar"/>
          <w:sz w:val="20"/>
          <w:lang w:val="fr-CA"/>
        </w:rPr>
        <w:t>, pour l’intimée la Ville de Châteauguay.</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NormalDoubleSpacing"/>
        <w:spacing w:line="240" w:lineRule="auto"/>
        <w:rPr>
          <w:rStyle w:val="SCCCounselPartyRoleChar"/>
          <w:sz w:val="20"/>
          <w:lang w:val="fr-CA"/>
        </w:rPr>
      </w:pPr>
      <w:r w:rsidRPr="00FE6980">
        <w:rPr>
          <w:rStyle w:val="SCCCounselNameChar"/>
          <w:sz w:val="20"/>
          <w:lang w:val="fr-CA"/>
        </w:rPr>
        <w:tab/>
        <w:t>Benoît Belleau</w:t>
      </w:r>
      <w:r w:rsidRPr="00FE6980">
        <w:rPr>
          <w:rStyle w:val="SCCCounselSeparatorChar"/>
          <w:sz w:val="20"/>
        </w:rPr>
        <w:t xml:space="preserve">, </w:t>
      </w:r>
      <w:r w:rsidRPr="00FE6980">
        <w:rPr>
          <w:rStyle w:val="SCCCounselNameChar"/>
          <w:sz w:val="20"/>
          <w:lang w:val="fr-CA"/>
        </w:rPr>
        <w:t xml:space="preserve">Simon Larose </w:t>
      </w:r>
      <w:r w:rsidRPr="00FE6980">
        <w:rPr>
          <w:rStyle w:val="SCCCounselSeparatorChar"/>
          <w:sz w:val="20"/>
        </w:rPr>
        <w:t>et</w:t>
      </w:r>
      <w:r w:rsidRPr="00FE6980">
        <w:rPr>
          <w:rStyle w:val="SCCCounselNameChar"/>
          <w:sz w:val="20"/>
          <w:lang w:val="fr-CA"/>
        </w:rPr>
        <w:t xml:space="preserve"> Hugo Jean</w:t>
      </w:r>
      <w:r w:rsidRPr="00FE6980">
        <w:rPr>
          <w:rStyle w:val="SCCCounselPartyRoleChar"/>
          <w:sz w:val="20"/>
          <w:lang w:val="fr-CA"/>
        </w:rPr>
        <w:t>, pour l’intimée la procureure générale du Québec.</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NormalDoubleSpacing"/>
        <w:spacing w:line="240" w:lineRule="auto"/>
        <w:rPr>
          <w:rStyle w:val="SCCCounselPartyRoleChar"/>
          <w:sz w:val="20"/>
          <w:lang w:val="fr-CA"/>
        </w:rPr>
      </w:pPr>
      <w:r w:rsidRPr="00FE6980">
        <w:rPr>
          <w:rStyle w:val="SCCCounselNameChar"/>
          <w:sz w:val="20"/>
          <w:lang w:val="fr-CA"/>
        </w:rPr>
        <w:tab/>
        <w:t xml:space="preserve">Pierre </w:t>
      </w:r>
      <w:proofErr w:type="spellStart"/>
      <w:r w:rsidRPr="00FE6980">
        <w:rPr>
          <w:rStyle w:val="SCCCounselNameChar"/>
          <w:sz w:val="20"/>
          <w:lang w:val="fr-CA"/>
        </w:rPr>
        <w:t>Salois</w:t>
      </w:r>
      <w:proofErr w:type="spellEnd"/>
      <w:r w:rsidRPr="00FE6980">
        <w:rPr>
          <w:rStyle w:val="SCCCounselSeparatorChar"/>
          <w:sz w:val="20"/>
        </w:rPr>
        <w:t xml:space="preserve"> et </w:t>
      </w:r>
      <w:r w:rsidRPr="00FE6980">
        <w:rPr>
          <w:rStyle w:val="SCCCounselNameChar"/>
          <w:sz w:val="20"/>
          <w:lang w:val="fr-CA"/>
        </w:rPr>
        <w:t xml:space="preserve">François </w:t>
      </w:r>
      <w:proofErr w:type="spellStart"/>
      <w:r w:rsidRPr="00FE6980">
        <w:rPr>
          <w:rStyle w:val="SCCCounselNameChar"/>
          <w:sz w:val="20"/>
          <w:lang w:val="fr-CA"/>
        </w:rPr>
        <w:t>Joyal</w:t>
      </w:r>
      <w:proofErr w:type="spellEnd"/>
      <w:r w:rsidRPr="00FE6980">
        <w:rPr>
          <w:rStyle w:val="SCCCounselPartyRoleChar"/>
          <w:sz w:val="20"/>
          <w:lang w:val="fr-CA"/>
        </w:rPr>
        <w:t>, pour l’intervenant le procureur général du Canada.</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NormalDoubleSpacing"/>
        <w:spacing w:line="240" w:lineRule="auto"/>
        <w:rPr>
          <w:rStyle w:val="SCCCounselPartyRoleChar"/>
          <w:sz w:val="20"/>
          <w:lang w:val="fr-CA"/>
        </w:rPr>
      </w:pPr>
      <w:r w:rsidRPr="00FE6980">
        <w:rPr>
          <w:rStyle w:val="SCCCounselNameChar"/>
          <w:sz w:val="20"/>
          <w:lang w:val="fr-CA"/>
        </w:rPr>
        <w:tab/>
        <w:t xml:space="preserve">Personne n’a comparu pour </w:t>
      </w:r>
      <w:r w:rsidRPr="00FE6980">
        <w:rPr>
          <w:rStyle w:val="SCCCounselPartyRoleChar"/>
          <w:sz w:val="20"/>
          <w:lang w:val="fr-CA"/>
        </w:rPr>
        <w:t>l’intervenante Christina White.</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NormalDoubleSpacing"/>
        <w:spacing w:line="240" w:lineRule="auto"/>
        <w:rPr>
          <w:rStyle w:val="SCCCounselPartyRoleChar"/>
          <w:sz w:val="20"/>
          <w:lang w:val="fr-CA"/>
        </w:rPr>
      </w:pPr>
      <w:r w:rsidRPr="00FE6980">
        <w:rPr>
          <w:rStyle w:val="SCCCounselNameChar"/>
          <w:sz w:val="20"/>
          <w:lang w:val="fr-CA"/>
        </w:rPr>
        <w:tab/>
        <w:t xml:space="preserve">Stéphane </w:t>
      </w:r>
      <w:proofErr w:type="spellStart"/>
      <w:r w:rsidRPr="00FE6980">
        <w:rPr>
          <w:rStyle w:val="SCCCounselNameChar"/>
          <w:sz w:val="20"/>
          <w:lang w:val="fr-CA"/>
        </w:rPr>
        <w:t>Émard</w:t>
      </w:r>
      <w:proofErr w:type="spellEnd"/>
      <w:r w:rsidRPr="00FE6980">
        <w:rPr>
          <w:rStyle w:val="SCCCounselNameChar"/>
          <w:sz w:val="20"/>
          <w:lang w:val="fr-CA"/>
        </w:rPr>
        <w:noBreakHyphen/>
        <w:t>Chabot</w:t>
      </w:r>
      <w:r w:rsidRPr="00FE6980">
        <w:rPr>
          <w:rStyle w:val="SCCCounselPartyRoleChar"/>
          <w:sz w:val="20"/>
          <w:lang w:val="fr-CA"/>
        </w:rPr>
        <w:t xml:space="preserve">, pour l’intervenante la </w:t>
      </w:r>
      <w:r w:rsidRPr="00FE6980">
        <w:rPr>
          <w:sz w:val="20"/>
          <w:lang w:val="fr-CA"/>
        </w:rPr>
        <w:t>Fédération canadienne des municipalités</w:t>
      </w:r>
      <w:r w:rsidRPr="00FE6980">
        <w:rPr>
          <w:rStyle w:val="SCCCounselPartyRoleChar"/>
          <w:sz w:val="20"/>
          <w:lang w:val="fr-CA"/>
        </w:rPr>
        <w:t>.</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NormalDoubleSpacing"/>
        <w:spacing w:line="240" w:lineRule="auto"/>
        <w:rPr>
          <w:rStyle w:val="SCCCounselPartyRoleChar"/>
          <w:sz w:val="20"/>
          <w:lang w:val="fr-CA"/>
        </w:rPr>
      </w:pPr>
      <w:r w:rsidRPr="00FE6980">
        <w:rPr>
          <w:rStyle w:val="SCCCounselNameChar"/>
          <w:sz w:val="20"/>
          <w:lang w:val="fr-CA"/>
        </w:rPr>
        <w:tab/>
      </w:r>
      <w:proofErr w:type="spellStart"/>
      <w:r w:rsidRPr="00FE6980">
        <w:rPr>
          <w:rStyle w:val="SCCCounselNameChar"/>
          <w:sz w:val="20"/>
          <w:lang w:val="fr-CA"/>
        </w:rPr>
        <w:t>Darrel</w:t>
      </w:r>
      <w:proofErr w:type="spellEnd"/>
      <w:r w:rsidRPr="00FE6980">
        <w:rPr>
          <w:rStyle w:val="SCCCounselNameChar"/>
          <w:sz w:val="20"/>
          <w:lang w:val="fr-CA"/>
        </w:rPr>
        <w:t> A. Smith</w:t>
      </w:r>
      <w:r w:rsidRPr="00FE6980">
        <w:rPr>
          <w:rStyle w:val="SCCCounselSeparatorChar"/>
          <w:sz w:val="20"/>
        </w:rPr>
        <w:t xml:space="preserve"> et </w:t>
      </w:r>
      <w:r w:rsidRPr="00FE6980">
        <w:rPr>
          <w:rStyle w:val="SCCCounselSeparatorChar"/>
          <w:i/>
          <w:sz w:val="20"/>
        </w:rPr>
        <w:t xml:space="preserve">Jared </w:t>
      </w:r>
      <w:proofErr w:type="spellStart"/>
      <w:r w:rsidRPr="00FE6980">
        <w:rPr>
          <w:rStyle w:val="SCCCounselSeparatorChar"/>
          <w:i/>
          <w:sz w:val="20"/>
        </w:rPr>
        <w:t>Wehrle</w:t>
      </w:r>
      <w:proofErr w:type="spellEnd"/>
      <w:r w:rsidRPr="00FE6980">
        <w:rPr>
          <w:rStyle w:val="SCCCounselPartyRoleChar"/>
          <w:sz w:val="20"/>
          <w:lang w:val="fr-CA"/>
        </w:rPr>
        <w:t>, pour l’intervenante la Ville de Toronto.</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NormalDoubleSpacing"/>
        <w:spacing w:line="240" w:lineRule="auto"/>
        <w:rPr>
          <w:rStyle w:val="SCCCounselPartyRoleChar"/>
          <w:sz w:val="20"/>
          <w:lang w:val="fr-CA"/>
        </w:rPr>
      </w:pPr>
      <w:r w:rsidRPr="00FE6980">
        <w:rPr>
          <w:rStyle w:val="SCCCounselNameChar"/>
          <w:sz w:val="20"/>
          <w:lang w:val="fr-CA"/>
        </w:rPr>
        <w:tab/>
        <w:t xml:space="preserve">Mathieu </w:t>
      </w:r>
      <w:proofErr w:type="spellStart"/>
      <w:r w:rsidRPr="00FE6980">
        <w:rPr>
          <w:rStyle w:val="SCCCounselNameChar"/>
          <w:sz w:val="20"/>
          <w:lang w:val="fr-CA"/>
        </w:rPr>
        <w:t>Quenneville</w:t>
      </w:r>
      <w:proofErr w:type="spellEnd"/>
      <w:r w:rsidRPr="00FE6980">
        <w:rPr>
          <w:rStyle w:val="SCCCounselSeparatorChar"/>
          <w:sz w:val="20"/>
        </w:rPr>
        <w:t xml:space="preserve">, </w:t>
      </w:r>
      <w:r w:rsidRPr="00FE6980">
        <w:rPr>
          <w:rStyle w:val="SCCCounselNameChar"/>
          <w:sz w:val="20"/>
          <w:lang w:val="fr-CA"/>
        </w:rPr>
        <w:t>Stephen Schmidt, Valérie Beaudin</w:t>
      </w:r>
      <w:r w:rsidRPr="00FE6980">
        <w:rPr>
          <w:rStyle w:val="SCCCounselSeparatorChar"/>
          <w:sz w:val="20"/>
        </w:rPr>
        <w:t xml:space="preserve"> et </w:t>
      </w:r>
      <w:proofErr w:type="spellStart"/>
      <w:r w:rsidRPr="00FE6980">
        <w:rPr>
          <w:rStyle w:val="SCCCounselNameChar"/>
          <w:sz w:val="20"/>
          <w:lang w:val="fr-CA"/>
        </w:rPr>
        <w:t>Roudine</w:t>
      </w:r>
      <w:proofErr w:type="spellEnd"/>
      <w:r w:rsidRPr="00FE6980">
        <w:rPr>
          <w:rStyle w:val="SCCCounselNameChar"/>
          <w:sz w:val="20"/>
          <w:lang w:val="fr-CA"/>
        </w:rPr>
        <w:t xml:space="preserve"> </w:t>
      </w:r>
      <w:proofErr w:type="spellStart"/>
      <w:r w:rsidRPr="00FE6980">
        <w:rPr>
          <w:rStyle w:val="SCCCounselNameChar"/>
          <w:sz w:val="20"/>
          <w:lang w:val="fr-CA"/>
        </w:rPr>
        <w:t>Ishak</w:t>
      </w:r>
      <w:proofErr w:type="spellEnd"/>
      <w:r w:rsidRPr="00FE6980">
        <w:rPr>
          <w:rStyle w:val="SCCCounselPartyRoleChar"/>
          <w:sz w:val="20"/>
          <w:lang w:val="fr-CA"/>
        </w:rPr>
        <w:t xml:space="preserve">, pour les intervenantes Bell Mobilité Inc., TELUS Communications Inc. et Vidéotron </w:t>
      </w:r>
      <w:proofErr w:type="spellStart"/>
      <w:r w:rsidRPr="00FE6980">
        <w:rPr>
          <w:rStyle w:val="SCCCounselPartyRoleChar"/>
          <w:sz w:val="20"/>
          <w:lang w:val="fr-CA"/>
        </w:rPr>
        <w:t>s.e.n.c</w:t>
      </w:r>
      <w:proofErr w:type="spellEnd"/>
      <w:r w:rsidRPr="00FE6980">
        <w:rPr>
          <w:rStyle w:val="SCCCounselPartyRoleChar"/>
          <w:sz w:val="20"/>
          <w:lang w:val="fr-CA"/>
        </w:rPr>
        <w:t>.</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NormalDoubleSpacing"/>
        <w:spacing w:line="240" w:lineRule="auto"/>
        <w:rPr>
          <w:rStyle w:val="SCCCounselPartyRoleChar"/>
          <w:sz w:val="20"/>
          <w:lang w:val="fr-CA"/>
        </w:rPr>
      </w:pPr>
      <w:r w:rsidRPr="00FE6980">
        <w:rPr>
          <w:rStyle w:val="SCCCounselNameChar"/>
          <w:sz w:val="20"/>
          <w:lang w:val="fr-CA"/>
        </w:rPr>
        <w:tab/>
        <w:t>Marc</w:t>
      </w:r>
      <w:r w:rsidRPr="00FE6980">
        <w:rPr>
          <w:rStyle w:val="SCCCounselNameChar"/>
          <w:sz w:val="20"/>
          <w:lang w:val="fr-CA"/>
        </w:rPr>
        <w:noBreakHyphen/>
        <w:t xml:space="preserve">André </w:t>
      </w:r>
      <w:proofErr w:type="spellStart"/>
      <w:r w:rsidRPr="00FE6980">
        <w:rPr>
          <w:rStyle w:val="SCCCounselNameChar"/>
          <w:sz w:val="20"/>
          <w:lang w:val="fr-CA"/>
        </w:rPr>
        <w:t>LeChasseur</w:t>
      </w:r>
      <w:proofErr w:type="spellEnd"/>
      <w:r w:rsidRPr="00FE6980">
        <w:rPr>
          <w:rStyle w:val="SCCCounselPartyRoleChar"/>
          <w:sz w:val="20"/>
          <w:lang w:val="fr-CA"/>
        </w:rPr>
        <w:t>, pour l’intervenante l’Union des municipalités du Québec.</w:t>
      </w:r>
    </w:p>
    <w:p w:rsidR="00B354FE" w:rsidRPr="00FE6980" w:rsidRDefault="00B354FE" w:rsidP="00B354FE">
      <w:pPr>
        <w:pStyle w:val="SCCNormalDoubleSpacing"/>
        <w:spacing w:line="240" w:lineRule="auto"/>
        <w:rPr>
          <w:sz w:val="20"/>
          <w:lang w:val="fr-CA"/>
        </w:rPr>
      </w:pPr>
    </w:p>
    <w:p w:rsidR="00B354FE" w:rsidRPr="00FE6980" w:rsidRDefault="00B354FE" w:rsidP="00B354FE">
      <w:pPr>
        <w:pStyle w:val="SCCLawFirm"/>
        <w:spacing w:line="240" w:lineRule="auto"/>
        <w:rPr>
          <w:sz w:val="20"/>
          <w:lang w:val="fr-CA"/>
        </w:rPr>
      </w:pPr>
      <w:r w:rsidRPr="00FE6980">
        <w:rPr>
          <w:sz w:val="20"/>
          <w:lang w:val="fr-CA"/>
        </w:rPr>
        <w:tab/>
        <w:t xml:space="preserve">Procureurs de l’appelante : Torys, Toronto; </w:t>
      </w:r>
      <w:proofErr w:type="spellStart"/>
      <w:r w:rsidRPr="00FE6980">
        <w:rPr>
          <w:sz w:val="20"/>
          <w:lang w:val="fr-CA"/>
        </w:rPr>
        <w:t>Fasken</w:t>
      </w:r>
      <w:proofErr w:type="spellEnd"/>
      <w:r w:rsidRPr="00FE6980">
        <w:rPr>
          <w:sz w:val="20"/>
          <w:lang w:val="fr-CA"/>
        </w:rPr>
        <w:t xml:space="preserve"> Martineau </w:t>
      </w:r>
      <w:proofErr w:type="spellStart"/>
      <w:r w:rsidRPr="00FE6980">
        <w:rPr>
          <w:sz w:val="20"/>
          <w:lang w:val="fr-CA"/>
        </w:rPr>
        <w:t>DuMoulin</w:t>
      </w:r>
      <w:proofErr w:type="spellEnd"/>
      <w:r w:rsidRPr="00FE6980">
        <w:rPr>
          <w:sz w:val="20"/>
          <w:lang w:val="fr-CA"/>
        </w:rPr>
        <w:t>, Montréal.</w:t>
      </w:r>
    </w:p>
    <w:p w:rsidR="00B354FE" w:rsidRPr="00FE6980" w:rsidRDefault="00B354FE" w:rsidP="00B354FE">
      <w:pPr>
        <w:pStyle w:val="SCCNormalDoubleSpacing"/>
        <w:spacing w:line="240" w:lineRule="auto"/>
        <w:rPr>
          <w:lang w:val="fr-CA"/>
        </w:rPr>
      </w:pPr>
    </w:p>
    <w:p w:rsidR="00B354FE" w:rsidRPr="00FE6980" w:rsidRDefault="00B354FE" w:rsidP="00B354FE">
      <w:pPr>
        <w:pStyle w:val="SCCLawFirm"/>
        <w:spacing w:line="240" w:lineRule="auto"/>
        <w:rPr>
          <w:sz w:val="20"/>
          <w:lang w:val="fr-CA"/>
        </w:rPr>
      </w:pPr>
      <w:r w:rsidRPr="00FE6980">
        <w:rPr>
          <w:sz w:val="20"/>
          <w:lang w:val="fr-CA"/>
        </w:rPr>
        <w:tab/>
        <w:t xml:space="preserve">Procureurs de l’intimée </w:t>
      </w:r>
      <w:r w:rsidRPr="00FE6980">
        <w:rPr>
          <w:rStyle w:val="SCCCounselPartyRoleChar"/>
          <w:sz w:val="20"/>
          <w:lang w:val="fr-CA"/>
        </w:rPr>
        <w:t>la Ville de Châteauguay</w:t>
      </w:r>
      <w:r w:rsidRPr="00FE6980">
        <w:rPr>
          <w:sz w:val="20"/>
          <w:lang w:val="fr-CA"/>
        </w:rPr>
        <w:t> : </w:t>
      </w:r>
      <w:proofErr w:type="spellStart"/>
      <w:r w:rsidRPr="00FE6980">
        <w:rPr>
          <w:sz w:val="20"/>
          <w:lang w:val="fr-CA"/>
        </w:rPr>
        <w:t>Dunton</w:t>
      </w:r>
      <w:proofErr w:type="spellEnd"/>
      <w:r w:rsidRPr="00FE6980">
        <w:rPr>
          <w:sz w:val="20"/>
          <w:lang w:val="fr-CA"/>
        </w:rPr>
        <w:t xml:space="preserve"> </w:t>
      </w:r>
      <w:proofErr w:type="spellStart"/>
      <w:r w:rsidRPr="00FE6980">
        <w:rPr>
          <w:sz w:val="20"/>
          <w:lang w:val="fr-CA"/>
        </w:rPr>
        <w:t>Rainville</w:t>
      </w:r>
      <w:proofErr w:type="spellEnd"/>
      <w:r w:rsidRPr="00FE6980">
        <w:rPr>
          <w:sz w:val="20"/>
          <w:lang w:val="fr-CA"/>
        </w:rPr>
        <w:t>, Montréal.</w:t>
      </w:r>
    </w:p>
    <w:p w:rsidR="00B354FE" w:rsidRPr="00FE6980" w:rsidRDefault="00B354FE" w:rsidP="00B354FE">
      <w:pPr>
        <w:pStyle w:val="SCCNormalDoubleSpacing"/>
        <w:spacing w:line="240" w:lineRule="auto"/>
        <w:rPr>
          <w:lang w:val="fr-CA"/>
        </w:rPr>
      </w:pPr>
    </w:p>
    <w:p w:rsidR="00B354FE" w:rsidRPr="00FE6980" w:rsidRDefault="00B354FE" w:rsidP="00B354FE">
      <w:pPr>
        <w:pStyle w:val="SCCLawFirm"/>
        <w:spacing w:line="240" w:lineRule="auto"/>
        <w:rPr>
          <w:sz w:val="20"/>
          <w:lang w:val="fr-CA"/>
        </w:rPr>
      </w:pPr>
      <w:r w:rsidRPr="00FE6980">
        <w:rPr>
          <w:sz w:val="20"/>
          <w:lang w:val="fr-CA"/>
        </w:rPr>
        <w:tab/>
        <w:t xml:space="preserve">Procureurs de l’intimée </w:t>
      </w:r>
      <w:r w:rsidRPr="00FE6980">
        <w:rPr>
          <w:rStyle w:val="SCCCounselPartyRoleChar"/>
          <w:sz w:val="20"/>
          <w:lang w:val="fr-CA"/>
        </w:rPr>
        <w:t>la procureure générale du Québec</w:t>
      </w:r>
      <w:r w:rsidRPr="00FE6980">
        <w:rPr>
          <w:sz w:val="20"/>
          <w:lang w:val="fr-CA"/>
        </w:rPr>
        <w:t> : Bernard, Roy &amp; Associés, Montréal.</w:t>
      </w:r>
    </w:p>
    <w:p w:rsidR="00B354FE" w:rsidRPr="00FE6980" w:rsidRDefault="00B354FE" w:rsidP="00B354FE">
      <w:pPr>
        <w:pStyle w:val="SCCNormalDoubleSpacing"/>
        <w:spacing w:line="240" w:lineRule="auto"/>
        <w:rPr>
          <w:lang w:val="fr-CA"/>
        </w:rPr>
      </w:pPr>
    </w:p>
    <w:p w:rsidR="00B354FE" w:rsidRPr="00FE6980" w:rsidRDefault="00B354FE" w:rsidP="00B354FE">
      <w:pPr>
        <w:pStyle w:val="SCCLawFirm"/>
        <w:spacing w:line="240" w:lineRule="auto"/>
        <w:rPr>
          <w:sz w:val="20"/>
          <w:lang w:val="fr-CA"/>
        </w:rPr>
      </w:pPr>
      <w:r w:rsidRPr="00FE6980">
        <w:rPr>
          <w:sz w:val="20"/>
          <w:lang w:val="fr-CA"/>
        </w:rPr>
        <w:tab/>
        <w:t>Procureur de l’intervenant le procureur général du Canada : Procureur général du Canada, Montréal.</w:t>
      </w:r>
    </w:p>
    <w:p w:rsidR="00B354FE" w:rsidRPr="00FE6980" w:rsidRDefault="00B354FE" w:rsidP="00B354FE">
      <w:pPr>
        <w:pStyle w:val="SCCNormalDoubleSpacing"/>
        <w:spacing w:line="240" w:lineRule="auto"/>
        <w:rPr>
          <w:lang w:val="fr-CA"/>
        </w:rPr>
      </w:pPr>
    </w:p>
    <w:p w:rsidR="00B354FE" w:rsidRPr="00FE6980" w:rsidRDefault="00B354FE" w:rsidP="00B354FE">
      <w:pPr>
        <w:pStyle w:val="SCCLawFirm"/>
        <w:spacing w:line="240" w:lineRule="auto"/>
        <w:rPr>
          <w:sz w:val="20"/>
          <w:lang w:val="fr-CA"/>
        </w:rPr>
      </w:pPr>
      <w:r w:rsidRPr="00FE6980">
        <w:rPr>
          <w:sz w:val="20"/>
          <w:lang w:val="fr-CA"/>
        </w:rPr>
        <w:tab/>
        <w:t xml:space="preserve">Procureur de l’intervenante </w:t>
      </w:r>
      <w:r w:rsidRPr="00FE6980">
        <w:rPr>
          <w:rStyle w:val="SCCCounselPartyRoleChar"/>
          <w:sz w:val="20"/>
          <w:lang w:val="fr-CA"/>
        </w:rPr>
        <w:t xml:space="preserve">la </w:t>
      </w:r>
      <w:r w:rsidRPr="00FE6980">
        <w:rPr>
          <w:sz w:val="20"/>
          <w:lang w:val="fr-CA"/>
        </w:rPr>
        <w:t>Fédération canadienne des municipalités : Fédération canadienne des municipalités, Ottawa.</w:t>
      </w:r>
    </w:p>
    <w:p w:rsidR="00B354FE" w:rsidRPr="00FE6980" w:rsidRDefault="00B354FE" w:rsidP="00B354FE">
      <w:pPr>
        <w:pStyle w:val="SCCNormalDoubleSpacing"/>
        <w:spacing w:line="240" w:lineRule="auto"/>
        <w:rPr>
          <w:lang w:val="fr-CA"/>
        </w:rPr>
      </w:pPr>
    </w:p>
    <w:p w:rsidR="00B354FE" w:rsidRPr="00FE6980" w:rsidRDefault="00B354FE" w:rsidP="00B354FE">
      <w:pPr>
        <w:pStyle w:val="SCCLawFirm"/>
        <w:spacing w:line="240" w:lineRule="auto"/>
        <w:rPr>
          <w:sz w:val="20"/>
          <w:lang w:val="fr-CA"/>
        </w:rPr>
      </w:pPr>
      <w:r w:rsidRPr="00FE6980">
        <w:rPr>
          <w:sz w:val="20"/>
          <w:lang w:val="fr-CA"/>
        </w:rPr>
        <w:tab/>
        <w:t>Procureur de l’intervenante la Ville de Toronto : Ville de Toronto, Toronto.</w:t>
      </w:r>
    </w:p>
    <w:p w:rsidR="00B354FE" w:rsidRPr="00FE6980" w:rsidRDefault="00B354FE" w:rsidP="00B354FE">
      <w:pPr>
        <w:pStyle w:val="SCCNormalDoubleSpacing"/>
        <w:spacing w:line="240" w:lineRule="auto"/>
        <w:rPr>
          <w:lang w:val="fr-CA"/>
        </w:rPr>
      </w:pPr>
    </w:p>
    <w:p w:rsidR="00B354FE" w:rsidRPr="00FE6980" w:rsidRDefault="00B354FE" w:rsidP="00B354FE">
      <w:pPr>
        <w:pStyle w:val="SCCLawFirm"/>
        <w:spacing w:line="240" w:lineRule="auto"/>
        <w:rPr>
          <w:sz w:val="20"/>
          <w:lang w:val="fr-CA"/>
        </w:rPr>
      </w:pPr>
      <w:r w:rsidRPr="00FE6980">
        <w:rPr>
          <w:sz w:val="20"/>
          <w:lang w:val="fr-CA"/>
        </w:rPr>
        <w:tab/>
        <w:t xml:space="preserve">Procureurs des intervenantes Bell Mobilité Inc., TELUS Communications Inc. et Vidéotron </w:t>
      </w:r>
      <w:proofErr w:type="spellStart"/>
      <w:proofErr w:type="gramStart"/>
      <w:r w:rsidRPr="00FE6980">
        <w:rPr>
          <w:sz w:val="20"/>
          <w:lang w:val="fr-CA"/>
        </w:rPr>
        <w:t>s.e.n.c</w:t>
      </w:r>
      <w:proofErr w:type="spellEnd"/>
      <w:r w:rsidRPr="00FE6980">
        <w:rPr>
          <w:sz w:val="20"/>
          <w:lang w:val="fr-CA"/>
        </w:rPr>
        <w:t>. :</w:t>
      </w:r>
      <w:proofErr w:type="gramEnd"/>
      <w:r w:rsidRPr="00FE6980">
        <w:rPr>
          <w:sz w:val="20"/>
          <w:lang w:val="fr-CA"/>
        </w:rPr>
        <w:t> Prévost Fortin D’</w:t>
      </w:r>
      <w:proofErr w:type="spellStart"/>
      <w:r w:rsidRPr="00FE6980">
        <w:rPr>
          <w:sz w:val="20"/>
          <w:lang w:val="fr-CA"/>
        </w:rPr>
        <w:t>Aoust</w:t>
      </w:r>
      <w:proofErr w:type="spellEnd"/>
      <w:r w:rsidRPr="00FE6980">
        <w:rPr>
          <w:sz w:val="20"/>
          <w:lang w:val="fr-CA"/>
        </w:rPr>
        <w:t xml:space="preserve">, Boisbriand, Québec; TELUS Communications, Ottawa; Beaudin &amp; Associés, Verdun, Québec; </w:t>
      </w:r>
      <w:proofErr w:type="spellStart"/>
      <w:r w:rsidRPr="00FE6980">
        <w:rPr>
          <w:sz w:val="20"/>
          <w:lang w:val="fr-CA"/>
        </w:rPr>
        <w:t>Québecor</w:t>
      </w:r>
      <w:proofErr w:type="spellEnd"/>
      <w:r w:rsidRPr="00FE6980">
        <w:rPr>
          <w:sz w:val="20"/>
          <w:lang w:val="fr-CA"/>
        </w:rPr>
        <w:t xml:space="preserve"> Média, Montréal.</w:t>
      </w:r>
    </w:p>
    <w:p w:rsidR="00B354FE" w:rsidRPr="00FE6980" w:rsidRDefault="00B354FE" w:rsidP="00B354FE">
      <w:pPr>
        <w:pStyle w:val="SCCNormalDoubleSpacing"/>
        <w:spacing w:line="240" w:lineRule="auto"/>
        <w:rPr>
          <w:lang w:val="fr-CA"/>
        </w:rPr>
      </w:pPr>
    </w:p>
    <w:p w:rsidR="00B354FE" w:rsidRPr="00FE6980" w:rsidRDefault="00B354FE" w:rsidP="00B354FE">
      <w:pPr>
        <w:pStyle w:val="SCCLawFirm"/>
        <w:spacing w:line="240" w:lineRule="auto"/>
        <w:rPr>
          <w:sz w:val="20"/>
          <w:lang w:val="fr-CA"/>
        </w:rPr>
      </w:pPr>
      <w:r w:rsidRPr="00FE6980">
        <w:rPr>
          <w:sz w:val="20"/>
          <w:lang w:val="fr-CA"/>
        </w:rPr>
        <w:tab/>
        <w:t>Procureurs de l’intervenante l’Union des municipalités du Québec : </w:t>
      </w:r>
      <w:proofErr w:type="spellStart"/>
      <w:r w:rsidRPr="00FE6980">
        <w:rPr>
          <w:sz w:val="20"/>
          <w:lang w:val="fr-CA"/>
        </w:rPr>
        <w:t>LeChasseur</w:t>
      </w:r>
      <w:proofErr w:type="spellEnd"/>
      <w:r w:rsidRPr="00FE6980">
        <w:rPr>
          <w:sz w:val="20"/>
          <w:lang w:val="fr-CA"/>
        </w:rPr>
        <w:t xml:space="preserve"> avocats, Montréal.</w:t>
      </w:r>
    </w:p>
    <w:p w:rsidR="00B354FE" w:rsidRPr="00FE6980" w:rsidRDefault="00B354FE" w:rsidP="00B354FE">
      <w:pPr>
        <w:pStyle w:val="SCCNormalDoubleSpacing"/>
        <w:spacing w:line="240" w:lineRule="auto"/>
        <w:rPr>
          <w:sz w:val="20"/>
          <w:lang w:val="fr-CA"/>
        </w:rPr>
      </w:pPr>
    </w:p>
    <w:p w:rsidR="005C6840" w:rsidRPr="00FE6980" w:rsidRDefault="00E433FF" w:rsidP="005C6840">
      <w:pPr>
        <w:rPr>
          <w:lang w:val="fr-CA"/>
        </w:rPr>
      </w:pPr>
      <w:r>
        <w:rPr>
          <w:rFonts w:cs="Times New Roman"/>
          <w:sz w:val="20"/>
          <w:szCs w:val="20"/>
          <w:lang w:val="fr-CA"/>
        </w:rPr>
        <w:pict>
          <v:rect id="_x0000_i1071" style="width:144.3pt;height:1pt" o:hrpct="300" o:hralign="center" o:hrstd="t" o:hrnoshade="t" o:hr="t" fillcolor="black [3213]" stroked="f"/>
        </w:pict>
      </w:r>
    </w:p>
    <w:p w:rsidR="00902E51" w:rsidRPr="00FE6980" w:rsidRDefault="00902E51" w:rsidP="00902E51">
      <w:pPr>
        <w:rPr>
          <w:rFonts w:cs="Times New Roman"/>
          <w:sz w:val="20"/>
          <w:szCs w:val="20"/>
          <w:lang w:val="fr-CA"/>
        </w:rPr>
      </w:pPr>
    </w:p>
    <w:p w:rsidR="005C6840" w:rsidRPr="00FE6980" w:rsidRDefault="005C6840" w:rsidP="005C6840">
      <w:pPr>
        <w:jc w:val="both"/>
        <w:rPr>
          <w:sz w:val="20"/>
          <w:szCs w:val="20"/>
        </w:rPr>
      </w:pPr>
    </w:p>
    <w:p w:rsidR="00102926" w:rsidRPr="00FE6980" w:rsidRDefault="00102926" w:rsidP="00782AE4">
      <w:pPr>
        <w:jc w:val="both"/>
        <w:rPr>
          <w:sz w:val="20"/>
          <w:szCs w:val="20"/>
        </w:rPr>
        <w:sectPr w:rsidR="00102926" w:rsidRPr="00FE6980" w:rsidSect="00782AE4">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576" w:footer="960" w:gutter="0"/>
          <w:cols w:space="720"/>
          <w:titlePg/>
          <w:docGrid w:linePitch="272"/>
        </w:sectPr>
      </w:pPr>
    </w:p>
    <w:p w:rsidR="008902B1" w:rsidRPr="00FE6980" w:rsidRDefault="008902B1" w:rsidP="008902B1">
      <w:pPr>
        <w:widowControl w:val="0"/>
        <w:spacing w:line="180" w:lineRule="auto"/>
        <w:jc w:val="center"/>
        <w:rPr>
          <w:rFonts w:asciiTheme="minorHAnsi" w:hAnsiTheme="minorHAnsi" w:cstheme="minorHAnsi"/>
          <w:b/>
          <w:szCs w:val="24"/>
        </w:rPr>
      </w:pPr>
      <w:r w:rsidRPr="00FE6980">
        <w:rPr>
          <w:rFonts w:asciiTheme="minorHAnsi" w:hAnsiTheme="minorHAnsi" w:cstheme="minorHAnsi"/>
          <w:b/>
          <w:szCs w:val="24"/>
        </w:rPr>
        <w:fldChar w:fldCharType="begin"/>
      </w:r>
      <w:r w:rsidRPr="00FE6980">
        <w:rPr>
          <w:rFonts w:asciiTheme="minorHAnsi" w:hAnsiTheme="minorHAnsi" w:cstheme="minorHAnsi"/>
          <w:b/>
          <w:szCs w:val="24"/>
        </w:rPr>
        <w:instrText xml:space="preserve"> SEQ CHAPTER \h \r 1</w:instrText>
      </w:r>
      <w:r w:rsidRPr="00FE6980">
        <w:rPr>
          <w:rFonts w:asciiTheme="minorHAnsi" w:hAnsiTheme="minorHAnsi" w:cstheme="minorHAnsi"/>
          <w:b/>
          <w:szCs w:val="24"/>
        </w:rPr>
        <w:fldChar w:fldCharType="end"/>
      </w:r>
      <w:r w:rsidRPr="00FE6980">
        <w:rPr>
          <w:rFonts w:asciiTheme="minorHAnsi" w:hAnsiTheme="minorHAnsi" w:cstheme="minorHAnsi"/>
          <w:b/>
          <w:szCs w:val="24"/>
        </w:rPr>
        <w:t>SUPREME COURT OF CANADA SCHEDULE / CALENDRIER DE LA COUR SUPREME</w:t>
      </w:r>
    </w:p>
    <w:p w:rsidR="008902B1" w:rsidRPr="00FE6980" w:rsidRDefault="008902B1" w:rsidP="008902B1">
      <w:pPr>
        <w:widowControl w:val="0"/>
        <w:spacing w:line="180" w:lineRule="auto"/>
        <w:rPr>
          <w:rFonts w:asciiTheme="minorHAnsi" w:hAnsiTheme="minorHAnsi" w:cstheme="minorHAnsi"/>
          <w:szCs w:val="24"/>
        </w:rPr>
      </w:pPr>
    </w:p>
    <w:p w:rsidR="008902B1" w:rsidRPr="00FE6980" w:rsidRDefault="008902B1" w:rsidP="008902B1">
      <w:pPr>
        <w:widowControl w:val="0"/>
        <w:tabs>
          <w:tab w:val="center" w:pos="5400"/>
          <w:tab w:val="right" w:pos="10440"/>
        </w:tabs>
        <w:rPr>
          <w:rFonts w:ascii="Arial" w:hAnsi="Arial"/>
          <w:sz w:val="18"/>
        </w:rPr>
      </w:pPr>
      <w:r w:rsidRPr="00FE6980">
        <w:rPr>
          <w:rFonts w:ascii="Arial" w:hAnsi="Arial"/>
          <w:sz w:val="18"/>
        </w:rPr>
        <w:tab/>
      </w:r>
      <w:r w:rsidRPr="00FE6980">
        <w:rPr>
          <w:rFonts w:ascii="Arial" w:hAnsi="Arial"/>
          <w:i/>
          <w:sz w:val="36"/>
        </w:rPr>
        <w:t xml:space="preserve">- </w:t>
      </w:r>
      <w:r w:rsidRPr="00FE6980">
        <w:rPr>
          <w:rFonts w:ascii="Arial" w:hAnsi="Arial"/>
          <w:b/>
          <w:i/>
          <w:sz w:val="36"/>
        </w:rPr>
        <w:t>2015</w:t>
      </w:r>
      <w:r w:rsidRPr="00FE6980">
        <w:rPr>
          <w:rFonts w:ascii="Arial" w:hAnsi="Arial"/>
          <w:i/>
          <w:sz w:val="36"/>
        </w:rPr>
        <w:t xml:space="preserve"> -</w:t>
      </w:r>
      <w:r w:rsidRPr="00FE6980">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FE6980" w:rsidTr="005F6FC4">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FE6980" w:rsidRDefault="008902B1" w:rsidP="005F6FC4">
            <w:pPr>
              <w:widowControl w:val="0"/>
              <w:jc w:val="center"/>
              <w:rPr>
                <w:rFonts w:ascii="Arial" w:hAnsi="Arial"/>
                <w:sz w:val="14"/>
              </w:rPr>
            </w:pPr>
            <w:r w:rsidRPr="00FE6980">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FE6980" w:rsidRDefault="008902B1" w:rsidP="005F6FC4">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FE6980" w:rsidRDefault="008902B1" w:rsidP="005F6FC4">
            <w:pPr>
              <w:widowControl w:val="0"/>
              <w:jc w:val="center"/>
              <w:rPr>
                <w:rFonts w:ascii="Arial" w:hAnsi="Arial"/>
                <w:sz w:val="14"/>
              </w:rPr>
            </w:pPr>
            <w:r w:rsidRPr="00FE6980">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FE6980" w:rsidRDefault="008902B1" w:rsidP="005F6FC4">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FE6980" w:rsidRDefault="008902B1" w:rsidP="005F6FC4">
            <w:pPr>
              <w:widowControl w:val="0"/>
              <w:jc w:val="center"/>
              <w:rPr>
                <w:rFonts w:ascii="Arial" w:hAnsi="Arial"/>
                <w:sz w:val="14"/>
              </w:rPr>
            </w:pPr>
            <w:r w:rsidRPr="00FE6980">
              <w:rPr>
                <w:rFonts w:ascii="Arial" w:hAnsi="Arial"/>
                <w:b/>
                <w:sz w:val="14"/>
              </w:rPr>
              <w:t>DECEMBER - DÉCEMBRE</w:t>
            </w:r>
          </w:p>
        </w:tc>
      </w:tr>
      <w:tr w:rsidR="008902B1" w:rsidRPr="00FE6980" w:rsidTr="005F6FC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S</w:t>
            </w:r>
          </w:p>
          <w:p w:rsidR="008902B1" w:rsidRPr="00FE6980" w:rsidRDefault="008902B1" w:rsidP="005F6FC4">
            <w:pPr>
              <w:widowControl w:val="0"/>
              <w:jc w:val="center"/>
              <w:rPr>
                <w:rFonts w:ascii="Arial" w:hAnsi="Arial"/>
                <w:sz w:val="14"/>
              </w:rPr>
            </w:pPr>
            <w:r w:rsidRPr="00FE6980">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M</w:t>
            </w:r>
          </w:p>
          <w:p w:rsidR="008902B1" w:rsidRPr="00FE6980" w:rsidRDefault="008902B1" w:rsidP="005F6FC4">
            <w:pPr>
              <w:widowControl w:val="0"/>
              <w:jc w:val="center"/>
              <w:rPr>
                <w:rFonts w:ascii="Arial" w:hAnsi="Arial"/>
                <w:sz w:val="14"/>
              </w:rPr>
            </w:pPr>
            <w:r w:rsidRPr="00FE6980">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T</w:t>
            </w:r>
          </w:p>
          <w:p w:rsidR="008902B1" w:rsidRPr="00FE6980" w:rsidRDefault="008902B1" w:rsidP="005F6FC4">
            <w:pPr>
              <w:widowControl w:val="0"/>
              <w:jc w:val="center"/>
              <w:rPr>
                <w:rFonts w:ascii="Arial" w:hAnsi="Arial"/>
                <w:sz w:val="14"/>
              </w:rPr>
            </w:pPr>
            <w:r w:rsidRPr="00FE6980">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W</w:t>
            </w:r>
          </w:p>
          <w:p w:rsidR="008902B1" w:rsidRPr="00FE6980" w:rsidRDefault="008902B1" w:rsidP="005F6FC4">
            <w:pPr>
              <w:widowControl w:val="0"/>
              <w:jc w:val="center"/>
              <w:rPr>
                <w:rFonts w:ascii="Arial" w:hAnsi="Arial"/>
                <w:sz w:val="14"/>
              </w:rPr>
            </w:pPr>
            <w:r w:rsidRPr="00FE6980">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T</w:t>
            </w:r>
          </w:p>
          <w:p w:rsidR="008902B1" w:rsidRPr="00FE6980" w:rsidRDefault="008902B1" w:rsidP="005F6FC4">
            <w:pPr>
              <w:widowControl w:val="0"/>
              <w:jc w:val="center"/>
              <w:rPr>
                <w:rFonts w:ascii="Arial" w:hAnsi="Arial"/>
                <w:sz w:val="14"/>
              </w:rPr>
            </w:pPr>
            <w:r w:rsidRPr="00FE6980">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F</w:t>
            </w:r>
          </w:p>
          <w:p w:rsidR="008902B1" w:rsidRPr="00FE6980" w:rsidRDefault="008902B1" w:rsidP="005F6FC4">
            <w:pPr>
              <w:widowControl w:val="0"/>
              <w:jc w:val="center"/>
              <w:rPr>
                <w:rFonts w:ascii="Arial" w:hAnsi="Arial"/>
                <w:sz w:val="14"/>
              </w:rPr>
            </w:pPr>
            <w:r w:rsidRPr="00FE6980">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S</w:t>
            </w:r>
          </w:p>
          <w:p w:rsidR="008902B1" w:rsidRPr="00FE6980" w:rsidRDefault="008902B1" w:rsidP="005F6FC4">
            <w:pPr>
              <w:widowControl w:val="0"/>
              <w:jc w:val="center"/>
              <w:rPr>
                <w:rFonts w:ascii="Arial" w:hAnsi="Arial"/>
                <w:sz w:val="14"/>
              </w:rPr>
            </w:pPr>
            <w:r w:rsidRPr="00FE6980">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S</w:t>
            </w:r>
          </w:p>
          <w:p w:rsidR="008902B1" w:rsidRPr="00FE6980" w:rsidRDefault="008902B1" w:rsidP="005F6FC4">
            <w:pPr>
              <w:widowControl w:val="0"/>
              <w:jc w:val="center"/>
              <w:rPr>
                <w:rFonts w:ascii="Arial" w:hAnsi="Arial"/>
                <w:sz w:val="14"/>
              </w:rPr>
            </w:pPr>
            <w:r w:rsidRPr="00FE6980">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M</w:t>
            </w:r>
          </w:p>
          <w:p w:rsidR="008902B1" w:rsidRPr="00FE6980" w:rsidRDefault="008902B1" w:rsidP="005F6FC4">
            <w:pPr>
              <w:widowControl w:val="0"/>
              <w:jc w:val="center"/>
              <w:rPr>
                <w:rFonts w:ascii="Arial" w:hAnsi="Arial"/>
                <w:sz w:val="14"/>
              </w:rPr>
            </w:pPr>
            <w:r w:rsidRPr="00FE6980">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T</w:t>
            </w:r>
          </w:p>
          <w:p w:rsidR="008902B1" w:rsidRPr="00FE6980" w:rsidRDefault="008902B1" w:rsidP="005F6FC4">
            <w:pPr>
              <w:widowControl w:val="0"/>
              <w:jc w:val="center"/>
              <w:rPr>
                <w:rFonts w:ascii="Arial" w:hAnsi="Arial"/>
                <w:sz w:val="14"/>
              </w:rPr>
            </w:pPr>
            <w:r w:rsidRPr="00FE6980">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W</w:t>
            </w:r>
          </w:p>
          <w:p w:rsidR="008902B1" w:rsidRPr="00FE6980" w:rsidRDefault="008902B1" w:rsidP="005F6FC4">
            <w:pPr>
              <w:widowControl w:val="0"/>
              <w:jc w:val="center"/>
              <w:rPr>
                <w:rFonts w:ascii="Arial" w:hAnsi="Arial"/>
                <w:sz w:val="14"/>
              </w:rPr>
            </w:pPr>
            <w:r w:rsidRPr="00FE6980">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T</w:t>
            </w:r>
          </w:p>
          <w:p w:rsidR="008902B1" w:rsidRPr="00FE6980" w:rsidRDefault="008902B1" w:rsidP="005F6FC4">
            <w:pPr>
              <w:widowControl w:val="0"/>
              <w:jc w:val="center"/>
              <w:rPr>
                <w:rFonts w:ascii="Arial" w:hAnsi="Arial"/>
                <w:sz w:val="14"/>
              </w:rPr>
            </w:pPr>
            <w:r w:rsidRPr="00FE6980">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F</w:t>
            </w:r>
          </w:p>
          <w:p w:rsidR="008902B1" w:rsidRPr="00FE6980" w:rsidRDefault="008902B1" w:rsidP="005F6FC4">
            <w:pPr>
              <w:widowControl w:val="0"/>
              <w:jc w:val="center"/>
              <w:rPr>
                <w:rFonts w:ascii="Arial" w:hAnsi="Arial"/>
                <w:sz w:val="14"/>
              </w:rPr>
            </w:pPr>
            <w:r w:rsidRPr="00FE6980">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S</w:t>
            </w:r>
          </w:p>
          <w:p w:rsidR="008902B1" w:rsidRPr="00FE6980" w:rsidRDefault="008902B1" w:rsidP="005F6FC4">
            <w:pPr>
              <w:widowControl w:val="0"/>
              <w:jc w:val="center"/>
              <w:rPr>
                <w:rFonts w:ascii="Arial" w:hAnsi="Arial"/>
                <w:sz w:val="14"/>
              </w:rPr>
            </w:pPr>
            <w:r w:rsidRPr="00FE6980">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S</w:t>
            </w:r>
          </w:p>
          <w:p w:rsidR="008902B1" w:rsidRPr="00FE6980" w:rsidRDefault="008902B1" w:rsidP="005F6FC4">
            <w:pPr>
              <w:widowControl w:val="0"/>
              <w:jc w:val="center"/>
              <w:rPr>
                <w:rFonts w:ascii="Arial" w:hAnsi="Arial"/>
                <w:sz w:val="14"/>
              </w:rPr>
            </w:pPr>
            <w:r w:rsidRPr="00FE6980">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M</w:t>
            </w:r>
          </w:p>
          <w:p w:rsidR="008902B1" w:rsidRPr="00FE6980" w:rsidRDefault="008902B1" w:rsidP="005F6FC4">
            <w:pPr>
              <w:widowControl w:val="0"/>
              <w:jc w:val="center"/>
              <w:rPr>
                <w:rFonts w:ascii="Arial" w:hAnsi="Arial"/>
                <w:sz w:val="14"/>
              </w:rPr>
            </w:pPr>
            <w:r w:rsidRPr="00FE6980">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T</w:t>
            </w:r>
          </w:p>
          <w:p w:rsidR="008902B1" w:rsidRPr="00FE6980" w:rsidRDefault="008902B1" w:rsidP="005F6FC4">
            <w:pPr>
              <w:widowControl w:val="0"/>
              <w:jc w:val="center"/>
              <w:rPr>
                <w:rFonts w:ascii="Arial" w:hAnsi="Arial"/>
                <w:sz w:val="14"/>
              </w:rPr>
            </w:pPr>
            <w:r w:rsidRPr="00FE6980">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W</w:t>
            </w:r>
          </w:p>
          <w:p w:rsidR="008902B1" w:rsidRPr="00FE6980" w:rsidRDefault="008902B1" w:rsidP="005F6FC4">
            <w:pPr>
              <w:widowControl w:val="0"/>
              <w:jc w:val="center"/>
              <w:rPr>
                <w:rFonts w:ascii="Arial" w:hAnsi="Arial"/>
                <w:sz w:val="14"/>
              </w:rPr>
            </w:pPr>
            <w:r w:rsidRPr="00FE6980">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T</w:t>
            </w:r>
          </w:p>
          <w:p w:rsidR="008902B1" w:rsidRPr="00FE6980" w:rsidRDefault="008902B1" w:rsidP="005F6FC4">
            <w:pPr>
              <w:widowControl w:val="0"/>
              <w:jc w:val="center"/>
              <w:rPr>
                <w:rFonts w:ascii="Arial" w:hAnsi="Arial"/>
                <w:sz w:val="14"/>
              </w:rPr>
            </w:pPr>
            <w:r w:rsidRPr="00FE6980">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F</w:t>
            </w:r>
          </w:p>
          <w:p w:rsidR="008902B1" w:rsidRPr="00FE6980" w:rsidRDefault="008902B1" w:rsidP="005F6FC4">
            <w:pPr>
              <w:widowControl w:val="0"/>
              <w:jc w:val="center"/>
              <w:rPr>
                <w:rFonts w:ascii="Arial" w:hAnsi="Arial"/>
                <w:sz w:val="14"/>
              </w:rPr>
            </w:pPr>
            <w:r w:rsidRPr="00FE6980">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S</w:t>
            </w:r>
          </w:p>
          <w:p w:rsidR="008902B1" w:rsidRPr="00FE6980" w:rsidRDefault="008902B1" w:rsidP="005F6FC4">
            <w:pPr>
              <w:widowControl w:val="0"/>
              <w:jc w:val="center"/>
              <w:rPr>
                <w:rFonts w:ascii="Arial" w:hAnsi="Arial"/>
                <w:sz w:val="14"/>
              </w:rPr>
            </w:pPr>
            <w:r w:rsidRPr="00FE6980">
              <w:rPr>
                <w:rFonts w:ascii="Arial" w:hAnsi="Arial"/>
                <w:sz w:val="14"/>
              </w:rPr>
              <w:t>S</w:t>
            </w:r>
          </w:p>
        </w:tc>
      </w:tr>
      <w:tr w:rsidR="008902B1" w:rsidRPr="00FE6980" w:rsidTr="005F6FC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b/>
                <w:sz w:val="14"/>
              </w:rPr>
              <w:t>M</w:t>
            </w:r>
          </w:p>
          <w:p w:rsidR="008902B1" w:rsidRPr="00FE6980" w:rsidRDefault="008902B1" w:rsidP="005F6FC4">
            <w:pPr>
              <w:widowControl w:val="0"/>
              <w:jc w:val="center"/>
              <w:rPr>
                <w:rFonts w:ascii="Arial" w:hAnsi="Arial"/>
                <w:sz w:val="14"/>
              </w:rPr>
            </w:pPr>
            <w:r w:rsidRPr="00FE6980">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5</w:t>
            </w:r>
          </w:p>
        </w:tc>
      </w:tr>
      <w:tr w:rsidR="008902B1" w:rsidRPr="00FE6980" w:rsidTr="005F6FC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b/>
                <w:sz w:val="14"/>
              </w:rPr>
            </w:pPr>
            <w:r w:rsidRPr="00FE6980">
              <w:rPr>
                <w:rFonts w:ascii="Arial" w:hAnsi="Arial"/>
                <w:b/>
                <w:sz w:val="14"/>
              </w:rPr>
              <w:t>M</w:t>
            </w:r>
          </w:p>
          <w:p w:rsidR="008902B1" w:rsidRPr="00FE6980" w:rsidRDefault="008902B1" w:rsidP="005F6FC4">
            <w:pPr>
              <w:widowControl w:val="0"/>
              <w:jc w:val="center"/>
              <w:rPr>
                <w:rFonts w:ascii="Arial" w:hAnsi="Arial"/>
                <w:sz w:val="14"/>
              </w:rPr>
            </w:pPr>
            <w:r w:rsidRPr="00FE6980">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b/>
                <w:sz w:val="14"/>
              </w:rPr>
            </w:pPr>
          </w:p>
          <w:p w:rsidR="008902B1" w:rsidRPr="00FE6980" w:rsidRDefault="008902B1" w:rsidP="005F6FC4">
            <w:pPr>
              <w:widowControl w:val="0"/>
              <w:jc w:val="center"/>
              <w:rPr>
                <w:rFonts w:ascii="Arial" w:hAnsi="Arial"/>
                <w:sz w:val="14"/>
              </w:rPr>
            </w:pPr>
            <w:r w:rsidRPr="00FE698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b/>
                <w:sz w:val="14"/>
              </w:rPr>
            </w:pPr>
            <w:r w:rsidRPr="00FE6980">
              <w:rPr>
                <w:rFonts w:ascii="Arial" w:hAnsi="Arial"/>
                <w:b/>
                <w:sz w:val="14"/>
              </w:rPr>
              <w:t>H</w:t>
            </w:r>
          </w:p>
          <w:p w:rsidR="008902B1" w:rsidRPr="00FE6980" w:rsidRDefault="008902B1" w:rsidP="005F6FC4">
            <w:pPr>
              <w:widowControl w:val="0"/>
              <w:jc w:val="center"/>
              <w:rPr>
                <w:rFonts w:ascii="Arial" w:hAnsi="Arial"/>
                <w:sz w:val="14"/>
              </w:rPr>
            </w:pPr>
            <w:r w:rsidRPr="00FE6980">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12</w:t>
            </w:r>
          </w:p>
        </w:tc>
      </w:tr>
      <w:tr w:rsidR="008902B1" w:rsidRPr="00FE6980" w:rsidTr="005F6FC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FE6980" w:rsidRDefault="008902B1" w:rsidP="005F6FC4">
            <w:pPr>
              <w:widowControl w:val="0"/>
              <w:jc w:val="center"/>
              <w:rPr>
                <w:rFonts w:ascii="Arial" w:hAnsi="Arial"/>
                <w:b/>
                <w:sz w:val="14"/>
              </w:rPr>
            </w:pPr>
            <w:r w:rsidRPr="00FE6980">
              <w:rPr>
                <w:rFonts w:ascii="Arial" w:hAnsi="Arial"/>
                <w:b/>
                <w:sz w:val="14"/>
              </w:rPr>
              <w:t>H</w:t>
            </w:r>
          </w:p>
          <w:p w:rsidR="008902B1" w:rsidRPr="00FE6980" w:rsidRDefault="008902B1" w:rsidP="005F6FC4">
            <w:pPr>
              <w:widowControl w:val="0"/>
              <w:jc w:val="center"/>
              <w:rPr>
                <w:rFonts w:ascii="Arial" w:hAnsi="Arial"/>
                <w:sz w:val="14"/>
              </w:rPr>
            </w:pPr>
            <w:r w:rsidRPr="00FE6980">
              <w:rPr>
                <w:rFonts w:ascii="Arial" w:hAnsi="Arial"/>
                <w:sz w:val="14"/>
              </w:rPr>
              <w:t>12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FE6980" w:rsidRDefault="008902B1" w:rsidP="005F6FC4">
            <w:pPr>
              <w:widowControl w:val="0"/>
              <w:jc w:val="center"/>
              <w:rPr>
                <w:rFonts w:ascii="Arial" w:hAnsi="Arial"/>
                <w:b/>
                <w:sz w:val="14"/>
              </w:rPr>
            </w:pPr>
          </w:p>
          <w:p w:rsidR="008902B1" w:rsidRPr="00FE6980" w:rsidRDefault="008902B1" w:rsidP="005F6FC4">
            <w:pPr>
              <w:widowControl w:val="0"/>
              <w:jc w:val="center"/>
              <w:rPr>
                <w:rFonts w:ascii="Arial" w:hAnsi="Arial"/>
                <w:sz w:val="14"/>
              </w:rPr>
            </w:pPr>
            <w:r w:rsidRPr="00FE6980">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19</w:t>
            </w:r>
          </w:p>
        </w:tc>
      </w:tr>
      <w:tr w:rsidR="008902B1" w:rsidRPr="00FE6980" w:rsidTr="005F6FC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b/>
                <w:sz w:val="14"/>
              </w:rPr>
            </w:pPr>
          </w:p>
          <w:p w:rsidR="008902B1" w:rsidRPr="00FE6980" w:rsidRDefault="008902B1" w:rsidP="005F6FC4">
            <w:pPr>
              <w:widowControl w:val="0"/>
              <w:jc w:val="center"/>
              <w:rPr>
                <w:rFonts w:ascii="Arial" w:hAnsi="Arial"/>
                <w:sz w:val="14"/>
              </w:rPr>
            </w:pPr>
            <w:r w:rsidRPr="00FE6980">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b/>
                <w:sz w:val="14"/>
              </w:rPr>
            </w:pPr>
          </w:p>
          <w:p w:rsidR="008902B1" w:rsidRPr="00FE6980" w:rsidRDefault="008902B1" w:rsidP="005F6FC4">
            <w:pPr>
              <w:widowControl w:val="0"/>
              <w:jc w:val="center"/>
              <w:rPr>
                <w:rFonts w:ascii="Arial" w:hAnsi="Arial"/>
                <w:sz w:val="14"/>
              </w:rPr>
            </w:pPr>
            <w:r w:rsidRPr="00FE6980">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b/>
                <w:sz w:val="14"/>
              </w:rPr>
            </w:pPr>
            <w:r w:rsidRPr="00FE6980">
              <w:rPr>
                <w:rFonts w:ascii="Arial" w:hAnsi="Arial"/>
                <w:b/>
                <w:sz w:val="14"/>
              </w:rPr>
              <w:t>H</w:t>
            </w:r>
          </w:p>
          <w:p w:rsidR="008902B1" w:rsidRPr="00FE6980" w:rsidRDefault="008902B1" w:rsidP="005F6FC4">
            <w:pPr>
              <w:widowControl w:val="0"/>
              <w:jc w:val="center"/>
              <w:rPr>
                <w:rFonts w:ascii="Arial" w:hAnsi="Arial"/>
                <w:sz w:val="14"/>
              </w:rPr>
            </w:pPr>
            <w:r w:rsidRPr="00FE6980">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26</w:t>
            </w:r>
          </w:p>
        </w:tc>
      </w:tr>
      <w:tr w:rsidR="008902B1" w:rsidRPr="00FE6980" w:rsidTr="005F6FC4">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b/>
                <w:sz w:val="14"/>
              </w:rPr>
            </w:pPr>
            <w:r w:rsidRPr="00FE6980">
              <w:rPr>
                <w:rFonts w:ascii="Arial" w:hAnsi="Arial"/>
                <w:b/>
                <w:sz w:val="14"/>
              </w:rPr>
              <w:t>M</w:t>
            </w:r>
          </w:p>
          <w:p w:rsidR="008902B1" w:rsidRPr="00FE6980" w:rsidRDefault="008902B1" w:rsidP="005F6FC4">
            <w:pPr>
              <w:widowControl w:val="0"/>
              <w:jc w:val="center"/>
              <w:rPr>
                <w:rFonts w:ascii="Arial" w:hAnsi="Arial"/>
                <w:sz w:val="14"/>
              </w:rPr>
            </w:pPr>
            <w:r w:rsidRPr="00FE6980">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b/>
                <w:sz w:val="14"/>
              </w:rPr>
            </w:pPr>
            <w:r w:rsidRPr="00FE6980">
              <w:rPr>
                <w:rFonts w:ascii="Arial" w:hAnsi="Arial"/>
                <w:b/>
                <w:sz w:val="14"/>
              </w:rPr>
              <w:t>H</w:t>
            </w:r>
          </w:p>
          <w:p w:rsidR="008902B1" w:rsidRPr="00FE6980" w:rsidRDefault="008902B1" w:rsidP="005F6FC4">
            <w:pPr>
              <w:widowControl w:val="0"/>
              <w:jc w:val="center"/>
              <w:rPr>
                <w:rFonts w:ascii="Arial" w:hAnsi="Arial"/>
                <w:sz w:val="14"/>
              </w:rPr>
            </w:pPr>
            <w:r w:rsidRPr="00FE6980">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r>
    </w:tbl>
    <w:p w:rsidR="008902B1" w:rsidRPr="00FE6980" w:rsidRDefault="008902B1" w:rsidP="008902B1">
      <w:pPr>
        <w:widowControl w:val="0"/>
        <w:tabs>
          <w:tab w:val="center" w:pos="5400"/>
        </w:tabs>
        <w:rPr>
          <w:rFonts w:ascii="Arial" w:hAnsi="Arial"/>
          <w:sz w:val="16"/>
        </w:rPr>
      </w:pPr>
      <w:r w:rsidRPr="00FE6980">
        <w:rPr>
          <w:rFonts w:ascii="Arial" w:hAnsi="Arial"/>
          <w:sz w:val="18"/>
        </w:rPr>
        <w:tab/>
      </w:r>
      <w:r w:rsidRPr="00FE6980">
        <w:rPr>
          <w:rFonts w:ascii="Arial" w:hAnsi="Arial"/>
          <w:i/>
          <w:sz w:val="36"/>
        </w:rPr>
        <w:t xml:space="preserve">- </w:t>
      </w:r>
      <w:r w:rsidRPr="00FE6980">
        <w:rPr>
          <w:rFonts w:ascii="Arial" w:hAnsi="Arial"/>
          <w:b/>
          <w:i/>
          <w:sz w:val="36"/>
        </w:rPr>
        <w:t>2016</w:t>
      </w:r>
      <w:r w:rsidRPr="00FE6980">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FE6980" w:rsidTr="005F6FC4">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FE6980" w:rsidRDefault="008902B1" w:rsidP="005F6FC4">
            <w:pPr>
              <w:widowControl w:val="0"/>
              <w:jc w:val="center"/>
              <w:rPr>
                <w:rFonts w:ascii="Arial" w:hAnsi="Arial"/>
                <w:sz w:val="14"/>
              </w:rPr>
            </w:pPr>
            <w:r w:rsidRPr="00FE6980">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FE6980" w:rsidRDefault="008902B1" w:rsidP="005F6FC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FE6980" w:rsidRDefault="008902B1" w:rsidP="005F6FC4">
            <w:pPr>
              <w:widowControl w:val="0"/>
              <w:jc w:val="center"/>
              <w:rPr>
                <w:rFonts w:ascii="Arial" w:hAnsi="Arial"/>
                <w:sz w:val="14"/>
              </w:rPr>
            </w:pPr>
            <w:r w:rsidRPr="00FE6980">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FE6980" w:rsidRDefault="008902B1" w:rsidP="005F6FC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FE6980" w:rsidRDefault="008902B1" w:rsidP="005F6FC4">
            <w:pPr>
              <w:widowControl w:val="0"/>
              <w:jc w:val="center"/>
              <w:rPr>
                <w:rFonts w:ascii="Arial" w:hAnsi="Arial"/>
                <w:sz w:val="14"/>
              </w:rPr>
            </w:pPr>
            <w:r w:rsidRPr="00FE6980">
              <w:rPr>
                <w:rFonts w:ascii="Arial" w:hAnsi="Arial"/>
                <w:b/>
                <w:sz w:val="14"/>
              </w:rPr>
              <w:t>MARCH - MARS</w:t>
            </w:r>
          </w:p>
        </w:tc>
      </w:tr>
      <w:tr w:rsidR="008902B1" w:rsidRPr="00FE6980" w:rsidTr="005F6FC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S</w:t>
            </w:r>
          </w:p>
          <w:p w:rsidR="008902B1" w:rsidRPr="00FE6980" w:rsidRDefault="008902B1" w:rsidP="005F6FC4">
            <w:pPr>
              <w:widowControl w:val="0"/>
              <w:jc w:val="center"/>
              <w:rPr>
                <w:rFonts w:ascii="Arial" w:hAnsi="Arial"/>
                <w:sz w:val="14"/>
              </w:rPr>
            </w:pPr>
            <w:r w:rsidRPr="00FE698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M</w:t>
            </w:r>
          </w:p>
          <w:p w:rsidR="008902B1" w:rsidRPr="00FE6980" w:rsidRDefault="008902B1" w:rsidP="005F6FC4">
            <w:pPr>
              <w:widowControl w:val="0"/>
              <w:jc w:val="center"/>
              <w:rPr>
                <w:rFonts w:ascii="Arial" w:hAnsi="Arial"/>
                <w:sz w:val="14"/>
              </w:rPr>
            </w:pPr>
            <w:r w:rsidRPr="00FE698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T</w:t>
            </w:r>
          </w:p>
          <w:p w:rsidR="008902B1" w:rsidRPr="00FE6980" w:rsidRDefault="008902B1" w:rsidP="005F6FC4">
            <w:pPr>
              <w:widowControl w:val="0"/>
              <w:jc w:val="center"/>
              <w:rPr>
                <w:rFonts w:ascii="Arial" w:hAnsi="Arial"/>
                <w:sz w:val="14"/>
              </w:rPr>
            </w:pPr>
            <w:r w:rsidRPr="00FE698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W</w:t>
            </w:r>
          </w:p>
          <w:p w:rsidR="008902B1" w:rsidRPr="00FE6980" w:rsidRDefault="008902B1" w:rsidP="005F6FC4">
            <w:pPr>
              <w:widowControl w:val="0"/>
              <w:jc w:val="center"/>
              <w:rPr>
                <w:rFonts w:ascii="Arial" w:hAnsi="Arial"/>
                <w:sz w:val="14"/>
              </w:rPr>
            </w:pPr>
            <w:r w:rsidRPr="00FE698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T</w:t>
            </w:r>
          </w:p>
          <w:p w:rsidR="008902B1" w:rsidRPr="00FE6980" w:rsidRDefault="008902B1" w:rsidP="005F6FC4">
            <w:pPr>
              <w:widowControl w:val="0"/>
              <w:jc w:val="center"/>
              <w:rPr>
                <w:rFonts w:ascii="Arial" w:hAnsi="Arial"/>
                <w:sz w:val="14"/>
              </w:rPr>
            </w:pPr>
            <w:r w:rsidRPr="00FE6980">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F</w:t>
            </w:r>
          </w:p>
          <w:p w:rsidR="008902B1" w:rsidRPr="00FE6980" w:rsidRDefault="008902B1" w:rsidP="005F6FC4">
            <w:pPr>
              <w:widowControl w:val="0"/>
              <w:jc w:val="center"/>
              <w:rPr>
                <w:rFonts w:ascii="Arial" w:hAnsi="Arial"/>
                <w:sz w:val="14"/>
              </w:rPr>
            </w:pPr>
            <w:r w:rsidRPr="00FE6980">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S</w:t>
            </w:r>
          </w:p>
          <w:p w:rsidR="008902B1" w:rsidRPr="00FE6980" w:rsidRDefault="008902B1" w:rsidP="005F6FC4">
            <w:pPr>
              <w:widowControl w:val="0"/>
              <w:jc w:val="center"/>
              <w:rPr>
                <w:rFonts w:ascii="Arial" w:hAnsi="Arial"/>
                <w:sz w:val="14"/>
              </w:rPr>
            </w:pPr>
            <w:r w:rsidRPr="00FE6980">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S</w:t>
            </w:r>
          </w:p>
          <w:p w:rsidR="008902B1" w:rsidRPr="00FE6980" w:rsidRDefault="008902B1" w:rsidP="005F6FC4">
            <w:pPr>
              <w:widowControl w:val="0"/>
              <w:jc w:val="center"/>
              <w:rPr>
                <w:rFonts w:ascii="Arial" w:hAnsi="Arial"/>
                <w:sz w:val="14"/>
              </w:rPr>
            </w:pPr>
            <w:r w:rsidRPr="00FE698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M</w:t>
            </w:r>
          </w:p>
          <w:p w:rsidR="008902B1" w:rsidRPr="00FE6980" w:rsidRDefault="008902B1" w:rsidP="005F6FC4">
            <w:pPr>
              <w:widowControl w:val="0"/>
              <w:jc w:val="center"/>
              <w:rPr>
                <w:rFonts w:ascii="Arial" w:hAnsi="Arial"/>
                <w:sz w:val="14"/>
              </w:rPr>
            </w:pPr>
            <w:r w:rsidRPr="00FE698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T</w:t>
            </w:r>
          </w:p>
          <w:p w:rsidR="008902B1" w:rsidRPr="00FE6980" w:rsidRDefault="008902B1" w:rsidP="005F6FC4">
            <w:pPr>
              <w:widowControl w:val="0"/>
              <w:jc w:val="center"/>
              <w:rPr>
                <w:rFonts w:ascii="Arial" w:hAnsi="Arial"/>
                <w:sz w:val="14"/>
              </w:rPr>
            </w:pPr>
            <w:r w:rsidRPr="00FE6980">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W</w:t>
            </w:r>
          </w:p>
          <w:p w:rsidR="008902B1" w:rsidRPr="00FE6980" w:rsidRDefault="008902B1" w:rsidP="005F6FC4">
            <w:pPr>
              <w:widowControl w:val="0"/>
              <w:jc w:val="center"/>
              <w:rPr>
                <w:rFonts w:ascii="Arial" w:hAnsi="Arial"/>
                <w:sz w:val="14"/>
              </w:rPr>
            </w:pPr>
            <w:r w:rsidRPr="00FE698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T</w:t>
            </w:r>
          </w:p>
          <w:p w:rsidR="008902B1" w:rsidRPr="00FE6980" w:rsidRDefault="008902B1" w:rsidP="005F6FC4">
            <w:pPr>
              <w:widowControl w:val="0"/>
              <w:jc w:val="center"/>
              <w:rPr>
                <w:rFonts w:ascii="Arial" w:hAnsi="Arial"/>
                <w:sz w:val="14"/>
              </w:rPr>
            </w:pPr>
            <w:r w:rsidRPr="00FE6980">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F</w:t>
            </w:r>
          </w:p>
          <w:p w:rsidR="008902B1" w:rsidRPr="00FE6980" w:rsidRDefault="008902B1" w:rsidP="005F6FC4">
            <w:pPr>
              <w:widowControl w:val="0"/>
              <w:jc w:val="center"/>
              <w:rPr>
                <w:rFonts w:ascii="Arial" w:hAnsi="Arial"/>
                <w:sz w:val="14"/>
              </w:rPr>
            </w:pPr>
            <w:r w:rsidRPr="00FE6980">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S</w:t>
            </w:r>
          </w:p>
          <w:p w:rsidR="008902B1" w:rsidRPr="00FE6980" w:rsidRDefault="008902B1" w:rsidP="005F6FC4">
            <w:pPr>
              <w:widowControl w:val="0"/>
              <w:jc w:val="center"/>
              <w:rPr>
                <w:rFonts w:ascii="Arial" w:hAnsi="Arial"/>
                <w:sz w:val="14"/>
              </w:rPr>
            </w:pPr>
            <w:r w:rsidRPr="00FE6980">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S</w:t>
            </w:r>
          </w:p>
          <w:p w:rsidR="008902B1" w:rsidRPr="00FE6980" w:rsidRDefault="008902B1" w:rsidP="005F6FC4">
            <w:pPr>
              <w:widowControl w:val="0"/>
              <w:jc w:val="center"/>
              <w:rPr>
                <w:rFonts w:ascii="Arial" w:hAnsi="Arial"/>
                <w:sz w:val="14"/>
              </w:rPr>
            </w:pPr>
            <w:r w:rsidRPr="00FE698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M</w:t>
            </w:r>
          </w:p>
          <w:p w:rsidR="008902B1" w:rsidRPr="00FE6980" w:rsidRDefault="008902B1" w:rsidP="005F6FC4">
            <w:pPr>
              <w:widowControl w:val="0"/>
              <w:jc w:val="center"/>
              <w:rPr>
                <w:rFonts w:ascii="Arial" w:hAnsi="Arial"/>
                <w:sz w:val="14"/>
              </w:rPr>
            </w:pPr>
            <w:r w:rsidRPr="00FE698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T</w:t>
            </w:r>
          </w:p>
          <w:p w:rsidR="008902B1" w:rsidRPr="00FE6980" w:rsidRDefault="008902B1" w:rsidP="005F6FC4">
            <w:pPr>
              <w:widowControl w:val="0"/>
              <w:jc w:val="center"/>
              <w:rPr>
                <w:rFonts w:ascii="Arial" w:hAnsi="Arial"/>
                <w:sz w:val="14"/>
              </w:rPr>
            </w:pPr>
            <w:r w:rsidRPr="00FE698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W</w:t>
            </w:r>
          </w:p>
          <w:p w:rsidR="008902B1" w:rsidRPr="00FE6980" w:rsidRDefault="008902B1" w:rsidP="005F6FC4">
            <w:pPr>
              <w:widowControl w:val="0"/>
              <w:jc w:val="center"/>
              <w:rPr>
                <w:rFonts w:ascii="Arial" w:hAnsi="Arial"/>
                <w:sz w:val="14"/>
              </w:rPr>
            </w:pPr>
            <w:r w:rsidRPr="00FE698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T</w:t>
            </w:r>
          </w:p>
          <w:p w:rsidR="008902B1" w:rsidRPr="00FE6980" w:rsidRDefault="008902B1" w:rsidP="005F6FC4">
            <w:pPr>
              <w:widowControl w:val="0"/>
              <w:jc w:val="center"/>
              <w:rPr>
                <w:rFonts w:ascii="Arial" w:hAnsi="Arial"/>
                <w:sz w:val="14"/>
              </w:rPr>
            </w:pPr>
            <w:r w:rsidRPr="00FE6980">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F</w:t>
            </w:r>
          </w:p>
          <w:p w:rsidR="008902B1" w:rsidRPr="00FE6980" w:rsidRDefault="008902B1" w:rsidP="005F6FC4">
            <w:pPr>
              <w:widowControl w:val="0"/>
              <w:jc w:val="center"/>
              <w:rPr>
                <w:rFonts w:ascii="Arial" w:hAnsi="Arial"/>
                <w:sz w:val="14"/>
              </w:rPr>
            </w:pPr>
            <w:r w:rsidRPr="00FE6980">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S</w:t>
            </w:r>
          </w:p>
          <w:p w:rsidR="008902B1" w:rsidRPr="00FE6980" w:rsidRDefault="008902B1" w:rsidP="005F6FC4">
            <w:pPr>
              <w:widowControl w:val="0"/>
              <w:jc w:val="center"/>
              <w:rPr>
                <w:rFonts w:ascii="Arial" w:hAnsi="Arial"/>
                <w:sz w:val="14"/>
              </w:rPr>
            </w:pPr>
            <w:r w:rsidRPr="00FE6980">
              <w:rPr>
                <w:rFonts w:ascii="Arial" w:hAnsi="Arial"/>
                <w:sz w:val="14"/>
              </w:rPr>
              <w:t>S</w:t>
            </w:r>
          </w:p>
        </w:tc>
      </w:tr>
      <w:tr w:rsidR="008902B1" w:rsidRPr="00FE6980" w:rsidTr="005F6FC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b/>
                <w:sz w:val="14"/>
              </w:rPr>
            </w:pPr>
          </w:p>
          <w:p w:rsidR="008902B1" w:rsidRPr="00FE6980" w:rsidRDefault="008902B1" w:rsidP="005F6FC4">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b/>
                <w:sz w:val="14"/>
              </w:rPr>
            </w:pPr>
          </w:p>
          <w:p w:rsidR="008902B1" w:rsidRPr="00FE6980" w:rsidRDefault="008902B1" w:rsidP="005F6FC4">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b/>
                <w:sz w:val="14"/>
              </w:rPr>
            </w:pPr>
          </w:p>
          <w:p w:rsidR="008902B1" w:rsidRPr="00FE6980" w:rsidRDefault="008902B1" w:rsidP="005F6FC4">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b/>
                <w:sz w:val="14"/>
              </w:rPr>
            </w:pPr>
            <w:r w:rsidRPr="00FE6980">
              <w:rPr>
                <w:rFonts w:ascii="Arial" w:hAnsi="Arial"/>
                <w:b/>
                <w:sz w:val="14"/>
              </w:rPr>
              <w:t>H</w:t>
            </w:r>
          </w:p>
          <w:p w:rsidR="008902B1" w:rsidRPr="00FE6980" w:rsidRDefault="008902B1" w:rsidP="005F6FC4">
            <w:pPr>
              <w:widowControl w:val="0"/>
              <w:jc w:val="center"/>
              <w:rPr>
                <w:rFonts w:ascii="Arial" w:hAnsi="Arial"/>
                <w:sz w:val="14"/>
              </w:rPr>
            </w:pPr>
            <w:r w:rsidRPr="00FE6980">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5</w:t>
            </w:r>
          </w:p>
        </w:tc>
      </w:tr>
      <w:tr w:rsidR="008902B1" w:rsidRPr="00FE6980" w:rsidTr="005F6FC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12</w:t>
            </w:r>
          </w:p>
        </w:tc>
      </w:tr>
      <w:tr w:rsidR="008902B1" w:rsidRPr="00FE6980" w:rsidTr="005F6FC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b/>
                <w:sz w:val="14"/>
              </w:rPr>
            </w:pPr>
            <w:r w:rsidRPr="00FE6980">
              <w:rPr>
                <w:rFonts w:ascii="Arial" w:hAnsi="Arial"/>
                <w:b/>
                <w:sz w:val="14"/>
              </w:rPr>
              <w:t>M</w:t>
            </w:r>
          </w:p>
          <w:p w:rsidR="008902B1" w:rsidRPr="00FE6980" w:rsidRDefault="008902B1" w:rsidP="005F6FC4">
            <w:pPr>
              <w:widowControl w:val="0"/>
              <w:jc w:val="center"/>
              <w:rPr>
                <w:rFonts w:ascii="Arial" w:hAnsi="Arial"/>
                <w:sz w:val="14"/>
              </w:rPr>
            </w:pPr>
            <w:r w:rsidRPr="00FE6980">
              <w:rPr>
                <w:rFonts w:ascii="Arial" w:hAnsi="Arial"/>
                <w:sz w:val="14"/>
              </w:rPr>
              <w:t>11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b/>
                <w:sz w:val="14"/>
              </w:rPr>
            </w:pPr>
            <w:r w:rsidRPr="00FE6980">
              <w:rPr>
                <w:rFonts w:ascii="Arial" w:hAnsi="Arial"/>
                <w:b/>
                <w:sz w:val="14"/>
              </w:rPr>
              <w:t>M</w:t>
            </w:r>
          </w:p>
          <w:p w:rsidR="008902B1" w:rsidRPr="00FE6980" w:rsidRDefault="008902B1" w:rsidP="005F6FC4">
            <w:pPr>
              <w:widowControl w:val="0"/>
              <w:jc w:val="center"/>
              <w:rPr>
                <w:rFonts w:ascii="Arial" w:hAnsi="Arial"/>
                <w:sz w:val="14"/>
              </w:rPr>
            </w:pPr>
            <w:r w:rsidRPr="00FE6980">
              <w:rPr>
                <w:rFonts w:ascii="Arial" w:hAnsi="Arial"/>
                <w:sz w:val="14"/>
              </w:rPr>
              <w:t>15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19</w:t>
            </w:r>
          </w:p>
        </w:tc>
      </w:tr>
      <w:tr w:rsidR="008902B1" w:rsidRPr="00FE6980" w:rsidTr="005F6FC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b/>
                <w:sz w:val="14"/>
              </w:rPr>
            </w:pPr>
            <w:r w:rsidRPr="00FE6980">
              <w:rPr>
                <w:rFonts w:ascii="Arial" w:hAnsi="Arial"/>
                <w:b/>
                <w:sz w:val="14"/>
              </w:rPr>
              <w:t>M</w:t>
            </w:r>
          </w:p>
          <w:p w:rsidR="008902B1" w:rsidRPr="00FE6980" w:rsidRDefault="008902B1" w:rsidP="005F6FC4">
            <w:pPr>
              <w:widowControl w:val="0"/>
              <w:jc w:val="center"/>
              <w:rPr>
                <w:rFonts w:ascii="Arial" w:hAnsi="Arial"/>
                <w:sz w:val="14"/>
              </w:rPr>
            </w:pPr>
            <w:r w:rsidRPr="00FE6980">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FE6980" w:rsidRDefault="008902B1" w:rsidP="005F6FC4">
            <w:pPr>
              <w:widowControl w:val="0"/>
              <w:jc w:val="center"/>
              <w:rPr>
                <w:rFonts w:ascii="Arial" w:hAnsi="Arial"/>
                <w:b/>
                <w:sz w:val="14"/>
              </w:rPr>
            </w:pPr>
            <w:r w:rsidRPr="00FE6980">
              <w:rPr>
                <w:rFonts w:ascii="Arial" w:hAnsi="Arial"/>
                <w:b/>
                <w:sz w:val="14"/>
              </w:rPr>
              <w:t>H</w:t>
            </w:r>
          </w:p>
          <w:p w:rsidR="008902B1" w:rsidRPr="00FE6980" w:rsidRDefault="008902B1" w:rsidP="005F6FC4">
            <w:pPr>
              <w:widowControl w:val="0"/>
              <w:jc w:val="center"/>
              <w:rPr>
                <w:rFonts w:ascii="Arial" w:hAnsi="Arial"/>
                <w:sz w:val="14"/>
              </w:rPr>
            </w:pPr>
            <w:r w:rsidRPr="00FE6980">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26</w:t>
            </w:r>
          </w:p>
        </w:tc>
      </w:tr>
      <w:tr w:rsidR="008902B1" w:rsidRPr="00FE6980" w:rsidTr="005F6FC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rPr>
                <w:rFonts w:ascii="Arial" w:hAnsi="Arial"/>
                <w:sz w:val="14"/>
              </w:rPr>
            </w:pPr>
            <w:r w:rsidRPr="00FE6980">
              <w:rPr>
                <w:rFonts w:ascii="Arial" w:hAnsi="Arial"/>
                <w:sz w:val="14"/>
              </w:rPr>
              <w:t xml:space="preserve"> 24</w:t>
            </w:r>
          </w:p>
          <w:p w:rsidR="008902B1" w:rsidRPr="00FE6980" w:rsidRDefault="008902B1" w:rsidP="005F6FC4">
            <w:pPr>
              <w:widowControl w:val="0"/>
              <w:jc w:val="center"/>
              <w:rPr>
                <w:rFonts w:ascii="Arial" w:hAnsi="Arial"/>
                <w:sz w:val="14"/>
              </w:rPr>
            </w:pPr>
            <w:r w:rsidRPr="00FE6980">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FE6980" w:rsidRDefault="008902B1" w:rsidP="005F6FC4">
            <w:pPr>
              <w:widowControl w:val="0"/>
              <w:jc w:val="center"/>
              <w:rPr>
                <w:rFonts w:ascii="Arial" w:hAnsi="Arial"/>
                <w:b/>
                <w:sz w:val="14"/>
              </w:rPr>
            </w:pPr>
            <w:r w:rsidRPr="00FE6980">
              <w:rPr>
                <w:rFonts w:ascii="Arial" w:hAnsi="Arial"/>
                <w:b/>
                <w:sz w:val="14"/>
              </w:rPr>
              <w:t>H</w:t>
            </w:r>
          </w:p>
          <w:p w:rsidR="008902B1" w:rsidRPr="00FE6980" w:rsidRDefault="008902B1" w:rsidP="005F6FC4">
            <w:pPr>
              <w:widowControl w:val="0"/>
              <w:jc w:val="center"/>
              <w:rPr>
                <w:rFonts w:ascii="Arial" w:hAnsi="Arial"/>
                <w:sz w:val="14"/>
              </w:rPr>
            </w:pPr>
            <w:r w:rsidRPr="00FE6980">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FE6980" w:rsidRDefault="008902B1" w:rsidP="005F6FC4">
            <w:pPr>
              <w:widowControl w:val="0"/>
              <w:jc w:val="center"/>
              <w:rPr>
                <w:rFonts w:ascii="Arial" w:hAnsi="Arial"/>
                <w:b/>
                <w:sz w:val="14"/>
              </w:rPr>
            </w:pPr>
          </w:p>
          <w:p w:rsidR="008902B1" w:rsidRPr="00FE6980" w:rsidRDefault="008902B1" w:rsidP="005F6FC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r>
    </w:tbl>
    <w:p w:rsidR="008902B1" w:rsidRPr="00FE6980"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FE6980" w:rsidTr="005F6FC4">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FE6980" w:rsidRDefault="008902B1" w:rsidP="005F6FC4">
            <w:pPr>
              <w:widowControl w:val="0"/>
              <w:jc w:val="center"/>
              <w:rPr>
                <w:rFonts w:ascii="Arial" w:hAnsi="Arial"/>
                <w:sz w:val="14"/>
              </w:rPr>
            </w:pPr>
            <w:r w:rsidRPr="00FE6980">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FE6980" w:rsidRDefault="008902B1" w:rsidP="005F6FC4">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FE6980" w:rsidRDefault="008902B1" w:rsidP="005F6FC4">
            <w:pPr>
              <w:widowControl w:val="0"/>
              <w:jc w:val="center"/>
              <w:rPr>
                <w:rFonts w:ascii="Arial" w:hAnsi="Arial"/>
                <w:sz w:val="14"/>
              </w:rPr>
            </w:pPr>
            <w:r w:rsidRPr="00FE6980">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FE6980" w:rsidRDefault="008902B1" w:rsidP="005F6FC4">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FE6980" w:rsidRDefault="008902B1" w:rsidP="005F6FC4">
            <w:pPr>
              <w:widowControl w:val="0"/>
              <w:jc w:val="center"/>
              <w:rPr>
                <w:rFonts w:ascii="Arial" w:hAnsi="Arial"/>
                <w:sz w:val="14"/>
              </w:rPr>
            </w:pPr>
            <w:r w:rsidRPr="00FE6980">
              <w:rPr>
                <w:rFonts w:ascii="Arial" w:hAnsi="Arial"/>
                <w:b/>
                <w:sz w:val="14"/>
              </w:rPr>
              <w:t>JUNE - JUIN</w:t>
            </w:r>
          </w:p>
        </w:tc>
      </w:tr>
      <w:tr w:rsidR="008902B1" w:rsidRPr="00FE6980" w:rsidTr="005F6FC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S</w:t>
            </w:r>
          </w:p>
          <w:p w:rsidR="008902B1" w:rsidRPr="00FE6980" w:rsidRDefault="008902B1" w:rsidP="005F6FC4">
            <w:pPr>
              <w:widowControl w:val="0"/>
              <w:jc w:val="center"/>
              <w:rPr>
                <w:rFonts w:ascii="Arial" w:hAnsi="Arial"/>
                <w:sz w:val="14"/>
              </w:rPr>
            </w:pPr>
            <w:r w:rsidRPr="00FE698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M</w:t>
            </w:r>
          </w:p>
          <w:p w:rsidR="008902B1" w:rsidRPr="00FE6980" w:rsidRDefault="008902B1" w:rsidP="005F6FC4">
            <w:pPr>
              <w:widowControl w:val="0"/>
              <w:jc w:val="center"/>
              <w:rPr>
                <w:rFonts w:ascii="Arial" w:hAnsi="Arial"/>
                <w:sz w:val="14"/>
              </w:rPr>
            </w:pPr>
            <w:r w:rsidRPr="00FE698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T</w:t>
            </w:r>
          </w:p>
          <w:p w:rsidR="008902B1" w:rsidRPr="00FE6980" w:rsidRDefault="008902B1" w:rsidP="005F6FC4">
            <w:pPr>
              <w:widowControl w:val="0"/>
              <w:jc w:val="center"/>
              <w:rPr>
                <w:rFonts w:ascii="Arial" w:hAnsi="Arial"/>
                <w:sz w:val="14"/>
              </w:rPr>
            </w:pPr>
            <w:r w:rsidRPr="00FE698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W</w:t>
            </w:r>
          </w:p>
          <w:p w:rsidR="008902B1" w:rsidRPr="00FE6980" w:rsidRDefault="008902B1" w:rsidP="005F6FC4">
            <w:pPr>
              <w:widowControl w:val="0"/>
              <w:jc w:val="center"/>
              <w:rPr>
                <w:rFonts w:ascii="Arial" w:hAnsi="Arial"/>
                <w:sz w:val="14"/>
              </w:rPr>
            </w:pPr>
            <w:r w:rsidRPr="00FE698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T</w:t>
            </w:r>
          </w:p>
          <w:p w:rsidR="008902B1" w:rsidRPr="00FE6980" w:rsidRDefault="008902B1" w:rsidP="005F6FC4">
            <w:pPr>
              <w:widowControl w:val="0"/>
              <w:jc w:val="center"/>
              <w:rPr>
                <w:rFonts w:ascii="Arial" w:hAnsi="Arial"/>
                <w:sz w:val="14"/>
              </w:rPr>
            </w:pPr>
            <w:r w:rsidRPr="00FE6980">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F</w:t>
            </w:r>
          </w:p>
          <w:p w:rsidR="008902B1" w:rsidRPr="00FE6980" w:rsidRDefault="008902B1" w:rsidP="005F6FC4">
            <w:pPr>
              <w:widowControl w:val="0"/>
              <w:jc w:val="center"/>
              <w:rPr>
                <w:rFonts w:ascii="Arial" w:hAnsi="Arial"/>
                <w:sz w:val="14"/>
              </w:rPr>
            </w:pPr>
            <w:r w:rsidRPr="00FE6980">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S</w:t>
            </w:r>
          </w:p>
          <w:p w:rsidR="008902B1" w:rsidRPr="00FE6980" w:rsidRDefault="008902B1" w:rsidP="005F6FC4">
            <w:pPr>
              <w:widowControl w:val="0"/>
              <w:jc w:val="center"/>
              <w:rPr>
                <w:rFonts w:ascii="Arial" w:hAnsi="Arial"/>
                <w:sz w:val="14"/>
              </w:rPr>
            </w:pPr>
            <w:r w:rsidRPr="00FE6980">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S</w:t>
            </w:r>
          </w:p>
          <w:p w:rsidR="008902B1" w:rsidRPr="00FE6980" w:rsidRDefault="008902B1" w:rsidP="005F6FC4">
            <w:pPr>
              <w:widowControl w:val="0"/>
              <w:jc w:val="center"/>
              <w:rPr>
                <w:rFonts w:ascii="Arial" w:hAnsi="Arial"/>
                <w:sz w:val="14"/>
              </w:rPr>
            </w:pPr>
            <w:r w:rsidRPr="00FE698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M</w:t>
            </w:r>
          </w:p>
          <w:p w:rsidR="008902B1" w:rsidRPr="00FE6980" w:rsidRDefault="008902B1" w:rsidP="005F6FC4">
            <w:pPr>
              <w:widowControl w:val="0"/>
              <w:jc w:val="center"/>
              <w:rPr>
                <w:rFonts w:ascii="Arial" w:hAnsi="Arial"/>
                <w:sz w:val="14"/>
              </w:rPr>
            </w:pPr>
            <w:r w:rsidRPr="00FE698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T</w:t>
            </w:r>
          </w:p>
          <w:p w:rsidR="008902B1" w:rsidRPr="00FE6980" w:rsidRDefault="008902B1" w:rsidP="005F6FC4">
            <w:pPr>
              <w:widowControl w:val="0"/>
              <w:jc w:val="center"/>
              <w:rPr>
                <w:rFonts w:ascii="Arial" w:hAnsi="Arial"/>
                <w:sz w:val="14"/>
              </w:rPr>
            </w:pPr>
            <w:r w:rsidRPr="00FE698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W</w:t>
            </w:r>
          </w:p>
          <w:p w:rsidR="008902B1" w:rsidRPr="00FE6980" w:rsidRDefault="008902B1" w:rsidP="005F6FC4">
            <w:pPr>
              <w:widowControl w:val="0"/>
              <w:jc w:val="center"/>
              <w:rPr>
                <w:rFonts w:ascii="Arial" w:hAnsi="Arial"/>
                <w:sz w:val="14"/>
              </w:rPr>
            </w:pPr>
            <w:r w:rsidRPr="00FE698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T</w:t>
            </w:r>
          </w:p>
          <w:p w:rsidR="008902B1" w:rsidRPr="00FE6980" w:rsidRDefault="008902B1" w:rsidP="005F6FC4">
            <w:pPr>
              <w:widowControl w:val="0"/>
              <w:jc w:val="center"/>
              <w:rPr>
                <w:rFonts w:ascii="Arial" w:hAnsi="Arial"/>
                <w:sz w:val="14"/>
              </w:rPr>
            </w:pPr>
            <w:r w:rsidRPr="00FE6980">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F</w:t>
            </w:r>
          </w:p>
          <w:p w:rsidR="008902B1" w:rsidRPr="00FE6980" w:rsidRDefault="008902B1" w:rsidP="005F6FC4">
            <w:pPr>
              <w:widowControl w:val="0"/>
              <w:jc w:val="center"/>
              <w:rPr>
                <w:rFonts w:ascii="Arial" w:hAnsi="Arial"/>
                <w:sz w:val="14"/>
              </w:rPr>
            </w:pPr>
            <w:r w:rsidRPr="00FE6980">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S</w:t>
            </w:r>
          </w:p>
          <w:p w:rsidR="008902B1" w:rsidRPr="00FE6980" w:rsidRDefault="008902B1" w:rsidP="005F6FC4">
            <w:pPr>
              <w:widowControl w:val="0"/>
              <w:jc w:val="center"/>
              <w:rPr>
                <w:rFonts w:ascii="Arial" w:hAnsi="Arial"/>
                <w:sz w:val="14"/>
              </w:rPr>
            </w:pPr>
            <w:r w:rsidRPr="00FE6980">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S</w:t>
            </w:r>
          </w:p>
          <w:p w:rsidR="008902B1" w:rsidRPr="00FE6980" w:rsidRDefault="008902B1" w:rsidP="005F6FC4">
            <w:pPr>
              <w:widowControl w:val="0"/>
              <w:jc w:val="center"/>
              <w:rPr>
                <w:rFonts w:ascii="Arial" w:hAnsi="Arial"/>
                <w:sz w:val="14"/>
              </w:rPr>
            </w:pPr>
            <w:r w:rsidRPr="00FE698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M</w:t>
            </w:r>
          </w:p>
          <w:p w:rsidR="008902B1" w:rsidRPr="00FE6980" w:rsidRDefault="008902B1" w:rsidP="005F6FC4">
            <w:pPr>
              <w:widowControl w:val="0"/>
              <w:jc w:val="center"/>
              <w:rPr>
                <w:rFonts w:ascii="Arial" w:hAnsi="Arial"/>
                <w:sz w:val="14"/>
              </w:rPr>
            </w:pPr>
            <w:r w:rsidRPr="00FE698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T</w:t>
            </w:r>
          </w:p>
          <w:p w:rsidR="008902B1" w:rsidRPr="00FE6980" w:rsidRDefault="008902B1" w:rsidP="005F6FC4">
            <w:pPr>
              <w:widowControl w:val="0"/>
              <w:jc w:val="center"/>
              <w:rPr>
                <w:rFonts w:ascii="Arial" w:hAnsi="Arial"/>
                <w:sz w:val="14"/>
              </w:rPr>
            </w:pPr>
            <w:r w:rsidRPr="00FE698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W</w:t>
            </w:r>
          </w:p>
          <w:p w:rsidR="008902B1" w:rsidRPr="00FE6980" w:rsidRDefault="008902B1" w:rsidP="005F6FC4">
            <w:pPr>
              <w:widowControl w:val="0"/>
              <w:jc w:val="center"/>
              <w:rPr>
                <w:rFonts w:ascii="Arial" w:hAnsi="Arial"/>
                <w:sz w:val="14"/>
              </w:rPr>
            </w:pPr>
            <w:r w:rsidRPr="00FE698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T</w:t>
            </w:r>
          </w:p>
          <w:p w:rsidR="008902B1" w:rsidRPr="00FE6980" w:rsidRDefault="008902B1" w:rsidP="005F6FC4">
            <w:pPr>
              <w:widowControl w:val="0"/>
              <w:jc w:val="center"/>
              <w:rPr>
                <w:rFonts w:ascii="Arial" w:hAnsi="Arial"/>
                <w:sz w:val="14"/>
              </w:rPr>
            </w:pPr>
            <w:r w:rsidRPr="00FE6980">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F</w:t>
            </w:r>
          </w:p>
          <w:p w:rsidR="008902B1" w:rsidRPr="00FE6980" w:rsidRDefault="008902B1" w:rsidP="005F6FC4">
            <w:pPr>
              <w:widowControl w:val="0"/>
              <w:jc w:val="center"/>
              <w:rPr>
                <w:rFonts w:ascii="Arial" w:hAnsi="Arial"/>
                <w:sz w:val="14"/>
              </w:rPr>
            </w:pPr>
            <w:r w:rsidRPr="00FE6980">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r w:rsidRPr="00FE6980">
              <w:rPr>
                <w:rFonts w:ascii="Arial" w:hAnsi="Arial"/>
                <w:sz w:val="14"/>
              </w:rPr>
              <w:t>S</w:t>
            </w:r>
          </w:p>
          <w:p w:rsidR="008902B1" w:rsidRPr="00FE6980" w:rsidRDefault="008902B1" w:rsidP="005F6FC4">
            <w:pPr>
              <w:widowControl w:val="0"/>
              <w:jc w:val="center"/>
              <w:rPr>
                <w:rFonts w:ascii="Arial" w:hAnsi="Arial"/>
                <w:sz w:val="14"/>
              </w:rPr>
            </w:pPr>
            <w:r w:rsidRPr="00FE6980">
              <w:rPr>
                <w:rFonts w:ascii="Arial" w:hAnsi="Arial"/>
                <w:sz w:val="14"/>
              </w:rPr>
              <w:t>S</w:t>
            </w:r>
          </w:p>
        </w:tc>
      </w:tr>
      <w:tr w:rsidR="008902B1" w:rsidRPr="00FE6980" w:rsidTr="005F6FC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b/>
                <w:sz w:val="14"/>
              </w:rPr>
            </w:pPr>
          </w:p>
          <w:p w:rsidR="008902B1" w:rsidRPr="00FE6980" w:rsidRDefault="008902B1" w:rsidP="005F6FC4">
            <w:pPr>
              <w:widowControl w:val="0"/>
              <w:jc w:val="center"/>
              <w:rPr>
                <w:rFonts w:ascii="Arial" w:hAnsi="Arial"/>
                <w:sz w:val="14"/>
              </w:rPr>
            </w:pPr>
            <w:r w:rsidRPr="00FE6980">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4</w:t>
            </w:r>
          </w:p>
        </w:tc>
      </w:tr>
      <w:tr w:rsidR="008902B1" w:rsidRPr="00FE6980" w:rsidTr="005F6FC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11</w:t>
            </w:r>
          </w:p>
        </w:tc>
      </w:tr>
      <w:tr w:rsidR="008902B1" w:rsidRPr="00FE6980" w:rsidTr="005F6FC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FE6980" w:rsidRDefault="008902B1" w:rsidP="005F6FC4">
            <w:pPr>
              <w:widowControl w:val="0"/>
              <w:jc w:val="center"/>
              <w:rPr>
                <w:rFonts w:ascii="Arial" w:hAnsi="Arial"/>
                <w:b/>
                <w:sz w:val="14"/>
              </w:rPr>
            </w:pPr>
          </w:p>
          <w:p w:rsidR="008902B1" w:rsidRPr="00FE6980" w:rsidRDefault="008902B1" w:rsidP="005F6FC4">
            <w:pPr>
              <w:widowControl w:val="0"/>
              <w:jc w:val="center"/>
              <w:rPr>
                <w:rFonts w:ascii="Arial" w:hAnsi="Arial"/>
                <w:sz w:val="14"/>
              </w:rPr>
            </w:pPr>
            <w:r w:rsidRPr="00FE6980">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b/>
                <w:sz w:val="14"/>
              </w:rPr>
            </w:pPr>
            <w:r w:rsidRPr="00FE6980">
              <w:rPr>
                <w:rFonts w:ascii="Arial" w:hAnsi="Arial"/>
                <w:b/>
                <w:sz w:val="14"/>
              </w:rPr>
              <w:t>M</w:t>
            </w:r>
          </w:p>
          <w:p w:rsidR="008902B1" w:rsidRPr="00FE6980" w:rsidRDefault="008902B1" w:rsidP="005F6FC4">
            <w:pPr>
              <w:widowControl w:val="0"/>
              <w:jc w:val="center"/>
              <w:rPr>
                <w:rFonts w:ascii="Arial" w:hAnsi="Arial"/>
                <w:sz w:val="14"/>
              </w:rPr>
            </w:pPr>
            <w:r w:rsidRPr="00FE6980">
              <w:rPr>
                <w:rFonts w:ascii="Arial" w:hAnsi="Arial"/>
                <w:sz w:val="14"/>
              </w:rPr>
              <w:t>16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b/>
                <w:sz w:val="14"/>
              </w:rPr>
            </w:pPr>
            <w:r w:rsidRPr="00FE6980">
              <w:rPr>
                <w:rFonts w:ascii="Arial" w:hAnsi="Arial"/>
                <w:b/>
                <w:sz w:val="14"/>
              </w:rPr>
              <w:t>M</w:t>
            </w:r>
          </w:p>
          <w:p w:rsidR="008902B1" w:rsidRPr="00FE6980" w:rsidRDefault="008902B1" w:rsidP="005F6FC4">
            <w:pPr>
              <w:widowControl w:val="0"/>
              <w:jc w:val="center"/>
              <w:rPr>
                <w:rFonts w:ascii="Arial" w:hAnsi="Arial"/>
                <w:sz w:val="14"/>
              </w:rPr>
            </w:pPr>
            <w:r w:rsidRPr="00FE6980">
              <w:rPr>
                <w:rFonts w:ascii="Arial" w:hAnsi="Arial"/>
                <w:sz w:val="14"/>
              </w:rPr>
              <w:t>13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18</w:t>
            </w:r>
          </w:p>
        </w:tc>
      </w:tr>
      <w:tr w:rsidR="008902B1" w:rsidRPr="00FE6980" w:rsidTr="005F6FC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FE6980" w:rsidRDefault="008902B1" w:rsidP="005F6FC4">
            <w:pPr>
              <w:widowControl w:val="0"/>
              <w:jc w:val="center"/>
              <w:rPr>
                <w:rFonts w:ascii="Arial" w:hAnsi="Arial"/>
                <w:b/>
                <w:sz w:val="14"/>
              </w:rPr>
            </w:pPr>
            <w:r w:rsidRPr="00FE6980">
              <w:rPr>
                <w:rFonts w:ascii="Arial" w:hAnsi="Arial"/>
                <w:b/>
                <w:sz w:val="14"/>
              </w:rPr>
              <w:t>M</w:t>
            </w:r>
          </w:p>
          <w:p w:rsidR="008902B1" w:rsidRPr="00FE6980" w:rsidRDefault="008902B1" w:rsidP="005F6FC4">
            <w:pPr>
              <w:widowControl w:val="0"/>
              <w:jc w:val="center"/>
              <w:rPr>
                <w:rFonts w:ascii="Arial" w:hAnsi="Arial"/>
                <w:sz w:val="14"/>
              </w:rPr>
            </w:pPr>
            <w:r w:rsidRPr="00FE6980">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FE6980" w:rsidRDefault="008902B1" w:rsidP="005F6FC4">
            <w:pPr>
              <w:widowControl w:val="0"/>
              <w:jc w:val="center"/>
              <w:rPr>
                <w:rFonts w:ascii="Arial" w:hAnsi="Arial"/>
                <w:b/>
                <w:sz w:val="14"/>
              </w:rPr>
            </w:pPr>
            <w:r w:rsidRPr="00FE6980">
              <w:rPr>
                <w:rFonts w:ascii="Arial" w:hAnsi="Arial"/>
                <w:b/>
                <w:sz w:val="14"/>
              </w:rPr>
              <w:t>H</w:t>
            </w:r>
          </w:p>
          <w:p w:rsidR="008902B1" w:rsidRPr="00FE6980" w:rsidRDefault="008902B1" w:rsidP="005F6FC4">
            <w:pPr>
              <w:widowControl w:val="0"/>
              <w:jc w:val="center"/>
              <w:rPr>
                <w:rFonts w:ascii="Arial" w:hAnsi="Arial"/>
                <w:sz w:val="14"/>
              </w:rPr>
            </w:pPr>
            <w:r w:rsidRPr="00FE6980">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25</w:t>
            </w:r>
          </w:p>
        </w:tc>
      </w:tr>
      <w:tr w:rsidR="008902B1" w:rsidRPr="00FE6980" w:rsidTr="005F6FC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r w:rsidRPr="00FE6980">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FE6980" w:rsidRDefault="008902B1" w:rsidP="005F6FC4">
            <w:pPr>
              <w:widowControl w:val="0"/>
              <w:jc w:val="center"/>
              <w:rPr>
                <w:rFonts w:ascii="Arial" w:hAnsi="Arial"/>
                <w:sz w:val="14"/>
              </w:rPr>
            </w:pPr>
          </w:p>
          <w:p w:rsidR="008902B1" w:rsidRPr="00FE6980" w:rsidRDefault="008902B1" w:rsidP="005F6FC4">
            <w:pPr>
              <w:widowControl w:val="0"/>
              <w:jc w:val="center"/>
              <w:rPr>
                <w:rFonts w:ascii="Arial" w:hAnsi="Arial"/>
                <w:sz w:val="14"/>
              </w:rPr>
            </w:pPr>
          </w:p>
        </w:tc>
      </w:tr>
    </w:tbl>
    <w:p w:rsidR="008902B1" w:rsidRPr="00FE6980"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FE6980" w:rsidTr="005F6FC4">
        <w:trPr>
          <w:cantSplit/>
        </w:trPr>
        <w:tc>
          <w:tcPr>
            <w:tcW w:w="1710" w:type="dxa"/>
            <w:tcBorders>
              <w:top w:val="nil"/>
              <w:left w:val="nil"/>
              <w:bottom w:val="nil"/>
              <w:right w:val="nil"/>
            </w:tcBorders>
            <w:tcMar>
              <w:top w:w="43" w:type="dxa"/>
              <w:left w:w="120" w:type="dxa"/>
              <w:bottom w:w="29" w:type="dxa"/>
              <w:right w:w="120" w:type="dxa"/>
            </w:tcMar>
          </w:tcPr>
          <w:p w:rsidR="008902B1" w:rsidRPr="00FE6980" w:rsidRDefault="008902B1" w:rsidP="005F6FC4">
            <w:pPr>
              <w:widowControl w:val="0"/>
              <w:rPr>
                <w:rFonts w:ascii="Arial" w:hAnsi="Arial"/>
                <w:sz w:val="16"/>
              </w:rPr>
            </w:pPr>
            <w:r w:rsidRPr="00FE6980">
              <w:rPr>
                <w:rFonts w:ascii="Arial" w:hAnsi="Arial"/>
                <w:sz w:val="16"/>
              </w:rPr>
              <w:t>Sittings of the court:</w:t>
            </w:r>
          </w:p>
          <w:p w:rsidR="008902B1" w:rsidRPr="00FE6980" w:rsidRDefault="008902B1" w:rsidP="005F6FC4">
            <w:pPr>
              <w:widowControl w:val="0"/>
              <w:rPr>
                <w:rFonts w:ascii="Arial" w:hAnsi="Arial"/>
                <w:sz w:val="16"/>
              </w:rPr>
            </w:pPr>
            <w:r w:rsidRPr="00FE6980">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FE6980" w:rsidRDefault="008902B1" w:rsidP="005F6FC4">
            <w:pPr>
              <w:widowControl w:val="0"/>
              <w:rPr>
                <w:rFonts w:ascii="Arial" w:hAnsi="Arial"/>
                <w:sz w:val="16"/>
              </w:rPr>
            </w:pPr>
          </w:p>
          <w:p w:rsidR="008902B1" w:rsidRPr="00FE6980" w:rsidRDefault="008902B1" w:rsidP="005F6FC4">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FE6980" w:rsidRDefault="008902B1" w:rsidP="005F6F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FE6980">
              <w:rPr>
                <w:rFonts w:ascii="Arial" w:hAnsi="Arial"/>
                <w:b/>
                <w:sz w:val="16"/>
              </w:rPr>
              <w:tab/>
            </w:r>
            <w:r w:rsidRPr="00FE6980">
              <w:rPr>
                <w:rFonts w:ascii="Arial" w:hAnsi="Arial"/>
                <w:b/>
                <w:sz w:val="16"/>
                <w:lang w:val="fr-CA"/>
              </w:rPr>
              <w:t>18  sitting weeks / semaines séances de la cour</w:t>
            </w:r>
          </w:p>
          <w:p w:rsidR="008902B1" w:rsidRPr="00FE6980" w:rsidRDefault="008902B1" w:rsidP="005F6F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FE6980">
              <w:rPr>
                <w:rFonts w:ascii="Arial" w:hAnsi="Arial"/>
                <w:b/>
                <w:sz w:val="16"/>
                <w:lang w:val="fr-CA"/>
              </w:rPr>
              <w:tab/>
              <w:t>85  sitting days / journées séances de la cour</w:t>
            </w:r>
          </w:p>
          <w:p w:rsidR="008902B1" w:rsidRPr="00FE6980" w:rsidRDefault="008902B1" w:rsidP="005F6F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FE6980">
              <w:rPr>
                <w:rFonts w:ascii="Arial" w:hAnsi="Arial"/>
                <w:b/>
                <w:sz w:val="16"/>
                <w:lang w:val="fr-CA"/>
              </w:rPr>
              <w:tab/>
              <w:t>9    motion and conference days / journées des requêtes et des conférences</w:t>
            </w:r>
          </w:p>
          <w:p w:rsidR="008902B1" w:rsidRPr="00FE6980" w:rsidRDefault="008902B1" w:rsidP="005F6F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FE6980">
              <w:rPr>
                <w:rFonts w:ascii="Arial" w:hAnsi="Arial"/>
                <w:b/>
                <w:sz w:val="16"/>
                <w:lang w:val="fr-CA"/>
              </w:rPr>
              <w:tab/>
              <w:t>5</w:t>
            </w:r>
            <w:r w:rsidRPr="00FE6980">
              <w:rPr>
                <w:rFonts w:ascii="Arial" w:hAnsi="Arial"/>
                <w:b/>
                <w:sz w:val="16"/>
              </w:rPr>
              <w:t xml:space="preserve">    holidays during sitting days / jours fériés durant les sessions</w:t>
            </w:r>
          </w:p>
          <w:p w:rsidR="008902B1" w:rsidRPr="00FE6980" w:rsidRDefault="008902B1" w:rsidP="005F6F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FE6980" w:rsidTr="005F6FC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FE6980" w:rsidRDefault="008902B1" w:rsidP="005F6F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FE6980">
              <w:rPr>
                <w:rFonts w:ascii="Arial" w:hAnsi="Arial"/>
                <w:sz w:val="16"/>
              </w:rPr>
              <w:t>Motions:</w:t>
            </w:r>
          </w:p>
          <w:p w:rsidR="008902B1" w:rsidRPr="00FE6980" w:rsidRDefault="008902B1" w:rsidP="005F6F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FE6980">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FE6980" w:rsidRDefault="008902B1" w:rsidP="005F6F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FE6980">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FE6980" w:rsidRDefault="008902B1" w:rsidP="005F6F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5F6FC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FE6980" w:rsidRDefault="008902B1" w:rsidP="005F6F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FE6980">
              <w:rPr>
                <w:rFonts w:ascii="Arial" w:hAnsi="Arial"/>
                <w:sz w:val="16"/>
              </w:rPr>
              <w:t>Holidays:</w:t>
            </w:r>
          </w:p>
          <w:p w:rsidR="008902B1" w:rsidRPr="00FE6980" w:rsidRDefault="008902B1" w:rsidP="005F6F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FE6980">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5F6FC4">
            <w:pPr>
              <w:widowControl w:val="0"/>
              <w:tabs>
                <w:tab w:val="center" w:pos="150"/>
              </w:tabs>
              <w:rPr>
                <w:rFonts w:ascii="Arial" w:hAnsi="Arial"/>
                <w:sz w:val="16"/>
              </w:rPr>
            </w:pPr>
            <w:r w:rsidRPr="00FE6980">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5F6F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81"/>
      <w:footerReference w:type="default" r:id="rId8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E26" w:rsidRDefault="00C91E26" w:rsidP="00A87207">
      <w:r>
        <w:separator/>
      </w:r>
    </w:p>
  </w:endnote>
  <w:endnote w:type="continuationSeparator" w:id="0">
    <w:p w:rsidR="00C91E26" w:rsidRDefault="00C91E2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61F" w:rsidRDefault="003B761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E433FF">
    <w:pPr>
      <w:pStyle w:val="Footer"/>
      <w:rPr>
        <w:lang w:val="fr-CA"/>
      </w:rPr>
    </w:pPr>
    <w:r>
      <w:rPr>
        <w:lang w:val="fr-CA"/>
      </w:rPr>
      <w:pict>
        <v:rect id="_x0000_i1060" style="width:480.95pt;height:1pt" o:hralign="center" o:hrstd="t" o:hrnoshade="t" o:hr="t" fillcolor="black [3213]" stroked="f"/>
      </w:pict>
    </w:r>
  </w:p>
  <w:p w:rsidR="00C91E26" w:rsidRDefault="00C91E26" w:rsidP="00245129">
    <w:pPr>
      <w:tabs>
        <w:tab w:val="center" w:pos="4680"/>
      </w:tabs>
    </w:pPr>
    <w:r>
      <w:tab/>
    </w:r>
    <w:r w:rsidRPr="0009648D">
      <w:t xml:space="preserve">- </w:t>
    </w:r>
    <w:r>
      <w:fldChar w:fldCharType="begin"/>
    </w:r>
    <w:r>
      <w:instrText xml:space="preserve"> PAGE   \* MERGEFORMAT </w:instrText>
    </w:r>
    <w:r>
      <w:fldChar w:fldCharType="separate"/>
    </w:r>
    <w:r w:rsidR="00E433FF">
      <w:rPr>
        <w:noProof/>
      </w:rPr>
      <w:t>901</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91E26"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91E26" w:rsidRDefault="00C91E26">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E433FF" w:rsidP="00755F22">
    <w:pPr>
      <w:tabs>
        <w:tab w:val="left" w:pos="-1440"/>
        <w:tab w:val="left" w:pos="-720"/>
      </w:tabs>
    </w:pPr>
    <w:r>
      <w:pict>
        <v:rect id="_x0000_i1062" style="width:480.95pt;height:1pt" o:hralign="center" o:hrstd="t" o:hrnoshade="t" o:hr="t" fillcolor="black [3213]" stroked="f"/>
      </w:pict>
    </w:r>
  </w:p>
  <w:p w:rsidR="00C91E26" w:rsidRDefault="00C91E26" w:rsidP="00EB2B90">
    <w:pPr>
      <w:tabs>
        <w:tab w:val="center" w:pos="4680"/>
      </w:tabs>
    </w:pPr>
    <w:r>
      <w:tab/>
      <w:t xml:space="preserve">- </w:t>
    </w:r>
    <w:r>
      <w:fldChar w:fldCharType="begin"/>
    </w:r>
    <w:r>
      <w:instrText xml:space="preserve"> PAGE   \* MERGEFORMAT </w:instrText>
    </w:r>
    <w:r>
      <w:fldChar w:fldCharType="separate"/>
    </w:r>
    <w:r>
      <w:rPr>
        <w:noProof/>
      </w:rPr>
      <w:t>506</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E433FF" w:rsidP="00EB2B90">
    <w:pPr>
      <w:tabs>
        <w:tab w:val="center" w:pos="4680"/>
      </w:tabs>
    </w:pPr>
    <w:r>
      <w:pict>
        <v:rect id="_x0000_i1063" style="width:480.95pt;height:1pt" o:hralign="center" o:hrstd="t" o:hrnoshade="t" o:hr="t" fillcolor="black [3213]" stroked="f"/>
      </w:pict>
    </w:r>
  </w:p>
  <w:p w:rsidR="00C91E26" w:rsidRPr="0031432F" w:rsidRDefault="00C91E26" w:rsidP="00EB2B90">
    <w:pPr>
      <w:tabs>
        <w:tab w:val="center" w:pos="4680"/>
      </w:tabs>
    </w:pPr>
    <w:r>
      <w:tab/>
      <w:t xml:space="preserve">- </w:t>
    </w:r>
    <w:r>
      <w:fldChar w:fldCharType="begin"/>
    </w:r>
    <w:r>
      <w:instrText xml:space="preserve"> PAGE   \* MERGEFORMAT </w:instrText>
    </w:r>
    <w:r>
      <w:fldChar w:fldCharType="separate"/>
    </w:r>
    <w:r w:rsidR="00E433FF">
      <w:rPr>
        <w:noProof/>
      </w:rPr>
      <w:t>912</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91E26"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91E26" w:rsidRDefault="00C91E26">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E43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5" style="width:480.95pt;height:1pt" o:hralign="center" o:hrstd="t" o:hrnoshade="t" o:hr="t" fillcolor="black [3213]" stroked="f"/>
      </w:pict>
    </w:r>
  </w:p>
  <w:p w:rsidR="00C91E26" w:rsidRDefault="00C91E26"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E433FF">
    <w:pPr>
      <w:pStyle w:val="Footer"/>
      <w:rPr>
        <w:lang w:val="fr-CA"/>
      </w:rPr>
    </w:pPr>
    <w:r>
      <w:rPr>
        <w:lang w:val="fr-CA"/>
      </w:rPr>
      <w:pict>
        <v:rect id="_x0000_i1066" style="width:480.95pt;height:1pt" o:hralign="center" o:hrstd="t" o:hrnoshade="t" o:hr="t" fillcolor="black [3213]" stroked="f"/>
      </w:pict>
    </w:r>
  </w:p>
  <w:p w:rsidR="00C91E26" w:rsidRDefault="00C91E26" w:rsidP="00EB2B90">
    <w:pPr>
      <w:tabs>
        <w:tab w:val="center" w:pos="4680"/>
      </w:tabs>
    </w:pPr>
    <w:r>
      <w:tab/>
      <w:t xml:space="preserve">- </w:t>
    </w:r>
    <w:r>
      <w:fldChar w:fldCharType="begin"/>
    </w:r>
    <w:r>
      <w:instrText xml:space="preserve"> PAGE   \* MERGEFORMAT </w:instrText>
    </w:r>
    <w:r>
      <w:fldChar w:fldCharType="separate"/>
    </w:r>
    <w:r w:rsidR="00E433FF">
      <w:rPr>
        <w:noProof/>
      </w:rPr>
      <w:t>913</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91E26"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91E26" w:rsidRDefault="00C91E26">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E433FF" w:rsidP="00732DB7">
    <w:r>
      <w:pict>
        <v:rect id="_x0000_i1068" style="width:480.95pt;height:1pt" o:hralign="center" o:hrstd="t" o:hrnoshade="t" o:hr="t" fillcolor="black" stroked="f"/>
      </w:pict>
    </w:r>
  </w:p>
  <w:p w:rsidR="00C91E26" w:rsidRDefault="00C91E26">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E433FF">
    <w:pPr>
      <w:pStyle w:val="Footer"/>
    </w:pPr>
    <w:r>
      <w:pict>
        <v:rect id="_x0000_i1069" style="width:480.95pt;height:1pt" o:hralign="center" o:hrstd="t" o:hrnoshade="t" o:hr="t" fillcolor="black [3213]" stroked="f"/>
      </w:pict>
    </w:r>
  </w:p>
  <w:p w:rsidR="00C91E26" w:rsidRPr="003C2C0F" w:rsidRDefault="00C91E26" w:rsidP="00697C62">
    <w:pPr>
      <w:tabs>
        <w:tab w:val="center" w:pos="4680"/>
      </w:tabs>
    </w:pPr>
    <w:r>
      <w:tab/>
      <w:t xml:space="preserve">- </w:t>
    </w:r>
    <w:r>
      <w:fldChar w:fldCharType="begin"/>
    </w:r>
    <w:r>
      <w:instrText xml:space="preserve"> PAGE   \* MERGEFORMAT </w:instrText>
    </w:r>
    <w:r>
      <w:fldChar w:fldCharType="separate"/>
    </w:r>
    <w:r w:rsidR="00E433FF">
      <w:rPr>
        <w:noProof/>
      </w:rPr>
      <w:t>914</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61F" w:rsidRDefault="003B761F">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91E26"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91E26" w:rsidRDefault="00C91E26">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91E26" w:rsidRDefault="00E43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2" style="width:480.95pt;height:1pt" o:hralign="center" o:hrstd="t" o:hrnoshade="t" o:hr="t" fillcolor="black [3213]" stroked="f"/>
      </w:pict>
    </w:r>
  </w:p>
  <w:p w:rsidR="00C91E26" w:rsidRDefault="00C91E2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433FF">
      <w:rPr>
        <w:noProof/>
        <w:szCs w:val="24"/>
      </w:rPr>
      <w:t>921</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E433FF" w:rsidP="00782AE4">
    <w:pPr>
      <w:tabs>
        <w:tab w:val="center" w:pos="4680"/>
      </w:tabs>
    </w:pPr>
    <w:r>
      <w:pict>
        <v:rect id="_x0000_i1073" style="width:480.95pt;height:1pt" o:hralign="center" o:hrstd="t" o:hrnoshade="t" o:hr="t" fillcolor="black [3213]" stroked="f"/>
      </w:pict>
    </w:r>
  </w:p>
  <w:p w:rsidR="00C91E26" w:rsidRDefault="00C91E2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433FF">
      <w:rPr>
        <w:noProof/>
        <w:szCs w:val="24"/>
      </w:rPr>
      <w:t>915</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Pr="00924065" w:rsidRDefault="00C91E26"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61F" w:rsidRDefault="003B76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E433FF" w:rsidP="00A87207">
    <w:pPr>
      <w:pStyle w:val="Footer"/>
    </w:pPr>
    <w:r>
      <w:pict>
        <v:rect id="_x0000_i1042" style="width:480.95pt;height:1pt" o:hralign="center" o:hrstd="t" o:hrnoshade="t" o:hr="t" fillcolor="black [3213]" stroked="f"/>
      </w:pict>
    </w:r>
  </w:p>
  <w:p w:rsidR="00C91E26" w:rsidRPr="00B7374B" w:rsidRDefault="00C91E2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433FF">
      <w:rPr>
        <w:noProof/>
        <w:szCs w:val="24"/>
      </w:rPr>
      <w:t>899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E433FF" w:rsidP="00755F22">
    <w:pPr>
      <w:tabs>
        <w:tab w:val="left" w:pos="-1440"/>
        <w:tab w:val="left" w:pos="-720"/>
      </w:tabs>
    </w:pPr>
    <w:r>
      <w:pict>
        <v:rect id="_x0000_i1043" style="width:480.95pt;height:1pt" o:hralign="center" o:hrstd="t" o:hrnoshade="t" o:hr="t" fillcolor="black [3213]" stroked="f"/>
      </w:pict>
    </w:r>
  </w:p>
  <w:p w:rsidR="00C91E26" w:rsidRPr="00954D22" w:rsidRDefault="00C91E26"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433FF">
      <w:rPr>
        <w:noProof/>
        <w:szCs w:val="24"/>
      </w:rPr>
      <w:t>897</w:t>
    </w:r>
    <w:r>
      <w:rPr>
        <w:szCs w:val="24"/>
      </w:rPr>
      <w:fldChar w:fldCharType="end"/>
    </w:r>
    <w:r w:rsidRPr="00954D22">
      <w:rPr>
        <w:szCs w:val="24"/>
      </w:rPr>
      <w:t xml:space="preserve"> -</w:t>
    </w:r>
  </w:p>
  <w:p w:rsidR="00C91E26" w:rsidRDefault="00C91E2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E433FF" w:rsidP="00A87207">
    <w:pPr>
      <w:pStyle w:val="Footer"/>
    </w:pPr>
    <w:r>
      <w:pict>
        <v:rect id="_x0000_i1045" style="width:480.95pt;height:1pt" o:hralign="center" o:hrstd="t" o:hrnoshade="t" o:hr="t" fillcolor="black [3213]" stroked="f"/>
      </w:pict>
    </w:r>
  </w:p>
  <w:p w:rsidR="00C91E26" w:rsidRPr="00B7374B" w:rsidRDefault="00C91E2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E433F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6" style="width:480.95pt;height:1pt" o:hralign="center" o:hrstd="t" o:hrnoshade="t" o:hr="t" fillcolor="black [3213]" stroked="f"/>
      </w:pict>
    </w:r>
  </w:p>
  <w:p w:rsidR="00C91E26" w:rsidRPr="00954D22" w:rsidRDefault="00C91E2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433FF">
      <w:rPr>
        <w:noProof/>
        <w:szCs w:val="24"/>
      </w:rPr>
      <w:t>900</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91E26"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91E26" w:rsidRDefault="00C91E26">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E43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9" style="width:480.95pt;height:1pt" o:hralign="center" o:hrstd="t" o:hrnoshade="t" o:hr="t" fillcolor="black [3213]" stroked="f"/>
      </w:pict>
    </w:r>
  </w:p>
  <w:p w:rsidR="00C91E26" w:rsidRPr="0009648D" w:rsidRDefault="00C91E26" w:rsidP="00ED7E83">
    <w:pPr>
      <w:tabs>
        <w:tab w:val="center" w:pos="4680"/>
      </w:tabs>
    </w:pPr>
    <w:r>
      <w:tab/>
    </w:r>
    <w:r w:rsidRPr="0009648D">
      <w:t xml:space="preserve">- </w:t>
    </w:r>
    <w:r>
      <w:fldChar w:fldCharType="begin"/>
    </w:r>
    <w:r>
      <w:instrText xml:space="preserve"> PAGE   \* MERGEFORMAT </w:instrText>
    </w:r>
    <w:r>
      <w:fldChar w:fldCharType="separate"/>
    </w:r>
    <w:r w:rsidR="00E433FF">
      <w:rPr>
        <w:noProof/>
      </w:rPr>
      <w:t>911</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E26" w:rsidRDefault="00C91E26" w:rsidP="00A87207">
      <w:r>
        <w:separator/>
      </w:r>
    </w:p>
  </w:footnote>
  <w:footnote w:type="continuationSeparator" w:id="0">
    <w:p w:rsidR="00C91E26" w:rsidRDefault="00C91E2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61F" w:rsidRDefault="003B761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C91E2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91E26">
      <w:tc>
        <w:tcPr>
          <w:tcW w:w="4230" w:type="dxa"/>
          <w:tcMar>
            <w:left w:w="0" w:type="dxa"/>
            <w:right w:w="0" w:type="dxa"/>
          </w:tcMar>
        </w:tcPr>
        <w:p w:rsidR="00C91E26" w:rsidRDefault="00C91E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91E26" w:rsidRDefault="00C91E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91E26" w:rsidRDefault="00C91E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91E26">
      <w:trPr>
        <w:gridAfter w:val="2"/>
        <w:wAfter w:w="5250" w:type="dxa"/>
      </w:trPr>
      <w:tc>
        <w:tcPr>
          <w:tcW w:w="4230" w:type="dxa"/>
          <w:tcMar>
            <w:left w:w="0" w:type="dxa"/>
            <w:right w:w="0" w:type="dxa"/>
          </w:tcMar>
        </w:tcPr>
        <w:p w:rsidR="00C91E26"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91E26"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91E26" w:rsidRPr="00755F22" w:rsidTr="00245129">
      <w:tc>
        <w:tcPr>
          <w:tcW w:w="4230" w:type="dxa"/>
          <w:tcMar>
            <w:left w:w="0" w:type="dxa"/>
            <w:right w:w="0" w:type="dxa"/>
          </w:tcMar>
        </w:tcPr>
        <w:p w:rsidR="00C91E26" w:rsidRPr="00755F22" w:rsidRDefault="00C91E26" w:rsidP="00831CA9">
          <w:pPr>
            <w:keepNext/>
            <w:keepLines/>
            <w:rPr>
              <w:sz w:val="20"/>
              <w:szCs w:val="20"/>
            </w:rPr>
          </w:pPr>
          <w:r w:rsidRPr="00755F22">
            <w:rPr>
              <w:sz w:val="20"/>
              <w:szCs w:val="20"/>
            </w:rPr>
            <w:t>MOTIONS</w:t>
          </w:r>
        </w:p>
      </w:tc>
      <w:tc>
        <w:tcPr>
          <w:tcW w:w="1170" w:type="dxa"/>
          <w:tcMar>
            <w:left w:w="0" w:type="dxa"/>
            <w:right w:w="0" w:type="dxa"/>
          </w:tcMar>
        </w:tcPr>
        <w:p w:rsidR="00C91E26" w:rsidRPr="00755F22" w:rsidRDefault="00C91E26" w:rsidP="00831CA9">
          <w:pPr>
            <w:keepLines/>
            <w:jc w:val="center"/>
            <w:rPr>
              <w:sz w:val="20"/>
              <w:szCs w:val="20"/>
            </w:rPr>
          </w:pPr>
        </w:p>
        <w:p w:rsidR="00C91E26" w:rsidRPr="00755F22" w:rsidRDefault="00C91E26" w:rsidP="00831CA9">
          <w:pPr>
            <w:keepLines/>
            <w:tabs>
              <w:tab w:val="left" w:pos="-1440"/>
              <w:tab w:val="left" w:pos="-720"/>
            </w:tabs>
            <w:jc w:val="center"/>
            <w:rPr>
              <w:sz w:val="20"/>
              <w:szCs w:val="20"/>
            </w:rPr>
          </w:pPr>
        </w:p>
      </w:tc>
      <w:tc>
        <w:tcPr>
          <w:tcW w:w="4080" w:type="dxa"/>
          <w:tcMar>
            <w:left w:w="0" w:type="dxa"/>
            <w:right w:w="0" w:type="dxa"/>
          </w:tcMar>
        </w:tcPr>
        <w:p w:rsidR="00C91E26" w:rsidRPr="00BA6468" w:rsidRDefault="00C91E26" w:rsidP="00BA6468">
          <w:pPr>
            <w:keepLines/>
            <w:rPr>
              <w:sz w:val="20"/>
              <w:szCs w:val="20"/>
              <w:lang w:val="fr-CA"/>
            </w:rPr>
          </w:pPr>
          <w:r w:rsidRPr="00BA6468">
            <w:rPr>
              <w:sz w:val="20"/>
              <w:szCs w:val="20"/>
              <w:lang w:val="fr-CA"/>
            </w:rPr>
            <w:t>REQUÊTES</w:t>
          </w:r>
        </w:p>
      </w:tc>
    </w:tr>
  </w:tbl>
  <w:p w:rsidR="00C91E26" w:rsidRDefault="00C91E26"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C91E2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91E26" w:rsidRPr="0045206F">
      <w:tc>
        <w:tcPr>
          <w:tcW w:w="4200" w:type="dxa"/>
          <w:tcMar>
            <w:left w:w="0" w:type="dxa"/>
            <w:right w:w="0" w:type="dxa"/>
          </w:tcMar>
        </w:tcPr>
        <w:p w:rsidR="00C91E26" w:rsidRDefault="00C91E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C91E26" w:rsidRDefault="00C91E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91E26" w:rsidRPr="00B01A03" w:rsidRDefault="00C91E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C91E26" w:rsidRPr="00B01A03"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91E26" w:rsidRPr="00B01A03"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C91E26" w:rsidRPr="0045206F" w:rsidTr="00245129">
      <w:tc>
        <w:tcPr>
          <w:tcW w:w="4200" w:type="dxa"/>
          <w:tcMar>
            <w:left w:w="0" w:type="dxa"/>
            <w:right w:w="0" w:type="dxa"/>
          </w:tcMar>
        </w:tcPr>
        <w:p w:rsidR="00C91E26" w:rsidRPr="00F40249" w:rsidRDefault="00C91E26"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C91E26" w:rsidRDefault="00C91E26" w:rsidP="00102926">
          <w:pPr>
            <w:keepNext/>
            <w:keepLines/>
            <w:tabs>
              <w:tab w:val="left" w:pos="-1440"/>
              <w:tab w:val="left" w:pos="-720"/>
            </w:tabs>
            <w:jc w:val="center"/>
            <w:rPr>
              <w:sz w:val="20"/>
              <w:szCs w:val="20"/>
            </w:rPr>
          </w:pPr>
        </w:p>
        <w:p w:rsidR="00C91E26" w:rsidRDefault="00C91E26" w:rsidP="00102926">
          <w:pPr>
            <w:keepNext/>
            <w:keepLines/>
            <w:tabs>
              <w:tab w:val="left" w:pos="-1440"/>
              <w:tab w:val="left" w:pos="-720"/>
            </w:tabs>
            <w:jc w:val="center"/>
            <w:rPr>
              <w:sz w:val="20"/>
              <w:szCs w:val="20"/>
            </w:rPr>
          </w:pPr>
        </w:p>
        <w:p w:rsidR="00C91E26" w:rsidRPr="00F40249" w:rsidRDefault="00C91E26" w:rsidP="00102926">
          <w:pPr>
            <w:keepNext/>
            <w:keepLines/>
            <w:tabs>
              <w:tab w:val="left" w:pos="-1440"/>
              <w:tab w:val="left" w:pos="-720"/>
            </w:tabs>
            <w:jc w:val="center"/>
            <w:rPr>
              <w:sz w:val="20"/>
              <w:szCs w:val="20"/>
            </w:rPr>
          </w:pPr>
        </w:p>
      </w:tc>
      <w:tc>
        <w:tcPr>
          <w:tcW w:w="4230" w:type="dxa"/>
          <w:tcMar>
            <w:left w:w="0" w:type="dxa"/>
            <w:right w:w="0" w:type="dxa"/>
          </w:tcMar>
        </w:tcPr>
        <w:p w:rsidR="00C91E26" w:rsidRPr="00F40249" w:rsidRDefault="00C91E26"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C91E26" w:rsidRPr="00B01A03" w:rsidRDefault="00C91E26"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C91E2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91E26" w:rsidRPr="0045206F">
      <w:tc>
        <w:tcPr>
          <w:tcW w:w="4200" w:type="dxa"/>
          <w:tcMar>
            <w:left w:w="0" w:type="dxa"/>
            <w:right w:w="0" w:type="dxa"/>
          </w:tcMar>
        </w:tcPr>
        <w:p w:rsidR="00C91E26" w:rsidRDefault="00C91E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C91E26" w:rsidRDefault="00C91E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C91E26" w:rsidRDefault="00C91E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C91E26" w:rsidRPr="003C2C0F" w:rsidRDefault="00C91E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C91E26" w:rsidRPr="003C2C0F"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C91E26" w:rsidRPr="003C2C0F"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91E26" w:rsidRPr="0045206F" w:rsidTr="00245129">
      <w:tc>
        <w:tcPr>
          <w:tcW w:w="4200" w:type="dxa"/>
          <w:tcMar>
            <w:left w:w="0" w:type="dxa"/>
            <w:right w:w="0" w:type="dxa"/>
          </w:tcMar>
        </w:tcPr>
        <w:p w:rsidR="00C91E26" w:rsidRPr="00FF6EEC" w:rsidRDefault="00C91E26" w:rsidP="00FF6EEC">
          <w:pPr>
            <w:rPr>
              <w:sz w:val="20"/>
              <w:szCs w:val="20"/>
            </w:rPr>
          </w:pPr>
          <w:r w:rsidRPr="00FF6EEC">
            <w:rPr>
              <w:sz w:val="20"/>
              <w:szCs w:val="20"/>
            </w:rPr>
            <w:t>PRONOUNCEMENTS OF APPEALS RESERVED</w:t>
          </w:r>
        </w:p>
      </w:tc>
      <w:tc>
        <w:tcPr>
          <w:tcW w:w="1200" w:type="dxa"/>
          <w:tcMar>
            <w:left w:w="0" w:type="dxa"/>
            <w:right w:w="0" w:type="dxa"/>
          </w:tcMar>
        </w:tcPr>
        <w:p w:rsidR="00C91E26" w:rsidRPr="00FF6EEC" w:rsidRDefault="00C91E26" w:rsidP="00FF6EEC">
          <w:pPr>
            <w:jc w:val="center"/>
            <w:rPr>
              <w:sz w:val="20"/>
              <w:szCs w:val="20"/>
            </w:rPr>
          </w:pPr>
        </w:p>
        <w:p w:rsidR="00C91E26" w:rsidRPr="00FF6EEC" w:rsidRDefault="00C91E26" w:rsidP="00FF6EEC">
          <w:pPr>
            <w:jc w:val="center"/>
            <w:rPr>
              <w:sz w:val="20"/>
              <w:szCs w:val="20"/>
            </w:rPr>
          </w:pPr>
        </w:p>
        <w:p w:rsidR="00C91E26" w:rsidRPr="00FF6EEC" w:rsidRDefault="00C91E26" w:rsidP="00FF6EEC">
          <w:pPr>
            <w:jc w:val="center"/>
            <w:rPr>
              <w:sz w:val="20"/>
              <w:szCs w:val="20"/>
            </w:rPr>
          </w:pPr>
        </w:p>
      </w:tc>
      <w:tc>
        <w:tcPr>
          <w:tcW w:w="4080" w:type="dxa"/>
          <w:tcMar>
            <w:left w:w="0" w:type="dxa"/>
            <w:right w:w="0" w:type="dxa"/>
          </w:tcMar>
        </w:tcPr>
        <w:p w:rsidR="00C91E26" w:rsidRPr="00FF6EEC" w:rsidRDefault="00C91E26" w:rsidP="00FF6EEC">
          <w:pPr>
            <w:rPr>
              <w:sz w:val="20"/>
              <w:szCs w:val="20"/>
              <w:lang w:val="fr-CA"/>
            </w:rPr>
          </w:pPr>
          <w:r w:rsidRPr="00FF6EEC">
            <w:rPr>
              <w:sz w:val="20"/>
              <w:szCs w:val="20"/>
              <w:lang w:val="fr-CA"/>
            </w:rPr>
            <w:t>JUGEMENTS RENDUS SUR LES APPELS EN DÉLIBÉRÉ</w:t>
          </w:r>
        </w:p>
      </w:tc>
    </w:tr>
  </w:tbl>
  <w:p w:rsidR="00C91E26" w:rsidRPr="003C2C0F" w:rsidRDefault="00C91E26"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C91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61F" w:rsidRDefault="003B761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91E26">
      <w:tc>
        <w:tcPr>
          <w:tcW w:w="4230" w:type="dxa"/>
          <w:tcMar>
            <w:left w:w="0" w:type="dxa"/>
            <w:right w:w="0" w:type="dxa"/>
          </w:tcMar>
        </w:tcPr>
        <w:p w:rsidR="00C91E26" w:rsidRDefault="00C91E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C91E26" w:rsidRDefault="00C91E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C91E26" w:rsidRDefault="00C91E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C91E26" w:rsidRDefault="00C91E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91E26" w:rsidRDefault="00C91E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C91E26" w:rsidRDefault="00C91E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C91E26"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91E26"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91E26" w:rsidRPr="00782AE4" w:rsidTr="00245129">
      <w:tc>
        <w:tcPr>
          <w:tcW w:w="4230" w:type="dxa"/>
          <w:tcMar>
            <w:left w:w="0" w:type="dxa"/>
            <w:right w:w="0" w:type="dxa"/>
          </w:tcMar>
        </w:tcPr>
        <w:p w:rsidR="00C91E26" w:rsidRPr="00782AE4" w:rsidRDefault="00C91E26" w:rsidP="00102926">
          <w:pPr>
            <w:keepNext/>
            <w:keepLines/>
            <w:tabs>
              <w:tab w:val="left" w:pos="-1440"/>
              <w:tab w:val="left" w:pos="-720"/>
            </w:tabs>
            <w:rPr>
              <w:sz w:val="20"/>
              <w:szCs w:val="20"/>
            </w:rPr>
          </w:pPr>
          <w:r w:rsidRPr="00782AE4">
            <w:rPr>
              <w:sz w:val="20"/>
              <w:szCs w:val="20"/>
            </w:rPr>
            <w:t xml:space="preserve">HEADNOTES OF RECENT </w:t>
          </w:r>
        </w:p>
        <w:p w:rsidR="00C91E26" w:rsidRPr="00782AE4" w:rsidRDefault="00C91E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C91E26" w:rsidRDefault="00C91E26" w:rsidP="00102926">
          <w:pPr>
            <w:keepNext/>
            <w:keepLines/>
            <w:tabs>
              <w:tab w:val="left" w:pos="-1440"/>
              <w:tab w:val="left" w:pos="-720"/>
            </w:tabs>
            <w:jc w:val="center"/>
            <w:rPr>
              <w:sz w:val="20"/>
              <w:szCs w:val="20"/>
            </w:rPr>
          </w:pPr>
        </w:p>
        <w:p w:rsidR="00C91E26" w:rsidRDefault="00C91E26" w:rsidP="00102926">
          <w:pPr>
            <w:keepNext/>
            <w:keepLines/>
            <w:tabs>
              <w:tab w:val="left" w:pos="-1440"/>
              <w:tab w:val="left" w:pos="-720"/>
            </w:tabs>
            <w:jc w:val="center"/>
            <w:rPr>
              <w:sz w:val="20"/>
              <w:szCs w:val="20"/>
            </w:rPr>
          </w:pPr>
        </w:p>
        <w:p w:rsidR="00C91E26" w:rsidRPr="00782AE4" w:rsidRDefault="00C91E26" w:rsidP="00102926">
          <w:pPr>
            <w:keepNext/>
            <w:keepLines/>
            <w:tabs>
              <w:tab w:val="left" w:pos="-1440"/>
              <w:tab w:val="left" w:pos="-720"/>
            </w:tabs>
            <w:jc w:val="center"/>
            <w:rPr>
              <w:sz w:val="20"/>
              <w:szCs w:val="20"/>
            </w:rPr>
          </w:pPr>
        </w:p>
      </w:tc>
      <w:tc>
        <w:tcPr>
          <w:tcW w:w="4080" w:type="dxa"/>
          <w:tcMar>
            <w:left w:w="0" w:type="dxa"/>
            <w:right w:w="0" w:type="dxa"/>
          </w:tcMar>
        </w:tcPr>
        <w:p w:rsidR="00C91E26" w:rsidRPr="00102926" w:rsidRDefault="00C91E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C91E26" w:rsidRPr="00782AE4" w:rsidRDefault="00C91E26" w:rsidP="00102926">
          <w:pPr>
            <w:keepLines/>
            <w:tabs>
              <w:tab w:val="left" w:pos="-1440"/>
              <w:tab w:val="left" w:pos="-720"/>
            </w:tabs>
            <w:rPr>
              <w:sz w:val="20"/>
              <w:szCs w:val="20"/>
            </w:rPr>
          </w:pPr>
          <w:r w:rsidRPr="00102926">
            <w:rPr>
              <w:sz w:val="20"/>
              <w:szCs w:val="20"/>
              <w:lang w:val="fr-CA"/>
            </w:rPr>
            <w:t>RÉCENTS</w:t>
          </w:r>
        </w:p>
      </w:tc>
    </w:tr>
  </w:tbl>
  <w:p w:rsidR="00C91E26" w:rsidRDefault="00C91E2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C91E26">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C91E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61F" w:rsidRDefault="003B76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91E26" w:rsidRPr="0044776A" w:rsidTr="00245129">
      <w:tc>
        <w:tcPr>
          <w:tcW w:w="4290" w:type="dxa"/>
          <w:tcMar>
            <w:left w:w="0" w:type="dxa"/>
            <w:right w:w="0" w:type="dxa"/>
          </w:tcMar>
        </w:tcPr>
        <w:p w:rsidR="00C91E26" w:rsidRPr="0044776A" w:rsidRDefault="00C91E26"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C91E26" w:rsidRPr="0044776A" w:rsidRDefault="00C91E26" w:rsidP="002E2327">
          <w:pPr>
            <w:keepNext/>
            <w:keepLines/>
            <w:tabs>
              <w:tab w:val="left" w:pos="-1440"/>
              <w:tab w:val="left" w:pos="-720"/>
            </w:tabs>
            <w:jc w:val="center"/>
            <w:rPr>
              <w:sz w:val="20"/>
              <w:szCs w:val="20"/>
            </w:rPr>
          </w:pPr>
        </w:p>
        <w:p w:rsidR="00C91E26" w:rsidRPr="0044776A" w:rsidRDefault="00C91E26" w:rsidP="002E2327">
          <w:pPr>
            <w:keepNext/>
            <w:keepLines/>
            <w:tabs>
              <w:tab w:val="left" w:pos="-1440"/>
              <w:tab w:val="left" w:pos="-720"/>
            </w:tabs>
            <w:jc w:val="center"/>
            <w:rPr>
              <w:sz w:val="20"/>
              <w:szCs w:val="20"/>
            </w:rPr>
          </w:pPr>
        </w:p>
        <w:p w:rsidR="00C91E26" w:rsidRPr="0044776A" w:rsidRDefault="00C91E26" w:rsidP="002E2327">
          <w:pPr>
            <w:keepNext/>
            <w:keepLines/>
            <w:tabs>
              <w:tab w:val="left" w:pos="-1440"/>
              <w:tab w:val="left" w:pos="-720"/>
            </w:tabs>
            <w:jc w:val="center"/>
            <w:rPr>
              <w:sz w:val="20"/>
              <w:szCs w:val="20"/>
            </w:rPr>
          </w:pPr>
        </w:p>
      </w:tc>
      <w:tc>
        <w:tcPr>
          <w:tcW w:w="4320" w:type="dxa"/>
          <w:tcMar>
            <w:left w:w="0" w:type="dxa"/>
            <w:right w:w="0" w:type="dxa"/>
          </w:tcMar>
        </w:tcPr>
        <w:p w:rsidR="00C91E26" w:rsidRPr="0044776A" w:rsidRDefault="00C91E26" w:rsidP="002E2327">
          <w:pPr>
            <w:keepLines/>
            <w:rPr>
              <w:sz w:val="20"/>
              <w:szCs w:val="20"/>
              <w:lang w:val="fr-CA"/>
            </w:rPr>
          </w:pPr>
          <w:r w:rsidRPr="0044776A">
            <w:rPr>
              <w:sz w:val="20"/>
              <w:szCs w:val="20"/>
              <w:lang w:val="fr-CA"/>
            </w:rPr>
            <w:t>DEMANDES D'AUTORISATION D'APPEL DÉPOSÉES</w:t>
          </w:r>
        </w:p>
      </w:tc>
    </w:tr>
  </w:tbl>
  <w:p w:rsidR="00C91E26" w:rsidRDefault="00C91E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C91E2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91E26" w:rsidRPr="0045206F" w:rsidTr="00245129">
      <w:tc>
        <w:tcPr>
          <w:tcW w:w="4200" w:type="dxa"/>
          <w:tcMar>
            <w:left w:w="0" w:type="dxa"/>
            <w:right w:w="0" w:type="dxa"/>
          </w:tcMar>
        </w:tcPr>
        <w:p w:rsidR="00C91E26" w:rsidRPr="0044776A" w:rsidRDefault="00C91E26" w:rsidP="0044776A">
          <w:pPr>
            <w:keepNext/>
            <w:keepLines/>
            <w:widowControl w:val="0"/>
            <w:rPr>
              <w:sz w:val="20"/>
              <w:szCs w:val="20"/>
            </w:rPr>
          </w:pPr>
          <w:r>
            <w:rPr>
              <w:sz w:val="20"/>
              <w:szCs w:val="20"/>
            </w:rPr>
            <w:t>APPLICATIONS FOR LEAVE</w:t>
          </w:r>
        </w:p>
        <w:p w:rsidR="00C91E26" w:rsidRPr="0044776A" w:rsidRDefault="00C91E26"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C91E26" w:rsidRPr="0044776A" w:rsidRDefault="00C91E26" w:rsidP="0044776A">
          <w:pPr>
            <w:keepNext/>
            <w:keepLines/>
            <w:widowControl w:val="0"/>
            <w:jc w:val="center"/>
            <w:rPr>
              <w:sz w:val="20"/>
              <w:szCs w:val="20"/>
            </w:rPr>
          </w:pPr>
        </w:p>
        <w:p w:rsidR="00C91E26" w:rsidRPr="0044776A" w:rsidRDefault="00C91E26" w:rsidP="0044776A">
          <w:pPr>
            <w:keepNext/>
            <w:keepLines/>
            <w:widowControl w:val="0"/>
            <w:jc w:val="center"/>
            <w:rPr>
              <w:sz w:val="20"/>
              <w:szCs w:val="20"/>
            </w:rPr>
          </w:pPr>
        </w:p>
        <w:p w:rsidR="00C91E26" w:rsidRPr="0044776A" w:rsidRDefault="00C91E26" w:rsidP="0044776A">
          <w:pPr>
            <w:keepNext/>
            <w:keepLines/>
            <w:widowControl w:val="0"/>
            <w:jc w:val="center"/>
            <w:rPr>
              <w:sz w:val="20"/>
              <w:szCs w:val="20"/>
            </w:rPr>
          </w:pPr>
        </w:p>
      </w:tc>
      <w:tc>
        <w:tcPr>
          <w:tcW w:w="4080" w:type="dxa"/>
          <w:tcMar>
            <w:left w:w="0" w:type="dxa"/>
            <w:right w:w="0" w:type="dxa"/>
          </w:tcMar>
        </w:tcPr>
        <w:p w:rsidR="00C91E26" w:rsidRPr="0044776A" w:rsidRDefault="00C91E26" w:rsidP="0044776A">
          <w:pPr>
            <w:keepLines/>
            <w:widowControl w:val="0"/>
            <w:rPr>
              <w:sz w:val="20"/>
              <w:szCs w:val="20"/>
              <w:lang w:val="fr-CA"/>
            </w:rPr>
          </w:pPr>
          <w:r w:rsidRPr="0044776A">
            <w:rPr>
              <w:sz w:val="20"/>
              <w:szCs w:val="20"/>
              <w:lang w:val="fr-CA"/>
            </w:rPr>
            <w:t>DEMANDES SOUMISES À LA COUR DEPUIS LA DERNIÈRE PARUTION</w:t>
          </w:r>
        </w:p>
        <w:p w:rsidR="00C91E26" w:rsidRPr="0044776A" w:rsidRDefault="00C91E26" w:rsidP="0044776A">
          <w:pPr>
            <w:widowControl w:val="0"/>
            <w:rPr>
              <w:sz w:val="20"/>
              <w:szCs w:val="20"/>
              <w:lang w:val="fr-CA"/>
            </w:rPr>
          </w:pPr>
        </w:p>
      </w:tc>
    </w:tr>
  </w:tbl>
  <w:p w:rsidR="00C91E26" w:rsidRPr="002E2327" w:rsidRDefault="00C91E26">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6" w:rsidRDefault="00C91E2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91E26" w:rsidRPr="0045206F">
      <w:tc>
        <w:tcPr>
          <w:tcW w:w="4200" w:type="dxa"/>
          <w:tcMar>
            <w:left w:w="0" w:type="dxa"/>
            <w:right w:w="0" w:type="dxa"/>
          </w:tcMar>
        </w:tcPr>
        <w:p w:rsidR="00C91E26" w:rsidRDefault="00C91E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91E26" w:rsidRDefault="00C91E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91E26" w:rsidRDefault="00C91E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91E26" w:rsidRPr="00FF6BA5" w:rsidRDefault="00C91E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91E26" w:rsidRPr="00FF6BA5"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91E26" w:rsidRPr="00FF6BA5"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91E26" w:rsidRPr="00FF6BA5" w:rsidRDefault="00C91E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91E26" w:rsidRPr="0045206F" w:rsidTr="00245129">
      <w:tc>
        <w:tcPr>
          <w:tcW w:w="4200" w:type="dxa"/>
          <w:tcMar>
            <w:left w:w="0" w:type="dxa"/>
            <w:right w:w="0" w:type="dxa"/>
          </w:tcMar>
        </w:tcPr>
        <w:p w:rsidR="00C91E26" w:rsidRPr="00755F22" w:rsidRDefault="00C91E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C91E26" w:rsidRPr="00755F22" w:rsidRDefault="00C91E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C91E26" w:rsidRPr="00755F22" w:rsidRDefault="00C91E2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91E26" w:rsidRPr="00755F22" w:rsidRDefault="00C91E2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91E26" w:rsidRPr="00755F22" w:rsidRDefault="00C91E2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91E26" w:rsidRPr="00755F22" w:rsidRDefault="00C91E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C91E26" w:rsidRPr="00FF6BA5" w:rsidRDefault="00C91E26"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43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C4"/>
    <w:rsid w:val="00002704"/>
    <w:rsid w:val="00020DC3"/>
    <w:rsid w:val="0003223B"/>
    <w:rsid w:val="000327B2"/>
    <w:rsid w:val="0004528B"/>
    <w:rsid w:val="00064FBA"/>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64E6D"/>
    <w:rsid w:val="00183454"/>
    <w:rsid w:val="001B157C"/>
    <w:rsid w:val="001B4006"/>
    <w:rsid w:val="001B5C23"/>
    <w:rsid w:val="001D0D5F"/>
    <w:rsid w:val="001D6B8C"/>
    <w:rsid w:val="001F1F83"/>
    <w:rsid w:val="001F40DF"/>
    <w:rsid w:val="001F6B2D"/>
    <w:rsid w:val="002021A9"/>
    <w:rsid w:val="00211929"/>
    <w:rsid w:val="002139A7"/>
    <w:rsid w:val="00215F7C"/>
    <w:rsid w:val="0022323B"/>
    <w:rsid w:val="002410B8"/>
    <w:rsid w:val="00242AEE"/>
    <w:rsid w:val="00245129"/>
    <w:rsid w:val="00245879"/>
    <w:rsid w:val="00246728"/>
    <w:rsid w:val="0026298F"/>
    <w:rsid w:val="00267FD5"/>
    <w:rsid w:val="00270FF2"/>
    <w:rsid w:val="00274D34"/>
    <w:rsid w:val="00283ED8"/>
    <w:rsid w:val="002868D0"/>
    <w:rsid w:val="002A008C"/>
    <w:rsid w:val="002A27D1"/>
    <w:rsid w:val="002A4AFA"/>
    <w:rsid w:val="002B516C"/>
    <w:rsid w:val="002D72EB"/>
    <w:rsid w:val="002E2327"/>
    <w:rsid w:val="002E3583"/>
    <w:rsid w:val="002E5576"/>
    <w:rsid w:val="0030050B"/>
    <w:rsid w:val="00331B52"/>
    <w:rsid w:val="003359D3"/>
    <w:rsid w:val="00355967"/>
    <w:rsid w:val="00382C47"/>
    <w:rsid w:val="00384384"/>
    <w:rsid w:val="003866AE"/>
    <w:rsid w:val="003B3977"/>
    <w:rsid w:val="003B5BD3"/>
    <w:rsid w:val="003B761F"/>
    <w:rsid w:val="003E1D4C"/>
    <w:rsid w:val="004137A0"/>
    <w:rsid w:val="00415FBD"/>
    <w:rsid w:val="00421E57"/>
    <w:rsid w:val="00422D9A"/>
    <w:rsid w:val="00432989"/>
    <w:rsid w:val="00440201"/>
    <w:rsid w:val="00440E24"/>
    <w:rsid w:val="0044776A"/>
    <w:rsid w:val="0045206F"/>
    <w:rsid w:val="00460AFC"/>
    <w:rsid w:val="0047471F"/>
    <w:rsid w:val="004B195E"/>
    <w:rsid w:val="004B66B4"/>
    <w:rsid w:val="004B7F60"/>
    <w:rsid w:val="004C1AAC"/>
    <w:rsid w:val="004E1E0A"/>
    <w:rsid w:val="004F090E"/>
    <w:rsid w:val="00501F3C"/>
    <w:rsid w:val="0050580C"/>
    <w:rsid w:val="0052229C"/>
    <w:rsid w:val="00527CC7"/>
    <w:rsid w:val="00571CA4"/>
    <w:rsid w:val="00582136"/>
    <w:rsid w:val="005C6840"/>
    <w:rsid w:val="005F1ED8"/>
    <w:rsid w:val="005F263E"/>
    <w:rsid w:val="005F6FC4"/>
    <w:rsid w:val="00600252"/>
    <w:rsid w:val="00612A40"/>
    <w:rsid w:val="0062714A"/>
    <w:rsid w:val="00640E6B"/>
    <w:rsid w:val="00675479"/>
    <w:rsid w:val="00680709"/>
    <w:rsid w:val="00681F61"/>
    <w:rsid w:val="00696BF9"/>
    <w:rsid w:val="00697C62"/>
    <w:rsid w:val="006A329B"/>
    <w:rsid w:val="006A7EB8"/>
    <w:rsid w:val="006B6926"/>
    <w:rsid w:val="006C3F47"/>
    <w:rsid w:val="006C5F7A"/>
    <w:rsid w:val="006E06AF"/>
    <w:rsid w:val="006F12EF"/>
    <w:rsid w:val="006F350F"/>
    <w:rsid w:val="00732DB7"/>
    <w:rsid w:val="0074238B"/>
    <w:rsid w:val="00745EF7"/>
    <w:rsid w:val="00755F22"/>
    <w:rsid w:val="00766E4A"/>
    <w:rsid w:val="007820CE"/>
    <w:rsid w:val="00782AE4"/>
    <w:rsid w:val="0079724F"/>
    <w:rsid w:val="007A3EAE"/>
    <w:rsid w:val="007C04FC"/>
    <w:rsid w:val="007C3DB0"/>
    <w:rsid w:val="007C47C2"/>
    <w:rsid w:val="007D3E0F"/>
    <w:rsid w:val="007E4282"/>
    <w:rsid w:val="007F387B"/>
    <w:rsid w:val="00802863"/>
    <w:rsid w:val="008112A9"/>
    <w:rsid w:val="0081473A"/>
    <w:rsid w:val="00815B3C"/>
    <w:rsid w:val="0081610A"/>
    <w:rsid w:val="0082783A"/>
    <w:rsid w:val="00831CA9"/>
    <w:rsid w:val="00850E1F"/>
    <w:rsid w:val="0085476B"/>
    <w:rsid w:val="0086340B"/>
    <w:rsid w:val="008902B1"/>
    <w:rsid w:val="00890FEB"/>
    <w:rsid w:val="00895E7E"/>
    <w:rsid w:val="008A5C1A"/>
    <w:rsid w:val="008D292F"/>
    <w:rsid w:val="008E03DC"/>
    <w:rsid w:val="00902E51"/>
    <w:rsid w:val="00921820"/>
    <w:rsid w:val="00924065"/>
    <w:rsid w:val="009247C6"/>
    <w:rsid w:val="00930D68"/>
    <w:rsid w:val="00932DB4"/>
    <w:rsid w:val="00941A4B"/>
    <w:rsid w:val="00946242"/>
    <w:rsid w:val="0095096B"/>
    <w:rsid w:val="00970CD3"/>
    <w:rsid w:val="009723FA"/>
    <w:rsid w:val="00984546"/>
    <w:rsid w:val="00996510"/>
    <w:rsid w:val="009C0895"/>
    <w:rsid w:val="009D1F15"/>
    <w:rsid w:val="009D555E"/>
    <w:rsid w:val="009F3024"/>
    <w:rsid w:val="009F39BA"/>
    <w:rsid w:val="00A0355E"/>
    <w:rsid w:val="00A375D1"/>
    <w:rsid w:val="00A51D10"/>
    <w:rsid w:val="00A52A83"/>
    <w:rsid w:val="00A6552C"/>
    <w:rsid w:val="00A767AC"/>
    <w:rsid w:val="00A87207"/>
    <w:rsid w:val="00A926BB"/>
    <w:rsid w:val="00A935AA"/>
    <w:rsid w:val="00A956D3"/>
    <w:rsid w:val="00AB2201"/>
    <w:rsid w:val="00AD1D34"/>
    <w:rsid w:val="00AD3259"/>
    <w:rsid w:val="00AF1715"/>
    <w:rsid w:val="00AF3904"/>
    <w:rsid w:val="00B010C0"/>
    <w:rsid w:val="00B354FE"/>
    <w:rsid w:val="00B4640A"/>
    <w:rsid w:val="00B4740D"/>
    <w:rsid w:val="00B51847"/>
    <w:rsid w:val="00B61629"/>
    <w:rsid w:val="00B7374B"/>
    <w:rsid w:val="00B90DC0"/>
    <w:rsid w:val="00BA116A"/>
    <w:rsid w:val="00BA5582"/>
    <w:rsid w:val="00BA6468"/>
    <w:rsid w:val="00BB1D44"/>
    <w:rsid w:val="00BD06DA"/>
    <w:rsid w:val="00BD2BBA"/>
    <w:rsid w:val="00BD4217"/>
    <w:rsid w:val="00BE7E44"/>
    <w:rsid w:val="00BF25F3"/>
    <w:rsid w:val="00BF2BF1"/>
    <w:rsid w:val="00C1697B"/>
    <w:rsid w:val="00C21644"/>
    <w:rsid w:val="00C21CB5"/>
    <w:rsid w:val="00C46376"/>
    <w:rsid w:val="00C50A5C"/>
    <w:rsid w:val="00C50FDF"/>
    <w:rsid w:val="00C63381"/>
    <w:rsid w:val="00C73D06"/>
    <w:rsid w:val="00C73E1B"/>
    <w:rsid w:val="00C759B4"/>
    <w:rsid w:val="00C77713"/>
    <w:rsid w:val="00C85BB7"/>
    <w:rsid w:val="00C91E26"/>
    <w:rsid w:val="00CA2DEA"/>
    <w:rsid w:val="00CB3520"/>
    <w:rsid w:val="00CB43D5"/>
    <w:rsid w:val="00CC4D84"/>
    <w:rsid w:val="00CE198A"/>
    <w:rsid w:val="00CF08C8"/>
    <w:rsid w:val="00D004FC"/>
    <w:rsid w:val="00D64901"/>
    <w:rsid w:val="00D76BDF"/>
    <w:rsid w:val="00D818B6"/>
    <w:rsid w:val="00D862C1"/>
    <w:rsid w:val="00D93B50"/>
    <w:rsid w:val="00D94028"/>
    <w:rsid w:val="00D94670"/>
    <w:rsid w:val="00DA46F6"/>
    <w:rsid w:val="00DC41B2"/>
    <w:rsid w:val="00DD0B49"/>
    <w:rsid w:val="00DE0502"/>
    <w:rsid w:val="00DE349D"/>
    <w:rsid w:val="00DF5F3E"/>
    <w:rsid w:val="00E06DFA"/>
    <w:rsid w:val="00E07CEA"/>
    <w:rsid w:val="00E20A0A"/>
    <w:rsid w:val="00E240C2"/>
    <w:rsid w:val="00E356C7"/>
    <w:rsid w:val="00E414CA"/>
    <w:rsid w:val="00E41A5A"/>
    <w:rsid w:val="00E433FF"/>
    <w:rsid w:val="00E45FE4"/>
    <w:rsid w:val="00E64FA7"/>
    <w:rsid w:val="00E7231A"/>
    <w:rsid w:val="00E770CB"/>
    <w:rsid w:val="00E903A1"/>
    <w:rsid w:val="00E940EB"/>
    <w:rsid w:val="00E9703F"/>
    <w:rsid w:val="00EA2546"/>
    <w:rsid w:val="00EB2B90"/>
    <w:rsid w:val="00ED7E83"/>
    <w:rsid w:val="00EE091F"/>
    <w:rsid w:val="00EF4B63"/>
    <w:rsid w:val="00F0068D"/>
    <w:rsid w:val="00F00815"/>
    <w:rsid w:val="00F0576D"/>
    <w:rsid w:val="00F14E6D"/>
    <w:rsid w:val="00F15EA8"/>
    <w:rsid w:val="00F16C8D"/>
    <w:rsid w:val="00F26C61"/>
    <w:rsid w:val="00F33CCE"/>
    <w:rsid w:val="00F40249"/>
    <w:rsid w:val="00F526C8"/>
    <w:rsid w:val="00F6089A"/>
    <w:rsid w:val="00F761A3"/>
    <w:rsid w:val="00F76267"/>
    <w:rsid w:val="00F9272D"/>
    <w:rsid w:val="00F9518C"/>
    <w:rsid w:val="00FA316E"/>
    <w:rsid w:val="00FA3373"/>
    <w:rsid w:val="00FA59EF"/>
    <w:rsid w:val="00FB19A2"/>
    <w:rsid w:val="00FB4A2E"/>
    <w:rsid w:val="00FC5C9F"/>
    <w:rsid w:val="00FE6980"/>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211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929"/>
    <w:rPr>
      <w:rFonts w:ascii="Segoe UI" w:hAnsi="Segoe UI" w:cs="Segoe UI"/>
      <w:sz w:val="18"/>
      <w:szCs w:val="18"/>
      <w:lang w:val="en-CA"/>
    </w:rPr>
  </w:style>
  <w:style w:type="paragraph" w:customStyle="1" w:styleId="SCCBanSummary">
    <w:name w:val="SCC.BanSummary"/>
    <w:basedOn w:val="Normal"/>
    <w:next w:val="Normal"/>
    <w:link w:val="SCCBanSummaryChar"/>
    <w:rsid w:val="0026298F"/>
    <w:pPr>
      <w:jc w:val="both"/>
    </w:pPr>
    <w:rPr>
      <w:smallCaps/>
    </w:rPr>
  </w:style>
  <w:style w:type="character" w:customStyle="1" w:styleId="SCCBanSummaryChar">
    <w:name w:val="SCC.BanSummary Char"/>
    <w:basedOn w:val="DefaultParagraphFont"/>
    <w:link w:val="SCCBanSummary"/>
    <w:rsid w:val="0026298F"/>
    <w:rPr>
      <w:smallCaps/>
      <w:lang w:val="en-CA"/>
    </w:rPr>
  </w:style>
  <w:style w:type="character" w:customStyle="1" w:styleId="documentstaticurl">
    <w:name w:val="documentstaticurl"/>
    <w:basedOn w:val="DefaultParagraphFont"/>
    <w:rsid w:val="00262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fr/ca/caf/doc/2015/2015caf291/2015caf291.html" TargetMode="External"/><Relationship Id="rId39" Type="http://schemas.openxmlformats.org/officeDocument/2006/relationships/hyperlink" Target="http://www.canlii.org/en/on/onca/doc/2016/2016onca49/2016onca49.html" TargetMode="External"/><Relationship Id="rId21" Type="http://schemas.openxmlformats.org/officeDocument/2006/relationships/footer" Target="footer6.xml"/><Relationship Id="rId34" Type="http://schemas.openxmlformats.org/officeDocument/2006/relationships/hyperlink" Target="http://canlii.ca/t/ggdgz" TargetMode="External"/><Relationship Id="rId42" Type="http://schemas.openxmlformats.org/officeDocument/2006/relationships/hyperlink" Target="http://canlii.ca/t/gmbkg" TargetMode="External"/><Relationship Id="rId47" Type="http://schemas.openxmlformats.org/officeDocument/2006/relationships/hyperlink" Target="http://canlii.ca/t/gmjrn" TargetMode="External"/><Relationship Id="rId50" Type="http://schemas.openxmlformats.org/officeDocument/2006/relationships/header" Target="header8.xml"/><Relationship Id="rId55" Type="http://schemas.openxmlformats.org/officeDocument/2006/relationships/footer" Target="footer10.xml"/><Relationship Id="rId63" Type="http://schemas.openxmlformats.org/officeDocument/2006/relationships/header" Target="header15.xml"/><Relationship Id="rId68" Type="http://schemas.openxmlformats.org/officeDocument/2006/relationships/header" Target="header17.xml"/><Relationship Id="rId76" Type="http://schemas.openxmlformats.org/officeDocument/2006/relationships/header" Target="header21.xml"/><Relationship Id="rId8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footer" Target="footer18.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fr/ca/caf/doc/2015/2015caf291/2015caf291.html" TargetMode="External"/><Relationship Id="rId11" Type="http://schemas.openxmlformats.org/officeDocument/2006/relationships/header" Target="header2.xml"/><Relationship Id="rId24" Type="http://schemas.openxmlformats.org/officeDocument/2006/relationships/hyperlink" Target="http://www.canlii.org/en/ca/pssrb/doc/2014/2014pslrb6/2014pslrb6.html" TargetMode="External"/><Relationship Id="rId32" Type="http://schemas.openxmlformats.org/officeDocument/2006/relationships/hyperlink" Target="http://canlii.ca/t/gg4dw" TargetMode="External"/><Relationship Id="rId37" Type="http://schemas.openxmlformats.org/officeDocument/2006/relationships/hyperlink" Target="http://www.canlii.org/en/on/onca/doc/2016/2016onca49/2016onca49.html" TargetMode="External"/><Relationship Id="rId40" Type="http://schemas.openxmlformats.org/officeDocument/2006/relationships/hyperlink" Target="http://canlii.ca/t/g90dt" TargetMode="External"/><Relationship Id="rId45" Type="http://schemas.openxmlformats.org/officeDocument/2006/relationships/hyperlink" Target="http://canlii.ca/t/gmbkg" TargetMode="External"/><Relationship Id="rId53" Type="http://schemas.openxmlformats.org/officeDocument/2006/relationships/footer" Target="footer9.xml"/><Relationship Id="rId58" Type="http://schemas.openxmlformats.org/officeDocument/2006/relationships/footer" Target="footer11.xml"/><Relationship Id="rId66" Type="http://schemas.openxmlformats.org/officeDocument/2006/relationships/header" Target="header16.xml"/><Relationship Id="rId74" Type="http://schemas.openxmlformats.org/officeDocument/2006/relationships/hyperlink" Target="http://www.scc-csc.ca/case-dossier/info/sum-som-eng.aspx?cas=36027" TargetMode="External"/><Relationship Id="rId79" Type="http://schemas.openxmlformats.org/officeDocument/2006/relationships/header" Target="header22.xml"/><Relationship Id="rId5" Type="http://schemas.openxmlformats.org/officeDocument/2006/relationships/footnotes" Target="footnotes.xml"/><Relationship Id="rId61" Type="http://schemas.openxmlformats.org/officeDocument/2006/relationships/footer" Target="footer13.xml"/><Relationship Id="rId82" Type="http://schemas.openxmlformats.org/officeDocument/2006/relationships/footer" Target="footer2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canlii.ca/t/gn3b5" TargetMode="External"/><Relationship Id="rId44" Type="http://schemas.openxmlformats.org/officeDocument/2006/relationships/hyperlink" Target="http://www.ontariocourts.ca/decisions/2015/2015ONCA0300.htm" TargetMode="External"/><Relationship Id="rId52" Type="http://schemas.openxmlformats.org/officeDocument/2006/relationships/footer" Target="footer8.xml"/><Relationship Id="rId60" Type="http://schemas.openxmlformats.org/officeDocument/2006/relationships/header" Target="header13.xml"/><Relationship Id="rId65" Type="http://schemas.openxmlformats.org/officeDocument/2006/relationships/footer" Target="footer15.xml"/><Relationship Id="rId73" Type="http://schemas.openxmlformats.org/officeDocument/2006/relationships/footer" Target="footer19.xml"/><Relationship Id="rId78" Type="http://schemas.openxmlformats.org/officeDocument/2006/relationships/footer" Target="footer21.xml"/><Relationship Id="rId8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fr/ca/crtfp/doc/2014/2014crtfp6/2014crtfp6.html" TargetMode="External"/><Relationship Id="rId30" Type="http://schemas.openxmlformats.org/officeDocument/2006/relationships/hyperlink" Target="http://canlii.ca/t/gg4dw" TargetMode="External"/><Relationship Id="rId35" Type="http://schemas.openxmlformats.org/officeDocument/2006/relationships/hyperlink" Target="http://canlii.ca/t/ggdgz" TargetMode="External"/><Relationship Id="rId43" Type="http://schemas.openxmlformats.org/officeDocument/2006/relationships/hyperlink" Target="http://canlii.ca/t/g90dt" TargetMode="External"/><Relationship Id="rId48" Type="http://schemas.openxmlformats.org/officeDocument/2006/relationships/hyperlink" Target="http://canlii.ca/t/g6g1w" TargetMode="External"/><Relationship Id="rId56" Type="http://schemas.openxmlformats.org/officeDocument/2006/relationships/header" Target="header11.xml"/><Relationship Id="rId64" Type="http://schemas.openxmlformats.org/officeDocument/2006/relationships/footer" Target="footer14.xml"/><Relationship Id="rId69" Type="http://schemas.openxmlformats.org/officeDocument/2006/relationships/header" Target="header18.xml"/><Relationship Id="rId77" Type="http://schemas.openxmlformats.org/officeDocument/2006/relationships/footer" Target="footer20.xml"/><Relationship Id="rId8" Type="http://schemas.openxmlformats.org/officeDocument/2006/relationships/hyperlink" Target="http://www.scc-csc.ca" TargetMode="External"/><Relationship Id="rId51" Type="http://schemas.openxmlformats.org/officeDocument/2006/relationships/header" Target="header9.xml"/><Relationship Id="rId72" Type="http://schemas.openxmlformats.org/officeDocument/2006/relationships/header" Target="header19.xml"/><Relationship Id="rId80"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ca/fct/doc/2014/2014fc1206/2014fc1206.html" TargetMode="External"/><Relationship Id="rId33" Type="http://schemas.openxmlformats.org/officeDocument/2006/relationships/hyperlink" Target="http://canlii.ca/t/gn3b5" TargetMode="External"/><Relationship Id="rId38" Type="http://schemas.openxmlformats.org/officeDocument/2006/relationships/hyperlink" Target="http://www.canlii.org/en/on/onsc/doc/2015/2015onsc1229/2015onsc1229.html" TargetMode="External"/><Relationship Id="rId46" Type="http://schemas.openxmlformats.org/officeDocument/2006/relationships/hyperlink" Target="http://canlii.ca/t/g6g1w" TargetMode="External"/><Relationship Id="rId59" Type="http://schemas.openxmlformats.org/officeDocument/2006/relationships/footer" Target="footer12.xml"/><Relationship Id="rId67" Type="http://schemas.openxmlformats.org/officeDocument/2006/relationships/footer" Target="footer16.xml"/><Relationship Id="rId20" Type="http://schemas.openxmlformats.org/officeDocument/2006/relationships/header" Target="header6.xml"/><Relationship Id="rId41" Type="http://schemas.openxmlformats.org/officeDocument/2006/relationships/hyperlink" Target="http://www.ontariocourts.ca/decisions/2015/2015ONCA0300.htm" TargetMode="External"/><Relationship Id="rId54" Type="http://schemas.openxmlformats.org/officeDocument/2006/relationships/header" Target="header10.xml"/><Relationship Id="rId62" Type="http://schemas.openxmlformats.org/officeDocument/2006/relationships/header" Target="header14.xml"/><Relationship Id="rId70" Type="http://schemas.openxmlformats.org/officeDocument/2006/relationships/footer" Target="footer17.xml"/><Relationship Id="rId75" Type="http://schemas.openxmlformats.org/officeDocument/2006/relationships/header" Target="header20.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fr/ca/cfpi/doc/2014/2014cf1206/2014cf1206.html" TargetMode="External"/><Relationship Id="rId36" Type="http://schemas.openxmlformats.org/officeDocument/2006/relationships/hyperlink" Target="http://www.canlii.org/en/on/onsc/doc/2015/2015onsc1229/2015onsc1229.html" TargetMode="External"/><Relationship Id="rId49" Type="http://schemas.openxmlformats.org/officeDocument/2006/relationships/hyperlink" Target="http://canlii.ca/t/gmjrn" TargetMode="External"/><Relationship Id="rId5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10546</Words>
  <Characters>60118</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2016-06-14T17:01:00Z</dcterms:created>
  <dcterms:modified xsi:type="dcterms:W3CDTF">2016-07-08T14:41:00Z</dcterms:modified>
</cp:coreProperties>
</file>