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5F6D62" w:rsidP="005F6D62">
      <w:pPr>
        <w:jc w:val="center"/>
      </w:pPr>
      <w:r w:rsidRPr="003D2114">
        <w:rPr>
          <w:noProof/>
          <w:lang w:val="en-US"/>
        </w:rPr>
        <w:drawing>
          <wp:inline distT="0" distB="0" distL="0" distR="0" wp14:anchorId="19EFA3A1" wp14:editId="196525F1">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6620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662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620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6620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6620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6620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6620F"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D412F"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30</w:t>
      </w:r>
      <w:r w:rsidR="00440E24" w:rsidRPr="00675479">
        <w:rPr>
          <w:lang w:val="fr-CA"/>
        </w:rPr>
        <w:t>, 201</w:t>
      </w:r>
      <w:r w:rsidR="0030050B">
        <w:rPr>
          <w:lang w:val="fr-CA"/>
        </w:rPr>
        <w:t>6</w:t>
      </w:r>
      <w:r w:rsidR="00F0068D" w:rsidRPr="00675479">
        <w:rPr>
          <w:lang w:val="fr-CA"/>
        </w:rPr>
        <w:tab/>
        <w:t>1</w:t>
      </w:r>
      <w:r>
        <w:rPr>
          <w:lang w:val="fr-CA"/>
        </w:rPr>
        <w:t>338</w:t>
      </w:r>
      <w:r w:rsidR="00F0068D" w:rsidRPr="00675479">
        <w:rPr>
          <w:lang w:val="fr-CA"/>
        </w:rPr>
        <w:t xml:space="preserve"> - </w:t>
      </w:r>
      <w:r w:rsidR="00CB2D37">
        <w:rPr>
          <w:lang w:val="fr-CA"/>
        </w:rPr>
        <w:t>1369</w:t>
      </w:r>
      <w:bookmarkStart w:id="0" w:name="_GoBack"/>
      <w:bookmarkEnd w:id="0"/>
      <w:r w:rsidR="00440E24" w:rsidRPr="00675479">
        <w:rPr>
          <w:lang w:val="fr-CA"/>
        </w:rPr>
        <w:tab/>
      </w:r>
      <w:r w:rsidR="00440E24" w:rsidRPr="002E2327">
        <w:rPr>
          <w:lang w:val="fr-CA"/>
        </w:rPr>
        <w:t>Le</w:t>
      </w:r>
      <w:r w:rsidR="00C73D06">
        <w:rPr>
          <w:lang w:val="fr-CA"/>
        </w:rPr>
        <w:t xml:space="preserve"> </w:t>
      </w:r>
      <w:r>
        <w:rPr>
          <w:lang w:val="fr-CA"/>
        </w:rPr>
        <w:t>30</w:t>
      </w:r>
      <w:r w:rsidR="00C73D06">
        <w:rPr>
          <w:lang w:val="fr-CA"/>
        </w:rPr>
        <w:t xml:space="preserve"> </w:t>
      </w:r>
      <w:r>
        <w:rPr>
          <w:lang w:val="fr-CA"/>
        </w:rPr>
        <w:t>septembre</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w:t>
      </w:r>
      <w:r w:rsidR="0030050B">
        <w:rPr>
          <w:sz w:val="18"/>
          <w:szCs w:val="18"/>
        </w:rPr>
        <w:t>2016</w:t>
      </w:r>
      <w:r w:rsidRPr="00020DC3">
        <w:rPr>
          <w:sz w:val="18"/>
          <w:szCs w:val="18"/>
        </w:rPr>
        <w:t>)</w:t>
      </w:r>
      <w:r w:rsidRPr="00020DC3">
        <w:rPr>
          <w:sz w:val="18"/>
          <w:szCs w:val="18"/>
        </w:rPr>
        <w:tab/>
        <w:t>© Cour suprême du Canada (</w:t>
      </w:r>
      <w:r w:rsidR="0030050B">
        <w:rPr>
          <w:sz w:val="18"/>
          <w:szCs w:val="18"/>
        </w:rPr>
        <w:t>2016</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CB2603">
            <w:pPr>
              <w:tabs>
                <w:tab w:val="right" w:pos="9360"/>
              </w:tabs>
              <w:rPr>
                <w:rFonts w:cs="Times New Roman"/>
                <w:sz w:val="20"/>
                <w:szCs w:val="20"/>
              </w:rPr>
            </w:pPr>
          </w:p>
        </w:tc>
        <w:tc>
          <w:tcPr>
            <w:tcW w:w="1980" w:type="dxa"/>
          </w:tcPr>
          <w:p w:rsidR="0095096B" w:rsidRPr="002E2327" w:rsidRDefault="00B07435" w:rsidP="0095096B">
            <w:pPr>
              <w:jc w:val="center"/>
              <w:rPr>
                <w:rFonts w:cs="Times New Roman"/>
                <w:sz w:val="20"/>
                <w:szCs w:val="20"/>
              </w:rPr>
            </w:pPr>
            <w:r>
              <w:rPr>
                <w:rFonts w:cs="Times New Roman"/>
                <w:sz w:val="20"/>
                <w:szCs w:val="20"/>
              </w:rPr>
              <w:t xml:space="preserve">1338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8B15BE">
              <w:rPr>
                <w:rFonts w:cs="Times New Roman"/>
                <w:sz w:val="20"/>
                <w:szCs w:val="20"/>
              </w:rPr>
              <w:t>1340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B15BE" w:rsidP="0095096B">
            <w:pPr>
              <w:jc w:val="center"/>
              <w:rPr>
                <w:rFonts w:cs="Times New Roman"/>
                <w:sz w:val="20"/>
                <w:szCs w:val="20"/>
              </w:rPr>
            </w:pPr>
            <w:r>
              <w:rPr>
                <w:rFonts w:cs="Times New Roman"/>
                <w:sz w:val="20"/>
                <w:szCs w:val="20"/>
              </w:rPr>
              <w:t>1341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B15BE" w:rsidP="0095096B">
            <w:pPr>
              <w:jc w:val="center"/>
              <w:rPr>
                <w:rFonts w:cs="Times New Roman"/>
                <w:sz w:val="20"/>
                <w:szCs w:val="20"/>
              </w:rPr>
            </w:pPr>
            <w:r>
              <w:rPr>
                <w:rFonts w:cs="Times New Roman"/>
                <w:sz w:val="20"/>
                <w:szCs w:val="20"/>
              </w:rPr>
              <w:t xml:space="preserve">1342 </w:t>
            </w:r>
            <w:r w:rsidR="0095096B" w:rsidRPr="002E2327">
              <w:rPr>
                <w:rFonts w:cs="Times New Roman"/>
                <w:sz w:val="20"/>
                <w:szCs w:val="20"/>
              </w:rPr>
              <w:t>-</w:t>
            </w:r>
            <w:r>
              <w:rPr>
                <w:rFonts w:cs="Times New Roman"/>
                <w:sz w:val="20"/>
                <w:szCs w:val="20"/>
              </w:rPr>
              <w:t xml:space="preserve"> 1355</w:t>
            </w:r>
          </w:p>
          <w:p w:rsidR="0095096B" w:rsidRDefault="0095096B" w:rsidP="0095096B">
            <w:pPr>
              <w:jc w:val="center"/>
              <w:rPr>
                <w:rFonts w:cs="Times New Roman"/>
                <w:sz w:val="20"/>
                <w:szCs w:val="20"/>
              </w:rPr>
            </w:pPr>
          </w:p>
          <w:p w:rsidR="008B15BE" w:rsidRPr="002E2327" w:rsidRDefault="008B15BE" w:rsidP="0095096B">
            <w:pPr>
              <w:jc w:val="center"/>
              <w:rPr>
                <w:rFonts w:cs="Times New Roman"/>
                <w:sz w:val="20"/>
                <w:szCs w:val="20"/>
              </w:rPr>
            </w:pPr>
          </w:p>
          <w:p w:rsidR="0095096B" w:rsidRDefault="008B15BE" w:rsidP="0095096B">
            <w:pPr>
              <w:jc w:val="center"/>
              <w:rPr>
                <w:rFonts w:cs="Times New Roman"/>
                <w:sz w:val="20"/>
                <w:szCs w:val="20"/>
              </w:rPr>
            </w:pPr>
            <w:r>
              <w:rPr>
                <w:rFonts w:cs="Times New Roman"/>
                <w:sz w:val="20"/>
                <w:szCs w:val="20"/>
              </w:rPr>
              <w:t xml:space="preserve">1356 </w:t>
            </w:r>
            <w:r w:rsidR="00CB2D37">
              <w:rPr>
                <w:rFonts w:cs="Times New Roman"/>
                <w:sz w:val="20"/>
                <w:szCs w:val="20"/>
              </w:rPr>
              <w:t>– 1362</w:t>
            </w:r>
          </w:p>
          <w:p w:rsidR="00CB2D37" w:rsidRPr="002E2327" w:rsidRDefault="00CB2D37" w:rsidP="0095096B">
            <w:pPr>
              <w:jc w:val="center"/>
              <w:rPr>
                <w:rFonts w:cs="Times New Roman"/>
                <w:sz w:val="20"/>
                <w:szCs w:val="20"/>
              </w:rPr>
            </w:pPr>
          </w:p>
          <w:p w:rsidR="0095096B" w:rsidRPr="002E2327" w:rsidRDefault="00CB2D37" w:rsidP="0095096B">
            <w:pPr>
              <w:jc w:val="center"/>
              <w:rPr>
                <w:rFonts w:cs="Times New Roman"/>
                <w:sz w:val="20"/>
                <w:szCs w:val="20"/>
              </w:rPr>
            </w:pPr>
            <w:r>
              <w:rPr>
                <w:rFonts w:cs="Times New Roman"/>
                <w:sz w:val="20"/>
                <w:szCs w:val="20"/>
              </w:rPr>
              <w:t>1363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B2D37" w:rsidP="0095096B">
            <w:pPr>
              <w:jc w:val="center"/>
              <w:rPr>
                <w:rFonts w:cs="Times New Roman"/>
                <w:sz w:val="20"/>
                <w:szCs w:val="20"/>
              </w:rPr>
            </w:pPr>
            <w:r>
              <w:rPr>
                <w:rFonts w:cs="Times New Roman"/>
                <w:sz w:val="20"/>
                <w:szCs w:val="20"/>
              </w:rPr>
              <w:t>1364</w:t>
            </w:r>
          </w:p>
          <w:p w:rsidR="0095096B" w:rsidRDefault="0095096B" w:rsidP="0095096B">
            <w:pPr>
              <w:jc w:val="center"/>
              <w:rPr>
                <w:rFonts w:cs="Times New Roman"/>
                <w:sz w:val="20"/>
                <w:szCs w:val="20"/>
              </w:rPr>
            </w:pPr>
          </w:p>
          <w:p w:rsidR="008B15BE" w:rsidRPr="002E2327" w:rsidRDefault="008B15BE" w:rsidP="0095096B">
            <w:pPr>
              <w:jc w:val="center"/>
              <w:rPr>
                <w:rFonts w:cs="Times New Roman"/>
                <w:sz w:val="20"/>
                <w:szCs w:val="20"/>
              </w:rPr>
            </w:pPr>
          </w:p>
          <w:p w:rsidR="0095096B" w:rsidRPr="002E2327" w:rsidRDefault="00CB2D37" w:rsidP="0095096B">
            <w:pPr>
              <w:jc w:val="center"/>
              <w:rPr>
                <w:rFonts w:cs="Times New Roman"/>
                <w:sz w:val="20"/>
                <w:szCs w:val="20"/>
              </w:rPr>
            </w:pPr>
            <w:r>
              <w:rPr>
                <w:rFonts w:cs="Times New Roman"/>
                <w:sz w:val="20"/>
                <w:szCs w:val="20"/>
              </w:rPr>
              <w:t>1365</w:t>
            </w:r>
            <w:r w:rsidR="008B15BE">
              <w:rPr>
                <w:rFonts w:cs="Times New Roman"/>
                <w:sz w:val="20"/>
                <w:szCs w:val="20"/>
              </w:rPr>
              <w:t xml:space="preserve"> </w:t>
            </w:r>
            <w:r w:rsidR="0095096B" w:rsidRPr="002E2327">
              <w:rPr>
                <w:rFonts w:cs="Times New Roman"/>
                <w:sz w:val="20"/>
                <w:szCs w:val="20"/>
              </w:rPr>
              <w:t>-</w:t>
            </w:r>
            <w:r>
              <w:rPr>
                <w:rFonts w:cs="Times New Roman"/>
                <w:sz w:val="20"/>
                <w:szCs w:val="20"/>
              </w:rPr>
              <w:t xml:space="preserve"> 1369</w:t>
            </w:r>
          </w:p>
          <w:p w:rsidR="0095096B" w:rsidRPr="002E2327" w:rsidRDefault="0095096B" w:rsidP="0095096B">
            <w:pPr>
              <w:jc w:val="center"/>
              <w:rPr>
                <w:rFonts w:cs="Times New Roman"/>
                <w:sz w:val="20"/>
                <w:szCs w:val="20"/>
              </w:rPr>
            </w:pPr>
          </w:p>
          <w:p w:rsidR="00A87207" w:rsidRPr="002E2327" w:rsidRDefault="00A87207" w:rsidP="00CB2603">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CB2603" w:rsidRDefault="00CB2603"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CB2603">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86620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A67A25" w:rsidRDefault="002A5E3B" w:rsidP="005F1ED8">
            <w:pPr>
              <w:rPr>
                <w:b/>
                <w:sz w:val="20"/>
                <w:szCs w:val="20"/>
              </w:rPr>
            </w:pPr>
            <w:r>
              <w:rPr>
                <w:b/>
                <w:sz w:val="20"/>
                <w:szCs w:val="20"/>
              </w:rPr>
              <w:t>Jamie Gregory</w:t>
            </w:r>
          </w:p>
          <w:p w:rsidR="002A5E3B" w:rsidRDefault="002A5E3B" w:rsidP="005F1ED8">
            <w:pPr>
              <w:rPr>
                <w:sz w:val="20"/>
                <w:szCs w:val="20"/>
              </w:rPr>
            </w:pPr>
            <w:r>
              <w:rPr>
                <w:sz w:val="20"/>
                <w:szCs w:val="20"/>
              </w:rPr>
              <w:tab/>
              <w:t>Jamie Gregory</w:t>
            </w:r>
          </w:p>
          <w:p w:rsidR="002A5E3B" w:rsidRDefault="002A5E3B" w:rsidP="005F1ED8">
            <w:pPr>
              <w:rPr>
                <w:sz w:val="20"/>
                <w:szCs w:val="20"/>
              </w:rPr>
            </w:pPr>
          </w:p>
          <w:p w:rsidR="002A5E3B" w:rsidRDefault="002A5E3B" w:rsidP="005F1ED8">
            <w:pPr>
              <w:rPr>
                <w:sz w:val="20"/>
                <w:szCs w:val="20"/>
              </w:rPr>
            </w:pPr>
            <w:r>
              <w:rPr>
                <w:sz w:val="20"/>
                <w:szCs w:val="20"/>
              </w:rPr>
              <w:tab/>
              <w:t>v. (37170)</w:t>
            </w:r>
          </w:p>
          <w:p w:rsidR="002A5E3B" w:rsidRDefault="002A5E3B" w:rsidP="005F1ED8">
            <w:pPr>
              <w:rPr>
                <w:sz w:val="20"/>
                <w:szCs w:val="20"/>
              </w:rPr>
            </w:pPr>
          </w:p>
          <w:p w:rsidR="002A5E3B" w:rsidRPr="002A5E3B" w:rsidRDefault="002A5E3B" w:rsidP="005F1ED8">
            <w:pPr>
              <w:rPr>
                <w:b/>
                <w:sz w:val="20"/>
                <w:szCs w:val="20"/>
              </w:rPr>
            </w:pPr>
            <w:r>
              <w:rPr>
                <w:b/>
                <w:sz w:val="20"/>
                <w:szCs w:val="20"/>
              </w:rPr>
              <w:t>Her Majesty the Queen (N.S.)</w:t>
            </w:r>
          </w:p>
          <w:p w:rsidR="00A67A25" w:rsidRDefault="002A5E3B" w:rsidP="005F1ED8">
            <w:pPr>
              <w:rPr>
                <w:sz w:val="20"/>
                <w:szCs w:val="20"/>
              </w:rPr>
            </w:pPr>
            <w:r>
              <w:rPr>
                <w:sz w:val="20"/>
                <w:szCs w:val="20"/>
              </w:rPr>
              <w:tab/>
              <w:t>James A. Gumpert</w:t>
            </w:r>
          </w:p>
          <w:p w:rsidR="002A5E3B" w:rsidRPr="002A5E3B" w:rsidRDefault="002A5E3B" w:rsidP="005F1ED8">
            <w:pPr>
              <w:rPr>
                <w:sz w:val="20"/>
                <w:szCs w:val="20"/>
              </w:rPr>
            </w:pPr>
            <w:r>
              <w:rPr>
                <w:sz w:val="20"/>
                <w:szCs w:val="20"/>
              </w:rPr>
              <w:tab/>
              <w:t xml:space="preserve">Public Prosecution Services of Nova </w:t>
            </w:r>
            <w:r>
              <w:rPr>
                <w:sz w:val="20"/>
                <w:szCs w:val="20"/>
              </w:rPr>
              <w:tab/>
              <w:t>Scotia</w:t>
            </w:r>
          </w:p>
          <w:p w:rsidR="00A67A25" w:rsidRPr="002A5E3B" w:rsidRDefault="00A67A25" w:rsidP="005F1ED8">
            <w:pPr>
              <w:rPr>
                <w:b/>
                <w:sz w:val="20"/>
                <w:szCs w:val="20"/>
              </w:rPr>
            </w:pPr>
          </w:p>
          <w:p w:rsidR="00A67A25" w:rsidRPr="002A5E3B" w:rsidRDefault="002A5E3B" w:rsidP="005F1ED8">
            <w:pPr>
              <w:rPr>
                <w:sz w:val="20"/>
                <w:szCs w:val="20"/>
              </w:rPr>
            </w:pPr>
            <w:r>
              <w:rPr>
                <w:sz w:val="20"/>
                <w:szCs w:val="20"/>
              </w:rPr>
              <w:t>FILING DATE: 18.08.2016</w:t>
            </w:r>
          </w:p>
          <w:p w:rsidR="00C21644" w:rsidRPr="002A5E3B" w:rsidRDefault="00CB2D37"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p w:rsidR="00C21644" w:rsidRPr="002A5E3B" w:rsidRDefault="00C21644" w:rsidP="00242AEE">
            <w:pPr>
              <w:jc w:val="center"/>
              <w:rPr>
                <w:sz w:val="20"/>
                <w:szCs w:val="20"/>
              </w:rPr>
            </w:pPr>
          </w:p>
        </w:tc>
        <w:tc>
          <w:tcPr>
            <w:tcW w:w="4320" w:type="dxa"/>
            <w:shd w:val="clear" w:color="auto" w:fill="auto"/>
          </w:tcPr>
          <w:p w:rsidR="00C21644" w:rsidRPr="00EE4BF7" w:rsidRDefault="002A5E3B" w:rsidP="00A67A25">
            <w:pPr>
              <w:rPr>
                <w:b/>
                <w:sz w:val="20"/>
                <w:szCs w:val="20"/>
              </w:rPr>
            </w:pPr>
            <w:r w:rsidRPr="00EE4BF7">
              <w:rPr>
                <w:b/>
                <w:sz w:val="20"/>
                <w:szCs w:val="20"/>
              </w:rPr>
              <w:t>Rosemary Anne Hood</w:t>
            </w:r>
          </w:p>
          <w:p w:rsidR="002A5E3B" w:rsidRPr="00EE4BF7" w:rsidRDefault="002A5E3B" w:rsidP="00A67A25">
            <w:pPr>
              <w:rPr>
                <w:sz w:val="20"/>
                <w:szCs w:val="20"/>
              </w:rPr>
            </w:pPr>
            <w:r w:rsidRPr="00EE4BF7">
              <w:rPr>
                <w:b/>
                <w:sz w:val="20"/>
                <w:szCs w:val="20"/>
              </w:rPr>
              <w:tab/>
            </w:r>
            <w:r w:rsidRPr="00EE4BF7">
              <w:rPr>
                <w:sz w:val="20"/>
                <w:szCs w:val="20"/>
              </w:rPr>
              <w:t>Rosemary Anne Hood</w:t>
            </w:r>
          </w:p>
          <w:p w:rsidR="002A5E3B" w:rsidRPr="00EE4BF7" w:rsidRDefault="002A5E3B" w:rsidP="00A67A25">
            <w:pPr>
              <w:rPr>
                <w:sz w:val="20"/>
                <w:szCs w:val="20"/>
              </w:rPr>
            </w:pPr>
          </w:p>
          <w:p w:rsidR="002A5E3B" w:rsidRPr="00EE4BF7" w:rsidRDefault="002A5E3B" w:rsidP="00A67A25">
            <w:pPr>
              <w:rPr>
                <w:sz w:val="20"/>
                <w:szCs w:val="20"/>
              </w:rPr>
            </w:pPr>
            <w:r w:rsidRPr="00EE4BF7">
              <w:rPr>
                <w:sz w:val="20"/>
                <w:szCs w:val="20"/>
              </w:rPr>
              <w:tab/>
              <w:t>v. (37143)</w:t>
            </w:r>
          </w:p>
          <w:p w:rsidR="002A5E3B" w:rsidRPr="00EE4BF7" w:rsidRDefault="002A5E3B" w:rsidP="00A67A25">
            <w:pPr>
              <w:rPr>
                <w:sz w:val="20"/>
                <w:szCs w:val="20"/>
              </w:rPr>
            </w:pPr>
          </w:p>
          <w:p w:rsidR="002A5E3B" w:rsidRDefault="002A5E3B" w:rsidP="00A67A25">
            <w:pPr>
              <w:rPr>
                <w:b/>
                <w:sz w:val="20"/>
                <w:szCs w:val="20"/>
              </w:rPr>
            </w:pPr>
            <w:r w:rsidRPr="002A5E3B">
              <w:rPr>
                <w:b/>
                <w:sz w:val="20"/>
                <w:szCs w:val="20"/>
              </w:rPr>
              <w:t xml:space="preserve">Attorney General of Canada et al. </w:t>
            </w:r>
            <w:r>
              <w:rPr>
                <w:b/>
                <w:sz w:val="20"/>
                <w:szCs w:val="20"/>
              </w:rPr>
              <w:t>(F.C.)</w:t>
            </w:r>
          </w:p>
          <w:p w:rsidR="002A5E3B" w:rsidRDefault="002A5E3B" w:rsidP="00A67A25">
            <w:pPr>
              <w:rPr>
                <w:sz w:val="20"/>
                <w:szCs w:val="20"/>
              </w:rPr>
            </w:pPr>
            <w:r>
              <w:rPr>
                <w:sz w:val="20"/>
                <w:szCs w:val="20"/>
              </w:rPr>
              <w:tab/>
              <w:t>Meghan Riley</w:t>
            </w:r>
          </w:p>
          <w:p w:rsidR="002A5E3B" w:rsidRDefault="002A5E3B" w:rsidP="00A67A25">
            <w:pPr>
              <w:rPr>
                <w:sz w:val="20"/>
                <w:szCs w:val="20"/>
              </w:rPr>
            </w:pPr>
            <w:r>
              <w:rPr>
                <w:sz w:val="20"/>
                <w:szCs w:val="20"/>
              </w:rPr>
              <w:tab/>
              <w:t>Department of Justice Canada</w:t>
            </w:r>
          </w:p>
          <w:p w:rsidR="002A5E3B" w:rsidRDefault="002A5E3B" w:rsidP="00A67A25">
            <w:pPr>
              <w:rPr>
                <w:sz w:val="20"/>
                <w:szCs w:val="20"/>
              </w:rPr>
            </w:pPr>
          </w:p>
          <w:p w:rsidR="002A5E3B" w:rsidRDefault="002A5E3B" w:rsidP="00A67A25">
            <w:pPr>
              <w:rPr>
                <w:sz w:val="20"/>
                <w:szCs w:val="20"/>
              </w:rPr>
            </w:pPr>
            <w:r>
              <w:rPr>
                <w:sz w:val="20"/>
                <w:szCs w:val="20"/>
              </w:rPr>
              <w:t>FILING DATE: 23.08.2016</w:t>
            </w:r>
          </w:p>
          <w:p w:rsidR="002A5E3B" w:rsidRDefault="00CB2D37" w:rsidP="00A67A25">
            <w:pPr>
              <w:rPr>
                <w:sz w:val="20"/>
                <w:szCs w:val="20"/>
              </w:rPr>
            </w:pPr>
            <w:r>
              <w:rPr>
                <w:sz w:val="20"/>
                <w:szCs w:val="20"/>
                <w:lang w:val="fr-CA"/>
              </w:rPr>
              <w:pict>
                <v:rect id="_x0000_i1026" style="width:108pt;height:1pt" o:hrpct="0" o:hralign="center" o:hrstd="t" o:hrnoshade="t" o:hr="t" fillcolor="black [3213]" stroked="f"/>
              </w:pict>
            </w:r>
          </w:p>
          <w:p w:rsidR="002A5E3B" w:rsidRPr="002A5E3B" w:rsidRDefault="002A5E3B" w:rsidP="00A67A25">
            <w:pPr>
              <w:rPr>
                <w:sz w:val="20"/>
                <w:szCs w:val="20"/>
              </w:rPr>
            </w:pPr>
          </w:p>
        </w:tc>
      </w:tr>
      <w:tr w:rsidR="00C21644" w:rsidRPr="006104FE" w:rsidTr="003B3977">
        <w:tc>
          <w:tcPr>
            <w:tcW w:w="4320" w:type="dxa"/>
            <w:shd w:val="clear" w:color="auto" w:fill="auto"/>
          </w:tcPr>
          <w:p w:rsidR="00C21644" w:rsidRDefault="006104FE" w:rsidP="003B3977">
            <w:pPr>
              <w:rPr>
                <w:b/>
                <w:sz w:val="20"/>
                <w:szCs w:val="20"/>
              </w:rPr>
            </w:pPr>
            <w:r>
              <w:rPr>
                <w:b/>
                <w:sz w:val="20"/>
                <w:szCs w:val="20"/>
              </w:rPr>
              <w:t>Behrouz Salehi</w:t>
            </w:r>
          </w:p>
          <w:p w:rsidR="006104FE" w:rsidRDefault="006104FE" w:rsidP="003B3977">
            <w:pPr>
              <w:rPr>
                <w:sz w:val="20"/>
                <w:szCs w:val="20"/>
              </w:rPr>
            </w:pPr>
            <w:r>
              <w:rPr>
                <w:sz w:val="20"/>
                <w:szCs w:val="20"/>
              </w:rPr>
              <w:tab/>
              <w:t>Behrouz Salehi</w:t>
            </w:r>
          </w:p>
          <w:p w:rsidR="006104FE" w:rsidRDefault="006104FE" w:rsidP="003B3977">
            <w:pPr>
              <w:rPr>
                <w:sz w:val="20"/>
                <w:szCs w:val="20"/>
              </w:rPr>
            </w:pPr>
          </w:p>
          <w:p w:rsidR="006104FE" w:rsidRDefault="006104FE" w:rsidP="003B3977">
            <w:pPr>
              <w:rPr>
                <w:sz w:val="20"/>
                <w:szCs w:val="20"/>
              </w:rPr>
            </w:pPr>
            <w:r>
              <w:rPr>
                <w:sz w:val="20"/>
                <w:szCs w:val="20"/>
              </w:rPr>
              <w:tab/>
              <w:t>v. (37174)</w:t>
            </w:r>
          </w:p>
          <w:p w:rsidR="006104FE" w:rsidRDefault="006104FE" w:rsidP="003B3977">
            <w:pPr>
              <w:rPr>
                <w:sz w:val="20"/>
                <w:szCs w:val="20"/>
              </w:rPr>
            </w:pPr>
          </w:p>
          <w:p w:rsidR="006104FE" w:rsidRDefault="006104FE" w:rsidP="003B3977">
            <w:pPr>
              <w:rPr>
                <w:sz w:val="20"/>
                <w:szCs w:val="20"/>
              </w:rPr>
            </w:pPr>
            <w:r>
              <w:rPr>
                <w:b/>
                <w:sz w:val="20"/>
                <w:szCs w:val="20"/>
              </w:rPr>
              <w:t>Association of Professional Engineers of Ontario (Ont.)</w:t>
            </w:r>
          </w:p>
          <w:p w:rsidR="006104FE" w:rsidRPr="00EE4BF7" w:rsidRDefault="006104FE" w:rsidP="003B3977">
            <w:pPr>
              <w:rPr>
                <w:sz w:val="20"/>
                <w:szCs w:val="20"/>
                <w:lang w:val="fr-CA"/>
              </w:rPr>
            </w:pPr>
            <w:r>
              <w:rPr>
                <w:sz w:val="20"/>
                <w:szCs w:val="20"/>
              </w:rPr>
              <w:tab/>
            </w:r>
            <w:r w:rsidRPr="00EE4BF7">
              <w:rPr>
                <w:sz w:val="20"/>
                <w:szCs w:val="20"/>
                <w:lang w:val="fr-CA"/>
              </w:rPr>
              <w:t>Bernard C. LeBlanc</w:t>
            </w:r>
          </w:p>
          <w:p w:rsidR="006104FE" w:rsidRPr="00EE4BF7" w:rsidRDefault="006104FE" w:rsidP="003B3977">
            <w:pPr>
              <w:rPr>
                <w:sz w:val="20"/>
                <w:szCs w:val="20"/>
                <w:lang w:val="fr-CA"/>
              </w:rPr>
            </w:pPr>
            <w:r w:rsidRPr="00EE4BF7">
              <w:rPr>
                <w:sz w:val="20"/>
                <w:szCs w:val="20"/>
                <w:lang w:val="fr-CA"/>
              </w:rPr>
              <w:tab/>
              <w:t>Steinecke Maciura LeBlanc</w:t>
            </w:r>
          </w:p>
          <w:p w:rsidR="006104FE" w:rsidRPr="00EE4BF7" w:rsidRDefault="006104FE" w:rsidP="003B3977">
            <w:pPr>
              <w:rPr>
                <w:sz w:val="20"/>
                <w:szCs w:val="20"/>
                <w:lang w:val="fr-CA"/>
              </w:rPr>
            </w:pPr>
          </w:p>
          <w:p w:rsidR="006104FE" w:rsidRDefault="006104FE" w:rsidP="003B3977">
            <w:pPr>
              <w:rPr>
                <w:sz w:val="20"/>
                <w:szCs w:val="20"/>
              </w:rPr>
            </w:pPr>
            <w:r>
              <w:rPr>
                <w:sz w:val="20"/>
                <w:szCs w:val="20"/>
              </w:rPr>
              <w:t>FILING DATE: 31.08.2016</w:t>
            </w:r>
          </w:p>
          <w:p w:rsidR="006104FE" w:rsidRDefault="00CB2D3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6104FE" w:rsidRPr="006104FE" w:rsidRDefault="006104FE" w:rsidP="003B3977">
            <w:pPr>
              <w:rPr>
                <w:sz w:val="20"/>
                <w:szCs w:val="20"/>
              </w:rPr>
            </w:pPr>
          </w:p>
        </w:tc>
        <w:tc>
          <w:tcPr>
            <w:tcW w:w="1181" w:type="dxa"/>
            <w:shd w:val="clear" w:color="auto" w:fill="auto"/>
          </w:tcPr>
          <w:p w:rsidR="00C21644" w:rsidRPr="002A5E3B" w:rsidRDefault="00C21644" w:rsidP="00242AEE">
            <w:pPr>
              <w:jc w:val="center"/>
              <w:rPr>
                <w:sz w:val="20"/>
                <w:szCs w:val="20"/>
              </w:rPr>
            </w:pPr>
          </w:p>
        </w:tc>
        <w:tc>
          <w:tcPr>
            <w:tcW w:w="4320" w:type="dxa"/>
            <w:shd w:val="clear" w:color="auto" w:fill="auto"/>
          </w:tcPr>
          <w:p w:rsidR="00C21644" w:rsidRPr="00EE4BF7" w:rsidRDefault="006104FE" w:rsidP="00A67A25">
            <w:pPr>
              <w:rPr>
                <w:b/>
                <w:sz w:val="20"/>
                <w:szCs w:val="20"/>
                <w:lang w:val="fr-CA"/>
              </w:rPr>
            </w:pPr>
            <w:r w:rsidRPr="00EE4BF7">
              <w:rPr>
                <w:b/>
                <w:sz w:val="20"/>
                <w:szCs w:val="20"/>
                <w:lang w:val="fr-CA"/>
              </w:rPr>
              <w:t>9162-4676 Québec inc.</w:t>
            </w:r>
          </w:p>
          <w:p w:rsidR="006104FE" w:rsidRPr="00EE4BF7" w:rsidRDefault="006104FE" w:rsidP="00A67A25">
            <w:pPr>
              <w:rPr>
                <w:sz w:val="20"/>
                <w:szCs w:val="20"/>
                <w:lang w:val="fr-CA"/>
              </w:rPr>
            </w:pPr>
            <w:r w:rsidRPr="00EE4BF7">
              <w:rPr>
                <w:sz w:val="20"/>
                <w:szCs w:val="20"/>
                <w:lang w:val="fr-CA"/>
              </w:rPr>
              <w:tab/>
              <w:t>Philippe Frère</w:t>
            </w:r>
          </w:p>
          <w:p w:rsidR="006104FE" w:rsidRPr="00EE4BF7" w:rsidRDefault="006104FE" w:rsidP="00A67A25">
            <w:pPr>
              <w:rPr>
                <w:sz w:val="20"/>
                <w:szCs w:val="20"/>
                <w:lang w:val="fr-CA"/>
              </w:rPr>
            </w:pPr>
            <w:r w:rsidRPr="00EE4BF7">
              <w:rPr>
                <w:sz w:val="20"/>
                <w:szCs w:val="20"/>
                <w:lang w:val="fr-CA"/>
              </w:rPr>
              <w:tab/>
              <w:t>Lavery, de Billy</w:t>
            </w:r>
          </w:p>
          <w:p w:rsidR="006104FE" w:rsidRPr="00EE4BF7" w:rsidRDefault="006104FE" w:rsidP="00A67A25">
            <w:pPr>
              <w:rPr>
                <w:sz w:val="20"/>
                <w:szCs w:val="20"/>
                <w:lang w:val="fr-CA"/>
              </w:rPr>
            </w:pPr>
          </w:p>
          <w:p w:rsidR="006104FE" w:rsidRPr="006104FE" w:rsidRDefault="006104FE" w:rsidP="00A67A25">
            <w:pPr>
              <w:rPr>
                <w:sz w:val="20"/>
                <w:szCs w:val="20"/>
                <w:lang w:val="fr-CA"/>
              </w:rPr>
            </w:pPr>
            <w:r w:rsidRPr="00EE4BF7">
              <w:rPr>
                <w:sz w:val="20"/>
                <w:szCs w:val="20"/>
                <w:lang w:val="fr-CA"/>
              </w:rPr>
              <w:tab/>
            </w:r>
            <w:r w:rsidRPr="006104FE">
              <w:rPr>
                <w:sz w:val="20"/>
                <w:szCs w:val="20"/>
                <w:lang w:val="fr-CA"/>
              </w:rPr>
              <w:t>c. (37172)</w:t>
            </w:r>
          </w:p>
          <w:p w:rsidR="006104FE" w:rsidRPr="006104FE" w:rsidRDefault="006104FE" w:rsidP="00A67A25">
            <w:pPr>
              <w:rPr>
                <w:sz w:val="20"/>
                <w:szCs w:val="20"/>
                <w:lang w:val="fr-CA"/>
              </w:rPr>
            </w:pPr>
          </w:p>
          <w:p w:rsidR="006104FE" w:rsidRPr="006104FE" w:rsidRDefault="006104FE" w:rsidP="00A67A25">
            <w:pPr>
              <w:rPr>
                <w:b/>
                <w:sz w:val="20"/>
                <w:szCs w:val="20"/>
                <w:lang w:val="fr-CA"/>
              </w:rPr>
            </w:pPr>
            <w:r w:rsidRPr="006104FE">
              <w:rPr>
                <w:b/>
                <w:sz w:val="20"/>
                <w:szCs w:val="20"/>
                <w:lang w:val="fr-CA"/>
              </w:rPr>
              <w:t xml:space="preserve">Agence du </w:t>
            </w:r>
            <w:r>
              <w:rPr>
                <w:b/>
                <w:sz w:val="20"/>
                <w:szCs w:val="20"/>
                <w:lang w:val="fr-CA"/>
              </w:rPr>
              <w:t>revenu</w:t>
            </w:r>
            <w:r w:rsidRPr="006104FE">
              <w:rPr>
                <w:b/>
                <w:sz w:val="20"/>
                <w:szCs w:val="20"/>
                <w:lang w:val="fr-CA"/>
              </w:rPr>
              <w:t xml:space="preserve"> du Québec</w:t>
            </w:r>
            <w:r>
              <w:rPr>
                <w:b/>
                <w:sz w:val="20"/>
                <w:szCs w:val="20"/>
                <w:lang w:val="fr-CA"/>
              </w:rPr>
              <w:t xml:space="preserve"> et autres</w:t>
            </w:r>
            <w:r w:rsidRPr="006104FE">
              <w:rPr>
                <w:b/>
                <w:sz w:val="20"/>
                <w:szCs w:val="20"/>
                <w:lang w:val="fr-CA"/>
              </w:rPr>
              <w:t xml:space="preserve"> (Qc)</w:t>
            </w:r>
          </w:p>
          <w:p w:rsidR="006104FE" w:rsidRDefault="006104FE" w:rsidP="00A67A25">
            <w:pPr>
              <w:rPr>
                <w:sz w:val="20"/>
                <w:szCs w:val="20"/>
                <w:lang w:val="fr-CA"/>
              </w:rPr>
            </w:pPr>
            <w:r>
              <w:rPr>
                <w:sz w:val="20"/>
                <w:szCs w:val="20"/>
                <w:lang w:val="fr-CA"/>
              </w:rPr>
              <w:tab/>
              <w:t>Shura Abdulhaq</w:t>
            </w:r>
          </w:p>
          <w:p w:rsidR="006104FE" w:rsidRDefault="006104FE" w:rsidP="00A67A25">
            <w:pPr>
              <w:rPr>
                <w:sz w:val="20"/>
                <w:szCs w:val="20"/>
                <w:lang w:val="fr-CA"/>
              </w:rPr>
            </w:pPr>
            <w:r>
              <w:rPr>
                <w:sz w:val="20"/>
                <w:szCs w:val="20"/>
                <w:lang w:val="fr-CA"/>
              </w:rPr>
              <w:tab/>
              <w:t>Revenu Québec</w:t>
            </w:r>
          </w:p>
          <w:p w:rsidR="006104FE" w:rsidRDefault="006104FE" w:rsidP="00A67A25">
            <w:pPr>
              <w:rPr>
                <w:sz w:val="20"/>
                <w:szCs w:val="20"/>
                <w:lang w:val="fr-CA"/>
              </w:rPr>
            </w:pPr>
          </w:p>
          <w:p w:rsidR="006104FE" w:rsidRDefault="006104FE" w:rsidP="00A67A25">
            <w:pPr>
              <w:rPr>
                <w:sz w:val="20"/>
                <w:szCs w:val="20"/>
                <w:lang w:val="fr-CA"/>
              </w:rPr>
            </w:pPr>
            <w:r>
              <w:rPr>
                <w:sz w:val="20"/>
                <w:szCs w:val="20"/>
                <w:lang w:val="fr-CA"/>
              </w:rPr>
              <w:t>DATE DE PRODUCTION : 02.09.2016</w:t>
            </w:r>
          </w:p>
          <w:p w:rsidR="006104FE" w:rsidRDefault="00CB2D37" w:rsidP="00A67A25">
            <w:pPr>
              <w:rPr>
                <w:sz w:val="20"/>
                <w:szCs w:val="20"/>
                <w:lang w:val="fr-CA"/>
              </w:rPr>
            </w:pPr>
            <w:r>
              <w:rPr>
                <w:sz w:val="20"/>
                <w:szCs w:val="20"/>
                <w:lang w:val="fr-CA"/>
              </w:rPr>
              <w:pict>
                <v:rect id="_x0000_i1028" style="width:108pt;height:1pt" o:hrpct="0" o:hralign="center" o:hrstd="t" o:hrnoshade="t" o:hr="t" fillcolor="black [3213]" stroked="f"/>
              </w:pict>
            </w:r>
          </w:p>
          <w:p w:rsidR="006104FE" w:rsidRPr="006104FE" w:rsidRDefault="006104FE" w:rsidP="00A67A25">
            <w:pPr>
              <w:rPr>
                <w:sz w:val="20"/>
                <w:szCs w:val="20"/>
                <w:lang w:val="fr-CA"/>
              </w:rPr>
            </w:pPr>
          </w:p>
        </w:tc>
      </w:tr>
      <w:tr w:rsidR="00C21644" w:rsidRPr="00255903" w:rsidTr="003B3977">
        <w:tc>
          <w:tcPr>
            <w:tcW w:w="4320" w:type="dxa"/>
            <w:shd w:val="clear" w:color="auto" w:fill="auto"/>
          </w:tcPr>
          <w:p w:rsidR="00C21644" w:rsidRPr="00EE4BF7" w:rsidRDefault="006104FE" w:rsidP="005F1ED8">
            <w:pPr>
              <w:rPr>
                <w:b/>
                <w:sz w:val="20"/>
                <w:szCs w:val="20"/>
              </w:rPr>
            </w:pPr>
            <w:r w:rsidRPr="00EE4BF7">
              <w:rPr>
                <w:b/>
                <w:sz w:val="20"/>
                <w:szCs w:val="20"/>
              </w:rPr>
              <w:t>Daryle William Haug</w:t>
            </w:r>
          </w:p>
          <w:p w:rsidR="006104FE" w:rsidRPr="00EE4BF7" w:rsidRDefault="006104FE" w:rsidP="005F1ED8">
            <w:pPr>
              <w:rPr>
                <w:sz w:val="20"/>
                <w:szCs w:val="20"/>
              </w:rPr>
            </w:pPr>
            <w:r w:rsidRPr="00EE4BF7">
              <w:rPr>
                <w:b/>
                <w:sz w:val="20"/>
                <w:szCs w:val="20"/>
              </w:rPr>
              <w:tab/>
            </w:r>
            <w:r w:rsidRPr="00EE4BF7">
              <w:rPr>
                <w:sz w:val="20"/>
                <w:szCs w:val="20"/>
              </w:rPr>
              <w:t>Daryle William Haug</w:t>
            </w:r>
          </w:p>
          <w:p w:rsidR="006104FE" w:rsidRPr="00EE4BF7" w:rsidRDefault="006104FE" w:rsidP="005F1ED8">
            <w:pPr>
              <w:rPr>
                <w:sz w:val="20"/>
                <w:szCs w:val="20"/>
              </w:rPr>
            </w:pPr>
          </w:p>
          <w:p w:rsidR="006104FE" w:rsidRPr="00EE4BF7" w:rsidRDefault="006104FE" w:rsidP="005F1ED8">
            <w:pPr>
              <w:rPr>
                <w:sz w:val="20"/>
                <w:szCs w:val="20"/>
              </w:rPr>
            </w:pPr>
            <w:r w:rsidRPr="00EE4BF7">
              <w:rPr>
                <w:sz w:val="20"/>
                <w:szCs w:val="20"/>
              </w:rPr>
              <w:tab/>
              <w:t>v. (37183)</w:t>
            </w:r>
          </w:p>
          <w:p w:rsidR="006104FE" w:rsidRPr="00EE4BF7" w:rsidRDefault="006104FE" w:rsidP="005F1ED8">
            <w:pPr>
              <w:rPr>
                <w:sz w:val="20"/>
                <w:szCs w:val="20"/>
              </w:rPr>
            </w:pPr>
          </w:p>
          <w:p w:rsidR="006104FE" w:rsidRPr="006104FE" w:rsidRDefault="006104FE" w:rsidP="005F1ED8">
            <w:pPr>
              <w:rPr>
                <w:b/>
                <w:sz w:val="20"/>
                <w:szCs w:val="20"/>
              </w:rPr>
            </w:pPr>
            <w:r w:rsidRPr="006104FE">
              <w:rPr>
                <w:b/>
                <w:sz w:val="20"/>
                <w:szCs w:val="20"/>
              </w:rPr>
              <w:t>Warden of Dorchester Institution (N.B.)</w:t>
            </w:r>
          </w:p>
          <w:p w:rsidR="006104FE" w:rsidRDefault="006104FE" w:rsidP="005F1ED8">
            <w:pPr>
              <w:rPr>
                <w:sz w:val="20"/>
                <w:szCs w:val="20"/>
              </w:rPr>
            </w:pPr>
            <w:r>
              <w:rPr>
                <w:sz w:val="20"/>
                <w:szCs w:val="20"/>
              </w:rPr>
              <w:tab/>
              <w:t>Dean Smith</w:t>
            </w:r>
          </w:p>
          <w:p w:rsidR="006104FE" w:rsidRDefault="006104FE" w:rsidP="005F1ED8">
            <w:pPr>
              <w:rPr>
                <w:sz w:val="20"/>
                <w:szCs w:val="20"/>
              </w:rPr>
            </w:pPr>
            <w:r>
              <w:rPr>
                <w:sz w:val="20"/>
                <w:szCs w:val="20"/>
              </w:rPr>
              <w:tab/>
              <w:t>A.G. of Canada</w:t>
            </w:r>
          </w:p>
          <w:p w:rsidR="006104FE" w:rsidRDefault="006104FE" w:rsidP="005F1ED8">
            <w:pPr>
              <w:rPr>
                <w:sz w:val="20"/>
                <w:szCs w:val="20"/>
              </w:rPr>
            </w:pPr>
          </w:p>
          <w:p w:rsidR="006104FE" w:rsidRDefault="006104FE" w:rsidP="005F1ED8">
            <w:pPr>
              <w:rPr>
                <w:sz w:val="20"/>
                <w:szCs w:val="20"/>
              </w:rPr>
            </w:pPr>
            <w:r>
              <w:rPr>
                <w:sz w:val="20"/>
                <w:szCs w:val="20"/>
              </w:rPr>
              <w:t>FILING DATE: 02.09.2016</w:t>
            </w:r>
          </w:p>
          <w:p w:rsidR="006104FE" w:rsidRDefault="00CB2D37" w:rsidP="005F1ED8">
            <w:pPr>
              <w:rPr>
                <w:sz w:val="20"/>
                <w:szCs w:val="20"/>
                <w:lang w:val="fr-CA"/>
              </w:rPr>
            </w:pPr>
            <w:r>
              <w:rPr>
                <w:sz w:val="20"/>
                <w:szCs w:val="20"/>
                <w:lang w:val="fr-CA"/>
              </w:rPr>
              <w:pict>
                <v:rect id="_x0000_i1029" style="width:108pt;height:1pt" o:hrpct="0" o:hralign="center" o:hrstd="t" o:hrnoshade="t" o:hr="t" fillcolor="black [3213]" stroked="f"/>
              </w:pict>
            </w:r>
          </w:p>
          <w:p w:rsidR="006104FE" w:rsidRPr="006104FE" w:rsidRDefault="006104FE" w:rsidP="005F1ED8">
            <w:pPr>
              <w:rPr>
                <w:sz w:val="20"/>
                <w:szCs w:val="20"/>
              </w:rPr>
            </w:pPr>
          </w:p>
        </w:tc>
        <w:tc>
          <w:tcPr>
            <w:tcW w:w="1181" w:type="dxa"/>
            <w:shd w:val="clear" w:color="auto" w:fill="auto"/>
          </w:tcPr>
          <w:p w:rsidR="00C21644" w:rsidRPr="006104FE" w:rsidRDefault="00C21644" w:rsidP="00242AEE">
            <w:pPr>
              <w:jc w:val="center"/>
              <w:rPr>
                <w:sz w:val="20"/>
                <w:szCs w:val="20"/>
              </w:rPr>
            </w:pPr>
          </w:p>
        </w:tc>
        <w:tc>
          <w:tcPr>
            <w:tcW w:w="4320" w:type="dxa"/>
            <w:shd w:val="clear" w:color="auto" w:fill="auto"/>
          </w:tcPr>
          <w:p w:rsidR="00C21644" w:rsidRDefault="006104FE" w:rsidP="005F1ED8">
            <w:pPr>
              <w:rPr>
                <w:b/>
                <w:sz w:val="20"/>
                <w:szCs w:val="20"/>
              </w:rPr>
            </w:pPr>
            <w:r>
              <w:rPr>
                <w:b/>
                <w:sz w:val="20"/>
                <w:szCs w:val="20"/>
              </w:rPr>
              <w:t>Paul Slansky</w:t>
            </w:r>
          </w:p>
          <w:p w:rsidR="006104FE" w:rsidRPr="00EE4BF7" w:rsidRDefault="006104FE" w:rsidP="005F1ED8">
            <w:pPr>
              <w:rPr>
                <w:sz w:val="20"/>
                <w:szCs w:val="20"/>
              </w:rPr>
            </w:pPr>
            <w:r>
              <w:rPr>
                <w:b/>
                <w:sz w:val="20"/>
                <w:szCs w:val="20"/>
              </w:rPr>
              <w:tab/>
            </w:r>
            <w:r w:rsidRPr="00EE4BF7">
              <w:rPr>
                <w:sz w:val="20"/>
                <w:szCs w:val="20"/>
              </w:rPr>
              <w:t>Paul J. Pape</w:t>
            </w:r>
          </w:p>
          <w:p w:rsidR="006104FE" w:rsidRPr="00EE4BF7" w:rsidRDefault="006104FE" w:rsidP="005F1ED8">
            <w:pPr>
              <w:rPr>
                <w:sz w:val="20"/>
                <w:szCs w:val="20"/>
              </w:rPr>
            </w:pPr>
            <w:r w:rsidRPr="00EE4BF7">
              <w:rPr>
                <w:sz w:val="20"/>
                <w:szCs w:val="20"/>
              </w:rPr>
              <w:tab/>
              <w:t>Pape Barristers</w:t>
            </w:r>
          </w:p>
          <w:p w:rsidR="006104FE" w:rsidRPr="00EE4BF7" w:rsidRDefault="006104FE" w:rsidP="005F1ED8">
            <w:pPr>
              <w:rPr>
                <w:sz w:val="20"/>
                <w:szCs w:val="20"/>
              </w:rPr>
            </w:pPr>
          </w:p>
          <w:p w:rsidR="006104FE" w:rsidRDefault="006104FE" w:rsidP="005F1ED8">
            <w:pPr>
              <w:rPr>
                <w:sz w:val="20"/>
                <w:szCs w:val="20"/>
                <w:lang w:val="fr-CA"/>
              </w:rPr>
            </w:pPr>
            <w:r w:rsidRPr="00EE4BF7">
              <w:rPr>
                <w:sz w:val="20"/>
                <w:szCs w:val="20"/>
              </w:rPr>
              <w:tab/>
            </w:r>
            <w:r>
              <w:rPr>
                <w:sz w:val="20"/>
                <w:szCs w:val="20"/>
                <w:lang w:val="fr-CA"/>
              </w:rPr>
              <w:t>v. (37175)</w:t>
            </w:r>
          </w:p>
          <w:p w:rsidR="006104FE" w:rsidRDefault="006104FE" w:rsidP="005F1ED8">
            <w:pPr>
              <w:rPr>
                <w:sz w:val="20"/>
                <w:szCs w:val="20"/>
                <w:lang w:val="fr-CA"/>
              </w:rPr>
            </w:pPr>
          </w:p>
          <w:p w:rsidR="006104FE" w:rsidRDefault="006104FE" w:rsidP="005F1ED8">
            <w:pPr>
              <w:rPr>
                <w:b/>
                <w:sz w:val="20"/>
                <w:szCs w:val="20"/>
                <w:lang w:val="fr-CA"/>
              </w:rPr>
            </w:pPr>
            <w:r>
              <w:rPr>
                <w:b/>
                <w:sz w:val="20"/>
                <w:szCs w:val="20"/>
                <w:lang w:val="fr-CA"/>
              </w:rPr>
              <w:t>Kingsland Estates Limited</w:t>
            </w:r>
            <w:r w:rsidR="00255903">
              <w:rPr>
                <w:b/>
                <w:sz w:val="20"/>
                <w:szCs w:val="20"/>
                <w:lang w:val="fr-CA"/>
              </w:rPr>
              <w:t xml:space="preserve"> et al.</w:t>
            </w:r>
            <w:r>
              <w:rPr>
                <w:b/>
                <w:sz w:val="20"/>
                <w:szCs w:val="20"/>
                <w:lang w:val="fr-CA"/>
              </w:rPr>
              <w:t xml:space="preserve"> (Ont.)</w:t>
            </w:r>
          </w:p>
          <w:p w:rsidR="006104FE" w:rsidRPr="00255903" w:rsidRDefault="006104FE" w:rsidP="005F1ED8">
            <w:pPr>
              <w:rPr>
                <w:sz w:val="20"/>
                <w:szCs w:val="20"/>
              </w:rPr>
            </w:pPr>
            <w:r>
              <w:rPr>
                <w:sz w:val="20"/>
                <w:szCs w:val="20"/>
                <w:lang w:val="fr-CA"/>
              </w:rPr>
              <w:tab/>
            </w:r>
            <w:r w:rsidR="00255903" w:rsidRPr="00255903">
              <w:rPr>
                <w:sz w:val="20"/>
                <w:szCs w:val="20"/>
              </w:rPr>
              <w:t>Mark Polley</w:t>
            </w:r>
          </w:p>
          <w:p w:rsidR="00255903" w:rsidRPr="00255903" w:rsidRDefault="00255903" w:rsidP="005F1ED8">
            <w:pPr>
              <w:rPr>
                <w:sz w:val="20"/>
                <w:szCs w:val="20"/>
              </w:rPr>
            </w:pPr>
            <w:r w:rsidRPr="00255903">
              <w:rPr>
                <w:sz w:val="20"/>
                <w:szCs w:val="20"/>
              </w:rPr>
              <w:tab/>
              <w:t>Polley Faith LLP</w:t>
            </w:r>
          </w:p>
          <w:p w:rsidR="00255903" w:rsidRPr="00255903" w:rsidRDefault="00255903" w:rsidP="005F1ED8">
            <w:pPr>
              <w:rPr>
                <w:sz w:val="20"/>
                <w:szCs w:val="20"/>
              </w:rPr>
            </w:pPr>
          </w:p>
          <w:p w:rsidR="00255903" w:rsidRPr="00255903" w:rsidRDefault="00255903" w:rsidP="005F1ED8">
            <w:pPr>
              <w:rPr>
                <w:sz w:val="20"/>
                <w:szCs w:val="20"/>
              </w:rPr>
            </w:pPr>
            <w:r w:rsidRPr="00255903">
              <w:rPr>
                <w:sz w:val="20"/>
                <w:szCs w:val="20"/>
              </w:rPr>
              <w:t>FILING DATE : 07.09.2016</w:t>
            </w:r>
          </w:p>
          <w:p w:rsidR="00255903" w:rsidRDefault="00CB2D37" w:rsidP="005F1ED8">
            <w:pPr>
              <w:rPr>
                <w:sz w:val="20"/>
                <w:szCs w:val="20"/>
                <w:lang w:val="fr-CA"/>
              </w:rPr>
            </w:pPr>
            <w:r>
              <w:rPr>
                <w:sz w:val="20"/>
                <w:szCs w:val="20"/>
                <w:lang w:val="fr-CA"/>
              </w:rPr>
              <w:pict>
                <v:rect id="_x0000_i1030" style="width:108pt;height:1pt" o:hrpct="0" o:hralign="center" o:hrstd="t" o:hrnoshade="t" o:hr="t" fillcolor="black [3213]" stroked="f"/>
              </w:pict>
            </w:r>
          </w:p>
          <w:p w:rsidR="00255903" w:rsidRPr="00255903" w:rsidRDefault="00255903" w:rsidP="005F1ED8">
            <w:pPr>
              <w:rPr>
                <w:sz w:val="20"/>
                <w:szCs w:val="20"/>
              </w:rPr>
            </w:pPr>
          </w:p>
        </w:tc>
      </w:tr>
      <w:tr w:rsidR="00C21644" w:rsidRPr="00255903" w:rsidTr="003B3977">
        <w:trPr>
          <w:cantSplit/>
        </w:trPr>
        <w:tc>
          <w:tcPr>
            <w:tcW w:w="4320" w:type="dxa"/>
            <w:shd w:val="clear" w:color="auto" w:fill="auto"/>
          </w:tcPr>
          <w:p w:rsidR="00C21644" w:rsidRDefault="00A150FF" w:rsidP="005F1ED8">
            <w:pPr>
              <w:rPr>
                <w:b/>
                <w:sz w:val="20"/>
                <w:szCs w:val="20"/>
              </w:rPr>
            </w:pPr>
            <w:r>
              <w:rPr>
                <w:b/>
                <w:sz w:val="20"/>
                <w:szCs w:val="20"/>
              </w:rPr>
              <w:t>Robert Stewart Lawther</w:t>
            </w:r>
          </w:p>
          <w:p w:rsidR="00A150FF" w:rsidRDefault="00A150FF" w:rsidP="005F1ED8">
            <w:pPr>
              <w:rPr>
                <w:sz w:val="20"/>
                <w:szCs w:val="20"/>
              </w:rPr>
            </w:pPr>
            <w:r>
              <w:rPr>
                <w:b/>
                <w:sz w:val="20"/>
                <w:szCs w:val="20"/>
              </w:rPr>
              <w:tab/>
            </w:r>
            <w:r>
              <w:rPr>
                <w:sz w:val="20"/>
                <w:szCs w:val="20"/>
              </w:rPr>
              <w:t>T.J. McKeough</w:t>
            </w:r>
          </w:p>
          <w:p w:rsidR="00A150FF" w:rsidRDefault="00A150FF" w:rsidP="005F1ED8">
            <w:pPr>
              <w:rPr>
                <w:sz w:val="20"/>
                <w:szCs w:val="20"/>
              </w:rPr>
            </w:pPr>
            <w:r>
              <w:rPr>
                <w:sz w:val="20"/>
                <w:szCs w:val="20"/>
              </w:rPr>
              <w:tab/>
              <w:t>Brogan McKeough</w:t>
            </w:r>
          </w:p>
          <w:p w:rsidR="00A150FF" w:rsidRDefault="00A150FF" w:rsidP="005F1ED8">
            <w:pPr>
              <w:rPr>
                <w:sz w:val="20"/>
                <w:szCs w:val="20"/>
              </w:rPr>
            </w:pPr>
          </w:p>
          <w:p w:rsidR="00A150FF" w:rsidRDefault="00A150FF" w:rsidP="005F1ED8">
            <w:pPr>
              <w:rPr>
                <w:sz w:val="20"/>
                <w:szCs w:val="20"/>
              </w:rPr>
            </w:pPr>
            <w:r>
              <w:rPr>
                <w:sz w:val="20"/>
                <w:szCs w:val="20"/>
              </w:rPr>
              <w:tab/>
              <w:t>v. (37176)</w:t>
            </w:r>
          </w:p>
          <w:p w:rsidR="00A150FF" w:rsidRDefault="00A150FF" w:rsidP="005F1ED8">
            <w:pPr>
              <w:rPr>
                <w:sz w:val="20"/>
                <w:szCs w:val="20"/>
              </w:rPr>
            </w:pPr>
          </w:p>
          <w:p w:rsidR="00A150FF" w:rsidRDefault="00A150FF" w:rsidP="005F1ED8">
            <w:pPr>
              <w:rPr>
                <w:b/>
                <w:sz w:val="20"/>
                <w:szCs w:val="20"/>
              </w:rPr>
            </w:pPr>
            <w:r>
              <w:rPr>
                <w:b/>
                <w:sz w:val="20"/>
                <w:szCs w:val="20"/>
              </w:rPr>
              <w:t>Her Majesty the Queen (N.S.)</w:t>
            </w:r>
          </w:p>
          <w:p w:rsidR="00A150FF" w:rsidRDefault="00A150FF" w:rsidP="005F1ED8">
            <w:pPr>
              <w:rPr>
                <w:sz w:val="20"/>
                <w:szCs w:val="20"/>
              </w:rPr>
            </w:pPr>
            <w:r>
              <w:rPr>
                <w:sz w:val="20"/>
                <w:szCs w:val="20"/>
              </w:rPr>
              <w:tab/>
              <w:t>Timothy S. O’Leary</w:t>
            </w:r>
          </w:p>
          <w:p w:rsidR="00A150FF" w:rsidRDefault="00A150FF" w:rsidP="005F1ED8">
            <w:pPr>
              <w:rPr>
                <w:sz w:val="20"/>
                <w:szCs w:val="20"/>
              </w:rPr>
            </w:pPr>
            <w:r>
              <w:rPr>
                <w:sz w:val="20"/>
                <w:szCs w:val="20"/>
              </w:rPr>
              <w:tab/>
              <w:t>Nova Scotia Public Prosecution Service</w:t>
            </w:r>
          </w:p>
          <w:p w:rsidR="00A150FF" w:rsidRDefault="00A150FF" w:rsidP="005F1ED8">
            <w:pPr>
              <w:rPr>
                <w:sz w:val="20"/>
                <w:szCs w:val="20"/>
              </w:rPr>
            </w:pPr>
          </w:p>
          <w:p w:rsidR="00A150FF" w:rsidRDefault="00A150FF" w:rsidP="005F1ED8">
            <w:pPr>
              <w:rPr>
                <w:sz w:val="20"/>
                <w:szCs w:val="20"/>
              </w:rPr>
            </w:pPr>
            <w:r>
              <w:rPr>
                <w:sz w:val="20"/>
                <w:szCs w:val="20"/>
              </w:rPr>
              <w:t>FILING DATE: 08.09.2016</w:t>
            </w:r>
          </w:p>
          <w:p w:rsidR="00A150FF" w:rsidRDefault="00CB2D37" w:rsidP="005F1ED8">
            <w:pPr>
              <w:rPr>
                <w:sz w:val="20"/>
                <w:szCs w:val="20"/>
                <w:lang w:val="fr-CA"/>
              </w:rPr>
            </w:pPr>
            <w:r>
              <w:rPr>
                <w:sz w:val="20"/>
                <w:szCs w:val="20"/>
                <w:lang w:val="fr-CA"/>
              </w:rPr>
              <w:pict>
                <v:rect id="_x0000_i1031" style="width:108pt;height:1pt" o:hrpct="0" o:hralign="center" o:hrstd="t" o:hrnoshade="t" o:hr="t" fillcolor="black [3213]" stroked="f"/>
              </w:pict>
            </w:r>
          </w:p>
          <w:p w:rsidR="00A150FF" w:rsidRPr="00A150FF" w:rsidRDefault="00A150FF" w:rsidP="005F1ED8">
            <w:pPr>
              <w:rPr>
                <w:sz w:val="20"/>
                <w:szCs w:val="20"/>
              </w:rPr>
            </w:pPr>
          </w:p>
        </w:tc>
        <w:tc>
          <w:tcPr>
            <w:tcW w:w="1181" w:type="dxa"/>
            <w:shd w:val="clear" w:color="auto" w:fill="auto"/>
          </w:tcPr>
          <w:p w:rsidR="00C21644" w:rsidRPr="00255903" w:rsidRDefault="00C21644" w:rsidP="00242AEE">
            <w:pPr>
              <w:jc w:val="center"/>
              <w:rPr>
                <w:sz w:val="20"/>
                <w:szCs w:val="20"/>
              </w:rPr>
            </w:pPr>
          </w:p>
        </w:tc>
        <w:tc>
          <w:tcPr>
            <w:tcW w:w="4320" w:type="dxa"/>
            <w:shd w:val="clear" w:color="auto" w:fill="auto"/>
          </w:tcPr>
          <w:p w:rsidR="00C21644" w:rsidRDefault="006A6DCE" w:rsidP="005F1ED8">
            <w:pPr>
              <w:rPr>
                <w:b/>
                <w:sz w:val="20"/>
                <w:szCs w:val="20"/>
              </w:rPr>
            </w:pPr>
            <w:r>
              <w:rPr>
                <w:b/>
                <w:sz w:val="20"/>
                <w:szCs w:val="20"/>
              </w:rPr>
              <w:t>Jody Wade Laboucane</w:t>
            </w:r>
          </w:p>
          <w:p w:rsidR="006A6DCE" w:rsidRDefault="006A6DCE" w:rsidP="005F1ED8">
            <w:pPr>
              <w:rPr>
                <w:sz w:val="20"/>
                <w:szCs w:val="20"/>
              </w:rPr>
            </w:pPr>
            <w:r>
              <w:rPr>
                <w:b/>
                <w:sz w:val="20"/>
                <w:szCs w:val="20"/>
              </w:rPr>
              <w:tab/>
            </w:r>
            <w:r>
              <w:rPr>
                <w:sz w:val="20"/>
                <w:szCs w:val="20"/>
              </w:rPr>
              <w:t>Deborah R. Hatch</w:t>
            </w:r>
          </w:p>
          <w:p w:rsidR="006A6DCE" w:rsidRDefault="006A6DCE" w:rsidP="005F1ED8">
            <w:pPr>
              <w:rPr>
                <w:sz w:val="20"/>
                <w:szCs w:val="20"/>
              </w:rPr>
            </w:pPr>
            <w:r>
              <w:rPr>
                <w:sz w:val="20"/>
                <w:szCs w:val="20"/>
              </w:rPr>
              <w:tab/>
              <w:t>Hatch McClelland Moore</w:t>
            </w:r>
          </w:p>
          <w:p w:rsidR="006A6DCE" w:rsidRDefault="006A6DCE" w:rsidP="005F1ED8">
            <w:pPr>
              <w:rPr>
                <w:sz w:val="20"/>
                <w:szCs w:val="20"/>
              </w:rPr>
            </w:pPr>
          </w:p>
          <w:p w:rsidR="006A6DCE" w:rsidRDefault="006A6DCE" w:rsidP="005F1ED8">
            <w:pPr>
              <w:rPr>
                <w:sz w:val="20"/>
                <w:szCs w:val="20"/>
              </w:rPr>
            </w:pPr>
            <w:r>
              <w:rPr>
                <w:sz w:val="20"/>
                <w:szCs w:val="20"/>
              </w:rPr>
              <w:tab/>
              <w:t>v. (37177)</w:t>
            </w:r>
          </w:p>
          <w:p w:rsidR="006A6DCE" w:rsidRDefault="006A6DCE" w:rsidP="005F1ED8">
            <w:pPr>
              <w:rPr>
                <w:sz w:val="20"/>
                <w:szCs w:val="20"/>
              </w:rPr>
            </w:pPr>
          </w:p>
          <w:p w:rsidR="006A6DCE" w:rsidRDefault="006A6DCE" w:rsidP="00BF13EB">
            <w:pPr>
              <w:rPr>
                <w:b/>
                <w:sz w:val="20"/>
                <w:szCs w:val="20"/>
              </w:rPr>
            </w:pPr>
            <w:r>
              <w:rPr>
                <w:b/>
                <w:sz w:val="20"/>
                <w:szCs w:val="20"/>
              </w:rPr>
              <w:t xml:space="preserve">Her Majesty the </w:t>
            </w:r>
            <w:r w:rsidR="00BF13EB">
              <w:rPr>
                <w:b/>
                <w:sz w:val="20"/>
                <w:szCs w:val="20"/>
              </w:rPr>
              <w:t>Q</w:t>
            </w:r>
            <w:r>
              <w:rPr>
                <w:b/>
                <w:sz w:val="20"/>
                <w:szCs w:val="20"/>
              </w:rPr>
              <w:t>ueen</w:t>
            </w:r>
            <w:r w:rsidR="00BF13EB">
              <w:rPr>
                <w:b/>
                <w:sz w:val="20"/>
                <w:szCs w:val="20"/>
              </w:rPr>
              <w:t xml:space="preserve"> (Alta.)</w:t>
            </w:r>
          </w:p>
          <w:p w:rsidR="00BF13EB" w:rsidRDefault="00BF13EB" w:rsidP="00BF13EB">
            <w:pPr>
              <w:rPr>
                <w:sz w:val="20"/>
                <w:szCs w:val="20"/>
              </w:rPr>
            </w:pPr>
            <w:r>
              <w:rPr>
                <w:sz w:val="20"/>
                <w:szCs w:val="20"/>
              </w:rPr>
              <w:tab/>
              <w:t>Maureen McGuire</w:t>
            </w:r>
          </w:p>
          <w:p w:rsidR="00BF13EB" w:rsidRDefault="00BF13EB" w:rsidP="00BF13EB">
            <w:pPr>
              <w:rPr>
                <w:sz w:val="20"/>
                <w:szCs w:val="20"/>
              </w:rPr>
            </w:pPr>
            <w:r>
              <w:rPr>
                <w:sz w:val="20"/>
                <w:szCs w:val="20"/>
              </w:rPr>
              <w:tab/>
              <w:t>A.G. of Alberta</w:t>
            </w:r>
          </w:p>
          <w:p w:rsidR="00BF13EB" w:rsidRDefault="00BF13EB" w:rsidP="00BF13EB">
            <w:pPr>
              <w:rPr>
                <w:sz w:val="20"/>
                <w:szCs w:val="20"/>
              </w:rPr>
            </w:pPr>
          </w:p>
          <w:p w:rsidR="00BF13EB" w:rsidRDefault="00BF13EB" w:rsidP="00BF13EB">
            <w:pPr>
              <w:rPr>
                <w:sz w:val="20"/>
                <w:szCs w:val="20"/>
              </w:rPr>
            </w:pPr>
            <w:r>
              <w:rPr>
                <w:sz w:val="20"/>
                <w:szCs w:val="20"/>
              </w:rPr>
              <w:t>FILING DATE: 08.09.2016</w:t>
            </w:r>
          </w:p>
          <w:p w:rsidR="00BF13EB" w:rsidRPr="00BF13EB" w:rsidRDefault="00CB2D37" w:rsidP="00BF13EB">
            <w:pPr>
              <w:rPr>
                <w:sz w:val="20"/>
                <w:szCs w:val="20"/>
              </w:rPr>
            </w:pPr>
            <w:r>
              <w:rPr>
                <w:sz w:val="20"/>
                <w:szCs w:val="20"/>
                <w:lang w:val="fr-CA"/>
              </w:rPr>
              <w:pict>
                <v:rect id="_x0000_i1032" style="width:108pt;height:1pt" o:hrpct="0" o:hralign="center" o:hrstd="t" o:hrnoshade="t" o:hr="t" fillcolor="black [3213]" stroked="f"/>
              </w:pict>
            </w:r>
          </w:p>
        </w:tc>
      </w:tr>
      <w:tr w:rsidR="00BF13EB" w:rsidRPr="00255903" w:rsidTr="003B3977">
        <w:trPr>
          <w:cantSplit/>
        </w:trPr>
        <w:tc>
          <w:tcPr>
            <w:tcW w:w="4320" w:type="dxa"/>
            <w:shd w:val="clear" w:color="auto" w:fill="auto"/>
          </w:tcPr>
          <w:p w:rsidR="00BF13EB" w:rsidRDefault="001948F9" w:rsidP="005F1ED8">
            <w:pPr>
              <w:rPr>
                <w:b/>
                <w:sz w:val="20"/>
                <w:szCs w:val="20"/>
              </w:rPr>
            </w:pPr>
            <w:r>
              <w:rPr>
                <w:b/>
                <w:sz w:val="20"/>
                <w:szCs w:val="20"/>
              </w:rPr>
              <w:lastRenderedPageBreak/>
              <w:t>Ontario Refrigeration and Air Conditioning Contractors Association (Ont.)</w:t>
            </w:r>
          </w:p>
          <w:p w:rsidR="001948F9" w:rsidRDefault="001948F9" w:rsidP="005F1ED8">
            <w:pPr>
              <w:rPr>
                <w:sz w:val="20"/>
                <w:szCs w:val="20"/>
              </w:rPr>
            </w:pPr>
            <w:r>
              <w:rPr>
                <w:sz w:val="20"/>
                <w:szCs w:val="20"/>
              </w:rPr>
              <w:tab/>
              <w:t>Richard J. Charney</w:t>
            </w:r>
          </w:p>
          <w:p w:rsidR="001948F9" w:rsidRDefault="008B15BE" w:rsidP="005F1ED8">
            <w:pPr>
              <w:rPr>
                <w:sz w:val="20"/>
                <w:szCs w:val="20"/>
              </w:rPr>
            </w:pPr>
            <w:r>
              <w:rPr>
                <w:sz w:val="20"/>
                <w:szCs w:val="20"/>
              </w:rPr>
              <w:tab/>
              <w:t>Norton Rose Ful</w:t>
            </w:r>
            <w:r w:rsidR="001948F9">
              <w:rPr>
                <w:sz w:val="20"/>
                <w:szCs w:val="20"/>
              </w:rPr>
              <w:t>bright Canada LLP</w:t>
            </w:r>
          </w:p>
          <w:p w:rsidR="001948F9" w:rsidRDefault="001948F9" w:rsidP="005F1ED8">
            <w:pPr>
              <w:rPr>
                <w:sz w:val="20"/>
                <w:szCs w:val="20"/>
              </w:rPr>
            </w:pPr>
          </w:p>
          <w:p w:rsidR="001948F9" w:rsidRDefault="001948F9" w:rsidP="005F1ED8">
            <w:pPr>
              <w:rPr>
                <w:sz w:val="20"/>
                <w:szCs w:val="20"/>
              </w:rPr>
            </w:pPr>
            <w:r>
              <w:rPr>
                <w:sz w:val="20"/>
                <w:szCs w:val="20"/>
              </w:rPr>
              <w:tab/>
              <w:t>v. (37179)</w:t>
            </w:r>
          </w:p>
          <w:p w:rsidR="001948F9" w:rsidRDefault="001948F9" w:rsidP="005F1ED8">
            <w:pPr>
              <w:rPr>
                <w:sz w:val="20"/>
                <w:szCs w:val="20"/>
              </w:rPr>
            </w:pPr>
          </w:p>
          <w:p w:rsidR="001948F9" w:rsidRDefault="001948F9" w:rsidP="005F1ED8">
            <w:pPr>
              <w:rPr>
                <w:b/>
                <w:sz w:val="20"/>
                <w:szCs w:val="20"/>
              </w:rPr>
            </w:pPr>
            <w:r>
              <w:rPr>
                <w:b/>
                <w:sz w:val="20"/>
                <w:szCs w:val="20"/>
              </w:rPr>
              <w:t>United Association of Journeymen and Apprentices of the Plumbing and Pipefitting Industry of the United States and Canada, Local 787 et al. (Ont.)</w:t>
            </w:r>
          </w:p>
          <w:p w:rsidR="001948F9" w:rsidRDefault="001948F9" w:rsidP="005F1ED8">
            <w:pPr>
              <w:rPr>
                <w:sz w:val="20"/>
                <w:szCs w:val="20"/>
              </w:rPr>
            </w:pPr>
            <w:r>
              <w:rPr>
                <w:sz w:val="20"/>
                <w:szCs w:val="20"/>
              </w:rPr>
              <w:tab/>
              <w:t>Ronald N. Lebi</w:t>
            </w:r>
          </w:p>
          <w:p w:rsidR="001948F9" w:rsidRDefault="001948F9" w:rsidP="005F1ED8">
            <w:pPr>
              <w:rPr>
                <w:sz w:val="20"/>
                <w:szCs w:val="20"/>
              </w:rPr>
            </w:pPr>
            <w:r>
              <w:rPr>
                <w:sz w:val="20"/>
                <w:szCs w:val="20"/>
              </w:rPr>
              <w:tab/>
              <w:t>Koskie Minsky LLP</w:t>
            </w:r>
          </w:p>
          <w:p w:rsidR="001948F9" w:rsidRDefault="001948F9" w:rsidP="005F1ED8">
            <w:pPr>
              <w:rPr>
                <w:sz w:val="20"/>
                <w:szCs w:val="20"/>
              </w:rPr>
            </w:pPr>
          </w:p>
          <w:p w:rsidR="001948F9" w:rsidRDefault="001948F9" w:rsidP="005F1ED8">
            <w:pPr>
              <w:rPr>
                <w:sz w:val="20"/>
                <w:szCs w:val="20"/>
              </w:rPr>
            </w:pPr>
            <w:r>
              <w:rPr>
                <w:sz w:val="20"/>
                <w:szCs w:val="20"/>
              </w:rPr>
              <w:t>FILING DATE: 09.09.2016</w:t>
            </w:r>
          </w:p>
          <w:p w:rsidR="001948F9" w:rsidRDefault="00CB2D37" w:rsidP="005F1ED8">
            <w:pPr>
              <w:rPr>
                <w:lang w:val="fr-CA"/>
              </w:rPr>
            </w:pPr>
            <w:r>
              <w:rPr>
                <w:lang w:val="fr-CA"/>
              </w:rPr>
              <w:pict>
                <v:rect id="_x0000_i1033" style="width:2in;height:1pt" o:hrpct="0" o:hralign="center" o:hrstd="t" o:hrnoshade="t" o:hr="t" fillcolor="black [3213]" stroked="f"/>
              </w:pict>
            </w:r>
          </w:p>
          <w:p w:rsidR="001948F9" w:rsidRPr="001948F9" w:rsidRDefault="001948F9" w:rsidP="005F1ED8">
            <w:pPr>
              <w:rPr>
                <w:sz w:val="20"/>
                <w:szCs w:val="20"/>
              </w:rPr>
            </w:pPr>
          </w:p>
        </w:tc>
        <w:tc>
          <w:tcPr>
            <w:tcW w:w="1181" w:type="dxa"/>
            <w:shd w:val="clear" w:color="auto" w:fill="auto"/>
          </w:tcPr>
          <w:p w:rsidR="00BF13EB" w:rsidRPr="00255903" w:rsidRDefault="00BF13EB" w:rsidP="00242AEE">
            <w:pPr>
              <w:jc w:val="center"/>
              <w:rPr>
                <w:sz w:val="20"/>
                <w:szCs w:val="20"/>
              </w:rPr>
            </w:pPr>
          </w:p>
        </w:tc>
        <w:tc>
          <w:tcPr>
            <w:tcW w:w="4320" w:type="dxa"/>
            <w:shd w:val="clear" w:color="auto" w:fill="auto"/>
          </w:tcPr>
          <w:p w:rsidR="00BF13EB" w:rsidRDefault="008B15BE" w:rsidP="005F1ED8">
            <w:pPr>
              <w:rPr>
                <w:b/>
                <w:sz w:val="20"/>
                <w:szCs w:val="20"/>
              </w:rPr>
            </w:pPr>
            <w:r>
              <w:rPr>
                <w:b/>
                <w:sz w:val="20"/>
                <w:szCs w:val="20"/>
              </w:rPr>
              <w:t>Remy Fernandes</w:t>
            </w:r>
          </w:p>
          <w:p w:rsidR="001C72D3" w:rsidRDefault="001C72D3" w:rsidP="005F1ED8">
            <w:pPr>
              <w:rPr>
                <w:sz w:val="20"/>
                <w:szCs w:val="20"/>
              </w:rPr>
            </w:pPr>
            <w:r>
              <w:rPr>
                <w:b/>
                <w:sz w:val="20"/>
                <w:szCs w:val="20"/>
              </w:rPr>
              <w:tab/>
            </w:r>
            <w:r>
              <w:rPr>
                <w:sz w:val="20"/>
                <w:szCs w:val="20"/>
              </w:rPr>
              <w:t>Stephen J. Moreau</w:t>
            </w:r>
          </w:p>
          <w:p w:rsidR="001C72D3" w:rsidRDefault="001C72D3" w:rsidP="005F1ED8">
            <w:pPr>
              <w:rPr>
                <w:sz w:val="20"/>
                <w:szCs w:val="20"/>
              </w:rPr>
            </w:pPr>
            <w:r>
              <w:rPr>
                <w:sz w:val="20"/>
                <w:szCs w:val="20"/>
              </w:rPr>
              <w:tab/>
              <w:t xml:space="preserve">Cavalluzzo Shilton McIntyre Cornish </w:t>
            </w:r>
            <w:r>
              <w:rPr>
                <w:sz w:val="20"/>
                <w:szCs w:val="20"/>
              </w:rPr>
              <w:tab/>
              <w:t>LLP</w:t>
            </w:r>
          </w:p>
          <w:p w:rsidR="001C72D3" w:rsidRDefault="001C72D3" w:rsidP="005F1ED8">
            <w:pPr>
              <w:rPr>
                <w:sz w:val="20"/>
                <w:szCs w:val="20"/>
              </w:rPr>
            </w:pPr>
          </w:p>
          <w:p w:rsidR="001C72D3" w:rsidRDefault="001C72D3" w:rsidP="005F1ED8">
            <w:pPr>
              <w:rPr>
                <w:sz w:val="20"/>
                <w:szCs w:val="20"/>
              </w:rPr>
            </w:pPr>
            <w:r>
              <w:rPr>
                <w:sz w:val="20"/>
                <w:szCs w:val="20"/>
              </w:rPr>
              <w:tab/>
              <w:t>v. (37180)</w:t>
            </w:r>
          </w:p>
          <w:p w:rsidR="001C72D3" w:rsidRDefault="001C72D3" w:rsidP="005F1ED8">
            <w:pPr>
              <w:rPr>
                <w:sz w:val="20"/>
                <w:szCs w:val="20"/>
              </w:rPr>
            </w:pPr>
          </w:p>
          <w:p w:rsidR="001C72D3" w:rsidRDefault="001C72D3" w:rsidP="005F1ED8">
            <w:pPr>
              <w:rPr>
                <w:b/>
                <w:sz w:val="20"/>
                <w:szCs w:val="20"/>
              </w:rPr>
            </w:pPr>
            <w:r>
              <w:rPr>
                <w:b/>
                <w:sz w:val="20"/>
                <w:szCs w:val="20"/>
              </w:rPr>
              <w:t>Peel Educational &amp; Tutorial Services Limited C.O.B. as Mississauga Private School and Gabrielle Bush (Ont.)</w:t>
            </w:r>
          </w:p>
          <w:p w:rsidR="001C72D3" w:rsidRDefault="001C72D3" w:rsidP="005F1ED8">
            <w:pPr>
              <w:rPr>
                <w:sz w:val="20"/>
                <w:szCs w:val="20"/>
              </w:rPr>
            </w:pPr>
            <w:r>
              <w:rPr>
                <w:sz w:val="20"/>
                <w:szCs w:val="20"/>
              </w:rPr>
              <w:tab/>
              <w:t>Tim Gleason</w:t>
            </w:r>
          </w:p>
          <w:p w:rsidR="001C72D3" w:rsidRDefault="001C72D3" w:rsidP="005F1ED8">
            <w:pPr>
              <w:rPr>
                <w:sz w:val="20"/>
                <w:szCs w:val="20"/>
              </w:rPr>
            </w:pPr>
            <w:r>
              <w:rPr>
                <w:sz w:val="20"/>
                <w:szCs w:val="20"/>
              </w:rPr>
              <w:tab/>
              <w:t>Dewart Gleason LLP</w:t>
            </w:r>
          </w:p>
          <w:p w:rsidR="001C72D3" w:rsidRDefault="001C72D3" w:rsidP="005F1ED8">
            <w:pPr>
              <w:rPr>
                <w:sz w:val="20"/>
                <w:szCs w:val="20"/>
              </w:rPr>
            </w:pPr>
          </w:p>
          <w:p w:rsidR="001C72D3" w:rsidRDefault="001C72D3" w:rsidP="005F1ED8">
            <w:pPr>
              <w:rPr>
                <w:sz w:val="20"/>
                <w:szCs w:val="20"/>
              </w:rPr>
            </w:pPr>
            <w:r>
              <w:rPr>
                <w:sz w:val="20"/>
                <w:szCs w:val="20"/>
              </w:rPr>
              <w:t>FILING DATE: 12.09.2016</w:t>
            </w:r>
          </w:p>
          <w:p w:rsidR="001C72D3" w:rsidRPr="001C72D3" w:rsidRDefault="00CB2D37" w:rsidP="005F1ED8">
            <w:pPr>
              <w:rPr>
                <w:sz w:val="20"/>
                <w:szCs w:val="20"/>
              </w:rPr>
            </w:pPr>
            <w:r>
              <w:rPr>
                <w:lang w:val="fr-CA"/>
              </w:rPr>
              <w:pict>
                <v:rect id="_x0000_i1034" style="width:2in;height:1pt" o:hrpct="0" o:hralign="center" o:hrstd="t" o:hrnoshade="t" o:hr="t" fillcolor="black [3213]" stroked="f"/>
              </w:pict>
            </w:r>
          </w:p>
        </w:tc>
      </w:tr>
      <w:tr w:rsidR="001C72D3" w:rsidRPr="00255903" w:rsidTr="003B3977">
        <w:trPr>
          <w:cantSplit/>
        </w:trPr>
        <w:tc>
          <w:tcPr>
            <w:tcW w:w="4320" w:type="dxa"/>
            <w:shd w:val="clear" w:color="auto" w:fill="auto"/>
          </w:tcPr>
          <w:p w:rsidR="001C72D3" w:rsidRDefault="001C72D3" w:rsidP="005F1ED8">
            <w:pPr>
              <w:rPr>
                <w:b/>
                <w:sz w:val="20"/>
                <w:szCs w:val="20"/>
              </w:rPr>
            </w:pPr>
            <w:r>
              <w:rPr>
                <w:b/>
                <w:sz w:val="20"/>
                <w:szCs w:val="20"/>
              </w:rPr>
              <w:t>Dwayne Kevin George</w:t>
            </w:r>
          </w:p>
          <w:p w:rsidR="001C72D3" w:rsidRDefault="001C72D3" w:rsidP="005F1ED8">
            <w:pPr>
              <w:rPr>
                <w:sz w:val="20"/>
                <w:szCs w:val="20"/>
              </w:rPr>
            </w:pPr>
            <w:r>
              <w:rPr>
                <w:b/>
                <w:sz w:val="20"/>
                <w:szCs w:val="20"/>
              </w:rPr>
              <w:tab/>
            </w:r>
            <w:r>
              <w:rPr>
                <w:sz w:val="20"/>
                <w:szCs w:val="20"/>
              </w:rPr>
              <w:t xml:space="preserve">Michael W. Lacy </w:t>
            </w:r>
          </w:p>
          <w:p w:rsidR="001C72D3" w:rsidRDefault="001C72D3" w:rsidP="005F1ED8">
            <w:pPr>
              <w:rPr>
                <w:sz w:val="20"/>
                <w:szCs w:val="20"/>
              </w:rPr>
            </w:pPr>
            <w:r>
              <w:rPr>
                <w:sz w:val="20"/>
                <w:szCs w:val="20"/>
              </w:rPr>
              <w:tab/>
              <w:t>Brauti Thorning Zibarras LLP</w:t>
            </w:r>
          </w:p>
          <w:p w:rsidR="001C72D3" w:rsidRDefault="001C72D3" w:rsidP="005F1ED8">
            <w:pPr>
              <w:rPr>
                <w:sz w:val="20"/>
                <w:szCs w:val="20"/>
              </w:rPr>
            </w:pPr>
          </w:p>
          <w:p w:rsidR="001C72D3" w:rsidRDefault="001C72D3" w:rsidP="005F1ED8">
            <w:pPr>
              <w:rPr>
                <w:sz w:val="20"/>
                <w:szCs w:val="20"/>
              </w:rPr>
            </w:pPr>
            <w:r>
              <w:rPr>
                <w:sz w:val="20"/>
                <w:szCs w:val="20"/>
              </w:rPr>
              <w:tab/>
              <w:t>v. (37182)</w:t>
            </w:r>
          </w:p>
          <w:p w:rsidR="001C72D3" w:rsidRDefault="001C72D3" w:rsidP="005F1ED8">
            <w:pPr>
              <w:rPr>
                <w:sz w:val="20"/>
                <w:szCs w:val="20"/>
              </w:rPr>
            </w:pPr>
          </w:p>
          <w:p w:rsidR="001C72D3" w:rsidRDefault="001C72D3" w:rsidP="005F1ED8">
            <w:pPr>
              <w:rPr>
                <w:b/>
                <w:sz w:val="20"/>
                <w:szCs w:val="20"/>
              </w:rPr>
            </w:pPr>
            <w:r>
              <w:rPr>
                <w:b/>
                <w:sz w:val="20"/>
                <w:szCs w:val="20"/>
              </w:rPr>
              <w:t>Her Majesty the Queen (Ont.)</w:t>
            </w:r>
          </w:p>
          <w:p w:rsidR="001C72D3" w:rsidRDefault="001C72D3" w:rsidP="005F1ED8">
            <w:pPr>
              <w:rPr>
                <w:sz w:val="20"/>
                <w:szCs w:val="20"/>
              </w:rPr>
            </w:pPr>
            <w:r>
              <w:rPr>
                <w:sz w:val="20"/>
                <w:szCs w:val="20"/>
              </w:rPr>
              <w:tab/>
              <w:t>Dayna Arron</w:t>
            </w:r>
          </w:p>
          <w:p w:rsidR="001C72D3" w:rsidRDefault="001C72D3" w:rsidP="005F1ED8">
            <w:pPr>
              <w:rPr>
                <w:sz w:val="20"/>
                <w:szCs w:val="20"/>
              </w:rPr>
            </w:pPr>
            <w:r>
              <w:rPr>
                <w:sz w:val="20"/>
                <w:szCs w:val="20"/>
              </w:rPr>
              <w:tab/>
              <w:t xml:space="preserve">Ministry of the Attorney General of </w:t>
            </w:r>
            <w:r>
              <w:rPr>
                <w:sz w:val="20"/>
                <w:szCs w:val="20"/>
              </w:rPr>
              <w:tab/>
              <w:t>Ontario</w:t>
            </w:r>
          </w:p>
          <w:p w:rsidR="001C72D3" w:rsidRDefault="001C72D3" w:rsidP="005F1ED8">
            <w:pPr>
              <w:rPr>
                <w:sz w:val="20"/>
                <w:szCs w:val="20"/>
              </w:rPr>
            </w:pPr>
          </w:p>
          <w:p w:rsidR="001C72D3" w:rsidRDefault="001C72D3" w:rsidP="005F1ED8">
            <w:pPr>
              <w:rPr>
                <w:sz w:val="20"/>
                <w:szCs w:val="20"/>
              </w:rPr>
            </w:pPr>
            <w:r>
              <w:rPr>
                <w:sz w:val="20"/>
                <w:szCs w:val="20"/>
              </w:rPr>
              <w:t>FILING DATE: 12.09.2016</w:t>
            </w:r>
          </w:p>
          <w:p w:rsidR="001C72D3" w:rsidRDefault="00CB2D37" w:rsidP="005F1ED8">
            <w:pPr>
              <w:rPr>
                <w:lang w:val="fr-CA"/>
              </w:rPr>
            </w:pPr>
            <w:r>
              <w:rPr>
                <w:lang w:val="fr-CA"/>
              </w:rPr>
              <w:pict>
                <v:rect id="_x0000_i1035" style="width:2in;height:1pt" o:hrpct="0" o:hralign="center" o:hrstd="t" o:hrnoshade="t" o:hr="t" fillcolor="black [3213]" stroked="f"/>
              </w:pict>
            </w:r>
          </w:p>
          <w:p w:rsidR="001C72D3" w:rsidRPr="001C72D3" w:rsidRDefault="001C72D3" w:rsidP="005F1ED8">
            <w:pPr>
              <w:rPr>
                <w:sz w:val="20"/>
                <w:szCs w:val="20"/>
              </w:rPr>
            </w:pPr>
          </w:p>
        </w:tc>
        <w:tc>
          <w:tcPr>
            <w:tcW w:w="1181" w:type="dxa"/>
            <w:shd w:val="clear" w:color="auto" w:fill="auto"/>
          </w:tcPr>
          <w:p w:rsidR="001C72D3" w:rsidRPr="00255903" w:rsidRDefault="001C72D3" w:rsidP="00242AEE">
            <w:pPr>
              <w:jc w:val="center"/>
              <w:rPr>
                <w:sz w:val="20"/>
                <w:szCs w:val="20"/>
              </w:rPr>
            </w:pPr>
          </w:p>
        </w:tc>
        <w:tc>
          <w:tcPr>
            <w:tcW w:w="4320" w:type="dxa"/>
            <w:shd w:val="clear" w:color="auto" w:fill="auto"/>
          </w:tcPr>
          <w:p w:rsidR="00AD222F" w:rsidRPr="008B15BE" w:rsidRDefault="00AD222F" w:rsidP="00AD222F">
            <w:pPr>
              <w:rPr>
                <w:b/>
                <w:sz w:val="20"/>
                <w:szCs w:val="20"/>
                <w:lang w:val="fr-CA"/>
              </w:rPr>
            </w:pPr>
            <w:r w:rsidRPr="008B15BE">
              <w:rPr>
                <w:b/>
                <w:sz w:val="20"/>
                <w:szCs w:val="20"/>
                <w:lang w:val="fr-CA"/>
              </w:rPr>
              <w:t>Dave Lamouche</w:t>
            </w:r>
          </w:p>
          <w:p w:rsidR="00AD222F" w:rsidRPr="008B15BE" w:rsidRDefault="00AD222F" w:rsidP="00AD222F">
            <w:pPr>
              <w:rPr>
                <w:sz w:val="20"/>
                <w:szCs w:val="20"/>
                <w:lang w:val="fr-CA"/>
              </w:rPr>
            </w:pPr>
            <w:r w:rsidRPr="008B15BE">
              <w:rPr>
                <w:b/>
                <w:sz w:val="20"/>
                <w:szCs w:val="20"/>
                <w:lang w:val="fr-CA"/>
              </w:rPr>
              <w:tab/>
            </w:r>
            <w:r w:rsidRPr="008B15BE">
              <w:rPr>
                <w:sz w:val="20"/>
                <w:szCs w:val="20"/>
                <w:lang w:val="fr-CA"/>
              </w:rPr>
              <w:t>Priscilla  Kennedy</w:t>
            </w:r>
          </w:p>
          <w:p w:rsidR="00AD222F" w:rsidRPr="008B15BE" w:rsidRDefault="00AD222F" w:rsidP="00AD222F">
            <w:pPr>
              <w:rPr>
                <w:sz w:val="20"/>
                <w:szCs w:val="20"/>
                <w:lang w:val="fr-CA"/>
              </w:rPr>
            </w:pPr>
            <w:r w:rsidRPr="008B15BE">
              <w:rPr>
                <w:sz w:val="20"/>
                <w:szCs w:val="20"/>
                <w:lang w:val="fr-CA"/>
              </w:rPr>
              <w:tab/>
              <w:t>DLA Piper LLP</w:t>
            </w:r>
          </w:p>
          <w:p w:rsidR="00AD222F" w:rsidRPr="008B15BE" w:rsidRDefault="00AD222F" w:rsidP="00AD222F">
            <w:pPr>
              <w:rPr>
                <w:sz w:val="20"/>
                <w:szCs w:val="20"/>
                <w:lang w:val="fr-CA"/>
              </w:rPr>
            </w:pPr>
          </w:p>
          <w:p w:rsidR="00AD222F" w:rsidRPr="008B15BE" w:rsidRDefault="00AD222F" w:rsidP="00AD222F">
            <w:pPr>
              <w:rPr>
                <w:sz w:val="20"/>
                <w:szCs w:val="20"/>
                <w:lang w:val="fr-CA"/>
              </w:rPr>
            </w:pPr>
            <w:r w:rsidRPr="008B15BE">
              <w:rPr>
                <w:sz w:val="20"/>
                <w:szCs w:val="20"/>
                <w:lang w:val="fr-CA"/>
              </w:rPr>
              <w:tab/>
              <w:t>v. (37111)</w:t>
            </w:r>
          </w:p>
          <w:p w:rsidR="00AD222F" w:rsidRPr="008B15BE" w:rsidRDefault="00AD222F" w:rsidP="00AD222F">
            <w:pPr>
              <w:rPr>
                <w:sz w:val="20"/>
                <w:szCs w:val="20"/>
                <w:lang w:val="fr-CA"/>
              </w:rPr>
            </w:pPr>
          </w:p>
          <w:p w:rsidR="00AD222F" w:rsidRPr="008B15BE" w:rsidRDefault="00AD222F" w:rsidP="00AD222F">
            <w:pPr>
              <w:rPr>
                <w:b/>
                <w:sz w:val="20"/>
                <w:szCs w:val="20"/>
                <w:lang w:val="en-US"/>
              </w:rPr>
            </w:pPr>
            <w:r w:rsidRPr="008B15BE">
              <w:rPr>
                <w:b/>
                <w:sz w:val="20"/>
                <w:szCs w:val="20"/>
                <w:lang w:val="fr-CA"/>
              </w:rPr>
              <w:t xml:space="preserve">Lester Calaheson et al. </w:t>
            </w:r>
            <w:r w:rsidRPr="008B15BE">
              <w:rPr>
                <w:b/>
                <w:sz w:val="20"/>
                <w:szCs w:val="20"/>
                <w:lang w:val="en-US"/>
              </w:rPr>
              <w:t>(Alta.)</w:t>
            </w:r>
          </w:p>
          <w:p w:rsidR="00AD222F" w:rsidRPr="008B15BE" w:rsidRDefault="00AD222F" w:rsidP="00AD222F">
            <w:pPr>
              <w:rPr>
                <w:sz w:val="20"/>
                <w:szCs w:val="20"/>
                <w:lang w:val="en-US"/>
              </w:rPr>
            </w:pPr>
            <w:r w:rsidRPr="008B15BE">
              <w:rPr>
                <w:b/>
                <w:sz w:val="20"/>
                <w:szCs w:val="20"/>
                <w:lang w:val="en-US"/>
              </w:rPr>
              <w:tab/>
            </w:r>
            <w:r w:rsidRPr="008B15BE">
              <w:rPr>
                <w:sz w:val="20"/>
                <w:szCs w:val="20"/>
                <w:lang w:val="en-US"/>
              </w:rPr>
              <w:t>Richard B. Hajduk</w:t>
            </w:r>
          </w:p>
          <w:p w:rsidR="00AD222F" w:rsidRPr="008B15BE" w:rsidRDefault="00AD222F" w:rsidP="00AD222F">
            <w:pPr>
              <w:rPr>
                <w:sz w:val="20"/>
                <w:szCs w:val="20"/>
                <w:lang w:val="en-US"/>
              </w:rPr>
            </w:pPr>
            <w:r w:rsidRPr="008B15BE">
              <w:rPr>
                <w:sz w:val="20"/>
                <w:szCs w:val="20"/>
                <w:lang w:val="en-US"/>
              </w:rPr>
              <w:tab/>
              <w:t>Hajduk Gibbs LLP</w:t>
            </w:r>
          </w:p>
          <w:p w:rsidR="00AD222F" w:rsidRPr="008B15BE" w:rsidRDefault="00AD222F" w:rsidP="00AD222F">
            <w:pPr>
              <w:rPr>
                <w:sz w:val="20"/>
                <w:szCs w:val="20"/>
                <w:lang w:val="en-US"/>
              </w:rPr>
            </w:pPr>
          </w:p>
          <w:p w:rsidR="00AD222F" w:rsidRPr="008B15BE" w:rsidRDefault="00AD222F" w:rsidP="00AD222F">
            <w:pPr>
              <w:rPr>
                <w:sz w:val="20"/>
                <w:szCs w:val="20"/>
                <w:lang w:val="fr-CA"/>
              </w:rPr>
            </w:pPr>
            <w:r w:rsidRPr="008B15BE">
              <w:rPr>
                <w:sz w:val="20"/>
                <w:szCs w:val="20"/>
                <w:lang w:val="fr-CA"/>
              </w:rPr>
              <w:t>FILING DATE : 01.09.2016</w:t>
            </w:r>
          </w:p>
          <w:p w:rsidR="00AD222F" w:rsidRPr="008B15BE" w:rsidRDefault="00CB2D37" w:rsidP="00AD222F">
            <w:pPr>
              <w:rPr>
                <w:sz w:val="20"/>
                <w:szCs w:val="20"/>
                <w:lang w:val="fr-CA"/>
              </w:rPr>
            </w:pPr>
            <w:r>
              <w:rPr>
                <w:sz w:val="20"/>
                <w:szCs w:val="20"/>
                <w:lang w:val="fr-CA"/>
              </w:rPr>
              <w:pict>
                <v:rect id="_x0000_i1036" style="width:2in;height:1pt" o:hrpct="0" o:hralign="center" o:hrstd="t" o:hrnoshade="t" o:hr="t" fillcolor="black [3213]" stroked="f"/>
              </w:pict>
            </w:r>
          </w:p>
          <w:p w:rsidR="005E3F2F" w:rsidRPr="005935FA" w:rsidRDefault="005E3F2F" w:rsidP="005F1ED8">
            <w:pPr>
              <w:rPr>
                <w:sz w:val="20"/>
                <w:szCs w:val="20"/>
              </w:rPr>
            </w:pPr>
          </w:p>
        </w:tc>
      </w:tr>
      <w:tr w:rsidR="005E3F2F" w:rsidRPr="005E3F2F" w:rsidTr="003B3977">
        <w:trPr>
          <w:cantSplit/>
        </w:trPr>
        <w:tc>
          <w:tcPr>
            <w:tcW w:w="4320" w:type="dxa"/>
            <w:shd w:val="clear" w:color="auto" w:fill="auto"/>
          </w:tcPr>
          <w:p w:rsidR="005E3F2F" w:rsidRPr="00EE4BF7" w:rsidRDefault="005E3F2F" w:rsidP="005F1ED8">
            <w:pPr>
              <w:rPr>
                <w:b/>
                <w:sz w:val="20"/>
                <w:szCs w:val="20"/>
                <w:lang w:val="fr-CA"/>
              </w:rPr>
            </w:pPr>
            <w:r w:rsidRPr="00EE4BF7">
              <w:rPr>
                <w:b/>
                <w:sz w:val="20"/>
                <w:szCs w:val="20"/>
                <w:lang w:val="fr-CA"/>
              </w:rPr>
              <w:t xml:space="preserve">Chime Tretsetsang </w:t>
            </w:r>
          </w:p>
          <w:p w:rsidR="005E3F2F" w:rsidRDefault="005E3F2F" w:rsidP="005F1ED8">
            <w:pPr>
              <w:rPr>
                <w:sz w:val="20"/>
                <w:szCs w:val="20"/>
                <w:lang w:val="fr-CA"/>
              </w:rPr>
            </w:pPr>
            <w:r w:rsidRPr="00EE4BF7">
              <w:rPr>
                <w:b/>
                <w:sz w:val="20"/>
                <w:szCs w:val="20"/>
                <w:lang w:val="fr-CA"/>
              </w:rPr>
              <w:tab/>
            </w:r>
            <w:r w:rsidRPr="005E3F2F">
              <w:rPr>
                <w:sz w:val="20"/>
                <w:szCs w:val="20"/>
                <w:lang w:val="fr-CA"/>
              </w:rPr>
              <w:t xml:space="preserve">D. </w:t>
            </w:r>
            <w:r>
              <w:rPr>
                <w:sz w:val="20"/>
                <w:szCs w:val="20"/>
                <w:lang w:val="fr-CA"/>
              </w:rPr>
              <w:t>Clifford Luyt</w:t>
            </w:r>
          </w:p>
          <w:p w:rsidR="005E3F2F" w:rsidRDefault="005E3F2F" w:rsidP="005F1ED8">
            <w:pPr>
              <w:rPr>
                <w:sz w:val="20"/>
                <w:szCs w:val="20"/>
                <w:lang w:val="fr-CA"/>
              </w:rPr>
            </w:pPr>
            <w:r>
              <w:rPr>
                <w:sz w:val="20"/>
                <w:szCs w:val="20"/>
                <w:lang w:val="fr-CA"/>
              </w:rPr>
              <w:tab/>
            </w:r>
          </w:p>
          <w:p w:rsidR="005E3F2F" w:rsidRDefault="005E3F2F" w:rsidP="005F1ED8">
            <w:pPr>
              <w:rPr>
                <w:sz w:val="20"/>
                <w:szCs w:val="20"/>
                <w:lang w:val="fr-CA"/>
              </w:rPr>
            </w:pPr>
            <w:r>
              <w:rPr>
                <w:sz w:val="20"/>
                <w:szCs w:val="20"/>
                <w:lang w:val="fr-CA"/>
              </w:rPr>
              <w:tab/>
              <w:t>v. (37178)</w:t>
            </w:r>
          </w:p>
          <w:p w:rsidR="005E3F2F" w:rsidRDefault="005E3F2F" w:rsidP="005F1ED8">
            <w:pPr>
              <w:rPr>
                <w:sz w:val="20"/>
                <w:szCs w:val="20"/>
                <w:lang w:val="fr-CA"/>
              </w:rPr>
            </w:pPr>
          </w:p>
          <w:p w:rsidR="005E3F2F" w:rsidRDefault="005E3F2F" w:rsidP="005F1ED8">
            <w:pPr>
              <w:rPr>
                <w:b/>
                <w:sz w:val="20"/>
                <w:szCs w:val="20"/>
              </w:rPr>
            </w:pPr>
            <w:r w:rsidRPr="005E3F2F">
              <w:rPr>
                <w:b/>
                <w:sz w:val="20"/>
                <w:szCs w:val="20"/>
              </w:rPr>
              <w:t>Minister of Citizenship and Immigration (</w:t>
            </w:r>
            <w:r>
              <w:rPr>
                <w:b/>
                <w:sz w:val="20"/>
                <w:szCs w:val="20"/>
              </w:rPr>
              <w:t>F.C.)</w:t>
            </w:r>
          </w:p>
          <w:p w:rsidR="005E3F2F" w:rsidRDefault="005E3F2F" w:rsidP="005F1ED8">
            <w:pPr>
              <w:rPr>
                <w:sz w:val="20"/>
                <w:szCs w:val="20"/>
              </w:rPr>
            </w:pPr>
            <w:r>
              <w:rPr>
                <w:sz w:val="20"/>
                <w:szCs w:val="20"/>
              </w:rPr>
              <w:tab/>
              <w:t>Tamrat Gebeyehu</w:t>
            </w:r>
          </w:p>
          <w:p w:rsidR="005E3F2F" w:rsidRDefault="005E3F2F" w:rsidP="005F1ED8">
            <w:pPr>
              <w:rPr>
                <w:sz w:val="20"/>
                <w:szCs w:val="20"/>
              </w:rPr>
            </w:pPr>
            <w:r>
              <w:rPr>
                <w:sz w:val="20"/>
                <w:szCs w:val="20"/>
              </w:rPr>
              <w:tab/>
              <w:t>Department of Justice</w:t>
            </w:r>
          </w:p>
          <w:p w:rsidR="005E3F2F" w:rsidRDefault="005E3F2F" w:rsidP="005F1ED8">
            <w:pPr>
              <w:rPr>
                <w:sz w:val="20"/>
                <w:szCs w:val="20"/>
              </w:rPr>
            </w:pPr>
          </w:p>
          <w:p w:rsidR="005E3F2F" w:rsidRDefault="005E3F2F" w:rsidP="005F1ED8">
            <w:pPr>
              <w:rPr>
                <w:sz w:val="20"/>
                <w:szCs w:val="20"/>
              </w:rPr>
            </w:pPr>
            <w:r>
              <w:rPr>
                <w:sz w:val="20"/>
                <w:szCs w:val="20"/>
              </w:rPr>
              <w:t>FILING DATE: 08.09.2016</w:t>
            </w:r>
          </w:p>
          <w:p w:rsidR="005E3F2F" w:rsidRPr="005E3F2F" w:rsidRDefault="00CB2D37" w:rsidP="005F1ED8">
            <w:pPr>
              <w:rPr>
                <w:sz w:val="20"/>
                <w:szCs w:val="20"/>
              </w:rPr>
            </w:pPr>
            <w:r>
              <w:rPr>
                <w:lang w:val="fr-CA"/>
              </w:rPr>
              <w:pict>
                <v:rect id="_x0000_i1037" style="width:2in;height:1pt" o:hrpct="0" o:hralign="center" o:hrstd="t" o:hrnoshade="t" o:hr="t" fillcolor="black [3213]" stroked="f"/>
              </w:pict>
            </w:r>
          </w:p>
        </w:tc>
        <w:tc>
          <w:tcPr>
            <w:tcW w:w="1181" w:type="dxa"/>
            <w:shd w:val="clear" w:color="auto" w:fill="auto"/>
          </w:tcPr>
          <w:p w:rsidR="005E3F2F" w:rsidRPr="005E3F2F" w:rsidRDefault="005E3F2F" w:rsidP="00242AEE">
            <w:pPr>
              <w:jc w:val="center"/>
              <w:rPr>
                <w:sz w:val="20"/>
                <w:szCs w:val="20"/>
              </w:rPr>
            </w:pPr>
          </w:p>
        </w:tc>
        <w:tc>
          <w:tcPr>
            <w:tcW w:w="4320" w:type="dxa"/>
            <w:shd w:val="clear" w:color="auto" w:fill="auto"/>
          </w:tcPr>
          <w:p w:rsidR="005E3F2F" w:rsidRDefault="005B7982" w:rsidP="005F1ED8">
            <w:pPr>
              <w:rPr>
                <w:b/>
                <w:sz w:val="20"/>
                <w:szCs w:val="20"/>
              </w:rPr>
            </w:pPr>
            <w:r>
              <w:rPr>
                <w:b/>
                <w:sz w:val="20"/>
                <w:szCs w:val="20"/>
              </w:rPr>
              <w:t>Josephakis Charalambous</w:t>
            </w:r>
          </w:p>
          <w:p w:rsidR="005B7982" w:rsidRDefault="005B7982" w:rsidP="005F1ED8">
            <w:pPr>
              <w:rPr>
                <w:sz w:val="20"/>
                <w:szCs w:val="20"/>
              </w:rPr>
            </w:pPr>
            <w:r>
              <w:rPr>
                <w:b/>
                <w:sz w:val="20"/>
                <w:szCs w:val="20"/>
              </w:rPr>
              <w:tab/>
            </w:r>
            <w:r>
              <w:rPr>
                <w:sz w:val="20"/>
                <w:szCs w:val="20"/>
              </w:rPr>
              <w:t>Eric Purtzki</w:t>
            </w:r>
          </w:p>
          <w:p w:rsidR="005B7982" w:rsidRDefault="005B7982" w:rsidP="005F1ED8">
            <w:pPr>
              <w:rPr>
                <w:sz w:val="20"/>
                <w:szCs w:val="20"/>
              </w:rPr>
            </w:pPr>
          </w:p>
          <w:p w:rsidR="005B7982" w:rsidRDefault="005B7982" w:rsidP="005F1ED8">
            <w:pPr>
              <w:rPr>
                <w:sz w:val="20"/>
                <w:szCs w:val="20"/>
              </w:rPr>
            </w:pPr>
            <w:r>
              <w:rPr>
                <w:sz w:val="20"/>
                <w:szCs w:val="20"/>
              </w:rPr>
              <w:tab/>
              <w:t>v. (37181)</w:t>
            </w:r>
          </w:p>
          <w:p w:rsidR="005B7982" w:rsidRDefault="005B7982" w:rsidP="005F1ED8">
            <w:pPr>
              <w:rPr>
                <w:sz w:val="20"/>
                <w:szCs w:val="20"/>
              </w:rPr>
            </w:pPr>
          </w:p>
          <w:p w:rsidR="005B7982" w:rsidRDefault="005B7982" w:rsidP="005F1ED8">
            <w:pPr>
              <w:rPr>
                <w:b/>
                <w:sz w:val="20"/>
                <w:szCs w:val="20"/>
              </w:rPr>
            </w:pPr>
            <w:r>
              <w:rPr>
                <w:b/>
                <w:sz w:val="20"/>
                <w:szCs w:val="20"/>
              </w:rPr>
              <w:t>Attorney General of Canada (F.C.)</w:t>
            </w:r>
          </w:p>
          <w:p w:rsidR="005B7982" w:rsidRDefault="005B7982" w:rsidP="005F1ED8">
            <w:pPr>
              <w:rPr>
                <w:sz w:val="20"/>
                <w:szCs w:val="20"/>
              </w:rPr>
            </w:pPr>
            <w:r>
              <w:rPr>
                <w:sz w:val="20"/>
                <w:szCs w:val="20"/>
              </w:rPr>
              <w:tab/>
              <w:t>Liliane Bantourakis</w:t>
            </w:r>
          </w:p>
          <w:p w:rsidR="005B7982" w:rsidRDefault="005B7982" w:rsidP="005F1ED8">
            <w:pPr>
              <w:rPr>
                <w:sz w:val="20"/>
                <w:szCs w:val="20"/>
              </w:rPr>
            </w:pPr>
            <w:r>
              <w:rPr>
                <w:sz w:val="20"/>
                <w:szCs w:val="20"/>
              </w:rPr>
              <w:tab/>
              <w:t>Department of Justice</w:t>
            </w:r>
          </w:p>
          <w:p w:rsidR="005B7982" w:rsidRDefault="005B7982" w:rsidP="005F1ED8">
            <w:pPr>
              <w:rPr>
                <w:sz w:val="20"/>
                <w:szCs w:val="20"/>
              </w:rPr>
            </w:pPr>
          </w:p>
          <w:p w:rsidR="005B7982" w:rsidRDefault="005B7982" w:rsidP="005F1ED8">
            <w:pPr>
              <w:rPr>
                <w:sz w:val="20"/>
                <w:szCs w:val="20"/>
              </w:rPr>
            </w:pPr>
            <w:r>
              <w:rPr>
                <w:sz w:val="20"/>
                <w:szCs w:val="20"/>
              </w:rPr>
              <w:t>FILING DATE: 12.09.2016</w:t>
            </w:r>
          </w:p>
          <w:p w:rsidR="005B7982" w:rsidRDefault="00CB2D37" w:rsidP="005F1ED8">
            <w:pPr>
              <w:rPr>
                <w:lang w:val="fr-CA"/>
              </w:rPr>
            </w:pPr>
            <w:r>
              <w:rPr>
                <w:lang w:val="fr-CA"/>
              </w:rPr>
              <w:pict>
                <v:rect id="_x0000_i1038" style="width:2in;height:1pt" o:hrpct="0" o:hralign="center" o:hrstd="t" o:hrnoshade="t" o:hr="t" fillcolor="black [3213]" stroked="f"/>
              </w:pict>
            </w:r>
          </w:p>
          <w:p w:rsidR="00FF306C" w:rsidRPr="005B7982" w:rsidRDefault="00FF306C" w:rsidP="005F1ED8">
            <w:pPr>
              <w:rPr>
                <w:sz w:val="20"/>
                <w:szCs w:val="20"/>
              </w:rPr>
            </w:pPr>
          </w:p>
        </w:tc>
      </w:tr>
      <w:tr w:rsidR="005B7982" w:rsidRPr="00FF306C" w:rsidTr="003B3977">
        <w:trPr>
          <w:cantSplit/>
        </w:trPr>
        <w:tc>
          <w:tcPr>
            <w:tcW w:w="4320" w:type="dxa"/>
            <w:shd w:val="clear" w:color="auto" w:fill="auto"/>
          </w:tcPr>
          <w:p w:rsidR="00AD222F" w:rsidRDefault="00AD222F" w:rsidP="00AD222F">
            <w:pPr>
              <w:rPr>
                <w:b/>
                <w:sz w:val="20"/>
                <w:szCs w:val="20"/>
              </w:rPr>
            </w:pPr>
            <w:r>
              <w:rPr>
                <w:b/>
                <w:sz w:val="20"/>
                <w:szCs w:val="20"/>
              </w:rPr>
              <w:t>Her Majesty the Queen</w:t>
            </w:r>
          </w:p>
          <w:p w:rsidR="00AD222F" w:rsidRDefault="00AD222F" w:rsidP="00AD222F">
            <w:pPr>
              <w:rPr>
                <w:sz w:val="20"/>
                <w:szCs w:val="20"/>
              </w:rPr>
            </w:pPr>
            <w:r>
              <w:rPr>
                <w:b/>
                <w:sz w:val="20"/>
                <w:szCs w:val="20"/>
              </w:rPr>
              <w:tab/>
            </w:r>
            <w:r>
              <w:rPr>
                <w:sz w:val="20"/>
                <w:szCs w:val="20"/>
              </w:rPr>
              <w:t>Jolaine Antonio</w:t>
            </w:r>
          </w:p>
          <w:p w:rsidR="00AD222F" w:rsidRDefault="00AD222F" w:rsidP="00AD222F">
            <w:pPr>
              <w:rPr>
                <w:sz w:val="20"/>
                <w:szCs w:val="20"/>
              </w:rPr>
            </w:pPr>
            <w:r>
              <w:rPr>
                <w:sz w:val="20"/>
                <w:szCs w:val="20"/>
              </w:rPr>
              <w:tab/>
              <w:t>A.G. of Alberta</w:t>
            </w:r>
          </w:p>
          <w:p w:rsidR="00AD222F" w:rsidRDefault="00AD222F" w:rsidP="00AD222F">
            <w:pPr>
              <w:rPr>
                <w:sz w:val="20"/>
                <w:szCs w:val="20"/>
              </w:rPr>
            </w:pPr>
          </w:p>
          <w:p w:rsidR="00AD222F" w:rsidRDefault="00AD222F" w:rsidP="00AD222F">
            <w:pPr>
              <w:rPr>
                <w:sz w:val="20"/>
                <w:szCs w:val="20"/>
              </w:rPr>
            </w:pPr>
            <w:r>
              <w:rPr>
                <w:sz w:val="20"/>
                <w:szCs w:val="20"/>
              </w:rPr>
              <w:tab/>
              <w:t>v. (37173)</w:t>
            </w:r>
          </w:p>
          <w:p w:rsidR="00AD222F" w:rsidRDefault="00AD222F" w:rsidP="00AD222F">
            <w:pPr>
              <w:rPr>
                <w:sz w:val="20"/>
                <w:szCs w:val="20"/>
              </w:rPr>
            </w:pPr>
          </w:p>
          <w:p w:rsidR="00AD222F" w:rsidRDefault="00AD222F" w:rsidP="00AD222F">
            <w:pPr>
              <w:rPr>
                <w:b/>
                <w:sz w:val="20"/>
                <w:szCs w:val="20"/>
              </w:rPr>
            </w:pPr>
            <w:r>
              <w:rPr>
                <w:b/>
                <w:sz w:val="20"/>
                <w:szCs w:val="20"/>
              </w:rPr>
              <w:t>Sheldon Bertrum Worme (Alta.)</w:t>
            </w:r>
          </w:p>
          <w:p w:rsidR="00AD222F" w:rsidRDefault="00AD222F" w:rsidP="00AD222F">
            <w:pPr>
              <w:rPr>
                <w:sz w:val="20"/>
                <w:szCs w:val="20"/>
              </w:rPr>
            </w:pPr>
            <w:r>
              <w:rPr>
                <w:sz w:val="20"/>
                <w:szCs w:val="20"/>
              </w:rPr>
              <w:tab/>
              <w:t>Sheldon Bertrum Worme</w:t>
            </w:r>
          </w:p>
          <w:p w:rsidR="00AD222F" w:rsidRDefault="00AD222F" w:rsidP="00AD222F">
            <w:pPr>
              <w:rPr>
                <w:sz w:val="20"/>
                <w:szCs w:val="20"/>
              </w:rPr>
            </w:pPr>
          </w:p>
          <w:p w:rsidR="00AD222F" w:rsidRDefault="00AD222F" w:rsidP="00AD222F">
            <w:pPr>
              <w:rPr>
                <w:sz w:val="20"/>
                <w:szCs w:val="20"/>
              </w:rPr>
            </w:pPr>
            <w:r>
              <w:rPr>
                <w:sz w:val="20"/>
                <w:szCs w:val="20"/>
              </w:rPr>
              <w:t>FILING DATE: 02.09.2016</w:t>
            </w:r>
          </w:p>
          <w:p w:rsidR="00FF306C" w:rsidRPr="00FF306C" w:rsidRDefault="00CB2D37" w:rsidP="00AD222F">
            <w:pPr>
              <w:rPr>
                <w:sz w:val="20"/>
                <w:szCs w:val="20"/>
                <w:lang w:val="fr-CA"/>
              </w:rPr>
            </w:pPr>
            <w:r>
              <w:rPr>
                <w:lang w:val="fr-CA"/>
              </w:rPr>
              <w:pict>
                <v:rect id="_x0000_i1039" style="width:2in;height:1pt" o:hrpct="0" o:hralign="center" o:hrstd="t" o:hrnoshade="t" o:hr="t" fillcolor="black [3213]" stroked="f"/>
              </w:pict>
            </w:r>
          </w:p>
        </w:tc>
        <w:tc>
          <w:tcPr>
            <w:tcW w:w="1181" w:type="dxa"/>
            <w:shd w:val="clear" w:color="auto" w:fill="auto"/>
          </w:tcPr>
          <w:p w:rsidR="005B7982" w:rsidRPr="00FF306C" w:rsidRDefault="005B7982" w:rsidP="00242AEE">
            <w:pPr>
              <w:jc w:val="center"/>
              <w:rPr>
                <w:sz w:val="20"/>
                <w:szCs w:val="20"/>
                <w:lang w:val="fr-CA"/>
              </w:rPr>
            </w:pPr>
          </w:p>
        </w:tc>
        <w:tc>
          <w:tcPr>
            <w:tcW w:w="4320" w:type="dxa"/>
            <w:shd w:val="clear" w:color="auto" w:fill="auto"/>
          </w:tcPr>
          <w:p w:rsidR="005B7982" w:rsidRPr="00EE4BF7" w:rsidRDefault="00FF306C" w:rsidP="005F1ED8">
            <w:pPr>
              <w:rPr>
                <w:b/>
                <w:sz w:val="20"/>
                <w:szCs w:val="20"/>
              </w:rPr>
            </w:pPr>
            <w:r w:rsidRPr="00EE4BF7">
              <w:rPr>
                <w:b/>
                <w:sz w:val="20"/>
                <w:szCs w:val="20"/>
              </w:rPr>
              <w:t>Merrill Kucher</w:t>
            </w:r>
          </w:p>
          <w:p w:rsidR="00FF306C" w:rsidRPr="00EE4BF7" w:rsidRDefault="00FF306C" w:rsidP="005F1ED8">
            <w:pPr>
              <w:rPr>
                <w:sz w:val="20"/>
                <w:szCs w:val="20"/>
              </w:rPr>
            </w:pPr>
            <w:r w:rsidRPr="00EE4BF7">
              <w:rPr>
                <w:b/>
                <w:sz w:val="20"/>
                <w:szCs w:val="20"/>
              </w:rPr>
              <w:tab/>
            </w:r>
            <w:r w:rsidRPr="00EE4BF7">
              <w:rPr>
                <w:sz w:val="20"/>
                <w:szCs w:val="20"/>
              </w:rPr>
              <w:t>Merrill Kucher</w:t>
            </w:r>
          </w:p>
          <w:p w:rsidR="00FF306C" w:rsidRPr="00EE4BF7" w:rsidRDefault="00FF306C" w:rsidP="005F1ED8">
            <w:pPr>
              <w:rPr>
                <w:sz w:val="20"/>
                <w:szCs w:val="20"/>
              </w:rPr>
            </w:pPr>
          </w:p>
          <w:p w:rsidR="00FF306C" w:rsidRPr="00EE4BF7" w:rsidRDefault="00FF306C" w:rsidP="005F1ED8">
            <w:pPr>
              <w:rPr>
                <w:sz w:val="20"/>
                <w:szCs w:val="20"/>
              </w:rPr>
            </w:pPr>
            <w:r w:rsidRPr="00EE4BF7">
              <w:rPr>
                <w:sz w:val="20"/>
                <w:szCs w:val="20"/>
              </w:rPr>
              <w:tab/>
              <w:t>v. (37191)</w:t>
            </w:r>
          </w:p>
          <w:p w:rsidR="00FF306C" w:rsidRPr="00EE4BF7" w:rsidRDefault="00FF306C" w:rsidP="005F1ED8">
            <w:pPr>
              <w:rPr>
                <w:sz w:val="20"/>
                <w:szCs w:val="20"/>
              </w:rPr>
            </w:pPr>
          </w:p>
          <w:p w:rsidR="00FF306C" w:rsidRPr="00EE4BF7" w:rsidRDefault="00FF306C" w:rsidP="005F1ED8">
            <w:pPr>
              <w:rPr>
                <w:b/>
                <w:sz w:val="20"/>
                <w:szCs w:val="20"/>
              </w:rPr>
            </w:pPr>
            <w:r w:rsidRPr="00EE4BF7">
              <w:rPr>
                <w:b/>
                <w:sz w:val="20"/>
                <w:szCs w:val="20"/>
              </w:rPr>
              <w:t>Kirk Brown (B.C.)</w:t>
            </w:r>
          </w:p>
          <w:p w:rsidR="00FF306C" w:rsidRPr="00EE4BF7" w:rsidRDefault="00FF306C" w:rsidP="005F1ED8">
            <w:pPr>
              <w:rPr>
                <w:sz w:val="20"/>
                <w:szCs w:val="20"/>
              </w:rPr>
            </w:pPr>
            <w:r w:rsidRPr="00EE4BF7">
              <w:rPr>
                <w:sz w:val="20"/>
                <w:szCs w:val="20"/>
              </w:rPr>
              <w:tab/>
              <w:t>Andrew LaCroix</w:t>
            </w:r>
          </w:p>
          <w:p w:rsidR="00FF306C" w:rsidRDefault="00FF306C" w:rsidP="005F1ED8">
            <w:pPr>
              <w:rPr>
                <w:sz w:val="20"/>
                <w:szCs w:val="20"/>
                <w:lang w:val="fr-CA"/>
              </w:rPr>
            </w:pPr>
            <w:r w:rsidRPr="00EE4BF7">
              <w:rPr>
                <w:sz w:val="20"/>
                <w:szCs w:val="20"/>
              </w:rPr>
              <w:tab/>
            </w:r>
            <w:r>
              <w:rPr>
                <w:sz w:val="20"/>
                <w:szCs w:val="20"/>
                <w:lang w:val="fr-CA"/>
              </w:rPr>
              <w:t>LaCroix Law</w:t>
            </w:r>
          </w:p>
          <w:p w:rsidR="00FF306C" w:rsidRDefault="00FF306C" w:rsidP="005F1ED8">
            <w:pPr>
              <w:rPr>
                <w:sz w:val="20"/>
                <w:szCs w:val="20"/>
                <w:lang w:val="fr-CA"/>
              </w:rPr>
            </w:pPr>
          </w:p>
          <w:p w:rsidR="00FF306C" w:rsidRDefault="00FF306C" w:rsidP="005F1ED8">
            <w:pPr>
              <w:rPr>
                <w:sz w:val="20"/>
                <w:szCs w:val="20"/>
                <w:lang w:val="fr-CA"/>
              </w:rPr>
            </w:pPr>
            <w:r>
              <w:rPr>
                <w:sz w:val="20"/>
                <w:szCs w:val="20"/>
                <w:lang w:val="fr-CA"/>
              </w:rPr>
              <w:t>FILING DATE : 12.09.2016</w:t>
            </w:r>
          </w:p>
          <w:p w:rsidR="00FF306C" w:rsidRPr="00FF306C" w:rsidRDefault="00CB2D37" w:rsidP="005F1ED8">
            <w:pPr>
              <w:rPr>
                <w:sz w:val="20"/>
                <w:szCs w:val="20"/>
                <w:lang w:val="fr-CA"/>
              </w:rPr>
            </w:pPr>
            <w:r>
              <w:rPr>
                <w:lang w:val="fr-CA"/>
              </w:rPr>
              <w:pict>
                <v:rect id="_x0000_i1040" style="width:2in;height:1pt" o:hrpct="0" o:hralign="center" o:hrstd="t" o:hrnoshade="t" o:hr="t" fillcolor="black [3213]" stroked="f"/>
              </w:pict>
            </w:r>
          </w:p>
        </w:tc>
      </w:tr>
      <w:tr w:rsidR="00AD222F" w:rsidRPr="00FF306C" w:rsidTr="003B3977">
        <w:trPr>
          <w:cantSplit/>
        </w:trPr>
        <w:tc>
          <w:tcPr>
            <w:tcW w:w="4320" w:type="dxa"/>
            <w:shd w:val="clear" w:color="auto" w:fill="auto"/>
          </w:tcPr>
          <w:p w:rsidR="00AD222F" w:rsidRDefault="00AD222F" w:rsidP="00AD222F">
            <w:pPr>
              <w:rPr>
                <w:b/>
                <w:sz w:val="20"/>
                <w:szCs w:val="20"/>
                <w:lang w:val="fr-CA"/>
              </w:rPr>
            </w:pPr>
            <w:r w:rsidRPr="00FF306C">
              <w:rPr>
                <w:b/>
                <w:sz w:val="20"/>
                <w:szCs w:val="20"/>
                <w:lang w:val="fr-CA"/>
              </w:rPr>
              <w:lastRenderedPageBreak/>
              <w:t>9229-0188 Québec inc. (SARAMAC)</w:t>
            </w:r>
            <w:r>
              <w:rPr>
                <w:b/>
                <w:sz w:val="20"/>
                <w:szCs w:val="20"/>
                <w:lang w:val="fr-CA"/>
              </w:rPr>
              <w:t xml:space="preserve"> et autres</w:t>
            </w:r>
          </w:p>
          <w:p w:rsidR="00AD222F" w:rsidRPr="00EB664B" w:rsidRDefault="00AD222F" w:rsidP="00AD222F">
            <w:pPr>
              <w:rPr>
                <w:sz w:val="20"/>
                <w:szCs w:val="20"/>
                <w:lang w:val="fr-CA"/>
              </w:rPr>
            </w:pPr>
            <w:r>
              <w:rPr>
                <w:b/>
                <w:sz w:val="20"/>
                <w:szCs w:val="20"/>
                <w:lang w:val="fr-CA"/>
              </w:rPr>
              <w:tab/>
            </w:r>
            <w:r w:rsidRPr="00EB664B">
              <w:rPr>
                <w:sz w:val="20"/>
                <w:szCs w:val="20"/>
                <w:lang w:val="fr-CA"/>
              </w:rPr>
              <w:t>William Brock</w:t>
            </w:r>
          </w:p>
          <w:p w:rsidR="00AD222F" w:rsidRPr="00EE4BF7" w:rsidRDefault="00AD222F" w:rsidP="00AD222F">
            <w:pPr>
              <w:rPr>
                <w:sz w:val="20"/>
                <w:szCs w:val="20"/>
              </w:rPr>
            </w:pPr>
            <w:r w:rsidRPr="00EB664B">
              <w:rPr>
                <w:sz w:val="20"/>
                <w:szCs w:val="20"/>
                <w:lang w:val="fr-CA"/>
              </w:rPr>
              <w:tab/>
            </w:r>
            <w:r w:rsidRPr="00EE4BF7">
              <w:rPr>
                <w:sz w:val="20"/>
                <w:szCs w:val="20"/>
              </w:rPr>
              <w:t xml:space="preserve">Davies Ward Phillips &amp; Vineberg </w:t>
            </w:r>
            <w:r>
              <w:rPr>
                <w:sz w:val="20"/>
                <w:szCs w:val="20"/>
              </w:rPr>
              <w:tab/>
              <w:t>S.E.N.C.R.L., s.r.l.</w:t>
            </w:r>
          </w:p>
          <w:p w:rsidR="00AD222F" w:rsidRPr="00EE4BF7" w:rsidRDefault="00AD222F" w:rsidP="00AD222F">
            <w:pPr>
              <w:rPr>
                <w:sz w:val="20"/>
                <w:szCs w:val="20"/>
              </w:rPr>
            </w:pPr>
          </w:p>
          <w:p w:rsidR="00AD222F" w:rsidRDefault="00AD222F" w:rsidP="00AD222F">
            <w:pPr>
              <w:rPr>
                <w:sz w:val="20"/>
                <w:szCs w:val="20"/>
                <w:lang w:val="fr-CA"/>
              </w:rPr>
            </w:pPr>
            <w:r w:rsidRPr="00EE4BF7">
              <w:rPr>
                <w:sz w:val="20"/>
                <w:szCs w:val="20"/>
              </w:rPr>
              <w:tab/>
            </w:r>
            <w:r>
              <w:rPr>
                <w:sz w:val="20"/>
                <w:szCs w:val="20"/>
                <w:lang w:val="fr-CA"/>
              </w:rPr>
              <w:t>c. (37185)</w:t>
            </w:r>
          </w:p>
          <w:p w:rsidR="00AD222F" w:rsidRDefault="00AD222F" w:rsidP="00AD222F">
            <w:pPr>
              <w:rPr>
                <w:sz w:val="20"/>
                <w:szCs w:val="20"/>
                <w:lang w:val="fr-CA"/>
              </w:rPr>
            </w:pPr>
          </w:p>
          <w:p w:rsidR="00AD222F" w:rsidRDefault="00AD222F" w:rsidP="00AD222F">
            <w:pPr>
              <w:rPr>
                <w:sz w:val="20"/>
                <w:szCs w:val="20"/>
                <w:lang w:val="fr-CA"/>
              </w:rPr>
            </w:pPr>
            <w:r>
              <w:rPr>
                <w:b/>
                <w:sz w:val="20"/>
                <w:szCs w:val="20"/>
                <w:lang w:val="fr-CA"/>
              </w:rPr>
              <w:t>Directeur des poursuites criminelles et pénales (Qc)</w:t>
            </w:r>
          </w:p>
          <w:p w:rsidR="00AD222F" w:rsidRPr="00FF306C" w:rsidRDefault="00AD222F" w:rsidP="00AD222F">
            <w:pPr>
              <w:rPr>
                <w:sz w:val="20"/>
                <w:szCs w:val="20"/>
                <w:lang w:val="fr-CA"/>
              </w:rPr>
            </w:pPr>
            <w:r>
              <w:rPr>
                <w:sz w:val="20"/>
                <w:szCs w:val="20"/>
                <w:lang w:val="fr-CA"/>
              </w:rPr>
              <w:tab/>
              <w:t>Éric Bernier</w:t>
            </w:r>
          </w:p>
          <w:p w:rsidR="00AD222F" w:rsidRDefault="00AD222F" w:rsidP="00AD222F">
            <w:pPr>
              <w:rPr>
                <w:sz w:val="20"/>
                <w:szCs w:val="20"/>
                <w:lang w:val="fr-CA"/>
              </w:rPr>
            </w:pPr>
            <w:r w:rsidRPr="00FF306C">
              <w:rPr>
                <w:sz w:val="20"/>
                <w:szCs w:val="20"/>
                <w:lang w:val="fr-CA"/>
              </w:rPr>
              <w:tab/>
            </w:r>
            <w:r>
              <w:rPr>
                <w:sz w:val="20"/>
                <w:szCs w:val="20"/>
                <w:lang w:val="fr-CA"/>
              </w:rPr>
              <w:t xml:space="preserve">Directeur des poursuites criminelles et </w:t>
            </w:r>
            <w:r>
              <w:rPr>
                <w:sz w:val="20"/>
                <w:szCs w:val="20"/>
                <w:lang w:val="fr-CA"/>
              </w:rPr>
              <w:tab/>
              <w:t>pénales</w:t>
            </w:r>
          </w:p>
          <w:p w:rsidR="00AD222F" w:rsidRDefault="00AD222F" w:rsidP="00AD222F">
            <w:pPr>
              <w:rPr>
                <w:sz w:val="20"/>
                <w:szCs w:val="20"/>
                <w:lang w:val="fr-CA"/>
              </w:rPr>
            </w:pPr>
          </w:p>
          <w:p w:rsidR="00AD222F" w:rsidRDefault="00AD222F" w:rsidP="00AD222F">
            <w:pPr>
              <w:rPr>
                <w:sz w:val="20"/>
                <w:szCs w:val="20"/>
                <w:lang w:val="fr-CA"/>
              </w:rPr>
            </w:pPr>
            <w:r>
              <w:rPr>
                <w:sz w:val="20"/>
                <w:szCs w:val="20"/>
                <w:lang w:val="fr-CA"/>
              </w:rPr>
              <w:t>DATE DE PRODUCTION : 12.09.2016</w:t>
            </w:r>
          </w:p>
          <w:p w:rsidR="00AD222F" w:rsidRDefault="00CB2D37" w:rsidP="00AD222F">
            <w:pPr>
              <w:rPr>
                <w:lang w:val="fr-CA"/>
              </w:rPr>
            </w:pPr>
            <w:r>
              <w:rPr>
                <w:lang w:val="fr-CA"/>
              </w:rPr>
              <w:pict>
                <v:rect id="_x0000_i1041" style="width:2in;height:1pt" o:hrpct="0" o:hralign="center" o:hrstd="t" o:hrnoshade="t" o:hr="t" fillcolor="black [3213]" stroked="f"/>
              </w:pict>
            </w:r>
          </w:p>
          <w:p w:rsidR="00AD222F" w:rsidRPr="00FF306C" w:rsidRDefault="00AD222F" w:rsidP="00AD222F">
            <w:pPr>
              <w:rPr>
                <w:b/>
                <w:sz w:val="20"/>
                <w:szCs w:val="20"/>
                <w:lang w:val="fr-CA"/>
              </w:rPr>
            </w:pPr>
          </w:p>
        </w:tc>
        <w:tc>
          <w:tcPr>
            <w:tcW w:w="1181" w:type="dxa"/>
            <w:shd w:val="clear" w:color="auto" w:fill="auto"/>
          </w:tcPr>
          <w:p w:rsidR="00AD222F" w:rsidRPr="00FF306C" w:rsidRDefault="00AD222F" w:rsidP="00242AEE">
            <w:pPr>
              <w:jc w:val="center"/>
              <w:rPr>
                <w:sz w:val="20"/>
                <w:szCs w:val="20"/>
                <w:lang w:val="fr-CA"/>
              </w:rPr>
            </w:pPr>
          </w:p>
        </w:tc>
        <w:tc>
          <w:tcPr>
            <w:tcW w:w="4320" w:type="dxa"/>
            <w:shd w:val="clear" w:color="auto" w:fill="auto"/>
          </w:tcPr>
          <w:p w:rsidR="00AD222F" w:rsidRPr="00EB664B" w:rsidRDefault="00AD222F" w:rsidP="005F1ED8">
            <w:pPr>
              <w:rPr>
                <w:b/>
                <w:sz w:val="20"/>
                <w:szCs w:val="20"/>
                <w:lang w:val="en-US"/>
              </w:rPr>
            </w:pPr>
            <w:r w:rsidRPr="00EB664B">
              <w:rPr>
                <w:b/>
                <w:sz w:val="20"/>
                <w:szCs w:val="20"/>
                <w:lang w:val="en-US"/>
              </w:rPr>
              <w:t>1043325 Ontario Ltd.</w:t>
            </w:r>
          </w:p>
          <w:p w:rsidR="00AD222F" w:rsidRPr="00EB664B" w:rsidRDefault="00AD222F" w:rsidP="005F1ED8">
            <w:pPr>
              <w:rPr>
                <w:sz w:val="20"/>
                <w:szCs w:val="20"/>
                <w:lang w:val="en-US"/>
              </w:rPr>
            </w:pPr>
            <w:r w:rsidRPr="00EB664B">
              <w:rPr>
                <w:sz w:val="20"/>
                <w:szCs w:val="20"/>
                <w:lang w:val="en-US"/>
              </w:rPr>
              <w:tab/>
              <w:t>Robert S. Fleming</w:t>
            </w:r>
          </w:p>
          <w:p w:rsidR="00AD222F" w:rsidRPr="00EB664B" w:rsidRDefault="00AD222F" w:rsidP="005F1ED8">
            <w:pPr>
              <w:rPr>
                <w:sz w:val="20"/>
                <w:szCs w:val="20"/>
                <w:lang w:val="en-US"/>
              </w:rPr>
            </w:pPr>
            <w:r w:rsidRPr="00EB664B">
              <w:rPr>
                <w:sz w:val="20"/>
                <w:szCs w:val="20"/>
                <w:lang w:val="en-US"/>
              </w:rPr>
              <w:tab/>
              <w:t>Robert Fleming Lawyers</w:t>
            </w:r>
          </w:p>
          <w:p w:rsidR="00AD222F" w:rsidRPr="00EB664B" w:rsidRDefault="00AD222F" w:rsidP="005F1ED8">
            <w:pPr>
              <w:rPr>
                <w:sz w:val="20"/>
                <w:szCs w:val="20"/>
                <w:lang w:val="en-US"/>
              </w:rPr>
            </w:pPr>
          </w:p>
          <w:p w:rsidR="00AD222F" w:rsidRPr="00EB664B" w:rsidRDefault="00AD222F" w:rsidP="005F1ED8">
            <w:pPr>
              <w:rPr>
                <w:sz w:val="20"/>
                <w:szCs w:val="20"/>
                <w:lang w:val="en-US"/>
              </w:rPr>
            </w:pPr>
            <w:r w:rsidRPr="00EB664B">
              <w:rPr>
                <w:sz w:val="20"/>
                <w:szCs w:val="20"/>
                <w:lang w:val="en-US"/>
              </w:rPr>
              <w:tab/>
              <w:t>v. (37186)</w:t>
            </w:r>
          </w:p>
          <w:p w:rsidR="00AD222F" w:rsidRPr="00EB664B" w:rsidRDefault="00AD222F" w:rsidP="005F1ED8">
            <w:pPr>
              <w:rPr>
                <w:sz w:val="20"/>
                <w:szCs w:val="20"/>
                <w:lang w:val="en-US"/>
              </w:rPr>
            </w:pPr>
          </w:p>
          <w:p w:rsidR="00AD222F" w:rsidRPr="00EB664B" w:rsidRDefault="00AD222F" w:rsidP="005F1ED8">
            <w:pPr>
              <w:rPr>
                <w:b/>
                <w:sz w:val="20"/>
                <w:szCs w:val="20"/>
                <w:lang w:val="en-US"/>
              </w:rPr>
            </w:pPr>
            <w:r w:rsidRPr="00EB664B">
              <w:rPr>
                <w:b/>
                <w:sz w:val="20"/>
                <w:szCs w:val="20"/>
                <w:lang w:val="en-US"/>
              </w:rPr>
              <w:t>CSA Building Sciences Western L</w:t>
            </w:r>
            <w:r w:rsidR="008B15BE">
              <w:rPr>
                <w:b/>
                <w:sz w:val="20"/>
                <w:szCs w:val="20"/>
                <w:lang w:val="en-US"/>
              </w:rPr>
              <w:t>td</w:t>
            </w:r>
            <w:r w:rsidRPr="00EB664B">
              <w:rPr>
                <w:b/>
                <w:sz w:val="20"/>
                <w:szCs w:val="20"/>
                <w:lang w:val="en-US"/>
              </w:rPr>
              <w:t>. et al. (B.C.)</w:t>
            </w:r>
          </w:p>
          <w:p w:rsidR="00AD222F" w:rsidRPr="00EB664B" w:rsidRDefault="00AD222F" w:rsidP="005F1ED8">
            <w:pPr>
              <w:rPr>
                <w:sz w:val="20"/>
                <w:szCs w:val="20"/>
                <w:lang w:val="en-US"/>
              </w:rPr>
            </w:pPr>
            <w:r w:rsidRPr="00EB664B">
              <w:rPr>
                <w:b/>
                <w:sz w:val="20"/>
                <w:szCs w:val="20"/>
                <w:lang w:val="en-US"/>
              </w:rPr>
              <w:tab/>
            </w:r>
            <w:r w:rsidRPr="00EB664B">
              <w:rPr>
                <w:sz w:val="20"/>
                <w:szCs w:val="20"/>
                <w:lang w:val="en-US"/>
              </w:rPr>
              <w:t>Michael B. Morgan</w:t>
            </w:r>
          </w:p>
          <w:p w:rsidR="00AD222F" w:rsidRPr="00EB664B" w:rsidRDefault="00AD222F" w:rsidP="005F1ED8">
            <w:pPr>
              <w:rPr>
                <w:sz w:val="20"/>
                <w:szCs w:val="20"/>
                <w:lang w:val="en-US"/>
              </w:rPr>
            </w:pPr>
            <w:r w:rsidRPr="00EB664B">
              <w:rPr>
                <w:sz w:val="20"/>
                <w:szCs w:val="20"/>
                <w:lang w:val="en-US"/>
              </w:rPr>
              <w:tab/>
              <w:t>Lawson, Lundell, Lawson &amp; McIntosh</w:t>
            </w:r>
          </w:p>
          <w:p w:rsidR="00AD222F" w:rsidRPr="00EB664B" w:rsidRDefault="00AD222F" w:rsidP="005F1ED8">
            <w:pPr>
              <w:rPr>
                <w:sz w:val="20"/>
                <w:szCs w:val="20"/>
                <w:lang w:val="en-US"/>
              </w:rPr>
            </w:pPr>
          </w:p>
          <w:p w:rsidR="00AD222F" w:rsidRDefault="00AD222F" w:rsidP="005F1ED8">
            <w:pPr>
              <w:rPr>
                <w:sz w:val="20"/>
                <w:szCs w:val="20"/>
                <w:lang w:val="fr-CA"/>
              </w:rPr>
            </w:pPr>
            <w:r>
              <w:rPr>
                <w:sz w:val="20"/>
                <w:szCs w:val="20"/>
                <w:lang w:val="fr-CA"/>
              </w:rPr>
              <w:t>FILING DATE : 14.09.2016</w:t>
            </w:r>
          </w:p>
          <w:p w:rsidR="00AD222F" w:rsidRPr="00AD222F" w:rsidRDefault="00CB2D37" w:rsidP="005F1ED8">
            <w:pPr>
              <w:rPr>
                <w:sz w:val="20"/>
                <w:szCs w:val="20"/>
                <w:lang w:val="fr-CA"/>
              </w:rPr>
            </w:pPr>
            <w:r>
              <w:rPr>
                <w:lang w:val="fr-CA"/>
              </w:rPr>
              <w:pict>
                <v:rect id="_x0000_i1042" style="width:2in;height:1pt" o:hrpct="0" o:hralign="center" o:hrstd="t" o:hrnoshade="t" o:hr="t" fillcolor="black [3213]" stroked="f"/>
              </w:pict>
            </w:r>
          </w:p>
        </w:tc>
      </w:tr>
      <w:tr w:rsidR="00AD222F" w:rsidRPr="00FF306C" w:rsidTr="003B3977">
        <w:trPr>
          <w:cantSplit/>
        </w:trPr>
        <w:tc>
          <w:tcPr>
            <w:tcW w:w="4320" w:type="dxa"/>
            <w:shd w:val="clear" w:color="auto" w:fill="auto"/>
          </w:tcPr>
          <w:p w:rsidR="00AD222F" w:rsidRPr="00EB664B" w:rsidRDefault="00C53C02" w:rsidP="00AD222F">
            <w:pPr>
              <w:rPr>
                <w:b/>
                <w:sz w:val="20"/>
                <w:szCs w:val="20"/>
                <w:lang w:val="en-US"/>
              </w:rPr>
            </w:pPr>
            <w:r w:rsidRPr="00EB664B">
              <w:rPr>
                <w:b/>
                <w:sz w:val="20"/>
                <w:szCs w:val="20"/>
                <w:lang w:val="en-US"/>
              </w:rPr>
              <w:t>Hüseyin Arslan et al.</w:t>
            </w:r>
          </w:p>
          <w:p w:rsidR="00C53C02" w:rsidRPr="00EB664B" w:rsidRDefault="00C53C02" w:rsidP="00AD222F">
            <w:pPr>
              <w:rPr>
                <w:sz w:val="20"/>
                <w:szCs w:val="20"/>
                <w:lang w:val="en-US"/>
              </w:rPr>
            </w:pPr>
            <w:r w:rsidRPr="00EB664B">
              <w:rPr>
                <w:sz w:val="20"/>
                <w:szCs w:val="20"/>
                <w:lang w:val="en-US"/>
              </w:rPr>
              <w:tab/>
              <w:t>Kevin C. Mellor</w:t>
            </w:r>
          </w:p>
          <w:p w:rsidR="00C53C02" w:rsidRPr="00EB664B" w:rsidRDefault="00C53C02" w:rsidP="00AD222F">
            <w:pPr>
              <w:rPr>
                <w:sz w:val="20"/>
                <w:szCs w:val="20"/>
                <w:lang w:val="en-US"/>
              </w:rPr>
            </w:pPr>
            <w:r w:rsidRPr="00EB664B">
              <w:rPr>
                <w:sz w:val="20"/>
                <w:szCs w:val="20"/>
                <w:lang w:val="en-US"/>
              </w:rPr>
              <w:tab/>
              <w:t>Mellor Law Firm</w:t>
            </w:r>
          </w:p>
          <w:p w:rsidR="00C53C02" w:rsidRPr="00EB664B" w:rsidRDefault="00C53C02" w:rsidP="00AD222F">
            <w:pPr>
              <w:rPr>
                <w:sz w:val="20"/>
                <w:szCs w:val="20"/>
                <w:lang w:val="en-US"/>
              </w:rPr>
            </w:pPr>
          </w:p>
          <w:p w:rsidR="00C53C02" w:rsidRPr="00EB664B" w:rsidRDefault="00C53C02" w:rsidP="00AD222F">
            <w:pPr>
              <w:rPr>
                <w:sz w:val="20"/>
                <w:szCs w:val="20"/>
                <w:lang w:val="en-US"/>
              </w:rPr>
            </w:pPr>
            <w:r w:rsidRPr="00EB664B">
              <w:rPr>
                <w:sz w:val="20"/>
                <w:szCs w:val="20"/>
                <w:lang w:val="en-US"/>
              </w:rPr>
              <w:tab/>
              <w:t>v. (37196)</w:t>
            </w:r>
          </w:p>
          <w:p w:rsidR="00C53C02" w:rsidRPr="00EB664B" w:rsidRDefault="00C53C02" w:rsidP="00AD222F">
            <w:pPr>
              <w:rPr>
                <w:sz w:val="20"/>
                <w:szCs w:val="20"/>
                <w:lang w:val="en-US"/>
              </w:rPr>
            </w:pPr>
          </w:p>
          <w:p w:rsidR="00C53C02" w:rsidRPr="00EB664B" w:rsidRDefault="00C53C02" w:rsidP="00AD222F">
            <w:pPr>
              <w:rPr>
                <w:b/>
                <w:sz w:val="20"/>
                <w:szCs w:val="20"/>
                <w:lang w:val="en-US"/>
              </w:rPr>
            </w:pPr>
            <w:r w:rsidRPr="00EB664B">
              <w:rPr>
                <w:b/>
                <w:sz w:val="20"/>
                <w:szCs w:val="20"/>
                <w:lang w:val="en-US"/>
              </w:rPr>
              <w:t>Sekerbank T.A.S. (Sask.)</w:t>
            </w:r>
          </w:p>
          <w:p w:rsidR="00C53C02" w:rsidRPr="00EB664B" w:rsidRDefault="00C53C02" w:rsidP="00AD222F">
            <w:pPr>
              <w:rPr>
                <w:sz w:val="20"/>
                <w:szCs w:val="20"/>
                <w:lang w:val="en-US"/>
              </w:rPr>
            </w:pPr>
            <w:r w:rsidRPr="00EB664B">
              <w:rPr>
                <w:sz w:val="20"/>
                <w:szCs w:val="20"/>
                <w:lang w:val="en-US"/>
              </w:rPr>
              <w:tab/>
              <w:t>Peter T. Bergbusch</w:t>
            </w:r>
          </w:p>
          <w:p w:rsidR="00C53C02" w:rsidRPr="00EB664B" w:rsidRDefault="00C53C02" w:rsidP="00AD222F">
            <w:pPr>
              <w:rPr>
                <w:sz w:val="20"/>
                <w:szCs w:val="20"/>
                <w:lang w:val="en-US"/>
              </w:rPr>
            </w:pPr>
            <w:r w:rsidRPr="00EB664B">
              <w:rPr>
                <w:sz w:val="20"/>
                <w:szCs w:val="20"/>
                <w:lang w:val="en-US"/>
              </w:rPr>
              <w:tab/>
              <w:t>Miller Thompson LLP</w:t>
            </w:r>
          </w:p>
          <w:p w:rsidR="00C53C02" w:rsidRPr="00EB664B" w:rsidRDefault="00C53C02" w:rsidP="00AD222F">
            <w:pPr>
              <w:rPr>
                <w:sz w:val="20"/>
                <w:szCs w:val="20"/>
                <w:lang w:val="en-US"/>
              </w:rPr>
            </w:pPr>
          </w:p>
          <w:p w:rsidR="00C53C02" w:rsidRDefault="00C53C02" w:rsidP="00AD222F">
            <w:pPr>
              <w:rPr>
                <w:sz w:val="20"/>
                <w:szCs w:val="20"/>
                <w:lang w:val="fr-CA"/>
              </w:rPr>
            </w:pPr>
            <w:r>
              <w:rPr>
                <w:sz w:val="20"/>
                <w:szCs w:val="20"/>
                <w:lang w:val="fr-CA"/>
              </w:rPr>
              <w:t>FILING DATE : 16.09.2016</w:t>
            </w:r>
          </w:p>
          <w:p w:rsidR="00C53C02" w:rsidRDefault="00CB2D37" w:rsidP="00AD222F">
            <w:pPr>
              <w:rPr>
                <w:lang w:val="fr-CA"/>
              </w:rPr>
            </w:pPr>
            <w:r>
              <w:rPr>
                <w:lang w:val="fr-CA"/>
              </w:rPr>
              <w:pict>
                <v:rect id="_x0000_i1043" style="width:2in;height:1pt" o:hrpct="0" o:hralign="center" o:hrstd="t" o:hrnoshade="t" o:hr="t" fillcolor="black [3213]" stroked="f"/>
              </w:pict>
            </w:r>
          </w:p>
          <w:p w:rsidR="00C53C02" w:rsidRPr="00C53C02" w:rsidRDefault="00C53C02" w:rsidP="00AD222F">
            <w:pPr>
              <w:rPr>
                <w:sz w:val="20"/>
                <w:szCs w:val="20"/>
                <w:lang w:val="fr-CA"/>
              </w:rPr>
            </w:pPr>
          </w:p>
        </w:tc>
        <w:tc>
          <w:tcPr>
            <w:tcW w:w="1181" w:type="dxa"/>
            <w:shd w:val="clear" w:color="auto" w:fill="auto"/>
          </w:tcPr>
          <w:p w:rsidR="00AD222F" w:rsidRPr="00FF306C" w:rsidRDefault="00AD222F" w:rsidP="00242AEE">
            <w:pPr>
              <w:jc w:val="center"/>
              <w:rPr>
                <w:sz w:val="20"/>
                <w:szCs w:val="20"/>
                <w:lang w:val="fr-CA"/>
              </w:rPr>
            </w:pPr>
          </w:p>
        </w:tc>
        <w:tc>
          <w:tcPr>
            <w:tcW w:w="4320" w:type="dxa"/>
            <w:shd w:val="clear" w:color="auto" w:fill="auto"/>
          </w:tcPr>
          <w:p w:rsidR="00AD222F" w:rsidRDefault="00C53C02" w:rsidP="005F1ED8">
            <w:pPr>
              <w:rPr>
                <w:b/>
                <w:sz w:val="20"/>
                <w:szCs w:val="20"/>
                <w:lang w:val="fr-CA"/>
              </w:rPr>
            </w:pPr>
            <w:r>
              <w:rPr>
                <w:b/>
                <w:sz w:val="20"/>
                <w:szCs w:val="20"/>
                <w:lang w:val="fr-CA"/>
              </w:rPr>
              <w:t>Denis Bisson</w:t>
            </w:r>
          </w:p>
          <w:p w:rsidR="00C53C02" w:rsidRDefault="00C53C02" w:rsidP="005F1ED8">
            <w:pPr>
              <w:rPr>
                <w:sz w:val="20"/>
                <w:szCs w:val="20"/>
                <w:lang w:val="fr-CA"/>
              </w:rPr>
            </w:pPr>
            <w:r>
              <w:rPr>
                <w:b/>
                <w:sz w:val="20"/>
                <w:szCs w:val="20"/>
                <w:lang w:val="fr-CA"/>
              </w:rPr>
              <w:tab/>
            </w:r>
            <w:r>
              <w:rPr>
                <w:sz w:val="20"/>
                <w:szCs w:val="20"/>
                <w:lang w:val="fr-CA"/>
              </w:rPr>
              <w:t>Jacques Jeansonne</w:t>
            </w:r>
          </w:p>
          <w:p w:rsidR="00C53C02" w:rsidRDefault="00C53C02" w:rsidP="005F1ED8">
            <w:pPr>
              <w:rPr>
                <w:sz w:val="20"/>
                <w:szCs w:val="20"/>
                <w:lang w:val="fr-CA"/>
              </w:rPr>
            </w:pPr>
            <w:r>
              <w:rPr>
                <w:sz w:val="20"/>
                <w:szCs w:val="20"/>
                <w:lang w:val="fr-CA"/>
              </w:rPr>
              <w:tab/>
              <w:t>Jeansonne Avocats inc.</w:t>
            </w:r>
          </w:p>
          <w:p w:rsidR="00C53C02" w:rsidRDefault="00C53C02" w:rsidP="005F1ED8">
            <w:pPr>
              <w:rPr>
                <w:sz w:val="20"/>
                <w:szCs w:val="20"/>
                <w:lang w:val="fr-CA"/>
              </w:rPr>
            </w:pPr>
          </w:p>
          <w:p w:rsidR="00C53C02" w:rsidRDefault="00C53C02" w:rsidP="005F1ED8">
            <w:pPr>
              <w:rPr>
                <w:sz w:val="20"/>
                <w:szCs w:val="20"/>
                <w:lang w:val="fr-CA"/>
              </w:rPr>
            </w:pPr>
            <w:r>
              <w:rPr>
                <w:sz w:val="20"/>
                <w:szCs w:val="20"/>
                <w:lang w:val="fr-CA"/>
              </w:rPr>
              <w:tab/>
              <w:t>c. (37197)</w:t>
            </w:r>
          </w:p>
          <w:p w:rsidR="00C53C02" w:rsidRDefault="00C53C02" w:rsidP="005F1ED8">
            <w:pPr>
              <w:rPr>
                <w:sz w:val="20"/>
                <w:szCs w:val="20"/>
                <w:lang w:val="fr-CA"/>
              </w:rPr>
            </w:pPr>
          </w:p>
          <w:p w:rsidR="00C53C02" w:rsidRDefault="00C53C02" w:rsidP="005F1ED8">
            <w:pPr>
              <w:rPr>
                <w:b/>
                <w:sz w:val="20"/>
                <w:szCs w:val="20"/>
                <w:lang w:val="fr-CA"/>
              </w:rPr>
            </w:pPr>
            <w:r>
              <w:rPr>
                <w:b/>
                <w:sz w:val="20"/>
                <w:szCs w:val="20"/>
                <w:lang w:val="fr-CA"/>
              </w:rPr>
              <w:t>Steven Lapointe, en reprise d’instance de François Gauthier, en sa qualité de syndic du Collège des médecins du Québec (Qc)</w:t>
            </w:r>
          </w:p>
          <w:p w:rsidR="00C53C02" w:rsidRDefault="00C53C02" w:rsidP="005F1ED8">
            <w:pPr>
              <w:rPr>
                <w:sz w:val="20"/>
                <w:szCs w:val="20"/>
                <w:lang w:val="fr-CA"/>
              </w:rPr>
            </w:pPr>
            <w:r>
              <w:rPr>
                <w:sz w:val="20"/>
                <w:szCs w:val="20"/>
                <w:lang w:val="fr-CA"/>
              </w:rPr>
              <w:tab/>
              <w:t>Jacques Prévost</w:t>
            </w:r>
          </w:p>
          <w:p w:rsidR="00C53C02" w:rsidRDefault="00C53C02" w:rsidP="005F1ED8">
            <w:pPr>
              <w:rPr>
                <w:sz w:val="20"/>
                <w:szCs w:val="20"/>
                <w:lang w:val="fr-CA"/>
              </w:rPr>
            </w:pPr>
            <w:r>
              <w:rPr>
                <w:sz w:val="20"/>
                <w:szCs w:val="20"/>
                <w:lang w:val="fr-CA"/>
              </w:rPr>
              <w:tab/>
              <w:t>Pouliot Caron Prévost Belisle Galarneau</w:t>
            </w:r>
          </w:p>
          <w:p w:rsidR="00C53C02" w:rsidRDefault="00C53C02" w:rsidP="005F1ED8">
            <w:pPr>
              <w:rPr>
                <w:sz w:val="20"/>
                <w:szCs w:val="20"/>
                <w:lang w:val="fr-CA"/>
              </w:rPr>
            </w:pPr>
          </w:p>
          <w:p w:rsidR="00C53C02" w:rsidRDefault="00C53C02" w:rsidP="005F1ED8">
            <w:pPr>
              <w:rPr>
                <w:sz w:val="20"/>
                <w:szCs w:val="20"/>
                <w:lang w:val="fr-CA"/>
              </w:rPr>
            </w:pPr>
            <w:r>
              <w:rPr>
                <w:sz w:val="20"/>
                <w:szCs w:val="20"/>
                <w:lang w:val="fr-CA"/>
              </w:rPr>
              <w:t>DATE DE PRODUCTION : 20.09.2016</w:t>
            </w:r>
          </w:p>
          <w:p w:rsidR="00C53C02" w:rsidRDefault="00CB2D37" w:rsidP="005F1ED8">
            <w:pPr>
              <w:rPr>
                <w:lang w:val="fr-CA"/>
              </w:rPr>
            </w:pPr>
            <w:r>
              <w:rPr>
                <w:lang w:val="fr-CA"/>
              </w:rPr>
              <w:pict>
                <v:rect id="_x0000_i1044" style="width:2in;height:1pt" o:hrpct="0" o:hralign="center" o:hrstd="t" o:hrnoshade="t" o:hr="t" fillcolor="black [3213]" stroked="f"/>
              </w:pict>
            </w:r>
          </w:p>
          <w:p w:rsidR="00C53C02" w:rsidRPr="00C53C02" w:rsidRDefault="00C53C02" w:rsidP="005F1ED8">
            <w:pPr>
              <w:rPr>
                <w:sz w:val="20"/>
                <w:szCs w:val="20"/>
                <w:lang w:val="fr-CA"/>
              </w:rPr>
            </w:pPr>
          </w:p>
        </w:tc>
      </w:tr>
      <w:tr w:rsidR="00AD222F" w:rsidRPr="00FF306C" w:rsidTr="003B3977">
        <w:trPr>
          <w:cantSplit/>
        </w:trPr>
        <w:tc>
          <w:tcPr>
            <w:tcW w:w="4320" w:type="dxa"/>
            <w:shd w:val="clear" w:color="auto" w:fill="auto"/>
          </w:tcPr>
          <w:p w:rsidR="00AD222F" w:rsidRPr="00EB664B" w:rsidRDefault="00C76BEA" w:rsidP="00AD222F">
            <w:pPr>
              <w:rPr>
                <w:b/>
                <w:sz w:val="20"/>
                <w:szCs w:val="20"/>
                <w:lang w:val="en-US"/>
              </w:rPr>
            </w:pPr>
            <w:r w:rsidRPr="00EB664B">
              <w:rPr>
                <w:b/>
                <w:sz w:val="20"/>
                <w:szCs w:val="20"/>
                <w:lang w:val="en-US"/>
              </w:rPr>
              <w:t>Raincoast Conservation Foundation</w:t>
            </w:r>
          </w:p>
          <w:p w:rsidR="00C76BEA" w:rsidRPr="00EB664B" w:rsidRDefault="00C76BEA" w:rsidP="00AD222F">
            <w:pPr>
              <w:rPr>
                <w:sz w:val="20"/>
                <w:szCs w:val="20"/>
                <w:lang w:val="en-US"/>
              </w:rPr>
            </w:pPr>
            <w:r w:rsidRPr="00EB664B">
              <w:rPr>
                <w:b/>
                <w:sz w:val="20"/>
                <w:szCs w:val="20"/>
                <w:lang w:val="en-US"/>
              </w:rPr>
              <w:tab/>
            </w:r>
            <w:r w:rsidRPr="00EB664B">
              <w:rPr>
                <w:sz w:val="20"/>
                <w:szCs w:val="20"/>
                <w:lang w:val="en-US"/>
              </w:rPr>
              <w:t>Barry Robinson</w:t>
            </w:r>
          </w:p>
          <w:p w:rsidR="00C76BEA" w:rsidRPr="00EB664B" w:rsidRDefault="00C76BEA" w:rsidP="00AD222F">
            <w:pPr>
              <w:rPr>
                <w:sz w:val="20"/>
                <w:szCs w:val="20"/>
                <w:lang w:val="en-US"/>
              </w:rPr>
            </w:pPr>
          </w:p>
          <w:p w:rsidR="00C76BEA" w:rsidRPr="00EB664B" w:rsidRDefault="00C76BEA" w:rsidP="00AD222F">
            <w:pPr>
              <w:rPr>
                <w:sz w:val="20"/>
                <w:szCs w:val="20"/>
                <w:lang w:val="en-US"/>
              </w:rPr>
            </w:pPr>
            <w:r w:rsidRPr="00EB664B">
              <w:rPr>
                <w:sz w:val="20"/>
                <w:szCs w:val="20"/>
                <w:lang w:val="en-US"/>
              </w:rPr>
              <w:tab/>
              <w:t>v. (37201)</w:t>
            </w:r>
          </w:p>
          <w:p w:rsidR="00C76BEA" w:rsidRPr="00EB664B" w:rsidRDefault="00C76BEA" w:rsidP="00AD222F">
            <w:pPr>
              <w:rPr>
                <w:sz w:val="20"/>
                <w:szCs w:val="20"/>
                <w:lang w:val="en-US"/>
              </w:rPr>
            </w:pPr>
          </w:p>
          <w:p w:rsidR="00C76BEA" w:rsidRPr="00EB664B" w:rsidRDefault="00C76BEA" w:rsidP="00AD222F">
            <w:pPr>
              <w:rPr>
                <w:b/>
                <w:sz w:val="20"/>
                <w:szCs w:val="20"/>
                <w:lang w:val="en-US"/>
              </w:rPr>
            </w:pPr>
            <w:r w:rsidRPr="00EB664B">
              <w:rPr>
                <w:b/>
                <w:sz w:val="20"/>
                <w:szCs w:val="20"/>
                <w:lang w:val="en-US"/>
              </w:rPr>
              <w:t>Her Majesty the Queen et al. (F.C.)</w:t>
            </w:r>
          </w:p>
          <w:p w:rsidR="00C76BEA" w:rsidRPr="00EB664B" w:rsidRDefault="00C76BEA" w:rsidP="00AD222F">
            <w:pPr>
              <w:rPr>
                <w:sz w:val="20"/>
                <w:szCs w:val="20"/>
                <w:lang w:val="en-US"/>
              </w:rPr>
            </w:pPr>
            <w:r w:rsidRPr="00EB664B">
              <w:rPr>
                <w:sz w:val="20"/>
                <w:szCs w:val="20"/>
                <w:lang w:val="en-US"/>
              </w:rPr>
              <w:tab/>
              <w:t xml:space="preserve">Kenneth A. Manning </w:t>
            </w:r>
          </w:p>
          <w:p w:rsidR="00C76BEA" w:rsidRPr="00EB664B" w:rsidRDefault="00C76BEA" w:rsidP="00AD222F">
            <w:pPr>
              <w:rPr>
                <w:sz w:val="20"/>
                <w:szCs w:val="20"/>
                <w:lang w:val="en-US"/>
              </w:rPr>
            </w:pPr>
            <w:r w:rsidRPr="00EB664B">
              <w:rPr>
                <w:sz w:val="20"/>
                <w:szCs w:val="20"/>
                <w:lang w:val="en-US"/>
              </w:rPr>
              <w:tab/>
              <w:t>A.G. of Canada</w:t>
            </w:r>
          </w:p>
          <w:p w:rsidR="00C76BEA" w:rsidRPr="00EB664B" w:rsidRDefault="00C76BEA" w:rsidP="00AD222F">
            <w:pPr>
              <w:rPr>
                <w:sz w:val="20"/>
                <w:szCs w:val="20"/>
                <w:lang w:val="en-US"/>
              </w:rPr>
            </w:pPr>
          </w:p>
          <w:p w:rsidR="00C76BEA" w:rsidRDefault="00C76BEA" w:rsidP="00AD222F">
            <w:pPr>
              <w:rPr>
                <w:sz w:val="20"/>
                <w:szCs w:val="20"/>
                <w:lang w:val="fr-CA"/>
              </w:rPr>
            </w:pPr>
            <w:r>
              <w:rPr>
                <w:sz w:val="20"/>
                <w:szCs w:val="20"/>
                <w:lang w:val="fr-CA"/>
              </w:rPr>
              <w:t>FILING DATE : 21.09.2016</w:t>
            </w:r>
          </w:p>
          <w:p w:rsidR="00C76BEA" w:rsidRDefault="00CB2D37" w:rsidP="00AD222F">
            <w:pPr>
              <w:rPr>
                <w:lang w:val="fr-CA"/>
              </w:rPr>
            </w:pPr>
            <w:r>
              <w:rPr>
                <w:lang w:val="fr-CA"/>
              </w:rPr>
              <w:pict>
                <v:rect id="_x0000_i1045" style="width:2in;height:1pt" o:hrpct="0" o:hralign="center" o:hrstd="t" o:hrnoshade="t" o:hr="t" fillcolor="black [3213]" stroked="f"/>
              </w:pict>
            </w:r>
          </w:p>
          <w:p w:rsidR="00C76BEA" w:rsidRPr="00C76BEA" w:rsidRDefault="00C76BEA" w:rsidP="00AD222F">
            <w:pPr>
              <w:rPr>
                <w:sz w:val="20"/>
                <w:szCs w:val="20"/>
                <w:lang w:val="fr-CA"/>
              </w:rPr>
            </w:pPr>
          </w:p>
        </w:tc>
        <w:tc>
          <w:tcPr>
            <w:tcW w:w="1181" w:type="dxa"/>
            <w:shd w:val="clear" w:color="auto" w:fill="auto"/>
          </w:tcPr>
          <w:p w:rsidR="00AD222F" w:rsidRPr="00FF306C" w:rsidRDefault="00AD222F" w:rsidP="00242AEE">
            <w:pPr>
              <w:jc w:val="center"/>
              <w:rPr>
                <w:sz w:val="20"/>
                <w:szCs w:val="20"/>
                <w:lang w:val="fr-CA"/>
              </w:rPr>
            </w:pPr>
          </w:p>
        </w:tc>
        <w:tc>
          <w:tcPr>
            <w:tcW w:w="4320" w:type="dxa"/>
            <w:shd w:val="clear" w:color="auto" w:fill="auto"/>
          </w:tcPr>
          <w:p w:rsidR="00AD222F" w:rsidRDefault="00AD222F" w:rsidP="005F1ED8">
            <w:pPr>
              <w:rPr>
                <w:b/>
                <w:sz w:val="20"/>
                <w:szCs w:val="20"/>
                <w:lang w:val="fr-CA"/>
              </w:rPr>
            </w:pPr>
          </w:p>
        </w:tc>
      </w:tr>
    </w:tbl>
    <w:p w:rsidR="00242AEE" w:rsidRPr="00FF306C" w:rsidRDefault="00242AEE" w:rsidP="0095096B">
      <w:pPr>
        <w:tabs>
          <w:tab w:val="right" w:pos="9360"/>
        </w:tabs>
        <w:rPr>
          <w:sz w:val="20"/>
          <w:szCs w:val="20"/>
          <w:lang w:val="fr-CA"/>
        </w:rPr>
      </w:pPr>
    </w:p>
    <w:p w:rsidR="00242AEE" w:rsidRPr="00FF306C" w:rsidRDefault="00242AEE" w:rsidP="0095096B">
      <w:pPr>
        <w:tabs>
          <w:tab w:val="right" w:pos="9360"/>
        </w:tabs>
        <w:rPr>
          <w:sz w:val="20"/>
          <w:szCs w:val="20"/>
          <w:lang w:val="fr-CA"/>
        </w:rPr>
        <w:sectPr w:rsidR="00242AEE" w:rsidRPr="00FF306C" w:rsidSect="00EE4BF7">
          <w:headerReference w:type="default" r:id="rId16"/>
          <w:footerReference w:type="default" r:id="rId17"/>
          <w:headerReference w:type="first" r:id="rId18"/>
          <w:footerReference w:type="first" r:id="rId19"/>
          <w:pgSz w:w="12240" w:h="15840"/>
          <w:pgMar w:top="720" w:right="965" w:bottom="1080" w:left="1656" w:header="706" w:footer="706" w:gutter="0"/>
          <w:pgNumType w:start="133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6620F" w:rsidTr="00BA6468">
        <w:trPr>
          <w:trHeight w:val="900"/>
        </w:trPr>
        <w:tc>
          <w:tcPr>
            <w:tcW w:w="4200" w:type="dxa"/>
            <w:tcMar>
              <w:left w:w="0" w:type="dxa"/>
              <w:right w:w="0" w:type="dxa"/>
            </w:tcMar>
          </w:tcPr>
          <w:p w:rsidR="002E2327" w:rsidRPr="00EE4BF7" w:rsidRDefault="002E2327" w:rsidP="002E2327">
            <w:pPr>
              <w:keepNext/>
              <w:keepLines/>
              <w:widowControl w:val="0"/>
              <w:rPr>
                <w:b/>
                <w:szCs w:val="24"/>
              </w:rPr>
            </w:pPr>
            <w:r w:rsidRPr="00EE4BF7">
              <w:rPr>
                <w:b/>
                <w:szCs w:val="24"/>
              </w:rPr>
              <w:lastRenderedPageBreak/>
              <w:t>APPLICATIONS FOR LEAVE SUBMITTED TO COURT SINCE LAST ISSUE</w:t>
            </w:r>
          </w:p>
        </w:tc>
        <w:tc>
          <w:tcPr>
            <w:tcW w:w="1200" w:type="dxa"/>
            <w:tcMar>
              <w:left w:w="0" w:type="dxa"/>
              <w:right w:w="0" w:type="dxa"/>
            </w:tcMar>
          </w:tcPr>
          <w:p w:rsidR="002E2327" w:rsidRPr="00EE4BF7" w:rsidRDefault="002E2327" w:rsidP="002E2327">
            <w:pPr>
              <w:keepNext/>
              <w:keepLines/>
              <w:widowControl w:val="0"/>
              <w:jc w:val="center"/>
              <w:rPr>
                <w:b/>
                <w:szCs w:val="24"/>
              </w:rPr>
            </w:pPr>
          </w:p>
          <w:p w:rsidR="001D0D5F" w:rsidRPr="00EE4BF7" w:rsidRDefault="001D0D5F" w:rsidP="002E2327">
            <w:pPr>
              <w:keepNext/>
              <w:keepLines/>
              <w:widowControl w:val="0"/>
              <w:jc w:val="center"/>
              <w:rPr>
                <w:b/>
                <w:szCs w:val="24"/>
              </w:rPr>
            </w:pPr>
          </w:p>
          <w:p w:rsidR="001D0D5F" w:rsidRPr="00EE4BF7" w:rsidRDefault="001D0D5F" w:rsidP="002E2327">
            <w:pPr>
              <w:keepNext/>
              <w:keepLines/>
              <w:widowControl w:val="0"/>
              <w:jc w:val="center"/>
              <w:rPr>
                <w:b/>
                <w:szCs w:val="24"/>
              </w:rPr>
            </w:pPr>
          </w:p>
          <w:p w:rsidR="001D0D5F" w:rsidRPr="00EE4BF7" w:rsidRDefault="001D0D5F" w:rsidP="002E2327">
            <w:pPr>
              <w:keepNext/>
              <w:keepLines/>
              <w:widowControl w:val="0"/>
              <w:jc w:val="center"/>
              <w:rPr>
                <w:b/>
                <w:szCs w:val="24"/>
              </w:rPr>
            </w:pPr>
          </w:p>
        </w:tc>
        <w:tc>
          <w:tcPr>
            <w:tcW w:w="4080" w:type="dxa"/>
            <w:tcMar>
              <w:left w:w="0" w:type="dxa"/>
              <w:right w:w="0" w:type="dxa"/>
            </w:tcMar>
          </w:tcPr>
          <w:p w:rsidR="002E2327" w:rsidRPr="00FF306C" w:rsidRDefault="002E2327" w:rsidP="002E2327">
            <w:pPr>
              <w:keepLines/>
              <w:widowControl w:val="0"/>
              <w:rPr>
                <w:szCs w:val="24"/>
                <w:lang w:val="fr-CA"/>
              </w:rPr>
            </w:pPr>
            <w:r w:rsidRPr="005E3F2F">
              <w:rPr>
                <w:b/>
                <w:szCs w:val="24"/>
                <w:lang w:val="fr-CA"/>
              </w:rPr>
              <w:t>DEMANDES SOUMISES À LA COUR DEPUIS LA DERNIÈRE PARUTI</w:t>
            </w:r>
            <w:r w:rsidRPr="00FF306C">
              <w:rPr>
                <w:b/>
                <w:szCs w:val="24"/>
                <w:lang w:val="fr-CA"/>
              </w:rPr>
              <w:t>ON</w:t>
            </w:r>
          </w:p>
          <w:p w:rsidR="002E2327" w:rsidRPr="00FF306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F306C" w:rsidRDefault="002E2327" w:rsidP="002E2327">
      <w:pPr>
        <w:widowControl w:val="0"/>
        <w:rPr>
          <w:b/>
          <w:sz w:val="20"/>
          <w:szCs w:val="20"/>
          <w:lang w:val="fr-CA"/>
        </w:rPr>
      </w:pPr>
    </w:p>
    <w:p w:rsidR="00CB3520" w:rsidRPr="00C50A5C" w:rsidRDefault="00570C94" w:rsidP="00CB3520">
      <w:pPr>
        <w:widowControl w:val="0"/>
        <w:rPr>
          <w:b/>
          <w:sz w:val="20"/>
          <w:szCs w:val="20"/>
        </w:rPr>
      </w:pPr>
      <w:r w:rsidRPr="00D90D53">
        <w:rPr>
          <w:b/>
          <w:sz w:val="20"/>
          <w:szCs w:val="20"/>
        </w:rPr>
        <w:t>SEPTEMBER</w:t>
      </w:r>
      <w:r w:rsidR="00CB3520" w:rsidRPr="00D90D53">
        <w:rPr>
          <w:b/>
          <w:sz w:val="20"/>
          <w:szCs w:val="20"/>
        </w:rPr>
        <w:t xml:space="preserve"> 2</w:t>
      </w:r>
      <w:r w:rsidRPr="00D90D53">
        <w:rPr>
          <w:b/>
          <w:sz w:val="20"/>
          <w:szCs w:val="20"/>
        </w:rPr>
        <w:t>6</w:t>
      </w:r>
      <w:r w:rsidR="00CB3520" w:rsidRPr="00D90D53">
        <w:rPr>
          <w:b/>
          <w:sz w:val="20"/>
          <w:szCs w:val="20"/>
        </w:rPr>
        <w:t>, 201</w:t>
      </w:r>
      <w:r w:rsidR="0030050B" w:rsidRPr="00D90D53">
        <w:rPr>
          <w:b/>
          <w:sz w:val="20"/>
          <w:szCs w:val="20"/>
        </w:rPr>
        <w:t>6</w:t>
      </w:r>
      <w:r w:rsidR="00CB3520" w:rsidRPr="00D90D53">
        <w:rPr>
          <w:b/>
          <w:sz w:val="20"/>
          <w:szCs w:val="20"/>
        </w:rPr>
        <w:t xml:space="preserve"> / LE 2</w:t>
      </w:r>
      <w:r w:rsidRPr="00D90D53">
        <w:rPr>
          <w:b/>
          <w:sz w:val="20"/>
          <w:szCs w:val="20"/>
        </w:rPr>
        <w:t>6</w:t>
      </w:r>
      <w:r w:rsidR="00CB3520" w:rsidRPr="00D90D53">
        <w:rPr>
          <w:b/>
          <w:sz w:val="20"/>
          <w:szCs w:val="20"/>
        </w:rPr>
        <w:t xml:space="preserve"> </w:t>
      </w:r>
      <w:r w:rsidRPr="00D90D53">
        <w:rPr>
          <w:b/>
          <w:sz w:val="20"/>
          <w:szCs w:val="20"/>
        </w:rPr>
        <w:t>SEPTEMBRE</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253236" w:rsidRPr="00253236">
        <w:rPr>
          <w:b/>
          <w:sz w:val="20"/>
          <w:szCs w:val="20"/>
        </w:rPr>
        <w:t>Wagner</w:t>
      </w:r>
      <w:r w:rsidR="00253236">
        <w:rPr>
          <w:b/>
          <w:sz w:val="20"/>
          <w:szCs w:val="20"/>
        </w:rPr>
        <w:t xml:space="preserve"> </w:t>
      </w:r>
      <w:r w:rsidRPr="00C50A5C">
        <w:rPr>
          <w:b/>
          <w:sz w:val="20"/>
          <w:szCs w:val="20"/>
        </w:rPr>
        <w:t xml:space="preserve">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253236" w:rsidRPr="00253236">
        <w:rPr>
          <w:b/>
          <w:sz w:val="20"/>
          <w:szCs w:val="20"/>
          <w:lang w:val="fr-CA"/>
        </w:rPr>
        <w:t xml:space="preserve">Wagner </w:t>
      </w:r>
      <w:r w:rsidRPr="00C50A5C">
        <w:rPr>
          <w:b/>
          <w:sz w:val="20"/>
          <w:szCs w:val="20"/>
          <w:lang w:val="fr-CA"/>
        </w:rPr>
        <w:t xml:space="preserve">et </w:t>
      </w:r>
      <w:r w:rsidR="00FA3373">
        <w:rPr>
          <w:b/>
          <w:sz w:val="20"/>
          <w:szCs w:val="20"/>
          <w:lang w:val="fr-CA"/>
        </w:rPr>
        <w:t>Gascon</w:t>
      </w:r>
    </w:p>
    <w:p w:rsidR="00CB3520" w:rsidRPr="00C50A5C" w:rsidRDefault="00CB3520" w:rsidP="00CB3520">
      <w:pPr>
        <w:widowControl w:val="0"/>
        <w:rPr>
          <w:sz w:val="20"/>
          <w:szCs w:val="20"/>
          <w:lang w:val="fr-CA"/>
        </w:rPr>
      </w:pPr>
    </w:p>
    <w:p w:rsidR="00CB3520" w:rsidRDefault="00D90D53" w:rsidP="00D90D53">
      <w:pPr>
        <w:pStyle w:val="ListParagraph"/>
        <w:widowControl w:val="0"/>
        <w:numPr>
          <w:ilvl w:val="0"/>
          <w:numId w:val="1"/>
        </w:numPr>
        <w:ind w:hanging="720"/>
        <w:jc w:val="both"/>
        <w:rPr>
          <w:sz w:val="20"/>
          <w:szCs w:val="20"/>
          <w:lang w:val="fr-CA"/>
        </w:rPr>
      </w:pPr>
      <w:r w:rsidRPr="00D90D53">
        <w:rPr>
          <w:i/>
          <w:sz w:val="20"/>
          <w:szCs w:val="20"/>
          <w:lang w:val="fr-CA"/>
        </w:rPr>
        <w:t>Valentin Pintea v. Dale Johns et al.</w:t>
      </w:r>
      <w:r>
        <w:rPr>
          <w:sz w:val="20"/>
          <w:szCs w:val="20"/>
          <w:lang w:val="fr-CA"/>
        </w:rPr>
        <w:t xml:space="preserve"> (Alta.) (Civil) (By Leave) (37109)</w:t>
      </w:r>
    </w:p>
    <w:p w:rsidR="00A174F3" w:rsidRDefault="00A174F3" w:rsidP="00A174F3">
      <w:pPr>
        <w:pStyle w:val="ListParagraph"/>
        <w:widowControl w:val="0"/>
        <w:jc w:val="both"/>
        <w:rPr>
          <w:sz w:val="20"/>
          <w:szCs w:val="20"/>
          <w:lang w:val="fr-CA"/>
        </w:rPr>
      </w:pPr>
    </w:p>
    <w:p w:rsidR="00A174F3" w:rsidRDefault="00A174F3" w:rsidP="00D90D53">
      <w:pPr>
        <w:pStyle w:val="ListParagraph"/>
        <w:widowControl w:val="0"/>
        <w:numPr>
          <w:ilvl w:val="0"/>
          <w:numId w:val="1"/>
        </w:numPr>
        <w:ind w:hanging="720"/>
        <w:jc w:val="both"/>
        <w:rPr>
          <w:sz w:val="20"/>
          <w:szCs w:val="20"/>
          <w:lang w:val="fr-CA"/>
        </w:rPr>
      </w:pPr>
      <w:r>
        <w:rPr>
          <w:i/>
          <w:sz w:val="20"/>
          <w:szCs w:val="20"/>
          <w:lang w:val="fr-CA"/>
        </w:rPr>
        <w:t>Zhao Hui Wang v. Jun Li</w:t>
      </w:r>
      <w:r>
        <w:rPr>
          <w:sz w:val="20"/>
          <w:szCs w:val="20"/>
          <w:lang w:val="fr-CA"/>
        </w:rPr>
        <w:t xml:space="preserve"> (Que.) (Civil) (By Leave) (37067)</w:t>
      </w:r>
    </w:p>
    <w:p w:rsidR="00A174F3" w:rsidRDefault="00A174F3" w:rsidP="00A174F3">
      <w:pPr>
        <w:pStyle w:val="ListParagraph"/>
        <w:widowControl w:val="0"/>
        <w:jc w:val="both"/>
        <w:rPr>
          <w:sz w:val="20"/>
          <w:szCs w:val="20"/>
          <w:lang w:val="fr-CA"/>
        </w:rPr>
      </w:pPr>
    </w:p>
    <w:p w:rsidR="00A174F3" w:rsidRPr="00A174F3" w:rsidRDefault="00A174F3" w:rsidP="00D90D53">
      <w:pPr>
        <w:pStyle w:val="ListParagraph"/>
        <w:widowControl w:val="0"/>
        <w:numPr>
          <w:ilvl w:val="0"/>
          <w:numId w:val="1"/>
        </w:numPr>
        <w:ind w:hanging="720"/>
        <w:jc w:val="both"/>
        <w:rPr>
          <w:sz w:val="20"/>
          <w:szCs w:val="20"/>
        </w:rPr>
      </w:pPr>
      <w:r w:rsidRPr="00A174F3">
        <w:rPr>
          <w:i/>
          <w:sz w:val="20"/>
          <w:szCs w:val="20"/>
        </w:rPr>
        <w:t xml:space="preserve">Robert Glen Harrison v. Her Majesty the Queen in Right of the Province of British Columbia et al. </w:t>
      </w:r>
      <w:r>
        <w:rPr>
          <w:sz w:val="20"/>
          <w:szCs w:val="20"/>
        </w:rPr>
        <w:t>(B.C.) (Civil) (By Leave) (36073)</w:t>
      </w:r>
    </w:p>
    <w:p w:rsidR="00CB3520" w:rsidRPr="00A174F3"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Karakatsanis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Default="00A174F3" w:rsidP="00D90D53">
      <w:pPr>
        <w:pStyle w:val="ListParagraph"/>
        <w:widowControl w:val="0"/>
        <w:numPr>
          <w:ilvl w:val="0"/>
          <w:numId w:val="1"/>
        </w:numPr>
        <w:ind w:hanging="720"/>
        <w:jc w:val="both"/>
        <w:rPr>
          <w:sz w:val="20"/>
          <w:szCs w:val="20"/>
          <w:lang w:val="fr-CA"/>
        </w:rPr>
      </w:pPr>
      <w:r w:rsidRPr="00A174F3">
        <w:rPr>
          <w:i/>
          <w:sz w:val="20"/>
          <w:szCs w:val="20"/>
          <w:lang w:val="fr-CA"/>
        </w:rPr>
        <w:t xml:space="preserve">Michel Miron c. Syndicat des travailleuses et des travailleurs du Comité de gestion de la taxe scolaire de l’Ile de Montréal </w:t>
      </w:r>
      <w:r>
        <w:rPr>
          <w:sz w:val="20"/>
          <w:szCs w:val="20"/>
          <w:lang w:val="fr-CA"/>
        </w:rPr>
        <w:t>(Qc) (Civile) (Autorisation) (37108)</w:t>
      </w:r>
    </w:p>
    <w:p w:rsidR="00A174F3" w:rsidRDefault="00A174F3" w:rsidP="00A174F3">
      <w:pPr>
        <w:pStyle w:val="ListParagraph"/>
        <w:widowControl w:val="0"/>
        <w:jc w:val="both"/>
        <w:rPr>
          <w:sz w:val="20"/>
          <w:szCs w:val="20"/>
          <w:lang w:val="fr-CA"/>
        </w:rPr>
      </w:pPr>
    </w:p>
    <w:p w:rsidR="00A174F3" w:rsidRDefault="00A174F3" w:rsidP="00D90D53">
      <w:pPr>
        <w:pStyle w:val="ListParagraph"/>
        <w:widowControl w:val="0"/>
        <w:numPr>
          <w:ilvl w:val="0"/>
          <w:numId w:val="1"/>
        </w:numPr>
        <w:ind w:hanging="720"/>
        <w:jc w:val="both"/>
        <w:rPr>
          <w:sz w:val="20"/>
          <w:szCs w:val="20"/>
          <w:lang w:val="fr-CA"/>
        </w:rPr>
      </w:pPr>
      <w:r>
        <w:rPr>
          <w:i/>
          <w:sz w:val="20"/>
          <w:szCs w:val="20"/>
          <w:lang w:val="fr-CA"/>
        </w:rPr>
        <w:t>Jacques Pellan c. Agence du revenu du Québec</w:t>
      </w:r>
      <w:r>
        <w:rPr>
          <w:sz w:val="20"/>
          <w:szCs w:val="20"/>
          <w:lang w:val="fr-CA"/>
        </w:rPr>
        <w:t xml:space="preserve"> (Qc) (Civile) (Autorisation) (36945)</w:t>
      </w:r>
    </w:p>
    <w:p w:rsidR="00A174F3" w:rsidRDefault="00A174F3" w:rsidP="00A174F3">
      <w:pPr>
        <w:pStyle w:val="ListParagraph"/>
        <w:widowControl w:val="0"/>
        <w:jc w:val="both"/>
        <w:rPr>
          <w:sz w:val="20"/>
          <w:szCs w:val="20"/>
          <w:lang w:val="fr-CA"/>
        </w:rPr>
      </w:pPr>
    </w:p>
    <w:p w:rsidR="00A174F3" w:rsidRPr="00A174F3" w:rsidRDefault="00A174F3" w:rsidP="00D90D53">
      <w:pPr>
        <w:pStyle w:val="ListParagraph"/>
        <w:widowControl w:val="0"/>
        <w:numPr>
          <w:ilvl w:val="0"/>
          <w:numId w:val="1"/>
        </w:numPr>
        <w:ind w:hanging="720"/>
        <w:jc w:val="both"/>
        <w:rPr>
          <w:sz w:val="20"/>
          <w:szCs w:val="20"/>
          <w:lang w:val="fr-CA"/>
        </w:rPr>
      </w:pPr>
      <w:r>
        <w:rPr>
          <w:i/>
          <w:sz w:val="20"/>
          <w:szCs w:val="20"/>
          <w:lang w:val="fr-CA"/>
        </w:rPr>
        <w:t>Association des juristes de Justice c. Procureur général du Canada</w:t>
      </w:r>
      <w:r>
        <w:rPr>
          <w:sz w:val="20"/>
          <w:szCs w:val="20"/>
          <w:lang w:val="fr-CA"/>
        </w:rPr>
        <w:t xml:space="preserve"> (C.F.) (Civile) (Autorisation) (37014)</w:t>
      </w:r>
    </w:p>
    <w:p w:rsidR="00CB3520" w:rsidRPr="00A174F3"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253236" w:rsidRPr="00253236">
        <w:rPr>
          <w:b/>
          <w:sz w:val="20"/>
          <w:szCs w:val="20"/>
        </w:rPr>
        <w:t xml:space="preserve">Côté </w:t>
      </w:r>
      <w:r w:rsidRPr="00C50A5C">
        <w:rPr>
          <w:b/>
          <w:sz w:val="20"/>
          <w:szCs w:val="20"/>
        </w:rPr>
        <w:t xml:space="preserve">and </w:t>
      </w:r>
      <w:r w:rsidR="00253236" w:rsidRPr="00253236">
        <w:rPr>
          <w:b/>
          <w:sz w:val="20"/>
          <w:szCs w:val="20"/>
        </w:rPr>
        <w:t xml:space="preserve">Brown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253236" w:rsidRPr="00253236">
        <w:rPr>
          <w:b/>
          <w:sz w:val="20"/>
          <w:szCs w:val="20"/>
          <w:lang w:val="fr-CA"/>
        </w:rPr>
        <w:t xml:space="preserve">Côté </w:t>
      </w:r>
      <w:r w:rsidR="00E942C2">
        <w:rPr>
          <w:b/>
          <w:sz w:val="20"/>
          <w:szCs w:val="20"/>
          <w:lang w:val="fr-CA"/>
        </w:rPr>
        <w:t xml:space="preserve">et </w:t>
      </w:r>
      <w:r w:rsidR="00253236" w:rsidRPr="00253236">
        <w:rPr>
          <w:b/>
          <w:sz w:val="20"/>
          <w:szCs w:val="20"/>
          <w:lang w:val="fr-CA"/>
        </w:rPr>
        <w:t>Brown</w:t>
      </w:r>
    </w:p>
    <w:p w:rsidR="00CB3520" w:rsidRPr="00A8251C" w:rsidRDefault="00CB3520" w:rsidP="00CB3520">
      <w:pPr>
        <w:widowControl w:val="0"/>
        <w:jc w:val="both"/>
        <w:rPr>
          <w:sz w:val="20"/>
          <w:szCs w:val="20"/>
          <w:lang w:val="fr-CA"/>
        </w:rPr>
      </w:pPr>
    </w:p>
    <w:p w:rsidR="002E2327" w:rsidRDefault="00A174F3" w:rsidP="00D90D53">
      <w:pPr>
        <w:pStyle w:val="ListParagraph"/>
        <w:widowControl w:val="0"/>
        <w:numPr>
          <w:ilvl w:val="0"/>
          <w:numId w:val="1"/>
        </w:numPr>
        <w:ind w:hanging="720"/>
        <w:jc w:val="both"/>
        <w:rPr>
          <w:sz w:val="20"/>
          <w:szCs w:val="20"/>
        </w:rPr>
      </w:pPr>
      <w:r>
        <w:rPr>
          <w:i/>
          <w:sz w:val="20"/>
          <w:szCs w:val="20"/>
        </w:rPr>
        <w:t xml:space="preserve">Krista Danielle Sargent v. Her Majesty the Queen </w:t>
      </w:r>
      <w:r>
        <w:rPr>
          <w:sz w:val="20"/>
          <w:szCs w:val="20"/>
        </w:rPr>
        <w:t>(Alta.) (Crim.) (By Leave) (37060)</w:t>
      </w:r>
    </w:p>
    <w:p w:rsidR="00A174F3" w:rsidRDefault="00A174F3" w:rsidP="00A174F3">
      <w:pPr>
        <w:pStyle w:val="ListParagraph"/>
        <w:widowControl w:val="0"/>
        <w:jc w:val="both"/>
        <w:rPr>
          <w:sz w:val="20"/>
          <w:szCs w:val="20"/>
        </w:rPr>
      </w:pPr>
    </w:p>
    <w:p w:rsidR="00A174F3" w:rsidRDefault="00A174F3" w:rsidP="00D90D53">
      <w:pPr>
        <w:pStyle w:val="ListParagraph"/>
        <w:widowControl w:val="0"/>
        <w:numPr>
          <w:ilvl w:val="0"/>
          <w:numId w:val="1"/>
        </w:numPr>
        <w:ind w:hanging="720"/>
        <w:jc w:val="both"/>
        <w:rPr>
          <w:sz w:val="20"/>
          <w:szCs w:val="20"/>
        </w:rPr>
      </w:pPr>
      <w:r>
        <w:rPr>
          <w:i/>
          <w:sz w:val="20"/>
          <w:szCs w:val="20"/>
        </w:rPr>
        <w:t>Hung Quoc Le v. Her Majesty the Queen</w:t>
      </w:r>
      <w:r>
        <w:rPr>
          <w:sz w:val="20"/>
          <w:szCs w:val="20"/>
        </w:rPr>
        <w:t xml:space="preserve"> (B.C.) (Crim.) (By Leave) (36969)</w:t>
      </w:r>
    </w:p>
    <w:p w:rsidR="00A174F3" w:rsidRPr="00CB3520" w:rsidRDefault="00A174F3" w:rsidP="00A174F3">
      <w:pPr>
        <w:pStyle w:val="ListParagraph"/>
        <w:widowControl w:val="0"/>
        <w:jc w:val="both"/>
        <w:rPr>
          <w:sz w:val="20"/>
          <w:szCs w:val="20"/>
        </w:rPr>
      </w:pPr>
    </w:p>
    <w:p w:rsidR="002E2327" w:rsidRDefault="00CB2D37" w:rsidP="002E2327">
      <w:pPr>
        <w:widowControl w:val="0"/>
        <w:rPr>
          <w:sz w:val="20"/>
          <w:szCs w:val="20"/>
        </w:rPr>
      </w:pPr>
      <w:r>
        <w:rPr>
          <w:sz w:val="20"/>
          <w:szCs w:val="20"/>
        </w:rPr>
        <w:pict>
          <v:rect id="_x0000_i104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6620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C72D27" w:rsidP="000E2959">
      <w:pPr>
        <w:rPr>
          <w:b/>
          <w:sz w:val="20"/>
          <w:szCs w:val="20"/>
        </w:rPr>
      </w:pPr>
      <w:r>
        <w:rPr>
          <w:b/>
          <w:sz w:val="20"/>
          <w:szCs w:val="20"/>
        </w:rPr>
        <w:t>SEPTEMBER</w:t>
      </w:r>
      <w:r w:rsidR="000E2959" w:rsidRPr="00C50A5C">
        <w:rPr>
          <w:b/>
          <w:sz w:val="20"/>
          <w:szCs w:val="20"/>
        </w:rPr>
        <w:t xml:space="preserve"> 2</w:t>
      </w:r>
      <w:r>
        <w:rPr>
          <w:b/>
          <w:sz w:val="20"/>
          <w:szCs w:val="20"/>
        </w:rPr>
        <w:t>9</w:t>
      </w:r>
      <w:r w:rsidR="000E2959" w:rsidRPr="00C50A5C">
        <w:rPr>
          <w:b/>
          <w:sz w:val="20"/>
          <w:szCs w:val="20"/>
        </w:rPr>
        <w:t xml:space="preserve">, </w:t>
      </w:r>
      <w:r w:rsidR="0030050B">
        <w:rPr>
          <w:b/>
          <w:sz w:val="20"/>
          <w:szCs w:val="20"/>
        </w:rPr>
        <w:t>2016</w:t>
      </w:r>
      <w:r w:rsidR="000E2959" w:rsidRPr="00C50A5C">
        <w:rPr>
          <w:b/>
          <w:sz w:val="20"/>
          <w:szCs w:val="20"/>
        </w:rPr>
        <w:t xml:space="preserve"> / LE 2</w:t>
      </w:r>
      <w:r>
        <w:rPr>
          <w:b/>
          <w:sz w:val="20"/>
          <w:szCs w:val="20"/>
        </w:rPr>
        <w:t>9</w:t>
      </w:r>
      <w:r w:rsidR="000E2959" w:rsidRPr="00C50A5C">
        <w:rPr>
          <w:b/>
          <w:sz w:val="20"/>
          <w:szCs w:val="20"/>
        </w:rPr>
        <w:t xml:space="preserve"> </w:t>
      </w:r>
      <w:r>
        <w:rPr>
          <w:b/>
          <w:sz w:val="20"/>
          <w:szCs w:val="20"/>
        </w:rPr>
        <w:t>SEPTEMBRE</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B537CB">
        <w:trPr>
          <w:cantSplit/>
        </w:trPr>
        <w:tc>
          <w:tcPr>
            <w:tcW w:w="1458" w:type="dxa"/>
          </w:tcPr>
          <w:p w:rsidR="00A67A25" w:rsidRPr="003477E1" w:rsidRDefault="00B537CB" w:rsidP="00B537CB">
            <w:pPr>
              <w:jc w:val="both"/>
              <w:rPr>
                <w:rFonts w:cs="Times New Roman"/>
                <w:sz w:val="20"/>
                <w:szCs w:val="20"/>
              </w:rPr>
            </w:pPr>
            <w:r w:rsidRPr="003477E1">
              <w:rPr>
                <w:rStyle w:val="SCCFileNumberChar"/>
                <w:sz w:val="20"/>
                <w:szCs w:val="20"/>
              </w:rPr>
              <w:t>3</w:t>
            </w:r>
            <w:r w:rsidR="00580072" w:rsidRPr="003477E1">
              <w:rPr>
                <w:rStyle w:val="SCCFileNumberChar"/>
                <w:sz w:val="20"/>
                <w:szCs w:val="20"/>
              </w:rPr>
              <w:t>7020</w:t>
            </w:r>
          </w:p>
          <w:p w:rsidR="00A67A25" w:rsidRPr="003477E1" w:rsidRDefault="00A67A25" w:rsidP="00B537CB">
            <w:pPr>
              <w:jc w:val="both"/>
              <w:rPr>
                <w:rFonts w:cs="Times New Roman"/>
                <w:b/>
                <w:sz w:val="20"/>
                <w:szCs w:val="20"/>
              </w:rPr>
            </w:pPr>
          </w:p>
        </w:tc>
        <w:tc>
          <w:tcPr>
            <w:tcW w:w="8118" w:type="dxa"/>
            <w:gridSpan w:val="3"/>
          </w:tcPr>
          <w:p w:rsidR="00A67A25" w:rsidRPr="003477E1" w:rsidRDefault="003477E1" w:rsidP="00B537CB">
            <w:pPr>
              <w:jc w:val="both"/>
              <w:rPr>
                <w:rFonts w:cs="Times New Roman"/>
                <w:sz w:val="20"/>
                <w:szCs w:val="20"/>
              </w:rPr>
            </w:pPr>
            <w:r w:rsidRPr="00EB664B">
              <w:rPr>
                <w:rStyle w:val="SCCLsocChar"/>
                <w:rFonts w:cs="Times New Roman"/>
                <w:sz w:val="20"/>
                <w:szCs w:val="20"/>
              </w:rPr>
              <w:t>Marie-Anne Jean c. Société Radio-Canada</w:t>
            </w:r>
            <w:r w:rsidR="00A67A25" w:rsidRPr="00EB664B">
              <w:rPr>
                <w:rStyle w:val="SCCLsocChar"/>
                <w:rFonts w:cs="Times New Roman"/>
                <w:sz w:val="20"/>
                <w:szCs w:val="20"/>
                <w:u w:val="none"/>
              </w:rPr>
              <w:t xml:space="preserve"> </w:t>
            </w:r>
            <w:r w:rsidR="00A67A25" w:rsidRPr="00EB664B">
              <w:rPr>
                <w:rFonts w:cs="Times New Roman"/>
                <w:sz w:val="20"/>
                <w:szCs w:val="20"/>
                <w:lang w:val="fr-CA"/>
              </w:rPr>
              <w:t>(</w:t>
            </w:r>
            <w:r w:rsidRPr="00EB664B">
              <w:rPr>
                <w:rFonts w:cs="Times New Roman"/>
                <w:sz w:val="20"/>
                <w:szCs w:val="20"/>
                <w:lang w:val="fr-CA"/>
              </w:rPr>
              <w:t>F.C.</w:t>
            </w:r>
            <w:r w:rsidR="00A67A25" w:rsidRPr="00EB664B">
              <w:rPr>
                <w:rFonts w:cs="Times New Roman"/>
                <w:sz w:val="20"/>
                <w:szCs w:val="20"/>
                <w:lang w:val="fr-CA"/>
              </w:rPr>
              <w:t xml:space="preserve">) </w:t>
            </w:r>
            <w:r w:rsidR="00A67A25" w:rsidRPr="003477E1">
              <w:rPr>
                <w:rFonts w:cs="Times New Roman"/>
                <w:sz w:val="20"/>
                <w:szCs w:val="20"/>
              </w:rPr>
              <w:t>(Civil</w:t>
            </w:r>
            <w:r w:rsidRPr="003477E1">
              <w:rPr>
                <w:rFonts w:cs="Times New Roman"/>
                <w:sz w:val="20"/>
                <w:szCs w:val="20"/>
              </w:rPr>
              <w:t>e</w:t>
            </w:r>
            <w:r w:rsidR="00A67A25" w:rsidRPr="003477E1">
              <w:rPr>
                <w:rFonts w:cs="Times New Roman"/>
                <w:sz w:val="20"/>
                <w:szCs w:val="20"/>
              </w:rPr>
              <w:t>) (</w:t>
            </w:r>
            <w:r w:rsidRPr="003477E1">
              <w:rPr>
                <w:rFonts w:cs="Times New Roman"/>
                <w:sz w:val="20"/>
                <w:szCs w:val="20"/>
              </w:rPr>
              <w:t>Autorisation</w:t>
            </w:r>
            <w:r w:rsidR="00A67A25" w:rsidRPr="003477E1">
              <w:rPr>
                <w:rFonts w:cs="Times New Roman"/>
                <w:sz w:val="20"/>
                <w:szCs w:val="20"/>
              </w:rPr>
              <w:t>)</w:t>
            </w:r>
          </w:p>
          <w:p w:rsidR="00A67A25" w:rsidRPr="003477E1" w:rsidRDefault="00A67A25" w:rsidP="00B537CB">
            <w:pPr>
              <w:jc w:val="both"/>
              <w:rPr>
                <w:rFonts w:cs="Times New Roman"/>
                <w:sz w:val="20"/>
                <w:szCs w:val="20"/>
              </w:rPr>
            </w:pPr>
          </w:p>
        </w:tc>
      </w:tr>
      <w:tr w:rsidR="00A67A25" w:rsidRPr="0086620F" w:rsidTr="00B537CB">
        <w:trPr>
          <w:cantSplit/>
        </w:trPr>
        <w:tc>
          <w:tcPr>
            <w:tcW w:w="1458" w:type="dxa"/>
          </w:tcPr>
          <w:p w:rsidR="00A67A25" w:rsidRPr="003477E1" w:rsidRDefault="00A67A25" w:rsidP="00B537CB">
            <w:pPr>
              <w:jc w:val="both"/>
              <w:rPr>
                <w:rFonts w:cs="Times New Roman"/>
                <w:sz w:val="20"/>
                <w:szCs w:val="20"/>
              </w:rPr>
            </w:pPr>
            <w:r w:rsidRPr="003477E1">
              <w:rPr>
                <w:rFonts w:cs="Times New Roman"/>
                <w:sz w:val="20"/>
                <w:szCs w:val="20"/>
              </w:rPr>
              <w:t>Coram :</w:t>
            </w:r>
          </w:p>
        </w:tc>
        <w:tc>
          <w:tcPr>
            <w:tcW w:w="8118" w:type="dxa"/>
            <w:gridSpan w:val="3"/>
          </w:tcPr>
          <w:p w:rsidR="00A67A25" w:rsidRPr="00EB664B" w:rsidRDefault="003477E1" w:rsidP="00B537CB">
            <w:pPr>
              <w:jc w:val="both"/>
              <w:rPr>
                <w:rFonts w:cs="Times New Roman"/>
                <w:sz w:val="20"/>
                <w:szCs w:val="20"/>
                <w:u w:val="single"/>
                <w:lang w:val="fr-CA"/>
              </w:rPr>
            </w:pPr>
            <w:r w:rsidRPr="00EB664B">
              <w:rPr>
                <w:sz w:val="20"/>
                <w:szCs w:val="20"/>
                <w:u w:val="single"/>
                <w:lang w:val="fr-CA"/>
              </w:rPr>
              <w:t>La juge en chef McLachlin et les juges Wagner et Gascon</w:t>
            </w:r>
            <w:r w:rsidRPr="00EB664B">
              <w:rPr>
                <w:rFonts w:cs="Times New Roman"/>
                <w:sz w:val="20"/>
                <w:szCs w:val="20"/>
                <w:u w:val="single"/>
                <w:lang w:val="fr-CA"/>
              </w:rPr>
              <w:t xml:space="preserve"> </w:t>
            </w:r>
          </w:p>
          <w:p w:rsidR="003477E1" w:rsidRPr="00EB664B" w:rsidRDefault="003477E1" w:rsidP="00B537CB">
            <w:pPr>
              <w:jc w:val="both"/>
              <w:rPr>
                <w:rFonts w:cs="Times New Roman"/>
                <w:sz w:val="20"/>
                <w:szCs w:val="20"/>
                <w:lang w:val="fr-CA"/>
              </w:rPr>
            </w:pPr>
          </w:p>
        </w:tc>
      </w:tr>
      <w:tr w:rsidR="00A67A25" w:rsidRPr="00EE4BF7" w:rsidTr="00B537CB">
        <w:trPr>
          <w:cantSplit/>
        </w:trPr>
        <w:tc>
          <w:tcPr>
            <w:tcW w:w="9576" w:type="dxa"/>
            <w:gridSpan w:val="4"/>
          </w:tcPr>
          <w:p w:rsidR="00A67A25" w:rsidRPr="00EB664B" w:rsidRDefault="00A67A25" w:rsidP="00B537CB">
            <w:pPr>
              <w:pStyle w:val="SCCShortJudgment"/>
              <w:ind w:firstLine="0"/>
              <w:rPr>
                <w:rFonts w:cs="Times New Roman"/>
                <w:szCs w:val="20"/>
                <w:lang w:val="fr-CA"/>
              </w:rPr>
            </w:pPr>
            <w:r w:rsidRPr="00EB664B">
              <w:rPr>
                <w:rFonts w:cs="Times New Roman"/>
                <w:szCs w:val="20"/>
                <w:lang w:val="fr-CA"/>
              </w:rPr>
              <w:tab/>
            </w:r>
            <w:r w:rsidR="003477E1" w:rsidRPr="00EB664B">
              <w:rPr>
                <w:szCs w:val="20"/>
                <w:lang w:val="fr-CA"/>
              </w:rPr>
              <w:t>La demande d’autorisation d’appel de l’arrêt de la Cour d’appel fédérale, numéro A-262-15, 2016 CAF 81, daté du 15 mars 2016, est rejet</w:t>
            </w:r>
            <w:r w:rsidR="003477E1" w:rsidRPr="00EB664B">
              <w:rPr>
                <w:rFonts w:cs="Times New Roman"/>
                <w:szCs w:val="20"/>
                <w:lang w:val="fr-CA"/>
              </w:rPr>
              <w:t>é</w:t>
            </w:r>
            <w:r w:rsidR="003477E1" w:rsidRPr="00EB664B">
              <w:rPr>
                <w:szCs w:val="20"/>
                <w:lang w:val="fr-CA"/>
              </w:rPr>
              <w:t>e avec d</w:t>
            </w:r>
            <w:r w:rsidR="003477E1" w:rsidRPr="00EB664B">
              <w:rPr>
                <w:rFonts w:cs="Times New Roman"/>
                <w:szCs w:val="20"/>
                <w:lang w:val="fr-CA"/>
              </w:rPr>
              <w:t>é</w:t>
            </w:r>
            <w:r w:rsidR="003477E1" w:rsidRPr="00EB664B">
              <w:rPr>
                <w:szCs w:val="20"/>
                <w:lang w:val="fr-CA"/>
              </w:rPr>
              <w:t>pens.</w:t>
            </w:r>
          </w:p>
          <w:p w:rsidR="00A67A25" w:rsidRPr="00EB664B" w:rsidRDefault="00A67A25" w:rsidP="00B537CB">
            <w:pPr>
              <w:pStyle w:val="SCCShortJudgment"/>
              <w:ind w:firstLine="0"/>
              <w:rPr>
                <w:rFonts w:cs="Times New Roman"/>
                <w:szCs w:val="20"/>
                <w:lang w:val="fr-CA"/>
              </w:rPr>
            </w:pPr>
          </w:p>
          <w:p w:rsidR="00A67A25" w:rsidRPr="00EB664B" w:rsidRDefault="00A67A25" w:rsidP="00B537CB">
            <w:pPr>
              <w:pStyle w:val="SCCShortJudgment"/>
              <w:ind w:firstLine="0"/>
              <w:rPr>
                <w:rFonts w:cs="Times New Roman"/>
                <w:szCs w:val="20"/>
                <w:lang w:val="en-US"/>
              </w:rPr>
            </w:pPr>
            <w:r w:rsidRPr="00EB664B">
              <w:rPr>
                <w:rFonts w:cs="Times New Roman"/>
                <w:szCs w:val="20"/>
                <w:lang w:val="fr-CA"/>
              </w:rPr>
              <w:tab/>
            </w:r>
            <w:r w:rsidR="003477E1" w:rsidRPr="003477E1">
              <w:rPr>
                <w:szCs w:val="20"/>
              </w:rPr>
              <w:t>The application for leave to appeal from the judgment of the Federal Court of Appeal, Number A-262-15, 2016 CAF 81, dated March 15, 2016, is dismissed with costs.</w:t>
            </w:r>
          </w:p>
          <w:p w:rsidR="00A67A25" w:rsidRPr="00EB664B" w:rsidRDefault="00A67A25" w:rsidP="00B537CB">
            <w:pPr>
              <w:pStyle w:val="SCCShortJudgment"/>
              <w:ind w:firstLine="0"/>
              <w:rPr>
                <w:rFonts w:cs="Times New Roman"/>
                <w:szCs w:val="20"/>
                <w:lang w:val="en-US"/>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066D25" w:rsidP="00B537CB">
            <w:pPr>
              <w:pStyle w:val="SCCShortJudgment"/>
              <w:ind w:firstLine="0"/>
              <w:rPr>
                <w:szCs w:val="20"/>
              </w:rPr>
            </w:pPr>
            <w:r w:rsidRPr="000E48A1">
              <w:rPr>
                <w:szCs w:val="20"/>
              </w:rPr>
              <w:t>Human rights – Right to equality – Discrimination based on age – Human Rights Commission dismissing discrimination complaint pursuant to s. 44(3)(</w:t>
            </w:r>
            <w:r w:rsidRPr="000E48A1">
              <w:rPr>
                <w:i/>
                <w:szCs w:val="20"/>
              </w:rPr>
              <w:t>b</w:t>
            </w:r>
            <w:r w:rsidRPr="000E48A1">
              <w:rPr>
                <w:szCs w:val="20"/>
              </w:rPr>
              <w:t xml:space="preserve">)(i) of </w:t>
            </w:r>
            <w:r w:rsidRPr="000E48A1">
              <w:rPr>
                <w:i/>
                <w:szCs w:val="20"/>
              </w:rPr>
              <w:t>Canadian Human Rights Act</w:t>
            </w:r>
            <w:r w:rsidRPr="000E48A1">
              <w:rPr>
                <w:szCs w:val="20"/>
              </w:rPr>
              <w:t>, R.S.C. 1985, c. H</w:t>
            </w:r>
            <w:r w:rsidRPr="000E48A1">
              <w:rPr>
                <w:szCs w:val="20"/>
              </w:rPr>
              <w:noBreakHyphen/>
              <w:t>6, on ground that inquiry into complaint not warranted in light of investigator’s report – Whether procedural fairness observed in this case – Whether Commission’s decision refusing to inquire into complaint was reasonable.</w:t>
            </w:r>
          </w:p>
          <w:p w:rsidR="00066D25" w:rsidRPr="000E48A1" w:rsidRDefault="00066D25" w:rsidP="00B537CB">
            <w:pPr>
              <w:pStyle w:val="SCCShortJudgment"/>
              <w:ind w:firstLine="0"/>
              <w:rPr>
                <w:rFonts w:cs="Times New Roman"/>
                <w:szCs w:val="20"/>
              </w:rPr>
            </w:pPr>
          </w:p>
        </w:tc>
      </w:tr>
      <w:tr w:rsidR="00A67A25" w:rsidRPr="000E48A1" w:rsidTr="00B537CB">
        <w:trPr>
          <w:cantSplit/>
        </w:trPr>
        <w:tc>
          <w:tcPr>
            <w:tcW w:w="9576" w:type="dxa"/>
            <w:gridSpan w:val="4"/>
          </w:tcPr>
          <w:p w:rsidR="00066D25" w:rsidRPr="000E48A1" w:rsidRDefault="00066D25" w:rsidP="00066D25">
            <w:pPr>
              <w:jc w:val="both"/>
              <w:rPr>
                <w:sz w:val="20"/>
                <w:szCs w:val="20"/>
              </w:rPr>
            </w:pPr>
            <w:r w:rsidRPr="000E48A1">
              <w:rPr>
                <w:sz w:val="20"/>
                <w:szCs w:val="20"/>
              </w:rPr>
              <w:t>The applicant Ms. Jean was an employee of the Canadian Broadcasting Corporation (“CBC”). While working as an assignment assistant in the newsroom listening centre, she applied for a caption editor position. In May 2007, the CBC informed her that she had been eliminated from the competition because she had obtained a mark of only 41.5% on the mandatory French test. Ms. Jean filed a complaint with the Canadian Human Rights Commission (“Commission”) alleging discrimination based on age.</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9576" w:type="dxa"/>
            <w:gridSpan w:val="4"/>
          </w:tcPr>
          <w:p w:rsidR="00066D25" w:rsidRPr="000E48A1" w:rsidRDefault="00066D25" w:rsidP="00066D25">
            <w:pPr>
              <w:jc w:val="both"/>
              <w:rPr>
                <w:sz w:val="20"/>
                <w:szCs w:val="20"/>
              </w:rPr>
            </w:pPr>
            <w:r w:rsidRPr="000E48A1">
              <w:rPr>
                <w:sz w:val="20"/>
                <w:szCs w:val="20"/>
              </w:rPr>
              <w:t>The Commission designated an investigator. Following his investigation, the investigator recommended that the complaint be dismissed. The Commission dismissed the complaint under s. 44(3)(</w:t>
            </w:r>
            <w:r w:rsidRPr="000E48A1">
              <w:rPr>
                <w:i/>
                <w:sz w:val="20"/>
                <w:szCs w:val="20"/>
              </w:rPr>
              <w:t>b</w:t>
            </w:r>
            <w:r w:rsidRPr="000E48A1">
              <w:rPr>
                <w:sz w:val="20"/>
                <w:szCs w:val="20"/>
              </w:rPr>
              <w:t xml:space="preserve">)(i) of the </w:t>
            </w:r>
            <w:r w:rsidRPr="000E48A1">
              <w:rPr>
                <w:i/>
                <w:sz w:val="20"/>
                <w:szCs w:val="20"/>
              </w:rPr>
              <w:t>Canadian Human Rights Act</w:t>
            </w:r>
            <w:r w:rsidRPr="000E48A1">
              <w:rPr>
                <w:sz w:val="20"/>
                <w:szCs w:val="20"/>
              </w:rPr>
              <w:t>, R.S.C. 1985, c. H</w:t>
            </w:r>
            <w:r w:rsidRPr="000E48A1">
              <w:rPr>
                <w:sz w:val="20"/>
                <w:szCs w:val="20"/>
              </w:rPr>
              <w:noBreakHyphen/>
              <w:t>6, finding that an inquiry into the complaint was not warranted in light of its investigator’s report.</w:t>
            </w:r>
          </w:p>
          <w:p w:rsidR="00A67A25" w:rsidRPr="000E48A1" w:rsidRDefault="00A67A25" w:rsidP="00B537CB">
            <w:pPr>
              <w:pStyle w:val="SCCShortJudgment"/>
              <w:ind w:firstLine="0"/>
              <w:rPr>
                <w:rFonts w:cs="Times New Roman"/>
                <w:szCs w:val="20"/>
              </w:rPr>
            </w:pPr>
          </w:p>
        </w:tc>
      </w:tr>
      <w:tr w:rsidR="00066D25" w:rsidRPr="000E48A1" w:rsidTr="00B537CB">
        <w:trPr>
          <w:cantSplit/>
        </w:trPr>
        <w:tc>
          <w:tcPr>
            <w:tcW w:w="9576" w:type="dxa"/>
            <w:gridSpan w:val="4"/>
          </w:tcPr>
          <w:p w:rsidR="00066D25" w:rsidRPr="000E48A1" w:rsidRDefault="00066D25" w:rsidP="00066D25">
            <w:pPr>
              <w:jc w:val="both"/>
              <w:rPr>
                <w:sz w:val="20"/>
                <w:szCs w:val="20"/>
              </w:rPr>
            </w:pPr>
            <w:r w:rsidRPr="000E48A1">
              <w:rPr>
                <w:sz w:val="20"/>
                <w:szCs w:val="20"/>
              </w:rPr>
              <w:t>The Federal Court dismissed the application for judicial review. In Gagné J.’s view, the Commission had satisfied the applicable procedural fairness requirements and its decision was not unreasonable. The Federal Court of Appeal dismissed the appeal.</w:t>
            </w:r>
          </w:p>
          <w:p w:rsidR="00066D25" w:rsidRPr="000E48A1" w:rsidRDefault="00066D25" w:rsidP="00B537CB">
            <w:pPr>
              <w:pStyle w:val="SCCShortJudgment"/>
              <w:ind w:firstLine="0"/>
              <w:rPr>
                <w:rFonts w:cs="Times New Roman"/>
                <w:szCs w:val="20"/>
              </w:rPr>
            </w:pPr>
          </w:p>
        </w:tc>
      </w:tr>
      <w:tr w:rsidR="00A67A25" w:rsidRPr="000E48A1" w:rsidTr="00B537CB">
        <w:trPr>
          <w:cantSplit/>
        </w:trPr>
        <w:tc>
          <w:tcPr>
            <w:tcW w:w="4410" w:type="dxa"/>
            <w:gridSpan w:val="2"/>
          </w:tcPr>
          <w:p w:rsidR="00066D25" w:rsidRPr="000E48A1" w:rsidRDefault="00066D25" w:rsidP="00066D25">
            <w:pPr>
              <w:rPr>
                <w:sz w:val="20"/>
                <w:szCs w:val="20"/>
              </w:rPr>
            </w:pPr>
            <w:r w:rsidRPr="000E48A1">
              <w:rPr>
                <w:sz w:val="20"/>
                <w:szCs w:val="20"/>
              </w:rPr>
              <w:t>April 28, 2015</w:t>
            </w:r>
          </w:p>
          <w:p w:rsidR="00066D25" w:rsidRPr="000E48A1" w:rsidRDefault="00066D25" w:rsidP="00066D25">
            <w:pPr>
              <w:rPr>
                <w:sz w:val="20"/>
                <w:szCs w:val="20"/>
              </w:rPr>
            </w:pPr>
            <w:r w:rsidRPr="000E48A1">
              <w:rPr>
                <w:sz w:val="20"/>
                <w:szCs w:val="20"/>
              </w:rPr>
              <w:t>Federal Court</w:t>
            </w:r>
          </w:p>
          <w:p w:rsidR="00066D25" w:rsidRPr="000E48A1" w:rsidRDefault="00066D25" w:rsidP="00066D25">
            <w:pPr>
              <w:rPr>
                <w:sz w:val="20"/>
                <w:szCs w:val="20"/>
              </w:rPr>
            </w:pPr>
            <w:r w:rsidRPr="000E48A1">
              <w:rPr>
                <w:sz w:val="20"/>
                <w:szCs w:val="20"/>
              </w:rPr>
              <w:t>(Gagné J.)</w:t>
            </w:r>
          </w:p>
          <w:p w:rsidR="00066D25" w:rsidRPr="000E48A1" w:rsidRDefault="00CB2D37" w:rsidP="00066D25">
            <w:pPr>
              <w:rPr>
                <w:sz w:val="20"/>
                <w:szCs w:val="20"/>
                <w:u w:val="single"/>
              </w:rPr>
            </w:pPr>
            <w:hyperlink r:id="rId24" w:history="1">
              <w:r w:rsidR="00066D25" w:rsidRPr="000E48A1">
                <w:rPr>
                  <w:rStyle w:val="Hyperlink"/>
                  <w:sz w:val="20"/>
                  <w:szCs w:val="20"/>
                </w:rPr>
                <w:t>2015 FC 541</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066D25" w:rsidRPr="000E48A1" w:rsidRDefault="00066D25" w:rsidP="00066D25">
            <w:pPr>
              <w:rPr>
                <w:sz w:val="20"/>
                <w:szCs w:val="20"/>
              </w:rPr>
            </w:pPr>
            <w:r w:rsidRPr="000E48A1">
              <w:rPr>
                <w:sz w:val="20"/>
                <w:szCs w:val="20"/>
              </w:rPr>
              <w:t>Application for judicial review dismissed</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066D25" w:rsidRPr="000E48A1" w:rsidRDefault="00066D25" w:rsidP="00066D25">
            <w:pPr>
              <w:rPr>
                <w:sz w:val="20"/>
                <w:szCs w:val="20"/>
              </w:rPr>
            </w:pPr>
            <w:r w:rsidRPr="000E48A1">
              <w:rPr>
                <w:sz w:val="20"/>
                <w:szCs w:val="20"/>
              </w:rPr>
              <w:t>March 15, 2016</w:t>
            </w:r>
          </w:p>
          <w:p w:rsidR="00066D25" w:rsidRPr="000E48A1" w:rsidRDefault="00066D25" w:rsidP="00066D25">
            <w:pPr>
              <w:rPr>
                <w:sz w:val="20"/>
                <w:szCs w:val="20"/>
              </w:rPr>
            </w:pPr>
            <w:r w:rsidRPr="000E48A1">
              <w:rPr>
                <w:sz w:val="20"/>
                <w:szCs w:val="20"/>
              </w:rPr>
              <w:t>Federal Court of Appeal</w:t>
            </w:r>
          </w:p>
          <w:p w:rsidR="00066D25" w:rsidRPr="000E48A1" w:rsidRDefault="00066D25" w:rsidP="00066D25">
            <w:pPr>
              <w:rPr>
                <w:sz w:val="20"/>
                <w:szCs w:val="20"/>
              </w:rPr>
            </w:pPr>
            <w:r w:rsidRPr="000E48A1">
              <w:rPr>
                <w:sz w:val="20"/>
                <w:szCs w:val="20"/>
              </w:rPr>
              <w:t>(Pelletier, Gauthier and Scott JJ.A.)</w:t>
            </w:r>
          </w:p>
          <w:p w:rsidR="00066D25" w:rsidRPr="000E48A1" w:rsidRDefault="00CB2D37" w:rsidP="00066D25">
            <w:pPr>
              <w:rPr>
                <w:sz w:val="20"/>
                <w:szCs w:val="20"/>
                <w:u w:val="single"/>
              </w:rPr>
            </w:pPr>
            <w:hyperlink r:id="rId25" w:history="1">
              <w:r w:rsidR="00066D25" w:rsidRPr="000E48A1">
                <w:rPr>
                  <w:rStyle w:val="Hyperlink"/>
                  <w:sz w:val="20"/>
                  <w:szCs w:val="20"/>
                </w:rPr>
                <w:t>2016 FCA 81</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066D25" w:rsidP="00B537CB">
            <w:pPr>
              <w:jc w:val="both"/>
              <w:rPr>
                <w:rFonts w:cs="Times New Roman"/>
                <w:sz w:val="20"/>
                <w:szCs w:val="20"/>
              </w:rPr>
            </w:pPr>
            <w:r w:rsidRPr="000E48A1">
              <w:rPr>
                <w:sz w:val="20"/>
                <w:szCs w:val="20"/>
              </w:rPr>
              <w:t>Appeal dismissed</w:t>
            </w:r>
          </w:p>
        </w:tc>
      </w:tr>
      <w:tr w:rsidR="00A67A25" w:rsidRPr="000E48A1" w:rsidTr="00B537CB">
        <w:trPr>
          <w:cantSplit/>
        </w:trPr>
        <w:tc>
          <w:tcPr>
            <w:tcW w:w="4410" w:type="dxa"/>
            <w:gridSpan w:val="2"/>
          </w:tcPr>
          <w:p w:rsidR="00066D25" w:rsidRPr="000E48A1" w:rsidRDefault="00066D25" w:rsidP="00066D25">
            <w:pPr>
              <w:rPr>
                <w:sz w:val="20"/>
                <w:szCs w:val="20"/>
              </w:rPr>
            </w:pPr>
            <w:r w:rsidRPr="000E48A1">
              <w:rPr>
                <w:sz w:val="20"/>
                <w:szCs w:val="20"/>
              </w:rPr>
              <w:t>May 13, 2016</w:t>
            </w:r>
          </w:p>
          <w:p w:rsidR="00A67A25" w:rsidRPr="000E48A1" w:rsidRDefault="00066D25" w:rsidP="00066D25">
            <w:pPr>
              <w:jc w:val="both"/>
              <w:rPr>
                <w:rFonts w:cs="Times New Roman"/>
                <w:sz w:val="20"/>
                <w:szCs w:val="20"/>
              </w:rPr>
            </w:pPr>
            <w:r w:rsidRPr="000E48A1">
              <w:rPr>
                <w:sz w:val="20"/>
                <w:szCs w:val="20"/>
              </w:rPr>
              <w:t>Supreme Court of Canada</w:t>
            </w:r>
          </w:p>
        </w:tc>
        <w:tc>
          <w:tcPr>
            <w:tcW w:w="630" w:type="dxa"/>
          </w:tcPr>
          <w:p w:rsidR="00A67A25" w:rsidRPr="000E48A1" w:rsidRDefault="00A67A25" w:rsidP="00B537CB">
            <w:pPr>
              <w:pStyle w:val="SCCShortJudgment"/>
              <w:ind w:firstLine="0"/>
              <w:rPr>
                <w:rFonts w:cs="Times New Roman"/>
                <w:szCs w:val="20"/>
              </w:rPr>
            </w:pPr>
          </w:p>
        </w:tc>
        <w:tc>
          <w:tcPr>
            <w:tcW w:w="4536" w:type="dxa"/>
          </w:tcPr>
          <w:p w:rsidR="00066D25" w:rsidRPr="000E48A1" w:rsidRDefault="00066D25" w:rsidP="00066D25">
            <w:pPr>
              <w:rPr>
                <w:sz w:val="20"/>
                <w:szCs w:val="20"/>
              </w:rPr>
            </w:pPr>
            <w:r w:rsidRPr="000E48A1">
              <w:rPr>
                <w:sz w:val="20"/>
                <w:szCs w:val="20"/>
              </w:rPr>
              <w:t>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51"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bl>
    <w:p w:rsidR="00EB664B" w:rsidRDefault="00EB664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A67A25" w:rsidRPr="000E48A1" w:rsidTr="00B537CB">
        <w:trPr>
          <w:cantSplit/>
        </w:trPr>
        <w:tc>
          <w:tcPr>
            <w:tcW w:w="9576" w:type="dxa"/>
            <w:gridSpan w:val="3"/>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lastRenderedPageBreak/>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3"/>
          </w:tcPr>
          <w:p w:rsidR="00A67A25" w:rsidRPr="000E48A1" w:rsidRDefault="00066D25" w:rsidP="00B537CB">
            <w:pPr>
              <w:pStyle w:val="SCCShortJudgment"/>
              <w:ind w:firstLine="0"/>
              <w:rPr>
                <w:szCs w:val="20"/>
                <w:lang w:val="fr-CA"/>
              </w:rPr>
            </w:pPr>
            <w:r w:rsidRPr="000E48A1">
              <w:rPr>
                <w:szCs w:val="20"/>
                <w:lang w:val="fr-CA"/>
              </w:rPr>
              <w:t>Droits de la personne – Droit à l’égalité – Discrimination fondée sur l’âge – Commission des droits de la personne rejetant une plainte de discrimination en application du sous-al. 44(3)</w:t>
            </w:r>
            <w:r w:rsidRPr="000E48A1">
              <w:rPr>
                <w:i/>
                <w:szCs w:val="20"/>
                <w:lang w:val="fr-CA"/>
              </w:rPr>
              <w:t>b</w:t>
            </w:r>
            <w:r w:rsidRPr="000E48A1">
              <w:rPr>
                <w:szCs w:val="20"/>
                <w:lang w:val="fr-CA"/>
              </w:rPr>
              <w:t xml:space="preserve">)(i) de la </w:t>
            </w:r>
            <w:r w:rsidRPr="000E48A1">
              <w:rPr>
                <w:i/>
                <w:szCs w:val="20"/>
                <w:lang w:val="fr-CA"/>
              </w:rPr>
              <w:t>Loi canadienne des droits de la personne</w:t>
            </w:r>
            <w:r w:rsidRPr="000E48A1">
              <w:rPr>
                <w:szCs w:val="20"/>
                <w:lang w:val="fr-CA"/>
              </w:rPr>
              <w:t>, L.R.C. 1985, c. H-6, au motif que l’examen de la plainte n’est pas justifié au regard du rapport de l’enquêteur – L’équité procédurale a-t-elle été respectée en l’espèce? – La décision de la Commission de refuser l’examen de la plainte était-elle raisonnable?</w:t>
            </w:r>
          </w:p>
          <w:p w:rsidR="00066D25" w:rsidRPr="000E48A1" w:rsidRDefault="00066D25" w:rsidP="00B537CB">
            <w:pPr>
              <w:pStyle w:val="SCCShortJudgment"/>
              <w:ind w:firstLine="0"/>
              <w:rPr>
                <w:rFonts w:cs="Times New Roman"/>
                <w:szCs w:val="20"/>
                <w:lang w:val="fr-CA"/>
              </w:rPr>
            </w:pPr>
          </w:p>
        </w:tc>
      </w:tr>
      <w:tr w:rsidR="00A67A25" w:rsidRPr="0086620F" w:rsidTr="00B537CB">
        <w:trPr>
          <w:cantSplit/>
        </w:trPr>
        <w:tc>
          <w:tcPr>
            <w:tcW w:w="9576" w:type="dxa"/>
            <w:gridSpan w:val="3"/>
          </w:tcPr>
          <w:p w:rsidR="00066D25" w:rsidRPr="000E48A1" w:rsidRDefault="00066D25" w:rsidP="00066D25">
            <w:pPr>
              <w:jc w:val="both"/>
              <w:rPr>
                <w:sz w:val="20"/>
                <w:szCs w:val="20"/>
                <w:lang w:val="fr-CA"/>
              </w:rPr>
            </w:pPr>
            <w:r w:rsidRPr="000E48A1">
              <w:rPr>
                <w:sz w:val="20"/>
                <w:szCs w:val="20"/>
                <w:lang w:val="fr-CA"/>
              </w:rPr>
              <w:t>La demanderesse, Mme Jean, est une employée de la Société Radio-Canada (« SRC »). Alors qu’elle occupe le poste d’auxiliaire à l’affectation du Centre d’écoute de la salle des nouvelles, elle postule pour un poste de sous-titreur. En mai 2007, la SRC l’informe que sa candidature n’est pas retenue puisqu’elle n’a obtenu qu’une note de 41,5 % au test de français requis. Mme Jean porte plainte devant la Commission canadienne des droits de la personne (« la Commission »), invoquant comme fondement du recours la discrimination fondée sur l’âge.</w:t>
            </w:r>
          </w:p>
          <w:p w:rsidR="00A67A25" w:rsidRPr="000E48A1" w:rsidRDefault="00A67A25" w:rsidP="00B537CB">
            <w:pPr>
              <w:jc w:val="both"/>
              <w:rPr>
                <w:rFonts w:cs="Times New Roman"/>
                <w:sz w:val="20"/>
                <w:szCs w:val="20"/>
                <w:lang w:val="fr-CA"/>
              </w:rPr>
            </w:pPr>
          </w:p>
        </w:tc>
      </w:tr>
      <w:tr w:rsidR="00A67A25" w:rsidRPr="0086620F" w:rsidTr="00B537CB">
        <w:trPr>
          <w:cantSplit/>
        </w:trPr>
        <w:tc>
          <w:tcPr>
            <w:tcW w:w="9576" w:type="dxa"/>
            <w:gridSpan w:val="3"/>
          </w:tcPr>
          <w:p w:rsidR="00066D25" w:rsidRPr="000E48A1" w:rsidRDefault="00066D25" w:rsidP="00066D25">
            <w:pPr>
              <w:jc w:val="both"/>
              <w:rPr>
                <w:sz w:val="20"/>
                <w:szCs w:val="20"/>
                <w:lang w:val="fr-CA"/>
              </w:rPr>
            </w:pPr>
            <w:r w:rsidRPr="000E48A1">
              <w:rPr>
                <w:sz w:val="20"/>
                <w:szCs w:val="20"/>
                <w:lang w:val="fr-CA"/>
              </w:rPr>
              <w:t>La Commission mandate un enquêteur. Au terme de son enquête, celui-ci recommande le rejet de la plainte. La Commission rejette la plainte au terme du sous-al. 44(3)</w:t>
            </w:r>
            <w:r w:rsidRPr="000E48A1">
              <w:rPr>
                <w:i/>
                <w:sz w:val="20"/>
                <w:szCs w:val="20"/>
                <w:lang w:val="fr-CA"/>
              </w:rPr>
              <w:t>b</w:t>
            </w:r>
            <w:r w:rsidRPr="000E48A1">
              <w:rPr>
                <w:sz w:val="20"/>
                <w:szCs w:val="20"/>
                <w:lang w:val="fr-CA"/>
              </w:rPr>
              <w:t xml:space="preserve">)(i) de la </w:t>
            </w:r>
            <w:r w:rsidRPr="000E48A1">
              <w:rPr>
                <w:i/>
                <w:sz w:val="20"/>
                <w:szCs w:val="20"/>
                <w:lang w:val="fr-CA"/>
              </w:rPr>
              <w:t>Loi canadienne des droits de la personne</w:t>
            </w:r>
            <w:r w:rsidRPr="000E48A1">
              <w:rPr>
                <w:sz w:val="20"/>
                <w:szCs w:val="20"/>
                <w:lang w:val="fr-CA"/>
              </w:rPr>
              <w:t>, L.R.C. 1985, c. H-6. Elle estime qu’au regard du rapport de son enquêteur, l’examen de la plainte n’est pas justifié.</w:t>
            </w:r>
          </w:p>
          <w:p w:rsidR="00A67A25" w:rsidRPr="000E48A1" w:rsidRDefault="00A67A25" w:rsidP="00B537CB">
            <w:pPr>
              <w:pStyle w:val="SCCShortJudgment"/>
              <w:ind w:firstLine="0"/>
              <w:rPr>
                <w:rFonts w:cs="Times New Roman"/>
                <w:szCs w:val="20"/>
                <w:lang w:val="fr-CA"/>
              </w:rPr>
            </w:pPr>
          </w:p>
        </w:tc>
      </w:tr>
      <w:tr w:rsidR="00066D25" w:rsidRPr="000E48A1" w:rsidTr="00B537CB">
        <w:trPr>
          <w:cantSplit/>
        </w:trPr>
        <w:tc>
          <w:tcPr>
            <w:tcW w:w="9576" w:type="dxa"/>
            <w:gridSpan w:val="3"/>
          </w:tcPr>
          <w:p w:rsidR="00066D25" w:rsidRPr="000E48A1" w:rsidRDefault="00066D25" w:rsidP="00066D25">
            <w:pPr>
              <w:jc w:val="both"/>
              <w:rPr>
                <w:sz w:val="20"/>
                <w:szCs w:val="20"/>
              </w:rPr>
            </w:pPr>
            <w:r w:rsidRPr="000E48A1">
              <w:rPr>
                <w:sz w:val="20"/>
                <w:szCs w:val="20"/>
                <w:lang w:val="fr-CA"/>
              </w:rPr>
              <w:t xml:space="preserve">La Cour fédérale rejette la demande de contrôle judiciaire. Selon la juge Gagné, la Commission a respecté les exigences d’équité procédurale qui s’imposaient, et la décision de la Commission n’est pas déraisonnable. </w:t>
            </w:r>
            <w:r w:rsidRPr="000E48A1">
              <w:rPr>
                <w:sz w:val="20"/>
                <w:szCs w:val="20"/>
              </w:rPr>
              <w:t>La Cour d’appel fédérale rejette l’appel.</w:t>
            </w:r>
          </w:p>
          <w:p w:rsidR="00066D25" w:rsidRPr="000E48A1" w:rsidRDefault="00066D25" w:rsidP="00066D25">
            <w:pPr>
              <w:jc w:val="both"/>
            </w:pPr>
          </w:p>
        </w:tc>
      </w:tr>
      <w:tr w:rsidR="00A67A25" w:rsidRPr="000E48A1" w:rsidTr="00B537CB">
        <w:trPr>
          <w:cantSplit/>
        </w:trPr>
        <w:tc>
          <w:tcPr>
            <w:tcW w:w="4410" w:type="dxa"/>
          </w:tcPr>
          <w:p w:rsidR="00066D25" w:rsidRPr="000E48A1" w:rsidRDefault="00066D25" w:rsidP="00066D25">
            <w:pPr>
              <w:rPr>
                <w:sz w:val="20"/>
                <w:szCs w:val="20"/>
                <w:lang w:val="fr-CA"/>
              </w:rPr>
            </w:pPr>
            <w:r w:rsidRPr="000E48A1">
              <w:rPr>
                <w:sz w:val="20"/>
                <w:szCs w:val="20"/>
                <w:lang w:val="fr-CA"/>
              </w:rPr>
              <w:t>Le 28 avril 2015</w:t>
            </w:r>
          </w:p>
          <w:p w:rsidR="00066D25" w:rsidRPr="000E48A1" w:rsidRDefault="00066D25" w:rsidP="00066D25">
            <w:pPr>
              <w:rPr>
                <w:sz w:val="20"/>
                <w:szCs w:val="20"/>
                <w:lang w:val="fr-CA"/>
              </w:rPr>
            </w:pPr>
            <w:r w:rsidRPr="000E48A1">
              <w:rPr>
                <w:sz w:val="20"/>
                <w:szCs w:val="20"/>
                <w:lang w:val="fr-CA"/>
              </w:rPr>
              <w:t>Cour fédérale</w:t>
            </w:r>
          </w:p>
          <w:p w:rsidR="00066D25" w:rsidRPr="000E48A1" w:rsidRDefault="00066D25" w:rsidP="00066D25">
            <w:pPr>
              <w:rPr>
                <w:sz w:val="20"/>
                <w:szCs w:val="20"/>
                <w:lang w:val="fr-CA"/>
              </w:rPr>
            </w:pPr>
            <w:r w:rsidRPr="000E48A1">
              <w:rPr>
                <w:sz w:val="20"/>
                <w:szCs w:val="20"/>
                <w:lang w:val="fr-CA"/>
              </w:rPr>
              <w:t>(La juge Gagné)</w:t>
            </w:r>
          </w:p>
          <w:p w:rsidR="00066D25" w:rsidRPr="000E48A1" w:rsidRDefault="00CB2D37" w:rsidP="00066D25">
            <w:pPr>
              <w:rPr>
                <w:sz w:val="20"/>
                <w:szCs w:val="20"/>
                <w:u w:val="single"/>
              </w:rPr>
            </w:pPr>
            <w:hyperlink r:id="rId26" w:history="1">
              <w:r w:rsidR="00066D25" w:rsidRPr="000E48A1">
                <w:rPr>
                  <w:rStyle w:val="Hyperlink"/>
                  <w:sz w:val="20"/>
                  <w:szCs w:val="20"/>
                </w:rPr>
                <w:t>2015 CF 541</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066D25" w:rsidRPr="000E48A1" w:rsidRDefault="00066D25" w:rsidP="00066D25">
            <w:pPr>
              <w:rPr>
                <w:sz w:val="20"/>
                <w:szCs w:val="20"/>
              </w:rPr>
            </w:pPr>
            <w:r w:rsidRPr="000E48A1">
              <w:rPr>
                <w:sz w:val="20"/>
                <w:szCs w:val="20"/>
              </w:rPr>
              <w:t>Demande de contrôle judiciaire rejetée</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4410" w:type="dxa"/>
          </w:tcPr>
          <w:p w:rsidR="00066D25" w:rsidRPr="000E48A1" w:rsidRDefault="00066D25" w:rsidP="00066D25">
            <w:pPr>
              <w:rPr>
                <w:sz w:val="20"/>
                <w:szCs w:val="20"/>
                <w:lang w:val="fr-CA"/>
              </w:rPr>
            </w:pPr>
            <w:r w:rsidRPr="000E48A1">
              <w:rPr>
                <w:sz w:val="20"/>
                <w:szCs w:val="20"/>
                <w:lang w:val="fr-CA"/>
              </w:rPr>
              <w:t>Le 15 mars 2016</w:t>
            </w:r>
          </w:p>
          <w:p w:rsidR="00066D25" w:rsidRPr="000E48A1" w:rsidRDefault="00066D25" w:rsidP="00066D25">
            <w:pPr>
              <w:rPr>
                <w:sz w:val="20"/>
                <w:szCs w:val="20"/>
                <w:lang w:val="fr-CA"/>
              </w:rPr>
            </w:pPr>
            <w:r w:rsidRPr="000E48A1">
              <w:rPr>
                <w:sz w:val="20"/>
                <w:szCs w:val="20"/>
                <w:lang w:val="fr-CA"/>
              </w:rPr>
              <w:t>Cour d’appel fédérale</w:t>
            </w:r>
          </w:p>
          <w:p w:rsidR="00066D25" w:rsidRPr="000E48A1" w:rsidRDefault="00066D25" w:rsidP="00066D25">
            <w:pPr>
              <w:rPr>
                <w:sz w:val="20"/>
                <w:szCs w:val="20"/>
                <w:lang w:val="fr-CA"/>
              </w:rPr>
            </w:pPr>
            <w:r w:rsidRPr="000E48A1">
              <w:rPr>
                <w:sz w:val="20"/>
                <w:szCs w:val="20"/>
                <w:lang w:val="fr-CA"/>
              </w:rPr>
              <w:t>(Les juges Pelletier, Gauthier et Scott)</w:t>
            </w:r>
          </w:p>
          <w:p w:rsidR="00066D25" w:rsidRPr="000E48A1" w:rsidRDefault="00CB2D37" w:rsidP="00066D25">
            <w:pPr>
              <w:rPr>
                <w:sz w:val="20"/>
                <w:szCs w:val="20"/>
                <w:u w:val="single"/>
              </w:rPr>
            </w:pPr>
            <w:hyperlink r:id="rId27" w:history="1">
              <w:r w:rsidR="00066D25" w:rsidRPr="000E48A1">
                <w:rPr>
                  <w:rStyle w:val="Hyperlink"/>
                  <w:sz w:val="20"/>
                  <w:szCs w:val="20"/>
                </w:rPr>
                <w:t>2016 CAF 81</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066D25" w:rsidP="00B537CB">
            <w:pPr>
              <w:pStyle w:val="SCCShortJudgment"/>
              <w:ind w:firstLine="0"/>
              <w:rPr>
                <w:rFonts w:cs="Times New Roman"/>
                <w:szCs w:val="20"/>
                <w:lang w:val="fr-CA"/>
              </w:rPr>
            </w:pPr>
            <w:r w:rsidRPr="000E48A1">
              <w:rPr>
                <w:szCs w:val="20"/>
              </w:rPr>
              <w:t>Appel rejeté</w:t>
            </w:r>
          </w:p>
        </w:tc>
      </w:tr>
      <w:tr w:rsidR="00A67A25" w:rsidRPr="000E48A1" w:rsidTr="00B537CB">
        <w:trPr>
          <w:cantSplit/>
        </w:trPr>
        <w:tc>
          <w:tcPr>
            <w:tcW w:w="4410" w:type="dxa"/>
          </w:tcPr>
          <w:p w:rsidR="00066D25" w:rsidRPr="000E48A1" w:rsidRDefault="00066D25" w:rsidP="00066D25">
            <w:pPr>
              <w:rPr>
                <w:sz w:val="20"/>
                <w:szCs w:val="20"/>
                <w:lang w:val="fr-CA"/>
              </w:rPr>
            </w:pPr>
            <w:r w:rsidRPr="000E48A1">
              <w:rPr>
                <w:sz w:val="20"/>
                <w:szCs w:val="20"/>
                <w:lang w:val="fr-CA"/>
              </w:rPr>
              <w:t>Le 13 mai 2016</w:t>
            </w:r>
          </w:p>
          <w:p w:rsidR="00A67A25" w:rsidRPr="000E48A1" w:rsidRDefault="00066D25" w:rsidP="00066D25">
            <w:pPr>
              <w:pStyle w:val="SCCShortJudgment"/>
              <w:ind w:firstLine="0"/>
              <w:rPr>
                <w:rFonts w:cs="Times New Roman"/>
                <w:szCs w:val="20"/>
                <w:lang w:val="fr-CA"/>
              </w:rPr>
            </w:pPr>
            <w:r w:rsidRPr="000E48A1">
              <w:rPr>
                <w:szCs w:val="20"/>
                <w:lang w:val="fr-CA"/>
              </w:rPr>
              <w:t>Cour suprême du Canada</w:t>
            </w: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066D25" w:rsidRPr="000E48A1" w:rsidRDefault="00066D25" w:rsidP="00066D25">
            <w:pPr>
              <w:rPr>
                <w:sz w:val="20"/>
                <w:szCs w:val="20"/>
              </w:rPr>
            </w:pPr>
            <w:r w:rsidRPr="000E48A1">
              <w:rPr>
                <w:sz w:val="20"/>
                <w:szCs w:val="20"/>
              </w:rPr>
              <w:t>Demande d’autorisation d’appel déposée</w:t>
            </w:r>
          </w:p>
          <w:p w:rsidR="00A67A25" w:rsidRPr="000E48A1" w:rsidRDefault="00A67A25" w:rsidP="00B537CB">
            <w:pPr>
              <w:pStyle w:val="SCCShortJudgment"/>
              <w:ind w:firstLine="0"/>
              <w:rPr>
                <w:rFonts w:cs="Times New Roman"/>
                <w:szCs w:val="20"/>
                <w:lang w:val="fr-CA"/>
              </w:rPr>
            </w:pPr>
          </w:p>
        </w:tc>
      </w:tr>
    </w:tbl>
    <w:p w:rsidR="000E2959" w:rsidRPr="0016547E" w:rsidRDefault="00CB2D37" w:rsidP="000E2959">
      <w:pPr>
        <w:rPr>
          <w:sz w:val="20"/>
          <w:szCs w:val="20"/>
          <w:lang w:val="fr-CA"/>
        </w:rPr>
      </w:pPr>
      <w:r>
        <w:rPr>
          <w:sz w:val="20"/>
          <w:szCs w:val="20"/>
          <w:lang w:val="fr-CA"/>
        </w:rPr>
        <w:pict>
          <v:rect id="_x0000_i1052"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A67A25" w:rsidRPr="000E48A1" w:rsidTr="00B537CB">
        <w:trPr>
          <w:cantSplit/>
        </w:trPr>
        <w:tc>
          <w:tcPr>
            <w:tcW w:w="1458" w:type="dxa"/>
          </w:tcPr>
          <w:p w:rsidR="00A67A25" w:rsidRPr="00B60413" w:rsidRDefault="00580072" w:rsidP="00B537CB">
            <w:pPr>
              <w:jc w:val="both"/>
              <w:rPr>
                <w:rFonts w:cs="Times New Roman"/>
                <w:sz w:val="20"/>
                <w:szCs w:val="20"/>
              </w:rPr>
            </w:pPr>
            <w:r w:rsidRPr="00B60413">
              <w:rPr>
                <w:rStyle w:val="SCCFileNumberChar"/>
                <w:sz w:val="20"/>
                <w:szCs w:val="20"/>
              </w:rPr>
              <w:t>37035</w:t>
            </w:r>
          </w:p>
          <w:p w:rsidR="00A67A25" w:rsidRPr="00B60413" w:rsidRDefault="00A67A25" w:rsidP="00B537CB">
            <w:pPr>
              <w:jc w:val="both"/>
              <w:rPr>
                <w:rFonts w:cs="Times New Roman"/>
                <w:b/>
                <w:sz w:val="20"/>
                <w:szCs w:val="20"/>
              </w:rPr>
            </w:pPr>
          </w:p>
        </w:tc>
        <w:tc>
          <w:tcPr>
            <w:tcW w:w="8118" w:type="dxa"/>
          </w:tcPr>
          <w:p w:rsidR="00A67A25" w:rsidRPr="00B60413" w:rsidRDefault="00B60413" w:rsidP="00B537CB">
            <w:pPr>
              <w:jc w:val="both"/>
              <w:rPr>
                <w:rFonts w:cs="Times New Roman"/>
                <w:sz w:val="20"/>
                <w:szCs w:val="20"/>
              </w:rPr>
            </w:pPr>
            <w:r w:rsidRPr="00B60413">
              <w:rPr>
                <w:b/>
                <w:sz w:val="20"/>
                <w:szCs w:val="20"/>
                <w:u w:val="single"/>
              </w:rPr>
              <w:t>Enbridge Gas New Brunswick Limited Partnership, as represented by its general partner, Enbridge Gas New Brunswick Inc., Enbridge Energy Distribution Inc. and Enbridge Inc. v. Province of New Brunswick</w:t>
            </w:r>
            <w:r w:rsidRPr="00B60413">
              <w:rPr>
                <w:rFonts w:cs="Times New Roman"/>
                <w:sz w:val="20"/>
                <w:szCs w:val="20"/>
              </w:rPr>
              <w:t xml:space="preserve"> </w:t>
            </w:r>
            <w:r w:rsidR="00A67A25" w:rsidRPr="00B60413">
              <w:rPr>
                <w:rFonts w:cs="Times New Roman"/>
                <w:sz w:val="20"/>
                <w:szCs w:val="20"/>
              </w:rPr>
              <w:t>(</w:t>
            </w:r>
            <w:r w:rsidRPr="00B60413">
              <w:rPr>
                <w:rFonts w:cs="Times New Roman"/>
                <w:sz w:val="20"/>
                <w:szCs w:val="20"/>
              </w:rPr>
              <w:t>N.B.</w:t>
            </w:r>
            <w:r w:rsidR="00A67A25" w:rsidRPr="00B60413">
              <w:rPr>
                <w:rFonts w:cs="Times New Roman"/>
                <w:sz w:val="20"/>
                <w:szCs w:val="20"/>
              </w:rPr>
              <w:t>) (Civil) (By Leave)</w:t>
            </w:r>
          </w:p>
          <w:p w:rsidR="00A67A25" w:rsidRPr="00B60413" w:rsidRDefault="00A67A25" w:rsidP="00B537CB">
            <w:pPr>
              <w:jc w:val="both"/>
              <w:rPr>
                <w:rFonts w:cs="Times New Roman"/>
                <w:sz w:val="20"/>
                <w:szCs w:val="20"/>
              </w:rPr>
            </w:pPr>
          </w:p>
        </w:tc>
      </w:tr>
      <w:tr w:rsidR="00A67A25" w:rsidRPr="000E48A1" w:rsidTr="00B537CB">
        <w:trPr>
          <w:cantSplit/>
        </w:trPr>
        <w:tc>
          <w:tcPr>
            <w:tcW w:w="1458" w:type="dxa"/>
          </w:tcPr>
          <w:p w:rsidR="00A67A25" w:rsidRPr="00B60413" w:rsidRDefault="00A67A25" w:rsidP="00B537CB">
            <w:pPr>
              <w:jc w:val="both"/>
              <w:rPr>
                <w:rFonts w:cs="Times New Roman"/>
                <w:sz w:val="20"/>
                <w:szCs w:val="20"/>
              </w:rPr>
            </w:pPr>
            <w:r w:rsidRPr="00B60413">
              <w:rPr>
                <w:rFonts w:cs="Times New Roman"/>
                <w:sz w:val="20"/>
                <w:szCs w:val="20"/>
              </w:rPr>
              <w:t>Coram :</w:t>
            </w:r>
          </w:p>
        </w:tc>
        <w:tc>
          <w:tcPr>
            <w:tcW w:w="8118" w:type="dxa"/>
          </w:tcPr>
          <w:p w:rsidR="00A67A25" w:rsidRPr="00B60413" w:rsidRDefault="00B60413" w:rsidP="00B537CB">
            <w:pPr>
              <w:jc w:val="both"/>
              <w:rPr>
                <w:sz w:val="20"/>
                <w:szCs w:val="20"/>
                <w:u w:val="single"/>
              </w:rPr>
            </w:pPr>
            <w:r w:rsidRPr="00B60413">
              <w:rPr>
                <w:sz w:val="20"/>
                <w:szCs w:val="20"/>
                <w:u w:val="single"/>
              </w:rPr>
              <w:t>McLachlin C.J. and Moldaver and Gascon JJ.</w:t>
            </w:r>
          </w:p>
          <w:p w:rsidR="00B60413" w:rsidRPr="00B60413" w:rsidRDefault="00B60413" w:rsidP="00B537CB">
            <w:pPr>
              <w:jc w:val="both"/>
              <w:rPr>
                <w:rFonts w:cs="Times New Roman"/>
                <w:sz w:val="20"/>
                <w:szCs w:val="20"/>
              </w:rPr>
            </w:pPr>
          </w:p>
        </w:tc>
      </w:tr>
      <w:tr w:rsidR="00A67A25" w:rsidRPr="0086620F" w:rsidTr="00A67A25">
        <w:tc>
          <w:tcPr>
            <w:tcW w:w="9576" w:type="dxa"/>
            <w:gridSpan w:val="2"/>
          </w:tcPr>
          <w:p w:rsidR="00A67A25" w:rsidRPr="00B60413" w:rsidRDefault="00B60413" w:rsidP="00B537CB">
            <w:pPr>
              <w:pStyle w:val="SCCShortJudgment"/>
              <w:ind w:firstLine="0"/>
              <w:rPr>
                <w:szCs w:val="20"/>
              </w:rPr>
            </w:pPr>
            <w:r w:rsidRPr="00B60413">
              <w:rPr>
                <w:szCs w:val="20"/>
              </w:rPr>
              <w:tab/>
              <w:t>The application for leave to appeal from the judgment of the</w:t>
            </w:r>
            <w:bookmarkStart w:id="2" w:name="BM_1_"/>
            <w:bookmarkEnd w:id="2"/>
            <w:r w:rsidRPr="00B60413">
              <w:rPr>
                <w:szCs w:val="20"/>
              </w:rPr>
              <w:t xml:space="preserve"> Court of Appeal of New Brunswick, Number 63-15-CA, 2016 NBCA 17, dated April 1, 2016, is dismissed with costs.</w:t>
            </w:r>
          </w:p>
          <w:p w:rsidR="00B60413" w:rsidRPr="00B60413" w:rsidRDefault="00B60413" w:rsidP="00B537CB">
            <w:pPr>
              <w:pStyle w:val="SCCShortJudgment"/>
              <w:ind w:firstLine="0"/>
              <w:rPr>
                <w:rFonts w:cs="Times New Roman"/>
                <w:szCs w:val="20"/>
              </w:rPr>
            </w:pPr>
          </w:p>
          <w:p w:rsidR="00A67A25" w:rsidRPr="00B60413" w:rsidRDefault="00A67A25" w:rsidP="00B537CB">
            <w:pPr>
              <w:pStyle w:val="SCCShortJudgment"/>
              <w:ind w:firstLine="0"/>
              <w:rPr>
                <w:rFonts w:cs="Times New Roman"/>
                <w:szCs w:val="20"/>
                <w:lang w:val="fr-CA"/>
              </w:rPr>
            </w:pPr>
            <w:r w:rsidRPr="00B60413">
              <w:rPr>
                <w:rFonts w:cs="Times New Roman"/>
                <w:szCs w:val="20"/>
              </w:rPr>
              <w:tab/>
            </w:r>
            <w:r w:rsidR="00B60413" w:rsidRPr="00B60413">
              <w:rPr>
                <w:szCs w:val="20"/>
                <w:lang w:val="fr-CA"/>
              </w:rPr>
              <w:t xml:space="preserve">La demande d’autorisation d’appel de l’arrêt de la </w:t>
            </w:r>
            <w:r w:rsidR="00B60413" w:rsidRPr="00B60413">
              <w:rPr>
                <w:szCs w:val="20"/>
                <w:lang w:val="fr-FR"/>
              </w:rPr>
              <w:t>Cour d’appel du Nouveau-Brunswick</w:t>
            </w:r>
            <w:r w:rsidR="00B60413" w:rsidRPr="00B60413">
              <w:rPr>
                <w:szCs w:val="20"/>
                <w:lang w:val="fr-CA"/>
              </w:rPr>
              <w:t xml:space="preserve">, numéro </w:t>
            </w:r>
            <w:r w:rsidR="00B60413" w:rsidRPr="00B60413">
              <w:rPr>
                <w:szCs w:val="20"/>
                <w:lang w:val="fr-FR"/>
              </w:rPr>
              <w:t>63-15-CA, 2016 NBCA 17</w:t>
            </w:r>
            <w:r w:rsidR="00B60413" w:rsidRPr="00B60413">
              <w:rPr>
                <w:szCs w:val="20"/>
                <w:lang w:val="fr-CA"/>
              </w:rPr>
              <w:t xml:space="preserve">, daté du </w:t>
            </w:r>
            <w:r w:rsidR="00B60413" w:rsidRPr="00B60413">
              <w:rPr>
                <w:szCs w:val="20"/>
                <w:lang w:val="fr-FR"/>
              </w:rPr>
              <w:t>1 avril 2016</w:t>
            </w:r>
            <w:r w:rsidR="00B60413" w:rsidRPr="00B60413">
              <w:rPr>
                <w:szCs w:val="20"/>
                <w:lang w:val="fr-CA"/>
              </w:rPr>
              <w:t>, est rejet</w:t>
            </w:r>
            <w:r w:rsidR="00B60413" w:rsidRPr="00B60413">
              <w:rPr>
                <w:rFonts w:cs="Times New Roman"/>
                <w:szCs w:val="20"/>
                <w:lang w:val="fr-CA"/>
              </w:rPr>
              <w:t>é</w:t>
            </w:r>
            <w:r w:rsidR="00B60413" w:rsidRPr="00B60413">
              <w:rPr>
                <w:szCs w:val="20"/>
                <w:lang w:val="fr-CA"/>
              </w:rPr>
              <w:t>e avec d</w:t>
            </w:r>
            <w:r w:rsidR="00B60413" w:rsidRPr="00B60413">
              <w:rPr>
                <w:rFonts w:cs="Times New Roman"/>
                <w:szCs w:val="20"/>
                <w:lang w:val="fr-CA"/>
              </w:rPr>
              <w:t>é</w:t>
            </w:r>
            <w:r w:rsidR="00B60413" w:rsidRPr="00B60413">
              <w:rPr>
                <w:szCs w:val="20"/>
                <w:lang w:val="fr-CA"/>
              </w:rPr>
              <w:t>pens.</w:t>
            </w:r>
          </w:p>
          <w:p w:rsidR="00A67A25" w:rsidRPr="00B60413" w:rsidRDefault="00A67A25" w:rsidP="00B537CB">
            <w:pPr>
              <w:pStyle w:val="SCCShortJudgment"/>
              <w:ind w:firstLine="0"/>
              <w:rPr>
                <w:rFonts w:cs="Times New Roman"/>
                <w:szCs w:val="20"/>
                <w:lang w:val="fr-CA"/>
              </w:rPr>
            </w:pPr>
          </w:p>
        </w:tc>
      </w:tr>
    </w:tbl>
    <w:p w:rsidR="00EB664B" w:rsidRPr="00A52267" w:rsidRDefault="00EB664B">
      <w:pPr>
        <w:rPr>
          <w:lang w:val="fr-CA"/>
        </w:rPr>
      </w:pPr>
      <w:r w:rsidRPr="00A52267">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A67A25" w:rsidRPr="000E48A1" w:rsidTr="00B537CB">
        <w:trPr>
          <w:cantSplit/>
        </w:trPr>
        <w:tc>
          <w:tcPr>
            <w:tcW w:w="9576" w:type="dxa"/>
            <w:gridSpan w:val="3"/>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lastRenderedPageBreak/>
              <w:t>CASE SUMMARY</w:t>
            </w:r>
          </w:p>
          <w:p w:rsidR="00A67A25" w:rsidRPr="000E48A1" w:rsidRDefault="00A67A25" w:rsidP="00B537CB">
            <w:pPr>
              <w:pStyle w:val="SCCShortJudgment"/>
              <w:ind w:firstLine="0"/>
              <w:rPr>
                <w:rFonts w:cs="Times New Roman"/>
                <w:szCs w:val="20"/>
                <w:lang w:val="fr-CA"/>
              </w:rPr>
            </w:pPr>
          </w:p>
        </w:tc>
      </w:tr>
      <w:tr w:rsidR="00A67A25" w:rsidRPr="000E48A1" w:rsidTr="003477E1">
        <w:tc>
          <w:tcPr>
            <w:tcW w:w="9576" w:type="dxa"/>
            <w:gridSpan w:val="3"/>
          </w:tcPr>
          <w:p w:rsidR="00A67A25" w:rsidRPr="000E48A1" w:rsidRDefault="002E1AD6" w:rsidP="00B537CB">
            <w:pPr>
              <w:pStyle w:val="SCCShortJudgment"/>
              <w:ind w:firstLine="0"/>
              <w:rPr>
                <w:szCs w:val="20"/>
              </w:rPr>
            </w:pPr>
            <w:r w:rsidRPr="000E48A1">
              <w:rPr>
                <w:szCs w:val="20"/>
              </w:rPr>
              <w:t>Evidence – Disclosure – Solicitor-client privilege – Public interest immunity – Whether the party asserting solicitor-client privilege should be required to establish the criteria necessary to attract the privilege, including a sufficient description of the documents in question – What is the test to determine whether an individual can be characterized as an agent of the solicitor such that communications involving the agent also attract solicitor-client privilege – What is the proper balancing of, weight and consideration to be given to the common law criteria in determining whether or not public interest immunity applies to protect Cabinet documents from disclosure?</w:t>
            </w:r>
          </w:p>
          <w:p w:rsidR="002E1AD6" w:rsidRPr="000E48A1" w:rsidRDefault="002E1AD6" w:rsidP="00B537CB">
            <w:pPr>
              <w:pStyle w:val="SCCShortJudgment"/>
              <w:ind w:firstLine="0"/>
              <w:rPr>
                <w:rFonts w:cs="Times New Roman"/>
                <w:szCs w:val="20"/>
              </w:rPr>
            </w:pPr>
          </w:p>
        </w:tc>
      </w:tr>
      <w:tr w:rsidR="00A67A25" w:rsidRPr="000E48A1" w:rsidTr="00B537CB">
        <w:trPr>
          <w:cantSplit/>
        </w:trPr>
        <w:tc>
          <w:tcPr>
            <w:tcW w:w="9576" w:type="dxa"/>
            <w:gridSpan w:val="3"/>
          </w:tcPr>
          <w:p w:rsidR="002E1AD6" w:rsidRPr="000E48A1" w:rsidRDefault="002E1AD6" w:rsidP="002E1AD6">
            <w:pPr>
              <w:jc w:val="both"/>
              <w:rPr>
                <w:sz w:val="20"/>
                <w:szCs w:val="20"/>
              </w:rPr>
            </w:pPr>
            <w:r w:rsidRPr="000E48A1">
              <w:rPr>
                <w:sz w:val="20"/>
                <w:szCs w:val="20"/>
              </w:rPr>
              <w:t>During pre-trial disclosure proceedings, the Province provided Enbridge with an Affidavit of Documents in which an agent of the Crown disclosed 9,686 documents, of which privilege was claimed over 3,606 documents. Enbridge moved for an order requiring disclosure of the latter documents on the basis that the claims were improper. Prior to the hearing of the motion, the number of documents in dispute was reduced to approximately 800. The disputed documents included were grouped in four categories: internal employee documents, which were said to transmit, comment upon or otherwise reveal the substance of legal advice; documents on which the solicitor was copied, and which were created for the direct purpose of seeking or obtaining legal advice; communications through intermediaries, and which are said to involve agents of the Province of New Brunswick in furtherance of the solicitor-client relationship; and documents over which public interest immunity was claimed.</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9576" w:type="dxa"/>
            <w:gridSpan w:val="3"/>
          </w:tcPr>
          <w:p w:rsidR="002E1AD6" w:rsidRPr="000E48A1" w:rsidRDefault="002E1AD6" w:rsidP="002E1AD6">
            <w:pPr>
              <w:jc w:val="both"/>
              <w:rPr>
                <w:sz w:val="20"/>
                <w:szCs w:val="20"/>
              </w:rPr>
            </w:pPr>
            <w:r w:rsidRPr="000E48A1">
              <w:rPr>
                <w:sz w:val="20"/>
                <w:szCs w:val="20"/>
              </w:rPr>
              <w:t>The motions judge ordered all of the documents disclosed, with the option to have individual documents reviewed, on leave. The Court of Appeal allowed the Province’s appeal.</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tcPr>
          <w:p w:rsidR="002E1AD6" w:rsidRPr="000E48A1" w:rsidRDefault="002E1AD6" w:rsidP="002E1AD6">
            <w:pPr>
              <w:rPr>
                <w:sz w:val="20"/>
                <w:szCs w:val="20"/>
              </w:rPr>
            </w:pPr>
            <w:r w:rsidRPr="000E48A1">
              <w:rPr>
                <w:sz w:val="20"/>
                <w:szCs w:val="20"/>
              </w:rPr>
              <w:t>June 29, 2015</w:t>
            </w:r>
          </w:p>
          <w:p w:rsidR="002E1AD6" w:rsidRPr="000E48A1" w:rsidRDefault="002E1AD6" w:rsidP="002E1AD6">
            <w:pPr>
              <w:rPr>
                <w:sz w:val="20"/>
                <w:szCs w:val="20"/>
              </w:rPr>
            </w:pPr>
            <w:r w:rsidRPr="000E48A1">
              <w:rPr>
                <w:sz w:val="20"/>
                <w:szCs w:val="20"/>
              </w:rPr>
              <w:t>Court of Queen’s Bench of New Brunswick</w:t>
            </w:r>
          </w:p>
          <w:p w:rsidR="002E1AD6" w:rsidRPr="000E48A1" w:rsidRDefault="002E1AD6" w:rsidP="002E1AD6">
            <w:pPr>
              <w:rPr>
                <w:sz w:val="20"/>
                <w:szCs w:val="20"/>
              </w:rPr>
            </w:pPr>
            <w:r w:rsidRPr="000E48A1">
              <w:rPr>
                <w:sz w:val="20"/>
                <w:szCs w:val="20"/>
              </w:rPr>
              <w:t>(Clendening J.)</w:t>
            </w:r>
          </w:p>
          <w:p w:rsidR="002E1AD6" w:rsidRPr="000E48A1" w:rsidRDefault="00CB2D37" w:rsidP="002E1AD6">
            <w:pPr>
              <w:rPr>
                <w:sz w:val="20"/>
                <w:szCs w:val="20"/>
              </w:rPr>
            </w:pPr>
            <w:hyperlink r:id="rId28" w:history="1">
              <w:r w:rsidR="002E1AD6" w:rsidRPr="000E48A1">
                <w:rPr>
                  <w:rStyle w:val="Hyperlink"/>
                  <w:sz w:val="20"/>
                  <w:szCs w:val="20"/>
                  <w:u w:val="none"/>
                </w:rPr>
                <w:t>2015 NBQB 136</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2E1AD6" w:rsidP="00B537CB">
            <w:pPr>
              <w:jc w:val="both"/>
              <w:rPr>
                <w:rFonts w:cs="Times New Roman"/>
                <w:sz w:val="20"/>
                <w:szCs w:val="20"/>
              </w:rPr>
            </w:pPr>
            <w:r w:rsidRPr="000E48A1">
              <w:rPr>
                <w:sz w:val="20"/>
                <w:szCs w:val="20"/>
              </w:rPr>
              <w:t>Order to produce numerous documents for which solicitor-client privilege were claimed, with the option of seeking leave to have certain documents which might risk breaching confidentiality inspected individually</w:t>
            </w:r>
          </w:p>
        </w:tc>
      </w:tr>
      <w:tr w:rsidR="00A67A25" w:rsidRPr="000E48A1" w:rsidTr="00B537CB">
        <w:trPr>
          <w:cantSplit/>
        </w:trPr>
        <w:tc>
          <w:tcPr>
            <w:tcW w:w="4410" w:type="dxa"/>
          </w:tcPr>
          <w:p w:rsidR="002E1AD6" w:rsidRPr="000E48A1" w:rsidRDefault="002E1AD6" w:rsidP="002E1AD6">
            <w:pPr>
              <w:rPr>
                <w:sz w:val="20"/>
                <w:szCs w:val="20"/>
              </w:rPr>
            </w:pPr>
            <w:r w:rsidRPr="000E48A1">
              <w:rPr>
                <w:sz w:val="20"/>
                <w:szCs w:val="20"/>
              </w:rPr>
              <w:t>April 1, 2016</w:t>
            </w:r>
          </w:p>
          <w:p w:rsidR="002E1AD6" w:rsidRPr="000E48A1" w:rsidRDefault="002E1AD6" w:rsidP="002E1AD6">
            <w:pPr>
              <w:rPr>
                <w:sz w:val="20"/>
                <w:szCs w:val="20"/>
              </w:rPr>
            </w:pPr>
            <w:r w:rsidRPr="000E48A1">
              <w:rPr>
                <w:sz w:val="20"/>
                <w:szCs w:val="20"/>
              </w:rPr>
              <w:t>Court of Appeal of New Brunswick</w:t>
            </w:r>
          </w:p>
          <w:p w:rsidR="002E1AD6" w:rsidRPr="000E48A1" w:rsidRDefault="002E1AD6" w:rsidP="002E1AD6">
            <w:pPr>
              <w:rPr>
                <w:sz w:val="20"/>
                <w:szCs w:val="20"/>
              </w:rPr>
            </w:pPr>
            <w:r w:rsidRPr="000E48A1">
              <w:rPr>
                <w:sz w:val="20"/>
                <w:szCs w:val="20"/>
              </w:rPr>
              <w:t>(Richard, Green, Baird JJ.A.)</w:t>
            </w:r>
          </w:p>
          <w:p w:rsidR="002E1AD6" w:rsidRPr="000E48A1" w:rsidRDefault="00CB2D37" w:rsidP="002E1AD6">
            <w:pPr>
              <w:rPr>
                <w:sz w:val="20"/>
                <w:szCs w:val="20"/>
              </w:rPr>
            </w:pPr>
            <w:hyperlink r:id="rId29" w:history="1">
              <w:r w:rsidR="002E1AD6" w:rsidRPr="000E48A1">
                <w:rPr>
                  <w:rStyle w:val="Hyperlink"/>
                  <w:sz w:val="20"/>
                  <w:szCs w:val="20"/>
                  <w:u w:val="none"/>
                </w:rPr>
                <w:t>2016 NBCA 17</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2E1AD6" w:rsidRPr="000E48A1" w:rsidRDefault="002E1AD6" w:rsidP="002E1AD6">
            <w:pPr>
              <w:rPr>
                <w:sz w:val="20"/>
                <w:szCs w:val="20"/>
              </w:rPr>
            </w:pPr>
            <w:r w:rsidRPr="000E48A1">
              <w:rPr>
                <w:sz w:val="20"/>
                <w:szCs w:val="20"/>
              </w:rPr>
              <w:t>Appeal allowed</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tcPr>
          <w:p w:rsidR="002E1AD6" w:rsidRPr="000E48A1" w:rsidRDefault="002E1AD6" w:rsidP="002E1AD6">
            <w:pPr>
              <w:rPr>
                <w:sz w:val="20"/>
                <w:szCs w:val="20"/>
              </w:rPr>
            </w:pPr>
            <w:r w:rsidRPr="000E48A1">
              <w:rPr>
                <w:sz w:val="20"/>
                <w:szCs w:val="20"/>
              </w:rPr>
              <w:t>May 30, 2016</w:t>
            </w:r>
          </w:p>
          <w:p w:rsidR="00A67A25" w:rsidRPr="000E48A1" w:rsidRDefault="002E1AD6" w:rsidP="002E1AD6">
            <w:pPr>
              <w:jc w:val="both"/>
              <w:rPr>
                <w:rFonts w:cs="Times New Roman"/>
                <w:sz w:val="20"/>
                <w:szCs w:val="20"/>
              </w:rPr>
            </w:pPr>
            <w:r w:rsidRPr="000E48A1">
              <w:rPr>
                <w:sz w:val="20"/>
                <w:szCs w:val="20"/>
              </w:rPr>
              <w:t>Supreme Court of Canada</w:t>
            </w: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2E1AD6" w:rsidP="00B537CB">
            <w:pPr>
              <w:jc w:val="both"/>
              <w:rPr>
                <w:rFonts w:cs="Times New Roman"/>
                <w:sz w:val="20"/>
                <w:szCs w:val="20"/>
              </w:rPr>
            </w:pPr>
            <w:r w:rsidRPr="000E48A1">
              <w:rPr>
                <w:sz w:val="20"/>
                <w:szCs w:val="20"/>
              </w:rPr>
              <w:t>Application for leave to appeal filed</w:t>
            </w:r>
          </w:p>
        </w:tc>
      </w:tr>
      <w:tr w:rsidR="00A67A25" w:rsidRPr="000E48A1" w:rsidTr="00B537CB">
        <w:trPr>
          <w:cantSplit/>
        </w:trPr>
        <w:tc>
          <w:tcPr>
            <w:tcW w:w="9576" w:type="dxa"/>
            <w:gridSpan w:val="3"/>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53"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3"/>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3"/>
          </w:tcPr>
          <w:p w:rsidR="00A67A25" w:rsidRPr="000E48A1" w:rsidRDefault="002E1AD6" w:rsidP="00B537CB">
            <w:pPr>
              <w:pStyle w:val="SCCShortJudgment"/>
              <w:ind w:firstLine="0"/>
              <w:rPr>
                <w:szCs w:val="20"/>
                <w:lang w:val="fr-CA"/>
              </w:rPr>
            </w:pPr>
            <w:r w:rsidRPr="000E48A1">
              <w:rPr>
                <w:szCs w:val="20"/>
                <w:lang w:val="fr-CA"/>
              </w:rPr>
              <w:t>Preuve — Communication — Secret professionnel de l’avocat — Exception d’intérêt public — La partie qui invoque le secret professionnel de l’avocat doit-elle être tenue d’établir la présence des conditions nécessaires pour entraîner l’application du secret professionnel, y compris une description adéquate des documents en question? — Quel est le critère applicable pour décider si une personne peut être considérée comme un mandataire de l’avocat de sorte que les communications touchant le mandataire entraînent aussi l’application du secret professionnel? —Comment faut-il pondérer les critères de common law, et quelles importance et considération doit-on leur accorder, lorsque vient le temps de déterminer si l’exception d’intérêt public s’applique pour empêcher la communication de documents du Cabinet?</w:t>
            </w:r>
          </w:p>
          <w:p w:rsidR="002E1AD6" w:rsidRPr="000E48A1" w:rsidRDefault="002E1AD6" w:rsidP="00B537CB">
            <w:pPr>
              <w:pStyle w:val="SCCShortJudgment"/>
              <w:ind w:firstLine="0"/>
              <w:rPr>
                <w:rFonts w:cs="Times New Roman"/>
                <w:szCs w:val="20"/>
                <w:lang w:val="fr-CA"/>
              </w:rPr>
            </w:pPr>
          </w:p>
        </w:tc>
      </w:tr>
      <w:tr w:rsidR="00A67A25" w:rsidRPr="0086620F" w:rsidTr="000E48A1">
        <w:tc>
          <w:tcPr>
            <w:tcW w:w="9576" w:type="dxa"/>
            <w:gridSpan w:val="3"/>
          </w:tcPr>
          <w:p w:rsidR="002E1AD6" w:rsidRPr="000E48A1" w:rsidRDefault="002E1AD6" w:rsidP="002E1AD6">
            <w:pPr>
              <w:jc w:val="both"/>
              <w:rPr>
                <w:sz w:val="20"/>
                <w:szCs w:val="20"/>
                <w:lang w:val="fr-CA"/>
              </w:rPr>
            </w:pPr>
            <w:r w:rsidRPr="000E48A1">
              <w:rPr>
                <w:sz w:val="20"/>
                <w:szCs w:val="20"/>
                <w:lang w:val="fr-CA"/>
              </w:rPr>
              <w:t>Durant la procédure de communication préalable, la province a fourni à Enbridge un affidavit de documents o</w:t>
            </w:r>
            <w:r w:rsidRPr="000E48A1">
              <w:rPr>
                <w:rFonts w:cs="Times New Roman"/>
                <w:sz w:val="20"/>
                <w:szCs w:val="20"/>
                <w:lang w:val="fr-CA"/>
              </w:rPr>
              <w:t>ù</w:t>
            </w:r>
            <w:r w:rsidRPr="000E48A1">
              <w:rPr>
                <w:sz w:val="20"/>
                <w:szCs w:val="20"/>
                <w:lang w:val="fr-CA"/>
              </w:rPr>
              <w:t xml:space="preserve"> un mandataire de la Couronne a communiqué 9 686 documents et o</w:t>
            </w:r>
            <w:r w:rsidRPr="000E48A1">
              <w:rPr>
                <w:rFonts w:cs="Times New Roman"/>
                <w:sz w:val="20"/>
                <w:szCs w:val="20"/>
                <w:lang w:val="fr-CA"/>
              </w:rPr>
              <w:t>ù</w:t>
            </w:r>
            <w:r w:rsidRPr="000E48A1">
              <w:rPr>
                <w:sz w:val="20"/>
                <w:szCs w:val="20"/>
                <w:lang w:val="fr-CA"/>
              </w:rPr>
              <w:t xml:space="preserve"> le secret professionnel de l’avocat a été revendiqué à l’égard de 3 606 d’entre eux. Enbridge a demandé par voie de motion une ordonnance de communication de ces derniers documents au motif que le secret professionnel avait été revendiqué à tort à leur endroit. Avant l’audition de la motion, on a  réduit le nombre de documents en litige à environ 800. Les documents en litige ont été classés en quatre catégories : les documents internes émanant d’un employé qui, a-t-on dit, transmettaient, commentaient ou révélaient d’une autre </w:t>
            </w:r>
            <w:r w:rsidRPr="000E48A1">
              <w:rPr>
                <w:sz w:val="20"/>
                <w:szCs w:val="20"/>
                <w:lang w:val="fr-CA"/>
              </w:rPr>
              <w:lastRenderedPageBreak/>
              <w:t>manière le contenu d’un avis juridique; les documents que l’avocat a reçus en copie conforme et qui ont été créés dans le but exprès de demander ou d’obtenir un avis juridique; les communications faites par des intermédiaires et mettant en cause des mandataires de la province du Nouveau-Brunswick en vue de favoriser la relation avocat-client; les documents à l’égard desquels l’exception d’intérêt public a été invoquée.</w:t>
            </w:r>
          </w:p>
          <w:p w:rsidR="00A67A25" w:rsidRPr="000E48A1" w:rsidRDefault="00A67A25" w:rsidP="00B537CB">
            <w:pPr>
              <w:jc w:val="both"/>
              <w:rPr>
                <w:rFonts w:cs="Times New Roman"/>
                <w:sz w:val="20"/>
                <w:szCs w:val="20"/>
                <w:lang w:val="fr-CA"/>
              </w:rPr>
            </w:pPr>
          </w:p>
        </w:tc>
      </w:tr>
      <w:tr w:rsidR="00A67A25" w:rsidRPr="000E48A1" w:rsidTr="00B537CB">
        <w:trPr>
          <w:cantSplit/>
        </w:trPr>
        <w:tc>
          <w:tcPr>
            <w:tcW w:w="9576" w:type="dxa"/>
            <w:gridSpan w:val="3"/>
          </w:tcPr>
          <w:p w:rsidR="002E1AD6" w:rsidRPr="000E48A1" w:rsidRDefault="002E1AD6" w:rsidP="002E1AD6">
            <w:pPr>
              <w:jc w:val="both"/>
              <w:rPr>
                <w:sz w:val="20"/>
                <w:szCs w:val="20"/>
                <w:lang w:val="fr-CA"/>
              </w:rPr>
            </w:pPr>
            <w:r w:rsidRPr="000E48A1">
              <w:rPr>
                <w:sz w:val="20"/>
                <w:szCs w:val="20"/>
                <w:lang w:val="fr-CA"/>
              </w:rPr>
              <w:lastRenderedPageBreak/>
              <w:t>La juge des motions a ordonné la communication de tous les documents et laissé la possibilité de faire examiner sur autorisation certains d’entre eux. La Cour d’appel a accueilli l’appel de la province.</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tcPr>
          <w:p w:rsidR="002E1AD6" w:rsidRPr="000E48A1" w:rsidRDefault="002E1AD6" w:rsidP="002E1AD6">
            <w:pPr>
              <w:rPr>
                <w:sz w:val="20"/>
                <w:szCs w:val="20"/>
                <w:lang w:val="fr-CA"/>
              </w:rPr>
            </w:pPr>
            <w:r w:rsidRPr="000E48A1">
              <w:rPr>
                <w:sz w:val="20"/>
                <w:szCs w:val="20"/>
                <w:lang w:val="fr-CA"/>
              </w:rPr>
              <w:t>29 juin 2015</w:t>
            </w:r>
          </w:p>
          <w:p w:rsidR="002E1AD6" w:rsidRPr="000E48A1" w:rsidRDefault="002E1AD6" w:rsidP="002E1AD6">
            <w:pPr>
              <w:rPr>
                <w:sz w:val="20"/>
                <w:szCs w:val="20"/>
                <w:lang w:val="fr-CA"/>
              </w:rPr>
            </w:pPr>
            <w:r w:rsidRPr="000E48A1">
              <w:rPr>
                <w:sz w:val="20"/>
                <w:szCs w:val="20"/>
                <w:lang w:val="fr-CA"/>
              </w:rPr>
              <w:t>Cour du Banc de la Reine du Nouveau-Brunswick</w:t>
            </w:r>
          </w:p>
          <w:p w:rsidR="002E1AD6" w:rsidRPr="000E48A1" w:rsidRDefault="002E1AD6" w:rsidP="002E1AD6">
            <w:pPr>
              <w:rPr>
                <w:sz w:val="20"/>
                <w:szCs w:val="20"/>
                <w:lang w:val="fr-CA"/>
              </w:rPr>
            </w:pPr>
            <w:r w:rsidRPr="000E48A1">
              <w:rPr>
                <w:sz w:val="20"/>
                <w:szCs w:val="20"/>
                <w:lang w:val="fr-CA"/>
              </w:rPr>
              <w:t>(Juge Clendening)</w:t>
            </w:r>
          </w:p>
          <w:p w:rsidR="002E1AD6" w:rsidRPr="000E48A1" w:rsidRDefault="00CB2D37" w:rsidP="002E1AD6">
            <w:pPr>
              <w:rPr>
                <w:sz w:val="20"/>
                <w:szCs w:val="20"/>
                <w:u w:val="single"/>
              </w:rPr>
            </w:pPr>
            <w:hyperlink r:id="rId30" w:history="1">
              <w:r w:rsidR="002E1AD6" w:rsidRPr="000E48A1">
                <w:rPr>
                  <w:rStyle w:val="Hyperlink"/>
                  <w:sz w:val="20"/>
                  <w:szCs w:val="20"/>
                </w:rPr>
                <w:t>2015 NBQB 136</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2E1AD6" w:rsidP="00B537CB">
            <w:pPr>
              <w:pStyle w:val="SCCShortJudgment"/>
              <w:ind w:firstLine="0"/>
              <w:rPr>
                <w:szCs w:val="20"/>
                <w:lang w:val="fr-CA"/>
              </w:rPr>
            </w:pPr>
            <w:r w:rsidRPr="000E48A1">
              <w:rPr>
                <w:szCs w:val="20"/>
                <w:lang w:val="fr-CA"/>
              </w:rPr>
              <w:t>Ordonnance de production de nombreux documents pour lesquels le secret professionnel de l’avocat a été revendiqué et accordant la possibilité de demander l’autorisation de faire inspecter certains documents qui risquent de porter atteinte à la confidentialité</w:t>
            </w:r>
          </w:p>
          <w:p w:rsidR="002E1AD6" w:rsidRPr="000E48A1" w:rsidRDefault="002E1AD6" w:rsidP="00B537CB">
            <w:pPr>
              <w:pStyle w:val="SCCShortJudgment"/>
              <w:ind w:firstLine="0"/>
              <w:rPr>
                <w:rFonts w:cs="Times New Roman"/>
                <w:szCs w:val="20"/>
                <w:lang w:val="fr-CA"/>
              </w:rPr>
            </w:pPr>
          </w:p>
        </w:tc>
      </w:tr>
      <w:tr w:rsidR="00A67A25" w:rsidRPr="000E48A1" w:rsidTr="00B537CB">
        <w:trPr>
          <w:cantSplit/>
        </w:trPr>
        <w:tc>
          <w:tcPr>
            <w:tcW w:w="4410" w:type="dxa"/>
          </w:tcPr>
          <w:p w:rsidR="002E1AD6" w:rsidRPr="000E48A1" w:rsidRDefault="002E1AD6" w:rsidP="002E1AD6">
            <w:pPr>
              <w:rPr>
                <w:sz w:val="20"/>
                <w:szCs w:val="20"/>
                <w:lang w:val="fr-CA"/>
              </w:rPr>
            </w:pPr>
            <w:r w:rsidRPr="000E48A1">
              <w:rPr>
                <w:sz w:val="20"/>
                <w:szCs w:val="20"/>
                <w:lang w:val="fr-CA"/>
              </w:rPr>
              <w:t>1</w:t>
            </w:r>
            <w:r w:rsidRPr="000E48A1">
              <w:rPr>
                <w:sz w:val="20"/>
                <w:szCs w:val="20"/>
                <w:vertAlign w:val="superscript"/>
                <w:lang w:val="fr-CA"/>
              </w:rPr>
              <w:t>er</w:t>
            </w:r>
            <w:r w:rsidRPr="000E48A1">
              <w:rPr>
                <w:sz w:val="20"/>
                <w:szCs w:val="20"/>
                <w:lang w:val="fr-CA"/>
              </w:rPr>
              <w:t xml:space="preserve"> avril 2016</w:t>
            </w:r>
          </w:p>
          <w:p w:rsidR="002E1AD6" w:rsidRPr="000E48A1" w:rsidRDefault="002E1AD6" w:rsidP="002E1AD6">
            <w:pPr>
              <w:rPr>
                <w:sz w:val="20"/>
                <w:szCs w:val="20"/>
                <w:lang w:val="fr-CA"/>
              </w:rPr>
            </w:pPr>
            <w:r w:rsidRPr="000E48A1">
              <w:rPr>
                <w:sz w:val="20"/>
                <w:szCs w:val="20"/>
                <w:lang w:val="fr-CA"/>
              </w:rPr>
              <w:t>Cour d’appel du Nouveau-Brunswick</w:t>
            </w:r>
          </w:p>
          <w:p w:rsidR="002E1AD6" w:rsidRPr="000E48A1" w:rsidRDefault="002E1AD6" w:rsidP="002E1AD6">
            <w:pPr>
              <w:rPr>
                <w:sz w:val="20"/>
                <w:szCs w:val="20"/>
                <w:lang w:val="fr-CA"/>
              </w:rPr>
            </w:pPr>
            <w:r w:rsidRPr="000E48A1">
              <w:rPr>
                <w:sz w:val="20"/>
                <w:szCs w:val="20"/>
                <w:lang w:val="fr-CA"/>
              </w:rPr>
              <w:t>(Juges Richard, Green et Baird JJ.A.)</w:t>
            </w:r>
          </w:p>
          <w:p w:rsidR="002E1AD6" w:rsidRPr="000E48A1" w:rsidRDefault="00CB2D37" w:rsidP="002E1AD6">
            <w:pPr>
              <w:rPr>
                <w:sz w:val="20"/>
                <w:szCs w:val="20"/>
                <w:u w:val="single"/>
              </w:rPr>
            </w:pPr>
            <w:hyperlink r:id="rId31" w:history="1">
              <w:r w:rsidR="002E1AD6" w:rsidRPr="000E48A1">
                <w:rPr>
                  <w:rStyle w:val="Hyperlink"/>
                  <w:sz w:val="20"/>
                  <w:szCs w:val="20"/>
                </w:rPr>
                <w:t>2016 NBCA 17</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2E1AD6" w:rsidRPr="000E48A1" w:rsidRDefault="002E1AD6" w:rsidP="002E1AD6">
            <w:pPr>
              <w:rPr>
                <w:sz w:val="20"/>
                <w:szCs w:val="20"/>
              </w:rPr>
            </w:pPr>
            <w:r w:rsidRPr="000E48A1">
              <w:rPr>
                <w:sz w:val="20"/>
                <w:szCs w:val="20"/>
              </w:rPr>
              <w:t>Appel accueilli</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tcPr>
          <w:p w:rsidR="002E1AD6" w:rsidRPr="000E48A1" w:rsidRDefault="002E1AD6" w:rsidP="002E1AD6">
            <w:pPr>
              <w:rPr>
                <w:sz w:val="20"/>
                <w:szCs w:val="20"/>
                <w:lang w:val="fr-CA"/>
              </w:rPr>
            </w:pPr>
            <w:r w:rsidRPr="000E48A1">
              <w:rPr>
                <w:sz w:val="20"/>
                <w:szCs w:val="20"/>
                <w:lang w:val="fr-CA"/>
              </w:rPr>
              <w:t>30 mai 2016</w:t>
            </w:r>
          </w:p>
          <w:p w:rsidR="00A67A25" w:rsidRPr="000E48A1" w:rsidRDefault="002E1AD6" w:rsidP="002E1AD6">
            <w:pPr>
              <w:pStyle w:val="SCCShortJudgment"/>
              <w:ind w:firstLine="0"/>
              <w:rPr>
                <w:rFonts w:cs="Times New Roman"/>
                <w:szCs w:val="20"/>
                <w:lang w:val="fr-CA"/>
              </w:rPr>
            </w:pPr>
            <w:r w:rsidRPr="000E48A1">
              <w:rPr>
                <w:szCs w:val="20"/>
                <w:lang w:val="fr-CA"/>
              </w:rPr>
              <w:t>Cour suprême du Canada</w:t>
            </w: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2E1AD6" w:rsidP="00B537CB">
            <w:pPr>
              <w:pStyle w:val="SCCShortJudgment"/>
              <w:ind w:firstLine="0"/>
              <w:rPr>
                <w:rFonts w:cs="Times New Roman"/>
                <w:szCs w:val="20"/>
                <w:lang w:val="fr-CA"/>
              </w:rPr>
            </w:pPr>
            <w:r w:rsidRPr="000E48A1">
              <w:rPr>
                <w:szCs w:val="20"/>
                <w:lang w:val="fr-CA"/>
              </w:rPr>
              <w:t>Dépôt de la demande d’autorisation d’appel</w:t>
            </w:r>
          </w:p>
        </w:tc>
      </w:tr>
    </w:tbl>
    <w:p w:rsidR="00A67A25" w:rsidRDefault="00CB2D37" w:rsidP="000E2959">
      <w:pPr>
        <w:rPr>
          <w:sz w:val="20"/>
          <w:szCs w:val="20"/>
        </w:rPr>
      </w:pPr>
      <w:r>
        <w:rPr>
          <w:sz w:val="20"/>
          <w:szCs w:val="20"/>
          <w:lang w:val="fr-CA"/>
        </w:rPr>
        <w:pict>
          <v:rect id="_x0000_i1054"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B537CB">
        <w:trPr>
          <w:cantSplit/>
        </w:trPr>
        <w:tc>
          <w:tcPr>
            <w:tcW w:w="1458" w:type="dxa"/>
          </w:tcPr>
          <w:p w:rsidR="00A67A25" w:rsidRPr="00E8420A" w:rsidRDefault="00580072" w:rsidP="00B537CB">
            <w:pPr>
              <w:jc w:val="both"/>
              <w:rPr>
                <w:rFonts w:cs="Times New Roman"/>
                <w:sz w:val="20"/>
                <w:szCs w:val="20"/>
              </w:rPr>
            </w:pPr>
            <w:r w:rsidRPr="00E8420A">
              <w:rPr>
                <w:rStyle w:val="SCCFileNumberChar"/>
                <w:sz w:val="20"/>
                <w:szCs w:val="20"/>
              </w:rPr>
              <w:t>37040</w:t>
            </w:r>
          </w:p>
          <w:p w:rsidR="00A67A25" w:rsidRPr="00E8420A" w:rsidRDefault="00A67A25" w:rsidP="00B537CB">
            <w:pPr>
              <w:jc w:val="both"/>
              <w:rPr>
                <w:rFonts w:cs="Times New Roman"/>
                <w:b/>
                <w:sz w:val="20"/>
                <w:szCs w:val="20"/>
              </w:rPr>
            </w:pPr>
          </w:p>
        </w:tc>
        <w:tc>
          <w:tcPr>
            <w:tcW w:w="8118" w:type="dxa"/>
            <w:gridSpan w:val="3"/>
          </w:tcPr>
          <w:p w:rsidR="00A67A25" w:rsidRPr="00E8420A" w:rsidRDefault="00E8420A" w:rsidP="00B537CB">
            <w:pPr>
              <w:jc w:val="both"/>
              <w:rPr>
                <w:rFonts w:cs="Times New Roman"/>
                <w:sz w:val="20"/>
                <w:szCs w:val="20"/>
              </w:rPr>
            </w:pPr>
            <w:r w:rsidRPr="00E8420A">
              <w:rPr>
                <w:rStyle w:val="SCCLsocChar"/>
                <w:rFonts w:cs="Times New Roman"/>
                <w:sz w:val="20"/>
                <w:szCs w:val="20"/>
                <w:lang w:val="en-CA"/>
              </w:rPr>
              <w:t>Haiyan Gong v. Minister of Citizenship and Immigration</w:t>
            </w:r>
            <w:r w:rsidR="00A67A25" w:rsidRPr="00E8420A">
              <w:rPr>
                <w:rStyle w:val="SCCLsocChar"/>
                <w:rFonts w:cs="Times New Roman"/>
                <w:sz w:val="20"/>
                <w:szCs w:val="20"/>
                <w:u w:val="none"/>
                <w:lang w:val="en-CA"/>
              </w:rPr>
              <w:t xml:space="preserve"> </w:t>
            </w:r>
            <w:r w:rsidRPr="00E8420A">
              <w:rPr>
                <w:rFonts w:cs="Times New Roman"/>
                <w:sz w:val="20"/>
                <w:szCs w:val="20"/>
              </w:rPr>
              <w:t>(F.C.</w:t>
            </w:r>
            <w:r w:rsidR="00A67A25" w:rsidRPr="00E8420A">
              <w:rPr>
                <w:rFonts w:cs="Times New Roman"/>
                <w:sz w:val="20"/>
                <w:szCs w:val="20"/>
              </w:rPr>
              <w:t>) (Civil) (By Leave)</w:t>
            </w:r>
          </w:p>
          <w:p w:rsidR="00A67A25" w:rsidRPr="00E8420A" w:rsidRDefault="00A67A25" w:rsidP="00B537CB">
            <w:pPr>
              <w:jc w:val="both"/>
              <w:rPr>
                <w:rFonts w:cs="Times New Roman"/>
                <w:sz w:val="20"/>
                <w:szCs w:val="20"/>
              </w:rPr>
            </w:pPr>
          </w:p>
        </w:tc>
      </w:tr>
      <w:tr w:rsidR="00A67A25" w:rsidRPr="000E48A1" w:rsidTr="00B537CB">
        <w:trPr>
          <w:cantSplit/>
        </w:trPr>
        <w:tc>
          <w:tcPr>
            <w:tcW w:w="1458" w:type="dxa"/>
          </w:tcPr>
          <w:p w:rsidR="00A67A25" w:rsidRPr="00E8420A" w:rsidRDefault="00A67A25" w:rsidP="00B537CB">
            <w:pPr>
              <w:jc w:val="both"/>
              <w:rPr>
                <w:rFonts w:cs="Times New Roman"/>
                <w:sz w:val="20"/>
                <w:szCs w:val="20"/>
              </w:rPr>
            </w:pPr>
            <w:r w:rsidRPr="00E8420A">
              <w:rPr>
                <w:rFonts w:cs="Times New Roman"/>
                <w:sz w:val="20"/>
                <w:szCs w:val="20"/>
              </w:rPr>
              <w:t>Coram :</w:t>
            </w:r>
          </w:p>
        </w:tc>
        <w:tc>
          <w:tcPr>
            <w:tcW w:w="8118" w:type="dxa"/>
            <w:gridSpan w:val="3"/>
          </w:tcPr>
          <w:p w:rsidR="00A67A25" w:rsidRPr="00E8420A" w:rsidRDefault="00A67A25" w:rsidP="00B537CB">
            <w:pPr>
              <w:jc w:val="both"/>
              <w:rPr>
                <w:rStyle w:val="SCCCoramChar"/>
                <w:sz w:val="20"/>
                <w:szCs w:val="20"/>
                <w:lang w:val="en-CA"/>
              </w:rPr>
            </w:pPr>
            <w:r w:rsidRPr="00E8420A">
              <w:rPr>
                <w:rStyle w:val="SCCCoramChar"/>
                <w:sz w:val="20"/>
                <w:szCs w:val="20"/>
                <w:lang w:val="en-CA"/>
              </w:rPr>
              <w:t>McLachlin C.J. and Moldaver and Gascon JJ.</w:t>
            </w:r>
          </w:p>
          <w:p w:rsidR="00A67A25" w:rsidRPr="00E8420A" w:rsidRDefault="00A67A25" w:rsidP="00B537CB">
            <w:pPr>
              <w:jc w:val="both"/>
              <w:rPr>
                <w:rFonts w:cs="Times New Roman"/>
                <w:sz w:val="20"/>
                <w:szCs w:val="20"/>
              </w:rPr>
            </w:pPr>
          </w:p>
        </w:tc>
      </w:tr>
      <w:tr w:rsidR="00A67A25" w:rsidRPr="0086620F" w:rsidTr="00B537CB">
        <w:trPr>
          <w:cantSplit/>
        </w:trPr>
        <w:tc>
          <w:tcPr>
            <w:tcW w:w="9576" w:type="dxa"/>
            <w:gridSpan w:val="4"/>
          </w:tcPr>
          <w:p w:rsidR="00A67A25" w:rsidRPr="00E8420A" w:rsidRDefault="00A67A25" w:rsidP="00B537CB">
            <w:pPr>
              <w:pStyle w:val="SCCShortJudgment"/>
              <w:ind w:firstLine="0"/>
              <w:rPr>
                <w:rFonts w:cs="Times New Roman"/>
                <w:szCs w:val="20"/>
              </w:rPr>
            </w:pPr>
            <w:r w:rsidRPr="00E8420A">
              <w:rPr>
                <w:rFonts w:cs="Times New Roman"/>
                <w:szCs w:val="20"/>
              </w:rPr>
              <w:tab/>
            </w:r>
            <w:r w:rsidR="00E8420A" w:rsidRPr="00E8420A">
              <w:rPr>
                <w:szCs w:val="20"/>
              </w:rPr>
              <w:t>The application for leave to appeal from the direction of the Federal Court of Appeal, dated April 7, 2016, is dismissed for want of jurisdiction, with costs.</w:t>
            </w:r>
          </w:p>
          <w:p w:rsidR="00A67A25" w:rsidRPr="00E8420A" w:rsidRDefault="00A67A25" w:rsidP="00B537CB">
            <w:pPr>
              <w:pStyle w:val="SCCShortJudgment"/>
              <w:ind w:firstLine="0"/>
              <w:rPr>
                <w:rFonts w:cs="Times New Roman"/>
                <w:szCs w:val="20"/>
              </w:rPr>
            </w:pPr>
          </w:p>
          <w:p w:rsidR="00A67A25" w:rsidRPr="00E8420A" w:rsidRDefault="00A67A25" w:rsidP="00B537CB">
            <w:pPr>
              <w:pStyle w:val="SCCShortJudgment"/>
              <w:ind w:firstLine="0"/>
              <w:rPr>
                <w:rFonts w:cs="Times New Roman"/>
                <w:szCs w:val="20"/>
                <w:lang w:val="fr-CA"/>
              </w:rPr>
            </w:pPr>
            <w:r w:rsidRPr="00E8420A">
              <w:rPr>
                <w:rFonts w:cs="Times New Roman"/>
                <w:szCs w:val="20"/>
              </w:rPr>
              <w:tab/>
            </w:r>
            <w:r w:rsidR="00E8420A" w:rsidRPr="00E8420A">
              <w:rPr>
                <w:szCs w:val="20"/>
                <w:lang w:val="fr-CA"/>
              </w:rPr>
              <w:t xml:space="preserve">La demande d’autorisation d’appel de la directive de la </w:t>
            </w:r>
            <w:r w:rsidR="00E8420A" w:rsidRPr="00E8420A">
              <w:rPr>
                <w:szCs w:val="20"/>
                <w:lang w:val="fr-FR"/>
              </w:rPr>
              <w:t>Cour d’appel fédérale</w:t>
            </w:r>
            <w:r w:rsidR="00E8420A" w:rsidRPr="00E8420A">
              <w:rPr>
                <w:szCs w:val="20"/>
                <w:lang w:val="fr-CA"/>
              </w:rPr>
              <w:t xml:space="preserve">, daté du </w:t>
            </w:r>
            <w:r w:rsidR="00E8420A" w:rsidRPr="00E8420A">
              <w:rPr>
                <w:szCs w:val="20"/>
                <w:lang w:val="fr-FR"/>
              </w:rPr>
              <w:t>7 avril 2016</w:t>
            </w:r>
            <w:r w:rsidR="00E8420A" w:rsidRPr="00E8420A">
              <w:rPr>
                <w:szCs w:val="20"/>
                <w:lang w:val="fr-CA"/>
              </w:rPr>
              <w:t>, est rejet</w:t>
            </w:r>
            <w:r w:rsidR="00E8420A" w:rsidRPr="00E8420A">
              <w:rPr>
                <w:rFonts w:cs="Times New Roman"/>
                <w:szCs w:val="20"/>
                <w:lang w:val="fr-CA"/>
              </w:rPr>
              <w:t>é</w:t>
            </w:r>
            <w:r w:rsidR="00E8420A" w:rsidRPr="00E8420A">
              <w:rPr>
                <w:szCs w:val="20"/>
                <w:lang w:val="fr-CA"/>
              </w:rPr>
              <w:t>e pour défaut de comp</w:t>
            </w:r>
            <w:r w:rsidR="00E8420A" w:rsidRPr="00E8420A">
              <w:rPr>
                <w:rFonts w:cs="Times New Roman"/>
                <w:szCs w:val="20"/>
                <w:lang w:val="fr-CA"/>
              </w:rPr>
              <w:t>é</w:t>
            </w:r>
            <w:r w:rsidR="00E8420A" w:rsidRPr="00E8420A">
              <w:rPr>
                <w:szCs w:val="20"/>
                <w:lang w:val="fr-CA"/>
              </w:rPr>
              <w:t>tence, avec d</w:t>
            </w:r>
            <w:r w:rsidR="00E8420A" w:rsidRPr="00E8420A">
              <w:rPr>
                <w:rFonts w:cs="Times New Roman"/>
                <w:szCs w:val="20"/>
                <w:lang w:val="fr-CA"/>
              </w:rPr>
              <w:t>é</w:t>
            </w:r>
            <w:r w:rsidR="00E8420A" w:rsidRPr="00E8420A">
              <w:rPr>
                <w:szCs w:val="20"/>
                <w:lang w:val="fr-CA"/>
              </w:rPr>
              <w:t>pens.</w:t>
            </w:r>
          </w:p>
          <w:p w:rsidR="00A67A25" w:rsidRPr="00E8420A"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2E1AD6" w:rsidP="00B537CB">
            <w:pPr>
              <w:pStyle w:val="SCCShortJudgment"/>
              <w:ind w:firstLine="0"/>
              <w:rPr>
                <w:szCs w:val="20"/>
              </w:rPr>
            </w:pPr>
            <w:r w:rsidRPr="000E48A1">
              <w:rPr>
                <w:i/>
                <w:color w:val="1F1F1F"/>
                <w:szCs w:val="20"/>
                <w:lang w:val="en-US"/>
              </w:rPr>
              <w:t>Charter of Rights and Freedoms</w:t>
            </w:r>
            <w:r w:rsidRPr="000E48A1">
              <w:rPr>
                <w:color w:val="1F1F1F"/>
                <w:szCs w:val="20"/>
                <w:lang w:val="en-US"/>
              </w:rPr>
              <w:t xml:space="preserve"> – Constitutional law – Immigration – Foreign skilled workers – Admissibility – Procedural law – Directions – Certification of questions – Whether a single judge of a Court of Appeal has jurisdiction to direct the court’s registry to refuse to issue, </w:t>
            </w:r>
            <w:r w:rsidRPr="000E48A1">
              <w:rPr>
                <w:bCs/>
                <w:i/>
                <w:iCs/>
                <w:color w:val="1F1F1F"/>
                <w:szCs w:val="20"/>
                <w:lang w:val="en-US"/>
              </w:rPr>
              <w:t>in limine,</w:t>
            </w:r>
            <w:r w:rsidRPr="000E48A1">
              <w:rPr>
                <w:b/>
                <w:bCs/>
                <w:i/>
                <w:iCs/>
                <w:color w:val="1F1F1F"/>
                <w:szCs w:val="20"/>
                <w:lang w:val="en-US"/>
              </w:rPr>
              <w:t xml:space="preserve"> </w:t>
            </w:r>
            <w:r w:rsidRPr="000E48A1">
              <w:rPr>
                <w:color w:val="1F1F1F"/>
                <w:szCs w:val="20"/>
                <w:lang w:val="en-US"/>
              </w:rPr>
              <w:t xml:space="preserve">a Notice of Appeal, without a motion to quash that appeal – Whether s. 74(d) of the </w:t>
            </w:r>
            <w:r w:rsidRPr="000E48A1">
              <w:rPr>
                <w:i/>
                <w:szCs w:val="20"/>
              </w:rPr>
              <w:t>Immigration and Refugee Protection Act</w:t>
            </w:r>
            <w:r w:rsidRPr="000E48A1">
              <w:rPr>
                <w:szCs w:val="20"/>
              </w:rPr>
              <w:t>, S.C. 2001, c. 27,</w:t>
            </w:r>
            <w:r w:rsidRPr="000E48A1">
              <w:rPr>
                <w:color w:val="1F1F1F"/>
                <w:szCs w:val="20"/>
                <w:lang w:val="en-US"/>
              </w:rPr>
              <w:t xml:space="preserve"> is </w:t>
            </w:r>
            <w:r w:rsidRPr="000E48A1">
              <w:rPr>
                <w:bCs/>
                <w:iCs/>
                <w:color w:val="1F1F1F"/>
                <w:szCs w:val="20"/>
                <w:lang w:val="en-US"/>
              </w:rPr>
              <w:t>u</w:t>
            </w:r>
            <w:r w:rsidRPr="000E48A1">
              <w:rPr>
                <w:color w:val="1F1F1F"/>
                <w:szCs w:val="20"/>
                <w:lang w:val="en-US"/>
              </w:rPr>
              <w:t xml:space="preserve">nconstitutional and of no force and effect, </w:t>
            </w:r>
            <w:r w:rsidRPr="000E48A1">
              <w:rPr>
                <w:bCs/>
                <w:color w:val="1F1F1F"/>
                <w:szCs w:val="20"/>
                <w:lang w:val="en-US"/>
              </w:rPr>
              <w:t xml:space="preserve">in its entirety, </w:t>
            </w:r>
            <w:r w:rsidRPr="000E48A1">
              <w:rPr>
                <w:color w:val="1F1F1F"/>
                <w:szCs w:val="20"/>
                <w:lang w:val="en-US"/>
              </w:rPr>
              <w:t xml:space="preserve">for breaching the applicant's rights to a fair and independent judiciary, where certification is exclusively required from the very judge of the Federal Court dismissing the application for judicial review – Whether s. 74(d) is </w:t>
            </w:r>
            <w:r w:rsidRPr="000E48A1">
              <w:rPr>
                <w:bCs/>
                <w:iCs/>
                <w:color w:val="1F1F1F"/>
                <w:szCs w:val="20"/>
                <w:lang w:val="en-US"/>
              </w:rPr>
              <w:t>u</w:t>
            </w:r>
            <w:r w:rsidRPr="000E48A1">
              <w:rPr>
                <w:color w:val="1F1F1F"/>
                <w:szCs w:val="20"/>
                <w:lang w:val="en-US"/>
              </w:rPr>
              <w:t xml:space="preserve">nconstitutional and of no force and effect, in the event that certification is required for constitutional issues, as to the constitutionality of a legislative provision of the </w:t>
            </w:r>
            <w:r w:rsidRPr="000E48A1">
              <w:rPr>
                <w:szCs w:val="20"/>
              </w:rPr>
              <w:t>Act?</w:t>
            </w:r>
          </w:p>
          <w:p w:rsidR="002E1AD6" w:rsidRPr="000E48A1" w:rsidRDefault="002E1AD6" w:rsidP="00B537CB">
            <w:pPr>
              <w:pStyle w:val="SCCShortJudgment"/>
              <w:ind w:firstLine="0"/>
              <w:rPr>
                <w:rFonts w:cs="Times New Roman"/>
                <w:szCs w:val="20"/>
              </w:rPr>
            </w:pPr>
          </w:p>
        </w:tc>
      </w:tr>
      <w:tr w:rsidR="00A67A25" w:rsidRPr="000E48A1" w:rsidTr="000E48A1">
        <w:tc>
          <w:tcPr>
            <w:tcW w:w="9576" w:type="dxa"/>
            <w:gridSpan w:val="4"/>
          </w:tcPr>
          <w:p w:rsidR="002E1AD6" w:rsidRPr="000E48A1" w:rsidRDefault="002E1AD6" w:rsidP="002E1AD6">
            <w:pPr>
              <w:jc w:val="both"/>
              <w:rPr>
                <w:sz w:val="20"/>
                <w:szCs w:val="20"/>
              </w:rPr>
            </w:pPr>
            <w:r w:rsidRPr="000E48A1">
              <w:rPr>
                <w:sz w:val="20"/>
                <w:szCs w:val="20"/>
              </w:rPr>
              <w:t xml:space="preserve">In 2006, Ms. Gong applied for permanent residency as a Foreign Skilled Worker. By 2008, there was an enormous backlog of applications. In response, amendments were introduced to the </w:t>
            </w:r>
            <w:r w:rsidRPr="000E48A1">
              <w:rPr>
                <w:i/>
                <w:sz w:val="20"/>
                <w:szCs w:val="20"/>
              </w:rPr>
              <w:t>Immigration and Refugee Protection Act</w:t>
            </w:r>
            <w:r w:rsidRPr="000E48A1">
              <w:rPr>
                <w:sz w:val="20"/>
                <w:szCs w:val="20"/>
              </w:rPr>
              <w:t xml:space="preserve">, S.C. 2001, c. 27, and Ministerial Instructions governing eligibility and processing have been issued. A large group of Foreign Skilled Worker applicants affected by the changes applied for judicial review. They were brought under case management and agreed to a Protocol. Judgments in representative proceedings have been released. Ms. Gong is the lead litigant for a subgroup of applicants. In addition to seeking an order in </w:t>
            </w:r>
            <w:r w:rsidRPr="000E48A1">
              <w:rPr>
                <w:i/>
                <w:sz w:val="20"/>
                <w:szCs w:val="20"/>
              </w:rPr>
              <w:t>mandamus</w:t>
            </w:r>
            <w:r w:rsidRPr="000E48A1">
              <w:rPr>
                <w:sz w:val="20"/>
                <w:szCs w:val="20"/>
              </w:rPr>
              <w:t xml:space="preserve"> to compel processing of her visa application, she also submitted questions to the Federal Court for certification for appeal. Section 74(d) of the </w:t>
            </w:r>
            <w:r w:rsidRPr="000E48A1">
              <w:rPr>
                <w:i/>
                <w:sz w:val="20"/>
                <w:szCs w:val="20"/>
              </w:rPr>
              <w:t>Immigration and Refugee Protection Act</w:t>
            </w:r>
            <w:r w:rsidRPr="000E48A1">
              <w:rPr>
                <w:sz w:val="20"/>
                <w:szCs w:val="20"/>
              </w:rPr>
              <w:t xml:space="preserve"> states that </w:t>
            </w:r>
            <w:r w:rsidRPr="000E48A1">
              <w:rPr>
                <w:sz w:val="20"/>
                <w:szCs w:val="20"/>
                <w:lang w:val="en-US"/>
              </w:rPr>
              <w:t>an appeal</w:t>
            </w:r>
            <w:r w:rsidRPr="000E48A1">
              <w:rPr>
                <w:sz w:val="20"/>
                <w:szCs w:val="20"/>
              </w:rPr>
              <w:t xml:space="preserve"> from</w:t>
            </w:r>
            <w:r w:rsidRPr="000E48A1">
              <w:rPr>
                <w:sz w:val="20"/>
                <w:szCs w:val="20"/>
                <w:lang w:val="en-US"/>
              </w:rPr>
              <w:t xml:space="preserve"> </w:t>
            </w:r>
            <w:r w:rsidRPr="000E48A1">
              <w:rPr>
                <w:sz w:val="20"/>
                <w:szCs w:val="20"/>
              </w:rPr>
              <w:t xml:space="preserve">a judicial review in a matter covered by the Act </w:t>
            </w:r>
            <w:r w:rsidRPr="000E48A1">
              <w:rPr>
                <w:sz w:val="20"/>
                <w:szCs w:val="20"/>
                <w:lang w:val="en-US"/>
              </w:rPr>
              <w:t xml:space="preserve">may </w:t>
            </w:r>
            <w:r w:rsidRPr="000E48A1">
              <w:rPr>
                <w:sz w:val="20"/>
                <w:szCs w:val="20"/>
                <w:lang w:val="en-US"/>
              </w:rPr>
              <w:lastRenderedPageBreak/>
              <w:t>be made only if</w:t>
            </w:r>
            <w:r w:rsidRPr="000E48A1">
              <w:rPr>
                <w:sz w:val="20"/>
                <w:szCs w:val="20"/>
              </w:rPr>
              <w:t xml:space="preserve"> </w:t>
            </w:r>
            <w:r w:rsidRPr="000E48A1">
              <w:rPr>
                <w:sz w:val="20"/>
                <w:szCs w:val="20"/>
                <w:lang w:val="en-US"/>
              </w:rPr>
              <w:t xml:space="preserve">the </w:t>
            </w:r>
            <w:r w:rsidRPr="000E48A1">
              <w:rPr>
                <w:sz w:val="20"/>
                <w:szCs w:val="20"/>
              </w:rPr>
              <w:t xml:space="preserve">reviewing </w:t>
            </w:r>
            <w:r w:rsidRPr="000E48A1">
              <w:rPr>
                <w:sz w:val="20"/>
                <w:szCs w:val="20"/>
                <w:lang w:val="en-US"/>
              </w:rPr>
              <w:t xml:space="preserve">judge certifies that a serious question of general importance is involved and states the question. </w:t>
            </w:r>
            <w:r w:rsidRPr="000E48A1">
              <w:rPr>
                <w:sz w:val="20"/>
                <w:szCs w:val="20"/>
              </w:rPr>
              <w:t xml:space="preserve">Russell J. dismissed the application for </w:t>
            </w:r>
            <w:r w:rsidRPr="000E48A1">
              <w:rPr>
                <w:i/>
                <w:sz w:val="20"/>
                <w:szCs w:val="20"/>
              </w:rPr>
              <w:t>mandamus</w:t>
            </w:r>
            <w:r w:rsidRPr="000E48A1">
              <w:rPr>
                <w:sz w:val="20"/>
                <w:szCs w:val="20"/>
              </w:rPr>
              <w:t xml:space="preserve"> and refused to certify questions. Ms. Gong sought to file a Notice of Appeal in the Federal Court of Appeal. Near J.A. issued a Direction that “The Registry shall not accept for filing the Notice of Appeal filed by M[s]. Gong, given that no question of general importance has been certified in this immigration matter”. The Registry did not accept Ms. Gong’s Notice of Appeal.</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gridSpan w:val="2"/>
          </w:tcPr>
          <w:p w:rsidR="002E1AD6" w:rsidRPr="000E48A1" w:rsidRDefault="002E1AD6" w:rsidP="002E1AD6">
            <w:pPr>
              <w:rPr>
                <w:sz w:val="20"/>
                <w:szCs w:val="20"/>
              </w:rPr>
            </w:pPr>
            <w:r w:rsidRPr="000E48A1">
              <w:rPr>
                <w:sz w:val="20"/>
                <w:szCs w:val="20"/>
              </w:rPr>
              <w:lastRenderedPageBreak/>
              <w:t>February 29, 2016</w:t>
            </w:r>
          </w:p>
          <w:p w:rsidR="002E1AD6" w:rsidRPr="000E48A1" w:rsidRDefault="002E1AD6" w:rsidP="002E1AD6">
            <w:pPr>
              <w:rPr>
                <w:sz w:val="20"/>
                <w:szCs w:val="20"/>
              </w:rPr>
            </w:pPr>
            <w:r w:rsidRPr="000E48A1">
              <w:rPr>
                <w:sz w:val="20"/>
                <w:szCs w:val="20"/>
              </w:rPr>
              <w:t>Federal Court</w:t>
            </w:r>
          </w:p>
          <w:p w:rsidR="002E1AD6" w:rsidRPr="000E48A1" w:rsidRDefault="002E1AD6" w:rsidP="002E1AD6">
            <w:pPr>
              <w:rPr>
                <w:sz w:val="20"/>
                <w:szCs w:val="20"/>
              </w:rPr>
            </w:pPr>
            <w:r w:rsidRPr="000E48A1">
              <w:rPr>
                <w:sz w:val="20"/>
                <w:szCs w:val="20"/>
              </w:rPr>
              <w:t>(Russell J.)</w:t>
            </w:r>
          </w:p>
          <w:p w:rsidR="00A67A25" w:rsidRPr="000E48A1" w:rsidRDefault="00CB2D37" w:rsidP="002E1AD6">
            <w:pPr>
              <w:jc w:val="both"/>
              <w:rPr>
                <w:rStyle w:val="Hyperlink"/>
                <w:sz w:val="20"/>
                <w:szCs w:val="20"/>
              </w:rPr>
            </w:pPr>
            <w:hyperlink r:id="rId32" w:history="1">
              <w:r w:rsidR="002E1AD6" w:rsidRPr="000E48A1">
                <w:rPr>
                  <w:rStyle w:val="Hyperlink"/>
                  <w:sz w:val="20"/>
                  <w:szCs w:val="20"/>
                </w:rPr>
                <w:t>2016 FC 257</w:t>
              </w:r>
            </w:hyperlink>
          </w:p>
          <w:p w:rsidR="002E1AD6" w:rsidRPr="000E48A1" w:rsidRDefault="002E1AD6" w:rsidP="002E1AD6">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2E1AD6" w:rsidRPr="000E48A1" w:rsidRDefault="002E1AD6" w:rsidP="002E1AD6">
            <w:pPr>
              <w:rPr>
                <w:sz w:val="20"/>
                <w:szCs w:val="20"/>
              </w:rPr>
            </w:pPr>
            <w:r w:rsidRPr="000E48A1">
              <w:rPr>
                <w:sz w:val="20"/>
                <w:szCs w:val="20"/>
              </w:rPr>
              <w:t>Application dismissed; Refusal to certify questions</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2E1AD6" w:rsidRPr="000E48A1" w:rsidRDefault="002E1AD6" w:rsidP="002E1AD6">
            <w:pPr>
              <w:rPr>
                <w:sz w:val="20"/>
                <w:szCs w:val="20"/>
              </w:rPr>
            </w:pPr>
            <w:r w:rsidRPr="000E48A1">
              <w:rPr>
                <w:sz w:val="20"/>
                <w:szCs w:val="20"/>
              </w:rPr>
              <w:t>April 7, 2016</w:t>
            </w:r>
          </w:p>
          <w:p w:rsidR="002E1AD6" w:rsidRPr="000E48A1" w:rsidRDefault="002E1AD6" w:rsidP="002E1AD6">
            <w:pPr>
              <w:rPr>
                <w:sz w:val="20"/>
                <w:szCs w:val="20"/>
              </w:rPr>
            </w:pPr>
            <w:r w:rsidRPr="000E48A1">
              <w:rPr>
                <w:sz w:val="20"/>
                <w:szCs w:val="20"/>
              </w:rPr>
              <w:t>Federal Court of Appeal</w:t>
            </w:r>
          </w:p>
          <w:p w:rsidR="002E1AD6" w:rsidRPr="000E48A1" w:rsidRDefault="002E1AD6" w:rsidP="002E1AD6">
            <w:pPr>
              <w:rPr>
                <w:sz w:val="20"/>
                <w:szCs w:val="20"/>
              </w:rPr>
            </w:pPr>
            <w:r w:rsidRPr="000E48A1">
              <w:rPr>
                <w:sz w:val="20"/>
                <w:szCs w:val="20"/>
              </w:rPr>
              <w:t>(Near J.A.)</w:t>
            </w:r>
          </w:p>
          <w:p w:rsidR="00A67A25" w:rsidRPr="000E48A1" w:rsidRDefault="002E1AD6" w:rsidP="002E1AD6">
            <w:pPr>
              <w:jc w:val="both"/>
              <w:rPr>
                <w:sz w:val="20"/>
                <w:szCs w:val="20"/>
              </w:rPr>
            </w:pPr>
            <w:r w:rsidRPr="000E48A1">
              <w:rPr>
                <w:sz w:val="20"/>
                <w:szCs w:val="20"/>
              </w:rPr>
              <w:t>(Unreported)</w:t>
            </w:r>
          </w:p>
          <w:p w:rsidR="002E1AD6" w:rsidRPr="000E48A1" w:rsidRDefault="002E1AD6" w:rsidP="002E1AD6">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2E1AD6" w:rsidRPr="000E48A1" w:rsidRDefault="002E1AD6" w:rsidP="002E1AD6">
            <w:pPr>
              <w:rPr>
                <w:sz w:val="20"/>
                <w:szCs w:val="20"/>
              </w:rPr>
            </w:pPr>
            <w:r w:rsidRPr="000E48A1">
              <w:rPr>
                <w:sz w:val="20"/>
                <w:szCs w:val="20"/>
              </w:rPr>
              <w:t>Direction to Registry not to accept Notice of Appeal for filing</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2E1AD6" w:rsidRPr="000E48A1" w:rsidRDefault="002E1AD6" w:rsidP="002E1AD6">
            <w:pPr>
              <w:rPr>
                <w:sz w:val="20"/>
                <w:szCs w:val="20"/>
              </w:rPr>
            </w:pPr>
            <w:r w:rsidRPr="000E48A1">
              <w:rPr>
                <w:sz w:val="20"/>
                <w:szCs w:val="20"/>
              </w:rPr>
              <w:t>June 2, 2016</w:t>
            </w:r>
          </w:p>
          <w:p w:rsidR="002E1AD6" w:rsidRPr="000E48A1" w:rsidRDefault="002E1AD6" w:rsidP="002E1AD6">
            <w:pPr>
              <w:rPr>
                <w:sz w:val="20"/>
                <w:szCs w:val="20"/>
              </w:rPr>
            </w:pPr>
            <w:r w:rsidRPr="000E48A1">
              <w:rPr>
                <w:sz w:val="20"/>
                <w:szCs w:val="20"/>
              </w:rPr>
              <w:t>Supreme Court of Canada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2E1AD6" w:rsidRPr="000E48A1" w:rsidRDefault="002E1AD6" w:rsidP="002E1AD6">
            <w:pPr>
              <w:rPr>
                <w:sz w:val="20"/>
                <w:szCs w:val="20"/>
              </w:rPr>
            </w:pPr>
            <w:r w:rsidRPr="000E48A1">
              <w:rPr>
                <w:sz w:val="20"/>
                <w:szCs w:val="20"/>
              </w:rPr>
              <w:t>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55"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4"/>
          </w:tcPr>
          <w:p w:rsidR="00A67A25" w:rsidRPr="000E48A1" w:rsidRDefault="002E1AD6" w:rsidP="00B537CB">
            <w:pPr>
              <w:pStyle w:val="SCCShortJudgment"/>
              <w:ind w:firstLine="0"/>
              <w:rPr>
                <w:szCs w:val="20"/>
                <w:lang w:val="fr-CA"/>
              </w:rPr>
            </w:pPr>
            <w:r w:rsidRPr="000E48A1">
              <w:rPr>
                <w:i/>
                <w:color w:val="1F1F1F"/>
                <w:szCs w:val="20"/>
                <w:lang w:val="fr-CA"/>
              </w:rPr>
              <w:t>Charte des droits et libertés</w:t>
            </w:r>
            <w:r w:rsidRPr="000E48A1">
              <w:rPr>
                <w:color w:val="1F1F1F"/>
                <w:szCs w:val="20"/>
                <w:lang w:val="fr-CA"/>
              </w:rPr>
              <w:t xml:space="preserve"> – Droit constitutionnel – Immigration – Travailleurs spécialisés étrangers – Admissibilité – Droit procédural – Directives – Certification de questions – Un juge de la Cour d’appel est-il compétent pour donner au greffe de la cour la directive de refuser d’emblée de délivrer un avis d’appel en l’absence de requête en cassation de cet appel? – L’alinéa 74</w:t>
            </w:r>
            <w:r w:rsidRPr="000E48A1">
              <w:rPr>
                <w:i/>
                <w:color w:val="1F1F1F"/>
                <w:szCs w:val="20"/>
                <w:lang w:val="fr-CA"/>
              </w:rPr>
              <w:t>d</w:t>
            </w:r>
            <w:r w:rsidRPr="000E48A1">
              <w:rPr>
                <w:color w:val="1F1F1F"/>
                <w:szCs w:val="20"/>
                <w:lang w:val="fr-CA"/>
              </w:rPr>
              <w:t xml:space="preserve">) de la </w:t>
            </w:r>
            <w:r w:rsidRPr="000E48A1">
              <w:rPr>
                <w:i/>
                <w:color w:val="1F1F1F"/>
                <w:szCs w:val="20"/>
                <w:lang w:val="fr-CA"/>
              </w:rPr>
              <w:t>Loi sur l’immigration et la protection des réfugiés</w:t>
            </w:r>
            <w:r w:rsidRPr="000E48A1">
              <w:rPr>
                <w:szCs w:val="20"/>
                <w:lang w:val="fr-CA"/>
              </w:rPr>
              <w:t>, L.C. 2001, c. 27,</w:t>
            </w:r>
            <w:r w:rsidRPr="000E48A1">
              <w:rPr>
                <w:color w:val="1F1F1F"/>
                <w:szCs w:val="20"/>
                <w:lang w:val="fr-CA"/>
              </w:rPr>
              <w:t xml:space="preserve"> est-il inconstitutionnel et inopérant dans son intégralité parce qu’il porte atteinte au droit de la demanderesse à une magistrature équitable et indépendante du fait que le juge même de la Cour fédérale qui a rejeté la demande de contrôle judiciaire doit certifier des questions? – L’alinéa 74d) est-il inconstitutionnel et inopérant dans l’éventualité o</w:t>
            </w:r>
            <w:r w:rsidRPr="000E48A1">
              <w:rPr>
                <w:rFonts w:cs="Times New Roman"/>
                <w:color w:val="1F1F1F"/>
                <w:szCs w:val="20"/>
                <w:lang w:val="fr-CA"/>
              </w:rPr>
              <w:t>ù</w:t>
            </w:r>
            <w:r w:rsidRPr="000E48A1">
              <w:rPr>
                <w:color w:val="1F1F1F"/>
                <w:szCs w:val="20"/>
                <w:lang w:val="fr-CA"/>
              </w:rPr>
              <w:t xml:space="preserve"> la certification des questions constitutionnelles s’impose pour ce qui est de la constitutionnalité d’une disposition de la Loi</w:t>
            </w:r>
            <w:r w:rsidRPr="000E48A1">
              <w:rPr>
                <w:szCs w:val="20"/>
                <w:lang w:val="fr-CA"/>
              </w:rPr>
              <w:t>?</w:t>
            </w:r>
          </w:p>
          <w:p w:rsidR="002E1AD6" w:rsidRPr="000E48A1" w:rsidRDefault="002E1AD6" w:rsidP="00B537CB">
            <w:pPr>
              <w:pStyle w:val="SCCShortJudgment"/>
              <w:ind w:firstLine="0"/>
              <w:rPr>
                <w:rFonts w:cs="Times New Roman"/>
                <w:szCs w:val="20"/>
                <w:lang w:val="fr-CA"/>
              </w:rPr>
            </w:pPr>
          </w:p>
        </w:tc>
      </w:tr>
      <w:tr w:rsidR="00A67A25" w:rsidRPr="0086620F" w:rsidTr="000E48A1">
        <w:tc>
          <w:tcPr>
            <w:tcW w:w="9576" w:type="dxa"/>
            <w:gridSpan w:val="4"/>
          </w:tcPr>
          <w:p w:rsidR="002E1AD6" w:rsidRPr="000E48A1" w:rsidRDefault="002E1AD6" w:rsidP="002E1AD6">
            <w:pPr>
              <w:jc w:val="both"/>
              <w:rPr>
                <w:sz w:val="20"/>
                <w:szCs w:val="20"/>
                <w:lang w:val="fr-CA"/>
              </w:rPr>
            </w:pPr>
            <w:r w:rsidRPr="000E48A1">
              <w:rPr>
                <w:sz w:val="20"/>
                <w:szCs w:val="20"/>
                <w:lang w:val="fr-CA"/>
              </w:rPr>
              <w:t>En 2006, M</w:t>
            </w:r>
            <w:r w:rsidRPr="000E48A1">
              <w:rPr>
                <w:sz w:val="20"/>
                <w:szCs w:val="20"/>
                <w:vertAlign w:val="superscript"/>
                <w:lang w:val="fr-CA"/>
              </w:rPr>
              <w:t>me</w:t>
            </w:r>
            <w:r w:rsidRPr="000E48A1">
              <w:rPr>
                <w:sz w:val="20"/>
                <w:szCs w:val="20"/>
                <w:lang w:val="fr-CA"/>
              </w:rPr>
              <w:t xml:space="preserve"> Gong a présenté une demande de résidence permanente comme travailleuse spécialisée étrangère. En 2008, l’arriéré des demandes était considérable. Pour corriger la situation, on a apporté des modifications à la </w:t>
            </w:r>
            <w:r w:rsidRPr="000E48A1">
              <w:rPr>
                <w:i/>
                <w:color w:val="1F1F1F"/>
                <w:sz w:val="20"/>
                <w:szCs w:val="20"/>
                <w:lang w:val="fr-CA"/>
              </w:rPr>
              <w:t>Loi sur l’immigration et la protection des réfugiés</w:t>
            </w:r>
            <w:r w:rsidRPr="000E48A1">
              <w:rPr>
                <w:sz w:val="20"/>
                <w:szCs w:val="20"/>
                <w:lang w:val="fr-CA"/>
              </w:rPr>
              <w:t xml:space="preserve">, L.C. 2001, c. 27, et donné des instructions ministérielles sur l’admissibilité et le traitement. Un important groupe de travailleurs spécialisés étrangers demandeurs qui sont touchés par les changements se sont pourvus en contrôle judiciaire. Leur dossier a fait l’objet d’une gestion d’instance et ils ont adhéré à un protocole. Des jugements ont été rendus dans des instances introduites par des représentants. Madame Gong est la plaideuse principale d’un sous-groupe de demandeurs. Elle a non seulement demandé une ordonnance de </w:t>
            </w:r>
            <w:r w:rsidRPr="000E48A1">
              <w:rPr>
                <w:i/>
                <w:sz w:val="20"/>
                <w:szCs w:val="20"/>
                <w:lang w:val="fr-CA"/>
              </w:rPr>
              <w:t>mandamus</w:t>
            </w:r>
            <w:r w:rsidRPr="000E48A1">
              <w:rPr>
                <w:sz w:val="20"/>
                <w:szCs w:val="20"/>
                <w:lang w:val="fr-CA"/>
              </w:rPr>
              <w:t xml:space="preserve"> pour forcer le traitement de sa demande de visa, mais également soumis des questions à la Cour fédérale pour qu’elle les certifie en vue d’un appel. Selon l’al. 74</w:t>
            </w:r>
            <w:r w:rsidRPr="000E48A1">
              <w:rPr>
                <w:i/>
                <w:sz w:val="20"/>
                <w:szCs w:val="20"/>
                <w:lang w:val="fr-CA"/>
              </w:rPr>
              <w:t>d</w:t>
            </w:r>
            <w:r w:rsidRPr="000E48A1">
              <w:rPr>
                <w:sz w:val="20"/>
                <w:szCs w:val="20"/>
                <w:lang w:val="fr-CA"/>
              </w:rPr>
              <w:t xml:space="preserve">) de la </w:t>
            </w:r>
            <w:r w:rsidRPr="000E48A1">
              <w:rPr>
                <w:i/>
                <w:sz w:val="20"/>
                <w:szCs w:val="20"/>
                <w:lang w:val="fr-CA"/>
              </w:rPr>
              <w:t>Loi sur l’immigration et la protection des réfugiés</w:t>
            </w:r>
            <w:r w:rsidRPr="000E48A1">
              <w:rPr>
                <w:sz w:val="20"/>
                <w:szCs w:val="20"/>
                <w:lang w:val="fr-CA"/>
              </w:rPr>
              <w:t xml:space="preserve">, l’appel visant un contrôle judiciaire dans une affaire relevant de la Loi ne peut être interjeté que si le juge siégeant en contrôle certifie que l’affaire soulève une question grave de portée générale et s’il énonce la question. Le juge Russell a rejeté la demande de </w:t>
            </w:r>
            <w:r w:rsidRPr="000E48A1">
              <w:rPr>
                <w:i/>
                <w:sz w:val="20"/>
                <w:szCs w:val="20"/>
                <w:lang w:val="fr-CA"/>
              </w:rPr>
              <w:t>mandamus</w:t>
            </w:r>
            <w:r w:rsidRPr="000E48A1">
              <w:rPr>
                <w:sz w:val="20"/>
                <w:szCs w:val="20"/>
                <w:lang w:val="fr-CA"/>
              </w:rPr>
              <w:t xml:space="preserve"> et refusé de certifier des questions. Madame Gong a cherché à déposer un avis d’appel en Cour d’appel fédérale. Le juge Near a donné la directive suivante : « Le Greffe doit refuser que soit déposé l’avis d’appel de M</w:t>
            </w:r>
            <w:r w:rsidRPr="000E48A1">
              <w:rPr>
                <w:sz w:val="20"/>
                <w:szCs w:val="20"/>
                <w:vertAlign w:val="superscript"/>
                <w:lang w:val="fr-CA"/>
              </w:rPr>
              <w:t>me</w:t>
            </w:r>
            <w:r w:rsidRPr="000E48A1">
              <w:rPr>
                <w:sz w:val="20"/>
                <w:szCs w:val="20"/>
                <w:lang w:val="fr-CA"/>
              </w:rPr>
              <w:t> Gong, vu qu’aucune question de portée générale n’a été certifiée dans cette affaire d’immigration. » Le greffe n’a pas accepté l’avis d’appel de M</w:t>
            </w:r>
            <w:r w:rsidRPr="000E48A1">
              <w:rPr>
                <w:sz w:val="20"/>
                <w:szCs w:val="20"/>
                <w:vertAlign w:val="superscript"/>
                <w:lang w:val="fr-CA"/>
              </w:rPr>
              <w:t>me </w:t>
            </w:r>
            <w:r w:rsidRPr="000E48A1">
              <w:rPr>
                <w:sz w:val="20"/>
                <w:szCs w:val="20"/>
                <w:lang w:val="fr-CA"/>
              </w:rPr>
              <w:t>Gong.</w:t>
            </w:r>
          </w:p>
          <w:p w:rsidR="00A67A25" w:rsidRPr="000E48A1" w:rsidRDefault="00A67A25" w:rsidP="00B537CB">
            <w:pPr>
              <w:jc w:val="both"/>
              <w:rPr>
                <w:rFonts w:cs="Times New Roman"/>
                <w:sz w:val="20"/>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lastRenderedPageBreak/>
              <w:t>29 février 2016</w:t>
            </w:r>
          </w:p>
          <w:p w:rsidR="00C17D93" w:rsidRPr="000E48A1" w:rsidRDefault="00C17D93" w:rsidP="00C17D93">
            <w:pPr>
              <w:rPr>
                <w:sz w:val="20"/>
                <w:szCs w:val="20"/>
                <w:lang w:val="fr-CA"/>
              </w:rPr>
            </w:pPr>
            <w:r w:rsidRPr="000E48A1">
              <w:rPr>
                <w:sz w:val="20"/>
                <w:szCs w:val="20"/>
                <w:lang w:val="fr-CA"/>
              </w:rPr>
              <w:t>Cour fédérale</w:t>
            </w:r>
          </w:p>
          <w:p w:rsidR="00C17D93" w:rsidRPr="000E48A1" w:rsidRDefault="00C17D93" w:rsidP="00C17D93">
            <w:pPr>
              <w:rPr>
                <w:sz w:val="20"/>
                <w:szCs w:val="20"/>
                <w:lang w:val="fr-CA"/>
              </w:rPr>
            </w:pPr>
            <w:r w:rsidRPr="000E48A1">
              <w:rPr>
                <w:sz w:val="20"/>
                <w:szCs w:val="20"/>
                <w:lang w:val="fr-CA"/>
              </w:rPr>
              <w:t>(Juge Russell)</w:t>
            </w:r>
          </w:p>
          <w:p w:rsidR="00A67A25" w:rsidRPr="000E48A1" w:rsidRDefault="00CB2D37" w:rsidP="00C17D93">
            <w:pPr>
              <w:pStyle w:val="SCCShortJudgment"/>
              <w:ind w:firstLine="0"/>
              <w:rPr>
                <w:rStyle w:val="Hyperlink"/>
                <w:szCs w:val="20"/>
              </w:rPr>
            </w:pPr>
            <w:hyperlink r:id="rId33" w:history="1">
              <w:r w:rsidR="00C17D93" w:rsidRPr="000E48A1">
                <w:rPr>
                  <w:rStyle w:val="Hyperlink"/>
                  <w:szCs w:val="20"/>
                </w:rPr>
                <w:t>2016 CF 257</w:t>
              </w:r>
            </w:hyperlink>
          </w:p>
          <w:p w:rsidR="00C17D93" w:rsidRPr="000E48A1" w:rsidRDefault="00C17D93" w:rsidP="00C17D93">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C17D93" w:rsidRPr="000E48A1" w:rsidRDefault="00C17D93" w:rsidP="00C17D93">
            <w:pPr>
              <w:rPr>
                <w:sz w:val="20"/>
                <w:szCs w:val="20"/>
                <w:lang w:val="fr-CA"/>
              </w:rPr>
            </w:pPr>
            <w:r w:rsidRPr="000E48A1">
              <w:rPr>
                <w:sz w:val="20"/>
                <w:szCs w:val="20"/>
                <w:lang w:val="fr-CA"/>
              </w:rPr>
              <w:t>Rejet de la demande; refus de certifier des questions</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7 avril 2016</w:t>
            </w:r>
          </w:p>
          <w:p w:rsidR="00C17D93" w:rsidRPr="000E48A1" w:rsidRDefault="00C17D93" w:rsidP="00C17D93">
            <w:pPr>
              <w:rPr>
                <w:sz w:val="20"/>
                <w:szCs w:val="20"/>
                <w:lang w:val="fr-CA"/>
              </w:rPr>
            </w:pPr>
            <w:r w:rsidRPr="000E48A1">
              <w:rPr>
                <w:sz w:val="20"/>
                <w:szCs w:val="20"/>
                <w:lang w:val="fr-CA"/>
              </w:rPr>
              <w:t>Cour d’appel fédérale</w:t>
            </w:r>
          </w:p>
          <w:p w:rsidR="00C17D93" w:rsidRPr="000E48A1" w:rsidRDefault="00C17D93" w:rsidP="00C17D93">
            <w:pPr>
              <w:rPr>
                <w:sz w:val="20"/>
                <w:szCs w:val="20"/>
                <w:lang w:val="fr-CA"/>
              </w:rPr>
            </w:pPr>
            <w:r w:rsidRPr="000E48A1">
              <w:rPr>
                <w:sz w:val="20"/>
                <w:szCs w:val="20"/>
                <w:lang w:val="fr-CA"/>
              </w:rPr>
              <w:t>(Juge Near)</w:t>
            </w:r>
          </w:p>
          <w:p w:rsidR="00A67A25" w:rsidRPr="000E48A1" w:rsidRDefault="00C17D93" w:rsidP="00C17D93">
            <w:pPr>
              <w:pStyle w:val="SCCShortJudgment"/>
              <w:ind w:firstLine="0"/>
              <w:rPr>
                <w:szCs w:val="20"/>
              </w:rPr>
            </w:pPr>
            <w:r w:rsidRPr="000E48A1">
              <w:rPr>
                <w:szCs w:val="20"/>
              </w:rPr>
              <w:t>(Non publiée)</w:t>
            </w:r>
          </w:p>
          <w:p w:rsidR="00C17D93" w:rsidRPr="000E48A1" w:rsidRDefault="00C17D93" w:rsidP="00C17D93">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C17D93" w:rsidRPr="000E48A1" w:rsidRDefault="00C17D93" w:rsidP="00C17D93">
            <w:pPr>
              <w:rPr>
                <w:sz w:val="20"/>
                <w:szCs w:val="20"/>
                <w:lang w:val="fr-CA"/>
              </w:rPr>
            </w:pPr>
            <w:r w:rsidRPr="000E48A1">
              <w:rPr>
                <w:sz w:val="20"/>
                <w:szCs w:val="20"/>
                <w:lang w:val="fr-CA"/>
              </w:rPr>
              <w:t>Directive au greffe de refuser l’avis d’appel à déposer</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2 juin 2016</w:t>
            </w:r>
          </w:p>
          <w:p w:rsidR="00A67A25" w:rsidRPr="000E48A1" w:rsidRDefault="00C17D93" w:rsidP="00C17D93">
            <w:pPr>
              <w:pStyle w:val="SCCShortJudgment"/>
              <w:ind w:firstLine="0"/>
              <w:rPr>
                <w:rFonts w:cs="Times New Roman"/>
                <w:szCs w:val="20"/>
                <w:lang w:val="fr-CA"/>
              </w:rPr>
            </w:pPr>
            <w:r w:rsidRPr="000E48A1">
              <w:rPr>
                <w:szCs w:val="20"/>
                <w:lang w:val="fr-CA"/>
              </w:rPr>
              <w:t>Cour suprême du Canada</w:t>
            </w: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C17D93" w:rsidP="00B537CB">
            <w:pPr>
              <w:pStyle w:val="SCCShortJudgment"/>
              <w:ind w:firstLine="0"/>
              <w:rPr>
                <w:rFonts w:cs="Times New Roman"/>
                <w:szCs w:val="20"/>
                <w:lang w:val="fr-CA"/>
              </w:rPr>
            </w:pPr>
            <w:r w:rsidRPr="000E48A1">
              <w:rPr>
                <w:szCs w:val="20"/>
                <w:lang w:val="fr-CA"/>
              </w:rPr>
              <w:t>Dépôt de la demande d’autorisation d’appel</w:t>
            </w:r>
          </w:p>
        </w:tc>
      </w:tr>
    </w:tbl>
    <w:p w:rsidR="00A67A25" w:rsidRDefault="00CB2D37" w:rsidP="000E2959">
      <w:pPr>
        <w:rPr>
          <w:sz w:val="20"/>
          <w:szCs w:val="20"/>
        </w:rPr>
      </w:pPr>
      <w:r>
        <w:rPr>
          <w:sz w:val="20"/>
          <w:szCs w:val="20"/>
          <w:lang w:val="fr-CA"/>
        </w:rPr>
        <w:pict>
          <v:rect id="_x0000_i1056"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B537CB">
        <w:trPr>
          <w:cantSplit/>
        </w:trPr>
        <w:tc>
          <w:tcPr>
            <w:tcW w:w="1458" w:type="dxa"/>
          </w:tcPr>
          <w:p w:rsidR="00A67A25" w:rsidRPr="00832B84" w:rsidRDefault="00B537CB" w:rsidP="00B537CB">
            <w:pPr>
              <w:jc w:val="both"/>
              <w:rPr>
                <w:rFonts w:cs="Times New Roman"/>
                <w:sz w:val="20"/>
                <w:szCs w:val="20"/>
              </w:rPr>
            </w:pPr>
            <w:r w:rsidRPr="00832B84">
              <w:rPr>
                <w:rStyle w:val="SCCFileNumberChar"/>
                <w:sz w:val="20"/>
                <w:szCs w:val="20"/>
              </w:rPr>
              <w:t>3</w:t>
            </w:r>
            <w:r w:rsidR="00580072" w:rsidRPr="00832B84">
              <w:rPr>
                <w:rStyle w:val="SCCFileNumberChar"/>
                <w:sz w:val="20"/>
                <w:szCs w:val="20"/>
              </w:rPr>
              <w:t>7061</w:t>
            </w:r>
          </w:p>
          <w:p w:rsidR="00A67A25" w:rsidRPr="00832B84" w:rsidRDefault="00A67A25" w:rsidP="00B537CB">
            <w:pPr>
              <w:jc w:val="both"/>
              <w:rPr>
                <w:rFonts w:cs="Times New Roman"/>
                <w:b/>
                <w:sz w:val="20"/>
                <w:szCs w:val="20"/>
              </w:rPr>
            </w:pPr>
          </w:p>
        </w:tc>
        <w:tc>
          <w:tcPr>
            <w:tcW w:w="8118" w:type="dxa"/>
            <w:gridSpan w:val="3"/>
          </w:tcPr>
          <w:p w:rsidR="00A67A25" w:rsidRPr="00832B84" w:rsidRDefault="00B60413" w:rsidP="00B537CB">
            <w:pPr>
              <w:jc w:val="both"/>
              <w:rPr>
                <w:rFonts w:cs="Times New Roman"/>
                <w:sz w:val="20"/>
                <w:szCs w:val="20"/>
              </w:rPr>
            </w:pPr>
            <w:r w:rsidRPr="00832B84">
              <w:rPr>
                <w:b/>
                <w:sz w:val="20"/>
                <w:szCs w:val="20"/>
                <w:u w:val="single"/>
              </w:rPr>
              <w:t>Kwok Kin Kwong v. Minister of Citizenship and Immigration</w:t>
            </w:r>
            <w:r w:rsidR="00A67A25" w:rsidRPr="00832B84">
              <w:rPr>
                <w:rStyle w:val="SCCLsocChar"/>
                <w:rFonts w:cs="Times New Roman"/>
                <w:sz w:val="20"/>
                <w:szCs w:val="20"/>
                <w:u w:val="none"/>
                <w:lang w:val="en-CA"/>
              </w:rPr>
              <w:t xml:space="preserve"> </w:t>
            </w:r>
            <w:r w:rsidR="00A67A25" w:rsidRPr="00832B84">
              <w:rPr>
                <w:rFonts w:cs="Times New Roman"/>
                <w:sz w:val="20"/>
                <w:szCs w:val="20"/>
              </w:rPr>
              <w:t>(</w:t>
            </w:r>
            <w:r w:rsidR="00832B84" w:rsidRPr="00832B84">
              <w:rPr>
                <w:rFonts w:cs="Times New Roman"/>
                <w:sz w:val="20"/>
                <w:szCs w:val="20"/>
              </w:rPr>
              <w:t>F.C.</w:t>
            </w:r>
            <w:r w:rsidR="00A67A25" w:rsidRPr="00832B84">
              <w:rPr>
                <w:rFonts w:cs="Times New Roman"/>
                <w:sz w:val="20"/>
                <w:szCs w:val="20"/>
              </w:rPr>
              <w:t>) (Civil) (By Leave)</w:t>
            </w:r>
          </w:p>
          <w:p w:rsidR="00A67A25" w:rsidRPr="00832B84" w:rsidRDefault="00A67A25" w:rsidP="00B537CB">
            <w:pPr>
              <w:jc w:val="both"/>
              <w:rPr>
                <w:rFonts w:cs="Times New Roman"/>
                <w:sz w:val="20"/>
                <w:szCs w:val="20"/>
              </w:rPr>
            </w:pPr>
          </w:p>
        </w:tc>
      </w:tr>
      <w:tr w:rsidR="00A67A25" w:rsidRPr="000E48A1" w:rsidTr="00B537CB">
        <w:trPr>
          <w:cantSplit/>
        </w:trPr>
        <w:tc>
          <w:tcPr>
            <w:tcW w:w="1458" w:type="dxa"/>
          </w:tcPr>
          <w:p w:rsidR="00A67A25" w:rsidRPr="00832B84" w:rsidRDefault="00A67A25" w:rsidP="00B537CB">
            <w:pPr>
              <w:jc w:val="both"/>
              <w:rPr>
                <w:rFonts w:cs="Times New Roman"/>
                <w:sz w:val="20"/>
                <w:szCs w:val="20"/>
              </w:rPr>
            </w:pPr>
            <w:r w:rsidRPr="00832B84">
              <w:rPr>
                <w:rFonts w:cs="Times New Roman"/>
                <w:sz w:val="20"/>
                <w:szCs w:val="20"/>
              </w:rPr>
              <w:t>Coram :</w:t>
            </w:r>
          </w:p>
        </w:tc>
        <w:tc>
          <w:tcPr>
            <w:tcW w:w="8118" w:type="dxa"/>
            <w:gridSpan w:val="3"/>
          </w:tcPr>
          <w:p w:rsidR="00A67A25" w:rsidRPr="00832B84" w:rsidRDefault="00B60413" w:rsidP="00B537CB">
            <w:pPr>
              <w:jc w:val="both"/>
              <w:rPr>
                <w:sz w:val="20"/>
                <w:szCs w:val="20"/>
                <w:u w:val="single"/>
              </w:rPr>
            </w:pPr>
            <w:r w:rsidRPr="00832B84">
              <w:rPr>
                <w:sz w:val="20"/>
                <w:szCs w:val="20"/>
                <w:u w:val="single"/>
              </w:rPr>
              <w:t>McLachlin C.J. and Moldaver and Gascon JJ.</w:t>
            </w:r>
          </w:p>
          <w:p w:rsidR="00B60413" w:rsidRPr="00832B84" w:rsidRDefault="00B60413" w:rsidP="00B537CB">
            <w:pPr>
              <w:jc w:val="both"/>
              <w:rPr>
                <w:rFonts w:cs="Times New Roman"/>
                <w:sz w:val="20"/>
                <w:szCs w:val="20"/>
              </w:rPr>
            </w:pPr>
          </w:p>
        </w:tc>
      </w:tr>
      <w:tr w:rsidR="00A67A25" w:rsidRPr="0086620F" w:rsidTr="00B537CB">
        <w:trPr>
          <w:cantSplit/>
        </w:trPr>
        <w:tc>
          <w:tcPr>
            <w:tcW w:w="9576" w:type="dxa"/>
            <w:gridSpan w:val="4"/>
          </w:tcPr>
          <w:p w:rsidR="00A67A25" w:rsidRPr="00832B84" w:rsidRDefault="00A67A25" w:rsidP="00B537CB">
            <w:pPr>
              <w:pStyle w:val="SCCShortJudgment"/>
              <w:ind w:firstLine="0"/>
              <w:rPr>
                <w:rFonts w:cs="Times New Roman"/>
                <w:szCs w:val="20"/>
              </w:rPr>
            </w:pPr>
            <w:r w:rsidRPr="00832B84">
              <w:rPr>
                <w:rFonts w:cs="Times New Roman"/>
                <w:szCs w:val="20"/>
              </w:rPr>
              <w:tab/>
            </w:r>
            <w:r w:rsidR="00832B84" w:rsidRPr="00832B84">
              <w:rPr>
                <w:szCs w:val="20"/>
              </w:rPr>
              <w:t>The motion for an extension of time to serve and file the application for leave to appeal is granted.  The motion for a stay of execution is dismissed. The application for leave to appeal from the directions of the Federal Court of Appeal, dated February 25, 2016 and March 21, 2016, is dismissed for want of jurisdiction, with costs.</w:t>
            </w:r>
          </w:p>
          <w:p w:rsidR="00A67A25" w:rsidRPr="00832B84" w:rsidRDefault="00A67A25" w:rsidP="00B537CB">
            <w:pPr>
              <w:pStyle w:val="SCCShortJudgment"/>
              <w:ind w:firstLine="0"/>
              <w:rPr>
                <w:rFonts w:cs="Times New Roman"/>
                <w:szCs w:val="20"/>
              </w:rPr>
            </w:pPr>
          </w:p>
          <w:p w:rsidR="00A67A25" w:rsidRPr="00832B84" w:rsidRDefault="00A67A25" w:rsidP="00B537CB">
            <w:pPr>
              <w:pStyle w:val="SCCShortJudgment"/>
              <w:ind w:firstLine="0"/>
              <w:rPr>
                <w:rFonts w:cs="Times New Roman"/>
                <w:szCs w:val="20"/>
                <w:lang w:val="fr-CA"/>
              </w:rPr>
            </w:pPr>
            <w:r w:rsidRPr="00832B84">
              <w:rPr>
                <w:rFonts w:cs="Times New Roman"/>
                <w:szCs w:val="20"/>
              </w:rPr>
              <w:tab/>
            </w:r>
            <w:r w:rsidR="00832B84" w:rsidRPr="00832B84">
              <w:rPr>
                <w:szCs w:val="20"/>
                <w:lang w:val="fr-CA"/>
              </w:rPr>
              <w:t>La requ</w:t>
            </w:r>
            <w:r w:rsidR="00832B84" w:rsidRPr="00832B84">
              <w:rPr>
                <w:rFonts w:cs="Times New Roman"/>
                <w:szCs w:val="20"/>
                <w:lang w:val="fr-CA"/>
              </w:rPr>
              <w:t>ê</w:t>
            </w:r>
            <w:r w:rsidR="00832B84" w:rsidRPr="00832B84">
              <w:rPr>
                <w:szCs w:val="20"/>
                <w:lang w:val="fr-CA"/>
              </w:rPr>
              <w:t>te en prorogation du d</w:t>
            </w:r>
            <w:r w:rsidR="00832B84" w:rsidRPr="00832B84">
              <w:rPr>
                <w:rFonts w:cs="Times New Roman"/>
                <w:szCs w:val="20"/>
                <w:lang w:val="fr-CA"/>
              </w:rPr>
              <w:t>é</w:t>
            </w:r>
            <w:r w:rsidR="00832B84" w:rsidRPr="00832B84">
              <w:rPr>
                <w:szCs w:val="20"/>
                <w:lang w:val="fr-CA"/>
              </w:rPr>
              <w:t>lai de signification et de d</w:t>
            </w:r>
            <w:r w:rsidR="00832B84" w:rsidRPr="00832B84">
              <w:rPr>
                <w:rFonts w:cs="Times New Roman"/>
                <w:szCs w:val="20"/>
                <w:lang w:val="fr-CA"/>
              </w:rPr>
              <w:t>é</w:t>
            </w:r>
            <w:r w:rsidR="00832B84" w:rsidRPr="00832B84">
              <w:rPr>
                <w:szCs w:val="20"/>
                <w:lang w:val="fr-CA"/>
              </w:rPr>
              <w:t>p</w:t>
            </w:r>
            <w:r w:rsidR="00832B84" w:rsidRPr="00832B84">
              <w:rPr>
                <w:rFonts w:cs="Times New Roman"/>
                <w:szCs w:val="20"/>
                <w:lang w:val="fr-CA"/>
              </w:rPr>
              <w:t>ô</w:t>
            </w:r>
            <w:r w:rsidR="00832B84" w:rsidRPr="00832B84">
              <w:rPr>
                <w:szCs w:val="20"/>
                <w:lang w:val="fr-CA"/>
              </w:rPr>
              <w:t>t de la demande d’autorisation d’appel est accueillie. La requ</w:t>
            </w:r>
            <w:r w:rsidR="00832B84" w:rsidRPr="00832B84">
              <w:rPr>
                <w:rFonts w:cs="Times New Roman"/>
                <w:szCs w:val="20"/>
                <w:lang w:val="fr-CA"/>
              </w:rPr>
              <w:t>ê</w:t>
            </w:r>
            <w:r w:rsidR="00832B84" w:rsidRPr="00832B84">
              <w:rPr>
                <w:szCs w:val="20"/>
                <w:lang w:val="fr-CA"/>
              </w:rPr>
              <w:t xml:space="preserve">te </w:t>
            </w:r>
            <w:r w:rsidR="00832B84" w:rsidRPr="00832B84">
              <w:rPr>
                <w:rStyle w:val="shorttext"/>
                <w:color w:val="222222"/>
                <w:szCs w:val="20"/>
                <w:lang w:val="fr-FR"/>
              </w:rPr>
              <w:t>en sursis d’exécution</w:t>
            </w:r>
            <w:r w:rsidR="00832B84" w:rsidRPr="00832B84">
              <w:rPr>
                <w:szCs w:val="20"/>
                <w:lang w:val="fr-CA"/>
              </w:rPr>
              <w:t xml:space="preserve"> est rejet</w:t>
            </w:r>
            <w:r w:rsidR="00832B84" w:rsidRPr="00832B84">
              <w:rPr>
                <w:rFonts w:cs="Times New Roman"/>
                <w:szCs w:val="20"/>
                <w:lang w:val="fr-CA"/>
              </w:rPr>
              <w:t>é</w:t>
            </w:r>
            <w:r w:rsidR="00832B84" w:rsidRPr="00832B84">
              <w:rPr>
                <w:szCs w:val="20"/>
                <w:lang w:val="fr-CA"/>
              </w:rPr>
              <w:t xml:space="preserve">e. La demande d’autorisation d’appel des directives de la </w:t>
            </w:r>
            <w:r w:rsidR="00832B84" w:rsidRPr="00832B84">
              <w:rPr>
                <w:szCs w:val="20"/>
                <w:lang w:val="fr-FR"/>
              </w:rPr>
              <w:t>Cour d’appel fédérale</w:t>
            </w:r>
            <w:r w:rsidR="00832B84" w:rsidRPr="00832B84">
              <w:rPr>
                <w:szCs w:val="20"/>
                <w:lang w:val="fr-CA"/>
              </w:rPr>
              <w:t xml:space="preserve">, datées du 25 février 2016 et du </w:t>
            </w:r>
            <w:r w:rsidR="00832B84" w:rsidRPr="00832B84">
              <w:rPr>
                <w:szCs w:val="20"/>
                <w:lang w:val="fr-FR"/>
              </w:rPr>
              <w:t>21 mars 2016</w:t>
            </w:r>
            <w:r w:rsidR="00832B84" w:rsidRPr="00832B84">
              <w:rPr>
                <w:szCs w:val="20"/>
                <w:lang w:val="fr-CA"/>
              </w:rPr>
              <w:t>, est rejet</w:t>
            </w:r>
            <w:r w:rsidR="00832B84" w:rsidRPr="00832B84">
              <w:rPr>
                <w:rFonts w:cs="Times New Roman"/>
                <w:szCs w:val="20"/>
                <w:lang w:val="fr-CA"/>
              </w:rPr>
              <w:t>é</w:t>
            </w:r>
            <w:r w:rsidR="00832B84" w:rsidRPr="00832B84">
              <w:rPr>
                <w:szCs w:val="20"/>
                <w:lang w:val="fr-CA"/>
              </w:rPr>
              <w:t>e pour défaut de compétence, avec d</w:t>
            </w:r>
            <w:r w:rsidR="00832B84" w:rsidRPr="00832B84">
              <w:rPr>
                <w:rFonts w:cs="Times New Roman"/>
                <w:szCs w:val="20"/>
                <w:lang w:val="fr-CA"/>
              </w:rPr>
              <w:t>é</w:t>
            </w:r>
            <w:r w:rsidR="00832B84" w:rsidRPr="00832B84">
              <w:rPr>
                <w:szCs w:val="20"/>
                <w:lang w:val="fr-CA"/>
              </w:rPr>
              <w:t>pens.</w:t>
            </w:r>
          </w:p>
          <w:p w:rsidR="00A67A25" w:rsidRPr="00832B84"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C17D93">
        <w:tc>
          <w:tcPr>
            <w:tcW w:w="9576" w:type="dxa"/>
            <w:gridSpan w:val="4"/>
          </w:tcPr>
          <w:p w:rsidR="00C17D93" w:rsidRPr="000E48A1" w:rsidRDefault="00C17D93" w:rsidP="00C17D93">
            <w:pPr>
              <w:pStyle w:val="SCCBanSummary"/>
              <w:rPr>
                <w:sz w:val="20"/>
                <w:szCs w:val="20"/>
              </w:rPr>
            </w:pPr>
            <w:r w:rsidRPr="000E48A1">
              <w:rPr>
                <w:sz w:val="20"/>
                <w:szCs w:val="20"/>
              </w:rPr>
              <w:t>(Sealing order)</w:t>
            </w:r>
          </w:p>
          <w:p w:rsidR="00C17D93" w:rsidRPr="000E48A1" w:rsidRDefault="00C17D93" w:rsidP="00C17D93">
            <w:pPr>
              <w:rPr>
                <w:sz w:val="20"/>
                <w:szCs w:val="20"/>
              </w:rPr>
            </w:pPr>
          </w:p>
          <w:p w:rsidR="00A67A25" w:rsidRPr="000E48A1" w:rsidRDefault="00C17D93" w:rsidP="00C17D93">
            <w:pPr>
              <w:pStyle w:val="SCCShortJudgment"/>
              <w:ind w:firstLine="0"/>
              <w:rPr>
                <w:szCs w:val="20"/>
              </w:rPr>
            </w:pPr>
            <w:r w:rsidRPr="000E48A1">
              <w:rPr>
                <w:szCs w:val="20"/>
              </w:rPr>
              <w:t xml:space="preserve">Immigration – Temporary residents – Inadmissibility – Applicant denied temporary resident permit – Federal Court dismissing application for judicial review for mootness and affirming prior sealing order – Who is permitted to release information previously the subject of a sealing order: the Minister who maintained a national security claim, but no longer can justify this, or only the court which issued the order, years in the past, on the Minister’s request? – Whether a court can recall information which has been disclosed but which was previously the subject of a sealing order – Whether the reasoning of this Court in </w:t>
            </w:r>
            <w:r w:rsidRPr="000E48A1">
              <w:rPr>
                <w:i/>
                <w:szCs w:val="20"/>
              </w:rPr>
              <w:t>Babcock v. Canada (Attorney General)</w:t>
            </w:r>
            <w:r w:rsidRPr="000E48A1">
              <w:rPr>
                <w:szCs w:val="20"/>
              </w:rPr>
              <w:t xml:space="preserve">, 2002 SCC 57, applies to instances where the responsible Minister has disclosed information, previously withheld for reasons of national security, but then resiles from this and seeks the return of the information on the basis of a court order issued sixteen years earlier – Whether the applicant is entitled to a formal process for the determination of whether he can appeal without a certified question under s. 74(d) of the </w:t>
            </w:r>
            <w:r w:rsidRPr="000E48A1">
              <w:rPr>
                <w:i/>
                <w:szCs w:val="20"/>
              </w:rPr>
              <w:t>Immigration &amp; Refugee Protection Act</w:t>
            </w:r>
            <w:r w:rsidRPr="000E48A1">
              <w:rPr>
                <w:szCs w:val="20"/>
              </w:rPr>
              <w:t>, S.C. 2001, c. 27 – Whether the applicant needs a certified question to appeal on an issue of the jurisdiction of a judge of the Federal Court to order the recall of information previously sealed by court order but subsequently released by the responsible Minister of the Crown.</w:t>
            </w:r>
          </w:p>
          <w:p w:rsidR="00C17D93" w:rsidRPr="000E48A1" w:rsidRDefault="00C17D93" w:rsidP="00C17D93">
            <w:pPr>
              <w:pStyle w:val="SCCShortJudgment"/>
              <w:ind w:firstLine="0"/>
              <w:rPr>
                <w:rFonts w:cs="Times New Roman"/>
                <w:szCs w:val="20"/>
              </w:rPr>
            </w:pPr>
          </w:p>
        </w:tc>
      </w:tr>
      <w:tr w:rsidR="00A67A25" w:rsidRPr="000E48A1" w:rsidTr="00B537CB">
        <w:trPr>
          <w:cantSplit/>
        </w:trPr>
        <w:tc>
          <w:tcPr>
            <w:tcW w:w="9576" w:type="dxa"/>
            <w:gridSpan w:val="4"/>
          </w:tcPr>
          <w:p w:rsidR="00C17D93" w:rsidRPr="000E48A1" w:rsidRDefault="00C17D93" w:rsidP="00C17D93">
            <w:pPr>
              <w:jc w:val="both"/>
              <w:rPr>
                <w:sz w:val="20"/>
                <w:szCs w:val="20"/>
              </w:rPr>
            </w:pPr>
            <w:r w:rsidRPr="000E48A1">
              <w:rPr>
                <w:sz w:val="20"/>
                <w:szCs w:val="20"/>
              </w:rPr>
              <w:t xml:space="preserve">An officer of Citizenship and Immigration Canada denied Mr. Kwong’s request for a temporary resident permit in order to see his elderly mother in Canada. The officer based his decision on a refusal of Mr. Kwong’s permanent resident application in 1999. At that time, Mr. Kwong was found to be inadmissible in Canada on grounds of criminality and involvement with organized crime because he kept several </w:t>
            </w:r>
            <w:r w:rsidRPr="000E48A1">
              <w:rPr>
                <w:rStyle w:val="citationcar"/>
                <w:sz w:val="20"/>
                <w:szCs w:val="20"/>
              </w:rPr>
              <w:t>“bawdy houses”</w:t>
            </w:r>
            <w:r w:rsidRPr="000E48A1">
              <w:rPr>
                <w:sz w:val="20"/>
                <w:szCs w:val="20"/>
              </w:rPr>
              <w:t xml:space="preserve"> in Hong Kong, an act which, if committed in Canada, would have been an offence under the </w:t>
            </w:r>
            <w:r w:rsidRPr="000E48A1">
              <w:rPr>
                <w:i/>
                <w:iCs/>
                <w:sz w:val="20"/>
                <w:szCs w:val="20"/>
              </w:rPr>
              <w:t>Criminal Code</w:t>
            </w:r>
            <w:r w:rsidRPr="000E48A1">
              <w:rPr>
                <w:sz w:val="20"/>
                <w:szCs w:val="20"/>
              </w:rPr>
              <w:t>, R.S.C. 1985, c. C-46, at the time.</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9576" w:type="dxa"/>
            <w:gridSpan w:val="4"/>
          </w:tcPr>
          <w:p w:rsidR="00C17D93" w:rsidRPr="000E48A1" w:rsidRDefault="00C17D93" w:rsidP="00C17D93">
            <w:pPr>
              <w:jc w:val="both"/>
              <w:rPr>
                <w:sz w:val="20"/>
                <w:szCs w:val="20"/>
              </w:rPr>
            </w:pPr>
            <w:r w:rsidRPr="000E48A1">
              <w:rPr>
                <w:sz w:val="20"/>
                <w:szCs w:val="20"/>
              </w:rPr>
              <w:lastRenderedPageBreak/>
              <w:t xml:space="preserve">Mr. Kwong applied for judicial review of the officer’s decision. The Minister responded to the application and brought a motion that certain records subject to a confidentiality order issued in the 1999 visa decision and relied on by the officer in this case, be removed from the court record, that all copies of the records be re-sealed and returned by Mr. Kwong and his solicitors to the Minister, and that Mr. Kwong and his solicitors destroy any notes relating to those records. The Minister submitted that the confidential records were inadvertently disclosed to Mr. Kwong in response to an access to information request. The Minister also brought a motion for an order dismissing the application as moot because </w:t>
            </w:r>
            <w:r w:rsidRPr="000E48A1">
              <w:rPr>
                <w:rStyle w:val="citationcar"/>
                <w:sz w:val="20"/>
                <w:szCs w:val="20"/>
              </w:rPr>
              <w:t>a separate visa application had been approved for Mr. Kwong</w:t>
            </w:r>
            <w:r w:rsidRPr="000E48A1">
              <w:rPr>
                <w:sz w:val="20"/>
                <w:szCs w:val="20"/>
              </w:rPr>
              <w:t xml:space="preserve"> to attend his mother’s funeral. Mr. Kwong opposed both motions.</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February 10, 2016</w:t>
            </w:r>
          </w:p>
          <w:p w:rsidR="00C17D93" w:rsidRPr="000E48A1" w:rsidRDefault="00C17D93" w:rsidP="00C17D93">
            <w:pPr>
              <w:rPr>
                <w:sz w:val="20"/>
                <w:szCs w:val="20"/>
              </w:rPr>
            </w:pPr>
            <w:r w:rsidRPr="000E48A1">
              <w:rPr>
                <w:sz w:val="20"/>
                <w:szCs w:val="20"/>
              </w:rPr>
              <w:t>Federal Court</w:t>
            </w:r>
          </w:p>
          <w:p w:rsidR="00C17D93" w:rsidRPr="000E48A1" w:rsidRDefault="00C17D93" w:rsidP="00C17D93">
            <w:pPr>
              <w:rPr>
                <w:sz w:val="20"/>
                <w:szCs w:val="20"/>
              </w:rPr>
            </w:pPr>
            <w:r w:rsidRPr="000E48A1">
              <w:rPr>
                <w:sz w:val="20"/>
                <w:szCs w:val="20"/>
              </w:rPr>
              <w:t>(Zinn J.)</w:t>
            </w:r>
          </w:p>
          <w:p w:rsidR="00C17D93" w:rsidRPr="000E48A1" w:rsidRDefault="00CB2D37" w:rsidP="00C17D93">
            <w:pPr>
              <w:rPr>
                <w:sz w:val="20"/>
                <w:szCs w:val="20"/>
                <w:u w:val="single"/>
              </w:rPr>
            </w:pPr>
            <w:hyperlink r:id="rId34" w:history="1">
              <w:r w:rsidR="00C17D93" w:rsidRPr="000E48A1">
                <w:rPr>
                  <w:rStyle w:val="Hyperlink"/>
                  <w:sz w:val="20"/>
                  <w:szCs w:val="20"/>
                </w:rPr>
                <w:t>2016 FC 179</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C17D93" w:rsidP="00B537CB">
            <w:pPr>
              <w:jc w:val="both"/>
              <w:rPr>
                <w:rFonts w:cs="Times New Roman"/>
                <w:sz w:val="20"/>
                <w:szCs w:val="20"/>
              </w:rPr>
            </w:pPr>
            <w:r w:rsidRPr="000E48A1">
              <w:rPr>
                <w:sz w:val="20"/>
                <w:szCs w:val="20"/>
              </w:rPr>
              <w:t>Minister’s motions granted, application for judicial review dismissed</w:t>
            </w: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February 25, 2016</w:t>
            </w:r>
          </w:p>
          <w:p w:rsidR="00C17D93" w:rsidRPr="000E48A1" w:rsidRDefault="00C17D93" w:rsidP="00C17D93">
            <w:pPr>
              <w:rPr>
                <w:sz w:val="20"/>
                <w:szCs w:val="20"/>
              </w:rPr>
            </w:pPr>
            <w:r w:rsidRPr="000E48A1">
              <w:rPr>
                <w:sz w:val="20"/>
                <w:szCs w:val="20"/>
              </w:rPr>
              <w:t>Federal Court of Appeal</w:t>
            </w:r>
          </w:p>
          <w:p w:rsidR="00C17D93" w:rsidRPr="000E48A1" w:rsidRDefault="00C17D93" w:rsidP="00C17D93">
            <w:pPr>
              <w:rPr>
                <w:sz w:val="20"/>
                <w:szCs w:val="20"/>
              </w:rPr>
            </w:pPr>
            <w:r w:rsidRPr="000E48A1">
              <w:rPr>
                <w:sz w:val="20"/>
                <w:szCs w:val="20"/>
              </w:rPr>
              <w:t>(De Montigny J.A.)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C17D93" w:rsidRPr="000E48A1" w:rsidRDefault="00C17D93" w:rsidP="00C17D93">
            <w:pPr>
              <w:jc w:val="both"/>
              <w:rPr>
                <w:sz w:val="20"/>
                <w:szCs w:val="20"/>
              </w:rPr>
            </w:pPr>
            <w:r w:rsidRPr="000E48A1">
              <w:rPr>
                <w:sz w:val="20"/>
                <w:szCs w:val="20"/>
              </w:rPr>
              <w:t xml:space="preserve">Direction to Registry not to accept notice of appeal and notice of motion for filing </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March 21, 2016</w:t>
            </w:r>
          </w:p>
          <w:p w:rsidR="00C17D93" w:rsidRPr="000E48A1" w:rsidRDefault="00C17D93" w:rsidP="00C17D93">
            <w:pPr>
              <w:rPr>
                <w:sz w:val="20"/>
                <w:szCs w:val="20"/>
              </w:rPr>
            </w:pPr>
            <w:r w:rsidRPr="000E48A1">
              <w:rPr>
                <w:sz w:val="20"/>
                <w:szCs w:val="20"/>
              </w:rPr>
              <w:t>Federal Court of Appeal</w:t>
            </w:r>
          </w:p>
          <w:p w:rsidR="00C17D93" w:rsidRPr="000E48A1" w:rsidRDefault="00C17D93" w:rsidP="00C17D93">
            <w:pPr>
              <w:rPr>
                <w:sz w:val="20"/>
                <w:szCs w:val="20"/>
              </w:rPr>
            </w:pPr>
            <w:r w:rsidRPr="000E48A1">
              <w:rPr>
                <w:sz w:val="20"/>
                <w:szCs w:val="20"/>
              </w:rPr>
              <w:t>(De Montigny J.A.)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C17D93" w:rsidP="00B537CB">
            <w:pPr>
              <w:jc w:val="both"/>
              <w:rPr>
                <w:rFonts w:cs="Times New Roman"/>
                <w:sz w:val="20"/>
                <w:szCs w:val="20"/>
              </w:rPr>
            </w:pPr>
            <w:r w:rsidRPr="000E48A1">
              <w:rPr>
                <w:sz w:val="20"/>
                <w:szCs w:val="20"/>
              </w:rPr>
              <w:t>Direction refusing to reconsider decision not to accept notice of appeal and notice of motion for filing</w:t>
            </w: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June 8, 2016</w:t>
            </w:r>
          </w:p>
          <w:p w:rsidR="00A67A25" w:rsidRPr="000E48A1" w:rsidRDefault="00C17D93" w:rsidP="00C17D93">
            <w:pPr>
              <w:jc w:val="both"/>
              <w:rPr>
                <w:rFonts w:cs="Times New Roman"/>
                <w:sz w:val="20"/>
                <w:szCs w:val="20"/>
              </w:rPr>
            </w:pPr>
            <w:r w:rsidRPr="000E48A1">
              <w:rPr>
                <w:sz w:val="20"/>
                <w:szCs w:val="20"/>
              </w:rPr>
              <w:t>Supreme Court of Canada</w:t>
            </w:r>
          </w:p>
        </w:tc>
        <w:tc>
          <w:tcPr>
            <w:tcW w:w="630" w:type="dxa"/>
          </w:tcPr>
          <w:p w:rsidR="00A67A25" w:rsidRPr="000E48A1" w:rsidRDefault="00A67A25" w:rsidP="00B537CB">
            <w:pPr>
              <w:jc w:val="both"/>
              <w:rPr>
                <w:rFonts w:cs="Times New Roman"/>
                <w:sz w:val="20"/>
                <w:szCs w:val="20"/>
              </w:rPr>
            </w:pPr>
          </w:p>
        </w:tc>
        <w:tc>
          <w:tcPr>
            <w:tcW w:w="4536" w:type="dxa"/>
          </w:tcPr>
          <w:p w:rsidR="00C17D93" w:rsidRPr="000E48A1" w:rsidRDefault="00C17D93" w:rsidP="00C17D93">
            <w:pPr>
              <w:jc w:val="both"/>
              <w:rPr>
                <w:sz w:val="20"/>
                <w:szCs w:val="20"/>
              </w:rPr>
            </w:pPr>
            <w:r w:rsidRPr="000E48A1">
              <w:rPr>
                <w:sz w:val="20"/>
                <w:szCs w:val="20"/>
              </w:rPr>
              <w:t>Motion to extend time to serve and file application for leave to appeal and 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57"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C17D93">
        <w:tc>
          <w:tcPr>
            <w:tcW w:w="9576" w:type="dxa"/>
            <w:gridSpan w:val="4"/>
          </w:tcPr>
          <w:p w:rsidR="00C17D93" w:rsidRPr="000E48A1" w:rsidRDefault="00C17D93" w:rsidP="00C17D93">
            <w:pPr>
              <w:pStyle w:val="SCCBanSummary"/>
              <w:rPr>
                <w:sz w:val="20"/>
                <w:szCs w:val="20"/>
                <w:lang w:val="fr-CA"/>
              </w:rPr>
            </w:pPr>
            <w:r w:rsidRPr="000E48A1">
              <w:rPr>
                <w:sz w:val="20"/>
                <w:szCs w:val="20"/>
                <w:lang w:val="fr-CA"/>
              </w:rPr>
              <w:t>(Ordonnance de mise sous scellés)</w:t>
            </w:r>
          </w:p>
          <w:p w:rsidR="00C17D93" w:rsidRPr="000E48A1" w:rsidRDefault="00C17D93" w:rsidP="00C17D93">
            <w:pPr>
              <w:rPr>
                <w:sz w:val="20"/>
                <w:szCs w:val="20"/>
                <w:lang w:val="fr-CA"/>
              </w:rPr>
            </w:pPr>
          </w:p>
          <w:p w:rsidR="00A67A25" w:rsidRPr="000E48A1" w:rsidRDefault="00C17D93" w:rsidP="00C17D93">
            <w:pPr>
              <w:pStyle w:val="SCCShortJudgment"/>
              <w:ind w:firstLine="0"/>
              <w:rPr>
                <w:szCs w:val="20"/>
                <w:lang w:val="fr-CA"/>
              </w:rPr>
            </w:pPr>
            <w:r w:rsidRPr="000E48A1">
              <w:rPr>
                <w:szCs w:val="20"/>
                <w:lang w:val="fr-CA"/>
              </w:rPr>
              <w:t xml:space="preserve">Immigration – Résidents temporaires – Interdiction de territoire – Permis de résidence temporaire refusé au demandeur – La Cour fédérale rejette la demande de contrôle judiciaire en raison de son caractère caduc et confirme l’ordonnance de mise sous scellés – Qui peut divulguer des renseignements qui avaient auparavant fait l’objet d’une demande de mise sous scellés : le ministre qui a invoqué la sécurité nationale, mais qui ne peut plus justifier ce moyen, ou seulement le tribunal qui a rendu l’ordonnance il y a des années à la demande du ministre? – Un tribunal peut-il récupérer des documents qui ont été divulgués, mais qui étaient auparavant l’objet d’une ordonnance de mise sous scellés? – Le raisonnement de la Cour dans </w:t>
            </w:r>
            <w:r w:rsidRPr="000E48A1">
              <w:rPr>
                <w:i/>
                <w:szCs w:val="20"/>
                <w:lang w:val="fr-CA"/>
              </w:rPr>
              <w:t>Babcock c. Canada (Procureur général)</w:t>
            </w:r>
            <w:r w:rsidRPr="000E48A1">
              <w:rPr>
                <w:szCs w:val="20"/>
                <w:lang w:val="fr-CA"/>
              </w:rPr>
              <w:t>, 2002 CSC 57, [2002] 3 R.C.S. 3, s’applique-t-il dans les cas o</w:t>
            </w:r>
            <w:r w:rsidRPr="000E48A1">
              <w:rPr>
                <w:rFonts w:cs="Times New Roman"/>
                <w:szCs w:val="20"/>
                <w:lang w:val="fr-CA"/>
              </w:rPr>
              <w:t>ù</w:t>
            </w:r>
            <w:r w:rsidRPr="000E48A1">
              <w:rPr>
                <w:szCs w:val="20"/>
                <w:lang w:val="fr-CA"/>
              </w:rPr>
              <w:t xml:space="preserve"> le ministre responsable a divulgué des renseignements qui étaient auparavant dissimulés pour des raisons de sécurité nationale, mais o</w:t>
            </w:r>
            <w:r w:rsidRPr="000E48A1">
              <w:rPr>
                <w:rFonts w:cs="Times New Roman"/>
                <w:szCs w:val="20"/>
                <w:lang w:val="fr-CA"/>
              </w:rPr>
              <w:t>ù</w:t>
            </w:r>
            <w:r w:rsidRPr="000E48A1">
              <w:rPr>
                <w:szCs w:val="20"/>
                <w:lang w:val="fr-CA"/>
              </w:rPr>
              <w:t xml:space="preserve"> il revient ensuite sur sa position et sollicite le retour des renseignements sur la base d’une ordonnance judiciaire rendue seize ans plus tôt? – Le demandeur a-t-il droit à une procédure officielle visant à déterminer s’il peut se pourvoir en appel sans qu’une question soit certifiée en application de l’al. 74</w:t>
            </w:r>
            <w:r w:rsidRPr="000E48A1">
              <w:rPr>
                <w:i/>
                <w:szCs w:val="20"/>
                <w:lang w:val="fr-CA"/>
              </w:rPr>
              <w:t>d</w:t>
            </w:r>
            <w:r w:rsidRPr="000E48A1">
              <w:rPr>
                <w:szCs w:val="20"/>
                <w:lang w:val="fr-CA"/>
              </w:rPr>
              <w:t xml:space="preserve">) de la </w:t>
            </w:r>
            <w:r w:rsidRPr="000E48A1">
              <w:rPr>
                <w:i/>
                <w:szCs w:val="20"/>
                <w:lang w:val="fr-CA"/>
              </w:rPr>
              <w:t>Loi sur l’immigration et la protection des réfugiés</w:t>
            </w:r>
            <w:r w:rsidRPr="000E48A1">
              <w:rPr>
                <w:szCs w:val="20"/>
                <w:lang w:val="fr-CA"/>
              </w:rPr>
              <w:t>, L.C. 2001, c. 27? – Faut-il qu’une question soit certifiée pour que le demandeur puisse interjeter appel sur le pouvoir d’un juge de la Cour fédérale d’ordonner la récupération de documents autrefois scellés aux termes d’une ordonnance judiciaire mais divulgués subséquemment par le ministre responsable.</w:t>
            </w:r>
          </w:p>
          <w:p w:rsidR="00C17D93" w:rsidRPr="000E48A1" w:rsidRDefault="00C17D93" w:rsidP="00C17D93">
            <w:pPr>
              <w:pStyle w:val="SCCShortJudgment"/>
              <w:ind w:firstLine="0"/>
              <w:rPr>
                <w:rFonts w:cs="Times New Roman"/>
                <w:szCs w:val="20"/>
                <w:lang w:val="fr-CA"/>
              </w:rPr>
            </w:pPr>
          </w:p>
        </w:tc>
      </w:tr>
      <w:tr w:rsidR="00A67A25" w:rsidRPr="0086620F" w:rsidTr="00B537CB">
        <w:trPr>
          <w:cantSplit/>
        </w:trPr>
        <w:tc>
          <w:tcPr>
            <w:tcW w:w="9576" w:type="dxa"/>
            <w:gridSpan w:val="4"/>
          </w:tcPr>
          <w:p w:rsidR="00C17D93" w:rsidRPr="000E48A1" w:rsidRDefault="00C17D93" w:rsidP="00C17D93">
            <w:pPr>
              <w:jc w:val="both"/>
              <w:rPr>
                <w:sz w:val="20"/>
                <w:szCs w:val="20"/>
                <w:lang w:val="fr-CA"/>
              </w:rPr>
            </w:pPr>
            <w:r w:rsidRPr="000E48A1">
              <w:rPr>
                <w:sz w:val="20"/>
                <w:szCs w:val="20"/>
                <w:lang w:val="fr-CA"/>
              </w:rPr>
              <w:t xml:space="preserve">Un agent de Citoyenneté et Immigration Canada a rejeté la demande de permis de résidence temporaire présentée par M. Kwong afin de voir sa mère âgée au Canada. L’agent a fondé sa décision sur le refus de la demande de résidence permanente de M. Kwong en 1999. À cette époque, M. Kwong a été déclaré interdit de territoire au Canada pour criminalité et participation au crime organisé parce qu’il tenait plusieurs « maisons de débauche » à Hong Kong, un acte qui, commis au Canada, aurait constitué une infraction au </w:t>
            </w:r>
            <w:r w:rsidRPr="000E48A1">
              <w:rPr>
                <w:i/>
                <w:iCs/>
                <w:sz w:val="20"/>
                <w:szCs w:val="20"/>
                <w:lang w:val="fr-CA"/>
              </w:rPr>
              <w:t>Code criminel</w:t>
            </w:r>
            <w:r w:rsidRPr="000E48A1">
              <w:rPr>
                <w:sz w:val="20"/>
                <w:szCs w:val="20"/>
                <w:lang w:val="fr-CA"/>
              </w:rPr>
              <w:t>, L.R.C. 1985, c. C-46, à l’époque.</w:t>
            </w:r>
          </w:p>
          <w:p w:rsidR="00A67A25" w:rsidRPr="000E48A1" w:rsidRDefault="00A67A25" w:rsidP="00B537CB">
            <w:pPr>
              <w:jc w:val="both"/>
              <w:rPr>
                <w:rFonts w:cs="Times New Roman"/>
                <w:sz w:val="20"/>
                <w:szCs w:val="20"/>
                <w:lang w:val="fr-CA"/>
              </w:rPr>
            </w:pPr>
          </w:p>
        </w:tc>
      </w:tr>
      <w:tr w:rsidR="00A67A25" w:rsidRPr="000E48A1" w:rsidTr="00B537CB">
        <w:trPr>
          <w:cantSplit/>
        </w:trPr>
        <w:tc>
          <w:tcPr>
            <w:tcW w:w="9576" w:type="dxa"/>
            <w:gridSpan w:val="4"/>
          </w:tcPr>
          <w:p w:rsidR="00C17D93" w:rsidRPr="000E48A1" w:rsidRDefault="00C17D93" w:rsidP="00C17D93">
            <w:pPr>
              <w:jc w:val="both"/>
              <w:rPr>
                <w:sz w:val="20"/>
                <w:szCs w:val="20"/>
                <w:lang w:val="fr-CA"/>
              </w:rPr>
            </w:pPr>
            <w:r w:rsidRPr="000E48A1">
              <w:rPr>
                <w:sz w:val="20"/>
                <w:szCs w:val="20"/>
                <w:lang w:val="fr-CA"/>
              </w:rPr>
              <w:lastRenderedPageBreak/>
              <w:t xml:space="preserve">Monsieur Kwong a demandé le contrôle judiciaire de la décision de l’agent. Le ministre a répondu à la demande et déposé une requête en vue de faire retirer du dossier de la cour certains documents visés par une ordonnance de confidentialité rendue avec la décision de 1999 sur la demande de visa et sur laquelle s’est fondé l’agent en l’espèce, de faire remettre sous scellés toutes les copies des documents ainsi que de faire enjoindre à M. Kwong et à ses avocats de les retourner au ministre et de détruire toute note liée à ces documents. Le ministre a fait valoir que les documents confidentiels avaient été divulgués par mégarde à M. Kwong en réponse à une demande d’accès à l’information. Le ministre a également demandé par requête une ordonnance rejetant la demande en raison de sa caducité parce que les autorités avaient accepté une demande de visa distincte </w:t>
            </w:r>
            <w:r w:rsidRPr="000E48A1">
              <w:rPr>
                <w:rStyle w:val="citationcar"/>
                <w:sz w:val="20"/>
                <w:szCs w:val="20"/>
                <w:lang w:val="fr-CA"/>
              </w:rPr>
              <w:t>pour que M. Kwong puisse assister aux funérailles de sa mère. Ce dernier s’est opposé aux deux requêtes</w:t>
            </w:r>
            <w:r w:rsidRPr="000E48A1">
              <w:rPr>
                <w:sz w:val="20"/>
                <w:szCs w:val="20"/>
                <w:lang w:val="fr-CA"/>
              </w:rPr>
              <w:t xml:space="preserv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10 février 2016</w:t>
            </w:r>
          </w:p>
          <w:p w:rsidR="00C17D93" w:rsidRPr="000E48A1" w:rsidRDefault="00C17D93" w:rsidP="00C17D93">
            <w:pPr>
              <w:rPr>
                <w:sz w:val="20"/>
                <w:szCs w:val="20"/>
                <w:lang w:val="fr-CA"/>
              </w:rPr>
            </w:pPr>
            <w:r w:rsidRPr="000E48A1">
              <w:rPr>
                <w:sz w:val="20"/>
                <w:szCs w:val="20"/>
                <w:lang w:val="fr-CA"/>
              </w:rPr>
              <w:t>Cour fédérale</w:t>
            </w:r>
          </w:p>
          <w:p w:rsidR="00C17D93" w:rsidRPr="000E48A1" w:rsidRDefault="00C17D93" w:rsidP="00C17D93">
            <w:pPr>
              <w:rPr>
                <w:sz w:val="20"/>
                <w:szCs w:val="20"/>
                <w:lang w:val="fr-CA"/>
              </w:rPr>
            </w:pPr>
            <w:r w:rsidRPr="000E48A1">
              <w:rPr>
                <w:sz w:val="20"/>
                <w:szCs w:val="20"/>
                <w:lang w:val="fr-CA"/>
              </w:rPr>
              <w:t>(Juge Zinn)</w:t>
            </w:r>
          </w:p>
          <w:p w:rsidR="00C17D93" w:rsidRPr="000E48A1" w:rsidRDefault="00CB2D37" w:rsidP="00C17D93">
            <w:pPr>
              <w:rPr>
                <w:sz w:val="20"/>
                <w:szCs w:val="20"/>
                <w:u w:val="single"/>
              </w:rPr>
            </w:pPr>
            <w:hyperlink r:id="rId35" w:history="1">
              <w:r w:rsidR="00C17D93" w:rsidRPr="000E48A1">
                <w:rPr>
                  <w:rStyle w:val="Hyperlink"/>
                  <w:sz w:val="20"/>
                  <w:szCs w:val="20"/>
                </w:rPr>
                <w:t>2016 CF 179</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C17D93" w:rsidRPr="000E48A1" w:rsidRDefault="00C17D93" w:rsidP="00C17D93">
            <w:pPr>
              <w:jc w:val="both"/>
              <w:rPr>
                <w:sz w:val="20"/>
                <w:szCs w:val="20"/>
                <w:lang w:val="fr-CA"/>
              </w:rPr>
            </w:pPr>
            <w:r w:rsidRPr="000E48A1">
              <w:rPr>
                <w:sz w:val="20"/>
                <w:szCs w:val="20"/>
                <w:lang w:val="fr-CA"/>
              </w:rPr>
              <w:t xml:space="preserve">Requêtes du ministre accueillies, rejet de la demande de contrôle judiciaire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25 février 2016</w:t>
            </w:r>
          </w:p>
          <w:p w:rsidR="00C17D93" w:rsidRPr="000E48A1" w:rsidRDefault="00C17D93" w:rsidP="00C17D93">
            <w:pPr>
              <w:rPr>
                <w:sz w:val="20"/>
                <w:szCs w:val="20"/>
                <w:lang w:val="fr-CA"/>
              </w:rPr>
            </w:pPr>
            <w:r w:rsidRPr="000E48A1">
              <w:rPr>
                <w:sz w:val="20"/>
                <w:szCs w:val="20"/>
                <w:lang w:val="fr-CA"/>
              </w:rPr>
              <w:t>Cour d’appel fédérale</w:t>
            </w:r>
          </w:p>
          <w:p w:rsidR="00C17D93" w:rsidRPr="000E48A1" w:rsidRDefault="00C17D93" w:rsidP="00C17D93">
            <w:pPr>
              <w:rPr>
                <w:sz w:val="20"/>
                <w:szCs w:val="20"/>
                <w:lang w:val="fr-CA"/>
              </w:rPr>
            </w:pPr>
            <w:r w:rsidRPr="000E48A1">
              <w:rPr>
                <w:sz w:val="20"/>
                <w:szCs w:val="20"/>
                <w:lang w:val="fr-CA"/>
              </w:rPr>
              <w:t>(Juge De Montigny)</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C17D93" w:rsidRPr="000E48A1" w:rsidRDefault="00C17D93" w:rsidP="00C17D93">
            <w:pPr>
              <w:rPr>
                <w:sz w:val="20"/>
                <w:szCs w:val="20"/>
                <w:lang w:val="fr-CA"/>
              </w:rPr>
            </w:pPr>
            <w:r w:rsidRPr="000E48A1">
              <w:rPr>
                <w:sz w:val="20"/>
                <w:szCs w:val="20"/>
                <w:lang w:val="fr-CA"/>
              </w:rPr>
              <w:t xml:space="preserve">Directive au Greffe de refuser l’avis d’appel et l’avis de requête en dépôt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21 mars 2016</w:t>
            </w:r>
          </w:p>
          <w:p w:rsidR="00C17D93" w:rsidRPr="000E48A1" w:rsidRDefault="00C17D93" w:rsidP="00C17D93">
            <w:pPr>
              <w:rPr>
                <w:sz w:val="20"/>
                <w:szCs w:val="20"/>
                <w:lang w:val="fr-CA"/>
              </w:rPr>
            </w:pPr>
            <w:r w:rsidRPr="000E48A1">
              <w:rPr>
                <w:sz w:val="20"/>
                <w:szCs w:val="20"/>
                <w:lang w:val="fr-CA"/>
              </w:rPr>
              <w:t>Cour d’appel fédérale</w:t>
            </w:r>
          </w:p>
          <w:p w:rsidR="00C17D93" w:rsidRPr="000E48A1" w:rsidRDefault="00C17D93" w:rsidP="00C17D93">
            <w:pPr>
              <w:rPr>
                <w:sz w:val="20"/>
                <w:szCs w:val="20"/>
                <w:lang w:val="fr-CA"/>
              </w:rPr>
            </w:pPr>
            <w:r w:rsidRPr="000E48A1">
              <w:rPr>
                <w:sz w:val="20"/>
                <w:szCs w:val="20"/>
                <w:lang w:val="fr-CA"/>
              </w:rPr>
              <w:t>(Juge De Montigny)</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C17D93" w:rsidP="00B537CB">
            <w:pPr>
              <w:pStyle w:val="SCCShortJudgment"/>
              <w:ind w:firstLine="0"/>
              <w:rPr>
                <w:rFonts w:cs="Times New Roman"/>
                <w:szCs w:val="20"/>
                <w:lang w:val="fr-CA"/>
              </w:rPr>
            </w:pPr>
            <w:r w:rsidRPr="000E48A1">
              <w:rPr>
                <w:szCs w:val="20"/>
                <w:lang w:val="fr-CA"/>
              </w:rPr>
              <w:t>Directive refusant de revoir la décision de ne pas accepter l’avis d’appel et l’avis de requête en dépôt</w:t>
            </w:r>
          </w:p>
        </w:tc>
      </w:tr>
      <w:tr w:rsidR="00A67A25" w:rsidRPr="0086620F" w:rsidTr="00B537CB">
        <w:trPr>
          <w:cantSplit/>
        </w:trPr>
        <w:tc>
          <w:tcPr>
            <w:tcW w:w="4410" w:type="dxa"/>
            <w:gridSpan w:val="2"/>
          </w:tcPr>
          <w:p w:rsidR="00C17D93" w:rsidRPr="000E48A1" w:rsidRDefault="00C17D93" w:rsidP="00C17D93">
            <w:pPr>
              <w:rPr>
                <w:sz w:val="20"/>
                <w:szCs w:val="20"/>
                <w:lang w:val="fr-CA"/>
              </w:rPr>
            </w:pPr>
            <w:r w:rsidRPr="000E48A1">
              <w:rPr>
                <w:sz w:val="20"/>
                <w:szCs w:val="20"/>
                <w:lang w:val="fr-CA"/>
              </w:rPr>
              <w:t>8 juin 2016</w:t>
            </w:r>
          </w:p>
          <w:p w:rsidR="00A67A25" w:rsidRPr="000E48A1" w:rsidRDefault="00C17D93" w:rsidP="00C17D93">
            <w:pPr>
              <w:pStyle w:val="SCCShortJudgment"/>
              <w:ind w:firstLine="0"/>
              <w:rPr>
                <w:rFonts w:cs="Times New Roman"/>
                <w:szCs w:val="20"/>
                <w:lang w:val="fr-CA"/>
              </w:rPr>
            </w:pPr>
            <w:r w:rsidRPr="000E48A1">
              <w:rPr>
                <w:szCs w:val="20"/>
                <w:lang w:val="fr-CA"/>
              </w:rPr>
              <w:t>Cour suprême du Canada</w:t>
            </w: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C17D93" w:rsidP="00B537CB">
            <w:pPr>
              <w:pStyle w:val="SCCShortJudgment"/>
              <w:ind w:firstLine="0"/>
              <w:rPr>
                <w:szCs w:val="20"/>
                <w:lang w:val="fr-CA"/>
              </w:rPr>
            </w:pPr>
            <w:r w:rsidRPr="000E48A1">
              <w:rPr>
                <w:szCs w:val="20"/>
                <w:lang w:val="fr-CA"/>
              </w:rPr>
              <w:t>Dépôt de la requête en prorogation du délai pour signifier et déposer la demande d’autorisation d’appel et de la demande d’autorisation d’appel</w:t>
            </w:r>
          </w:p>
          <w:p w:rsidR="00C17D93" w:rsidRPr="000E48A1" w:rsidRDefault="00C17D93" w:rsidP="00B537CB">
            <w:pPr>
              <w:pStyle w:val="SCCShortJudgment"/>
              <w:ind w:firstLine="0"/>
              <w:rPr>
                <w:rFonts w:cs="Times New Roman"/>
                <w:szCs w:val="20"/>
                <w:lang w:val="fr-CA"/>
              </w:rPr>
            </w:pPr>
          </w:p>
        </w:tc>
      </w:tr>
    </w:tbl>
    <w:p w:rsidR="00A67A25" w:rsidRDefault="00CB2D37" w:rsidP="000E2959">
      <w:pPr>
        <w:rPr>
          <w:sz w:val="20"/>
          <w:szCs w:val="20"/>
        </w:rPr>
      </w:pPr>
      <w:r>
        <w:rPr>
          <w:sz w:val="20"/>
          <w:szCs w:val="20"/>
          <w:lang w:val="fr-CA"/>
        </w:rPr>
        <w:pict>
          <v:rect id="_x0000_i1058"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832B84">
        <w:trPr>
          <w:cantSplit/>
        </w:trPr>
        <w:tc>
          <w:tcPr>
            <w:tcW w:w="1458" w:type="dxa"/>
            <w:shd w:val="clear" w:color="auto" w:fill="auto"/>
          </w:tcPr>
          <w:p w:rsidR="00A67A25" w:rsidRPr="00832B84" w:rsidRDefault="00580072" w:rsidP="00B537CB">
            <w:pPr>
              <w:jc w:val="both"/>
              <w:rPr>
                <w:rFonts w:cs="Times New Roman"/>
                <w:sz w:val="20"/>
                <w:szCs w:val="20"/>
              </w:rPr>
            </w:pPr>
            <w:r w:rsidRPr="00832B84">
              <w:rPr>
                <w:rStyle w:val="SCCFileNumberChar"/>
                <w:sz w:val="20"/>
                <w:szCs w:val="20"/>
              </w:rPr>
              <w:t>37081</w:t>
            </w:r>
          </w:p>
          <w:p w:rsidR="00A67A25" w:rsidRPr="00832B84" w:rsidRDefault="00A67A25" w:rsidP="00B537CB">
            <w:pPr>
              <w:jc w:val="both"/>
              <w:rPr>
                <w:rFonts w:cs="Times New Roman"/>
                <w:b/>
                <w:sz w:val="20"/>
                <w:szCs w:val="20"/>
              </w:rPr>
            </w:pPr>
          </w:p>
        </w:tc>
        <w:tc>
          <w:tcPr>
            <w:tcW w:w="8118" w:type="dxa"/>
            <w:gridSpan w:val="3"/>
            <w:shd w:val="clear" w:color="auto" w:fill="auto"/>
          </w:tcPr>
          <w:p w:rsidR="00A67A25" w:rsidRPr="00832B84" w:rsidRDefault="00832B84" w:rsidP="00B537CB">
            <w:pPr>
              <w:jc w:val="both"/>
              <w:rPr>
                <w:rFonts w:cs="Times New Roman"/>
                <w:sz w:val="20"/>
                <w:szCs w:val="20"/>
              </w:rPr>
            </w:pPr>
            <w:r w:rsidRPr="00832B84">
              <w:rPr>
                <w:b/>
                <w:sz w:val="20"/>
                <w:szCs w:val="20"/>
                <w:u w:val="single"/>
              </w:rPr>
              <w:t>Tyrone Daum v. Michael John Clapci</w:t>
            </w:r>
            <w:r w:rsidR="00A67A25" w:rsidRPr="00832B84">
              <w:rPr>
                <w:rStyle w:val="SCCLsocChar"/>
                <w:rFonts w:cs="Times New Roman"/>
                <w:sz w:val="20"/>
                <w:szCs w:val="20"/>
                <w:u w:val="none"/>
                <w:lang w:val="en-CA"/>
              </w:rPr>
              <w:t xml:space="preserve"> </w:t>
            </w:r>
            <w:r w:rsidR="00A67A25" w:rsidRPr="00832B84">
              <w:rPr>
                <w:rFonts w:cs="Times New Roman"/>
                <w:sz w:val="20"/>
                <w:szCs w:val="20"/>
              </w:rPr>
              <w:t>(</w:t>
            </w:r>
            <w:r w:rsidRPr="00832B84">
              <w:rPr>
                <w:rFonts w:cs="Times New Roman"/>
                <w:sz w:val="20"/>
                <w:szCs w:val="20"/>
              </w:rPr>
              <w:t>B.C.</w:t>
            </w:r>
            <w:r w:rsidR="00A67A25" w:rsidRPr="00832B84">
              <w:rPr>
                <w:rFonts w:cs="Times New Roman"/>
                <w:sz w:val="20"/>
                <w:szCs w:val="20"/>
              </w:rPr>
              <w:t>) (Civil) (By Leave)</w:t>
            </w:r>
          </w:p>
          <w:p w:rsidR="00A67A25" w:rsidRPr="00832B84" w:rsidRDefault="00A67A25" w:rsidP="00B537CB">
            <w:pPr>
              <w:jc w:val="both"/>
              <w:rPr>
                <w:rFonts w:cs="Times New Roman"/>
                <w:sz w:val="20"/>
                <w:szCs w:val="20"/>
              </w:rPr>
            </w:pPr>
          </w:p>
        </w:tc>
      </w:tr>
      <w:tr w:rsidR="00A67A25" w:rsidRPr="000E48A1" w:rsidTr="00832B84">
        <w:trPr>
          <w:cantSplit/>
        </w:trPr>
        <w:tc>
          <w:tcPr>
            <w:tcW w:w="1458" w:type="dxa"/>
            <w:shd w:val="clear" w:color="auto" w:fill="auto"/>
          </w:tcPr>
          <w:p w:rsidR="00A67A25" w:rsidRPr="00832B84" w:rsidRDefault="00A67A25" w:rsidP="00B537CB">
            <w:pPr>
              <w:jc w:val="both"/>
              <w:rPr>
                <w:rFonts w:cs="Times New Roman"/>
                <w:sz w:val="20"/>
                <w:szCs w:val="20"/>
              </w:rPr>
            </w:pPr>
            <w:r w:rsidRPr="00832B84">
              <w:rPr>
                <w:rFonts w:cs="Times New Roman"/>
                <w:sz w:val="20"/>
                <w:szCs w:val="20"/>
              </w:rPr>
              <w:t>Coram :</w:t>
            </w:r>
          </w:p>
        </w:tc>
        <w:tc>
          <w:tcPr>
            <w:tcW w:w="8118" w:type="dxa"/>
            <w:gridSpan w:val="3"/>
            <w:shd w:val="clear" w:color="auto" w:fill="auto"/>
          </w:tcPr>
          <w:p w:rsidR="00A67A25" w:rsidRPr="00832B84" w:rsidRDefault="00832B84" w:rsidP="00B537CB">
            <w:pPr>
              <w:jc w:val="both"/>
              <w:rPr>
                <w:rStyle w:val="SCCCoramChar"/>
                <w:sz w:val="20"/>
                <w:szCs w:val="20"/>
                <w:lang w:val="en-CA"/>
              </w:rPr>
            </w:pPr>
            <w:r w:rsidRPr="00832B84">
              <w:rPr>
                <w:rStyle w:val="SCCCoramChar"/>
                <w:sz w:val="20"/>
                <w:szCs w:val="20"/>
                <w:lang w:val="en-CA"/>
              </w:rPr>
              <w:t>McLachlin C.J. and Moldaver and Gascon JJ.</w:t>
            </w:r>
          </w:p>
          <w:p w:rsidR="00832B84" w:rsidRPr="00832B84" w:rsidRDefault="00832B84" w:rsidP="00B537CB">
            <w:pPr>
              <w:jc w:val="both"/>
              <w:rPr>
                <w:rFonts w:cs="Times New Roman"/>
                <w:sz w:val="20"/>
                <w:szCs w:val="20"/>
              </w:rPr>
            </w:pPr>
          </w:p>
        </w:tc>
      </w:tr>
      <w:tr w:rsidR="00A67A25" w:rsidRPr="0086620F" w:rsidTr="00832B84">
        <w:tc>
          <w:tcPr>
            <w:tcW w:w="9576" w:type="dxa"/>
            <w:gridSpan w:val="4"/>
            <w:shd w:val="clear" w:color="auto" w:fill="auto"/>
          </w:tcPr>
          <w:p w:rsidR="00A67A25" w:rsidRPr="00832B84" w:rsidRDefault="00A67A25" w:rsidP="00B537CB">
            <w:pPr>
              <w:pStyle w:val="SCCShortJudgment"/>
              <w:ind w:firstLine="0"/>
              <w:rPr>
                <w:rFonts w:cs="Times New Roman"/>
                <w:szCs w:val="20"/>
              </w:rPr>
            </w:pPr>
            <w:r w:rsidRPr="00832B84">
              <w:rPr>
                <w:rFonts w:cs="Times New Roman"/>
                <w:szCs w:val="20"/>
              </w:rPr>
              <w:tab/>
            </w:r>
            <w:r w:rsidR="00832B84" w:rsidRPr="00832B84">
              <w:rPr>
                <w:szCs w:val="20"/>
              </w:rPr>
              <w:t>The application for leave to appeal from the judgment of the Court of Appeal for British Columbia (Vancouver), Number CA42080, 2016 BCCA 176, dated April 21, 2016, is dismissed with costs.</w:t>
            </w:r>
          </w:p>
          <w:p w:rsidR="00A67A25" w:rsidRPr="00832B84" w:rsidRDefault="00A67A25" w:rsidP="00B537CB">
            <w:pPr>
              <w:pStyle w:val="SCCShortJudgment"/>
              <w:ind w:firstLine="0"/>
              <w:rPr>
                <w:rFonts w:cs="Times New Roman"/>
                <w:szCs w:val="20"/>
              </w:rPr>
            </w:pPr>
          </w:p>
          <w:p w:rsidR="00A67A25" w:rsidRPr="00832B84" w:rsidRDefault="00A67A25" w:rsidP="00B537CB">
            <w:pPr>
              <w:pStyle w:val="SCCShortJudgment"/>
              <w:ind w:firstLine="0"/>
              <w:rPr>
                <w:szCs w:val="20"/>
                <w:lang w:val="fr-CA"/>
              </w:rPr>
            </w:pPr>
            <w:r w:rsidRPr="00832B84">
              <w:rPr>
                <w:rFonts w:cs="Times New Roman"/>
                <w:szCs w:val="20"/>
              </w:rPr>
              <w:tab/>
            </w:r>
            <w:r w:rsidR="00832B84" w:rsidRPr="00832B84">
              <w:rPr>
                <w:szCs w:val="20"/>
                <w:lang w:val="fr-CA"/>
              </w:rPr>
              <w:t xml:space="preserve">La demande d’autorisation d’appel de l’arrêt de la </w:t>
            </w:r>
            <w:r w:rsidR="00832B84" w:rsidRPr="00832B84">
              <w:rPr>
                <w:szCs w:val="20"/>
                <w:lang w:val="fr-FR"/>
              </w:rPr>
              <w:t>Cour d’appel de la Colombie-Britannique (Vancouver)</w:t>
            </w:r>
            <w:r w:rsidR="00832B84" w:rsidRPr="00832B84">
              <w:rPr>
                <w:szCs w:val="20"/>
                <w:lang w:val="fr-CA"/>
              </w:rPr>
              <w:t xml:space="preserve">, numéro </w:t>
            </w:r>
            <w:r w:rsidR="00832B84" w:rsidRPr="00832B84">
              <w:rPr>
                <w:szCs w:val="20"/>
                <w:lang w:val="fr-FR"/>
              </w:rPr>
              <w:t>CA42080, 2016 BCCA 176</w:t>
            </w:r>
            <w:r w:rsidR="00832B84" w:rsidRPr="00832B84">
              <w:rPr>
                <w:szCs w:val="20"/>
                <w:lang w:val="fr-CA"/>
              </w:rPr>
              <w:t xml:space="preserve">, daté du </w:t>
            </w:r>
            <w:r w:rsidR="00832B84" w:rsidRPr="00832B84">
              <w:rPr>
                <w:szCs w:val="20"/>
                <w:lang w:val="fr-FR"/>
              </w:rPr>
              <w:t>21 avril 2016</w:t>
            </w:r>
            <w:r w:rsidR="00832B84" w:rsidRPr="00832B84">
              <w:rPr>
                <w:szCs w:val="20"/>
                <w:lang w:val="fr-CA"/>
              </w:rPr>
              <w:t>, est rejet</w:t>
            </w:r>
            <w:r w:rsidR="00832B84" w:rsidRPr="00832B84">
              <w:rPr>
                <w:rFonts w:cs="Times New Roman"/>
                <w:szCs w:val="20"/>
                <w:lang w:val="fr-CA"/>
              </w:rPr>
              <w:t>é</w:t>
            </w:r>
            <w:r w:rsidR="00832B84" w:rsidRPr="00832B84">
              <w:rPr>
                <w:szCs w:val="20"/>
                <w:lang w:val="fr-CA"/>
              </w:rPr>
              <w:t>e avec d</w:t>
            </w:r>
            <w:r w:rsidR="00832B84" w:rsidRPr="00832B84">
              <w:rPr>
                <w:rFonts w:cs="Times New Roman"/>
                <w:szCs w:val="20"/>
                <w:lang w:val="fr-CA"/>
              </w:rPr>
              <w:t>é</w:t>
            </w:r>
            <w:r w:rsidR="00832B84" w:rsidRPr="00832B84">
              <w:rPr>
                <w:szCs w:val="20"/>
                <w:lang w:val="fr-CA"/>
              </w:rPr>
              <w:t xml:space="preserve">pens. </w:t>
            </w:r>
          </w:p>
          <w:p w:rsidR="00832B84" w:rsidRPr="00832B84" w:rsidRDefault="00832B84"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C17D93" w:rsidP="00B537CB">
            <w:pPr>
              <w:pStyle w:val="SCCShortJudgment"/>
              <w:ind w:firstLine="0"/>
              <w:rPr>
                <w:szCs w:val="20"/>
              </w:rPr>
            </w:pPr>
            <w:r w:rsidRPr="000E48A1">
              <w:rPr>
                <w:szCs w:val="20"/>
              </w:rPr>
              <w:t xml:space="preserve">Commercial law – Corporations – Trusts – Breach of trust – Damages – Derivative claims – Equitable compensation – Whether the exception to the rule in </w:t>
            </w:r>
            <w:r w:rsidRPr="000E48A1">
              <w:rPr>
                <w:i/>
                <w:szCs w:val="20"/>
              </w:rPr>
              <w:t>Foss v. Harbottle</w:t>
            </w:r>
            <w:r w:rsidRPr="000E48A1">
              <w:rPr>
                <w:szCs w:val="20"/>
              </w:rPr>
              <w:t xml:space="preserve"> (1943), 2 Hare 461, 67 Ch. 189 (Ch.), articulated in </w:t>
            </w:r>
            <w:r w:rsidRPr="000E48A1">
              <w:rPr>
                <w:i/>
                <w:szCs w:val="20"/>
              </w:rPr>
              <w:t>Johnson v. Gore Wood &amp; Co.</w:t>
            </w:r>
            <w:r w:rsidRPr="000E48A1">
              <w:rPr>
                <w:szCs w:val="20"/>
              </w:rPr>
              <w:t xml:space="preserve">, </w:t>
            </w:r>
            <w:r w:rsidRPr="000E48A1">
              <w:rPr>
                <w:rStyle w:val="reflex3-alt"/>
                <w:szCs w:val="20"/>
              </w:rPr>
              <w:t xml:space="preserve">[2001] 1 All E.R. 481, applies in Canada </w:t>
            </w:r>
            <w:r w:rsidRPr="000E48A1">
              <w:rPr>
                <w:szCs w:val="20"/>
              </w:rPr>
              <w:t>–</w:t>
            </w:r>
            <w:r w:rsidRPr="000E48A1">
              <w:rPr>
                <w:rStyle w:val="reflex3-alt"/>
                <w:szCs w:val="20"/>
              </w:rPr>
              <w:t xml:space="preserve"> Whether t</w:t>
            </w:r>
            <w:r w:rsidRPr="000E48A1">
              <w:rPr>
                <w:szCs w:val="20"/>
              </w:rPr>
              <w:t>he Court of Appeal erred by failing to award Mr. Daum equitable compensation for damage to the value of his shares held pursuant to a trust agreement where the trustee breached his trust obligation by refusing to return the shares.</w:t>
            </w:r>
          </w:p>
          <w:p w:rsidR="00C17D93" w:rsidRPr="000E48A1" w:rsidRDefault="00C17D93" w:rsidP="00B537CB">
            <w:pPr>
              <w:pStyle w:val="SCCShortJudgment"/>
              <w:ind w:firstLine="0"/>
              <w:rPr>
                <w:rFonts w:cs="Times New Roman"/>
                <w:szCs w:val="20"/>
              </w:rPr>
            </w:pPr>
          </w:p>
        </w:tc>
      </w:tr>
      <w:tr w:rsidR="00A67A25" w:rsidRPr="000E48A1" w:rsidTr="00832B84">
        <w:tc>
          <w:tcPr>
            <w:tcW w:w="9576" w:type="dxa"/>
            <w:gridSpan w:val="4"/>
          </w:tcPr>
          <w:p w:rsidR="00C17D93" w:rsidRPr="000E48A1" w:rsidRDefault="00C17D93" w:rsidP="00C17D93">
            <w:pPr>
              <w:jc w:val="both"/>
              <w:rPr>
                <w:sz w:val="20"/>
                <w:szCs w:val="20"/>
              </w:rPr>
            </w:pPr>
            <w:r w:rsidRPr="000E48A1">
              <w:rPr>
                <w:sz w:val="20"/>
                <w:szCs w:val="20"/>
              </w:rPr>
              <w:t xml:space="preserve">The parties entered into a trust agreement under which Mr. Clapci loaned Mr. Daum’s numbered company money to pay out a mortgage on a hotel property. He became the sole director of the numbered company and was made bare trustee, for Mr. Daum, of 82% of its shares and owner of the other 18% of the shares. The parties’ business relationship deteriorated. Mr. Clapci shut the hotel in November 2010 and it was left empty. Mr. Daum then made an unmet demand for return of his shares. The hotel’s insurer refused to maintain replacement coverage in a hotel left empty over the </w:t>
            </w:r>
            <w:r w:rsidRPr="000E48A1">
              <w:rPr>
                <w:sz w:val="20"/>
                <w:szCs w:val="20"/>
              </w:rPr>
              <w:lastRenderedPageBreak/>
              <w:t>winter, but Mr. Clapci did not obtain replacement insurance. The hotel was destroyed in a fire in March 2011, and the insurer paid about $500,000 less than it would have paid had replacement coverage been in place.</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9576" w:type="dxa"/>
            <w:gridSpan w:val="4"/>
          </w:tcPr>
          <w:p w:rsidR="00C17D93" w:rsidRPr="000E48A1" w:rsidRDefault="00C17D93" w:rsidP="00C17D93">
            <w:pPr>
              <w:jc w:val="both"/>
              <w:rPr>
                <w:sz w:val="20"/>
                <w:szCs w:val="20"/>
              </w:rPr>
            </w:pPr>
            <w:r w:rsidRPr="000E48A1">
              <w:rPr>
                <w:sz w:val="20"/>
                <w:szCs w:val="20"/>
              </w:rPr>
              <w:lastRenderedPageBreak/>
              <w:t>The trial judge granted much of Mr. Daum’s claim for recovery and largely dismissed Mr. Clapci’s counterclaim. The Court of Appeal allowed Mr. Clapci’s appeal, but dismissed Mr. Daum’s cross-appeal.</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July 18, 2014</w:t>
            </w:r>
          </w:p>
          <w:p w:rsidR="00C17D93" w:rsidRPr="000E48A1" w:rsidRDefault="00C17D93" w:rsidP="00C17D93">
            <w:pPr>
              <w:rPr>
                <w:sz w:val="20"/>
                <w:szCs w:val="20"/>
              </w:rPr>
            </w:pPr>
            <w:r w:rsidRPr="000E48A1">
              <w:rPr>
                <w:sz w:val="20"/>
                <w:szCs w:val="20"/>
              </w:rPr>
              <w:t>Supreme Court of British Columbia</w:t>
            </w:r>
          </w:p>
          <w:p w:rsidR="00C17D93" w:rsidRPr="000E48A1" w:rsidRDefault="00C17D93" w:rsidP="00C17D93">
            <w:pPr>
              <w:rPr>
                <w:sz w:val="20"/>
                <w:szCs w:val="20"/>
              </w:rPr>
            </w:pPr>
            <w:r w:rsidRPr="000E48A1">
              <w:rPr>
                <w:sz w:val="20"/>
                <w:szCs w:val="20"/>
              </w:rPr>
              <w:t>(Macintosh J.)</w:t>
            </w:r>
          </w:p>
          <w:p w:rsidR="00C17D93" w:rsidRPr="000E48A1" w:rsidRDefault="00CB2D37" w:rsidP="00C17D93">
            <w:pPr>
              <w:rPr>
                <w:sz w:val="20"/>
                <w:szCs w:val="20"/>
                <w:u w:val="single"/>
              </w:rPr>
            </w:pPr>
            <w:hyperlink r:id="rId36" w:history="1">
              <w:r w:rsidR="00C17D93" w:rsidRPr="000E48A1">
                <w:rPr>
                  <w:rStyle w:val="Hyperlink"/>
                  <w:sz w:val="20"/>
                  <w:szCs w:val="20"/>
                </w:rPr>
                <w:t>2014 BCSC 1524</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C17D93" w:rsidRPr="000E48A1" w:rsidRDefault="00C17D93" w:rsidP="00C17D93">
            <w:pPr>
              <w:tabs>
                <w:tab w:val="left" w:pos="1234"/>
              </w:tabs>
              <w:jc w:val="both"/>
              <w:rPr>
                <w:sz w:val="20"/>
                <w:szCs w:val="20"/>
              </w:rPr>
            </w:pPr>
            <w:r w:rsidRPr="000E48A1">
              <w:rPr>
                <w:i/>
                <w:sz w:val="20"/>
                <w:szCs w:val="20"/>
              </w:rPr>
              <w:t>Inter alia</w:t>
            </w:r>
            <w:r w:rsidRPr="000E48A1">
              <w:rPr>
                <w:sz w:val="20"/>
                <w:szCs w:val="20"/>
              </w:rPr>
              <w:t>, Mr. Clapci ordered to forfeit his 18% of the shares in company; Mr. Daum declared owner of 100% of the shares in company; the monies paid into court ordered paid to credit of company; parties to apply for payment out of those funds; Mr. Clapci awarded $13,000; counterclaim otherwise dismissed; Mr. Daum awarded $25,000 in punitive damages; company’s mortgage declared null and void and ordered discharged; and Mr. Clapci removed as officer, director and shareholder of company.</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April 21, 2016</w:t>
            </w:r>
          </w:p>
          <w:p w:rsidR="00C17D93" w:rsidRPr="000E48A1" w:rsidRDefault="00C17D93" w:rsidP="00C17D93">
            <w:pPr>
              <w:rPr>
                <w:sz w:val="20"/>
                <w:szCs w:val="20"/>
              </w:rPr>
            </w:pPr>
            <w:r w:rsidRPr="000E48A1">
              <w:rPr>
                <w:sz w:val="20"/>
                <w:szCs w:val="20"/>
              </w:rPr>
              <w:t>Court of Appeal for British Columbia (Vancouver)</w:t>
            </w:r>
          </w:p>
          <w:p w:rsidR="00C17D93" w:rsidRPr="000E48A1" w:rsidRDefault="00C17D93" w:rsidP="00C17D93">
            <w:pPr>
              <w:rPr>
                <w:sz w:val="20"/>
                <w:szCs w:val="20"/>
              </w:rPr>
            </w:pPr>
            <w:r w:rsidRPr="000E48A1">
              <w:rPr>
                <w:sz w:val="20"/>
                <w:szCs w:val="20"/>
              </w:rPr>
              <w:t>(Newbury, Bennett, Fenlon JJ.A.)</w:t>
            </w:r>
          </w:p>
          <w:p w:rsidR="00C17D93" w:rsidRPr="000E48A1" w:rsidRDefault="00CB2D37" w:rsidP="00C17D93">
            <w:pPr>
              <w:rPr>
                <w:sz w:val="20"/>
                <w:szCs w:val="20"/>
                <w:u w:val="single"/>
              </w:rPr>
            </w:pPr>
            <w:hyperlink r:id="rId37" w:history="1">
              <w:r w:rsidR="00C17D93" w:rsidRPr="000E48A1">
                <w:rPr>
                  <w:rStyle w:val="Hyperlink"/>
                  <w:sz w:val="20"/>
                  <w:szCs w:val="20"/>
                </w:rPr>
                <w:t>2016 BCCA 176</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C17D93" w:rsidP="00B537CB">
            <w:pPr>
              <w:jc w:val="both"/>
              <w:rPr>
                <w:rFonts w:cs="Times New Roman"/>
                <w:sz w:val="20"/>
                <w:szCs w:val="20"/>
              </w:rPr>
            </w:pPr>
            <w:r w:rsidRPr="000E48A1">
              <w:rPr>
                <w:sz w:val="20"/>
                <w:szCs w:val="20"/>
              </w:rPr>
              <w:t>Appeal allowed; cross-appeal dismissed.</w:t>
            </w:r>
          </w:p>
        </w:tc>
      </w:tr>
      <w:tr w:rsidR="00A67A25" w:rsidRPr="000E48A1" w:rsidTr="00B537CB">
        <w:trPr>
          <w:cantSplit/>
        </w:trPr>
        <w:tc>
          <w:tcPr>
            <w:tcW w:w="4410" w:type="dxa"/>
            <w:gridSpan w:val="2"/>
          </w:tcPr>
          <w:p w:rsidR="00C17D93" w:rsidRPr="000E48A1" w:rsidRDefault="00C17D93" w:rsidP="00C17D93">
            <w:pPr>
              <w:rPr>
                <w:sz w:val="20"/>
                <w:szCs w:val="20"/>
              </w:rPr>
            </w:pPr>
            <w:r w:rsidRPr="000E48A1">
              <w:rPr>
                <w:sz w:val="20"/>
                <w:szCs w:val="20"/>
              </w:rPr>
              <w:t>June 17, 2016</w:t>
            </w:r>
          </w:p>
          <w:p w:rsidR="00C17D93" w:rsidRPr="000E48A1" w:rsidRDefault="00C17D93" w:rsidP="00C17D93">
            <w:pPr>
              <w:rPr>
                <w:sz w:val="20"/>
                <w:szCs w:val="20"/>
              </w:rPr>
            </w:pPr>
            <w:r w:rsidRPr="000E48A1">
              <w:rPr>
                <w:sz w:val="20"/>
                <w:szCs w:val="20"/>
              </w:rPr>
              <w:t>Supreme Court of Canada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C17D93" w:rsidRPr="000E48A1" w:rsidRDefault="00C17D93" w:rsidP="00C17D93">
            <w:pPr>
              <w:rPr>
                <w:sz w:val="20"/>
                <w:szCs w:val="20"/>
              </w:rPr>
            </w:pPr>
            <w:r w:rsidRPr="000E48A1">
              <w:rPr>
                <w:sz w:val="20"/>
                <w:szCs w:val="20"/>
              </w:rPr>
              <w:t>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59"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C17D93">
        <w:tc>
          <w:tcPr>
            <w:tcW w:w="9576" w:type="dxa"/>
            <w:gridSpan w:val="4"/>
          </w:tcPr>
          <w:p w:rsidR="00A67A25" w:rsidRPr="000E48A1" w:rsidRDefault="00C17D93" w:rsidP="00B537CB">
            <w:pPr>
              <w:pStyle w:val="SCCShortJudgment"/>
              <w:ind w:firstLine="0"/>
              <w:rPr>
                <w:rStyle w:val="reflex3-alt"/>
                <w:szCs w:val="20"/>
                <w:lang w:val="fr-CA"/>
              </w:rPr>
            </w:pPr>
            <w:r w:rsidRPr="000E48A1">
              <w:rPr>
                <w:szCs w:val="20"/>
                <w:lang w:val="fr-CA"/>
              </w:rPr>
              <w:t xml:space="preserve">Droit commercial – Sociétés par actions – Fiducies – Manquement à une obligation fiduciaire – Dommages-intérêts – Instruments dérivés – Indemnisation en </w:t>
            </w:r>
            <w:r w:rsidRPr="000E48A1">
              <w:rPr>
                <w:i/>
                <w:szCs w:val="20"/>
                <w:lang w:val="fr-CA"/>
              </w:rPr>
              <w:t>equity</w:t>
            </w:r>
            <w:r w:rsidRPr="000E48A1">
              <w:rPr>
                <w:szCs w:val="20"/>
                <w:lang w:val="fr-CA"/>
              </w:rPr>
              <w:t xml:space="preserve"> – L’exception à la règle énoncée dans </w:t>
            </w:r>
            <w:r w:rsidRPr="000E48A1">
              <w:rPr>
                <w:i/>
                <w:szCs w:val="20"/>
                <w:lang w:val="fr-CA"/>
              </w:rPr>
              <w:t>Foss v. Harbottle</w:t>
            </w:r>
            <w:r w:rsidRPr="000E48A1">
              <w:rPr>
                <w:szCs w:val="20"/>
                <w:lang w:val="fr-CA"/>
              </w:rPr>
              <w:t xml:space="preserve"> (1943), 2 Hare 461, 67 Ch. 189 (Ch.) et précisée dans </w:t>
            </w:r>
            <w:r w:rsidRPr="000E48A1">
              <w:rPr>
                <w:i/>
                <w:szCs w:val="20"/>
                <w:lang w:val="fr-CA"/>
              </w:rPr>
              <w:t>Johnson v. Gore Wood &amp; Co.</w:t>
            </w:r>
            <w:r w:rsidRPr="000E48A1">
              <w:rPr>
                <w:szCs w:val="20"/>
                <w:lang w:val="fr-CA"/>
              </w:rPr>
              <w:t xml:space="preserve">, </w:t>
            </w:r>
            <w:r w:rsidRPr="000E48A1">
              <w:rPr>
                <w:rStyle w:val="reflex3-alt"/>
                <w:szCs w:val="20"/>
                <w:lang w:val="fr-CA"/>
              </w:rPr>
              <w:t xml:space="preserve">[2001] 1 All E.R. 481, s’applique-t-elle au Canada? </w:t>
            </w:r>
            <w:r w:rsidRPr="000E48A1">
              <w:rPr>
                <w:szCs w:val="20"/>
                <w:lang w:val="fr-CA"/>
              </w:rPr>
              <w:t>–</w:t>
            </w:r>
            <w:r w:rsidRPr="000E48A1">
              <w:rPr>
                <w:rStyle w:val="reflex3-alt"/>
                <w:szCs w:val="20"/>
                <w:lang w:val="fr-CA"/>
              </w:rPr>
              <w:t xml:space="preserve"> La Cour d’appel a-t-elle eu tort de refuser d’ordonner le versement à M. Daum d’une indemnité en </w:t>
            </w:r>
            <w:r w:rsidRPr="000E48A1">
              <w:rPr>
                <w:rStyle w:val="reflex3-alt"/>
                <w:i/>
                <w:szCs w:val="20"/>
                <w:lang w:val="fr-CA"/>
              </w:rPr>
              <w:t>equity</w:t>
            </w:r>
            <w:r w:rsidRPr="000E48A1">
              <w:rPr>
                <w:rStyle w:val="reflex3-alt"/>
                <w:szCs w:val="20"/>
                <w:lang w:val="fr-CA"/>
              </w:rPr>
              <w:t xml:space="preserve"> pour le préjudice à la valeur de ses actions, issues d’une convention de fiducie, dans le cas où le fiduciaire a manqué à son obligation fiduciaire en refusant de céder les actions?</w:t>
            </w:r>
          </w:p>
          <w:p w:rsidR="00C17D93" w:rsidRPr="000E48A1" w:rsidRDefault="00C17D93" w:rsidP="00B537CB">
            <w:pPr>
              <w:pStyle w:val="SCCShortJudgment"/>
              <w:ind w:firstLine="0"/>
              <w:rPr>
                <w:rFonts w:cs="Times New Roman"/>
                <w:szCs w:val="20"/>
                <w:lang w:val="fr-CA"/>
              </w:rPr>
            </w:pPr>
          </w:p>
        </w:tc>
      </w:tr>
      <w:tr w:rsidR="00A67A25" w:rsidRPr="0086620F"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 xml:space="preserve">Les parties ont conclu une convention de fiducie en vertu de laquelle M. Clapci a prêté à la société à dénomination numérique de M. Daum les fonds pour rembourser l’hypothèque grevant un hôtel. Il est devenu le directeur exclusif de la société à dénomination numérique et nu-fiduciaire de M. Daum à l’égard de 82 % des actions et propriétaire de 18 % de celles-ci. Les rapports commerciaux des parties se sont détériorés. En novembre 2010, M. Clapci a fermé l’hôtel, qui est resté vacant par la suite. M. Daum a demandé que ses actions lui soient remises, mais il n’a pas été donné suite à sa demande. L’assureur de l’hôtel a refusé de continuer à offrir une couverture de remplacement visant une propriété qui serait vacante tout l’hiver, et M. Clapci n’en a pas souscrit d’autre. En mars 2011, l’hôtel a été détruit par un incendie, et le montant versé par l’assureur était inférieur d’environ 500 000 $ à ce qu’il aurait été si la couverture de remplacement avait été souscrite.   </w:t>
            </w:r>
          </w:p>
          <w:p w:rsidR="00A67A25" w:rsidRPr="000E48A1" w:rsidRDefault="00A67A25" w:rsidP="00B537CB">
            <w:pPr>
              <w:jc w:val="both"/>
              <w:rPr>
                <w:rFonts w:cs="Times New Roman"/>
                <w:sz w:val="20"/>
                <w:szCs w:val="20"/>
                <w:lang w:val="fr-CA"/>
              </w:rPr>
            </w:pPr>
          </w:p>
        </w:tc>
      </w:tr>
      <w:tr w:rsidR="00A67A25" w:rsidRPr="0086620F"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Le tribunal de première instance a fait droit en grande partie à la demande de M. Daum en recouvrement et rejeté en grande partie la demande reconventionnelle présentée par M. Clapci. La Cour d’appel a accueilli l’appel de M. Clapci et rejeté l’appel incident interjeté par M. Daum.</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lastRenderedPageBreak/>
              <w:t>Le 18 juillet 2014</w:t>
            </w:r>
          </w:p>
          <w:p w:rsidR="00E8009B" w:rsidRPr="000E48A1" w:rsidRDefault="00E8009B" w:rsidP="00E8009B">
            <w:pPr>
              <w:rPr>
                <w:sz w:val="20"/>
                <w:szCs w:val="20"/>
                <w:lang w:val="fr-CA"/>
              </w:rPr>
            </w:pPr>
            <w:r w:rsidRPr="000E48A1">
              <w:rPr>
                <w:sz w:val="20"/>
                <w:szCs w:val="20"/>
                <w:lang w:val="fr-CA"/>
              </w:rPr>
              <w:t>Cour suprême de la Colombie-Britannique</w:t>
            </w:r>
          </w:p>
          <w:p w:rsidR="00E8009B" w:rsidRPr="000E48A1" w:rsidRDefault="00E8009B" w:rsidP="00E8009B">
            <w:pPr>
              <w:rPr>
                <w:sz w:val="20"/>
                <w:szCs w:val="20"/>
              </w:rPr>
            </w:pPr>
            <w:r w:rsidRPr="000E48A1">
              <w:rPr>
                <w:sz w:val="20"/>
                <w:szCs w:val="20"/>
              </w:rPr>
              <w:t>(Juge Macintosh)</w:t>
            </w:r>
          </w:p>
          <w:p w:rsidR="00E8009B" w:rsidRPr="000E48A1" w:rsidRDefault="00CB2D37" w:rsidP="00E8009B">
            <w:pPr>
              <w:rPr>
                <w:sz w:val="20"/>
                <w:szCs w:val="20"/>
                <w:u w:val="single"/>
              </w:rPr>
            </w:pPr>
            <w:hyperlink r:id="rId38" w:history="1">
              <w:r w:rsidR="00E8009B" w:rsidRPr="000E48A1">
                <w:rPr>
                  <w:rStyle w:val="Hyperlink"/>
                  <w:sz w:val="20"/>
                  <w:szCs w:val="20"/>
                </w:rPr>
                <w:t>2014 BCSC 1524</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E8009B" w:rsidP="00B537CB">
            <w:pPr>
              <w:pStyle w:val="SCCShortJudgment"/>
              <w:ind w:firstLine="0"/>
              <w:rPr>
                <w:szCs w:val="20"/>
                <w:lang w:val="fr-CA"/>
              </w:rPr>
            </w:pPr>
            <w:r w:rsidRPr="000E48A1">
              <w:rPr>
                <w:i/>
                <w:szCs w:val="20"/>
                <w:lang w:val="fr-CA"/>
              </w:rPr>
              <w:t>Inter alia</w:t>
            </w:r>
            <w:r w:rsidRPr="000E48A1">
              <w:rPr>
                <w:szCs w:val="20"/>
                <w:lang w:val="fr-CA"/>
              </w:rPr>
              <w:t>, décisions ordonnant à M. Clapci de céder les 18 % des actions dans la société; déclarant M. Daum propriétaire de l’ensemble des actions dans la société; ordonnant le paiement des fonds déposés au greffe au crédit de la société; indiquant aux parties de demander d’être payées à même ces fonds; accordant 13 000 $ à M. Clapci; rejetant par ailleurs la demande reconventionnelle; accordant à M. Daum des dommages-intérêts punitifs d’un total de 25 000 $; déclarant l’hypothèque de la société nulle et sans effet et ordonnant sa mainlevée; ordonnant que M. Clapci soit démis de ses fonctions d’agent, de directeur et d’actionnaire de la société.</w:t>
            </w:r>
          </w:p>
          <w:p w:rsidR="00E8009B" w:rsidRPr="000E48A1" w:rsidRDefault="00E8009B"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Le 21 avril 2016</w:t>
            </w:r>
          </w:p>
          <w:p w:rsidR="00E8009B" w:rsidRPr="000E48A1" w:rsidRDefault="00E8009B" w:rsidP="00E8009B">
            <w:pPr>
              <w:rPr>
                <w:sz w:val="20"/>
                <w:szCs w:val="20"/>
                <w:lang w:val="fr-CA"/>
              </w:rPr>
            </w:pPr>
            <w:r w:rsidRPr="000E48A1">
              <w:rPr>
                <w:sz w:val="20"/>
                <w:szCs w:val="20"/>
                <w:lang w:val="fr-CA"/>
              </w:rPr>
              <w:t>Cour d’appel de la Colombie-Britannique (Vancouver)</w:t>
            </w:r>
          </w:p>
          <w:p w:rsidR="00E8009B" w:rsidRPr="000E48A1" w:rsidRDefault="00E8009B" w:rsidP="00E8009B">
            <w:pPr>
              <w:rPr>
                <w:sz w:val="20"/>
                <w:szCs w:val="20"/>
                <w:lang w:val="fr-CA"/>
              </w:rPr>
            </w:pPr>
            <w:r w:rsidRPr="000E48A1">
              <w:rPr>
                <w:sz w:val="20"/>
                <w:szCs w:val="20"/>
                <w:lang w:val="fr-CA"/>
              </w:rPr>
              <w:t>(Juges Newbury, Bennett et Fenlon)</w:t>
            </w:r>
          </w:p>
          <w:p w:rsidR="00E8009B" w:rsidRPr="000E48A1" w:rsidRDefault="00CB2D37" w:rsidP="00E8009B">
            <w:pPr>
              <w:rPr>
                <w:sz w:val="20"/>
                <w:szCs w:val="20"/>
                <w:u w:val="single"/>
              </w:rPr>
            </w:pPr>
            <w:hyperlink r:id="rId39" w:history="1">
              <w:r w:rsidR="00E8009B" w:rsidRPr="000E48A1">
                <w:rPr>
                  <w:rStyle w:val="Hyperlink"/>
                  <w:sz w:val="20"/>
                  <w:szCs w:val="20"/>
                </w:rPr>
                <w:t>2016 BCCA 176</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Appel accueilli; rejet de l’appel incident.</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Le 17 juin 2016</w:t>
            </w:r>
          </w:p>
          <w:p w:rsidR="00E8009B" w:rsidRPr="000E48A1" w:rsidRDefault="00E8009B" w:rsidP="00E8009B">
            <w:pPr>
              <w:rPr>
                <w:sz w:val="20"/>
                <w:szCs w:val="20"/>
                <w:lang w:val="fr-CA"/>
              </w:rPr>
            </w:pPr>
            <w:r w:rsidRPr="000E48A1">
              <w:rPr>
                <w:sz w:val="20"/>
                <w:szCs w:val="20"/>
                <w:lang w:val="fr-CA"/>
              </w:rPr>
              <w:t>Cour suprême du Canada</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Dépôt de la demande d’autorisation d’appel.</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A67A25" w:rsidP="00B537CB">
            <w:pPr>
              <w:pStyle w:val="SCCShortJudgment"/>
              <w:ind w:firstLine="0"/>
              <w:rPr>
                <w:rFonts w:cs="Times New Roman"/>
                <w:szCs w:val="20"/>
                <w:lang w:val="fr-CA"/>
              </w:rPr>
            </w:pPr>
          </w:p>
        </w:tc>
      </w:tr>
    </w:tbl>
    <w:p w:rsidR="00A67A25" w:rsidRDefault="00CB2D37" w:rsidP="000E2959">
      <w:pPr>
        <w:rPr>
          <w:sz w:val="20"/>
          <w:szCs w:val="20"/>
        </w:rPr>
      </w:pPr>
      <w:r>
        <w:rPr>
          <w:sz w:val="20"/>
          <w:szCs w:val="20"/>
          <w:lang w:val="fr-CA"/>
        </w:rPr>
        <w:pict>
          <v:rect id="_x0000_i1060"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86620F" w:rsidTr="00B537CB">
        <w:trPr>
          <w:cantSplit/>
        </w:trPr>
        <w:tc>
          <w:tcPr>
            <w:tcW w:w="1458" w:type="dxa"/>
          </w:tcPr>
          <w:p w:rsidR="00A67A25" w:rsidRPr="00B71604" w:rsidRDefault="00B537CB" w:rsidP="00B537CB">
            <w:pPr>
              <w:jc w:val="both"/>
              <w:rPr>
                <w:rFonts w:cs="Times New Roman"/>
                <w:sz w:val="20"/>
                <w:szCs w:val="20"/>
              </w:rPr>
            </w:pPr>
            <w:r w:rsidRPr="00B71604">
              <w:rPr>
                <w:rStyle w:val="SCCFileNumberChar"/>
                <w:sz w:val="20"/>
                <w:szCs w:val="20"/>
              </w:rPr>
              <w:t>3</w:t>
            </w:r>
            <w:r w:rsidR="00580072" w:rsidRPr="00B71604">
              <w:rPr>
                <w:rStyle w:val="SCCFileNumberChar"/>
                <w:sz w:val="20"/>
                <w:szCs w:val="20"/>
              </w:rPr>
              <w:t>7089</w:t>
            </w:r>
          </w:p>
          <w:p w:rsidR="00A67A25" w:rsidRPr="00B71604" w:rsidRDefault="00A67A25" w:rsidP="00B537CB">
            <w:pPr>
              <w:jc w:val="both"/>
              <w:rPr>
                <w:rFonts w:cs="Times New Roman"/>
                <w:b/>
                <w:sz w:val="20"/>
                <w:szCs w:val="20"/>
              </w:rPr>
            </w:pPr>
          </w:p>
        </w:tc>
        <w:tc>
          <w:tcPr>
            <w:tcW w:w="8118" w:type="dxa"/>
            <w:gridSpan w:val="3"/>
          </w:tcPr>
          <w:p w:rsidR="00A67A25" w:rsidRPr="00EB664B" w:rsidRDefault="00B71604" w:rsidP="00B537CB">
            <w:pPr>
              <w:jc w:val="both"/>
              <w:rPr>
                <w:rFonts w:cs="Times New Roman"/>
                <w:sz w:val="20"/>
                <w:szCs w:val="20"/>
                <w:lang w:val="fr-CA"/>
              </w:rPr>
            </w:pPr>
            <w:r w:rsidRPr="00EB664B">
              <w:rPr>
                <w:b/>
                <w:sz w:val="20"/>
                <w:szCs w:val="20"/>
                <w:u w:val="single"/>
                <w:lang w:val="fr-CA"/>
              </w:rPr>
              <w:t>9090-5647 Québec inc. c. Ville de Sainte-Julie</w:t>
            </w:r>
            <w:r w:rsidRPr="00EB664B">
              <w:rPr>
                <w:rFonts w:cs="Times New Roman"/>
                <w:sz w:val="20"/>
                <w:szCs w:val="20"/>
                <w:lang w:val="fr-CA"/>
              </w:rPr>
              <w:t xml:space="preserve"> </w:t>
            </w:r>
            <w:r w:rsidR="00A67A25" w:rsidRPr="00EB664B">
              <w:rPr>
                <w:rFonts w:cs="Times New Roman"/>
                <w:sz w:val="20"/>
                <w:szCs w:val="20"/>
                <w:lang w:val="fr-CA"/>
              </w:rPr>
              <w:t>(</w:t>
            </w:r>
            <w:r w:rsidRPr="00EB664B">
              <w:rPr>
                <w:rFonts w:cs="Times New Roman"/>
                <w:sz w:val="20"/>
                <w:szCs w:val="20"/>
                <w:lang w:val="fr-CA"/>
              </w:rPr>
              <w:t>Qc</w:t>
            </w:r>
            <w:r w:rsidR="00A67A25" w:rsidRPr="00EB664B">
              <w:rPr>
                <w:rFonts w:cs="Times New Roman"/>
                <w:sz w:val="20"/>
                <w:szCs w:val="20"/>
                <w:lang w:val="fr-CA"/>
              </w:rPr>
              <w:t>) (Civil</w:t>
            </w:r>
            <w:r w:rsidRPr="00EB664B">
              <w:rPr>
                <w:rFonts w:cs="Times New Roman"/>
                <w:sz w:val="20"/>
                <w:szCs w:val="20"/>
                <w:lang w:val="fr-CA"/>
              </w:rPr>
              <w:t>e</w:t>
            </w:r>
            <w:r w:rsidR="00A67A25" w:rsidRPr="00EB664B">
              <w:rPr>
                <w:rFonts w:cs="Times New Roman"/>
                <w:sz w:val="20"/>
                <w:szCs w:val="20"/>
                <w:lang w:val="fr-CA"/>
              </w:rPr>
              <w:t>) (</w:t>
            </w:r>
            <w:r w:rsidRPr="00EB664B">
              <w:rPr>
                <w:rFonts w:cs="Times New Roman"/>
                <w:sz w:val="20"/>
                <w:szCs w:val="20"/>
                <w:lang w:val="fr-CA"/>
              </w:rPr>
              <w:t>Autorisation</w:t>
            </w:r>
            <w:r w:rsidR="00A67A25" w:rsidRPr="00EB664B">
              <w:rPr>
                <w:rFonts w:cs="Times New Roman"/>
                <w:sz w:val="20"/>
                <w:szCs w:val="20"/>
                <w:lang w:val="fr-CA"/>
              </w:rPr>
              <w:t>)</w:t>
            </w:r>
          </w:p>
          <w:p w:rsidR="00A67A25" w:rsidRPr="00EB664B" w:rsidRDefault="00A67A25" w:rsidP="00B537CB">
            <w:pPr>
              <w:jc w:val="both"/>
              <w:rPr>
                <w:rFonts w:cs="Times New Roman"/>
                <w:sz w:val="20"/>
                <w:szCs w:val="20"/>
                <w:lang w:val="fr-CA"/>
              </w:rPr>
            </w:pPr>
          </w:p>
        </w:tc>
      </w:tr>
      <w:tr w:rsidR="00A67A25" w:rsidRPr="0086620F" w:rsidTr="00B537CB">
        <w:trPr>
          <w:cantSplit/>
        </w:trPr>
        <w:tc>
          <w:tcPr>
            <w:tcW w:w="1458" w:type="dxa"/>
          </w:tcPr>
          <w:p w:rsidR="00A67A25" w:rsidRPr="00B71604" w:rsidRDefault="00A67A25" w:rsidP="00B537CB">
            <w:pPr>
              <w:jc w:val="both"/>
              <w:rPr>
                <w:rFonts w:cs="Times New Roman"/>
                <w:sz w:val="20"/>
                <w:szCs w:val="20"/>
              </w:rPr>
            </w:pPr>
            <w:r w:rsidRPr="00B71604">
              <w:rPr>
                <w:rFonts w:cs="Times New Roman"/>
                <w:sz w:val="20"/>
                <w:szCs w:val="20"/>
              </w:rPr>
              <w:t>Coram :</w:t>
            </w:r>
          </w:p>
        </w:tc>
        <w:tc>
          <w:tcPr>
            <w:tcW w:w="8118" w:type="dxa"/>
            <w:gridSpan w:val="3"/>
          </w:tcPr>
          <w:p w:rsidR="00A67A25" w:rsidRPr="00EB664B" w:rsidRDefault="00B71604" w:rsidP="00B537CB">
            <w:pPr>
              <w:jc w:val="both"/>
              <w:rPr>
                <w:rStyle w:val="SCCCoramChar"/>
                <w:sz w:val="20"/>
                <w:szCs w:val="20"/>
              </w:rPr>
            </w:pPr>
            <w:r w:rsidRPr="00EB664B">
              <w:rPr>
                <w:rStyle w:val="SCCCoramChar"/>
                <w:sz w:val="20"/>
                <w:szCs w:val="20"/>
              </w:rPr>
              <w:t xml:space="preserve">La juge en chef McLachlin et les juges Wagner et Gascon </w:t>
            </w:r>
          </w:p>
          <w:p w:rsidR="00B71604" w:rsidRPr="00EB664B" w:rsidRDefault="00B71604" w:rsidP="00B537CB">
            <w:pPr>
              <w:jc w:val="both"/>
              <w:rPr>
                <w:rFonts w:cs="Times New Roman"/>
                <w:sz w:val="20"/>
                <w:szCs w:val="20"/>
                <w:lang w:val="fr-CA"/>
              </w:rPr>
            </w:pPr>
          </w:p>
        </w:tc>
      </w:tr>
      <w:tr w:rsidR="00A67A25" w:rsidRPr="00EE4BF7" w:rsidTr="00E8009B">
        <w:tc>
          <w:tcPr>
            <w:tcW w:w="9576" w:type="dxa"/>
            <w:gridSpan w:val="4"/>
          </w:tcPr>
          <w:p w:rsidR="00A67A25" w:rsidRPr="00EB664B" w:rsidRDefault="00A67A25" w:rsidP="00B537CB">
            <w:pPr>
              <w:pStyle w:val="SCCShortJudgment"/>
              <w:ind w:firstLine="0"/>
              <w:rPr>
                <w:szCs w:val="20"/>
                <w:lang w:val="fr-CA"/>
              </w:rPr>
            </w:pPr>
            <w:r w:rsidRPr="00EB664B">
              <w:rPr>
                <w:rFonts w:cs="Times New Roman"/>
                <w:szCs w:val="20"/>
                <w:lang w:val="fr-CA"/>
              </w:rPr>
              <w:tab/>
            </w:r>
            <w:r w:rsidR="00B71604" w:rsidRPr="00EB664B">
              <w:rPr>
                <w:szCs w:val="20"/>
                <w:lang w:val="fr-CA"/>
              </w:rPr>
              <w:t>La demande d’autorisation d’appel de l’arrêt de la Cour d’appel du Québec (Montréal), numéro</w:t>
            </w:r>
            <w:r w:rsidR="0086620F">
              <w:rPr>
                <w:szCs w:val="20"/>
                <w:lang w:val="fr-CA"/>
              </w:rPr>
              <w:t xml:space="preserve"> </w:t>
            </w:r>
            <w:r w:rsidR="00B71604" w:rsidRPr="00EB664B">
              <w:rPr>
                <w:szCs w:val="20"/>
                <w:lang w:val="fr-CA"/>
              </w:rPr>
              <w:t>500-09-024704-140, 2016 QCCA 737, daté du 29 avril 2016, est rejet</w:t>
            </w:r>
            <w:r w:rsidR="00B71604" w:rsidRPr="00EB664B">
              <w:rPr>
                <w:rFonts w:cs="Times New Roman"/>
                <w:szCs w:val="20"/>
                <w:lang w:val="fr-CA"/>
              </w:rPr>
              <w:t>é</w:t>
            </w:r>
            <w:r w:rsidR="00B71604" w:rsidRPr="00EB664B">
              <w:rPr>
                <w:szCs w:val="20"/>
                <w:lang w:val="fr-CA"/>
              </w:rPr>
              <w:t>e avec d</w:t>
            </w:r>
            <w:r w:rsidR="00B71604" w:rsidRPr="00EB664B">
              <w:rPr>
                <w:rFonts w:cs="Times New Roman"/>
                <w:szCs w:val="20"/>
                <w:lang w:val="fr-CA"/>
              </w:rPr>
              <w:t>é</w:t>
            </w:r>
            <w:r w:rsidR="00B71604" w:rsidRPr="00EB664B">
              <w:rPr>
                <w:szCs w:val="20"/>
                <w:lang w:val="fr-CA"/>
              </w:rPr>
              <w:t>pens.</w:t>
            </w:r>
          </w:p>
          <w:p w:rsidR="00B71604" w:rsidRPr="00EB664B" w:rsidRDefault="00B71604" w:rsidP="00B537CB">
            <w:pPr>
              <w:pStyle w:val="SCCShortJudgment"/>
              <w:ind w:firstLine="0"/>
              <w:rPr>
                <w:rFonts w:cs="Times New Roman"/>
                <w:szCs w:val="20"/>
                <w:lang w:val="fr-CA"/>
              </w:rPr>
            </w:pPr>
          </w:p>
          <w:p w:rsidR="00A67A25" w:rsidRPr="00B71604" w:rsidRDefault="00A67A25" w:rsidP="00B537CB">
            <w:pPr>
              <w:pStyle w:val="SCCShortJudgment"/>
              <w:ind w:firstLine="0"/>
              <w:rPr>
                <w:szCs w:val="20"/>
              </w:rPr>
            </w:pPr>
            <w:r w:rsidRPr="00EB664B">
              <w:rPr>
                <w:rFonts w:cs="Times New Roman"/>
                <w:szCs w:val="20"/>
                <w:lang w:val="fr-CA"/>
              </w:rPr>
              <w:tab/>
            </w:r>
            <w:r w:rsidR="00B71604" w:rsidRPr="00B71604">
              <w:rPr>
                <w:szCs w:val="20"/>
              </w:rPr>
              <w:t xml:space="preserve">The application for leave to appeal from the judgment of the Court of Appeal of Quebec (Montréal), Number 500-09-024704-140, </w:t>
            </w:r>
            <w:r w:rsidR="00B71604" w:rsidRPr="00B71604">
              <w:rPr>
                <w:szCs w:val="20"/>
                <w:lang w:val="en-US"/>
              </w:rPr>
              <w:t xml:space="preserve">2016 QCCA 737, </w:t>
            </w:r>
            <w:r w:rsidR="00B71604" w:rsidRPr="00B71604">
              <w:rPr>
                <w:szCs w:val="20"/>
              </w:rPr>
              <w:t xml:space="preserve">dated April 29, 2016, is dismissed with costs. </w:t>
            </w:r>
          </w:p>
          <w:p w:rsidR="00B71604" w:rsidRPr="00EB664B" w:rsidRDefault="00B71604" w:rsidP="00B537CB">
            <w:pPr>
              <w:pStyle w:val="SCCShortJudgment"/>
              <w:ind w:firstLine="0"/>
              <w:rPr>
                <w:rFonts w:cs="Times New Roman"/>
                <w:szCs w:val="20"/>
                <w:lang w:val="en-US"/>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E8009B" w:rsidP="00B537CB">
            <w:pPr>
              <w:pStyle w:val="SCCShortJudgment"/>
              <w:ind w:firstLine="0"/>
              <w:rPr>
                <w:szCs w:val="20"/>
              </w:rPr>
            </w:pPr>
            <w:r w:rsidRPr="000E48A1">
              <w:rPr>
                <w:szCs w:val="20"/>
              </w:rPr>
              <w:t>Municipal law – Zoning – Existence and scope of acquired rights – Intensification of pre</w:t>
            </w:r>
            <w:r w:rsidRPr="000E48A1">
              <w:rPr>
                <w:szCs w:val="20"/>
              </w:rPr>
              <w:noBreakHyphen/>
              <w:t xml:space="preserve">existing activity – Intervention of Court of Appeal – Whether Court of Appeal erred in intervening on questions of assessment of evidence by trial judge – Whether Court of Appeal failed to apply approach laid down by Supreme Court in </w:t>
            </w:r>
            <w:r w:rsidRPr="000E48A1">
              <w:rPr>
                <w:i/>
                <w:szCs w:val="20"/>
              </w:rPr>
              <w:t>Saint</w:t>
            </w:r>
            <w:r w:rsidRPr="000E48A1">
              <w:rPr>
                <w:i/>
                <w:szCs w:val="20"/>
              </w:rPr>
              <w:noBreakHyphen/>
              <w:t>Romuald (City) v. Olivier</w:t>
            </w:r>
            <w:r w:rsidRPr="000E48A1">
              <w:rPr>
                <w:szCs w:val="20"/>
              </w:rPr>
              <w:t>, [2001] 2 S.C.R. 898.</w:t>
            </w:r>
          </w:p>
          <w:p w:rsidR="00E8009B" w:rsidRPr="000E48A1" w:rsidRDefault="00E8009B" w:rsidP="00B537CB">
            <w:pPr>
              <w:pStyle w:val="SCCShortJudgment"/>
              <w:ind w:firstLine="0"/>
              <w:rPr>
                <w:rFonts w:cs="Times New Roman"/>
                <w:szCs w:val="20"/>
              </w:rPr>
            </w:pPr>
          </w:p>
        </w:tc>
      </w:tr>
      <w:tr w:rsidR="00A67A25" w:rsidRPr="000E48A1" w:rsidTr="00B537CB">
        <w:trPr>
          <w:cantSplit/>
        </w:trPr>
        <w:tc>
          <w:tcPr>
            <w:tcW w:w="9576" w:type="dxa"/>
            <w:gridSpan w:val="4"/>
          </w:tcPr>
          <w:p w:rsidR="00E8009B" w:rsidRPr="000E48A1" w:rsidRDefault="00E8009B" w:rsidP="00E8009B">
            <w:pPr>
              <w:jc w:val="both"/>
              <w:rPr>
                <w:sz w:val="20"/>
                <w:szCs w:val="20"/>
              </w:rPr>
            </w:pPr>
            <w:r w:rsidRPr="000E48A1">
              <w:rPr>
                <w:sz w:val="20"/>
                <w:szCs w:val="20"/>
              </w:rPr>
              <w:t>The applicant (“Récupération Charland”) owned land in the City of Sainte</w:t>
            </w:r>
            <w:r w:rsidRPr="000E48A1">
              <w:rPr>
                <w:sz w:val="20"/>
                <w:szCs w:val="20"/>
              </w:rPr>
              <w:noBreakHyphen/>
              <w:t>Julie on which it operated a business involving, among other things, the storage and recovery of scrap metal. It purchased the immovable in 2000 from the Lussier family, which had carried on the same type of business starting in the late 1950s. Such use had been prohibited within the City since at least 1976.</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9576" w:type="dxa"/>
            <w:gridSpan w:val="4"/>
          </w:tcPr>
          <w:p w:rsidR="00E8009B" w:rsidRPr="000E48A1" w:rsidRDefault="00E8009B" w:rsidP="00E8009B">
            <w:pPr>
              <w:jc w:val="both"/>
              <w:rPr>
                <w:sz w:val="20"/>
                <w:szCs w:val="20"/>
              </w:rPr>
            </w:pPr>
            <w:r w:rsidRPr="000E48A1">
              <w:rPr>
                <w:sz w:val="20"/>
                <w:szCs w:val="20"/>
              </w:rPr>
              <w:t xml:space="preserve">Récupération Charland’s activities changed over the years. In 2010, the City applied to the Superior Court under s. 227 of the </w:t>
            </w:r>
            <w:r w:rsidRPr="000E48A1">
              <w:rPr>
                <w:i/>
                <w:sz w:val="20"/>
                <w:szCs w:val="20"/>
              </w:rPr>
              <w:t>Act respecting land use planning and development</w:t>
            </w:r>
            <w:r w:rsidRPr="000E48A1">
              <w:rPr>
                <w:sz w:val="20"/>
                <w:szCs w:val="20"/>
              </w:rPr>
              <w:t>, C.Q.L.R., c. A</w:t>
            </w:r>
            <w:r w:rsidRPr="000E48A1">
              <w:rPr>
                <w:sz w:val="20"/>
                <w:szCs w:val="20"/>
              </w:rPr>
              <w:noBreakHyphen/>
              <w:t>19.1, to put a stop to Récupération Charland’s activities, since it was of the view that they were not uses permitted by the zoning by</w:t>
            </w:r>
            <w:r w:rsidRPr="000E48A1">
              <w:rPr>
                <w:sz w:val="20"/>
                <w:szCs w:val="20"/>
              </w:rPr>
              <w:noBreakHyphen/>
              <w:t xml:space="preserve">law. </w:t>
            </w:r>
          </w:p>
          <w:p w:rsidR="00A67A25" w:rsidRPr="000E48A1" w:rsidRDefault="00A67A25" w:rsidP="00B537CB">
            <w:pPr>
              <w:pStyle w:val="SCCShortJudgment"/>
              <w:ind w:firstLine="0"/>
              <w:rPr>
                <w:rFonts w:cs="Times New Roman"/>
                <w:szCs w:val="20"/>
              </w:rPr>
            </w:pPr>
          </w:p>
        </w:tc>
      </w:tr>
      <w:tr w:rsidR="00E8009B" w:rsidRPr="000E48A1" w:rsidTr="00B537CB">
        <w:trPr>
          <w:cantSplit/>
        </w:trPr>
        <w:tc>
          <w:tcPr>
            <w:tcW w:w="9576" w:type="dxa"/>
            <w:gridSpan w:val="4"/>
          </w:tcPr>
          <w:p w:rsidR="00E8009B" w:rsidRPr="000E48A1" w:rsidRDefault="00E8009B" w:rsidP="00E8009B">
            <w:pPr>
              <w:jc w:val="both"/>
              <w:rPr>
                <w:sz w:val="20"/>
                <w:szCs w:val="20"/>
              </w:rPr>
            </w:pPr>
            <w:r w:rsidRPr="000E48A1">
              <w:rPr>
                <w:sz w:val="20"/>
                <w:szCs w:val="20"/>
              </w:rPr>
              <w:lastRenderedPageBreak/>
              <w:t>The Superior Court allowed the action in part. The judge found that some of Récupération Charland’s activities were non</w:t>
            </w:r>
            <w:r w:rsidRPr="000E48A1">
              <w:rPr>
                <w:sz w:val="20"/>
                <w:szCs w:val="20"/>
              </w:rPr>
              <w:noBreakHyphen/>
              <w:t>conforming but that scrap metal storage and recovery were protected by acquired rights, even if the activities had intensified over the years. The Court of Appeal allowed the appeal, finding that the business had no acquired right with respect to scrap metal storage and recovery activities. It explained that the circumstances surrounding the City’s adoption of an “amnesty” by</w:t>
            </w:r>
            <w:r w:rsidRPr="000E48A1">
              <w:rPr>
                <w:sz w:val="20"/>
                <w:szCs w:val="20"/>
              </w:rPr>
              <w:noBreakHyphen/>
              <w:t>law in 1994, along with the former owner’s participation in the process, showed that the former owner had abandoned its acquired right at that time in an unequivocal, though implicit, manner.</w:t>
            </w:r>
          </w:p>
          <w:p w:rsidR="00E8009B" w:rsidRPr="000E48A1" w:rsidRDefault="00E8009B" w:rsidP="00B537CB">
            <w:pPr>
              <w:pStyle w:val="SCCShortJudgment"/>
              <w:ind w:firstLine="0"/>
              <w:rPr>
                <w:rFonts w:cs="Times New Roman"/>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August 4, 2014</w:t>
            </w:r>
          </w:p>
          <w:p w:rsidR="00E8009B" w:rsidRPr="000E48A1" w:rsidRDefault="00E8009B" w:rsidP="00E8009B">
            <w:pPr>
              <w:rPr>
                <w:sz w:val="20"/>
                <w:szCs w:val="20"/>
              </w:rPr>
            </w:pPr>
            <w:r w:rsidRPr="000E48A1">
              <w:rPr>
                <w:sz w:val="20"/>
                <w:szCs w:val="20"/>
              </w:rPr>
              <w:t>Quebec Superior Court</w:t>
            </w:r>
          </w:p>
          <w:p w:rsidR="00E8009B" w:rsidRPr="000E48A1" w:rsidRDefault="00E8009B" w:rsidP="00E8009B">
            <w:pPr>
              <w:rPr>
                <w:sz w:val="20"/>
                <w:szCs w:val="20"/>
              </w:rPr>
            </w:pPr>
            <w:r w:rsidRPr="000E48A1">
              <w:rPr>
                <w:sz w:val="20"/>
                <w:szCs w:val="20"/>
              </w:rPr>
              <w:t>(Nantel J.)</w:t>
            </w:r>
          </w:p>
          <w:p w:rsidR="00E8009B" w:rsidRPr="000E48A1" w:rsidRDefault="00CB2D37" w:rsidP="00E8009B">
            <w:pPr>
              <w:rPr>
                <w:sz w:val="20"/>
                <w:szCs w:val="20"/>
                <w:u w:val="single"/>
              </w:rPr>
            </w:pPr>
            <w:hyperlink r:id="rId40" w:history="1">
              <w:r w:rsidR="00E8009B" w:rsidRPr="000E48A1">
                <w:rPr>
                  <w:rStyle w:val="Hyperlink"/>
                  <w:sz w:val="20"/>
                  <w:szCs w:val="20"/>
                </w:rPr>
                <w:t>2014 QCCS 3901</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E8009B" w:rsidP="00B537CB">
            <w:pPr>
              <w:jc w:val="both"/>
              <w:rPr>
                <w:rFonts w:cs="Times New Roman"/>
                <w:sz w:val="20"/>
                <w:szCs w:val="20"/>
              </w:rPr>
            </w:pPr>
            <w:r w:rsidRPr="000E48A1">
              <w:rPr>
                <w:sz w:val="20"/>
                <w:szCs w:val="20"/>
              </w:rPr>
              <w:t>Motion for cessation of non</w:t>
            </w:r>
            <w:r w:rsidRPr="000E48A1">
              <w:rPr>
                <w:sz w:val="20"/>
                <w:szCs w:val="20"/>
              </w:rPr>
              <w:noBreakHyphen/>
              <w:t>conforming uses allowed in part; cross demand for recognition of acquired rights allowed in part</w:t>
            </w: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April 29, 2016</w:t>
            </w:r>
          </w:p>
          <w:p w:rsidR="00E8009B" w:rsidRPr="000E48A1" w:rsidRDefault="00E8009B" w:rsidP="00E8009B">
            <w:pPr>
              <w:rPr>
                <w:sz w:val="20"/>
                <w:szCs w:val="20"/>
              </w:rPr>
            </w:pPr>
            <w:r w:rsidRPr="000E48A1">
              <w:rPr>
                <w:sz w:val="20"/>
                <w:szCs w:val="20"/>
              </w:rPr>
              <w:t>Quebec Court of Appeal (Montréal)</w:t>
            </w:r>
          </w:p>
          <w:p w:rsidR="00E8009B" w:rsidRPr="000E48A1" w:rsidRDefault="00E8009B" w:rsidP="00E8009B">
            <w:pPr>
              <w:rPr>
                <w:sz w:val="20"/>
                <w:szCs w:val="20"/>
              </w:rPr>
            </w:pPr>
            <w:r w:rsidRPr="000E48A1">
              <w:rPr>
                <w:sz w:val="20"/>
                <w:szCs w:val="20"/>
              </w:rPr>
              <w:t>(Pelletier, Vézina and Bélanger JJ.A.)</w:t>
            </w:r>
          </w:p>
          <w:p w:rsidR="00E8009B" w:rsidRPr="000E48A1" w:rsidRDefault="00CB2D37" w:rsidP="00E8009B">
            <w:pPr>
              <w:rPr>
                <w:sz w:val="20"/>
                <w:szCs w:val="20"/>
                <w:u w:val="single"/>
              </w:rPr>
            </w:pPr>
            <w:hyperlink r:id="rId41" w:history="1">
              <w:r w:rsidR="00E8009B" w:rsidRPr="000E48A1">
                <w:rPr>
                  <w:rStyle w:val="Hyperlink"/>
                  <w:sz w:val="20"/>
                  <w:szCs w:val="20"/>
                </w:rPr>
                <w:t>2016 QCCA 737</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E8009B" w:rsidP="00B537CB">
            <w:pPr>
              <w:jc w:val="both"/>
              <w:rPr>
                <w:rFonts w:cs="Times New Roman"/>
                <w:sz w:val="20"/>
                <w:szCs w:val="20"/>
              </w:rPr>
            </w:pPr>
            <w:r w:rsidRPr="000E48A1">
              <w:rPr>
                <w:sz w:val="20"/>
                <w:szCs w:val="20"/>
              </w:rPr>
              <w:t>Appeal allowed; cross demand dismissed</w:t>
            </w: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June 23, 2016</w:t>
            </w:r>
          </w:p>
          <w:p w:rsidR="00A67A25" w:rsidRPr="000E48A1" w:rsidRDefault="00E8009B" w:rsidP="00E8009B">
            <w:pPr>
              <w:jc w:val="both"/>
              <w:rPr>
                <w:rFonts w:cs="Times New Roman"/>
                <w:sz w:val="20"/>
                <w:szCs w:val="20"/>
              </w:rPr>
            </w:pPr>
            <w:r w:rsidRPr="000E48A1">
              <w:rPr>
                <w:sz w:val="20"/>
                <w:szCs w:val="20"/>
              </w:rPr>
              <w:t>Supreme Court of Canada</w:t>
            </w:r>
          </w:p>
        </w:tc>
        <w:tc>
          <w:tcPr>
            <w:tcW w:w="630" w:type="dxa"/>
          </w:tcPr>
          <w:p w:rsidR="00A67A25" w:rsidRPr="000E48A1" w:rsidRDefault="00A67A25" w:rsidP="00B537CB">
            <w:pPr>
              <w:pStyle w:val="SCCShortJudgment"/>
              <w:ind w:firstLine="0"/>
              <w:rPr>
                <w:rFonts w:cs="Times New Roman"/>
                <w:szCs w:val="20"/>
              </w:rPr>
            </w:pPr>
          </w:p>
        </w:tc>
        <w:tc>
          <w:tcPr>
            <w:tcW w:w="4536" w:type="dxa"/>
          </w:tcPr>
          <w:p w:rsidR="00E8009B" w:rsidRPr="000E48A1" w:rsidRDefault="00E8009B" w:rsidP="00E8009B">
            <w:pPr>
              <w:rPr>
                <w:sz w:val="20"/>
                <w:szCs w:val="20"/>
              </w:rPr>
            </w:pPr>
            <w:r w:rsidRPr="000E48A1">
              <w:rPr>
                <w:sz w:val="20"/>
                <w:szCs w:val="20"/>
              </w:rPr>
              <w:t>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61"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4"/>
          </w:tcPr>
          <w:p w:rsidR="00A67A25" w:rsidRPr="000E48A1" w:rsidRDefault="00E8009B" w:rsidP="00B537CB">
            <w:pPr>
              <w:pStyle w:val="SCCShortJudgment"/>
              <w:ind w:firstLine="0"/>
              <w:rPr>
                <w:szCs w:val="20"/>
                <w:lang w:val="fr-CA"/>
              </w:rPr>
            </w:pPr>
            <w:r w:rsidRPr="000E48A1">
              <w:rPr>
                <w:szCs w:val="20"/>
                <w:lang w:val="fr-CA"/>
              </w:rPr>
              <w:t xml:space="preserve">Droit municipal – Zonage – Existence et portée des droits acquis – Intensification d’une activité préexistante – Intervention de la Cour d’appel – La Cour d’appel a-t-elle eu tort d’intervenir sur les questions d’appréciation de la preuve par la juge de première instance? – A-t-elle omis d’appliquer la démarche prescrite par la Cour suprême dans l’arrêt </w:t>
            </w:r>
            <w:r w:rsidRPr="000E48A1">
              <w:rPr>
                <w:i/>
                <w:szCs w:val="20"/>
                <w:lang w:val="fr-CA"/>
              </w:rPr>
              <w:t>Saint-Romuald (Ville) c. Olivier</w:t>
            </w:r>
            <w:r w:rsidRPr="000E48A1">
              <w:rPr>
                <w:szCs w:val="20"/>
                <w:lang w:val="fr-CA"/>
              </w:rPr>
              <w:t>, [2001] 2 R.C.S. 898?</w:t>
            </w:r>
          </w:p>
          <w:p w:rsidR="00E8009B" w:rsidRPr="000E48A1" w:rsidRDefault="00E8009B" w:rsidP="00B537CB">
            <w:pPr>
              <w:pStyle w:val="SCCShortJudgment"/>
              <w:ind w:firstLine="0"/>
              <w:rPr>
                <w:rFonts w:cs="Times New Roman"/>
                <w:szCs w:val="20"/>
                <w:lang w:val="fr-CA"/>
              </w:rPr>
            </w:pPr>
          </w:p>
        </w:tc>
      </w:tr>
      <w:tr w:rsidR="00A67A25" w:rsidRPr="0086620F"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La demanderesse (« Récupération Charland ») est propriétaire d’un terrain dans la Ville de Sainte-Julie. Elle y exploite une entreprise œuvrant notamment dans l’entreposage et la récupération de ferraille. Elle a acquis l’immeuble en 2000 de la famille Lussier, laquelle avait déjà exploité une entreprise du même type à compter de la fin des années 1950. Pareil usage est interdit sur le territoire de la Ville depuis au moins 1976.</w:t>
            </w:r>
          </w:p>
          <w:p w:rsidR="00A67A25" w:rsidRPr="000E48A1" w:rsidRDefault="00A67A25" w:rsidP="00B537CB">
            <w:pPr>
              <w:jc w:val="both"/>
              <w:rPr>
                <w:rFonts w:cs="Times New Roman"/>
                <w:sz w:val="20"/>
                <w:szCs w:val="20"/>
                <w:lang w:val="fr-CA"/>
              </w:rPr>
            </w:pPr>
          </w:p>
        </w:tc>
      </w:tr>
      <w:tr w:rsidR="00A67A25" w:rsidRPr="0086620F"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 xml:space="preserve">Les activités de Récupération Charland ont évolué au fil des ans. D’avis que les activités de Récupération Charland ne sont pas des usages permis par le règlement de zonage, la Ville s’adresse en 2010 à la Cour supérieure, en vertu de l’art. 227 de la </w:t>
            </w:r>
            <w:r w:rsidRPr="000E48A1">
              <w:rPr>
                <w:i/>
                <w:sz w:val="20"/>
                <w:szCs w:val="20"/>
                <w:lang w:val="fr-CA"/>
              </w:rPr>
              <w:t>Loi sur l’aménagement et l’urbanisme</w:t>
            </w:r>
            <w:r w:rsidRPr="000E48A1">
              <w:rPr>
                <w:sz w:val="20"/>
                <w:szCs w:val="20"/>
                <w:lang w:val="fr-CA"/>
              </w:rPr>
              <w:t xml:space="preserve">, R.L.R.Q., c. A-19.1, pour les faire cesser. </w:t>
            </w:r>
          </w:p>
          <w:p w:rsidR="00A67A25" w:rsidRPr="000E48A1" w:rsidRDefault="00A67A25" w:rsidP="00B537CB">
            <w:pPr>
              <w:pStyle w:val="SCCShortJudgment"/>
              <w:ind w:firstLine="0"/>
              <w:rPr>
                <w:rFonts w:cs="Times New Roman"/>
                <w:szCs w:val="20"/>
                <w:lang w:val="fr-CA"/>
              </w:rPr>
            </w:pPr>
          </w:p>
        </w:tc>
      </w:tr>
      <w:tr w:rsidR="00E8009B" w:rsidRPr="0086620F"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La Cour supérieure accueille le recours en partie. La juge estime que certaines des activités de Récupération Charland sont dérogatoires, mais que l’entreposage et la récupération de ferraille sont protégés par des droits acquis, et ce, même si les activités se sont intensifiées au fil des ans. La Cour d’appel accueille l’appel. Elle estime que l’entreprise ne bénéficie pas d’un droit acquis relativement aux activités d’entreposage et de récupération de ferraille. Elle explique que les circonstances entourant l’adoption par la Ville d’un règlement « d’amnistie » en 1994, de même que la participation de l’ancien propriétaire au processus, démontrent que celui-ci avait, à ce moment, abandonné son droit acquis, et ce, de façon non équivoque, quoique implicite.</w:t>
            </w:r>
          </w:p>
          <w:p w:rsidR="00E8009B" w:rsidRPr="000E48A1" w:rsidRDefault="00E8009B" w:rsidP="00E8009B">
            <w:pPr>
              <w:jc w:val="both"/>
              <w:rPr>
                <w:sz w:val="20"/>
                <w:szCs w:val="20"/>
                <w:lang w:val="fr-CA"/>
              </w:rPr>
            </w:pPr>
          </w:p>
        </w:tc>
      </w:tr>
      <w:tr w:rsidR="00A67A25"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Le 4 août 2014</w:t>
            </w:r>
          </w:p>
          <w:p w:rsidR="00E8009B" w:rsidRPr="000E48A1" w:rsidRDefault="00E8009B" w:rsidP="00E8009B">
            <w:pPr>
              <w:rPr>
                <w:sz w:val="20"/>
                <w:szCs w:val="20"/>
                <w:lang w:val="fr-CA"/>
              </w:rPr>
            </w:pPr>
            <w:r w:rsidRPr="000E48A1">
              <w:rPr>
                <w:sz w:val="20"/>
                <w:szCs w:val="20"/>
                <w:lang w:val="fr-CA"/>
              </w:rPr>
              <w:t>Cour supérieure du Québec</w:t>
            </w:r>
          </w:p>
          <w:p w:rsidR="00E8009B" w:rsidRPr="000E48A1" w:rsidRDefault="00E8009B" w:rsidP="00E8009B">
            <w:pPr>
              <w:rPr>
                <w:sz w:val="20"/>
                <w:szCs w:val="20"/>
              </w:rPr>
            </w:pPr>
            <w:r w:rsidRPr="000E48A1">
              <w:rPr>
                <w:sz w:val="20"/>
                <w:szCs w:val="20"/>
              </w:rPr>
              <w:t>(La juge Nantel)</w:t>
            </w:r>
          </w:p>
          <w:p w:rsidR="00E8009B" w:rsidRPr="000E48A1" w:rsidRDefault="00CB2D37" w:rsidP="00E8009B">
            <w:pPr>
              <w:rPr>
                <w:sz w:val="20"/>
                <w:szCs w:val="20"/>
                <w:u w:val="single"/>
              </w:rPr>
            </w:pPr>
            <w:hyperlink r:id="rId42" w:history="1">
              <w:r w:rsidR="00E8009B" w:rsidRPr="000E48A1">
                <w:rPr>
                  <w:rStyle w:val="Hyperlink"/>
                  <w:sz w:val="20"/>
                  <w:szCs w:val="20"/>
                </w:rPr>
                <w:t>2014 QCCS 3901</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jc w:val="both"/>
              <w:rPr>
                <w:sz w:val="20"/>
                <w:szCs w:val="20"/>
                <w:lang w:val="fr-CA"/>
              </w:rPr>
            </w:pPr>
            <w:r w:rsidRPr="000E48A1">
              <w:rPr>
                <w:sz w:val="20"/>
                <w:szCs w:val="20"/>
                <w:lang w:val="fr-CA"/>
              </w:rPr>
              <w:t>Requête en cessation d’usages dérogatoires accueillie en partie; demande reconventionnelle en reconnaissance de droits acquis accueillie en partie</w:t>
            </w:r>
          </w:p>
          <w:p w:rsidR="00A67A25" w:rsidRPr="000E48A1" w:rsidRDefault="00A67A25" w:rsidP="00B537CB">
            <w:pPr>
              <w:pStyle w:val="SCCShortJudgment"/>
              <w:ind w:firstLine="0"/>
              <w:rPr>
                <w:rFonts w:cs="Times New Roman"/>
                <w:szCs w:val="20"/>
                <w:lang w:val="fr-CA"/>
              </w:rPr>
            </w:pPr>
          </w:p>
        </w:tc>
      </w:tr>
      <w:tr w:rsidR="00E8009B"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lastRenderedPageBreak/>
              <w:t>Le 29 avril 2016</w:t>
            </w:r>
          </w:p>
          <w:p w:rsidR="00E8009B" w:rsidRPr="000E48A1" w:rsidRDefault="00E8009B" w:rsidP="00E8009B">
            <w:pPr>
              <w:rPr>
                <w:sz w:val="20"/>
                <w:szCs w:val="20"/>
                <w:lang w:val="fr-CA"/>
              </w:rPr>
            </w:pPr>
            <w:r w:rsidRPr="000E48A1">
              <w:rPr>
                <w:sz w:val="20"/>
                <w:szCs w:val="20"/>
                <w:lang w:val="fr-CA"/>
              </w:rPr>
              <w:t>Cour d’appel du Québec (Montréal)</w:t>
            </w:r>
          </w:p>
          <w:p w:rsidR="00E8009B" w:rsidRPr="000E48A1" w:rsidRDefault="00E8009B" w:rsidP="00E8009B">
            <w:pPr>
              <w:rPr>
                <w:sz w:val="20"/>
                <w:szCs w:val="20"/>
                <w:lang w:val="fr-CA"/>
              </w:rPr>
            </w:pPr>
            <w:r w:rsidRPr="000E48A1">
              <w:rPr>
                <w:sz w:val="20"/>
                <w:szCs w:val="20"/>
                <w:lang w:val="fr-CA"/>
              </w:rPr>
              <w:t>(Les juges Pelletier, Vézina, et Bélanger)</w:t>
            </w:r>
          </w:p>
          <w:p w:rsidR="00E8009B" w:rsidRPr="000E48A1" w:rsidRDefault="00CB2D37" w:rsidP="00E8009B">
            <w:pPr>
              <w:rPr>
                <w:sz w:val="20"/>
                <w:szCs w:val="20"/>
                <w:u w:val="single"/>
              </w:rPr>
            </w:pPr>
            <w:hyperlink r:id="rId43" w:history="1">
              <w:r w:rsidR="00E8009B" w:rsidRPr="000E48A1">
                <w:rPr>
                  <w:rStyle w:val="Hyperlink"/>
                  <w:sz w:val="20"/>
                  <w:szCs w:val="20"/>
                </w:rPr>
                <w:t>2016 QCCA 737</w:t>
              </w:r>
            </w:hyperlink>
          </w:p>
          <w:p w:rsidR="00E8009B" w:rsidRPr="000E48A1" w:rsidRDefault="00E8009B" w:rsidP="00E8009B">
            <w:pPr>
              <w:pStyle w:val="SCCShortJudgment"/>
              <w:ind w:firstLine="0"/>
              <w:rPr>
                <w:rFonts w:cs="Times New Roman"/>
                <w:szCs w:val="20"/>
                <w:lang w:val="fr-CA"/>
              </w:rPr>
            </w:pPr>
          </w:p>
        </w:tc>
        <w:tc>
          <w:tcPr>
            <w:tcW w:w="630" w:type="dxa"/>
          </w:tcPr>
          <w:p w:rsidR="00E8009B" w:rsidRPr="000E48A1" w:rsidRDefault="00E8009B" w:rsidP="00E8009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Appel accueilli; demande reconventionnelle rejetée</w:t>
            </w:r>
          </w:p>
        </w:tc>
      </w:tr>
      <w:tr w:rsidR="00E8009B" w:rsidRPr="000E48A1"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Le 23 juin 2016</w:t>
            </w:r>
          </w:p>
          <w:p w:rsidR="00E8009B" w:rsidRPr="000E48A1" w:rsidRDefault="00E8009B" w:rsidP="00E8009B">
            <w:pPr>
              <w:rPr>
                <w:sz w:val="20"/>
                <w:szCs w:val="20"/>
                <w:lang w:val="fr-CA"/>
              </w:rPr>
            </w:pPr>
            <w:r w:rsidRPr="000E48A1">
              <w:rPr>
                <w:sz w:val="20"/>
                <w:szCs w:val="20"/>
                <w:lang w:val="fr-CA"/>
              </w:rPr>
              <w:t>Cour suprême du Canada</w:t>
            </w:r>
          </w:p>
        </w:tc>
        <w:tc>
          <w:tcPr>
            <w:tcW w:w="630" w:type="dxa"/>
          </w:tcPr>
          <w:p w:rsidR="00E8009B" w:rsidRPr="000E48A1" w:rsidRDefault="00E8009B" w:rsidP="00E8009B">
            <w:pPr>
              <w:pStyle w:val="SCCShortJudgment"/>
              <w:ind w:firstLine="0"/>
              <w:rPr>
                <w:rFonts w:cs="Times New Roman"/>
                <w:szCs w:val="20"/>
                <w:lang w:val="fr-CA"/>
              </w:rPr>
            </w:pPr>
          </w:p>
        </w:tc>
        <w:tc>
          <w:tcPr>
            <w:tcW w:w="4536" w:type="dxa"/>
          </w:tcPr>
          <w:p w:rsidR="00E8009B" w:rsidRPr="000E48A1" w:rsidRDefault="00E8009B" w:rsidP="00E8009B">
            <w:pPr>
              <w:pStyle w:val="SCCShortJudgment"/>
              <w:ind w:firstLine="0"/>
              <w:rPr>
                <w:rFonts w:cs="Times New Roman"/>
                <w:szCs w:val="20"/>
                <w:lang w:val="fr-CA"/>
              </w:rPr>
            </w:pPr>
            <w:r w:rsidRPr="000E48A1">
              <w:rPr>
                <w:szCs w:val="20"/>
              </w:rPr>
              <w:t>Demande d'autorisation d'appel déposée</w:t>
            </w:r>
          </w:p>
        </w:tc>
      </w:tr>
    </w:tbl>
    <w:p w:rsidR="00A67A25" w:rsidRDefault="00CB2D37" w:rsidP="000E2959">
      <w:pPr>
        <w:rPr>
          <w:sz w:val="20"/>
          <w:szCs w:val="20"/>
        </w:rPr>
      </w:pPr>
      <w:r>
        <w:rPr>
          <w:sz w:val="20"/>
          <w:szCs w:val="20"/>
          <w:lang w:val="fr-CA"/>
        </w:rPr>
        <w:pict>
          <v:rect id="_x0000_i1062"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B537CB">
        <w:trPr>
          <w:cantSplit/>
        </w:trPr>
        <w:tc>
          <w:tcPr>
            <w:tcW w:w="1458" w:type="dxa"/>
          </w:tcPr>
          <w:p w:rsidR="00A67A25" w:rsidRPr="00904523" w:rsidRDefault="00B537CB" w:rsidP="00B537CB">
            <w:pPr>
              <w:jc w:val="both"/>
              <w:rPr>
                <w:rFonts w:cs="Times New Roman"/>
                <w:sz w:val="20"/>
                <w:szCs w:val="20"/>
              </w:rPr>
            </w:pPr>
            <w:r w:rsidRPr="00904523">
              <w:rPr>
                <w:rStyle w:val="SCCFileNumberChar"/>
                <w:sz w:val="20"/>
                <w:szCs w:val="20"/>
              </w:rPr>
              <w:t>3</w:t>
            </w:r>
            <w:r w:rsidR="00580072" w:rsidRPr="00904523">
              <w:rPr>
                <w:rStyle w:val="SCCFileNumberChar"/>
                <w:sz w:val="20"/>
                <w:szCs w:val="20"/>
              </w:rPr>
              <w:t>7090</w:t>
            </w:r>
          </w:p>
          <w:p w:rsidR="00A67A25" w:rsidRPr="00904523" w:rsidRDefault="00A67A25" w:rsidP="00B537CB">
            <w:pPr>
              <w:jc w:val="both"/>
              <w:rPr>
                <w:rFonts w:cs="Times New Roman"/>
                <w:b/>
                <w:sz w:val="20"/>
                <w:szCs w:val="20"/>
              </w:rPr>
            </w:pPr>
          </w:p>
        </w:tc>
        <w:tc>
          <w:tcPr>
            <w:tcW w:w="8118" w:type="dxa"/>
            <w:gridSpan w:val="3"/>
          </w:tcPr>
          <w:p w:rsidR="00A67A25" w:rsidRPr="00904523" w:rsidRDefault="00904523" w:rsidP="00B537CB">
            <w:pPr>
              <w:jc w:val="both"/>
              <w:rPr>
                <w:rFonts w:cs="Times New Roman"/>
                <w:sz w:val="20"/>
                <w:szCs w:val="20"/>
              </w:rPr>
            </w:pPr>
            <w:r w:rsidRPr="00904523">
              <w:rPr>
                <w:b/>
                <w:sz w:val="20"/>
                <w:szCs w:val="20"/>
                <w:u w:val="single"/>
              </w:rPr>
              <w:t>Lesley Cabott v. Urban Systems Ltd</w:t>
            </w:r>
            <w:r w:rsidRPr="00904523">
              <w:rPr>
                <w:sz w:val="20"/>
                <w:szCs w:val="20"/>
              </w:rPr>
              <w:t>.</w:t>
            </w:r>
            <w:r w:rsidR="00A67A25" w:rsidRPr="00904523">
              <w:rPr>
                <w:rStyle w:val="SCCLsocChar"/>
                <w:rFonts w:cs="Times New Roman"/>
                <w:sz w:val="20"/>
                <w:szCs w:val="20"/>
                <w:u w:val="none"/>
                <w:lang w:val="en-CA"/>
              </w:rPr>
              <w:t xml:space="preserve"> </w:t>
            </w:r>
            <w:r w:rsidR="00A67A25" w:rsidRPr="00904523">
              <w:rPr>
                <w:rFonts w:cs="Times New Roman"/>
                <w:sz w:val="20"/>
                <w:szCs w:val="20"/>
              </w:rPr>
              <w:t>(</w:t>
            </w:r>
            <w:r w:rsidRPr="00904523">
              <w:rPr>
                <w:rFonts w:cs="Times New Roman"/>
                <w:sz w:val="20"/>
                <w:szCs w:val="20"/>
              </w:rPr>
              <w:t>Y.T</w:t>
            </w:r>
            <w:r w:rsidR="00A67A25" w:rsidRPr="00904523">
              <w:rPr>
                <w:rFonts w:cs="Times New Roman"/>
                <w:sz w:val="20"/>
                <w:szCs w:val="20"/>
              </w:rPr>
              <w:t>.) (Civil) (By Leave)</w:t>
            </w:r>
          </w:p>
          <w:p w:rsidR="00A67A25" w:rsidRPr="00904523" w:rsidRDefault="00A67A25" w:rsidP="00B537CB">
            <w:pPr>
              <w:jc w:val="both"/>
              <w:rPr>
                <w:rFonts w:cs="Times New Roman"/>
                <w:sz w:val="20"/>
                <w:szCs w:val="20"/>
              </w:rPr>
            </w:pPr>
          </w:p>
        </w:tc>
      </w:tr>
      <w:tr w:rsidR="00A67A25" w:rsidRPr="000E48A1" w:rsidTr="00B537CB">
        <w:trPr>
          <w:cantSplit/>
        </w:trPr>
        <w:tc>
          <w:tcPr>
            <w:tcW w:w="1458" w:type="dxa"/>
          </w:tcPr>
          <w:p w:rsidR="00A67A25" w:rsidRPr="00904523" w:rsidRDefault="00A67A25" w:rsidP="00B537CB">
            <w:pPr>
              <w:jc w:val="both"/>
              <w:rPr>
                <w:rFonts w:cs="Times New Roman"/>
                <w:sz w:val="20"/>
                <w:szCs w:val="20"/>
              </w:rPr>
            </w:pPr>
            <w:r w:rsidRPr="00904523">
              <w:rPr>
                <w:rFonts w:cs="Times New Roman"/>
                <w:sz w:val="20"/>
                <w:szCs w:val="20"/>
              </w:rPr>
              <w:t>Coram :</w:t>
            </w:r>
          </w:p>
        </w:tc>
        <w:tc>
          <w:tcPr>
            <w:tcW w:w="8118" w:type="dxa"/>
            <w:gridSpan w:val="3"/>
          </w:tcPr>
          <w:p w:rsidR="00A67A25" w:rsidRPr="00904523" w:rsidRDefault="00A67A25" w:rsidP="00B537CB">
            <w:pPr>
              <w:jc w:val="both"/>
              <w:rPr>
                <w:rStyle w:val="SCCCoramChar"/>
                <w:sz w:val="20"/>
                <w:szCs w:val="20"/>
                <w:lang w:val="en-CA"/>
              </w:rPr>
            </w:pPr>
            <w:r w:rsidRPr="00904523">
              <w:rPr>
                <w:rStyle w:val="SCCCoramChar"/>
                <w:sz w:val="20"/>
                <w:szCs w:val="20"/>
                <w:lang w:val="en-CA"/>
              </w:rPr>
              <w:t>McLachlin C.J. and Moldaver and Gascon JJ.</w:t>
            </w:r>
          </w:p>
          <w:p w:rsidR="00A67A25" w:rsidRPr="00904523" w:rsidRDefault="00A67A25" w:rsidP="00B537CB">
            <w:pPr>
              <w:jc w:val="both"/>
              <w:rPr>
                <w:rFonts w:cs="Times New Roman"/>
                <w:sz w:val="20"/>
                <w:szCs w:val="20"/>
              </w:rPr>
            </w:pPr>
          </w:p>
        </w:tc>
      </w:tr>
      <w:tr w:rsidR="00A67A25" w:rsidRPr="0086620F" w:rsidTr="00B537CB">
        <w:trPr>
          <w:cantSplit/>
        </w:trPr>
        <w:tc>
          <w:tcPr>
            <w:tcW w:w="9576" w:type="dxa"/>
            <w:gridSpan w:val="4"/>
          </w:tcPr>
          <w:p w:rsidR="00A67A25" w:rsidRPr="00904523" w:rsidRDefault="00A67A25" w:rsidP="00B537CB">
            <w:pPr>
              <w:pStyle w:val="SCCShortJudgment"/>
              <w:ind w:firstLine="0"/>
              <w:rPr>
                <w:rFonts w:cs="Times New Roman"/>
                <w:szCs w:val="20"/>
              </w:rPr>
            </w:pPr>
            <w:r w:rsidRPr="00904523">
              <w:rPr>
                <w:rFonts w:cs="Times New Roman"/>
                <w:szCs w:val="20"/>
              </w:rPr>
              <w:tab/>
            </w:r>
            <w:r w:rsidR="00904523" w:rsidRPr="00904523">
              <w:rPr>
                <w:szCs w:val="20"/>
              </w:rPr>
              <w:t>The application for leave to appeal from the judgment of the Court of Appeal of the Yukon Territory, Number 15-YU757, 2016 YKCA 4, dated April 27, 2016, is dismissed with costs.</w:t>
            </w:r>
          </w:p>
          <w:p w:rsidR="00A67A25" w:rsidRPr="00904523" w:rsidRDefault="00A67A25" w:rsidP="00B537CB">
            <w:pPr>
              <w:pStyle w:val="SCCShortJudgment"/>
              <w:ind w:firstLine="0"/>
              <w:rPr>
                <w:rFonts w:cs="Times New Roman"/>
                <w:szCs w:val="20"/>
              </w:rPr>
            </w:pPr>
          </w:p>
          <w:p w:rsidR="00A67A25" w:rsidRPr="00904523" w:rsidRDefault="00A67A25" w:rsidP="00B537CB">
            <w:pPr>
              <w:pStyle w:val="SCCShortJudgment"/>
              <w:ind w:firstLine="0"/>
              <w:rPr>
                <w:rFonts w:cs="Times New Roman"/>
                <w:szCs w:val="20"/>
                <w:lang w:val="fr-CA"/>
              </w:rPr>
            </w:pPr>
            <w:r w:rsidRPr="00904523">
              <w:rPr>
                <w:rFonts w:cs="Times New Roman"/>
                <w:szCs w:val="20"/>
              </w:rPr>
              <w:tab/>
            </w:r>
            <w:r w:rsidR="00904523" w:rsidRPr="00904523">
              <w:rPr>
                <w:szCs w:val="20"/>
                <w:lang w:val="fr-CA"/>
              </w:rPr>
              <w:t xml:space="preserve">La demande d’autorisation d’appel de l’arrêt de la </w:t>
            </w:r>
            <w:r w:rsidR="00904523" w:rsidRPr="00904523">
              <w:rPr>
                <w:szCs w:val="20"/>
                <w:lang w:val="fr-FR"/>
              </w:rPr>
              <w:t>Cour d’appel du territoire du Yukon</w:t>
            </w:r>
            <w:r w:rsidR="00904523" w:rsidRPr="00904523">
              <w:rPr>
                <w:szCs w:val="20"/>
                <w:lang w:val="fr-CA"/>
              </w:rPr>
              <w:t xml:space="preserve">, numéro </w:t>
            </w:r>
            <w:r w:rsidR="00904523" w:rsidRPr="00904523">
              <w:rPr>
                <w:szCs w:val="20"/>
                <w:lang w:val="fr-FR"/>
              </w:rPr>
              <w:t>15-YU757, 2016 YKCA 4</w:t>
            </w:r>
            <w:r w:rsidR="00904523" w:rsidRPr="00904523">
              <w:rPr>
                <w:szCs w:val="20"/>
                <w:lang w:val="fr-CA"/>
              </w:rPr>
              <w:t xml:space="preserve">, daté du </w:t>
            </w:r>
            <w:r w:rsidR="00904523" w:rsidRPr="00904523">
              <w:rPr>
                <w:szCs w:val="20"/>
                <w:lang w:val="fr-FR"/>
              </w:rPr>
              <w:t>27 avril 2016</w:t>
            </w:r>
            <w:r w:rsidR="00904523" w:rsidRPr="00904523">
              <w:rPr>
                <w:szCs w:val="20"/>
                <w:lang w:val="fr-CA"/>
              </w:rPr>
              <w:t>, est rejet</w:t>
            </w:r>
            <w:r w:rsidR="00904523" w:rsidRPr="00904523">
              <w:rPr>
                <w:rFonts w:cs="Times New Roman"/>
                <w:szCs w:val="20"/>
                <w:lang w:val="fr-CA"/>
              </w:rPr>
              <w:t>é</w:t>
            </w:r>
            <w:r w:rsidR="00904523" w:rsidRPr="00904523">
              <w:rPr>
                <w:szCs w:val="20"/>
                <w:lang w:val="fr-CA"/>
              </w:rPr>
              <w:t>e avec d</w:t>
            </w:r>
            <w:r w:rsidR="00904523" w:rsidRPr="00904523">
              <w:rPr>
                <w:rFonts w:cs="Times New Roman"/>
                <w:szCs w:val="20"/>
                <w:lang w:val="fr-CA"/>
              </w:rPr>
              <w:t>é</w:t>
            </w:r>
            <w:r w:rsidR="00904523" w:rsidRPr="00904523">
              <w:rPr>
                <w:szCs w:val="20"/>
                <w:lang w:val="fr-CA"/>
              </w:rPr>
              <w:t>pens.</w:t>
            </w:r>
          </w:p>
          <w:p w:rsidR="00A67A25" w:rsidRPr="00904523"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E8009B" w:rsidP="00B537CB">
            <w:pPr>
              <w:pStyle w:val="SCCShortJudgment"/>
              <w:ind w:firstLine="0"/>
              <w:rPr>
                <w:szCs w:val="20"/>
                <w:lang w:val="en-US"/>
              </w:rPr>
            </w:pPr>
            <w:r w:rsidRPr="000E48A1">
              <w:rPr>
                <w:szCs w:val="20"/>
              </w:rPr>
              <w:t xml:space="preserve">Employment law – Wrongful dismissal – Notice period – Employee terminated after less than 14 months of employment – </w:t>
            </w:r>
            <w:r w:rsidRPr="000E48A1">
              <w:rPr>
                <w:szCs w:val="20"/>
                <w:lang w:val="en-US"/>
              </w:rPr>
              <w:t>How is meaningful access to justice achieved for a particularly vulnerable group? – How and why is age an important factor in setting a reasonable notice period? – What are the circumstances a trial court should not consider in setting a notice period and which would justify appellate interference if considered?</w:t>
            </w:r>
          </w:p>
          <w:p w:rsidR="00E8009B" w:rsidRPr="000E48A1" w:rsidRDefault="00E8009B" w:rsidP="00B537CB">
            <w:pPr>
              <w:pStyle w:val="SCCShortJudgment"/>
              <w:ind w:firstLine="0"/>
              <w:rPr>
                <w:rFonts w:cs="Times New Roman"/>
                <w:szCs w:val="20"/>
              </w:rPr>
            </w:pPr>
          </w:p>
        </w:tc>
      </w:tr>
      <w:tr w:rsidR="00A67A25" w:rsidRPr="000E48A1" w:rsidTr="00B537CB">
        <w:trPr>
          <w:cantSplit/>
        </w:trPr>
        <w:tc>
          <w:tcPr>
            <w:tcW w:w="9576" w:type="dxa"/>
            <w:gridSpan w:val="4"/>
          </w:tcPr>
          <w:p w:rsidR="00E8009B" w:rsidRPr="000E48A1" w:rsidRDefault="00E8009B" w:rsidP="00E8009B">
            <w:pPr>
              <w:jc w:val="both"/>
              <w:rPr>
                <w:sz w:val="20"/>
                <w:szCs w:val="20"/>
              </w:rPr>
            </w:pPr>
            <w:r w:rsidRPr="000E48A1">
              <w:rPr>
                <w:sz w:val="20"/>
                <w:szCs w:val="20"/>
              </w:rPr>
              <w:t>The applicant Ms. Cabott worked as a professional planner and supervisor at Urban Systems Ltd. (“Urban Systems”). Urban Systems terminated her employment without cause just short of 14 months. Ms. Cabott received two weeks’ termination pay in accordance with statutory requirements and a further 12 weeks’ salary in lieu of notice. At the time of termination, Ms. Cabott was 52 years old. She holds a Master’s degree in town and regional planning and has extensive work experience in planning and development. Ms. Cabott commenced a wrongful dismissal action against her former employer.</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May 8, 2015</w:t>
            </w:r>
          </w:p>
          <w:p w:rsidR="00E8009B" w:rsidRPr="000E48A1" w:rsidRDefault="00E8009B" w:rsidP="00E8009B">
            <w:pPr>
              <w:rPr>
                <w:sz w:val="20"/>
                <w:szCs w:val="20"/>
              </w:rPr>
            </w:pPr>
            <w:r w:rsidRPr="000E48A1">
              <w:rPr>
                <w:sz w:val="20"/>
                <w:szCs w:val="20"/>
              </w:rPr>
              <w:t>Supreme Court of the Yukon Territory</w:t>
            </w:r>
          </w:p>
          <w:p w:rsidR="00E8009B" w:rsidRPr="000E48A1" w:rsidRDefault="00E8009B" w:rsidP="00E8009B">
            <w:pPr>
              <w:rPr>
                <w:sz w:val="20"/>
                <w:szCs w:val="20"/>
              </w:rPr>
            </w:pPr>
            <w:r w:rsidRPr="000E48A1">
              <w:rPr>
                <w:sz w:val="20"/>
                <w:szCs w:val="20"/>
              </w:rPr>
              <w:t>(Wong J.)</w:t>
            </w:r>
          </w:p>
          <w:p w:rsidR="00E8009B" w:rsidRPr="000E48A1" w:rsidRDefault="00CB2D37" w:rsidP="00E8009B">
            <w:pPr>
              <w:rPr>
                <w:sz w:val="20"/>
                <w:szCs w:val="20"/>
              </w:rPr>
            </w:pPr>
            <w:hyperlink r:id="rId44" w:history="1">
              <w:r w:rsidR="00E8009B" w:rsidRPr="000E48A1">
                <w:rPr>
                  <w:rStyle w:val="Hyperlink"/>
                  <w:sz w:val="20"/>
                  <w:szCs w:val="20"/>
                  <w:u w:val="none"/>
                </w:rPr>
                <w:t>2015 YKSC 25</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E8009B" w:rsidRPr="000E48A1" w:rsidRDefault="00E8009B" w:rsidP="00E8009B">
            <w:pPr>
              <w:rPr>
                <w:sz w:val="20"/>
                <w:szCs w:val="20"/>
              </w:rPr>
            </w:pPr>
            <w:r w:rsidRPr="000E48A1">
              <w:rPr>
                <w:sz w:val="20"/>
                <w:szCs w:val="20"/>
              </w:rPr>
              <w:t xml:space="preserve">Wrongful dismissal claim allowed </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April 27, 2016</w:t>
            </w:r>
          </w:p>
          <w:p w:rsidR="00E8009B" w:rsidRPr="000E48A1" w:rsidRDefault="00E8009B" w:rsidP="00E8009B">
            <w:pPr>
              <w:rPr>
                <w:sz w:val="20"/>
                <w:szCs w:val="20"/>
              </w:rPr>
            </w:pPr>
            <w:r w:rsidRPr="000E48A1">
              <w:rPr>
                <w:sz w:val="20"/>
                <w:szCs w:val="20"/>
              </w:rPr>
              <w:t>Court of Appeal of the Yukon Territory</w:t>
            </w:r>
          </w:p>
          <w:p w:rsidR="00E8009B" w:rsidRPr="000E48A1" w:rsidRDefault="00E8009B" w:rsidP="00E8009B">
            <w:pPr>
              <w:rPr>
                <w:sz w:val="20"/>
                <w:szCs w:val="20"/>
              </w:rPr>
            </w:pPr>
            <w:r w:rsidRPr="000E48A1">
              <w:rPr>
                <w:sz w:val="20"/>
                <w:szCs w:val="20"/>
              </w:rPr>
              <w:t>(Saunders, Groberman and Shaner JJ.A.)</w:t>
            </w:r>
          </w:p>
          <w:p w:rsidR="00E8009B" w:rsidRPr="000E48A1" w:rsidRDefault="00CB2D37" w:rsidP="00E8009B">
            <w:pPr>
              <w:rPr>
                <w:sz w:val="20"/>
                <w:szCs w:val="20"/>
              </w:rPr>
            </w:pPr>
            <w:hyperlink r:id="rId45" w:history="1">
              <w:r w:rsidR="00E8009B" w:rsidRPr="000E48A1">
                <w:rPr>
                  <w:rStyle w:val="Hyperlink"/>
                  <w:sz w:val="20"/>
                  <w:szCs w:val="20"/>
                  <w:u w:val="none"/>
                </w:rPr>
                <w:t>2016 YKCA 4</w:t>
              </w:r>
            </w:hyperlink>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E8009B" w:rsidRPr="000E48A1" w:rsidRDefault="00E8009B" w:rsidP="00E8009B">
            <w:pPr>
              <w:rPr>
                <w:sz w:val="20"/>
                <w:szCs w:val="20"/>
              </w:rPr>
            </w:pPr>
            <w:r w:rsidRPr="000E48A1">
              <w:rPr>
                <w:sz w:val="20"/>
                <w:szCs w:val="20"/>
              </w:rPr>
              <w:t>Appeal allowed, notice period varied</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June 27, 2016</w:t>
            </w:r>
          </w:p>
          <w:p w:rsidR="00E8009B" w:rsidRPr="000E48A1" w:rsidRDefault="00E8009B" w:rsidP="00E8009B">
            <w:pPr>
              <w:rPr>
                <w:sz w:val="20"/>
                <w:szCs w:val="20"/>
              </w:rPr>
            </w:pPr>
            <w:r w:rsidRPr="000E48A1">
              <w:rPr>
                <w:sz w:val="20"/>
                <w:szCs w:val="20"/>
              </w:rPr>
              <w:t>Supreme Court of Canada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E8009B" w:rsidRPr="000E48A1" w:rsidRDefault="00E8009B" w:rsidP="00E8009B">
            <w:pPr>
              <w:rPr>
                <w:sz w:val="20"/>
                <w:szCs w:val="20"/>
              </w:rPr>
            </w:pPr>
            <w:r w:rsidRPr="000E48A1">
              <w:rPr>
                <w:sz w:val="20"/>
                <w:szCs w:val="20"/>
              </w:rPr>
              <w:t>Application for leave to appeal filed</w:t>
            </w:r>
          </w:p>
          <w:p w:rsidR="00A67A25" w:rsidRPr="000E48A1" w:rsidRDefault="00A67A25"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63"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bl>
    <w:p w:rsidR="00EB664B" w:rsidRDefault="00EB664B">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A67A25" w:rsidRPr="000E48A1" w:rsidTr="00B537CB">
        <w:trPr>
          <w:cantSplit/>
        </w:trPr>
        <w:tc>
          <w:tcPr>
            <w:tcW w:w="9576" w:type="dxa"/>
            <w:gridSpan w:val="3"/>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lastRenderedPageBreak/>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3"/>
          </w:tcPr>
          <w:p w:rsidR="00A67A25" w:rsidRPr="000E48A1" w:rsidRDefault="00E8009B" w:rsidP="00B537CB">
            <w:pPr>
              <w:pStyle w:val="SCCShortJudgment"/>
              <w:ind w:firstLine="0"/>
              <w:rPr>
                <w:szCs w:val="20"/>
                <w:lang w:val="fr-CA"/>
              </w:rPr>
            </w:pPr>
            <w:r w:rsidRPr="000E48A1">
              <w:rPr>
                <w:szCs w:val="20"/>
                <w:lang w:val="fr-CA"/>
              </w:rPr>
              <w:t>Droit de l’emploi – Congédiement injustifié – Préavis – Employée congédiée moins de 14 mois après son entrée en fonctions – De quelle manière un groupe particulièrement vulnérable peut-il obtenir un accès concret à la justice? – En quoi et pourquoi l’âge constitue-t-il un facteur important dans la fixation d’un préavis raisonnable? – Quelles sont les circonstances dont un tribunal de première instance ne doit pas tenir compte lorsqu’il fixe un préavis et qui justifieraient l’intervention de la cour d’appel si elles étaient prises en considération?</w:t>
            </w:r>
          </w:p>
          <w:p w:rsidR="00E8009B" w:rsidRPr="000E48A1" w:rsidRDefault="00E8009B" w:rsidP="00B537CB">
            <w:pPr>
              <w:pStyle w:val="SCCShortJudgment"/>
              <w:ind w:firstLine="0"/>
              <w:rPr>
                <w:rFonts w:cs="Times New Roman"/>
                <w:szCs w:val="20"/>
                <w:lang w:val="fr-CA"/>
              </w:rPr>
            </w:pPr>
          </w:p>
        </w:tc>
      </w:tr>
      <w:tr w:rsidR="00A67A25" w:rsidRPr="0086620F" w:rsidTr="00B537CB">
        <w:trPr>
          <w:cantSplit/>
        </w:trPr>
        <w:tc>
          <w:tcPr>
            <w:tcW w:w="9576" w:type="dxa"/>
            <w:gridSpan w:val="3"/>
          </w:tcPr>
          <w:p w:rsidR="00E8009B" w:rsidRPr="000E48A1" w:rsidRDefault="00E8009B" w:rsidP="00E8009B">
            <w:pPr>
              <w:jc w:val="both"/>
              <w:rPr>
                <w:sz w:val="20"/>
                <w:szCs w:val="20"/>
                <w:lang w:val="fr-CA"/>
              </w:rPr>
            </w:pPr>
            <w:r w:rsidRPr="000E48A1">
              <w:rPr>
                <w:sz w:val="20"/>
                <w:szCs w:val="20"/>
                <w:lang w:val="fr-CA"/>
              </w:rPr>
              <w:t>La demanderesse, Mme Cabott, travaillait à titre de planificatrice professionnelle et de superviseure chez Urban Systems Ltd. (« Urban Systems »). Urban Systems a mis fin à son emploi sans motif presque 14 mois après l’avoir embauchée. Madame Cabott a reçu une indemnité de départ équivalant à deux semaines de salaire en conformité avec la loi ainsi que 12 semaines de salaire en guise de préavis. Elle était âgée de 52 ans au moment de son congédiement. Elle détient une maîtrise en planification municipale et régionale et possède une vaste expérience de travail dans la planification et l’aménagement. Madame Cabott a intenté une action pour congédiement injustifié contre son ancien employeur.</w:t>
            </w:r>
          </w:p>
          <w:p w:rsidR="00A67A25" w:rsidRPr="000E48A1" w:rsidRDefault="00A67A25" w:rsidP="00B537CB">
            <w:pPr>
              <w:jc w:val="both"/>
              <w:rPr>
                <w:rFonts w:cs="Times New Roman"/>
                <w:sz w:val="20"/>
                <w:szCs w:val="20"/>
                <w:lang w:val="fr-CA"/>
              </w:rPr>
            </w:pPr>
          </w:p>
        </w:tc>
      </w:tr>
      <w:tr w:rsidR="00A67A25" w:rsidRPr="000E48A1" w:rsidTr="00B537CB">
        <w:trPr>
          <w:cantSplit/>
        </w:trPr>
        <w:tc>
          <w:tcPr>
            <w:tcW w:w="4410" w:type="dxa"/>
          </w:tcPr>
          <w:p w:rsidR="00E8009B" w:rsidRPr="000E48A1" w:rsidRDefault="00E8009B" w:rsidP="00E8009B">
            <w:pPr>
              <w:rPr>
                <w:sz w:val="20"/>
                <w:szCs w:val="20"/>
                <w:lang w:val="fr-CA"/>
              </w:rPr>
            </w:pPr>
            <w:r w:rsidRPr="000E48A1">
              <w:rPr>
                <w:sz w:val="20"/>
                <w:szCs w:val="20"/>
                <w:lang w:val="fr-CA"/>
              </w:rPr>
              <w:t>8 mai 2015</w:t>
            </w:r>
          </w:p>
          <w:p w:rsidR="00E8009B" w:rsidRPr="000E48A1" w:rsidRDefault="00E8009B" w:rsidP="00E8009B">
            <w:pPr>
              <w:rPr>
                <w:sz w:val="20"/>
                <w:szCs w:val="20"/>
                <w:lang w:val="fr-CA"/>
              </w:rPr>
            </w:pPr>
            <w:r w:rsidRPr="000E48A1">
              <w:rPr>
                <w:sz w:val="20"/>
                <w:szCs w:val="20"/>
                <w:lang w:val="fr-CA"/>
              </w:rPr>
              <w:t xml:space="preserve">Cour suprême du Territoire du Yukon </w:t>
            </w:r>
          </w:p>
          <w:p w:rsidR="00E8009B" w:rsidRPr="000E48A1" w:rsidRDefault="00E8009B" w:rsidP="00E8009B">
            <w:pPr>
              <w:rPr>
                <w:sz w:val="20"/>
                <w:szCs w:val="20"/>
              </w:rPr>
            </w:pPr>
            <w:r w:rsidRPr="000E48A1">
              <w:rPr>
                <w:sz w:val="20"/>
                <w:szCs w:val="20"/>
              </w:rPr>
              <w:t>(Juge Wong)</w:t>
            </w:r>
          </w:p>
          <w:p w:rsidR="00E8009B" w:rsidRPr="000E48A1" w:rsidRDefault="00CB2D37" w:rsidP="00E8009B">
            <w:pPr>
              <w:rPr>
                <w:sz w:val="20"/>
                <w:szCs w:val="20"/>
                <w:u w:val="single"/>
              </w:rPr>
            </w:pPr>
            <w:hyperlink r:id="rId46" w:history="1">
              <w:r w:rsidR="00E8009B" w:rsidRPr="000E48A1">
                <w:rPr>
                  <w:rStyle w:val="Hyperlink"/>
                  <w:sz w:val="20"/>
                  <w:szCs w:val="20"/>
                </w:rPr>
                <w:t>2015 YKSC 25</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 xml:space="preserve">Réclamation pour congédiement injustifié accueillie </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4410" w:type="dxa"/>
          </w:tcPr>
          <w:p w:rsidR="00E8009B" w:rsidRPr="000E48A1" w:rsidRDefault="00E8009B" w:rsidP="00E8009B">
            <w:pPr>
              <w:rPr>
                <w:sz w:val="20"/>
                <w:szCs w:val="20"/>
                <w:lang w:val="fr-CA"/>
              </w:rPr>
            </w:pPr>
            <w:r w:rsidRPr="000E48A1">
              <w:rPr>
                <w:sz w:val="20"/>
                <w:szCs w:val="20"/>
                <w:lang w:val="fr-CA"/>
              </w:rPr>
              <w:t>27 avril 2016</w:t>
            </w:r>
          </w:p>
          <w:p w:rsidR="00E8009B" w:rsidRPr="000E48A1" w:rsidRDefault="00E8009B" w:rsidP="00E8009B">
            <w:pPr>
              <w:rPr>
                <w:sz w:val="20"/>
                <w:szCs w:val="20"/>
                <w:lang w:val="fr-CA"/>
              </w:rPr>
            </w:pPr>
            <w:r w:rsidRPr="000E48A1">
              <w:rPr>
                <w:sz w:val="20"/>
                <w:szCs w:val="20"/>
                <w:lang w:val="fr-CA"/>
              </w:rPr>
              <w:t>Cour d’appel du Territoire du Yukon</w:t>
            </w:r>
          </w:p>
          <w:p w:rsidR="00E8009B" w:rsidRPr="000E48A1" w:rsidRDefault="00E8009B" w:rsidP="00E8009B">
            <w:pPr>
              <w:rPr>
                <w:sz w:val="20"/>
                <w:szCs w:val="20"/>
                <w:lang w:val="fr-CA"/>
              </w:rPr>
            </w:pPr>
            <w:r w:rsidRPr="000E48A1">
              <w:rPr>
                <w:sz w:val="20"/>
                <w:szCs w:val="20"/>
                <w:lang w:val="fr-CA"/>
              </w:rPr>
              <w:t>(Juges Saunders, Groberman et Shaner)</w:t>
            </w:r>
          </w:p>
          <w:p w:rsidR="00E8009B" w:rsidRPr="000E48A1" w:rsidRDefault="00CB2D37" w:rsidP="00E8009B">
            <w:pPr>
              <w:rPr>
                <w:sz w:val="20"/>
                <w:szCs w:val="20"/>
                <w:u w:val="single"/>
              </w:rPr>
            </w:pPr>
            <w:hyperlink r:id="rId47" w:history="1">
              <w:r w:rsidR="00E8009B" w:rsidRPr="000E48A1">
                <w:rPr>
                  <w:rStyle w:val="Hyperlink"/>
                  <w:sz w:val="20"/>
                  <w:szCs w:val="20"/>
                </w:rPr>
                <w:t>2016 YKCA 4</w:t>
              </w:r>
            </w:hyperlink>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rPr>
            </w:pPr>
            <w:r w:rsidRPr="000E48A1">
              <w:rPr>
                <w:sz w:val="20"/>
                <w:szCs w:val="20"/>
              </w:rPr>
              <w:t>Appel accueilli, préavis modifié</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tcPr>
          <w:p w:rsidR="00E8009B" w:rsidRPr="000E48A1" w:rsidRDefault="00E8009B" w:rsidP="00E8009B">
            <w:pPr>
              <w:rPr>
                <w:sz w:val="20"/>
                <w:szCs w:val="20"/>
                <w:lang w:val="fr-CA"/>
              </w:rPr>
            </w:pPr>
            <w:r w:rsidRPr="000E48A1">
              <w:rPr>
                <w:sz w:val="20"/>
                <w:szCs w:val="20"/>
                <w:lang w:val="fr-CA"/>
              </w:rPr>
              <w:t>27 juin 2016</w:t>
            </w:r>
          </w:p>
          <w:p w:rsidR="00A67A25" w:rsidRPr="000E48A1" w:rsidRDefault="00E8009B" w:rsidP="00E8009B">
            <w:pPr>
              <w:pStyle w:val="SCCShortJudgment"/>
              <w:tabs>
                <w:tab w:val="left" w:pos="1600"/>
              </w:tabs>
              <w:ind w:firstLine="0"/>
              <w:rPr>
                <w:rFonts w:cs="Times New Roman"/>
                <w:szCs w:val="20"/>
                <w:lang w:val="fr-CA"/>
              </w:rPr>
            </w:pPr>
            <w:r w:rsidRPr="000E48A1">
              <w:rPr>
                <w:szCs w:val="20"/>
                <w:lang w:val="fr-CA"/>
              </w:rPr>
              <w:t>Cour suprême du Canada</w:t>
            </w: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Dépôt de la demande d’autorisation d’appel</w:t>
            </w:r>
          </w:p>
          <w:p w:rsidR="00A67A25" w:rsidRPr="000E48A1" w:rsidRDefault="00A67A25" w:rsidP="00B537CB">
            <w:pPr>
              <w:pStyle w:val="SCCShortJudgment"/>
              <w:ind w:firstLine="0"/>
              <w:rPr>
                <w:rFonts w:cs="Times New Roman"/>
                <w:szCs w:val="20"/>
                <w:lang w:val="fr-CA"/>
              </w:rPr>
            </w:pPr>
          </w:p>
        </w:tc>
      </w:tr>
    </w:tbl>
    <w:p w:rsidR="00A67A25" w:rsidRDefault="00CB2D37" w:rsidP="000E2959">
      <w:pPr>
        <w:rPr>
          <w:sz w:val="20"/>
          <w:szCs w:val="20"/>
        </w:rPr>
      </w:pPr>
      <w:r>
        <w:rPr>
          <w:sz w:val="20"/>
          <w:szCs w:val="20"/>
          <w:lang w:val="fr-CA"/>
        </w:rPr>
        <w:pict>
          <v:rect id="_x0000_i1064" style="width:2in;height:1pt" o:hrpct="0" o:hralign="center" o:hrstd="t" o:hrnoshade="t" o:hr="t" fillcolor="black [3213]" stroked="f"/>
        </w:pict>
      </w:r>
    </w:p>
    <w:p w:rsidR="00A67A25" w:rsidRDefault="00A67A25"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A67A25" w:rsidRPr="000E48A1" w:rsidTr="00B537CB">
        <w:trPr>
          <w:cantSplit/>
        </w:trPr>
        <w:tc>
          <w:tcPr>
            <w:tcW w:w="1458" w:type="dxa"/>
          </w:tcPr>
          <w:p w:rsidR="00A67A25" w:rsidRPr="00B71604" w:rsidRDefault="00580072" w:rsidP="00B537CB">
            <w:pPr>
              <w:jc w:val="both"/>
              <w:rPr>
                <w:rFonts w:cs="Times New Roman"/>
                <w:sz w:val="20"/>
                <w:szCs w:val="20"/>
              </w:rPr>
            </w:pPr>
            <w:r w:rsidRPr="00B71604">
              <w:rPr>
                <w:rStyle w:val="SCCFileNumberChar"/>
                <w:sz w:val="20"/>
                <w:szCs w:val="20"/>
              </w:rPr>
              <w:t>37103</w:t>
            </w:r>
          </w:p>
          <w:p w:rsidR="00A67A25" w:rsidRPr="00B71604" w:rsidRDefault="00A67A25" w:rsidP="00B537CB">
            <w:pPr>
              <w:jc w:val="both"/>
              <w:rPr>
                <w:rFonts w:cs="Times New Roman"/>
                <w:b/>
                <w:sz w:val="20"/>
                <w:szCs w:val="20"/>
              </w:rPr>
            </w:pPr>
          </w:p>
        </w:tc>
        <w:tc>
          <w:tcPr>
            <w:tcW w:w="8118" w:type="dxa"/>
            <w:gridSpan w:val="3"/>
          </w:tcPr>
          <w:p w:rsidR="00A67A25" w:rsidRPr="00B71604" w:rsidRDefault="00B71604" w:rsidP="00B537CB">
            <w:pPr>
              <w:jc w:val="both"/>
              <w:rPr>
                <w:rFonts w:cs="Times New Roman"/>
                <w:sz w:val="20"/>
                <w:szCs w:val="20"/>
              </w:rPr>
            </w:pPr>
            <w:r w:rsidRPr="00B71604">
              <w:rPr>
                <w:b/>
                <w:sz w:val="20"/>
                <w:szCs w:val="20"/>
                <w:u w:val="single"/>
              </w:rPr>
              <w:t>Curtis James Haas v. Her Majesty the Queen</w:t>
            </w:r>
            <w:r w:rsidRPr="00B71604">
              <w:rPr>
                <w:rFonts w:cs="Times New Roman"/>
                <w:sz w:val="20"/>
                <w:szCs w:val="20"/>
              </w:rPr>
              <w:t xml:space="preserve"> </w:t>
            </w:r>
            <w:r w:rsidR="00A67A25" w:rsidRPr="00B71604">
              <w:rPr>
                <w:rFonts w:cs="Times New Roman"/>
                <w:sz w:val="20"/>
                <w:szCs w:val="20"/>
              </w:rPr>
              <w:t>(</w:t>
            </w:r>
            <w:r w:rsidRPr="00B71604">
              <w:rPr>
                <w:rFonts w:cs="Times New Roman"/>
                <w:sz w:val="20"/>
                <w:szCs w:val="20"/>
              </w:rPr>
              <w:t>Man</w:t>
            </w:r>
            <w:r w:rsidR="00A67A25" w:rsidRPr="00B71604">
              <w:rPr>
                <w:rFonts w:cs="Times New Roman"/>
                <w:sz w:val="20"/>
                <w:szCs w:val="20"/>
              </w:rPr>
              <w:t>.) (C</w:t>
            </w:r>
            <w:r w:rsidRPr="00B71604">
              <w:rPr>
                <w:rFonts w:cs="Times New Roman"/>
                <w:sz w:val="20"/>
                <w:szCs w:val="20"/>
              </w:rPr>
              <w:t>rim.</w:t>
            </w:r>
            <w:r w:rsidR="00A67A25" w:rsidRPr="00B71604">
              <w:rPr>
                <w:rFonts w:cs="Times New Roman"/>
                <w:sz w:val="20"/>
                <w:szCs w:val="20"/>
              </w:rPr>
              <w:t>) (By Leave)</w:t>
            </w:r>
          </w:p>
          <w:p w:rsidR="00A67A25" w:rsidRPr="00B71604" w:rsidRDefault="00A67A25" w:rsidP="00B537CB">
            <w:pPr>
              <w:jc w:val="both"/>
              <w:rPr>
                <w:rFonts w:cs="Times New Roman"/>
                <w:sz w:val="20"/>
                <w:szCs w:val="20"/>
              </w:rPr>
            </w:pPr>
          </w:p>
        </w:tc>
      </w:tr>
      <w:tr w:rsidR="00A67A25" w:rsidRPr="000E48A1" w:rsidTr="00B537CB">
        <w:trPr>
          <w:cantSplit/>
        </w:trPr>
        <w:tc>
          <w:tcPr>
            <w:tcW w:w="1458" w:type="dxa"/>
          </w:tcPr>
          <w:p w:rsidR="00A67A25" w:rsidRPr="00B71604" w:rsidRDefault="00A67A25" w:rsidP="00B537CB">
            <w:pPr>
              <w:jc w:val="both"/>
              <w:rPr>
                <w:rFonts w:cs="Times New Roman"/>
                <w:sz w:val="20"/>
                <w:szCs w:val="20"/>
              </w:rPr>
            </w:pPr>
            <w:r w:rsidRPr="00B71604">
              <w:rPr>
                <w:rFonts w:cs="Times New Roman"/>
                <w:sz w:val="20"/>
                <w:szCs w:val="20"/>
              </w:rPr>
              <w:t>Coram :</w:t>
            </w:r>
          </w:p>
        </w:tc>
        <w:tc>
          <w:tcPr>
            <w:tcW w:w="8118" w:type="dxa"/>
            <w:gridSpan w:val="3"/>
          </w:tcPr>
          <w:p w:rsidR="00A67A25" w:rsidRPr="00B71604" w:rsidRDefault="00B71604" w:rsidP="00B537CB">
            <w:pPr>
              <w:jc w:val="both"/>
              <w:rPr>
                <w:rStyle w:val="SCCCoramChar"/>
                <w:sz w:val="20"/>
                <w:szCs w:val="20"/>
                <w:lang w:val="en-CA"/>
              </w:rPr>
            </w:pPr>
            <w:r w:rsidRPr="00B71604">
              <w:rPr>
                <w:rStyle w:val="SCCCoramChar"/>
                <w:sz w:val="20"/>
                <w:szCs w:val="20"/>
                <w:lang w:val="en-CA"/>
              </w:rPr>
              <w:t>McLachlin C.J. and Wagner and Gascon JJ.</w:t>
            </w:r>
          </w:p>
          <w:p w:rsidR="00B71604" w:rsidRPr="00B71604" w:rsidRDefault="00B71604" w:rsidP="00B537CB">
            <w:pPr>
              <w:jc w:val="both"/>
              <w:rPr>
                <w:rFonts w:cs="Times New Roman"/>
                <w:sz w:val="20"/>
                <w:szCs w:val="20"/>
              </w:rPr>
            </w:pPr>
          </w:p>
        </w:tc>
      </w:tr>
      <w:tr w:rsidR="00A67A25" w:rsidRPr="0086620F" w:rsidTr="00E8009B">
        <w:tc>
          <w:tcPr>
            <w:tcW w:w="9576" w:type="dxa"/>
            <w:gridSpan w:val="4"/>
          </w:tcPr>
          <w:p w:rsidR="00A67A25" w:rsidRPr="00B71604" w:rsidRDefault="00A67A25" w:rsidP="00B537CB">
            <w:pPr>
              <w:pStyle w:val="SCCShortJudgment"/>
              <w:ind w:firstLine="0"/>
              <w:rPr>
                <w:rFonts w:cs="Times New Roman"/>
                <w:szCs w:val="20"/>
              </w:rPr>
            </w:pPr>
            <w:r w:rsidRPr="00B71604">
              <w:rPr>
                <w:rFonts w:cs="Times New Roman"/>
                <w:szCs w:val="20"/>
              </w:rPr>
              <w:tab/>
            </w:r>
            <w:r w:rsidR="00B71604" w:rsidRPr="00B71604">
              <w:rPr>
                <w:szCs w:val="20"/>
              </w:rPr>
              <w:t>The motion for an extension of time to serve and file the application for leave to appeal is granted.  The application for leave to appeal from the judgment of the Court of Appeal of Manitoba, Number AR 15-30-08354, 2016 MBCA 42, dated April 28, 2016, is dismissed.</w:t>
            </w:r>
          </w:p>
          <w:p w:rsidR="00A67A25" w:rsidRPr="00B71604" w:rsidRDefault="00A67A25" w:rsidP="00B537CB">
            <w:pPr>
              <w:pStyle w:val="SCCShortJudgment"/>
              <w:ind w:firstLine="0"/>
              <w:rPr>
                <w:rFonts w:cs="Times New Roman"/>
                <w:szCs w:val="20"/>
              </w:rPr>
            </w:pPr>
          </w:p>
          <w:p w:rsidR="00A67A25" w:rsidRPr="00B71604" w:rsidRDefault="00A67A25" w:rsidP="00B537CB">
            <w:pPr>
              <w:pStyle w:val="SCCShortJudgment"/>
              <w:ind w:firstLine="0"/>
              <w:rPr>
                <w:rFonts w:cs="Times New Roman"/>
                <w:szCs w:val="20"/>
                <w:lang w:val="fr-CA"/>
              </w:rPr>
            </w:pPr>
            <w:r w:rsidRPr="00B71604">
              <w:rPr>
                <w:rFonts w:cs="Times New Roman"/>
                <w:szCs w:val="20"/>
              </w:rPr>
              <w:tab/>
            </w:r>
            <w:r w:rsidR="00B71604" w:rsidRPr="00B71604">
              <w:rPr>
                <w:szCs w:val="20"/>
                <w:lang w:val="fr-CA"/>
              </w:rPr>
              <w:t>La requ</w:t>
            </w:r>
            <w:r w:rsidR="00B71604" w:rsidRPr="00B71604">
              <w:rPr>
                <w:rFonts w:cs="Times New Roman"/>
                <w:szCs w:val="20"/>
                <w:lang w:val="fr-CA"/>
              </w:rPr>
              <w:t>ê</w:t>
            </w:r>
            <w:r w:rsidR="00B71604" w:rsidRPr="00B71604">
              <w:rPr>
                <w:szCs w:val="20"/>
                <w:lang w:val="fr-CA"/>
              </w:rPr>
              <w:t>te en prorogation du d</w:t>
            </w:r>
            <w:r w:rsidR="00B71604" w:rsidRPr="00B71604">
              <w:rPr>
                <w:rFonts w:cs="Times New Roman"/>
                <w:szCs w:val="20"/>
                <w:lang w:val="fr-CA"/>
              </w:rPr>
              <w:t>é</w:t>
            </w:r>
            <w:r w:rsidR="00B71604" w:rsidRPr="00B71604">
              <w:rPr>
                <w:szCs w:val="20"/>
                <w:lang w:val="fr-CA"/>
              </w:rPr>
              <w:t>lai de signification et de d</w:t>
            </w:r>
            <w:r w:rsidR="00B71604" w:rsidRPr="00B71604">
              <w:rPr>
                <w:rFonts w:cs="Times New Roman"/>
                <w:szCs w:val="20"/>
                <w:lang w:val="fr-CA"/>
              </w:rPr>
              <w:t>é</w:t>
            </w:r>
            <w:r w:rsidR="00B71604" w:rsidRPr="00B71604">
              <w:rPr>
                <w:szCs w:val="20"/>
                <w:lang w:val="fr-CA"/>
              </w:rPr>
              <w:t>p</w:t>
            </w:r>
            <w:r w:rsidR="00B71604" w:rsidRPr="00B71604">
              <w:rPr>
                <w:rFonts w:cs="Times New Roman"/>
                <w:szCs w:val="20"/>
                <w:lang w:val="fr-CA"/>
              </w:rPr>
              <w:t>ô</w:t>
            </w:r>
            <w:r w:rsidR="00B71604" w:rsidRPr="00B71604">
              <w:rPr>
                <w:szCs w:val="20"/>
                <w:lang w:val="fr-CA"/>
              </w:rPr>
              <w:t xml:space="preserve">t de la demande d’autorisation d’appel est accueillie.  La demande d’autorisation d’appel de l’arrêt de la </w:t>
            </w:r>
            <w:r w:rsidR="00B71604" w:rsidRPr="00B71604">
              <w:rPr>
                <w:szCs w:val="20"/>
                <w:lang w:val="fr-FR"/>
              </w:rPr>
              <w:t>Cour d’appel du Manitoba</w:t>
            </w:r>
            <w:r w:rsidR="00B71604" w:rsidRPr="00B71604">
              <w:rPr>
                <w:szCs w:val="20"/>
                <w:lang w:val="fr-CA"/>
              </w:rPr>
              <w:t xml:space="preserve">, numéro </w:t>
            </w:r>
            <w:r w:rsidR="00B71604" w:rsidRPr="00B71604">
              <w:rPr>
                <w:szCs w:val="20"/>
                <w:lang w:val="fr-FR"/>
              </w:rPr>
              <w:t>AR 15-30-08354, 2016 MBCA 42</w:t>
            </w:r>
            <w:r w:rsidR="00B71604" w:rsidRPr="00B71604">
              <w:rPr>
                <w:szCs w:val="20"/>
                <w:lang w:val="fr-CA"/>
              </w:rPr>
              <w:t xml:space="preserve">, daté du </w:t>
            </w:r>
            <w:r w:rsidR="00B71604" w:rsidRPr="00B71604">
              <w:rPr>
                <w:szCs w:val="20"/>
                <w:lang w:val="fr-FR"/>
              </w:rPr>
              <w:t>28 avril 2016</w:t>
            </w:r>
            <w:r w:rsidR="00B71604" w:rsidRPr="00B71604">
              <w:rPr>
                <w:szCs w:val="20"/>
                <w:lang w:val="fr-CA"/>
              </w:rPr>
              <w:t>, est rejet</w:t>
            </w:r>
            <w:r w:rsidR="00B71604" w:rsidRPr="00B71604">
              <w:rPr>
                <w:rFonts w:cs="Times New Roman"/>
                <w:szCs w:val="20"/>
                <w:lang w:val="fr-CA"/>
              </w:rPr>
              <w:t>é</w:t>
            </w:r>
            <w:r w:rsidR="00B71604" w:rsidRPr="00B71604">
              <w:rPr>
                <w:szCs w:val="20"/>
                <w:lang w:val="fr-CA"/>
              </w:rPr>
              <w:t>e.</w:t>
            </w:r>
          </w:p>
          <w:p w:rsidR="00A67A25" w:rsidRPr="00B71604"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CASE SUMMARY</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E8009B" w:rsidP="00B537CB">
            <w:pPr>
              <w:pStyle w:val="SCCShortJudgment"/>
              <w:ind w:firstLine="0"/>
              <w:rPr>
                <w:szCs w:val="20"/>
              </w:rPr>
            </w:pPr>
            <w:r w:rsidRPr="000E48A1">
              <w:rPr>
                <w:szCs w:val="20"/>
              </w:rPr>
              <w:t>Criminal law – Manslaughter – Intervening act – Whether the Manitoba Court of Appeal erred in finding that the voluntary consumption of a controlled substance by a competent adult does not constitute an intervening act that breaks the chain of causation in unlawful act manslaughter.</w:t>
            </w:r>
          </w:p>
          <w:p w:rsidR="00E8009B" w:rsidRPr="000E48A1" w:rsidRDefault="00E8009B" w:rsidP="00B537CB">
            <w:pPr>
              <w:pStyle w:val="SCCShortJudgment"/>
              <w:ind w:firstLine="0"/>
              <w:rPr>
                <w:rFonts w:cs="Times New Roman"/>
                <w:szCs w:val="20"/>
              </w:rPr>
            </w:pPr>
          </w:p>
        </w:tc>
      </w:tr>
      <w:tr w:rsidR="00A67A25" w:rsidRPr="000E48A1" w:rsidTr="00B71604">
        <w:tc>
          <w:tcPr>
            <w:tcW w:w="9576" w:type="dxa"/>
            <w:gridSpan w:val="4"/>
          </w:tcPr>
          <w:p w:rsidR="00E8009B" w:rsidRPr="000E48A1" w:rsidRDefault="00E8009B" w:rsidP="00E8009B">
            <w:pPr>
              <w:jc w:val="both"/>
              <w:rPr>
                <w:sz w:val="20"/>
                <w:szCs w:val="20"/>
              </w:rPr>
            </w:pPr>
            <w:r w:rsidRPr="000E48A1">
              <w:rPr>
                <w:sz w:val="20"/>
                <w:szCs w:val="20"/>
              </w:rPr>
              <w:t xml:space="preserve">The Applicant, Mr. Haas, brought a woman, H to his apartment where he had a supply of street morphine. H took some of Mr. Haas’ morphine pills. Mr. Haas later noticed that H was not breathing and called 911. H was rushed to hospital but died from a morphine overdose. The trial judge found that H had consumed at least 16 morphine pills. Mr. Haas was convicted of unlawful act manslaughter. Mr. Haas appealed arguing that the trial judge erred in determining that the </w:t>
            </w:r>
            <w:r w:rsidRPr="000E48A1">
              <w:rPr>
                <w:sz w:val="20"/>
                <w:szCs w:val="20"/>
              </w:rPr>
              <w:lastRenderedPageBreak/>
              <w:t>element of causation had been established, submitting that voluntary consumption of morphine pills by H was an intervening act that broke the chain of causation. The appeal was dismissed.</w:t>
            </w:r>
          </w:p>
          <w:p w:rsidR="00A67A25" w:rsidRPr="000E48A1" w:rsidRDefault="00A67A25" w:rsidP="00B537CB">
            <w:pPr>
              <w:pStyle w:val="SCCShortJudgment"/>
              <w:ind w:firstLine="0"/>
              <w:rPr>
                <w:rFonts w:cs="Times New Roman"/>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lastRenderedPageBreak/>
              <w:t>May 15, 2015</w:t>
            </w:r>
          </w:p>
          <w:p w:rsidR="00E8009B" w:rsidRPr="000E48A1" w:rsidRDefault="00E8009B" w:rsidP="00E8009B">
            <w:pPr>
              <w:rPr>
                <w:sz w:val="20"/>
                <w:szCs w:val="20"/>
              </w:rPr>
            </w:pPr>
            <w:r w:rsidRPr="000E48A1">
              <w:rPr>
                <w:sz w:val="20"/>
                <w:szCs w:val="20"/>
              </w:rPr>
              <w:t>Court of Queen’s Bench of Manitoba</w:t>
            </w:r>
          </w:p>
          <w:p w:rsidR="00E8009B" w:rsidRPr="000E48A1" w:rsidRDefault="00E8009B" w:rsidP="00E8009B">
            <w:pPr>
              <w:rPr>
                <w:sz w:val="20"/>
                <w:szCs w:val="20"/>
              </w:rPr>
            </w:pPr>
            <w:r w:rsidRPr="000E48A1">
              <w:rPr>
                <w:sz w:val="20"/>
                <w:szCs w:val="20"/>
              </w:rPr>
              <w:t>(Chartier J.)</w:t>
            </w:r>
          </w:p>
          <w:p w:rsidR="00E8009B" w:rsidRPr="000E48A1" w:rsidRDefault="00CB2D37" w:rsidP="00E8009B">
            <w:pPr>
              <w:rPr>
                <w:sz w:val="20"/>
                <w:szCs w:val="20"/>
              </w:rPr>
            </w:pPr>
            <w:hyperlink r:id="rId48" w:history="1">
              <w:r w:rsidR="00E8009B" w:rsidRPr="000E48A1">
                <w:rPr>
                  <w:rStyle w:val="Hyperlink"/>
                  <w:sz w:val="20"/>
                  <w:szCs w:val="20"/>
                </w:rPr>
                <w:t>2014 MBQB 99</w:t>
              </w:r>
            </w:hyperlink>
            <w:r w:rsidR="00E8009B" w:rsidRPr="000E48A1">
              <w:rPr>
                <w:sz w:val="20"/>
                <w:szCs w:val="20"/>
              </w:rPr>
              <w:t xml:space="preserve">; CR 11-01-31100 </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E8009B" w:rsidRPr="000E48A1" w:rsidRDefault="00E8009B" w:rsidP="00E8009B">
            <w:pPr>
              <w:rPr>
                <w:sz w:val="20"/>
                <w:szCs w:val="20"/>
              </w:rPr>
            </w:pPr>
            <w:r w:rsidRPr="000E48A1">
              <w:rPr>
                <w:sz w:val="20"/>
                <w:szCs w:val="20"/>
              </w:rPr>
              <w:t>Applicant convicted of unlawful act manslaughter</w:t>
            </w:r>
          </w:p>
          <w:p w:rsidR="00A67A25" w:rsidRPr="000E48A1" w:rsidRDefault="00A67A25" w:rsidP="00B537CB">
            <w:pPr>
              <w:jc w:val="both"/>
              <w:rPr>
                <w:rFonts w:cs="Times New Roman"/>
                <w:sz w:val="20"/>
                <w:szCs w:val="20"/>
              </w:rPr>
            </w:pP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April 28, 2016</w:t>
            </w:r>
          </w:p>
          <w:p w:rsidR="00E8009B" w:rsidRPr="000E48A1" w:rsidRDefault="00E8009B" w:rsidP="00E8009B">
            <w:pPr>
              <w:rPr>
                <w:sz w:val="20"/>
                <w:szCs w:val="20"/>
              </w:rPr>
            </w:pPr>
            <w:r w:rsidRPr="000E48A1">
              <w:rPr>
                <w:sz w:val="20"/>
                <w:szCs w:val="20"/>
              </w:rPr>
              <w:t>Court of Appeal of Manitoba</w:t>
            </w:r>
          </w:p>
          <w:p w:rsidR="00E8009B" w:rsidRPr="000E48A1" w:rsidRDefault="00E8009B" w:rsidP="00E8009B">
            <w:pPr>
              <w:rPr>
                <w:sz w:val="20"/>
                <w:szCs w:val="20"/>
              </w:rPr>
            </w:pPr>
            <w:r w:rsidRPr="000E48A1">
              <w:rPr>
                <w:sz w:val="20"/>
                <w:szCs w:val="20"/>
              </w:rPr>
              <w:t>(Steel, Hamilton and Pfuetzner JJ.A.)</w:t>
            </w:r>
          </w:p>
          <w:p w:rsidR="00E8009B" w:rsidRPr="000E48A1" w:rsidRDefault="00CB2D37" w:rsidP="00E8009B">
            <w:pPr>
              <w:rPr>
                <w:sz w:val="20"/>
                <w:szCs w:val="20"/>
              </w:rPr>
            </w:pPr>
            <w:hyperlink r:id="rId49" w:history="1">
              <w:r w:rsidR="00E8009B" w:rsidRPr="000E48A1">
                <w:rPr>
                  <w:rStyle w:val="Hyperlink"/>
                  <w:sz w:val="20"/>
                  <w:szCs w:val="20"/>
                </w:rPr>
                <w:t>2016 MBCA 42</w:t>
              </w:r>
            </w:hyperlink>
            <w:r w:rsidR="00E8009B" w:rsidRPr="000E48A1">
              <w:rPr>
                <w:sz w:val="20"/>
                <w:szCs w:val="20"/>
              </w:rPr>
              <w:t>; AR15-30-08354</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E8009B" w:rsidP="00B537CB">
            <w:pPr>
              <w:jc w:val="both"/>
              <w:rPr>
                <w:rFonts w:cs="Times New Roman"/>
                <w:sz w:val="20"/>
                <w:szCs w:val="20"/>
              </w:rPr>
            </w:pPr>
            <w:r w:rsidRPr="000E48A1">
              <w:rPr>
                <w:sz w:val="20"/>
                <w:szCs w:val="20"/>
              </w:rPr>
              <w:t>Appeal dismissed</w:t>
            </w:r>
          </w:p>
        </w:tc>
      </w:tr>
      <w:tr w:rsidR="00A67A25" w:rsidRPr="000E48A1" w:rsidTr="00B537CB">
        <w:trPr>
          <w:cantSplit/>
        </w:trPr>
        <w:tc>
          <w:tcPr>
            <w:tcW w:w="4410" w:type="dxa"/>
            <w:gridSpan w:val="2"/>
          </w:tcPr>
          <w:p w:rsidR="00E8009B" w:rsidRPr="000E48A1" w:rsidRDefault="00E8009B" w:rsidP="00E8009B">
            <w:pPr>
              <w:rPr>
                <w:sz w:val="20"/>
                <w:szCs w:val="20"/>
              </w:rPr>
            </w:pPr>
            <w:r w:rsidRPr="000E48A1">
              <w:rPr>
                <w:sz w:val="20"/>
                <w:szCs w:val="20"/>
              </w:rPr>
              <w:t>July 20, 2016</w:t>
            </w:r>
          </w:p>
          <w:p w:rsidR="00E8009B" w:rsidRPr="000E48A1" w:rsidRDefault="00E8009B" w:rsidP="00E8009B">
            <w:pPr>
              <w:rPr>
                <w:sz w:val="20"/>
                <w:szCs w:val="20"/>
              </w:rPr>
            </w:pPr>
            <w:r w:rsidRPr="000E48A1">
              <w:rPr>
                <w:sz w:val="20"/>
                <w:szCs w:val="20"/>
              </w:rPr>
              <w:t>Supreme Court of Canada</w:t>
            </w:r>
          </w:p>
          <w:p w:rsidR="00A67A25" w:rsidRPr="000E48A1" w:rsidRDefault="00A67A25" w:rsidP="00B537CB">
            <w:pPr>
              <w:jc w:val="both"/>
              <w:rPr>
                <w:rFonts w:cs="Times New Roman"/>
                <w:sz w:val="20"/>
                <w:szCs w:val="20"/>
              </w:rPr>
            </w:pPr>
          </w:p>
        </w:tc>
        <w:tc>
          <w:tcPr>
            <w:tcW w:w="630" w:type="dxa"/>
          </w:tcPr>
          <w:p w:rsidR="00A67A25" w:rsidRPr="000E48A1" w:rsidRDefault="00A67A25" w:rsidP="00B537CB">
            <w:pPr>
              <w:pStyle w:val="SCCShortJudgment"/>
              <w:ind w:firstLine="0"/>
              <w:rPr>
                <w:rFonts w:cs="Times New Roman"/>
                <w:szCs w:val="20"/>
              </w:rPr>
            </w:pPr>
          </w:p>
        </w:tc>
        <w:tc>
          <w:tcPr>
            <w:tcW w:w="4536" w:type="dxa"/>
          </w:tcPr>
          <w:p w:rsidR="00A67A25" w:rsidRPr="000E48A1" w:rsidRDefault="00E8009B" w:rsidP="00B537CB">
            <w:pPr>
              <w:jc w:val="both"/>
              <w:rPr>
                <w:sz w:val="20"/>
                <w:szCs w:val="20"/>
              </w:rPr>
            </w:pPr>
            <w:r w:rsidRPr="000E48A1">
              <w:rPr>
                <w:sz w:val="20"/>
                <w:szCs w:val="20"/>
              </w:rPr>
              <w:t>Motion for extension of time to serve and file application for leave to appeal and Application for leave to appeal filed</w:t>
            </w:r>
          </w:p>
          <w:p w:rsidR="00E8009B" w:rsidRPr="000E48A1" w:rsidRDefault="00E8009B" w:rsidP="00B537CB">
            <w:pPr>
              <w:jc w:val="both"/>
              <w:rPr>
                <w:rFonts w:cs="Times New Roman"/>
                <w:sz w:val="20"/>
                <w:szCs w:val="20"/>
              </w:rPr>
            </w:pPr>
          </w:p>
        </w:tc>
      </w:tr>
      <w:tr w:rsidR="00A67A25" w:rsidRPr="000E48A1" w:rsidTr="00B537CB">
        <w:trPr>
          <w:cantSplit/>
        </w:trPr>
        <w:tc>
          <w:tcPr>
            <w:tcW w:w="9576" w:type="dxa"/>
            <w:gridSpan w:val="4"/>
          </w:tcPr>
          <w:p w:rsidR="00A67A25" w:rsidRPr="000E48A1" w:rsidRDefault="00CB2D37" w:rsidP="00B537CB">
            <w:pPr>
              <w:pStyle w:val="SCCShortJudgment"/>
              <w:ind w:firstLine="0"/>
              <w:rPr>
                <w:rFonts w:cs="Times New Roman"/>
                <w:szCs w:val="20"/>
                <w:lang w:val="fr-CA"/>
              </w:rPr>
            </w:pPr>
            <w:r>
              <w:rPr>
                <w:rFonts w:cs="Times New Roman"/>
                <w:szCs w:val="20"/>
                <w:lang w:val="fr-CA"/>
              </w:rPr>
              <w:pict>
                <v:rect id="_x0000_i1065" style="width:2in;height:1pt" o:hrpct="0" o:hralign="center" o:hrstd="t" o:hrnoshade="t" o:hr="t" fillcolor="black [3213]" stroked="f"/>
              </w:pic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A67A25" w:rsidRPr="000E48A1" w:rsidRDefault="00A67A25" w:rsidP="00B537CB">
            <w:pPr>
              <w:pStyle w:val="SCCShortJudgment"/>
              <w:ind w:firstLine="0"/>
              <w:rPr>
                <w:rFonts w:cs="Times New Roman"/>
                <w:szCs w:val="20"/>
                <w:u w:val="single"/>
                <w:lang w:val="fr-CA"/>
              </w:rPr>
            </w:pPr>
            <w:r w:rsidRPr="000E48A1">
              <w:rPr>
                <w:rFonts w:cs="Times New Roman"/>
                <w:szCs w:val="20"/>
                <w:u w:val="single"/>
                <w:lang w:val="fr-CA"/>
              </w:rPr>
              <w:t>RÉSUMÉ DE L’AFFAIRE </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9576" w:type="dxa"/>
            <w:gridSpan w:val="4"/>
          </w:tcPr>
          <w:p w:rsidR="00A67A25" w:rsidRPr="000E48A1" w:rsidRDefault="00E8009B" w:rsidP="00B537CB">
            <w:pPr>
              <w:pStyle w:val="SCCShortJudgment"/>
              <w:ind w:firstLine="0"/>
              <w:rPr>
                <w:szCs w:val="20"/>
                <w:lang w:val="fr-CA"/>
              </w:rPr>
            </w:pPr>
            <w:r w:rsidRPr="000E48A1">
              <w:rPr>
                <w:szCs w:val="20"/>
                <w:lang w:val="fr-CA"/>
              </w:rPr>
              <w:t>Droit criminel – Homicide involontaire coupable – Acte intermédiaire – La Cour d’appel du Manitoba a-t-elle eu tort de conclure que la consommation volontaire d’une substance réglementée par un adulte capable ne constitue pas un acte intermédiaire qui rompt le lien de causalité dans un cas d’homicide involontaire coupable résultant d’un acte illégal?</w:t>
            </w:r>
          </w:p>
          <w:p w:rsidR="00E8009B" w:rsidRPr="000E48A1" w:rsidRDefault="00E8009B" w:rsidP="00B537CB">
            <w:pPr>
              <w:pStyle w:val="SCCShortJudgment"/>
              <w:ind w:firstLine="0"/>
              <w:rPr>
                <w:rFonts w:cs="Times New Roman"/>
                <w:szCs w:val="20"/>
                <w:lang w:val="fr-CA"/>
              </w:rPr>
            </w:pPr>
          </w:p>
        </w:tc>
      </w:tr>
      <w:tr w:rsidR="00A67A25" w:rsidRPr="000E48A1" w:rsidTr="00B537CB">
        <w:trPr>
          <w:cantSplit/>
        </w:trPr>
        <w:tc>
          <w:tcPr>
            <w:tcW w:w="9576" w:type="dxa"/>
            <w:gridSpan w:val="4"/>
          </w:tcPr>
          <w:p w:rsidR="00E8009B" w:rsidRPr="000E48A1" w:rsidRDefault="00E8009B" w:rsidP="00E8009B">
            <w:pPr>
              <w:jc w:val="both"/>
              <w:rPr>
                <w:sz w:val="20"/>
                <w:szCs w:val="20"/>
                <w:lang w:val="fr-CA"/>
              </w:rPr>
            </w:pPr>
            <w:r w:rsidRPr="000E48A1">
              <w:rPr>
                <w:sz w:val="20"/>
                <w:szCs w:val="20"/>
                <w:lang w:val="fr-CA"/>
              </w:rPr>
              <w:t xml:space="preserve">Le demandeur, M. Haas, a amené une femme, H, à son </w:t>
            </w:r>
            <w:r w:rsidR="0086620F" w:rsidRPr="000E48A1">
              <w:rPr>
                <w:sz w:val="20"/>
                <w:szCs w:val="20"/>
                <w:lang w:val="fr-CA"/>
              </w:rPr>
              <w:t>apparte</w:t>
            </w:r>
            <w:r w:rsidR="0086620F">
              <w:rPr>
                <w:sz w:val="20"/>
                <w:szCs w:val="20"/>
                <w:lang w:val="fr-CA"/>
              </w:rPr>
              <w:t>m</w:t>
            </w:r>
            <w:r w:rsidR="0086620F" w:rsidRPr="000E48A1">
              <w:rPr>
                <w:sz w:val="20"/>
                <w:szCs w:val="20"/>
                <w:lang w:val="fr-CA"/>
              </w:rPr>
              <w:t>ent</w:t>
            </w:r>
            <w:r w:rsidRPr="000E48A1">
              <w:rPr>
                <w:sz w:val="20"/>
                <w:szCs w:val="20"/>
                <w:lang w:val="fr-CA"/>
              </w:rPr>
              <w:t xml:space="preserve"> où il gardait de la morphine de rue. H a consommé des pilules de morphine de M. Haas. Plus tard, M. Haas a remarqué que H avait cessé de respirer et il a composé le 911. H a été hospitalisée d’urgence, mais elle est décédée d’une surdose de morphine. Le juge du procès a conclu que H avait consommé au moins seize pilules de morphine. Monsieur Haas a été déclaré coupable d’homicide involontaire coupable résultant d’un acte illégal. Monsieur Haas a interjeté appel, plaidant que le juge du procès s’était trompé en concluant que l’élément de causalité avait été établi, faisant valoir que la consommation volontaire des pilules de morphine par H avait rompu le lien de causalité. L’appel a été rejeté.</w:t>
            </w:r>
          </w:p>
          <w:p w:rsidR="00A67A25" w:rsidRPr="000E48A1" w:rsidRDefault="00A67A25" w:rsidP="00B537CB">
            <w:pPr>
              <w:jc w:val="both"/>
              <w:rPr>
                <w:rFonts w:cs="Times New Roman"/>
                <w:sz w:val="20"/>
                <w:szCs w:val="20"/>
                <w:lang w:val="fr-CA"/>
              </w:rPr>
            </w:pPr>
          </w:p>
        </w:tc>
      </w:tr>
      <w:tr w:rsidR="00A67A25" w:rsidRPr="0086620F" w:rsidTr="00E8009B">
        <w:tc>
          <w:tcPr>
            <w:tcW w:w="4410" w:type="dxa"/>
            <w:gridSpan w:val="2"/>
          </w:tcPr>
          <w:p w:rsidR="00E8009B" w:rsidRPr="000E48A1" w:rsidRDefault="00E8009B" w:rsidP="00E8009B">
            <w:pPr>
              <w:rPr>
                <w:sz w:val="20"/>
                <w:szCs w:val="20"/>
                <w:lang w:val="fr-CA"/>
              </w:rPr>
            </w:pPr>
            <w:r w:rsidRPr="000E48A1">
              <w:rPr>
                <w:sz w:val="20"/>
                <w:szCs w:val="20"/>
                <w:lang w:val="fr-CA"/>
              </w:rPr>
              <w:t>15 mai 2015</w:t>
            </w:r>
          </w:p>
          <w:p w:rsidR="00E8009B" w:rsidRPr="000E48A1" w:rsidRDefault="00E8009B" w:rsidP="00E8009B">
            <w:pPr>
              <w:rPr>
                <w:sz w:val="20"/>
                <w:szCs w:val="20"/>
                <w:lang w:val="fr-CA"/>
              </w:rPr>
            </w:pPr>
            <w:r w:rsidRPr="000E48A1">
              <w:rPr>
                <w:sz w:val="20"/>
                <w:szCs w:val="20"/>
                <w:lang w:val="fr-CA"/>
              </w:rPr>
              <w:t>Cour du Banc de la Reine du Manitoba</w:t>
            </w:r>
          </w:p>
          <w:p w:rsidR="00E8009B" w:rsidRPr="000E48A1" w:rsidRDefault="00E8009B" w:rsidP="00E8009B">
            <w:pPr>
              <w:rPr>
                <w:sz w:val="20"/>
                <w:szCs w:val="20"/>
                <w:lang w:val="fr-CA"/>
              </w:rPr>
            </w:pPr>
            <w:r w:rsidRPr="000E48A1">
              <w:rPr>
                <w:sz w:val="20"/>
                <w:szCs w:val="20"/>
                <w:lang w:val="fr-CA"/>
              </w:rPr>
              <w:t>(Juge Chartier)</w:t>
            </w:r>
          </w:p>
          <w:p w:rsidR="00E8009B" w:rsidRPr="000E48A1" w:rsidRDefault="00CB2D37" w:rsidP="00E8009B">
            <w:pPr>
              <w:rPr>
                <w:sz w:val="20"/>
                <w:szCs w:val="20"/>
                <w:lang w:val="fr-CA"/>
              </w:rPr>
            </w:pPr>
            <w:hyperlink r:id="rId50" w:history="1">
              <w:r w:rsidR="00E8009B" w:rsidRPr="00005C3E">
                <w:rPr>
                  <w:rStyle w:val="Hyperlink"/>
                  <w:sz w:val="20"/>
                  <w:szCs w:val="20"/>
                  <w:lang w:val="fr-CA"/>
                </w:rPr>
                <w:t>2014 MBQB 99</w:t>
              </w:r>
            </w:hyperlink>
            <w:r w:rsidR="00E8009B" w:rsidRPr="000E48A1">
              <w:rPr>
                <w:sz w:val="20"/>
                <w:szCs w:val="20"/>
                <w:lang w:val="fr-CA"/>
              </w:rPr>
              <w:t xml:space="preserve">; CR 11-01-31100 </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jc w:val="both"/>
              <w:rPr>
                <w:sz w:val="20"/>
                <w:szCs w:val="20"/>
                <w:lang w:val="fr-CA"/>
              </w:rPr>
            </w:pPr>
            <w:r w:rsidRPr="000E48A1">
              <w:rPr>
                <w:sz w:val="20"/>
                <w:szCs w:val="20"/>
                <w:lang w:val="fr-CA"/>
              </w:rPr>
              <w:t>Déclaration de culpabilité d’homicide involontaire coupable résultant d’un acte illégal</w:t>
            </w:r>
          </w:p>
          <w:p w:rsidR="00A67A25" w:rsidRPr="000E48A1" w:rsidRDefault="00A67A25" w:rsidP="00B537CB">
            <w:pPr>
              <w:pStyle w:val="SCCShortJudgment"/>
              <w:ind w:firstLine="0"/>
              <w:rPr>
                <w:rFonts w:cs="Times New Roman"/>
                <w:szCs w:val="20"/>
                <w:lang w:val="fr-CA"/>
              </w:rPr>
            </w:pPr>
          </w:p>
        </w:tc>
      </w:tr>
      <w:tr w:rsidR="00A67A25" w:rsidRPr="000E48A1"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28 avril 2016</w:t>
            </w:r>
          </w:p>
          <w:p w:rsidR="00E8009B" w:rsidRPr="000E48A1" w:rsidRDefault="00E8009B" w:rsidP="00E8009B">
            <w:pPr>
              <w:rPr>
                <w:sz w:val="20"/>
                <w:szCs w:val="20"/>
                <w:lang w:val="fr-CA"/>
              </w:rPr>
            </w:pPr>
            <w:r w:rsidRPr="000E48A1">
              <w:rPr>
                <w:sz w:val="20"/>
                <w:szCs w:val="20"/>
                <w:lang w:val="fr-CA"/>
              </w:rPr>
              <w:t>Cour d’appel du Manitoba</w:t>
            </w:r>
          </w:p>
          <w:p w:rsidR="00E8009B" w:rsidRPr="000E48A1" w:rsidRDefault="00E8009B" w:rsidP="00E8009B">
            <w:pPr>
              <w:rPr>
                <w:sz w:val="20"/>
                <w:szCs w:val="20"/>
                <w:lang w:val="fr-CA"/>
              </w:rPr>
            </w:pPr>
            <w:r w:rsidRPr="000E48A1">
              <w:rPr>
                <w:sz w:val="20"/>
                <w:szCs w:val="20"/>
                <w:lang w:val="fr-CA"/>
              </w:rPr>
              <w:t>(Juges Steel, Hamilton et Pfuetzner)</w:t>
            </w:r>
          </w:p>
          <w:p w:rsidR="00E8009B" w:rsidRPr="000E48A1" w:rsidRDefault="00CB2D37" w:rsidP="00E8009B">
            <w:pPr>
              <w:rPr>
                <w:sz w:val="20"/>
                <w:szCs w:val="20"/>
                <w:lang w:val="fr-CA"/>
              </w:rPr>
            </w:pPr>
            <w:hyperlink r:id="rId51" w:history="1">
              <w:r w:rsidR="00E8009B" w:rsidRPr="00005C3E">
                <w:rPr>
                  <w:rStyle w:val="Hyperlink"/>
                  <w:sz w:val="20"/>
                  <w:szCs w:val="20"/>
                  <w:lang w:val="fr-CA"/>
                </w:rPr>
                <w:t>2016 MBCA 42</w:t>
              </w:r>
            </w:hyperlink>
            <w:r w:rsidR="00E8009B" w:rsidRPr="000E48A1">
              <w:rPr>
                <w:sz w:val="20"/>
                <w:szCs w:val="20"/>
                <w:lang w:val="fr-CA"/>
              </w:rPr>
              <w:t>; AR15-30-08354</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E8009B" w:rsidRPr="000E48A1" w:rsidRDefault="00E8009B" w:rsidP="00E8009B">
            <w:pPr>
              <w:rPr>
                <w:sz w:val="20"/>
                <w:szCs w:val="20"/>
                <w:lang w:val="fr-CA"/>
              </w:rPr>
            </w:pPr>
            <w:r w:rsidRPr="000E48A1">
              <w:rPr>
                <w:sz w:val="20"/>
                <w:szCs w:val="20"/>
                <w:lang w:val="fr-CA"/>
              </w:rPr>
              <w:t>Rejet de l’appel</w:t>
            </w:r>
          </w:p>
          <w:p w:rsidR="00A67A25" w:rsidRPr="000E48A1" w:rsidRDefault="00A67A25" w:rsidP="00B537CB">
            <w:pPr>
              <w:pStyle w:val="SCCShortJudgment"/>
              <w:ind w:firstLine="0"/>
              <w:rPr>
                <w:rFonts w:cs="Times New Roman"/>
                <w:szCs w:val="20"/>
                <w:lang w:val="fr-CA"/>
              </w:rPr>
            </w:pPr>
          </w:p>
        </w:tc>
      </w:tr>
      <w:tr w:rsidR="00A67A25" w:rsidRPr="0086620F" w:rsidTr="00B537CB">
        <w:trPr>
          <w:cantSplit/>
        </w:trPr>
        <w:tc>
          <w:tcPr>
            <w:tcW w:w="4410" w:type="dxa"/>
            <w:gridSpan w:val="2"/>
          </w:tcPr>
          <w:p w:rsidR="00E8009B" w:rsidRPr="000E48A1" w:rsidRDefault="00E8009B" w:rsidP="00E8009B">
            <w:pPr>
              <w:rPr>
                <w:sz w:val="20"/>
                <w:szCs w:val="20"/>
                <w:lang w:val="fr-CA"/>
              </w:rPr>
            </w:pPr>
            <w:r w:rsidRPr="000E48A1">
              <w:rPr>
                <w:sz w:val="20"/>
                <w:szCs w:val="20"/>
                <w:lang w:val="fr-CA"/>
              </w:rPr>
              <w:t>20 juillet 2016</w:t>
            </w:r>
          </w:p>
          <w:p w:rsidR="00E8009B" w:rsidRPr="000E48A1" w:rsidRDefault="00E8009B" w:rsidP="00E8009B">
            <w:pPr>
              <w:rPr>
                <w:sz w:val="20"/>
                <w:szCs w:val="20"/>
                <w:lang w:val="fr-CA"/>
              </w:rPr>
            </w:pPr>
            <w:r w:rsidRPr="000E48A1">
              <w:rPr>
                <w:sz w:val="20"/>
                <w:szCs w:val="20"/>
                <w:lang w:val="fr-CA"/>
              </w:rPr>
              <w:t>Cour suprême du Canada</w:t>
            </w:r>
          </w:p>
          <w:p w:rsidR="00A67A25" w:rsidRPr="000E48A1" w:rsidRDefault="00A67A25" w:rsidP="00B537CB">
            <w:pPr>
              <w:pStyle w:val="SCCShortJudgment"/>
              <w:ind w:firstLine="0"/>
              <w:rPr>
                <w:rFonts w:cs="Times New Roman"/>
                <w:szCs w:val="20"/>
                <w:lang w:val="fr-CA"/>
              </w:rPr>
            </w:pPr>
          </w:p>
        </w:tc>
        <w:tc>
          <w:tcPr>
            <w:tcW w:w="630" w:type="dxa"/>
          </w:tcPr>
          <w:p w:rsidR="00A67A25" w:rsidRPr="000E48A1" w:rsidRDefault="00A67A25" w:rsidP="00B537CB">
            <w:pPr>
              <w:pStyle w:val="SCCShortJudgment"/>
              <w:ind w:firstLine="0"/>
              <w:rPr>
                <w:rFonts w:cs="Times New Roman"/>
                <w:szCs w:val="20"/>
                <w:lang w:val="fr-CA"/>
              </w:rPr>
            </w:pPr>
          </w:p>
        </w:tc>
        <w:tc>
          <w:tcPr>
            <w:tcW w:w="4536" w:type="dxa"/>
          </w:tcPr>
          <w:p w:rsidR="00A67A25" w:rsidRPr="000E48A1" w:rsidRDefault="00E8009B" w:rsidP="00B537CB">
            <w:pPr>
              <w:pStyle w:val="SCCShortJudgment"/>
              <w:ind w:firstLine="0"/>
              <w:rPr>
                <w:szCs w:val="20"/>
                <w:lang w:val="fr-CA"/>
              </w:rPr>
            </w:pPr>
            <w:r w:rsidRPr="000E48A1">
              <w:rPr>
                <w:szCs w:val="20"/>
                <w:lang w:val="fr-CA"/>
              </w:rPr>
              <w:t>Dépôt de la requête en prorogation du délai de signification et de dépôt de la demande d’autorisation d’appel et de la demande d’autorisation d’appel</w:t>
            </w:r>
          </w:p>
          <w:p w:rsidR="00E8009B" w:rsidRPr="000E48A1" w:rsidRDefault="00E8009B" w:rsidP="00B537CB">
            <w:pPr>
              <w:pStyle w:val="SCCShortJudgment"/>
              <w:ind w:firstLine="0"/>
              <w:rPr>
                <w:rFonts w:cs="Times New Roman"/>
                <w:szCs w:val="20"/>
                <w:lang w:val="fr-CA"/>
              </w:rPr>
            </w:pPr>
          </w:p>
        </w:tc>
      </w:tr>
    </w:tbl>
    <w:p w:rsidR="000E2959" w:rsidRDefault="00CB2D37" w:rsidP="000E2959">
      <w:pPr>
        <w:rPr>
          <w:sz w:val="20"/>
          <w:szCs w:val="20"/>
        </w:rPr>
      </w:pPr>
      <w:r>
        <w:rPr>
          <w:sz w:val="20"/>
          <w:szCs w:val="20"/>
          <w:lang w:val="fr-CA"/>
        </w:rPr>
        <w:pict>
          <v:rect id="_x0000_i1066" style="width:2in;height:1pt" o:hrpct="0" o:hralign="center" o:hrstd="t" o:hrnoshade="t" o:hr="t" fillcolor="black [3213]" stroked="f"/>
        </w:pict>
      </w:r>
    </w:p>
    <w:p w:rsidR="000E2959" w:rsidRDefault="000E2959"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EB664B" w:rsidRDefault="00890FEB" w:rsidP="00890FEB">
      <w:pPr>
        <w:rPr>
          <w:sz w:val="20"/>
          <w:szCs w:val="20"/>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16.09.2016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GASCON J. / LE JUGE GASCON</w:t>
      </w:r>
    </w:p>
    <w:p w:rsidR="00EB664B" w:rsidRPr="00EB664B" w:rsidRDefault="00EB664B" w:rsidP="00EB664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EB664B" w:rsidRPr="0086620F" w:rsidTr="0074152A">
        <w:trPr>
          <w:trHeight w:val="151"/>
        </w:trPr>
        <w:tc>
          <w:tcPr>
            <w:tcW w:w="4338" w:type="dxa"/>
          </w:tcPr>
          <w:p w:rsidR="00EB664B" w:rsidRPr="00EB664B" w:rsidRDefault="00EB664B" w:rsidP="0074152A">
            <w:pPr>
              <w:tabs>
                <w:tab w:val="left" w:pos="-1440"/>
                <w:tab w:val="left" w:pos="-720"/>
              </w:tabs>
              <w:jc w:val="both"/>
              <w:rPr>
                <w:sz w:val="20"/>
                <w:szCs w:val="20"/>
              </w:rPr>
            </w:pPr>
            <w:r w:rsidRPr="00EB664B">
              <w:rPr>
                <w:b/>
                <w:bCs/>
                <w:sz w:val="20"/>
                <w:szCs w:val="20"/>
              </w:rPr>
              <w:t>Motion for a stay of execution</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c>
          <w:tcPr>
            <w:tcW w:w="1170" w:type="dxa"/>
          </w:tcPr>
          <w:p w:rsidR="00EB664B" w:rsidRPr="00EB664B" w:rsidRDefault="00EB664B" w:rsidP="0074152A">
            <w:pPr>
              <w:jc w:val="both"/>
              <w:rPr>
                <w:sz w:val="20"/>
                <w:szCs w:val="20"/>
              </w:rPr>
            </w:pPr>
          </w:p>
          <w:p w:rsidR="00EB664B" w:rsidRPr="00EB664B" w:rsidRDefault="00EB664B" w:rsidP="0074152A">
            <w:pPr>
              <w:jc w:val="both"/>
              <w:rPr>
                <w:sz w:val="20"/>
                <w:szCs w:val="20"/>
              </w:rPr>
            </w:pPr>
          </w:p>
        </w:tc>
        <w:tc>
          <w:tcPr>
            <w:tcW w:w="4327" w:type="dxa"/>
          </w:tcPr>
          <w:p w:rsidR="00EB664B" w:rsidRPr="00EB664B" w:rsidRDefault="00EB664B" w:rsidP="0074152A">
            <w:pPr>
              <w:jc w:val="both"/>
              <w:rPr>
                <w:b/>
                <w:sz w:val="20"/>
                <w:szCs w:val="20"/>
                <w:lang w:val="fr-CA"/>
              </w:rPr>
            </w:pPr>
            <w:r w:rsidRPr="00EB664B">
              <w:rPr>
                <w:b/>
                <w:bCs/>
                <w:sz w:val="20"/>
                <w:szCs w:val="20"/>
                <w:lang w:val="fr-CA"/>
              </w:rPr>
              <w:t>Requête en vue d’obtenir un sursis à l’exécution</w:t>
            </w:r>
          </w:p>
          <w:p w:rsidR="00EB664B" w:rsidRPr="00EB664B" w:rsidRDefault="00EB664B" w:rsidP="0074152A">
            <w:pPr>
              <w:jc w:val="both"/>
              <w:rPr>
                <w:b/>
                <w:sz w:val="20"/>
                <w:szCs w:val="20"/>
                <w:lang w:val="fr-CA"/>
              </w:rPr>
            </w:pP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p>
        </w:tc>
      </w:tr>
      <w:tr w:rsidR="00EB664B" w:rsidRPr="00EB664B" w:rsidTr="0074152A">
        <w:trPr>
          <w:trHeight w:val="150"/>
        </w:trPr>
        <w:tc>
          <w:tcPr>
            <w:tcW w:w="4338" w:type="dxa"/>
          </w:tcPr>
          <w:p w:rsidR="00EB664B" w:rsidRPr="00EB664B" w:rsidRDefault="00EB664B" w:rsidP="0074152A">
            <w:pPr>
              <w:tabs>
                <w:tab w:val="left" w:pos="-1440"/>
                <w:tab w:val="left" w:pos="-720"/>
              </w:tabs>
              <w:jc w:val="both"/>
              <w:rPr>
                <w:sz w:val="20"/>
                <w:szCs w:val="20"/>
                <w:lang w:val="fr-CA"/>
              </w:rPr>
            </w:pPr>
            <w:r w:rsidRPr="00EB664B">
              <w:rPr>
                <w:sz w:val="20"/>
                <w:szCs w:val="20"/>
                <w:lang w:val="fr-CA"/>
              </w:rPr>
              <w:t>Dave Lamouche</w:t>
            </w:r>
          </w:p>
          <w:p w:rsidR="00EB664B" w:rsidRPr="00EB664B" w:rsidRDefault="00EB664B" w:rsidP="0074152A">
            <w:pPr>
              <w:tabs>
                <w:tab w:val="left" w:pos="-1440"/>
                <w:tab w:val="left" w:pos="-720"/>
              </w:tabs>
              <w:jc w:val="both"/>
              <w:rPr>
                <w:sz w:val="20"/>
                <w:szCs w:val="20"/>
                <w:lang w:val="fr-CA"/>
              </w:rPr>
            </w:pPr>
          </w:p>
          <w:p w:rsidR="00EB664B" w:rsidRPr="00EB664B" w:rsidRDefault="00EB664B" w:rsidP="0074152A">
            <w:pPr>
              <w:tabs>
                <w:tab w:val="left" w:pos="-1440"/>
                <w:tab w:val="left" w:pos="-720"/>
              </w:tabs>
              <w:jc w:val="both"/>
              <w:rPr>
                <w:sz w:val="20"/>
                <w:szCs w:val="20"/>
                <w:lang w:val="fr-CA"/>
              </w:rPr>
            </w:pPr>
            <w:r w:rsidRPr="00EB664B">
              <w:rPr>
                <w:sz w:val="20"/>
                <w:szCs w:val="20"/>
                <w:lang w:val="fr-CA"/>
              </w:rPr>
              <w:tab/>
              <w:t>v. (37111)</w:t>
            </w:r>
          </w:p>
          <w:p w:rsidR="00EB664B" w:rsidRPr="00EB664B" w:rsidRDefault="00EB664B" w:rsidP="0074152A">
            <w:pPr>
              <w:tabs>
                <w:tab w:val="left" w:pos="-1440"/>
                <w:tab w:val="left" w:pos="-720"/>
              </w:tabs>
              <w:jc w:val="both"/>
              <w:rPr>
                <w:sz w:val="20"/>
                <w:szCs w:val="20"/>
                <w:lang w:val="fr-CA"/>
              </w:rPr>
            </w:pPr>
          </w:p>
          <w:p w:rsidR="00EB664B" w:rsidRPr="00EB664B" w:rsidRDefault="00EB664B" w:rsidP="0074152A">
            <w:pPr>
              <w:tabs>
                <w:tab w:val="left" w:pos="-1440"/>
                <w:tab w:val="left" w:pos="-720"/>
              </w:tabs>
              <w:jc w:val="both"/>
              <w:rPr>
                <w:sz w:val="20"/>
                <w:szCs w:val="20"/>
                <w:lang w:val="fr-CA"/>
              </w:rPr>
            </w:pPr>
            <w:r w:rsidRPr="00EB664B">
              <w:rPr>
                <w:sz w:val="20"/>
                <w:szCs w:val="20"/>
                <w:lang w:val="fr-CA"/>
              </w:rPr>
              <w:t>Lester Calaheson et al. (Alta.)</w:t>
            </w:r>
          </w:p>
        </w:tc>
        <w:tc>
          <w:tcPr>
            <w:tcW w:w="1170" w:type="dxa"/>
          </w:tcPr>
          <w:p w:rsidR="00EB664B" w:rsidRPr="00EB664B" w:rsidRDefault="00EB664B" w:rsidP="0074152A">
            <w:pPr>
              <w:jc w:val="both"/>
              <w:rPr>
                <w:sz w:val="20"/>
                <w:szCs w:val="20"/>
                <w:lang w:val="fr-CA"/>
              </w:rPr>
            </w:pPr>
          </w:p>
        </w:tc>
        <w:tc>
          <w:tcPr>
            <w:tcW w:w="4327" w:type="dxa"/>
          </w:tcPr>
          <w:p w:rsidR="00EB664B" w:rsidRPr="00EB664B" w:rsidRDefault="00EB664B" w:rsidP="0074152A">
            <w:pPr>
              <w:jc w:val="both"/>
              <w:rPr>
                <w:sz w:val="20"/>
                <w:szCs w:val="20"/>
                <w:lang w:val="fr-CA"/>
              </w:rPr>
            </w:pPr>
          </w:p>
        </w:tc>
      </w:tr>
    </w:tbl>
    <w:p w:rsidR="00EB664B" w:rsidRPr="00EB664B" w:rsidRDefault="00EB664B" w:rsidP="00EB664B">
      <w:pPr>
        <w:tabs>
          <w:tab w:val="left" w:pos="-1440"/>
          <w:tab w:val="left" w:pos="-720"/>
        </w:tabs>
        <w:jc w:val="both"/>
        <w:rPr>
          <w:sz w:val="20"/>
          <w:szCs w:val="20"/>
          <w:lang w:val="fr-CA"/>
        </w:rPr>
      </w:pPr>
    </w:p>
    <w:p w:rsidR="00EB664B" w:rsidRPr="00EB664B" w:rsidRDefault="00EB664B" w:rsidP="004C1E78">
      <w:pPr>
        <w:tabs>
          <w:tab w:val="left" w:pos="-1440"/>
          <w:tab w:val="left" w:pos="-720"/>
        </w:tabs>
        <w:jc w:val="both"/>
        <w:rPr>
          <w:sz w:val="20"/>
          <w:szCs w:val="20"/>
        </w:rPr>
      </w:pPr>
      <w:r w:rsidRPr="00EB664B">
        <w:rPr>
          <w:b/>
          <w:sz w:val="20"/>
          <w:szCs w:val="20"/>
        </w:rPr>
        <w:t>DISMISSED WITH COSTS / REJETÉE AVEC DÉPENS</w:t>
      </w:r>
    </w:p>
    <w:p w:rsidR="00EB664B" w:rsidRPr="00EB664B" w:rsidRDefault="00EB664B" w:rsidP="004C1E78">
      <w:pPr>
        <w:tabs>
          <w:tab w:val="left" w:pos="-1440"/>
          <w:tab w:val="left" w:pos="-720"/>
        </w:tabs>
        <w:jc w:val="both"/>
        <w:rPr>
          <w:sz w:val="20"/>
          <w:szCs w:val="20"/>
        </w:rPr>
      </w:pPr>
    </w:p>
    <w:p w:rsidR="00EB664B" w:rsidRPr="00EB664B" w:rsidRDefault="00EB664B" w:rsidP="004C1E78">
      <w:pPr>
        <w:jc w:val="both"/>
        <w:rPr>
          <w:sz w:val="20"/>
          <w:szCs w:val="20"/>
        </w:rPr>
      </w:pPr>
      <w:r w:rsidRPr="00EB664B">
        <w:rPr>
          <w:b/>
          <w:sz w:val="20"/>
          <w:szCs w:val="20"/>
        </w:rPr>
        <w:t>UPON APPLICATION</w:t>
      </w:r>
      <w:r w:rsidRPr="00EB664B">
        <w:rPr>
          <w:sz w:val="20"/>
          <w:szCs w:val="20"/>
        </w:rPr>
        <w:t xml:space="preserve"> by the applicant for an order staying the order of the Alberta Court of Appeal dated June 10, 2016, Number 1503-0226-AC, 2016 ABCA 185; </w:t>
      </w:r>
    </w:p>
    <w:p w:rsidR="00EB664B" w:rsidRPr="00EB664B" w:rsidRDefault="00EB664B" w:rsidP="004C1E78">
      <w:pPr>
        <w:jc w:val="both"/>
        <w:rPr>
          <w:sz w:val="20"/>
          <w:szCs w:val="20"/>
        </w:rPr>
      </w:pPr>
    </w:p>
    <w:p w:rsidR="00EB664B" w:rsidRPr="00EB664B" w:rsidRDefault="00EB664B" w:rsidP="004C1E78">
      <w:pPr>
        <w:jc w:val="both"/>
        <w:rPr>
          <w:sz w:val="20"/>
          <w:szCs w:val="20"/>
        </w:rPr>
      </w:pPr>
      <w:r w:rsidRPr="00EB664B">
        <w:rPr>
          <w:b/>
          <w:sz w:val="20"/>
          <w:szCs w:val="20"/>
        </w:rPr>
        <w:t xml:space="preserve">AND HAVING READ </w:t>
      </w:r>
      <w:r w:rsidRPr="00EB664B">
        <w:rPr>
          <w:sz w:val="20"/>
          <w:szCs w:val="20"/>
        </w:rPr>
        <w:t xml:space="preserve">the material filed; </w:t>
      </w:r>
    </w:p>
    <w:p w:rsidR="00EB664B" w:rsidRPr="00EB664B" w:rsidRDefault="00EB664B" w:rsidP="004C1E78">
      <w:pPr>
        <w:jc w:val="both"/>
        <w:rPr>
          <w:sz w:val="20"/>
          <w:szCs w:val="20"/>
        </w:rPr>
      </w:pPr>
    </w:p>
    <w:p w:rsidR="00EB664B" w:rsidRPr="00EB664B" w:rsidRDefault="00EB664B" w:rsidP="004C1E78">
      <w:pPr>
        <w:jc w:val="both"/>
        <w:rPr>
          <w:sz w:val="20"/>
          <w:szCs w:val="20"/>
        </w:rPr>
      </w:pPr>
      <w:r w:rsidRPr="00EB664B">
        <w:rPr>
          <w:b/>
          <w:sz w:val="20"/>
          <w:szCs w:val="20"/>
        </w:rPr>
        <w:t>IT IS HEREBY ORDERED THAT</w:t>
      </w:r>
      <w:r w:rsidRPr="00EB664B">
        <w:rPr>
          <w:sz w:val="20"/>
          <w:szCs w:val="20"/>
        </w:rPr>
        <w:t>:</w:t>
      </w:r>
    </w:p>
    <w:p w:rsidR="00EB664B" w:rsidRPr="00EB664B" w:rsidRDefault="00EB664B" w:rsidP="004C1E78">
      <w:pPr>
        <w:jc w:val="both"/>
        <w:rPr>
          <w:sz w:val="20"/>
          <w:szCs w:val="20"/>
        </w:rPr>
      </w:pPr>
    </w:p>
    <w:p w:rsidR="00EB664B" w:rsidRPr="00EB664B" w:rsidRDefault="00EB664B" w:rsidP="004C1E78">
      <w:pPr>
        <w:ind w:firstLine="720"/>
        <w:jc w:val="both"/>
        <w:rPr>
          <w:sz w:val="20"/>
          <w:szCs w:val="20"/>
        </w:rPr>
      </w:pPr>
      <w:r w:rsidRPr="00EB664B">
        <w:rPr>
          <w:sz w:val="20"/>
          <w:szCs w:val="20"/>
        </w:rPr>
        <w:t xml:space="preserve">The motion is dismissed with costs. </w:t>
      </w:r>
    </w:p>
    <w:p w:rsidR="00EB664B" w:rsidRPr="00EB664B" w:rsidRDefault="00EB664B" w:rsidP="004C1E78">
      <w:pPr>
        <w:tabs>
          <w:tab w:val="left" w:pos="-1440"/>
          <w:tab w:val="left" w:pos="-720"/>
        </w:tabs>
        <w:jc w:val="both"/>
        <w:rPr>
          <w:sz w:val="20"/>
          <w:szCs w:val="20"/>
        </w:rPr>
      </w:pPr>
    </w:p>
    <w:p w:rsidR="00A52267" w:rsidRPr="00575698" w:rsidRDefault="00A52267" w:rsidP="004C1E78">
      <w:pPr>
        <w:jc w:val="both"/>
        <w:rPr>
          <w:rFonts w:cs="Times New Roman"/>
          <w:sz w:val="20"/>
          <w:szCs w:val="20"/>
        </w:rPr>
      </w:pPr>
    </w:p>
    <w:p w:rsidR="00A52267" w:rsidRPr="00575698" w:rsidRDefault="00A52267" w:rsidP="004C1E78">
      <w:pPr>
        <w:jc w:val="both"/>
        <w:rPr>
          <w:rFonts w:cs="Times New Roman"/>
          <w:sz w:val="20"/>
          <w:szCs w:val="20"/>
        </w:rPr>
      </w:pPr>
    </w:p>
    <w:p w:rsidR="00A52267" w:rsidRPr="00575698" w:rsidRDefault="00A52267" w:rsidP="004C1E78">
      <w:pPr>
        <w:jc w:val="both"/>
        <w:rPr>
          <w:rFonts w:cs="Times New Roman"/>
          <w:sz w:val="20"/>
          <w:szCs w:val="20"/>
          <w:lang w:val="fr-CA"/>
        </w:rPr>
      </w:pPr>
      <w:r w:rsidRPr="00575698">
        <w:rPr>
          <w:rFonts w:cs="Times New Roman"/>
          <w:b/>
          <w:sz w:val="20"/>
          <w:szCs w:val="20"/>
          <w:lang w:val="fr-CA"/>
        </w:rPr>
        <w:t xml:space="preserve">À LA SUITE DE LA DEMANDE </w:t>
      </w:r>
      <w:r w:rsidRPr="00575698">
        <w:rPr>
          <w:rFonts w:cs="Times New Roman"/>
          <w:sz w:val="20"/>
          <w:szCs w:val="20"/>
          <w:lang w:val="fr-CA"/>
        </w:rPr>
        <w:t xml:space="preserve">présentée par le demandeur en vue d’obtenir une ordonnance sursoyant à l’exécution de l’ordonnance de la Cour d’appel de l’Alberta en date du 10 juin 2016, numéro </w:t>
      </w:r>
      <w:r w:rsidRPr="00575698">
        <w:rPr>
          <w:sz w:val="20"/>
          <w:szCs w:val="20"/>
          <w:lang w:val="fr-CA"/>
        </w:rPr>
        <w:t xml:space="preserve">1503-0226-AC, 2016 ABCA 185; </w:t>
      </w:r>
    </w:p>
    <w:p w:rsidR="00A52267" w:rsidRPr="00575698" w:rsidRDefault="00A52267" w:rsidP="004C1E78">
      <w:pPr>
        <w:jc w:val="both"/>
        <w:rPr>
          <w:rFonts w:cs="Times New Roman"/>
          <w:sz w:val="20"/>
          <w:szCs w:val="20"/>
          <w:lang w:val="fr-CA"/>
        </w:rPr>
      </w:pPr>
    </w:p>
    <w:p w:rsidR="00A52267" w:rsidRPr="00575698" w:rsidRDefault="00A52267" w:rsidP="004C1E78">
      <w:pPr>
        <w:jc w:val="both"/>
        <w:rPr>
          <w:rFonts w:cs="Times New Roman"/>
          <w:sz w:val="20"/>
          <w:szCs w:val="20"/>
          <w:lang w:val="fr-CA"/>
        </w:rPr>
      </w:pPr>
      <w:r w:rsidRPr="00575698">
        <w:rPr>
          <w:rFonts w:cs="Times New Roman"/>
          <w:b/>
          <w:sz w:val="20"/>
          <w:szCs w:val="20"/>
          <w:lang w:val="fr-CA"/>
        </w:rPr>
        <w:t xml:space="preserve">ET APRÈS EXAMEN </w:t>
      </w:r>
      <w:r w:rsidRPr="00575698">
        <w:rPr>
          <w:rFonts w:cs="Times New Roman"/>
          <w:sz w:val="20"/>
          <w:szCs w:val="20"/>
          <w:lang w:val="fr-CA"/>
        </w:rPr>
        <w:t xml:space="preserve">des documents déposés; </w:t>
      </w:r>
    </w:p>
    <w:p w:rsidR="00A52267" w:rsidRPr="00575698" w:rsidRDefault="00A52267" w:rsidP="004C1E78">
      <w:pPr>
        <w:jc w:val="both"/>
        <w:rPr>
          <w:rFonts w:cs="Times New Roman"/>
          <w:sz w:val="20"/>
          <w:szCs w:val="20"/>
          <w:lang w:val="fr-CA"/>
        </w:rPr>
      </w:pPr>
    </w:p>
    <w:p w:rsidR="00A52267" w:rsidRPr="00575698" w:rsidRDefault="00A52267" w:rsidP="004C1E78">
      <w:pPr>
        <w:jc w:val="both"/>
        <w:rPr>
          <w:rFonts w:cs="Times New Roman"/>
          <w:sz w:val="20"/>
          <w:szCs w:val="20"/>
          <w:lang w:val="fr-CA"/>
        </w:rPr>
      </w:pPr>
      <w:r w:rsidRPr="00575698">
        <w:rPr>
          <w:rFonts w:cs="Times New Roman"/>
          <w:b/>
          <w:sz w:val="20"/>
          <w:szCs w:val="20"/>
          <w:lang w:val="fr-CA"/>
        </w:rPr>
        <w:t xml:space="preserve">IL EST ORDONNÉ CE QUI SUIT </w:t>
      </w:r>
      <w:r w:rsidRPr="00575698">
        <w:rPr>
          <w:rFonts w:cs="Times New Roman"/>
          <w:sz w:val="20"/>
          <w:szCs w:val="20"/>
          <w:lang w:val="fr-CA"/>
        </w:rPr>
        <w:t>:</w:t>
      </w:r>
    </w:p>
    <w:p w:rsidR="00A52267" w:rsidRPr="00575698" w:rsidRDefault="00A52267" w:rsidP="004C1E78">
      <w:pPr>
        <w:jc w:val="both"/>
        <w:rPr>
          <w:rFonts w:cs="Times New Roman"/>
          <w:sz w:val="20"/>
          <w:szCs w:val="20"/>
          <w:lang w:val="fr-CA"/>
        </w:rPr>
      </w:pPr>
    </w:p>
    <w:p w:rsidR="00A52267" w:rsidRPr="00575698" w:rsidRDefault="00A52267" w:rsidP="004C1E78">
      <w:pPr>
        <w:ind w:firstLine="720"/>
        <w:jc w:val="both"/>
        <w:rPr>
          <w:rFonts w:cs="Times New Roman"/>
          <w:sz w:val="20"/>
          <w:szCs w:val="20"/>
          <w:lang w:val="fr-CA"/>
        </w:rPr>
      </w:pPr>
      <w:r w:rsidRPr="00575698">
        <w:rPr>
          <w:rFonts w:cs="Times New Roman"/>
          <w:sz w:val="20"/>
          <w:szCs w:val="20"/>
          <w:lang w:val="fr-CA"/>
        </w:rPr>
        <w:t>La requête est rejetée avec dépens.</w:t>
      </w:r>
    </w:p>
    <w:p w:rsidR="00EB664B" w:rsidRPr="00A52267" w:rsidRDefault="00EB664B" w:rsidP="00EB664B">
      <w:pPr>
        <w:tabs>
          <w:tab w:val="left" w:pos="-1440"/>
          <w:tab w:val="left" w:pos="-720"/>
        </w:tabs>
        <w:jc w:val="both"/>
        <w:rPr>
          <w:sz w:val="20"/>
          <w:szCs w:val="20"/>
          <w:lang w:val="fr-CA"/>
        </w:rPr>
      </w:pPr>
    </w:p>
    <w:p w:rsidR="00EB664B" w:rsidRPr="00EB664B" w:rsidRDefault="00CB2D37" w:rsidP="00EB664B">
      <w:pPr>
        <w:tabs>
          <w:tab w:val="left" w:pos="-1440"/>
          <w:tab w:val="left" w:pos="-720"/>
        </w:tabs>
        <w:jc w:val="both"/>
        <w:rPr>
          <w:sz w:val="20"/>
          <w:szCs w:val="20"/>
        </w:rPr>
      </w:pPr>
      <w:r>
        <w:rPr>
          <w:sz w:val="20"/>
          <w:szCs w:val="20"/>
          <w:lang w:val="fr-CA"/>
        </w:rPr>
        <w:pict>
          <v:rect id="_x0000_i1069" style="width:2in;height:1pt" o:hrpct="0" o:hralign="center" o:hrstd="t" o:hrnoshade="t" o:hr="t" fillcolor="black [3213]" stroked="f"/>
        </w:pic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16.09.2016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BROWN J. / LE JUGE BROWN</w:t>
      </w:r>
    </w:p>
    <w:p w:rsidR="00EB664B" w:rsidRPr="00EB664B" w:rsidRDefault="00EB664B" w:rsidP="00EB66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EB664B" w:rsidRPr="00EB664B" w:rsidTr="0074152A">
        <w:tc>
          <w:tcPr>
            <w:tcW w:w="4240" w:type="dxa"/>
            <w:gridSpan w:val="2"/>
          </w:tcPr>
          <w:p w:rsidR="00EB664B" w:rsidRPr="00EB664B" w:rsidRDefault="00EB664B" w:rsidP="0074152A">
            <w:pPr>
              <w:rPr>
                <w:b/>
                <w:sz w:val="20"/>
                <w:szCs w:val="20"/>
              </w:rPr>
            </w:pPr>
            <w:r w:rsidRPr="00EB664B">
              <w:rPr>
                <w:b/>
                <w:sz w:val="20"/>
                <w:szCs w:val="20"/>
              </w:rPr>
              <w:t>Motion for leave to intervene</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c>
          <w:tcPr>
            <w:tcW w:w="1142" w:type="dxa"/>
          </w:tcPr>
          <w:p w:rsidR="00EB664B" w:rsidRPr="00EB664B" w:rsidRDefault="00EB664B" w:rsidP="0074152A">
            <w:pPr>
              <w:rPr>
                <w:sz w:val="20"/>
                <w:szCs w:val="20"/>
              </w:rPr>
            </w:pPr>
          </w:p>
          <w:p w:rsidR="00EB664B" w:rsidRPr="00EB664B" w:rsidRDefault="00EB664B" w:rsidP="0074152A">
            <w:pPr>
              <w:rPr>
                <w:sz w:val="20"/>
                <w:szCs w:val="20"/>
              </w:rPr>
            </w:pPr>
          </w:p>
        </w:tc>
        <w:tc>
          <w:tcPr>
            <w:tcW w:w="4237" w:type="dxa"/>
          </w:tcPr>
          <w:p w:rsidR="00EB664B" w:rsidRPr="00EB664B" w:rsidRDefault="00EB664B" w:rsidP="0074152A">
            <w:pPr>
              <w:rPr>
                <w:b/>
                <w:sz w:val="20"/>
                <w:szCs w:val="20"/>
              </w:rPr>
            </w:pPr>
            <w:r w:rsidRPr="00EB664B">
              <w:rPr>
                <w:b/>
                <w:bCs/>
                <w:sz w:val="20"/>
                <w:szCs w:val="20"/>
                <w:lang w:val="fr-CA"/>
              </w:rPr>
              <w:t>Requête en autorisation d’intervenir</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r>
      <w:tr w:rsidR="00EB664B" w:rsidRPr="00EB664B" w:rsidTr="0074152A">
        <w:tc>
          <w:tcPr>
            <w:tcW w:w="1350" w:type="dxa"/>
          </w:tcPr>
          <w:p w:rsidR="00EB664B" w:rsidRPr="00EB664B" w:rsidRDefault="00EB664B" w:rsidP="0074152A">
            <w:pPr>
              <w:rPr>
                <w:sz w:val="20"/>
                <w:szCs w:val="20"/>
              </w:rPr>
            </w:pPr>
            <w:r w:rsidRPr="00EB664B">
              <w:rPr>
                <w:sz w:val="20"/>
                <w:szCs w:val="20"/>
              </w:rPr>
              <w:t>BY / PAR</w:t>
            </w:r>
          </w:p>
        </w:tc>
        <w:tc>
          <w:tcPr>
            <w:tcW w:w="2890" w:type="dxa"/>
          </w:tcPr>
          <w:p w:rsidR="00EB664B" w:rsidRPr="00EB664B" w:rsidRDefault="00EB664B" w:rsidP="0074152A">
            <w:pPr>
              <w:rPr>
                <w:sz w:val="20"/>
                <w:szCs w:val="20"/>
              </w:rPr>
            </w:pPr>
            <w:r w:rsidRPr="00EB664B">
              <w:rPr>
                <w:sz w:val="20"/>
                <w:szCs w:val="20"/>
              </w:rPr>
              <w:t>Attorney General of British Columbia</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r w:rsidRPr="00EB664B">
              <w:rPr>
                <w:sz w:val="20"/>
                <w:szCs w:val="20"/>
              </w:rPr>
              <w:t>IN / DANS :</w:t>
            </w:r>
          </w:p>
        </w:tc>
        <w:tc>
          <w:tcPr>
            <w:tcW w:w="2890" w:type="dxa"/>
          </w:tcPr>
          <w:p w:rsidR="00EB664B" w:rsidRPr="00EB664B" w:rsidRDefault="00EB664B" w:rsidP="0074152A">
            <w:pPr>
              <w:rPr>
                <w:sz w:val="20"/>
                <w:szCs w:val="20"/>
              </w:rPr>
            </w:pPr>
            <w:r w:rsidRPr="00EB664B">
              <w:rPr>
                <w:sz w:val="20"/>
                <w:szCs w:val="20"/>
              </w:rPr>
              <w:t>Corporation of the City of Nelson</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ab/>
              <w:t>v. (36999)</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Mary Geraldine Mowatt et al. (B.C.)</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bl>
    <w:p w:rsidR="00EB664B" w:rsidRPr="00EB664B" w:rsidRDefault="00EB664B" w:rsidP="00EB664B">
      <w:pPr>
        <w:tabs>
          <w:tab w:val="left" w:pos="-1440"/>
          <w:tab w:val="left" w:pos="-720"/>
        </w:tabs>
        <w:jc w:val="both"/>
        <w:rPr>
          <w:sz w:val="20"/>
          <w:szCs w:val="20"/>
        </w:rPr>
      </w:pPr>
    </w:p>
    <w:p w:rsidR="00EB664B" w:rsidRPr="00EB664B" w:rsidRDefault="00EB664B" w:rsidP="00EB664B">
      <w:pPr>
        <w:tabs>
          <w:tab w:val="left" w:pos="-1440"/>
          <w:tab w:val="left" w:pos="-720"/>
        </w:tabs>
        <w:jc w:val="both"/>
        <w:rPr>
          <w:sz w:val="20"/>
          <w:szCs w:val="20"/>
        </w:rPr>
      </w:pPr>
      <w:r w:rsidRPr="00EB664B">
        <w:rPr>
          <w:b/>
          <w:sz w:val="20"/>
          <w:szCs w:val="20"/>
        </w:rPr>
        <w:t>GRANTED / ACCORDÉE</w:t>
      </w:r>
    </w:p>
    <w:p w:rsidR="00EB664B" w:rsidRPr="00EB664B" w:rsidRDefault="00EB664B" w:rsidP="00EB664B">
      <w:pPr>
        <w:tabs>
          <w:tab w:val="left" w:pos="-1440"/>
          <w:tab w:val="left" w:pos="-720"/>
        </w:tabs>
        <w:jc w:val="both"/>
        <w:rPr>
          <w:sz w:val="20"/>
          <w:szCs w:val="20"/>
          <w:lang w:val="fr-CA"/>
        </w:rPr>
      </w:pPr>
    </w:p>
    <w:p w:rsidR="00EB664B" w:rsidRPr="00EB664B" w:rsidRDefault="00EB664B" w:rsidP="004C1E78">
      <w:pPr>
        <w:jc w:val="both"/>
        <w:rPr>
          <w:sz w:val="20"/>
          <w:szCs w:val="20"/>
        </w:rPr>
      </w:pPr>
      <w:r w:rsidRPr="00EB664B">
        <w:rPr>
          <w:b/>
          <w:bCs/>
          <w:sz w:val="20"/>
          <w:szCs w:val="20"/>
        </w:rPr>
        <w:t xml:space="preserve">UPON APPLICATION </w:t>
      </w:r>
      <w:r w:rsidRPr="00EB664B">
        <w:rPr>
          <w:sz w:val="20"/>
          <w:szCs w:val="20"/>
        </w:rPr>
        <w:t xml:space="preserve">by the Attorney General of British Columbia for leave to intervene in the above appeal; </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AND THE MATERIAL FILED</w:t>
      </w:r>
      <w:r w:rsidRPr="00EB664B">
        <w:rPr>
          <w:sz w:val="20"/>
          <w:szCs w:val="20"/>
        </w:rPr>
        <w:t xml:space="preserve"> having been read;</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b/>
          <w:bCs/>
          <w:sz w:val="20"/>
          <w:szCs w:val="20"/>
        </w:rPr>
      </w:pPr>
      <w:r w:rsidRPr="00EB664B">
        <w:rPr>
          <w:b/>
          <w:bCs/>
          <w:sz w:val="20"/>
          <w:szCs w:val="20"/>
        </w:rPr>
        <w:t>IT IS HEREBY ORDERED THAT:</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motion for leave to intervene is granted and the said intervener shall be entitled to serve and file a factum not exceeding ten (10) pages in length on or before September 26, 2016.</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respondents are permitted to serve and file a single factum not exceeding five (5) pages in reply to the intervention on or before September 29, 2016.</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request to present oral argument is deferred to a date following receipt and consideration of the written arguments of the parties and the intervener.</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 xml:space="preserve">The intervener is not entitled to raise new issues or to adduce further evidence or otherwise to supplement the record of the parties. </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Pursuant to Rule 59(1)(</w:t>
      </w:r>
      <w:r w:rsidRPr="00EB664B">
        <w:rPr>
          <w:i/>
          <w:iCs/>
          <w:sz w:val="20"/>
          <w:szCs w:val="20"/>
        </w:rPr>
        <w:t>a</w:t>
      </w:r>
      <w:r w:rsidRPr="00EB664B">
        <w:rPr>
          <w:sz w:val="20"/>
          <w:szCs w:val="20"/>
        </w:rPr>
        <w:t xml:space="preserve">) of the </w:t>
      </w:r>
      <w:r w:rsidRPr="00EB664B">
        <w:rPr>
          <w:i/>
          <w:iCs/>
          <w:sz w:val="20"/>
          <w:szCs w:val="20"/>
        </w:rPr>
        <w:t>Rules of the Supreme Court of Canada</w:t>
      </w:r>
      <w:r w:rsidRPr="00EB664B">
        <w:rPr>
          <w:sz w:val="20"/>
          <w:szCs w:val="20"/>
        </w:rPr>
        <w:t>, the intervener shall pay to the appellant and respondents any additional disbursements occasioned to the appellant and respondents by their intervention.</w:t>
      </w:r>
    </w:p>
    <w:p w:rsidR="00EB664B" w:rsidRPr="00EB664B" w:rsidRDefault="00EB664B" w:rsidP="004C1E78">
      <w:pPr>
        <w:tabs>
          <w:tab w:val="left" w:pos="-1440"/>
          <w:tab w:val="left" w:pos="-720"/>
        </w:tabs>
        <w:jc w:val="both"/>
        <w:rPr>
          <w:sz w:val="20"/>
          <w:szCs w:val="20"/>
        </w:rPr>
      </w:pPr>
    </w:p>
    <w:p w:rsidR="00EB664B" w:rsidRPr="00EB664B" w:rsidRDefault="00EB664B" w:rsidP="004C1E78">
      <w:pPr>
        <w:tabs>
          <w:tab w:val="left" w:pos="-1440"/>
          <w:tab w:val="left" w:pos="-720"/>
        </w:tabs>
        <w:jc w:val="both"/>
        <w:rPr>
          <w:sz w:val="20"/>
          <w:szCs w:val="20"/>
        </w:rPr>
      </w:pPr>
    </w:p>
    <w:p w:rsidR="00EB664B" w:rsidRPr="00EB664B" w:rsidRDefault="00EB664B" w:rsidP="004C1E78">
      <w:pPr>
        <w:tabs>
          <w:tab w:val="left" w:pos="-1440"/>
          <w:tab w:val="left" w:pos="-720"/>
        </w:tabs>
        <w:jc w:val="both"/>
        <w:rPr>
          <w:sz w:val="20"/>
          <w:szCs w:val="20"/>
        </w:rPr>
      </w:pPr>
    </w:p>
    <w:p w:rsidR="00A52267" w:rsidRPr="00D94CC9" w:rsidRDefault="00A52267" w:rsidP="004C1E78">
      <w:pPr>
        <w:jc w:val="both"/>
        <w:rPr>
          <w:rFonts w:cs="Times New Roman"/>
          <w:sz w:val="20"/>
          <w:szCs w:val="20"/>
          <w:lang w:val="fr-CA"/>
        </w:rPr>
      </w:pPr>
      <w:r w:rsidRPr="00D94CC9">
        <w:rPr>
          <w:rFonts w:cs="Times New Roman"/>
          <w:b/>
          <w:bCs/>
          <w:sz w:val="20"/>
          <w:szCs w:val="20"/>
          <w:lang w:val="fr-CA"/>
        </w:rPr>
        <w:t xml:space="preserve">À LA SUITE DE LA DEMANDE </w:t>
      </w:r>
      <w:r w:rsidRPr="00D94CC9">
        <w:rPr>
          <w:rFonts w:cs="Times New Roman"/>
          <w:bCs/>
          <w:sz w:val="20"/>
          <w:szCs w:val="20"/>
          <w:lang w:val="fr-CA"/>
        </w:rPr>
        <w:t xml:space="preserve">d’autorisation d’intervenir dans l’appel présentée par le procureur général de la </w:t>
      </w:r>
      <w:r w:rsidRPr="00D94CC9">
        <w:rPr>
          <w:rFonts w:cs="Times New Roman"/>
          <w:sz w:val="20"/>
          <w:szCs w:val="20"/>
          <w:lang w:val="fr-CA"/>
        </w:rPr>
        <w:t xml:space="preserve">Colombie-Britannique; </w:t>
      </w:r>
    </w:p>
    <w:p w:rsidR="00A52267" w:rsidRPr="00D94CC9" w:rsidRDefault="00A52267" w:rsidP="004C1E78">
      <w:pPr>
        <w:spacing w:line="233" w:lineRule="auto"/>
        <w:jc w:val="both"/>
        <w:rPr>
          <w:rFonts w:cs="Times New Roman"/>
          <w:sz w:val="20"/>
          <w:szCs w:val="20"/>
          <w:lang w:val="fr-CA"/>
        </w:rPr>
      </w:pPr>
    </w:p>
    <w:p w:rsidR="00A52267" w:rsidRPr="00D94CC9" w:rsidRDefault="00A52267" w:rsidP="004C1E78">
      <w:pPr>
        <w:spacing w:line="233" w:lineRule="auto"/>
        <w:jc w:val="both"/>
        <w:rPr>
          <w:rFonts w:cs="Times New Roman"/>
          <w:sz w:val="20"/>
          <w:szCs w:val="20"/>
          <w:lang w:val="fr-CA"/>
        </w:rPr>
      </w:pPr>
      <w:r w:rsidRPr="00D94CC9">
        <w:rPr>
          <w:rFonts w:cs="Times New Roman"/>
          <w:b/>
          <w:bCs/>
          <w:sz w:val="20"/>
          <w:szCs w:val="20"/>
          <w:lang w:val="fr-CA"/>
        </w:rPr>
        <w:t xml:space="preserve">ET APRÈS EXAMEN </w:t>
      </w:r>
      <w:r w:rsidRPr="00D94CC9">
        <w:rPr>
          <w:rFonts w:cs="Times New Roman"/>
          <w:sz w:val="20"/>
          <w:szCs w:val="20"/>
          <w:lang w:val="fr-CA"/>
        </w:rPr>
        <w:t>des documents déposés;</w:t>
      </w:r>
    </w:p>
    <w:p w:rsidR="00A52267" w:rsidRPr="00D94CC9" w:rsidRDefault="00A52267" w:rsidP="004C1E78">
      <w:pPr>
        <w:spacing w:line="233" w:lineRule="auto"/>
        <w:jc w:val="both"/>
        <w:rPr>
          <w:rFonts w:cs="Times New Roman"/>
          <w:sz w:val="20"/>
          <w:szCs w:val="20"/>
          <w:lang w:val="fr-CA"/>
        </w:rPr>
      </w:pPr>
    </w:p>
    <w:p w:rsidR="00A52267" w:rsidRPr="00D94CC9" w:rsidRDefault="00A52267" w:rsidP="004C1E78">
      <w:pPr>
        <w:spacing w:line="233" w:lineRule="auto"/>
        <w:jc w:val="both"/>
        <w:rPr>
          <w:rFonts w:cs="Times New Roman"/>
          <w:b/>
          <w:bCs/>
          <w:sz w:val="20"/>
          <w:szCs w:val="20"/>
          <w:lang w:val="fr-CA"/>
        </w:rPr>
      </w:pPr>
      <w:r w:rsidRPr="00D94CC9">
        <w:rPr>
          <w:rFonts w:cs="Times New Roman"/>
          <w:b/>
          <w:bCs/>
          <w:sz w:val="20"/>
          <w:szCs w:val="20"/>
          <w:lang w:val="fr-CA"/>
        </w:rPr>
        <w:t>IL EST ORDONNÉ CE QUI SUIT :</w:t>
      </w:r>
    </w:p>
    <w:p w:rsidR="00A52267" w:rsidRPr="00D94CC9" w:rsidRDefault="00A52267" w:rsidP="004C1E78">
      <w:pPr>
        <w:spacing w:line="233" w:lineRule="auto"/>
        <w:jc w:val="both"/>
        <w:rPr>
          <w:rFonts w:cs="Times New Roman"/>
          <w:sz w:val="20"/>
          <w:szCs w:val="20"/>
          <w:lang w:val="fr-CA"/>
        </w:rPr>
      </w:pPr>
    </w:p>
    <w:p w:rsidR="00A52267" w:rsidRPr="00D94CC9" w:rsidRDefault="00A52267" w:rsidP="004C1E78">
      <w:pPr>
        <w:spacing w:line="233" w:lineRule="auto"/>
        <w:jc w:val="both"/>
        <w:rPr>
          <w:rFonts w:cs="Times New Roman"/>
          <w:sz w:val="20"/>
          <w:szCs w:val="20"/>
          <w:lang w:val="fr-CA"/>
        </w:rPr>
      </w:pPr>
      <w:r w:rsidRPr="00D94CC9">
        <w:rPr>
          <w:rFonts w:cs="Times New Roman"/>
          <w:sz w:val="20"/>
          <w:szCs w:val="20"/>
          <w:lang w:val="fr-CA"/>
        </w:rPr>
        <w:t>La requête en autorisation d’intervenir est accueillie et l’intervenant pourra signifier et déposer un mémoire d’une longueur maximale de dix (10) pages au plus tard le 26 septembre 2016.</w:t>
      </w:r>
    </w:p>
    <w:p w:rsidR="00A52267" w:rsidRPr="00D94CC9" w:rsidRDefault="00A52267" w:rsidP="00A52267">
      <w:pPr>
        <w:spacing w:line="233" w:lineRule="auto"/>
        <w:rPr>
          <w:rFonts w:cs="Times New Roman"/>
          <w:sz w:val="20"/>
          <w:szCs w:val="20"/>
          <w:lang w:val="fr-CA"/>
        </w:rPr>
      </w:pPr>
    </w:p>
    <w:p w:rsidR="00A52267" w:rsidRPr="00D94CC9" w:rsidRDefault="00A52267" w:rsidP="004C1E78">
      <w:pPr>
        <w:spacing w:line="233" w:lineRule="auto"/>
        <w:jc w:val="both"/>
        <w:rPr>
          <w:rFonts w:cs="Times New Roman"/>
          <w:sz w:val="20"/>
          <w:szCs w:val="20"/>
          <w:lang w:val="fr-CA"/>
        </w:rPr>
      </w:pPr>
      <w:r w:rsidRPr="00D94CC9">
        <w:rPr>
          <w:rFonts w:cs="Times New Roman"/>
          <w:sz w:val="20"/>
          <w:szCs w:val="20"/>
          <w:lang w:val="fr-CA"/>
        </w:rPr>
        <w:t>Les intimés sont autorisés à signifier et à déposer un seul mémoire d’une longueur maximale de cinq (5) pages en réponse à l’intervention au plus tard le 29 septembre 2016.</w:t>
      </w:r>
    </w:p>
    <w:p w:rsidR="00A52267" w:rsidRPr="00D94CC9" w:rsidRDefault="00A52267" w:rsidP="004C1E78">
      <w:pPr>
        <w:spacing w:line="233" w:lineRule="auto"/>
        <w:jc w:val="both"/>
        <w:rPr>
          <w:rFonts w:cs="Times New Roman"/>
          <w:sz w:val="20"/>
          <w:szCs w:val="20"/>
          <w:lang w:val="fr-CA"/>
        </w:rPr>
      </w:pPr>
    </w:p>
    <w:p w:rsidR="00A52267" w:rsidRPr="00D94CC9" w:rsidRDefault="00A52267" w:rsidP="004C1E78">
      <w:pPr>
        <w:spacing w:line="233" w:lineRule="auto"/>
        <w:jc w:val="both"/>
        <w:rPr>
          <w:rFonts w:cs="Times New Roman"/>
          <w:sz w:val="20"/>
          <w:szCs w:val="20"/>
          <w:lang w:val="fr-CA"/>
        </w:rPr>
      </w:pPr>
      <w:r w:rsidRPr="00D94CC9">
        <w:rPr>
          <w:rFonts w:cs="Times New Roman"/>
          <w:sz w:val="20"/>
          <w:szCs w:val="20"/>
          <w:lang w:val="fr-CA"/>
        </w:rPr>
        <w:t>La décision sur la demande en vue de présenter une plaidoirie orale sera rendue après réception et examen des arguments écrits des parties et de l’intervenant.</w:t>
      </w:r>
    </w:p>
    <w:p w:rsidR="00A52267" w:rsidRPr="00D94CC9" w:rsidRDefault="00A52267" w:rsidP="004C1E78">
      <w:pPr>
        <w:spacing w:line="233" w:lineRule="auto"/>
        <w:jc w:val="both"/>
        <w:rPr>
          <w:rFonts w:cs="Times New Roman"/>
          <w:sz w:val="20"/>
          <w:szCs w:val="20"/>
          <w:lang w:val="fr-CA"/>
        </w:rPr>
      </w:pPr>
    </w:p>
    <w:p w:rsidR="00A52267" w:rsidRPr="00A52267" w:rsidRDefault="00A52267" w:rsidP="004C1E78">
      <w:pPr>
        <w:spacing w:line="233" w:lineRule="auto"/>
        <w:jc w:val="both"/>
        <w:rPr>
          <w:rFonts w:cs="Times New Roman"/>
          <w:sz w:val="20"/>
          <w:szCs w:val="20"/>
          <w:lang w:val="fr-CA"/>
        </w:rPr>
      </w:pPr>
      <w:r w:rsidRPr="00A52267">
        <w:rPr>
          <w:rFonts w:cs="Times New Roman"/>
          <w:sz w:val="20"/>
          <w:szCs w:val="20"/>
          <w:lang w:val="fr-CA"/>
        </w:rPr>
        <w:t xml:space="preserve">L’intervenant n’a pas le droit de soulever de nouvelles questions, de produire d’autres éléments de preuve ni de compléter de quelque autre façon le dossier des parties. </w:t>
      </w:r>
    </w:p>
    <w:p w:rsidR="00A52267" w:rsidRPr="00D94CC9" w:rsidRDefault="00A52267" w:rsidP="004C1E78">
      <w:pPr>
        <w:spacing w:line="233" w:lineRule="auto"/>
        <w:jc w:val="both"/>
        <w:rPr>
          <w:rFonts w:cs="Times New Roman"/>
          <w:sz w:val="20"/>
          <w:szCs w:val="20"/>
          <w:lang w:val="fr-CA"/>
        </w:rPr>
      </w:pPr>
    </w:p>
    <w:p w:rsidR="00A52267" w:rsidRPr="00D94CC9" w:rsidRDefault="00A52267" w:rsidP="004C1E78">
      <w:pPr>
        <w:spacing w:line="233" w:lineRule="auto"/>
        <w:jc w:val="both"/>
        <w:rPr>
          <w:rFonts w:cs="Times New Roman"/>
          <w:sz w:val="20"/>
          <w:szCs w:val="20"/>
          <w:lang w:val="fr-CA"/>
        </w:rPr>
      </w:pPr>
      <w:r w:rsidRPr="00D94CC9">
        <w:rPr>
          <w:rFonts w:cs="Times New Roman"/>
          <w:sz w:val="20"/>
          <w:szCs w:val="20"/>
          <w:lang w:val="fr-CA"/>
        </w:rPr>
        <w:t>Conformément à l’alinéa 59(1)</w:t>
      </w:r>
      <w:r w:rsidRPr="00D94CC9">
        <w:rPr>
          <w:rFonts w:cs="Times New Roman"/>
          <w:i/>
          <w:iCs/>
          <w:sz w:val="20"/>
          <w:szCs w:val="20"/>
          <w:lang w:val="fr-CA"/>
        </w:rPr>
        <w:t>a</w:t>
      </w:r>
      <w:r w:rsidRPr="00D94CC9">
        <w:rPr>
          <w:rFonts w:cs="Times New Roman"/>
          <w:sz w:val="20"/>
          <w:szCs w:val="20"/>
          <w:lang w:val="fr-CA"/>
        </w:rPr>
        <w:t xml:space="preserve">) des </w:t>
      </w:r>
      <w:r w:rsidRPr="00D94CC9">
        <w:rPr>
          <w:rFonts w:cs="Times New Roman"/>
          <w:i/>
          <w:iCs/>
          <w:sz w:val="20"/>
          <w:szCs w:val="20"/>
          <w:lang w:val="fr-CA"/>
        </w:rPr>
        <w:t>Règles de la Cour suprême du Canada</w:t>
      </w:r>
      <w:r w:rsidRPr="00D94CC9">
        <w:rPr>
          <w:rFonts w:cs="Times New Roman"/>
          <w:sz w:val="20"/>
          <w:szCs w:val="20"/>
          <w:lang w:val="fr-CA"/>
        </w:rPr>
        <w:t>, l’intervenant paiera à l’appelante et aux intimés tous débours supplémentaires résultant de son intervention.</w:t>
      </w:r>
    </w:p>
    <w:p w:rsidR="00A52267" w:rsidRPr="00D94CC9" w:rsidRDefault="00A52267" w:rsidP="00A52267">
      <w:pPr>
        <w:pStyle w:val="ListParagraph"/>
        <w:rPr>
          <w:rFonts w:cs="Times New Roman"/>
          <w:sz w:val="20"/>
          <w:szCs w:val="20"/>
          <w:lang w:val="fr-CA"/>
        </w:rPr>
      </w:pPr>
    </w:p>
    <w:p w:rsidR="00EB664B" w:rsidRPr="00EB664B" w:rsidRDefault="00CB2D37" w:rsidP="00EB664B">
      <w:pPr>
        <w:tabs>
          <w:tab w:val="left" w:pos="-1440"/>
          <w:tab w:val="left" w:pos="-720"/>
        </w:tabs>
        <w:jc w:val="both"/>
        <w:rPr>
          <w:sz w:val="20"/>
          <w:szCs w:val="20"/>
        </w:rPr>
      </w:pPr>
      <w:r>
        <w:rPr>
          <w:sz w:val="20"/>
          <w:szCs w:val="20"/>
          <w:lang w:val="fr-CA"/>
        </w:rPr>
        <w:pict>
          <v:rect id="_x0000_i1070" style="width:2in;height:1pt" o:hrpct="0" o:hralign="center" o:hrstd="t" o:hrnoshade="t" o:hr="t" fillcolor="black [3213]" stroked="f"/>
        </w:pict>
      </w:r>
    </w:p>
    <w:p w:rsidR="00EB664B" w:rsidRPr="00EB664B" w:rsidRDefault="00EB664B" w:rsidP="00EB664B">
      <w:pPr>
        <w:rPr>
          <w:sz w:val="20"/>
          <w:szCs w:val="20"/>
        </w:rPr>
      </w:pPr>
    </w:p>
    <w:p w:rsidR="0086620F" w:rsidRDefault="0086620F">
      <w:pPr>
        <w:rPr>
          <w:sz w:val="20"/>
          <w:szCs w:val="20"/>
        </w:rPr>
      </w:pPr>
      <w:r>
        <w:rPr>
          <w:sz w:val="20"/>
          <w:szCs w:val="20"/>
        </w:rPr>
        <w:br w:type="page"/>
      </w:r>
    </w:p>
    <w:p w:rsidR="00EB664B" w:rsidRPr="00EB664B" w:rsidRDefault="00EB664B" w:rsidP="00EB664B">
      <w:pPr>
        <w:tabs>
          <w:tab w:val="left" w:pos="-1440"/>
          <w:tab w:val="left" w:pos="-720"/>
        </w:tabs>
        <w:jc w:val="both"/>
        <w:rPr>
          <w:sz w:val="20"/>
          <w:szCs w:val="20"/>
          <w:lang w:val="fr-CA"/>
        </w:rPr>
      </w:pPr>
      <w:r w:rsidRPr="00EB664B">
        <w:rPr>
          <w:sz w:val="20"/>
          <w:szCs w:val="20"/>
          <w:lang w:val="fr-CA"/>
        </w:rPr>
        <w:lastRenderedPageBreak/>
        <w:t>19.09.2016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CÔTÉ J. / LA JUGE CÔTÉ</w:t>
      </w:r>
    </w:p>
    <w:p w:rsidR="00EB664B" w:rsidRPr="00EB664B" w:rsidRDefault="00EB664B" w:rsidP="00EB66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EB664B" w:rsidRPr="00EB664B" w:rsidTr="0074152A">
        <w:tc>
          <w:tcPr>
            <w:tcW w:w="4240" w:type="dxa"/>
            <w:gridSpan w:val="2"/>
          </w:tcPr>
          <w:p w:rsidR="00EB664B" w:rsidRPr="00EB664B" w:rsidRDefault="00EB664B" w:rsidP="0074152A">
            <w:pPr>
              <w:rPr>
                <w:b/>
                <w:sz w:val="20"/>
                <w:szCs w:val="20"/>
              </w:rPr>
            </w:pPr>
            <w:r w:rsidRPr="00EB664B">
              <w:rPr>
                <w:b/>
                <w:sz w:val="20"/>
                <w:szCs w:val="20"/>
              </w:rPr>
              <w:t>Motions for leave to intervene</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c>
          <w:tcPr>
            <w:tcW w:w="1142" w:type="dxa"/>
          </w:tcPr>
          <w:p w:rsidR="00EB664B" w:rsidRPr="00EB664B" w:rsidRDefault="00EB664B" w:rsidP="0074152A">
            <w:pPr>
              <w:rPr>
                <w:sz w:val="20"/>
                <w:szCs w:val="20"/>
              </w:rPr>
            </w:pPr>
          </w:p>
          <w:p w:rsidR="00EB664B" w:rsidRPr="00EB664B" w:rsidRDefault="00EB664B" w:rsidP="0074152A">
            <w:pPr>
              <w:rPr>
                <w:sz w:val="20"/>
                <w:szCs w:val="20"/>
              </w:rPr>
            </w:pPr>
          </w:p>
        </w:tc>
        <w:tc>
          <w:tcPr>
            <w:tcW w:w="4237" w:type="dxa"/>
          </w:tcPr>
          <w:p w:rsidR="00EB664B" w:rsidRPr="00EB664B" w:rsidRDefault="00EB664B" w:rsidP="0074152A">
            <w:pPr>
              <w:rPr>
                <w:b/>
                <w:sz w:val="20"/>
                <w:szCs w:val="20"/>
              </w:rPr>
            </w:pPr>
            <w:r w:rsidRPr="00EB664B">
              <w:rPr>
                <w:b/>
                <w:bCs/>
                <w:sz w:val="20"/>
                <w:szCs w:val="20"/>
                <w:lang w:val="fr-CA"/>
              </w:rPr>
              <w:t>Requêtes en autorisation d’intervenir</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r>
      <w:tr w:rsidR="00EB664B" w:rsidRPr="00EB664B" w:rsidTr="0074152A">
        <w:tc>
          <w:tcPr>
            <w:tcW w:w="1350" w:type="dxa"/>
          </w:tcPr>
          <w:p w:rsidR="00EB664B" w:rsidRPr="00EB664B" w:rsidRDefault="00EB664B" w:rsidP="0074152A">
            <w:pPr>
              <w:rPr>
                <w:sz w:val="20"/>
                <w:szCs w:val="20"/>
              </w:rPr>
            </w:pPr>
            <w:r w:rsidRPr="00EB664B">
              <w:rPr>
                <w:sz w:val="20"/>
                <w:szCs w:val="20"/>
              </w:rPr>
              <w:t>BY / PAR</w:t>
            </w:r>
          </w:p>
        </w:tc>
        <w:tc>
          <w:tcPr>
            <w:tcW w:w="2890" w:type="dxa"/>
          </w:tcPr>
          <w:p w:rsidR="00EB664B" w:rsidRPr="00EB664B" w:rsidRDefault="00EB664B" w:rsidP="0074152A">
            <w:pPr>
              <w:rPr>
                <w:sz w:val="20"/>
                <w:szCs w:val="20"/>
              </w:rPr>
            </w:pPr>
            <w:r w:rsidRPr="00EB664B">
              <w:rPr>
                <w:sz w:val="20"/>
                <w:szCs w:val="20"/>
              </w:rPr>
              <w:t>Attorney General of Ontario</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Attorney General of British Columbia</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Attorney General of Alberta</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Criminal Lawyers’ Association (Ontario)</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r w:rsidRPr="00EB664B">
              <w:rPr>
                <w:sz w:val="20"/>
                <w:szCs w:val="20"/>
              </w:rPr>
              <w:t>IN / DANS :</w:t>
            </w:r>
          </w:p>
        </w:tc>
        <w:tc>
          <w:tcPr>
            <w:tcW w:w="2890" w:type="dxa"/>
          </w:tcPr>
          <w:p w:rsidR="00EB664B" w:rsidRPr="00EB664B" w:rsidRDefault="00EB664B" w:rsidP="0074152A">
            <w:pPr>
              <w:rPr>
                <w:sz w:val="20"/>
                <w:szCs w:val="20"/>
              </w:rPr>
            </w:pPr>
            <w:r w:rsidRPr="00EB664B">
              <w:rPr>
                <w:sz w:val="20"/>
                <w:szCs w:val="20"/>
              </w:rPr>
              <w:t>Dennis James Oland</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ab/>
              <w:t>v. (36986)</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Her Majesty the Queen (N.B.)</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bl>
    <w:p w:rsidR="00EB664B" w:rsidRPr="00EB664B" w:rsidRDefault="00EB664B" w:rsidP="00EB664B">
      <w:pPr>
        <w:tabs>
          <w:tab w:val="left" w:pos="-1440"/>
          <w:tab w:val="left" w:pos="-720"/>
        </w:tabs>
        <w:jc w:val="both"/>
        <w:rPr>
          <w:sz w:val="20"/>
          <w:szCs w:val="20"/>
        </w:rPr>
      </w:pPr>
    </w:p>
    <w:p w:rsidR="00EB664B" w:rsidRPr="00EB664B" w:rsidRDefault="00EB664B" w:rsidP="004C1E78">
      <w:pPr>
        <w:tabs>
          <w:tab w:val="left" w:pos="-1440"/>
          <w:tab w:val="left" w:pos="-720"/>
        </w:tabs>
        <w:jc w:val="both"/>
        <w:rPr>
          <w:sz w:val="20"/>
          <w:szCs w:val="20"/>
        </w:rPr>
      </w:pPr>
      <w:r w:rsidRPr="00EB664B">
        <w:rPr>
          <w:b/>
          <w:sz w:val="20"/>
          <w:szCs w:val="20"/>
        </w:rPr>
        <w:t>GRANTED / ACCORDÉES</w:t>
      </w:r>
    </w:p>
    <w:p w:rsidR="00EB664B" w:rsidRPr="00EB664B" w:rsidRDefault="00EB664B" w:rsidP="004C1E78">
      <w:pPr>
        <w:jc w:val="both"/>
        <w:rPr>
          <w:sz w:val="20"/>
          <w:szCs w:val="20"/>
        </w:rPr>
      </w:pPr>
    </w:p>
    <w:p w:rsidR="00EB664B" w:rsidRPr="00EB664B" w:rsidRDefault="00EB664B" w:rsidP="004C1E78">
      <w:pPr>
        <w:jc w:val="both"/>
        <w:rPr>
          <w:sz w:val="20"/>
          <w:szCs w:val="20"/>
        </w:rPr>
      </w:pPr>
      <w:r w:rsidRPr="00EB664B">
        <w:rPr>
          <w:b/>
          <w:bCs/>
          <w:sz w:val="20"/>
          <w:szCs w:val="20"/>
        </w:rPr>
        <w:t xml:space="preserve">UPON APPLICATIONS </w:t>
      </w:r>
      <w:r w:rsidRPr="00EB664B">
        <w:rPr>
          <w:sz w:val="20"/>
          <w:szCs w:val="20"/>
        </w:rPr>
        <w:t xml:space="preserve">by the Attorney General of Ontario, the Attorney General of British Columbia, the Attorney General of Alberta and the Criminal Lawyers’ Association (Ontario) for leave to intervene in the above appeal; </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AND THE MATERIAL FILED</w:t>
      </w:r>
      <w:r w:rsidRPr="00EB664B">
        <w:rPr>
          <w:sz w:val="20"/>
          <w:szCs w:val="20"/>
        </w:rPr>
        <w:t xml:space="preserve"> having been read;</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b/>
          <w:bCs/>
          <w:sz w:val="20"/>
          <w:szCs w:val="20"/>
        </w:rPr>
      </w:pPr>
      <w:r w:rsidRPr="00EB664B">
        <w:rPr>
          <w:b/>
          <w:bCs/>
          <w:sz w:val="20"/>
          <w:szCs w:val="20"/>
        </w:rPr>
        <w:t>IT IS HEREBY ORDERED THAT:</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motions for leave to intervene are granted and the said four (4) interveners shall be entitled to each serve and file a factum not exceeding ten (10) pages in length on or before October 14, 2016.</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requests to present oral argument are deferred to a date following receipt and consideration of the written arguments of the parties and the interveners.</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 xml:space="preserve">The interveners are not entitled to raise new issues or to adduce further evidence or otherwise to supplement the record of the parties. </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Pursuant to Rule 59(1)(</w:t>
      </w:r>
      <w:r w:rsidRPr="00EB664B">
        <w:rPr>
          <w:i/>
          <w:iCs/>
          <w:sz w:val="20"/>
          <w:szCs w:val="20"/>
        </w:rPr>
        <w:t>a</w:t>
      </w:r>
      <w:r w:rsidRPr="00EB664B">
        <w:rPr>
          <w:sz w:val="20"/>
          <w:szCs w:val="20"/>
        </w:rPr>
        <w:t xml:space="preserve">) of the </w:t>
      </w:r>
      <w:r w:rsidRPr="00EB664B">
        <w:rPr>
          <w:i/>
          <w:iCs/>
          <w:sz w:val="20"/>
          <w:szCs w:val="20"/>
        </w:rPr>
        <w:t>Rules of the Supreme Court of Canada</w:t>
      </w:r>
      <w:r w:rsidRPr="00EB664B">
        <w:rPr>
          <w:sz w:val="20"/>
          <w:szCs w:val="20"/>
        </w:rPr>
        <w:t>, the interveners shall pay to the appellant and respondent any additional disbursements occasioned to the appellant and respondent by their intervention.</w:t>
      </w:r>
    </w:p>
    <w:p w:rsidR="00EB664B" w:rsidRPr="00EB664B" w:rsidRDefault="00EB664B" w:rsidP="004C1E78">
      <w:pPr>
        <w:jc w:val="both"/>
        <w:rPr>
          <w:sz w:val="20"/>
          <w:szCs w:val="20"/>
        </w:rPr>
      </w:pPr>
    </w:p>
    <w:p w:rsidR="00EB664B" w:rsidRPr="00EB664B" w:rsidRDefault="00EB664B" w:rsidP="004C1E78">
      <w:pPr>
        <w:jc w:val="both"/>
        <w:rPr>
          <w:sz w:val="20"/>
          <w:szCs w:val="20"/>
        </w:rPr>
      </w:pPr>
    </w:p>
    <w:p w:rsidR="00EB664B" w:rsidRDefault="00EB664B" w:rsidP="00EB664B">
      <w:pPr>
        <w:rPr>
          <w:sz w:val="20"/>
          <w:szCs w:val="20"/>
        </w:rPr>
      </w:pPr>
    </w:p>
    <w:p w:rsidR="00A52267" w:rsidRPr="00B871E6" w:rsidRDefault="00A52267" w:rsidP="004C1E78">
      <w:pPr>
        <w:jc w:val="both"/>
        <w:rPr>
          <w:rFonts w:cs="Times New Roman"/>
          <w:sz w:val="20"/>
          <w:szCs w:val="20"/>
          <w:lang w:val="fr-CA"/>
        </w:rPr>
      </w:pPr>
      <w:r w:rsidRPr="00B871E6">
        <w:rPr>
          <w:rFonts w:cs="Times New Roman"/>
          <w:b/>
          <w:bCs/>
          <w:sz w:val="20"/>
          <w:szCs w:val="20"/>
          <w:lang w:val="fr-CA"/>
        </w:rPr>
        <w:t xml:space="preserve">À LA SUITE DES DEMANDES </w:t>
      </w:r>
      <w:r w:rsidRPr="00B871E6">
        <w:rPr>
          <w:rFonts w:cs="Times New Roman"/>
          <w:bCs/>
          <w:sz w:val="20"/>
          <w:szCs w:val="20"/>
          <w:lang w:val="fr-CA"/>
        </w:rPr>
        <w:t>d’autorisation d’intervenir dans l’appel présentées par les procureurs généraux de l’</w:t>
      </w:r>
      <w:r w:rsidRPr="00B871E6">
        <w:rPr>
          <w:rFonts w:cs="Times New Roman"/>
          <w:sz w:val="20"/>
          <w:szCs w:val="20"/>
          <w:lang w:val="fr-CA"/>
        </w:rPr>
        <w:t xml:space="preserve">Ontario, de la Colombie-Britannique et de l’Alberta et la Criminal Lawyers’ Association (Ontario); </w:t>
      </w:r>
    </w:p>
    <w:p w:rsidR="00A52267" w:rsidRPr="00B871E6" w:rsidRDefault="00A52267" w:rsidP="004C1E78">
      <w:pPr>
        <w:spacing w:line="233" w:lineRule="auto"/>
        <w:jc w:val="both"/>
        <w:rPr>
          <w:rFonts w:cs="Times New Roman"/>
          <w:sz w:val="20"/>
          <w:szCs w:val="20"/>
          <w:lang w:val="fr-CA"/>
        </w:rPr>
      </w:pPr>
    </w:p>
    <w:p w:rsidR="00A52267" w:rsidRPr="00B871E6" w:rsidRDefault="00A52267" w:rsidP="004C1E78">
      <w:pPr>
        <w:spacing w:line="233" w:lineRule="auto"/>
        <w:jc w:val="both"/>
        <w:rPr>
          <w:rFonts w:cs="Times New Roman"/>
          <w:sz w:val="20"/>
          <w:szCs w:val="20"/>
          <w:lang w:val="fr-CA"/>
        </w:rPr>
      </w:pPr>
      <w:r w:rsidRPr="00B871E6">
        <w:rPr>
          <w:rFonts w:cs="Times New Roman"/>
          <w:b/>
          <w:bCs/>
          <w:sz w:val="20"/>
          <w:szCs w:val="20"/>
          <w:lang w:val="fr-CA"/>
        </w:rPr>
        <w:t xml:space="preserve">ET APRÈS EXAMEN </w:t>
      </w:r>
      <w:r w:rsidRPr="00B871E6">
        <w:rPr>
          <w:rFonts w:cs="Times New Roman"/>
          <w:bCs/>
          <w:sz w:val="20"/>
          <w:szCs w:val="20"/>
          <w:lang w:val="fr-CA"/>
        </w:rPr>
        <w:t>des documents déposés</w:t>
      </w:r>
      <w:r w:rsidRPr="00B871E6">
        <w:rPr>
          <w:rFonts w:cs="Times New Roman"/>
          <w:sz w:val="20"/>
          <w:szCs w:val="20"/>
          <w:lang w:val="fr-CA"/>
        </w:rPr>
        <w:t>;</w:t>
      </w:r>
    </w:p>
    <w:p w:rsidR="00A52267" w:rsidRPr="00B871E6" w:rsidRDefault="00A52267" w:rsidP="004C1E78">
      <w:pPr>
        <w:spacing w:line="233" w:lineRule="auto"/>
        <w:jc w:val="both"/>
        <w:rPr>
          <w:rFonts w:cs="Times New Roman"/>
          <w:sz w:val="20"/>
          <w:szCs w:val="20"/>
          <w:lang w:val="fr-CA"/>
        </w:rPr>
      </w:pPr>
    </w:p>
    <w:p w:rsidR="00A52267" w:rsidRPr="00B871E6" w:rsidRDefault="00A52267" w:rsidP="004C1E78">
      <w:pPr>
        <w:spacing w:line="233" w:lineRule="auto"/>
        <w:jc w:val="both"/>
        <w:rPr>
          <w:rFonts w:cs="Times New Roman"/>
          <w:b/>
          <w:bCs/>
          <w:sz w:val="20"/>
          <w:szCs w:val="20"/>
          <w:lang w:val="fr-CA"/>
        </w:rPr>
      </w:pPr>
      <w:r w:rsidRPr="00B871E6">
        <w:rPr>
          <w:rFonts w:cs="Times New Roman"/>
          <w:b/>
          <w:bCs/>
          <w:sz w:val="20"/>
          <w:szCs w:val="20"/>
          <w:lang w:val="fr-CA"/>
        </w:rPr>
        <w:t>IL EST ORDONNÉ CE QUI SUIT :</w:t>
      </w:r>
    </w:p>
    <w:p w:rsidR="00A52267" w:rsidRPr="00B871E6" w:rsidRDefault="00A52267" w:rsidP="004C1E78">
      <w:pPr>
        <w:spacing w:line="233" w:lineRule="auto"/>
        <w:jc w:val="both"/>
        <w:rPr>
          <w:rFonts w:cs="Times New Roman"/>
          <w:sz w:val="20"/>
          <w:szCs w:val="20"/>
          <w:lang w:val="fr-CA"/>
        </w:rPr>
      </w:pPr>
    </w:p>
    <w:p w:rsidR="00A52267" w:rsidRPr="00B871E6" w:rsidRDefault="00A52267" w:rsidP="004C1E78">
      <w:pPr>
        <w:spacing w:line="233" w:lineRule="auto"/>
        <w:jc w:val="both"/>
        <w:rPr>
          <w:rFonts w:cs="Times New Roman"/>
          <w:sz w:val="20"/>
          <w:szCs w:val="20"/>
          <w:lang w:val="fr-CA"/>
        </w:rPr>
      </w:pPr>
      <w:r w:rsidRPr="00B871E6">
        <w:rPr>
          <w:rFonts w:cs="Times New Roman"/>
          <w:sz w:val="20"/>
          <w:szCs w:val="20"/>
          <w:lang w:val="fr-CA"/>
        </w:rPr>
        <w:t>Les requêtes en autorisation d’intervenir sont accueillies et chacun des quatre (4) intervenants pourra signifier et déposer un mémoire d’au plus dix (10) pages au plus tard le 14 octobre 2016.</w:t>
      </w:r>
    </w:p>
    <w:p w:rsidR="00A52267" w:rsidRPr="00B871E6" w:rsidRDefault="00A52267" w:rsidP="004C1E78">
      <w:pPr>
        <w:spacing w:line="233" w:lineRule="auto"/>
        <w:jc w:val="both"/>
        <w:rPr>
          <w:rFonts w:cs="Times New Roman"/>
          <w:sz w:val="20"/>
          <w:szCs w:val="20"/>
          <w:lang w:val="fr-CA"/>
        </w:rPr>
      </w:pPr>
    </w:p>
    <w:p w:rsidR="00A52267" w:rsidRPr="00B871E6" w:rsidRDefault="00A52267" w:rsidP="004C1E78">
      <w:pPr>
        <w:spacing w:line="233" w:lineRule="auto"/>
        <w:jc w:val="both"/>
        <w:rPr>
          <w:rFonts w:cs="Times New Roman"/>
          <w:sz w:val="20"/>
          <w:szCs w:val="20"/>
          <w:lang w:val="fr-CA"/>
        </w:rPr>
      </w:pPr>
      <w:r w:rsidRPr="00B871E6">
        <w:rPr>
          <w:rFonts w:cs="Times New Roman"/>
          <w:sz w:val="20"/>
          <w:szCs w:val="20"/>
          <w:lang w:val="fr-CA"/>
        </w:rPr>
        <w:t>La décision sur les demandes en vue de présenter une plaidoirie orale sera rendue après réception et examen des arguments écrits des parties et des intervenants.</w:t>
      </w:r>
    </w:p>
    <w:p w:rsidR="00A52267" w:rsidRPr="00B871E6" w:rsidRDefault="00A52267" w:rsidP="004C1E78">
      <w:pPr>
        <w:spacing w:line="233" w:lineRule="auto"/>
        <w:jc w:val="both"/>
        <w:rPr>
          <w:rFonts w:cs="Times New Roman"/>
          <w:sz w:val="20"/>
          <w:szCs w:val="20"/>
          <w:lang w:val="fr-CA"/>
        </w:rPr>
      </w:pPr>
    </w:p>
    <w:p w:rsidR="00A52267" w:rsidRPr="00A52267" w:rsidRDefault="00A52267" w:rsidP="004C1E78">
      <w:pPr>
        <w:spacing w:line="233" w:lineRule="auto"/>
        <w:jc w:val="both"/>
        <w:rPr>
          <w:rFonts w:cs="Times New Roman"/>
          <w:sz w:val="20"/>
          <w:szCs w:val="20"/>
          <w:lang w:val="fr-CA"/>
        </w:rPr>
      </w:pPr>
      <w:r w:rsidRPr="00A52267">
        <w:rPr>
          <w:rFonts w:cs="Times New Roman"/>
          <w:sz w:val="20"/>
          <w:szCs w:val="20"/>
          <w:lang w:val="fr-CA"/>
        </w:rPr>
        <w:lastRenderedPageBreak/>
        <w:t xml:space="preserve">Les intervenants n’ont pas le droit de soulever de nouvelles questions, de produire d’autres éléments de preuve ni de compléter de quelque autre façon le dossier des parties.  </w:t>
      </w:r>
    </w:p>
    <w:p w:rsidR="00A52267" w:rsidRPr="00B871E6" w:rsidRDefault="00A52267" w:rsidP="004C1E78">
      <w:pPr>
        <w:spacing w:line="233" w:lineRule="auto"/>
        <w:jc w:val="both"/>
        <w:rPr>
          <w:rFonts w:cs="Times New Roman"/>
          <w:sz w:val="20"/>
          <w:szCs w:val="20"/>
          <w:lang w:val="fr-CA"/>
        </w:rPr>
      </w:pPr>
    </w:p>
    <w:p w:rsidR="00A52267" w:rsidRPr="00B871E6" w:rsidRDefault="00A52267" w:rsidP="004C1E78">
      <w:pPr>
        <w:spacing w:line="233" w:lineRule="auto"/>
        <w:jc w:val="both"/>
        <w:rPr>
          <w:rFonts w:cs="Times New Roman"/>
          <w:sz w:val="20"/>
          <w:szCs w:val="20"/>
          <w:lang w:val="fr-CA"/>
        </w:rPr>
      </w:pPr>
      <w:r w:rsidRPr="00B871E6">
        <w:rPr>
          <w:rFonts w:cs="Times New Roman"/>
          <w:sz w:val="20"/>
          <w:szCs w:val="20"/>
          <w:lang w:val="fr-CA"/>
        </w:rPr>
        <w:t>Conformément à l’alinéa 59(1)</w:t>
      </w:r>
      <w:r w:rsidRPr="00B871E6">
        <w:rPr>
          <w:rFonts w:cs="Times New Roman"/>
          <w:i/>
          <w:iCs/>
          <w:sz w:val="20"/>
          <w:szCs w:val="20"/>
          <w:lang w:val="fr-CA"/>
        </w:rPr>
        <w:t>a</w:t>
      </w:r>
      <w:r w:rsidRPr="00B871E6">
        <w:rPr>
          <w:rFonts w:cs="Times New Roman"/>
          <w:sz w:val="20"/>
          <w:szCs w:val="20"/>
          <w:lang w:val="fr-CA"/>
        </w:rPr>
        <w:t xml:space="preserve">) des </w:t>
      </w:r>
      <w:r w:rsidRPr="00B871E6">
        <w:rPr>
          <w:rFonts w:cs="Times New Roman"/>
          <w:i/>
          <w:iCs/>
          <w:sz w:val="20"/>
          <w:szCs w:val="20"/>
          <w:lang w:val="fr-CA"/>
        </w:rPr>
        <w:t>Règles de la Cour suprême du Canada</w:t>
      </w:r>
      <w:r w:rsidRPr="00B871E6">
        <w:rPr>
          <w:rFonts w:cs="Times New Roman"/>
          <w:sz w:val="20"/>
          <w:szCs w:val="20"/>
          <w:lang w:val="fr-CA"/>
        </w:rPr>
        <w:t>, les intervenants paieront à l’appelant et à l’intimée tous débours supplémentaires résultant de leur intervention.</w:t>
      </w:r>
    </w:p>
    <w:p w:rsidR="00A52267" w:rsidRDefault="00A52267" w:rsidP="00EB664B">
      <w:pPr>
        <w:rPr>
          <w:sz w:val="20"/>
          <w:szCs w:val="20"/>
          <w:lang w:val="fr-CA"/>
        </w:rPr>
      </w:pPr>
    </w:p>
    <w:p w:rsidR="00EB664B" w:rsidRPr="00EB664B" w:rsidRDefault="00CB2D37" w:rsidP="00EB664B">
      <w:pPr>
        <w:rPr>
          <w:sz w:val="20"/>
          <w:szCs w:val="20"/>
          <w:lang w:val="fr-CA"/>
        </w:rPr>
      </w:pPr>
      <w:r>
        <w:rPr>
          <w:sz w:val="20"/>
          <w:szCs w:val="20"/>
          <w:lang w:val="fr-CA"/>
        </w:rPr>
        <w:pict>
          <v:rect id="_x0000_i1071" style="width:2in;height:1pt" o:hrpct="0" o:hralign="center" o:hrstd="t" o:hrnoshade="t" o:hr="t" fillcolor="black [3213]" stroked="f"/>
        </w:pict>
      </w:r>
    </w:p>
    <w:p w:rsidR="00EB664B" w:rsidRPr="00EB664B" w:rsidRDefault="00EB664B" w:rsidP="00EB664B">
      <w:pPr>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19.09.2016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KARAKATSANIS J. / LA JUGE KARAKATSANIS</w:t>
      </w:r>
    </w:p>
    <w:p w:rsidR="00EB664B" w:rsidRPr="00EB664B" w:rsidRDefault="00EB664B" w:rsidP="00EB664B">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B664B" w:rsidRPr="00EB664B" w:rsidTr="0074152A">
        <w:trPr>
          <w:trHeight w:val="151"/>
        </w:trPr>
        <w:tc>
          <w:tcPr>
            <w:tcW w:w="4338" w:type="dxa"/>
          </w:tcPr>
          <w:p w:rsidR="00EB664B" w:rsidRPr="00EB664B" w:rsidRDefault="00EB664B" w:rsidP="0074152A">
            <w:pPr>
              <w:tabs>
                <w:tab w:val="left" w:pos="-1440"/>
                <w:tab w:val="left" w:pos="-720"/>
              </w:tabs>
              <w:jc w:val="both"/>
              <w:rPr>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r w:rsidRPr="00EB664B">
              <w:rPr>
                <w:b/>
                <w:bCs/>
                <w:sz w:val="20"/>
                <w:szCs w:val="20"/>
                <w:lang w:val="fr-CA"/>
              </w:rPr>
              <w:t>Miscellaneous motion</w:t>
            </w:r>
          </w:p>
          <w:p w:rsidR="00EB664B" w:rsidRPr="00EB664B" w:rsidRDefault="00EB664B" w:rsidP="0074152A">
            <w:pPr>
              <w:tabs>
                <w:tab w:val="left" w:pos="-1440"/>
                <w:tab w:val="left" w:pos="-720"/>
              </w:tabs>
              <w:jc w:val="both"/>
              <w:rPr>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p>
        </w:tc>
        <w:tc>
          <w:tcPr>
            <w:tcW w:w="1170" w:type="dxa"/>
          </w:tcPr>
          <w:p w:rsidR="00EB664B" w:rsidRPr="00EB664B" w:rsidRDefault="00EB664B" w:rsidP="0074152A">
            <w:pPr>
              <w:jc w:val="both"/>
              <w:rPr>
                <w:sz w:val="20"/>
                <w:szCs w:val="20"/>
                <w:lang w:val="fr-CA"/>
              </w:rPr>
            </w:pPr>
          </w:p>
          <w:p w:rsidR="00EB664B" w:rsidRPr="00EB664B" w:rsidRDefault="00EB664B" w:rsidP="0074152A">
            <w:pPr>
              <w:jc w:val="both"/>
              <w:rPr>
                <w:sz w:val="20"/>
                <w:szCs w:val="20"/>
                <w:lang w:val="fr-CA"/>
              </w:rPr>
            </w:pPr>
          </w:p>
        </w:tc>
        <w:tc>
          <w:tcPr>
            <w:tcW w:w="4327" w:type="dxa"/>
          </w:tcPr>
          <w:p w:rsidR="00EB664B" w:rsidRPr="00EB664B" w:rsidRDefault="00EB664B" w:rsidP="0074152A">
            <w:pPr>
              <w:jc w:val="both"/>
              <w:rPr>
                <w:b/>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r w:rsidRPr="00EB664B">
              <w:rPr>
                <w:b/>
                <w:bCs/>
                <w:sz w:val="20"/>
                <w:szCs w:val="20"/>
                <w:lang w:val="fr-CA"/>
              </w:rPr>
              <w:t>Requête diverse</w:t>
            </w:r>
          </w:p>
          <w:p w:rsidR="00EB664B" w:rsidRPr="00EB664B" w:rsidRDefault="00EB664B" w:rsidP="0074152A">
            <w:pPr>
              <w:jc w:val="both"/>
              <w:rPr>
                <w:b/>
                <w:sz w:val="20"/>
                <w:szCs w:val="20"/>
                <w:lang w:val="fr-CA"/>
              </w:rPr>
            </w:pP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p>
        </w:tc>
      </w:tr>
      <w:tr w:rsidR="00EB664B" w:rsidRPr="00EB664B" w:rsidTr="0074152A">
        <w:trPr>
          <w:trHeight w:val="150"/>
        </w:trPr>
        <w:tc>
          <w:tcPr>
            <w:tcW w:w="4338" w:type="dxa"/>
          </w:tcPr>
          <w:p w:rsidR="00EB664B" w:rsidRPr="00EB664B" w:rsidRDefault="00EB664B" w:rsidP="0074152A">
            <w:pPr>
              <w:tabs>
                <w:tab w:val="left" w:pos="-1440"/>
                <w:tab w:val="left" w:pos="-720"/>
              </w:tabs>
              <w:jc w:val="both"/>
              <w:rPr>
                <w:sz w:val="20"/>
                <w:szCs w:val="20"/>
                <w:lang w:val="fr-CA"/>
              </w:rPr>
            </w:pPr>
            <w:r w:rsidRPr="00EB664B">
              <w:rPr>
                <w:sz w:val="20"/>
                <w:szCs w:val="20"/>
                <w:lang w:val="fr-CA"/>
              </w:rPr>
              <w:t xml:space="preserve">AstraZeneca Canada Inc. et al. </w:t>
            </w:r>
          </w:p>
          <w:p w:rsidR="00EB664B" w:rsidRPr="00EB664B" w:rsidRDefault="00EB664B" w:rsidP="0074152A">
            <w:pPr>
              <w:tabs>
                <w:tab w:val="left" w:pos="-1440"/>
                <w:tab w:val="left" w:pos="-720"/>
              </w:tabs>
              <w:jc w:val="both"/>
              <w:rPr>
                <w:sz w:val="20"/>
                <w:szCs w:val="20"/>
                <w:lang w:val="fr-CA"/>
              </w:rPr>
            </w:pPr>
          </w:p>
          <w:p w:rsidR="00EB664B" w:rsidRPr="00EB664B" w:rsidRDefault="00EB664B" w:rsidP="0074152A">
            <w:pPr>
              <w:tabs>
                <w:tab w:val="left" w:pos="-1440"/>
                <w:tab w:val="left" w:pos="-720"/>
              </w:tabs>
              <w:jc w:val="both"/>
              <w:rPr>
                <w:sz w:val="20"/>
                <w:szCs w:val="20"/>
                <w:lang w:val="fr-CA"/>
              </w:rPr>
            </w:pPr>
            <w:r w:rsidRPr="00EB664B">
              <w:rPr>
                <w:sz w:val="20"/>
                <w:szCs w:val="20"/>
                <w:lang w:val="fr-CA"/>
              </w:rPr>
              <w:tab/>
              <w:t>v. (36654)</w:t>
            </w:r>
          </w:p>
          <w:p w:rsidR="00EB664B" w:rsidRPr="00EB664B" w:rsidRDefault="00EB664B" w:rsidP="0074152A">
            <w:pPr>
              <w:tabs>
                <w:tab w:val="left" w:pos="-1440"/>
                <w:tab w:val="left" w:pos="-720"/>
              </w:tabs>
              <w:jc w:val="both"/>
              <w:rPr>
                <w:sz w:val="20"/>
                <w:szCs w:val="20"/>
                <w:lang w:val="fr-CA"/>
              </w:rPr>
            </w:pPr>
          </w:p>
          <w:p w:rsidR="00EB664B" w:rsidRPr="00EB664B" w:rsidRDefault="00EB664B" w:rsidP="0074152A">
            <w:pPr>
              <w:tabs>
                <w:tab w:val="left" w:pos="-1440"/>
                <w:tab w:val="left" w:pos="-720"/>
              </w:tabs>
              <w:jc w:val="both"/>
              <w:rPr>
                <w:sz w:val="20"/>
                <w:szCs w:val="20"/>
                <w:lang w:val="fr-CA"/>
              </w:rPr>
            </w:pPr>
            <w:r w:rsidRPr="00EB664B">
              <w:rPr>
                <w:sz w:val="20"/>
                <w:szCs w:val="20"/>
                <w:lang w:val="fr-CA"/>
              </w:rPr>
              <w:t>Apotex Inc. et al. (F.C.)</w:t>
            </w:r>
          </w:p>
        </w:tc>
        <w:tc>
          <w:tcPr>
            <w:tcW w:w="1170" w:type="dxa"/>
          </w:tcPr>
          <w:p w:rsidR="00EB664B" w:rsidRPr="00EB664B" w:rsidRDefault="00EB664B" w:rsidP="0074152A">
            <w:pPr>
              <w:jc w:val="both"/>
              <w:rPr>
                <w:sz w:val="20"/>
                <w:szCs w:val="20"/>
                <w:lang w:val="fr-CA"/>
              </w:rPr>
            </w:pPr>
          </w:p>
        </w:tc>
        <w:tc>
          <w:tcPr>
            <w:tcW w:w="4327" w:type="dxa"/>
          </w:tcPr>
          <w:p w:rsidR="00EB664B" w:rsidRPr="00EB664B" w:rsidRDefault="00EB664B" w:rsidP="0074152A">
            <w:pPr>
              <w:jc w:val="both"/>
              <w:rPr>
                <w:sz w:val="20"/>
                <w:szCs w:val="20"/>
                <w:lang w:val="fr-CA"/>
              </w:rPr>
            </w:pPr>
          </w:p>
        </w:tc>
      </w:tr>
    </w:tbl>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rPr>
      </w:pPr>
      <w:r w:rsidRPr="00EB664B">
        <w:rPr>
          <w:b/>
          <w:sz w:val="20"/>
          <w:szCs w:val="20"/>
        </w:rPr>
        <w:t>GRANTED / ACCORDÉE</w:t>
      </w:r>
    </w:p>
    <w:p w:rsidR="00EB664B" w:rsidRPr="00EB664B" w:rsidRDefault="00EB664B" w:rsidP="00EB664B">
      <w:pPr>
        <w:tabs>
          <w:tab w:val="left" w:pos="-1440"/>
          <w:tab w:val="left" w:pos="-720"/>
        </w:tabs>
        <w:jc w:val="both"/>
        <w:rPr>
          <w:sz w:val="20"/>
          <w:szCs w:val="20"/>
        </w:rPr>
      </w:pPr>
    </w:p>
    <w:p w:rsidR="00EB664B" w:rsidRPr="00EB664B" w:rsidRDefault="00EB664B" w:rsidP="004C1E78">
      <w:pPr>
        <w:jc w:val="both"/>
        <w:rPr>
          <w:sz w:val="20"/>
          <w:szCs w:val="20"/>
        </w:rPr>
      </w:pPr>
      <w:r w:rsidRPr="00EB664B">
        <w:rPr>
          <w:b/>
          <w:bCs/>
          <w:sz w:val="20"/>
          <w:szCs w:val="20"/>
        </w:rPr>
        <w:t xml:space="preserve">UPON APPLICATIONS </w:t>
      </w:r>
      <w:r w:rsidRPr="00EB664B">
        <w:rPr>
          <w:sz w:val="20"/>
          <w:szCs w:val="20"/>
        </w:rPr>
        <w:t>by the appellants and respondents for an order permitting them to serve and file reply factums in response to the factums of the interveners;</w:t>
      </w:r>
    </w:p>
    <w:p w:rsidR="00EB664B" w:rsidRPr="00EB664B" w:rsidRDefault="00EB664B" w:rsidP="004C1E78">
      <w:pPr>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AND THE MATERIAL FILED</w:t>
      </w:r>
      <w:r w:rsidRPr="00EB664B">
        <w:rPr>
          <w:sz w:val="20"/>
          <w:szCs w:val="20"/>
        </w:rPr>
        <w:t xml:space="preserve"> having been read;</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IT IS HEREBY ORDERED THAT:</w:t>
      </w:r>
    </w:p>
    <w:p w:rsidR="00EB664B" w:rsidRPr="00EB664B" w:rsidRDefault="00EB664B" w:rsidP="004C1E78">
      <w:pPr>
        <w:spacing w:line="233" w:lineRule="auto"/>
        <w:jc w:val="both"/>
        <w:rPr>
          <w:sz w:val="20"/>
          <w:szCs w:val="20"/>
        </w:rPr>
      </w:pPr>
    </w:p>
    <w:p w:rsidR="00EB664B" w:rsidRPr="00EB664B" w:rsidRDefault="00EB664B" w:rsidP="004C1E78">
      <w:pPr>
        <w:jc w:val="both"/>
        <w:rPr>
          <w:sz w:val="20"/>
          <w:szCs w:val="20"/>
        </w:rPr>
      </w:pPr>
      <w:r w:rsidRPr="00EB664B">
        <w:rPr>
          <w:sz w:val="20"/>
          <w:szCs w:val="20"/>
        </w:rPr>
        <w:t xml:space="preserve">The appellants and respondents shall each serve and file a reply factum of no more than 10 pages on or before October 28, 2016. </w:t>
      </w:r>
    </w:p>
    <w:p w:rsidR="00EB664B" w:rsidRPr="00EB664B" w:rsidRDefault="00EB664B" w:rsidP="004C1E78">
      <w:pPr>
        <w:jc w:val="both"/>
        <w:rPr>
          <w:sz w:val="20"/>
          <w:szCs w:val="20"/>
        </w:rPr>
      </w:pPr>
    </w:p>
    <w:p w:rsidR="00EB664B" w:rsidRPr="00EB664B" w:rsidRDefault="00EB664B" w:rsidP="004C1E78">
      <w:pPr>
        <w:jc w:val="both"/>
        <w:rPr>
          <w:sz w:val="20"/>
          <w:szCs w:val="20"/>
        </w:rPr>
      </w:pPr>
    </w:p>
    <w:p w:rsidR="00A52267" w:rsidRPr="00013FE5" w:rsidRDefault="00A52267" w:rsidP="004C1E78">
      <w:pPr>
        <w:jc w:val="both"/>
        <w:rPr>
          <w:rFonts w:cs="Times New Roman"/>
          <w:sz w:val="20"/>
          <w:szCs w:val="20"/>
          <w:lang w:val="fr-CA"/>
        </w:rPr>
      </w:pPr>
      <w:r w:rsidRPr="00013FE5">
        <w:rPr>
          <w:rFonts w:cs="Times New Roman"/>
          <w:b/>
          <w:bCs/>
          <w:sz w:val="20"/>
          <w:szCs w:val="20"/>
          <w:lang w:val="fr-CA"/>
        </w:rPr>
        <w:t xml:space="preserve">À LA SUITE DES DEMANDES </w:t>
      </w:r>
      <w:r w:rsidRPr="00013FE5">
        <w:rPr>
          <w:rFonts w:cs="Times New Roman"/>
          <w:bCs/>
          <w:sz w:val="20"/>
          <w:szCs w:val="20"/>
          <w:lang w:val="fr-CA"/>
        </w:rPr>
        <w:t xml:space="preserve">présentées par les appelantes et les intimées en vue d’obtenir une ordonnance les autorisant à </w:t>
      </w:r>
      <w:r w:rsidRPr="00013FE5">
        <w:rPr>
          <w:rFonts w:cs="Times New Roman"/>
          <w:sz w:val="20"/>
          <w:szCs w:val="20"/>
          <w:lang w:val="fr-CA"/>
        </w:rPr>
        <w:t>signifier et à déposer des mémoires en réponse à ceux des intervenants;</w:t>
      </w:r>
    </w:p>
    <w:p w:rsidR="00A52267" w:rsidRPr="00013FE5" w:rsidRDefault="00A52267" w:rsidP="004C1E78">
      <w:pPr>
        <w:jc w:val="both"/>
        <w:rPr>
          <w:rFonts w:cs="Times New Roman"/>
          <w:sz w:val="20"/>
          <w:szCs w:val="20"/>
          <w:lang w:val="fr-CA"/>
        </w:rPr>
      </w:pPr>
    </w:p>
    <w:p w:rsidR="00A52267" w:rsidRPr="00013FE5" w:rsidRDefault="00A52267" w:rsidP="004C1E78">
      <w:pPr>
        <w:spacing w:line="233" w:lineRule="auto"/>
        <w:jc w:val="both"/>
        <w:rPr>
          <w:rFonts w:cs="Times New Roman"/>
          <w:sz w:val="20"/>
          <w:szCs w:val="20"/>
          <w:lang w:val="fr-CA"/>
        </w:rPr>
      </w:pPr>
      <w:r w:rsidRPr="00013FE5">
        <w:rPr>
          <w:rFonts w:cs="Times New Roman"/>
          <w:b/>
          <w:bCs/>
          <w:sz w:val="20"/>
          <w:szCs w:val="20"/>
          <w:lang w:val="fr-CA"/>
        </w:rPr>
        <w:t xml:space="preserve">ET APRÈS EXAMEN </w:t>
      </w:r>
      <w:r w:rsidRPr="00013FE5">
        <w:rPr>
          <w:rFonts w:cs="Times New Roman"/>
          <w:bCs/>
          <w:sz w:val="20"/>
          <w:szCs w:val="20"/>
          <w:lang w:val="fr-CA"/>
        </w:rPr>
        <w:t>des documents déposés</w:t>
      </w:r>
      <w:r w:rsidRPr="00013FE5">
        <w:rPr>
          <w:rFonts w:cs="Times New Roman"/>
          <w:sz w:val="20"/>
          <w:szCs w:val="20"/>
          <w:lang w:val="fr-CA"/>
        </w:rPr>
        <w:t>;</w:t>
      </w:r>
    </w:p>
    <w:p w:rsidR="00A52267" w:rsidRPr="00013FE5" w:rsidRDefault="00A52267" w:rsidP="004C1E78">
      <w:pPr>
        <w:spacing w:line="233" w:lineRule="auto"/>
        <w:jc w:val="both"/>
        <w:rPr>
          <w:rFonts w:cs="Times New Roman"/>
          <w:sz w:val="20"/>
          <w:szCs w:val="20"/>
          <w:lang w:val="fr-CA"/>
        </w:rPr>
      </w:pPr>
    </w:p>
    <w:p w:rsidR="00A52267" w:rsidRPr="00013FE5" w:rsidRDefault="00A52267" w:rsidP="004C1E78">
      <w:pPr>
        <w:spacing w:line="233" w:lineRule="auto"/>
        <w:jc w:val="both"/>
        <w:rPr>
          <w:rFonts w:cs="Times New Roman"/>
          <w:sz w:val="20"/>
          <w:szCs w:val="20"/>
          <w:lang w:val="fr-CA"/>
        </w:rPr>
      </w:pPr>
      <w:r w:rsidRPr="00013FE5">
        <w:rPr>
          <w:rFonts w:cs="Times New Roman"/>
          <w:b/>
          <w:bCs/>
          <w:sz w:val="20"/>
          <w:szCs w:val="20"/>
          <w:lang w:val="fr-CA"/>
        </w:rPr>
        <w:t>IL EST ORDONNÉ CE QUI SUIT :</w:t>
      </w:r>
    </w:p>
    <w:p w:rsidR="00A52267" w:rsidRPr="00013FE5" w:rsidRDefault="00A52267" w:rsidP="004C1E78">
      <w:pPr>
        <w:spacing w:line="233" w:lineRule="auto"/>
        <w:jc w:val="both"/>
        <w:rPr>
          <w:rFonts w:cs="Times New Roman"/>
          <w:sz w:val="20"/>
          <w:szCs w:val="20"/>
          <w:lang w:val="fr-CA"/>
        </w:rPr>
      </w:pPr>
    </w:p>
    <w:p w:rsidR="00A52267" w:rsidRPr="00013FE5" w:rsidRDefault="00A52267" w:rsidP="004C1E78">
      <w:pPr>
        <w:jc w:val="both"/>
        <w:rPr>
          <w:rFonts w:cs="Times New Roman"/>
          <w:sz w:val="20"/>
          <w:szCs w:val="20"/>
          <w:lang w:val="fr-CA"/>
        </w:rPr>
      </w:pPr>
      <w:r w:rsidRPr="00013FE5">
        <w:rPr>
          <w:rFonts w:cs="Times New Roman"/>
          <w:sz w:val="20"/>
          <w:szCs w:val="20"/>
          <w:lang w:val="fr-CA"/>
        </w:rPr>
        <w:t xml:space="preserve">Chacune des appelantes et des intimées signifiera et déposera un mémoire en réplique d’au plus dix pages au plus tard le 28 octobre 2016. </w:t>
      </w:r>
    </w:p>
    <w:p w:rsidR="00EB664B" w:rsidRPr="00EB664B" w:rsidRDefault="00CB2D37" w:rsidP="004C1E78">
      <w:pPr>
        <w:jc w:val="both"/>
        <w:rPr>
          <w:sz w:val="20"/>
          <w:szCs w:val="20"/>
        </w:rPr>
      </w:pPr>
      <w:r>
        <w:rPr>
          <w:sz w:val="20"/>
          <w:szCs w:val="20"/>
          <w:lang w:val="fr-CA"/>
        </w:rPr>
        <w:pict>
          <v:rect id="_x0000_i1072" style="width:2in;height:1pt" o:hrpct="0" o:hralign="center" o:hrstd="t" o:hrnoshade="t" o:hr="t" fillcolor="black [3213]" stroked="f"/>
        </w:pict>
      </w:r>
    </w:p>
    <w:p w:rsidR="0086620F" w:rsidRDefault="0086620F">
      <w:pPr>
        <w:rPr>
          <w:sz w:val="20"/>
          <w:szCs w:val="20"/>
          <w:lang w:val="fr-CA"/>
        </w:rPr>
      </w:pPr>
      <w:r>
        <w:rPr>
          <w:sz w:val="20"/>
          <w:szCs w:val="20"/>
          <w:lang w:val="fr-CA"/>
        </w:rPr>
        <w:br w:type="page"/>
      </w:r>
    </w:p>
    <w:p w:rsidR="00EB664B" w:rsidRPr="00EB664B" w:rsidRDefault="00EB664B" w:rsidP="00EB664B">
      <w:pPr>
        <w:tabs>
          <w:tab w:val="left" w:pos="-1440"/>
          <w:tab w:val="left" w:pos="-720"/>
        </w:tabs>
        <w:jc w:val="both"/>
        <w:rPr>
          <w:sz w:val="20"/>
          <w:szCs w:val="20"/>
          <w:lang w:val="fr-CA"/>
        </w:rPr>
      </w:pPr>
      <w:r w:rsidRPr="00EB664B">
        <w:rPr>
          <w:sz w:val="20"/>
          <w:szCs w:val="20"/>
          <w:lang w:val="fr-CA"/>
        </w:rPr>
        <w:lastRenderedPageBreak/>
        <w:t>19.09.2016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GASCON J. / LE JUGE GASCON</w:t>
      </w:r>
    </w:p>
    <w:p w:rsidR="00EB664B" w:rsidRPr="00EB664B" w:rsidRDefault="00EB664B" w:rsidP="00EB66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EB664B" w:rsidRPr="00EB664B" w:rsidTr="0074152A">
        <w:trPr>
          <w:trHeight w:val="151"/>
        </w:trPr>
        <w:tc>
          <w:tcPr>
            <w:tcW w:w="4338" w:type="dxa"/>
          </w:tcPr>
          <w:p w:rsidR="00EB664B" w:rsidRPr="00EB664B" w:rsidRDefault="00EB664B" w:rsidP="0074152A">
            <w:pPr>
              <w:tabs>
                <w:tab w:val="left" w:pos="-1440"/>
                <w:tab w:val="left" w:pos="-720"/>
              </w:tabs>
              <w:jc w:val="both"/>
              <w:rPr>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r w:rsidRPr="00EB664B">
              <w:rPr>
                <w:b/>
                <w:bCs/>
                <w:sz w:val="20"/>
                <w:szCs w:val="20"/>
                <w:lang w:val="fr-CA"/>
              </w:rPr>
              <w:t>Order</w:t>
            </w:r>
          </w:p>
          <w:p w:rsidR="00EB664B" w:rsidRPr="00EB664B" w:rsidRDefault="00EB664B" w:rsidP="0074152A">
            <w:pPr>
              <w:tabs>
                <w:tab w:val="left" w:pos="-1440"/>
                <w:tab w:val="left" w:pos="-720"/>
              </w:tabs>
              <w:jc w:val="both"/>
              <w:rPr>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p>
        </w:tc>
        <w:tc>
          <w:tcPr>
            <w:tcW w:w="1170" w:type="dxa"/>
          </w:tcPr>
          <w:p w:rsidR="00EB664B" w:rsidRPr="00EB664B" w:rsidRDefault="00EB664B" w:rsidP="0074152A">
            <w:pPr>
              <w:jc w:val="both"/>
              <w:rPr>
                <w:sz w:val="20"/>
                <w:szCs w:val="20"/>
                <w:lang w:val="fr-CA"/>
              </w:rPr>
            </w:pPr>
          </w:p>
          <w:p w:rsidR="00EB664B" w:rsidRPr="00EB664B" w:rsidRDefault="00EB664B" w:rsidP="0074152A">
            <w:pPr>
              <w:jc w:val="both"/>
              <w:rPr>
                <w:sz w:val="20"/>
                <w:szCs w:val="20"/>
                <w:lang w:val="fr-CA"/>
              </w:rPr>
            </w:pPr>
          </w:p>
        </w:tc>
        <w:tc>
          <w:tcPr>
            <w:tcW w:w="4327" w:type="dxa"/>
          </w:tcPr>
          <w:p w:rsidR="00EB664B" w:rsidRPr="00EB664B" w:rsidRDefault="00EB664B" w:rsidP="0074152A">
            <w:pPr>
              <w:jc w:val="both"/>
              <w:rPr>
                <w:b/>
                <w:sz w:val="20"/>
                <w:szCs w:val="20"/>
                <w:lang w:val="fr-CA"/>
              </w:rPr>
            </w:pP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r w:rsidRPr="00EB664B">
              <w:rPr>
                <w:b/>
                <w:bCs/>
                <w:sz w:val="20"/>
                <w:szCs w:val="20"/>
                <w:lang w:val="fr-CA"/>
              </w:rPr>
              <w:t>Ordonnance</w:t>
            </w:r>
          </w:p>
          <w:p w:rsidR="00EB664B" w:rsidRPr="00EB664B" w:rsidRDefault="00EB664B" w:rsidP="0074152A">
            <w:pPr>
              <w:jc w:val="both"/>
              <w:rPr>
                <w:b/>
                <w:sz w:val="20"/>
                <w:szCs w:val="20"/>
                <w:lang w:val="fr-CA"/>
              </w:rPr>
            </w:pP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r w:rsidRPr="00EB664B">
              <w:rPr>
                <w:b/>
                <w:sz w:val="20"/>
                <w:szCs w:val="20"/>
              </w:rPr>
              <w:fldChar w:fldCharType="begin"/>
            </w:r>
            <w:r w:rsidRPr="00EB664B">
              <w:rPr>
                <w:b/>
                <w:sz w:val="20"/>
                <w:szCs w:val="20"/>
                <w:lang w:val="fr-CA"/>
              </w:rPr>
              <w:instrText xml:space="preserve"> SEQ CHAPTER \h \r 1</w:instrText>
            </w:r>
            <w:r w:rsidRPr="00EB664B">
              <w:rPr>
                <w:b/>
                <w:sz w:val="20"/>
                <w:szCs w:val="20"/>
              </w:rPr>
              <w:fldChar w:fldCharType="end"/>
            </w:r>
          </w:p>
        </w:tc>
      </w:tr>
      <w:tr w:rsidR="00EB664B" w:rsidRPr="00EB664B" w:rsidTr="0074152A">
        <w:trPr>
          <w:trHeight w:val="150"/>
        </w:trPr>
        <w:tc>
          <w:tcPr>
            <w:tcW w:w="4338" w:type="dxa"/>
          </w:tcPr>
          <w:p w:rsidR="00EB664B" w:rsidRPr="00EB664B" w:rsidRDefault="00EB664B" w:rsidP="0074152A">
            <w:pPr>
              <w:tabs>
                <w:tab w:val="left" w:pos="-1440"/>
                <w:tab w:val="left" w:pos="-720"/>
              </w:tabs>
              <w:jc w:val="both"/>
              <w:rPr>
                <w:sz w:val="20"/>
                <w:szCs w:val="20"/>
              </w:rPr>
            </w:pPr>
            <w:r w:rsidRPr="00EB664B">
              <w:rPr>
                <w:sz w:val="20"/>
                <w:szCs w:val="20"/>
              </w:rPr>
              <w:t>BC Freedom of Information and Privacy Association</w:t>
            </w:r>
          </w:p>
          <w:p w:rsidR="00EB664B" w:rsidRPr="00EB664B" w:rsidRDefault="00EB664B" w:rsidP="0074152A">
            <w:pPr>
              <w:tabs>
                <w:tab w:val="left" w:pos="-1440"/>
                <w:tab w:val="left" w:pos="-720"/>
              </w:tabs>
              <w:jc w:val="both"/>
              <w:rPr>
                <w:sz w:val="20"/>
                <w:szCs w:val="20"/>
              </w:rPr>
            </w:pPr>
          </w:p>
          <w:p w:rsidR="00EB664B" w:rsidRPr="00EB664B" w:rsidRDefault="00EB664B" w:rsidP="0074152A">
            <w:pPr>
              <w:tabs>
                <w:tab w:val="left" w:pos="-1440"/>
                <w:tab w:val="left" w:pos="-720"/>
              </w:tabs>
              <w:jc w:val="both"/>
              <w:rPr>
                <w:sz w:val="20"/>
                <w:szCs w:val="20"/>
              </w:rPr>
            </w:pPr>
            <w:r w:rsidRPr="00EB664B">
              <w:rPr>
                <w:sz w:val="20"/>
                <w:szCs w:val="20"/>
              </w:rPr>
              <w:tab/>
              <w:t>v. (36495)</w:t>
            </w:r>
          </w:p>
          <w:p w:rsidR="00EB664B" w:rsidRPr="00EB664B" w:rsidRDefault="00EB664B" w:rsidP="0074152A">
            <w:pPr>
              <w:tabs>
                <w:tab w:val="left" w:pos="-1440"/>
                <w:tab w:val="left" w:pos="-720"/>
              </w:tabs>
              <w:jc w:val="both"/>
              <w:rPr>
                <w:sz w:val="20"/>
                <w:szCs w:val="20"/>
              </w:rPr>
            </w:pPr>
          </w:p>
          <w:p w:rsidR="00EB664B" w:rsidRPr="00EB664B" w:rsidRDefault="00EB664B" w:rsidP="0074152A">
            <w:pPr>
              <w:tabs>
                <w:tab w:val="left" w:pos="-1440"/>
                <w:tab w:val="left" w:pos="-720"/>
              </w:tabs>
              <w:jc w:val="both"/>
              <w:rPr>
                <w:sz w:val="20"/>
                <w:szCs w:val="20"/>
              </w:rPr>
            </w:pPr>
            <w:r w:rsidRPr="00EB664B">
              <w:rPr>
                <w:sz w:val="20"/>
                <w:szCs w:val="20"/>
              </w:rPr>
              <w:t>Attorney General of British Columbia (B.C.)</w:t>
            </w:r>
          </w:p>
        </w:tc>
        <w:tc>
          <w:tcPr>
            <w:tcW w:w="1170" w:type="dxa"/>
          </w:tcPr>
          <w:p w:rsidR="00EB664B" w:rsidRPr="00EB664B" w:rsidRDefault="00EB664B" w:rsidP="0074152A">
            <w:pPr>
              <w:jc w:val="both"/>
              <w:rPr>
                <w:sz w:val="20"/>
                <w:szCs w:val="20"/>
              </w:rPr>
            </w:pPr>
          </w:p>
        </w:tc>
        <w:tc>
          <w:tcPr>
            <w:tcW w:w="4327" w:type="dxa"/>
          </w:tcPr>
          <w:p w:rsidR="00EB664B" w:rsidRPr="00EB664B" w:rsidRDefault="00EB664B" w:rsidP="0074152A">
            <w:pPr>
              <w:jc w:val="both"/>
              <w:rPr>
                <w:sz w:val="20"/>
                <w:szCs w:val="20"/>
              </w:rPr>
            </w:pPr>
          </w:p>
        </w:tc>
      </w:tr>
    </w:tbl>
    <w:p w:rsidR="00EB664B" w:rsidRPr="00EB664B" w:rsidRDefault="00EB664B" w:rsidP="00EB664B">
      <w:pPr>
        <w:rPr>
          <w:sz w:val="20"/>
          <w:szCs w:val="20"/>
        </w:rPr>
      </w:pPr>
    </w:p>
    <w:p w:rsidR="00EB664B" w:rsidRPr="00EB664B" w:rsidRDefault="00EB664B" w:rsidP="004C1E78">
      <w:pPr>
        <w:jc w:val="both"/>
        <w:rPr>
          <w:sz w:val="20"/>
          <w:szCs w:val="20"/>
        </w:rPr>
      </w:pPr>
      <w:r w:rsidRPr="00EB664B">
        <w:rPr>
          <w:b/>
          <w:bCs/>
          <w:sz w:val="20"/>
          <w:szCs w:val="20"/>
        </w:rPr>
        <w:t xml:space="preserve">FURTHER TO THE ORDER </w:t>
      </w:r>
      <w:r w:rsidRPr="00EB664B">
        <w:rPr>
          <w:bCs/>
          <w:sz w:val="20"/>
          <w:szCs w:val="20"/>
        </w:rPr>
        <w:t>dated June 30, 2016, granting leave to intervene to the Canadian Civil Liberties Association and the British Columbia Civil Liberties Association;</w:t>
      </w:r>
    </w:p>
    <w:p w:rsidR="00EB664B" w:rsidRPr="00EB664B" w:rsidRDefault="00EB664B" w:rsidP="004C1E78">
      <w:pPr>
        <w:jc w:val="both"/>
        <w:rPr>
          <w:sz w:val="20"/>
          <w:szCs w:val="20"/>
        </w:rPr>
      </w:pPr>
    </w:p>
    <w:p w:rsidR="00EB664B" w:rsidRPr="00EB664B" w:rsidRDefault="00EB664B" w:rsidP="004C1E78">
      <w:pPr>
        <w:spacing w:line="233" w:lineRule="auto"/>
        <w:jc w:val="both"/>
        <w:rPr>
          <w:b/>
          <w:bCs/>
          <w:sz w:val="20"/>
          <w:szCs w:val="20"/>
        </w:rPr>
      </w:pPr>
      <w:r w:rsidRPr="00EB664B">
        <w:rPr>
          <w:b/>
          <w:bCs/>
          <w:sz w:val="20"/>
          <w:szCs w:val="20"/>
        </w:rPr>
        <w:t xml:space="preserve">IT IS HEREBY FURTHER ORDERED THAT: </w:t>
      </w:r>
    </w:p>
    <w:p w:rsidR="00EB664B" w:rsidRPr="00EB664B" w:rsidRDefault="00EB664B" w:rsidP="004C1E78">
      <w:pPr>
        <w:spacing w:line="233" w:lineRule="auto"/>
        <w:jc w:val="both"/>
        <w:rPr>
          <w:b/>
          <w:bCs/>
          <w:sz w:val="20"/>
          <w:szCs w:val="20"/>
        </w:rPr>
      </w:pPr>
    </w:p>
    <w:p w:rsidR="00EB664B" w:rsidRPr="00EB664B" w:rsidRDefault="00EB664B" w:rsidP="004C1E78">
      <w:pPr>
        <w:pStyle w:val="ListParagraph"/>
        <w:widowControl w:val="0"/>
        <w:numPr>
          <w:ilvl w:val="0"/>
          <w:numId w:val="7"/>
        </w:numPr>
        <w:autoSpaceDE w:val="0"/>
        <w:autoSpaceDN w:val="0"/>
        <w:adjustRightInd w:val="0"/>
        <w:spacing w:line="233" w:lineRule="auto"/>
        <w:jc w:val="both"/>
        <w:rPr>
          <w:rFonts w:cs="Times New Roman"/>
          <w:bCs/>
          <w:sz w:val="20"/>
          <w:szCs w:val="20"/>
        </w:rPr>
      </w:pPr>
      <w:r w:rsidRPr="00EB664B">
        <w:rPr>
          <w:rFonts w:cs="Times New Roman"/>
          <w:bCs/>
          <w:sz w:val="20"/>
          <w:szCs w:val="20"/>
        </w:rPr>
        <w:t>The said interveners are each granted permission to present oral argument not exceeding ten (10) minutes at the hearing of the appeals.</w:t>
      </w:r>
    </w:p>
    <w:p w:rsidR="00EB664B" w:rsidRPr="00EB664B" w:rsidRDefault="00EB664B" w:rsidP="004C1E78">
      <w:pPr>
        <w:spacing w:line="233" w:lineRule="auto"/>
        <w:jc w:val="both"/>
        <w:rPr>
          <w:bCs/>
          <w:sz w:val="20"/>
          <w:szCs w:val="20"/>
        </w:rPr>
      </w:pPr>
    </w:p>
    <w:p w:rsidR="00EB664B" w:rsidRPr="00EB664B" w:rsidRDefault="00EB664B" w:rsidP="004C1E78">
      <w:pPr>
        <w:pStyle w:val="ListParagraph"/>
        <w:widowControl w:val="0"/>
        <w:numPr>
          <w:ilvl w:val="0"/>
          <w:numId w:val="7"/>
        </w:numPr>
        <w:autoSpaceDE w:val="0"/>
        <w:autoSpaceDN w:val="0"/>
        <w:adjustRightInd w:val="0"/>
        <w:spacing w:line="233" w:lineRule="auto"/>
        <w:jc w:val="both"/>
        <w:rPr>
          <w:rFonts w:cs="Times New Roman"/>
          <w:bCs/>
          <w:sz w:val="20"/>
          <w:szCs w:val="20"/>
        </w:rPr>
      </w:pPr>
      <w:r w:rsidRPr="00EB664B">
        <w:rPr>
          <w:rFonts w:cs="Times New Roman"/>
          <w:bCs/>
          <w:sz w:val="20"/>
          <w:szCs w:val="20"/>
        </w:rPr>
        <w:t>The Attorney General of Canada, the Attorney General of Ontario and the Attorney General of Quebec are each granted permission to present oral argument not exceeding ten (10) minutes at the hearing of the appeals.</w:t>
      </w:r>
    </w:p>
    <w:p w:rsidR="00EB664B" w:rsidRPr="00EB664B" w:rsidRDefault="00EB664B" w:rsidP="004C1E78">
      <w:pPr>
        <w:pStyle w:val="ListParagraph"/>
        <w:spacing w:line="232" w:lineRule="auto"/>
        <w:jc w:val="both"/>
        <w:rPr>
          <w:rFonts w:cs="Times New Roman"/>
          <w:b/>
          <w:bCs/>
          <w:sz w:val="20"/>
          <w:szCs w:val="20"/>
        </w:rPr>
      </w:pPr>
    </w:p>
    <w:p w:rsidR="00EB664B" w:rsidRPr="00EB664B" w:rsidRDefault="00EB664B" w:rsidP="004C1E78">
      <w:pPr>
        <w:spacing w:line="232" w:lineRule="auto"/>
        <w:jc w:val="both"/>
        <w:rPr>
          <w:bCs/>
          <w:sz w:val="20"/>
          <w:szCs w:val="20"/>
        </w:rPr>
      </w:pPr>
    </w:p>
    <w:p w:rsidR="00EB664B" w:rsidRPr="00EB664B" w:rsidRDefault="00EB664B" w:rsidP="004C1E78">
      <w:pPr>
        <w:spacing w:line="232" w:lineRule="auto"/>
        <w:jc w:val="both"/>
        <w:rPr>
          <w:sz w:val="20"/>
          <w:szCs w:val="20"/>
          <w:lang w:val="fr-FR"/>
        </w:rPr>
      </w:pPr>
      <w:r w:rsidRPr="00EB664B">
        <w:rPr>
          <w:b/>
          <w:sz w:val="20"/>
          <w:szCs w:val="20"/>
          <w:lang w:val="fr-CA"/>
        </w:rPr>
        <w:t>À LA SUITE DE L’ORDONNANCE</w:t>
      </w:r>
      <w:r w:rsidRPr="00EB664B">
        <w:rPr>
          <w:sz w:val="20"/>
          <w:szCs w:val="20"/>
          <w:lang w:val="fr-CA"/>
        </w:rPr>
        <w:t xml:space="preserve"> datée du </w:t>
      </w:r>
      <w:r w:rsidRPr="00EB664B">
        <w:rPr>
          <w:sz w:val="20"/>
          <w:szCs w:val="20"/>
          <w:lang w:val="fr-FR"/>
        </w:rPr>
        <w:t>30 juin 2016, autorisant l’Association canadienne des libertés et l’Association des libertés civiles de la Colombie-Britannique, à intervenir;</w:t>
      </w:r>
    </w:p>
    <w:p w:rsidR="00EB664B" w:rsidRPr="00EB664B" w:rsidRDefault="00EB664B" w:rsidP="004C1E78">
      <w:pPr>
        <w:spacing w:line="228" w:lineRule="auto"/>
        <w:ind w:left="-23"/>
        <w:jc w:val="both"/>
        <w:rPr>
          <w:b/>
          <w:bCs/>
          <w:sz w:val="20"/>
          <w:szCs w:val="20"/>
          <w:lang w:val="fr-CA"/>
        </w:rPr>
      </w:pPr>
    </w:p>
    <w:p w:rsidR="00EB664B" w:rsidRPr="00EB664B" w:rsidRDefault="00EB664B" w:rsidP="004C1E78">
      <w:pPr>
        <w:spacing w:line="228" w:lineRule="auto"/>
        <w:ind w:left="-23"/>
        <w:jc w:val="both"/>
        <w:rPr>
          <w:b/>
          <w:bCs/>
          <w:sz w:val="20"/>
          <w:szCs w:val="20"/>
          <w:lang w:val="fr-CA"/>
        </w:rPr>
      </w:pPr>
      <w:r w:rsidRPr="00EB664B">
        <w:rPr>
          <w:b/>
          <w:bCs/>
          <w:sz w:val="20"/>
          <w:szCs w:val="20"/>
          <w:lang w:val="fr-CA"/>
        </w:rPr>
        <w:t xml:space="preserve">IL EST EN OUTRE ORDONNÉ QUE : </w:t>
      </w:r>
    </w:p>
    <w:p w:rsidR="00EB664B" w:rsidRPr="00EB664B" w:rsidRDefault="00EB664B" w:rsidP="004C1E78">
      <w:pPr>
        <w:spacing w:line="228" w:lineRule="auto"/>
        <w:ind w:left="-23"/>
        <w:jc w:val="both"/>
        <w:rPr>
          <w:b/>
          <w:bCs/>
          <w:sz w:val="20"/>
          <w:szCs w:val="20"/>
          <w:lang w:val="fr-CA"/>
        </w:rPr>
      </w:pPr>
    </w:p>
    <w:p w:rsidR="00EB664B" w:rsidRPr="00EB664B" w:rsidRDefault="00EB664B" w:rsidP="004C1E7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cs="Times New Roman"/>
          <w:b/>
          <w:bCs/>
          <w:sz w:val="20"/>
          <w:szCs w:val="20"/>
          <w:lang w:val="fr-CA"/>
        </w:rPr>
      </w:pPr>
      <w:r w:rsidRPr="00EB664B">
        <w:rPr>
          <w:rFonts w:cs="Times New Roman"/>
          <w:sz w:val="20"/>
          <w:szCs w:val="20"/>
          <w:lang w:val="fr-CA"/>
        </w:rPr>
        <w:t>Ces intervenantes auront chacun le droit de présenter une plaidoirie orale d’au plus dix (10) minutes lors de l’audition de l’appel.</w:t>
      </w:r>
    </w:p>
    <w:p w:rsidR="00EB664B" w:rsidRPr="00EB664B" w:rsidRDefault="00EB664B" w:rsidP="004C1E78">
      <w:pPr>
        <w:ind w:left="360"/>
        <w:jc w:val="both"/>
        <w:rPr>
          <w:sz w:val="20"/>
          <w:szCs w:val="20"/>
          <w:lang w:val="fr-CA"/>
        </w:rPr>
      </w:pPr>
    </w:p>
    <w:p w:rsidR="00EB664B" w:rsidRPr="00EB664B" w:rsidRDefault="00EB664B" w:rsidP="004C1E7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szCs w:val="20"/>
          <w:lang w:val="fr-CA"/>
        </w:rPr>
      </w:pPr>
      <w:r w:rsidRPr="00EB664B">
        <w:rPr>
          <w:rFonts w:cs="Times New Roman"/>
          <w:bCs/>
          <w:sz w:val="20"/>
          <w:szCs w:val="20"/>
          <w:lang w:val="fr-CA"/>
        </w:rPr>
        <w:t xml:space="preserve">Le </w:t>
      </w:r>
      <w:r w:rsidRPr="00EB664B">
        <w:rPr>
          <w:rFonts w:cs="Times New Roman"/>
          <w:sz w:val="20"/>
          <w:szCs w:val="20"/>
          <w:lang w:val="fr-CA"/>
        </w:rPr>
        <w:t>Procureur général du Canada, le Procureur général de l’Ontario et la Procureure générale du Québec auront chacun le droit de présenter une plaidoirie orale d’au plus dix (10) minutes lors de l’audition des appels.</w:t>
      </w:r>
    </w:p>
    <w:p w:rsidR="00EB664B" w:rsidRPr="00EB664B" w:rsidRDefault="00EB664B" w:rsidP="00EB664B">
      <w:pPr>
        <w:rPr>
          <w:sz w:val="20"/>
          <w:szCs w:val="20"/>
          <w:lang w:val="fr-CA"/>
        </w:rPr>
      </w:pPr>
    </w:p>
    <w:p w:rsidR="00EB664B" w:rsidRPr="00EB664B" w:rsidRDefault="00CB2D37" w:rsidP="00EB664B">
      <w:pPr>
        <w:rPr>
          <w:sz w:val="20"/>
          <w:szCs w:val="20"/>
          <w:lang w:val="fr-CA"/>
        </w:rPr>
      </w:pPr>
      <w:r>
        <w:rPr>
          <w:sz w:val="20"/>
          <w:szCs w:val="20"/>
          <w:lang w:val="fr-CA"/>
        </w:rPr>
        <w:pict>
          <v:rect id="_x0000_i1073" style="width:2in;height:1pt" o:hrpct="0" o:hralign="center" o:hrstd="t" o:hrnoshade="t" o:hr="t" fillcolor="black [3213]" stroked="f"/>
        </w:pict>
      </w:r>
    </w:p>
    <w:p w:rsidR="00EB664B" w:rsidRPr="00EB664B" w:rsidRDefault="00EB664B" w:rsidP="00EB664B">
      <w:pPr>
        <w:rPr>
          <w:sz w:val="20"/>
          <w:szCs w:val="20"/>
          <w:lang w:val="fr-CA"/>
        </w:rPr>
      </w:pPr>
    </w:p>
    <w:p w:rsidR="0086620F" w:rsidRDefault="0086620F">
      <w:pPr>
        <w:rPr>
          <w:sz w:val="20"/>
          <w:szCs w:val="20"/>
          <w:lang w:val="fr-CA"/>
        </w:rPr>
      </w:pPr>
      <w:r>
        <w:rPr>
          <w:sz w:val="20"/>
          <w:szCs w:val="20"/>
          <w:lang w:val="fr-CA"/>
        </w:rPr>
        <w:br w:type="page"/>
      </w:r>
    </w:p>
    <w:p w:rsidR="00EB664B" w:rsidRPr="00EB664B" w:rsidRDefault="00EB664B" w:rsidP="00EB664B">
      <w:pPr>
        <w:tabs>
          <w:tab w:val="left" w:pos="-1440"/>
          <w:tab w:val="left" w:pos="-720"/>
        </w:tabs>
        <w:jc w:val="both"/>
        <w:rPr>
          <w:sz w:val="20"/>
          <w:szCs w:val="20"/>
          <w:lang w:val="fr-CA"/>
        </w:rPr>
      </w:pPr>
      <w:r w:rsidRPr="00EB664B">
        <w:rPr>
          <w:sz w:val="20"/>
          <w:szCs w:val="20"/>
          <w:lang w:val="fr-CA"/>
        </w:rPr>
        <w:lastRenderedPageBreak/>
        <w:t>20.09.2016</w:t>
      </w:r>
    </w:p>
    <w:p w:rsidR="00EB664B" w:rsidRPr="00EB664B" w:rsidRDefault="00EB664B" w:rsidP="00EB664B">
      <w:pPr>
        <w:tabs>
          <w:tab w:val="left" w:pos="-1440"/>
          <w:tab w:val="left" w:pos="-720"/>
        </w:tabs>
        <w:jc w:val="both"/>
        <w:rPr>
          <w:sz w:val="20"/>
          <w:szCs w:val="20"/>
          <w:lang w:val="fr-CA"/>
        </w:rPr>
      </w:pPr>
    </w:p>
    <w:p w:rsidR="00EB664B" w:rsidRPr="00EB664B" w:rsidRDefault="00EB664B" w:rsidP="00EB664B">
      <w:pPr>
        <w:tabs>
          <w:tab w:val="left" w:pos="-1440"/>
          <w:tab w:val="left" w:pos="-720"/>
        </w:tabs>
        <w:jc w:val="both"/>
        <w:rPr>
          <w:sz w:val="20"/>
          <w:szCs w:val="20"/>
          <w:lang w:val="fr-CA"/>
        </w:rPr>
      </w:pPr>
      <w:r w:rsidRPr="00EB664B">
        <w:rPr>
          <w:sz w:val="20"/>
          <w:szCs w:val="20"/>
          <w:lang w:val="fr-CA"/>
        </w:rPr>
        <w:t>Before / Devant :   CÔTÉ J. / LA JUGE CÔTÉ</w:t>
      </w:r>
    </w:p>
    <w:p w:rsidR="00EB664B" w:rsidRPr="00EB664B" w:rsidRDefault="00EB664B" w:rsidP="00EB664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EB664B" w:rsidRPr="00EB664B" w:rsidTr="0074152A">
        <w:tc>
          <w:tcPr>
            <w:tcW w:w="4240" w:type="dxa"/>
            <w:gridSpan w:val="2"/>
          </w:tcPr>
          <w:p w:rsidR="00EB664B" w:rsidRPr="00EB664B" w:rsidRDefault="00EB664B" w:rsidP="0074152A">
            <w:pPr>
              <w:rPr>
                <w:b/>
                <w:sz w:val="20"/>
                <w:szCs w:val="20"/>
              </w:rPr>
            </w:pPr>
            <w:r w:rsidRPr="00EB664B">
              <w:rPr>
                <w:b/>
                <w:sz w:val="20"/>
                <w:szCs w:val="20"/>
              </w:rPr>
              <w:t>Motions for leave to intervene</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c>
          <w:tcPr>
            <w:tcW w:w="1142" w:type="dxa"/>
          </w:tcPr>
          <w:p w:rsidR="00EB664B" w:rsidRPr="00EB664B" w:rsidRDefault="00EB664B" w:rsidP="0074152A">
            <w:pPr>
              <w:rPr>
                <w:sz w:val="20"/>
                <w:szCs w:val="20"/>
              </w:rPr>
            </w:pPr>
          </w:p>
          <w:p w:rsidR="00EB664B" w:rsidRPr="00EB664B" w:rsidRDefault="00EB664B" w:rsidP="0074152A">
            <w:pPr>
              <w:rPr>
                <w:sz w:val="20"/>
                <w:szCs w:val="20"/>
              </w:rPr>
            </w:pPr>
          </w:p>
        </w:tc>
        <w:tc>
          <w:tcPr>
            <w:tcW w:w="4237" w:type="dxa"/>
          </w:tcPr>
          <w:p w:rsidR="00EB664B" w:rsidRPr="00EB664B" w:rsidRDefault="00EB664B" w:rsidP="0074152A">
            <w:pPr>
              <w:rPr>
                <w:b/>
                <w:sz w:val="20"/>
                <w:szCs w:val="20"/>
              </w:rPr>
            </w:pPr>
            <w:r w:rsidRPr="00EB664B">
              <w:rPr>
                <w:b/>
                <w:bCs/>
                <w:sz w:val="20"/>
                <w:szCs w:val="20"/>
                <w:lang w:val="fr-CA"/>
              </w:rPr>
              <w:t>Requêtes en autorisation d’intervenir</w:t>
            </w:r>
            <w:r w:rsidRPr="00EB664B">
              <w:rPr>
                <w:sz w:val="20"/>
                <w:szCs w:val="20"/>
              </w:rPr>
              <w:t xml:space="preserve"> </w:t>
            </w: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p>
        </w:tc>
      </w:tr>
      <w:tr w:rsidR="00EB664B" w:rsidRPr="00EB664B" w:rsidTr="0074152A">
        <w:tc>
          <w:tcPr>
            <w:tcW w:w="1350" w:type="dxa"/>
          </w:tcPr>
          <w:p w:rsidR="00EB664B" w:rsidRPr="00EB664B" w:rsidRDefault="00EB664B" w:rsidP="0074152A">
            <w:pPr>
              <w:rPr>
                <w:sz w:val="20"/>
                <w:szCs w:val="20"/>
              </w:rPr>
            </w:pPr>
            <w:r w:rsidRPr="00EB664B">
              <w:rPr>
                <w:sz w:val="20"/>
                <w:szCs w:val="20"/>
              </w:rPr>
              <w:t>BY / PAR</w:t>
            </w:r>
          </w:p>
        </w:tc>
        <w:tc>
          <w:tcPr>
            <w:tcW w:w="2890" w:type="dxa"/>
          </w:tcPr>
          <w:p w:rsidR="00EB664B" w:rsidRPr="00EB664B" w:rsidRDefault="00EB664B" w:rsidP="0074152A">
            <w:pPr>
              <w:rPr>
                <w:sz w:val="20"/>
                <w:szCs w:val="20"/>
              </w:rPr>
            </w:pPr>
            <w:r w:rsidRPr="00EB664B">
              <w:rPr>
                <w:sz w:val="20"/>
                <w:szCs w:val="20"/>
              </w:rPr>
              <w:t>Attorney General of Québec</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Attorney General of Alberta</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Canadian Association of Chiefs of Police</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r w:rsidRPr="00EB664B">
              <w:rPr>
                <w:sz w:val="20"/>
                <w:szCs w:val="20"/>
              </w:rPr>
              <w:t>Criminal Lawyers’ Association (Ontario)</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p>
        </w:tc>
        <w:tc>
          <w:tcPr>
            <w:tcW w:w="2890" w:type="dxa"/>
          </w:tcPr>
          <w:p w:rsidR="00EB664B" w:rsidRPr="00EB664B" w:rsidRDefault="00EB664B" w:rsidP="0074152A">
            <w:pPr>
              <w:rPr>
                <w:sz w:val="20"/>
                <w:szCs w:val="20"/>
              </w:rPr>
            </w:pP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r w:rsidR="00EB664B" w:rsidRPr="00EB664B" w:rsidTr="0074152A">
        <w:tc>
          <w:tcPr>
            <w:tcW w:w="1350" w:type="dxa"/>
          </w:tcPr>
          <w:p w:rsidR="00EB664B" w:rsidRPr="00EB664B" w:rsidRDefault="00EB664B" w:rsidP="0074152A">
            <w:pPr>
              <w:rPr>
                <w:sz w:val="20"/>
                <w:szCs w:val="20"/>
              </w:rPr>
            </w:pPr>
            <w:r w:rsidRPr="00EB664B">
              <w:rPr>
                <w:sz w:val="20"/>
                <w:szCs w:val="20"/>
              </w:rPr>
              <w:t>IN / DANS :</w:t>
            </w:r>
          </w:p>
        </w:tc>
        <w:tc>
          <w:tcPr>
            <w:tcW w:w="2890" w:type="dxa"/>
          </w:tcPr>
          <w:p w:rsidR="00EB664B" w:rsidRPr="00EB664B" w:rsidRDefault="00EB664B" w:rsidP="0074152A">
            <w:pPr>
              <w:rPr>
                <w:sz w:val="20"/>
                <w:szCs w:val="20"/>
              </w:rPr>
            </w:pPr>
            <w:r w:rsidRPr="00EB664B">
              <w:rPr>
                <w:sz w:val="20"/>
                <w:szCs w:val="20"/>
              </w:rPr>
              <w:t>Frederick Allen Clark</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ab/>
              <w:t>v. (36813)</w:t>
            </w:r>
          </w:p>
          <w:p w:rsidR="00EB664B" w:rsidRPr="00EB664B" w:rsidRDefault="00EB664B" w:rsidP="0074152A">
            <w:pPr>
              <w:rPr>
                <w:sz w:val="20"/>
                <w:szCs w:val="20"/>
              </w:rPr>
            </w:pPr>
          </w:p>
          <w:p w:rsidR="00EB664B" w:rsidRPr="00EB664B" w:rsidRDefault="00EB664B" w:rsidP="0074152A">
            <w:pPr>
              <w:rPr>
                <w:sz w:val="20"/>
                <w:szCs w:val="20"/>
              </w:rPr>
            </w:pPr>
            <w:r w:rsidRPr="00EB664B">
              <w:rPr>
                <w:sz w:val="20"/>
                <w:szCs w:val="20"/>
              </w:rPr>
              <w:t>Her Majesty the Queen (B.C.)</w:t>
            </w:r>
          </w:p>
        </w:tc>
        <w:tc>
          <w:tcPr>
            <w:tcW w:w="1142" w:type="dxa"/>
          </w:tcPr>
          <w:p w:rsidR="00EB664B" w:rsidRPr="00EB664B" w:rsidRDefault="00EB664B" w:rsidP="0074152A">
            <w:pPr>
              <w:rPr>
                <w:sz w:val="20"/>
                <w:szCs w:val="20"/>
              </w:rPr>
            </w:pPr>
          </w:p>
        </w:tc>
        <w:tc>
          <w:tcPr>
            <w:tcW w:w="4237" w:type="dxa"/>
          </w:tcPr>
          <w:p w:rsidR="00EB664B" w:rsidRPr="00EB664B" w:rsidRDefault="00EB664B" w:rsidP="0074152A">
            <w:pPr>
              <w:rPr>
                <w:sz w:val="20"/>
                <w:szCs w:val="20"/>
              </w:rPr>
            </w:pPr>
          </w:p>
        </w:tc>
      </w:tr>
    </w:tbl>
    <w:p w:rsidR="0086620F" w:rsidRDefault="0086620F" w:rsidP="00EB664B">
      <w:pPr>
        <w:tabs>
          <w:tab w:val="left" w:pos="-1440"/>
          <w:tab w:val="left" w:pos="-720"/>
        </w:tabs>
        <w:jc w:val="both"/>
        <w:rPr>
          <w:b/>
          <w:sz w:val="20"/>
          <w:szCs w:val="20"/>
        </w:rPr>
      </w:pPr>
    </w:p>
    <w:p w:rsidR="00EB664B" w:rsidRPr="00EB664B" w:rsidRDefault="00EB664B" w:rsidP="00EB664B">
      <w:pPr>
        <w:tabs>
          <w:tab w:val="left" w:pos="-1440"/>
          <w:tab w:val="left" w:pos="-720"/>
        </w:tabs>
        <w:jc w:val="both"/>
        <w:rPr>
          <w:sz w:val="20"/>
          <w:szCs w:val="20"/>
        </w:rPr>
      </w:pPr>
      <w:r w:rsidRPr="00EB664B">
        <w:rPr>
          <w:b/>
          <w:sz w:val="20"/>
          <w:szCs w:val="20"/>
        </w:rPr>
        <w:t>GRANTED / ACCORDÉES</w:t>
      </w:r>
    </w:p>
    <w:p w:rsidR="00EB664B" w:rsidRPr="00EB664B" w:rsidRDefault="00EB664B" w:rsidP="00EB664B">
      <w:pPr>
        <w:rPr>
          <w:sz w:val="20"/>
          <w:szCs w:val="20"/>
        </w:rPr>
      </w:pPr>
    </w:p>
    <w:p w:rsidR="00EB664B" w:rsidRPr="00EB664B" w:rsidRDefault="00EB664B" w:rsidP="004C1E78">
      <w:pPr>
        <w:spacing w:line="233" w:lineRule="auto"/>
        <w:jc w:val="both"/>
        <w:rPr>
          <w:sz w:val="20"/>
          <w:szCs w:val="20"/>
        </w:rPr>
      </w:pPr>
      <w:r w:rsidRPr="00EB664B">
        <w:rPr>
          <w:b/>
          <w:bCs/>
          <w:sz w:val="20"/>
          <w:szCs w:val="20"/>
        </w:rPr>
        <w:t xml:space="preserve">UPON APPLICATIONS </w:t>
      </w:r>
      <w:r w:rsidRPr="00EB664B">
        <w:rPr>
          <w:sz w:val="20"/>
          <w:szCs w:val="20"/>
        </w:rPr>
        <w:t>by the Attorney General of Québec, the Attorney General of Alberta, the Canadian Association of Chiefs of Police and the Criminal Lawyers’ Association (Ontario) for leave to intervene in the above appeal;</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AND THE MATERIAL FILED</w:t>
      </w:r>
      <w:r w:rsidRPr="00EB664B">
        <w:rPr>
          <w:sz w:val="20"/>
          <w:szCs w:val="20"/>
        </w:rPr>
        <w:t xml:space="preserve"> having been read;</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b/>
          <w:bCs/>
          <w:sz w:val="20"/>
          <w:szCs w:val="20"/>
        </w:rPr>
        <w:t>IT IS HEREBY ORDERED THAT:</w:t>
      </w:r>
    </w:p>
    <w:p w:rsidR="00EB664B" w:rsidRPr="00EB664B" w:rsidRDefault="00EB664B" w:rsidP="004C1E78">
      <w:pPr>
        <w:spacing w:line="233" w:lineRule="auto"/>
        <w:jc w:val="both"/>
        <w:rPr>
          <w:sz w:val="20"/>
          <w:szCs w:val="20"/>
        </w:rPr>
      </w:pPr>
    </w:p>
    <w:p w:rsidR="00EB664B" w:rsidRPr="00EB664B" w:rsidRDefault="00EB664B" w:rsidP="004C1E78">
      <w:pPr>
        <w:spacing w:line="232" w:lineRule="auto"/>
        <w:jc w:val="both"/>
        <w:rPr>
          <w:sz w:val="20"/>
          <w:szCs w:val="20"/>
        </w:rPr>
      </w:pPr>
      <w:r w:rsidRPr="00EB664B">
        <w:rPr>
          <w:sz w:val="20"/>
          <w:szCs w:val="20"/>
        </w:rPr>
        <w:t>The motions for leave to intervene are granted and the said four (4) interveners shall be entitled to each serve and file a factum not to exceed ten (10) pages in length on or before November 14, 2016.</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fldChar w:fldCharType="begin"/>
      </w:r>
      <w:r w:rsidRPr="00EB664B">
        <w:rPr>
          <w:sz w:val="20"/>
          <w:szCs w:val="20"/>
        </w:rPr>
        <w:instrText xml:space="preserve"> SEQ CHAPTER \h \r 1</w:instrText>
      </w:r>
      <w:r w:rsidRPr="00EB664B">
        <w:rPr>
          <w:sz w:val="20"/>
          <w:szCs w:val="20"/>
        </w:rPr>
        <w:fldChar w:fldCharType="end"/>
      </w:r>
      <w:r w:rsidRPr="00EB664B">
        <w:rPr>
          <w:sz w:val="20"/>
          <w:szCs w:val="20"/>
        </w:rPr>
        <w:t>The requests to present oral argument are deferred to a date following receipt and consideration of the written arguments of the parties and the interveners.</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r w:rsidRPr="00EB664B">
        <w:rPr>
          <w:sz w:val="20"/>
          <w:szCs w:val="20"/>
        </w:rPr>
        <w:t>The interveners are not entitled to raise new issues or to adduce further evidence or otherwise to supplement the record of the parties.</w:t>
      </w:r>
    </w:p>
    <w:p w:rsidR="00EB664B" w:rsidRPr="00EB664B" w:rsidRDefault="00EB664B" w:rsidP="004C1E78">
      <w:pPr>
        <w:spacing w:line="233" w:lineRule="auto"/>
        <w:jc w:val="both"/>
        <w:rPr>
          <w:b/>
          <w:sz w:val="20"/>
          <w:szCs w:val="20"/>
        </w:rPr>
      </w:pPr>
    </w:p>
    <w:p w:rsidR="00EB664B" w:rsidRPr="00EB664B" w:rsidRDefault="00EB664B" w:rsidP="004C1E78">
      <w:pPr>
        <w:spacing w:line="233" w:lineRule="auto"/>
        <w:jc w:val="both"/>
        <w:rPr>
          <w:sz w:val="20"/>
          <w:szCs w:val="20"/>
        </w:rPr>
      </w:pPr>
      <w:r w:rsidRPr="00EB664B">
        <w:rPr>
          <w:sz w:val="20"/>
          <w:szCs w:val="20"/>
        </w:rPr>
        <w:t>Pursuant to Rule 59(1)(</w:t>
      </w:r>
      <w:r w:rsidRPr="00EB664B">
        <w:rPr>
          <w:i/>
          <w:iCs/>
          <w:sz w:val="20"/>
          <w:szCs w:val="20"/>
        </w:rPr>
        <w:t>a</w:t>
      </w:r>
      <w:r w:rsidRPr="00EB664B">
        <w:rPr>
          <w:sz w:val="20"/>
          <w:szCs w:val="20"/>
        </w:rPr>
        <w:t xml:space="preserve">) of the </w:t>
      </w:r>
      <w:r w:rsidRPr="00EB664B">
        <w:rPr>
          <w:i/>
          <w:iCs/>
          <w:sz w:val="20"/>
          <w:szCs w:val="20"/>
        </w:rPr>
        <w:t>Rules of the Supreme Court of Canada</w:t>
      </w:r>
      <w:r w:rsidRPr="00EB664B">
        <w:rPr>
          <w:sz w:val="20"/>
          <w:szCs w:val="20"/>
        </w:rPr>
        <w:t xml:space="preserve">, the interveners shall pay to the appellant and respondent any additional disbursements occasioned to the appellant and respondent by their interventions. </w:t>
      </w: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rPr>
      </w:pPr>
    </w:p>
    <w:p w:rsidR="00EB664B" w:rsidRPr="00EB664B" w:rsidRDefault="00EB664B" w:rsidP="004C1E78">
      <w:pPr>
        <w:spacing w:line="233" w:lineRule="auto"/>
        <w:jc w:val="both"/>
        <w:rPr>
          <w:sz w:val="20"/>
          <w:szCs w:val="20"/>
          <w:lang w:val="fr-FR"/>
        </w:rPr>
      </w:pPr>
      <w:r w:rsidRPr="00EB664B">
        <w:rPr>
          <w:b/>
          <w:sz w:val="20"/>
          <w:szCs w:val="20"/>
          <w:lang w:val="fr-FR"/>
        </w:rPr>
        <w:t>À LA SUITE DES DEMANDES</w:t>
      </w:r>
      <w:r w:rsidRPr="00EB664B">
        <w:rPr>
          <w:sz w:val="20"/>
          <w:szCs w:val="20"/>
          <w:lang w:val="fr-FR"/>
        </w:rPr>
        <w:t xml:space="preserve"> présentées par la Procureure générale du Québec, le Procureur général de l’Alberta, l’Association canadienne des chefs de police et la </w:t>
      </w:r>
      <w:r w:rsidRPr="00EB664B">
        <w:rPr>
          <w:sz w:val="20"/>
          <w:szCs w:val="20"/>
          <w:lang w:val="fr-CA"/>
        </w:rPr>
        <w:t xml:space="preserve">Criminal Lawyers’ Association (Ontario) </w:t>
      </w:r>
      <w:r w:rsidRPr="00EB664B">
        <w:rPr>
          <w:sz w:val="20"/>
          <w:szCs w:val="20"/>
          <w:lang w:val="fr-FR"/>
        </w:rPr>
        <w:t xml:space="preserve">pour permission d’intervenir dans l’appel; </w:t>
      </w:r>
    </w:p>
    <w:p w:rsidR="00EB664B" w:rsidRPr="00EB664B" w:rsidRDefault="00EB664B" w:rsidP="004C1E78">
      <w:pPr>
        <w:spacing w:line="233" w:lineRule="auto"/>
        <w:jc w:val="both"/>
        <w:rPr>
          <w:sz w:val="20"/>
          <w:szCs w:val="20"/>
          <w:lang w:val="fr-FR"/>
        </w:rPr>
      </w:pPr>
    </w:p>
    <w:p w:rsidR="00EB664B" w:rsidRPr="00EB664B" w:rsidRDefault="00EB664B" w:rsidP="004C1E78">
      <w:pPr>
        <w:spacing w:line="233" w:lineRule="auto"/>
        <w:jc w:val="both"/>
        <w:rPr>
          <w:sz w:val="20"/>
          <w:szCs w:val="20"/>
          <w:lang w:val="fr-CA"/>
        </w:rPr>
      </w:pPr>
      <w:r w:rsidRPr="00EB664B">
        <w:rPr>
          <w:b/>
          <w:sz w:val="20"/>
          <w:szCs w:val="20"/>
          <w:lang w:val="fr-CA"/>
        </w:rPr>
        <w:t>ET APRÈS EXAMEN</w:t>
      </w:r>
      <w:r w:rsidRPr="00EB664B">
        <w:rPr>
          <w:sz w:val="20"/>
          <w:szCs w:val="20"/>
          <w:lang w:val="fr-CA"/>
        </w:rPr>
        <w:t xml:space="preserve"> des documents déposés; </w:t>
      </w:r>
    </w:p>
    <w:p w:rsidR="00EB664B" w:rsidRPr="00EB664B" w:rsidRDefault="00EB664B" w:rsidP="004C1E78">
      <w:pPr>
        <w:spacing w:line="233" w:lineRule="auto"/>
        <w:jc w:val="both"/>
        <w:rPr>
          <w:sz w:val="20"/>
          <w:szCs w:val="20"/>
          <w:lang w:val="fr-CA"/>
        </w:rPr>
      </w:pPr>
    </w:p>
    <w:p w:rsidR="00EB664B" w:rsidRPr="00EB664B" w:rsidRDefault="00EB664B" w:rsidP="004C1E78">
      <w:pPr>
        <w:spacing w:line="233" w:lineRule="auto"/>
        <w:jc w:val="both"/>
        <w:rPr>
          <w:sz w:val="20"/>
          <w:szCs w:val="20"/>
          <w:lang w:val="fr-CA"/>
        </w:rPr>
      </w:pPr>
      <w:r w:rsidRPr="00EB664B">
        <w:rPr>
          <w:b/>
          <w:sz w:val="20"/>
          <w:szCs w:val="20"/>
          <w:lang w:val="fr-CA"/>
        </w:rPr>
        <w:t>IL EST PAR LA PRÉSENTE ORDONNÉ CE QUI SUIT</w:t>
      </w:r>
      <w:r w:rsidRPr="00EB664B">
        <w:rPr>
          <w:sz w:val="20"/>
          <w:szCs w:val="20"/>
          <w:lang w:val="fr-CA"/>
        </w:rPr>
        <w:t xml:space="preserve"> : </w:t>
      </w:r>
    </w:p>
    <w:p w:rsidR="00EB664B" w:rsidRPr="00EB664B" w:rsidRDefault="00EB664B" w:rsidP="00EB664B">
      <w:pPr>
        <w:spacing w:line="233" w:lineRule="auto"/>
        <w:jc w:val="both"/>
        <w:rPr>
          <w:sz w:val="20"/>
          <w:szCs w:val="20"/>
          <w:lang w:val="fr-CA"/>
        </w:rPr>
      </w:pPr>
    </w:p>
    <w:p w:rsidR="00EB664B" w:rsidRPr="00EB664B" w:rsidRDefault="00EB664B" w:rsidP="004C1E78">
      <w:pPr>
        <w:jc w:val="both"/>
        <w:rPr>
          <w:sz w:val="20"/>
          <w:szCs w:val="20"/>
          <w:lang w:val="fr-FR"/>
        </w:rPr>
      </w:pPr>
      <w:r w:rsidRPr="00EB664B">
        <w:rPr>
          <w:sz w:val="20"/>
          <w:szCs w:val="20"/>
          <w:lang w:val="fr-FR"/>
        </w:rPr>
        <w:t>Les requêtes pour permission d’intervenir sont accueillies et chacun de ces quatre (4) intervenants pourra signifier et déposer un mémoire d’au plus dix (10) pages au plus tard le 14 novembre 2016.</w:t>
      </w:r>
    </w:p>
    <w:p w:rsidR="00EB664B" w:rsidRPr="00EB664B" w:rsidRDefault="00EB664B" w:rsidP="004C1E78">
      <w:pPr>
        <w:jc w:val="both"/>
        <w:rPr>
          <w:sz w:val="20"/>
          <w:szCs w:val="20"/>
          <w:lang w:val="fr-FR"/>
        </w:rPr>
      </w:pPr>
    </w:p>
    <w:p w:rsidR="00EB664B" w:rsidRPr="00EB664B" w:rsidRDefault="00EB664B" w:rsidP="004C1E78">
      <w:pPr>
        <w:jc w:val="both"/>
        <w:rPr>
          <w:sz w:val="20"/>
          <w:szCs w:val="20"/>
          <w:lang w:val="fr-CA"/>
        </w:rPr>
      </w:pPr>
      <w:r w:rsidRPr="00EB664B">
        <w:rPr>
          <w:sz w:val="20"/>
          <w:szCs w:val="20"/>
          <w:lang w:val="fr-CA"/>
        </w:rPr>
        <w:t>La décision sur les demandes en vue de présenter une plaidoirie orale sera rendue après réception et examen des arguments écrits des parties et des intervenants.</w:t>
      </w:r>
    </w:p>
    <w:p w:rsidR="00EB664B" w:rsidRPr="00EB664B" w:rsidRDefault="00EB664B" w:rsidP="004C1E78">
      <w:pPr>
        <w:spacing w:line="232" w:lineRule="auto"/>
        <w:jc w:val="both"/>
        <w:rPr>
          <w:sz w:val="20"/>
          <w:szCs w:val="20"/>
          <w:lang w:val="fr-CA"/>
        </w:rPr>
      </w:pPr>
    </w:p>
    <w:p w:rsidR="00EB664B" w:rsidRPr="00EB664B" w:rsidRDefault="00EB664B" w:rsidP="004C1E78">
      <w:pPr>
        <w:spacing w:line="232" w:lineRule="auto"/>
        <w:jc w:val="both"/>
        <w:rPr>
          <w:sz w:val="20"/>
          <w:szCs w:val="20"/>
          <w:lang w:val="fr-CA"/>
        </w:rPr>
      </w:pPr>
      <w:r w:rsidRPr="00EB664B">
        <w:rPr>
          <w:sz w:val="20"/>
          <w:szCs w:val="20"/>
          <w:lang w:val="fr-CA"/>
        </w:rPr>
        <w:lastRenderedPageBreak/>
        <w:t xml:space="preserve">Les intervenants n’ont pas le droit de soulever de nouvelles questions, de produire d’autres éléments de preuve ni de compléter de quelque autre façon le dossier des </w:t>
      </w:r>
      <w:r w:rsidRPr="00EB664B">
        <w:rPr>
          <w:sz w:val="20"/>
          <w:szCs w:val="20"/>
        </w:rPr>
        <w:fldChar w:fldCharType="begin"/>
      </w:r>
      <w:r w:rsidRPr="00EB664B">
        <w:rPr>
          <w:sz w:val="20"/>
          <w:szCs w:val="20"/>
          <w:lang w:val="fr-CA"/>
        </w:rPr>
        <w:instrText xml:space="preserve"> SEQ CHAPTER \h \r 1</w:instrText>
      </w:r>
      <w:r w:rsidRPr="00EB664B">
        <w:rPr>
          <w:sz w:val="20"/>
          <w:szCs w:val="20"/>
        </w:rPr>
        <w:fldChar w:fldCharType="end"/>
      </w:r>
      <w:r w:rsidRPr="00EB664B">
        <w:rPr>
          <w:sz w:val="20"/>
          <w:szCs w:val="20"/>
          <w:lang w:val="fr-CA"/>
        </w:rPr>
        <w:t>parties.</w:t>
      </w:r>
    </w:p>
    <w:p w:rsidR="00EB664B" w:rsidRPr="00EB664B" w:rsidRDefault="00EB664B" w:rsidP="004C1E78">
      <w:pPr>
        <w:spacing w:line="232" w:lineRule="auto"/>
        <w:jc w:val="both"/>
        <w:rPr>
          <w:sz w:val="20"/>
          <w:szCs w:val="20"/>
          <w:lang w:val="fr-CA"/>
        </w:rPr>
      </w:pPr>
    </w:p>
    <w:p w:rsidR="00EB664B" w:rsidRPr="00EB664B" w:rsidRDefault="00EB664B" w:rsidP="004C1E78">
      <w:pPr>
        <w:jc w:val="both"/>
        <w:rPr>
          <w:sz w:val="20"/>
          <w:szCs w:val="20"/>
          <w:lang w:val="fr-FR"/>
        </w:rPr>
      </w:pPr>
      <w:r w:rsidRPr="00EB664B">
        <w:rPr>
          <w:sz w:val="20"/>
          <w:szCs w:val="20"/>
          <w:lang w:val="fr-FR"/>
        </w:rPr>
        <w:t>Conformément à l’alinéa 59(1)a) des Règles de la Cour suprême du Canada, les intervenants paieront à l’appelant et à l’intimée tous débours supplémentaires résultant de leurs interventions.</w:t>
      </w:r>
    </w:p>
    <w:p w:rsidR="00EB664B" w:rsidRPr="00EB664B" w:rsidRDefault="00EB664B" w:rsidP="00EB664B">
      <w:pPr>
        <w:rPr>
          <w:sz w:val="20"/>
          <w:szCs w:val="20"/>
          <w:lang w:val="fr-FR"/>
        </w:rPr>
      </w:pPr>
    </w:p>
    <w:p w:rsidR="00EB664B" w:rsidRPr="00EB664B" w:rsidRDefault="00CB2D37" w:rsidP="00EB664B">
      <w:pPr>
        <w:rPr>
          <w:sz w:val="20"/>
          <w:szCs w:val="20"/>
          <w:lang w:val="fr-CA"/>
        </w:rPr>
      </w:pPr>
      <w:r>
        <w:rPr>
          <w:sz w:val="20"/>
          <w:szCs w:val="20"/>
          <w:lang w:val="fr-CA"/>
        </w:rPr>
        <w:pict>
          <v:rect id="_x0000_i1074" style="width:2in;height:1pt" o:hrpct="0" o:hralign="center" o:hrstd="t" o:hrnoshade="t" o:hr="t" fillcolor="black [3213]" stroked="f"/>
        </w:pict>
      </w:r>
    </w:p>
    <w:p w:rsidR="00CA2DEA" w:rsidRPr="00EB664B" w:rsidRDefault="00CA2DEA" w:rsidP="00CA2DEA">
      <w:pPr>
        <w:widowControl w:val="0"/>
        <w:rPr>
          <w:rFonts w:eastAsia="Times New Roman" w:cs="Times New Roman"/>
          <w:sz w:val="20"/>
          <w:szCs w:val="20"/>
          <w:lang w:val="en-US" w:eastAsia="en-CA"/>
        </w:rPr>
      </w:pPr>
    </w:p>
    <w:p w:rsidR="00CA2DEA" w:rsidRPr="00EB664B" w:rsidRDefault="00CA2DEA" w:rsidP="00CA2DEA">
      <w:pPr>
        <w:widowControl w:val="0"/>
        <w:rPr>
          <w:rFonts w:eastAsia="Times New Roman" w:cs="Times New Roman"/>
          <w:sz w:val="20"/>
          <w:szCs w:val="20"/>
          <w:lang w:val="fr-CA" w:eastAsia="en-CA"/>
        </w:rPr>
      </w:pPr>
    </w:p>
    <w:p w:rsidR="00CA2DEA" w:rsidRPr="006E5D7C" w:rsidRDefault="00CA2DEA" w:rsidP="00CA2DEA">
      <w:pPr>
        <w:widowControl w:val="0"/>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6620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EA619C" w:rsidP="005F1ED8">
            <w:pPr>
              <w:rPr>
                <w:sz w:val="20"/>
                <w:szCs w:val="20"/>
              </w:rPr>
            </w:pPr>
            <w:r>
              <w:rPr>
                <w:sz w:val="20"/>
                <w:szCs w:val="20"/>
              </w:rPr>
              <w:t>19.09.2016</w:t>
            </w:r>
          </w:p>
          <w:p w:rsidR="00EA619C" w:rsidRDefault="00EA619C" w:rsidP="005F1ED8">
            <w:pPr>
              <w:rPr>
                <w:sz w:val="20"/>
                <w:szCs w:val="20"/>
              </w:rPr>
            </w:pPr>
          </w:p>
          <w:p w:rsidR="00EA619C" w:rsidRDefault="00EA619C" w:rsidP="005F1ED8">
            <w:pPr>
              <w:rPr>
                <w:b/>
                <w:sz w:val="20"/>
                <w:szCs w:val="20"/>
              </w:rPr>
            </w:pPr>
            <w:r>
              <w:rPr>
                <w:b/>
                <w:sz w:val="20"/>
                <w:szCs w:val="20"/>
              </w:rPr>
              <w:t>Teva Canada Limted</w:t>
            </w:r>
          </w:p>
          <w:p w:rsidR="00EA619C" w:rsidRDefault="00EA619C" w:rsidP="005F1ED8">
            <w:pPr>
              <w:rPr>
                <w:b/>
                <w:sz w:val="20"/>
                <w:szCs w:val="20"/>
              </w:rPr>
            </w:pPr>
          </w:p>
          <w:p w:rsidR="00EA619C" w:rsidRDefault="00EA619C" w:rsidP="005F1ED8">
            <w:pPr>
              <w:rPr>
                <w:b/>
                <w:sz w:val="20"/>
                <w:szCs w:val="20"/>
              </w:rPr>
            </w:pPr>
            <w:r>
              <w:rPr>
                <w:b/>
                <w:sz w:val="20"/>
                <w:szCs w:val="20"/>
              </w:rPr>
              <w:tab/>
              <w:t>v. (36918)</w:t>
            </w:r>
          </w:p>
          <w:p w:rsidR="00EA619C" w:rsidRDefault="00EA619C" w:rsidP="005F1ED8">
            <w:pPr>
              <w:rPr>
                <w:b/>
                <w:sz w:val="20"/>
                <w:szCs w:val="20"/>
              </w:rPr>
            </w:pPr>
          </w:p>
          <w:p w:rsidR="00EA619C" w:rsidRDefault="00EA619C" w:rsidP="005F1ED8">
            <w:pPr>
              <w:rPr>
                <w:b/>
                <w:sz w:val="20"/>
                <w:szCs w:val="20"/>
              </w:rPr>
            </w:pPr>
            <w:r>
              <w:rPr>
                <w:b/>
                <w:sz w:val="20"/>
                <w:szCs w:val="20"/>
              </w:rPr>
              <w:t>TD Canada Trust and Bank of Nova Scotia (Ont.)</w:t>
            </w:r>
          </w:p>
          <w:p w:rsidR="00EA619C" w:rsidRDefault="00EA619C" w:rsidP="005F1ED8">
            <w:pPr>
              <w:rPr>
                <w:sz w:val="20"/>
                <w:szCs w:val="20"/>
              </w:rPr>
            </w:pPr>
          </w:p>
          <w:p w:rsidR="00EA619C" w:rsidRPr="00EA619C" w:rsidRDefault="00EA619C" w:rsidP="005F1ED8">
            <w:pPr>
              <w:rPr>
                <w:sz w:val="20"/>
                <w:szCs w:val="20"/>
              </w:rPr>
            </w:pPr>
            <w:r>
              <w:rPr>
                <w:sz w:val="20"/>
                <w:szCs w:val="20"/>
              </w:rPr>
              <w:t>(By Leave)</w:t>
            </w:r>
          </w:p>
          <w:p w:rsidR="0086340B" w:rsidRPr="003B3977" w:rsidRDefault="0086340B" w:rsidP="005F1ED8">
            <w:pPr>
              <w:rPr>
                <w:sz w:val="20"/>
                <w:szCs w:val="20"/>
              </w:rPr>
            </w:pPr>
          </w:p>
          <w:p w:rsidR="0086340B" w:rsidRPr="003B3977" w:rsidRDefault="00CB2D37" w:rsidP="005F1ED8">
            <w:pPr>
              <w:rPr>
                <w:sz w:val="20"/>
                <w:szCs w:val="20"/>
                <w:lang w:val="fr-CA"/>
              </w:rPr>
            </w:pPr>
            <w:r>
              <w:rPr>
                <w:sz w:val="20"/>
                <w:szCs w:val="20"/>
                <w:lang w:val="fr-CA"/>
              </w:rPr>
              <w:pict>
                <v:rect id="_x0000_i107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C153BF">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6620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67A25" w:rsidRDefault="00532854" w:rsidP="0052229C">
      <w:pPr>
        <w:rPr>
          <w:b/>
          <w:sz w:val="20"/>
          <w:szCs w:val="20"/>
        </w:rPr>
      </w:pPr>
      <w:r w:rsidRPr="00A67A25">
        <w:rPr>
          <w:b/>
          <w:sz w:val="20"/>
          <w:szCs w:val="20"/>
        </w:rPr>
        <w:t>SEPTEMBER</w:t>
      </w:r>
      <w:r w:rsidR="0052229C" w:rsidRPr="00A67A25">
        <w:rPr>
          <w:b/>
          <w:sz w:val="20"/>
          <w:szCs w:val="20"/>
        </w:rPr>
        <w:t xml:space="preserve"> </w:t>
      </w:r>
      <w:r w:rsidRPr="00A67A25">
        <w:rPr>
          <w:b/>
          <w:sz w:val="20"/>
          <w:szCs w:val="20"/>
        </w:rPr>
        <w:t>29</w:t>
      </w:r>
      <w:r w:rsidR="0052229C" w:rsidRPr="00A67A25">
        <w:rPr>
          <w:b/>
          <w:sz w:val="20"/>
          <w:szCs w:val="20"/>
        </w:rPr>
        <w:t>, 201</w:t>
      </w:r>
      <w:r w:rsidR="00E942C2" w:rsidRPr="00A67A25">
        <w:rPr>
          <w:b/>
          <w:sz w:val="20"/>
          <w:szCs w:val="20"/>
        </w:rPr>
        <w:t>6</w:t>
      </w:r>
      <w:r w:rsidR="0052229C" w:rsidRPr="00A67A25">
        <w:rPr>
          <w:b/>
          <w:sz w:val="20"/>
          <w:szCs w:val="20"/>
        </w:rPr>
        <w:t xml:space="preserve"> / LE </w:t>
      </w:r>
      <w:r w:rsidRPr="00A67A25">
        <w:rPr>
          <w:b/>
          <w:sz w:val="20"/>
          <w:szCs w:val="20"/>
        </w:rPr>
        <w:t>29</w:t>
      </w:r>
      <w:r w:rsidR="0052229C" w:rsidRPr="00A67A25">
        <w:rPr>
          <w:b/>
          <w:sz w:val="20"/>
          <w:szCs w:val="20"/>
        </w:rPr>
        <w:t xml:space="preserve"> </w:t>
      </w:r>
      <w:r w:rsidRPr="00A67A25">
        <w:rPr>
          <w:b/>
          <w:sz w:val="20"/>
          <w:szCs w:val="20"/>
        </w:rPr>
        <w:t>SEPTEMBRE</w:t>
      </w:r>
      <w:r w:rsidR="0052229C" w:rsidRPr="00A67A25">
        <w:rPr>
          <w:b/>
          <w:sz w:val="20"/>
          <w:szCs w:val="20"/>
        </w:rPr>
        <w:t xml:space="preserve"> 201</w:t>
      </w:r>
      <w:r w:rsidR="00E942C2" w:rsidRPr="00A67A25">
        <w:rPr>
          <w:b/>
          <w:sz w:val="20"/>
          <w:szCs w:val="20"/>
        </w:rPr>
        <w:t>6</w:t>
      </w:r>
    </w:p>
    <w:p w:rsidR="0052229C" w:rsidRPr="00A67A25" w:rsidRDefault="0052229C" w:rsidP="0052229C">
      <w:pPr>
        <w:rPr>
          <w:sz w:val="20"/>
          <w:szCs w:val="20"/>
        </w:rPr>
      </w:pPr>
    </w:p>
    <w:p w:rsidR="0052229C" w:rsidRPr="00A52267" w:rsidRDefault="000E27A5" w:rsidP="0052229C">
      <w:pPr>
        <w:ind w:left="1440" w:hanging="1440"/>
        <w:jc w:val="both"/>
        <w:rPr>
          <w:sz w:val="20"/>
        </w:rPr>
      </w:pPr>
      <w:r w:rsidRPr="00A52267">
        <w:rPr>
          <w:b/>
          <w:sz w:val="20"/>
        </w:rPr>
        <w:fldChar w:fldCharType="begin"/>
      </w:r>
      <w:r w:rsidR="0052229C" w:rsidRPr="00A52267">
        <w:rPr>
          <w:b/>
          <w:sz w:val="20"/>
        </w:rPr>
        <w:instrText xml:space="preserve"> SEQ CHAPTER \h \r 1</w:instrText>
      </w:r>
      <w:r w:rsidRPr="00A52267">
        <w:rPr>
          <w:b/>
          <w:sz w:val="20"/>
        </w:rPr>
        <w:fldChar w:fldCharType="end"/>
      </w:r>
      <w:r w:rsidR="0052229C" w:rsidRPr="00A52267">
        <w:rPr>
          <w:b/>
          <w:sz w:val="20"/>
        </w:rPr>
        <w:t>3</w:t>
      </w:r>
      <w:r w:rsidR="0011353E" w:rsidRPr="00A52267">
        <w:rPr>
          <w:b/>
          <w:sz w:val="20"/>
        </w:rPr>
        <w:t>6258</w:t>
      </w:r>
      <w:r w:rsidR="0052229C" w:rsidRPr="00A52267">
        <w:rPr>
          <w:sz w:val="20"/>
        </w:rPr>
        <w:tab/>
      </w:r>
      <w:r w:rsidR="0011353E" w:rsidRPr="00A52267">
        <w:rPr>
          <w:b/>
          <w:sz w:val="20"/>
          <w:u w:val="single"/>
        </w:rPr>
        <w:t>Attorney General of Canada</w:t>
      </w:r>
      <w:r w:rsidR="0052229C" w:rsidRPr="00A52267">
        <w:rPr>
          <w:b/>
          <w:sz w:val="20"/>
          <w:u w:val="single"/>
        </w:rPr>
        <w:t xml:space="preserve"> </w:t>
      </w:r>
      <w:r w:rsidR="0011353E" w:rsidRPr="00A52267">
        <w:rPr>
          <w:b/>
          <w:sz w:val="20"/>
          <w:u w:val="single"/>
        </w:rPr>
        <w:t>v</w:t>
      </w:r>
      <w:r w:rsidR="0052229C" w:rsidRPr="00A52267">
        <w:rPr>
          <w:b/>
          <w:sz w:val="20"/>
          <w:u w:val="single"/>
        </w:rPr>
        <w:t xml:space="preserve">. </w:t>
      </w:r>
      <w:r w:rsidR="0011353E" w:rsidRPr="00A52267">
        <w:rPr>
          <w:b/>
          <w:sz w:val="20"/>
          <w:u w:val="single"/>
        </w:rPr>
        <w:t>Igloo Vikski Inc.</w:t>
      </w:r>
      <w:r w:rsidR="0052229C" w:rsidRPr="00A52267">
        <w:rPr>
          <w:b/>
          <w:sz w:val="20"/>
        </w:rPr>
        <w:t xml:space="preserve"> </w:t>
      </w:r>
      <w:r w:rsidR="0052229C" w:rsidRPr="00A52267">
        <w:rPr>
          <w:iCs/>
          <w:sz w:val="20"/>
        </w:rPr>
        <w:t>(</w:t>
      </w:r>
      <w:r w:rsidR="0011353E" w:rsidRPr="00A52267">
        <w:rPr>
          <w:iCs/>
          <w:sz w:val="20"/>
        </w:rPr>
        <w:t>F.C.</w:t>
      </w:r>
      <w:r w:rsidR="0052229C" w:rsidRPr="00A52267">
        <w:rPr>
          <w:iCs/>
          <w:sz w:val="20"/>
        </w:rPr>
        <w:t>)</w:t>
      </w:r>
    </w:p>
    <w:p w:rsidR="0052229C" w:rsidRPr="00A52267"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52267">
        <w:rPr>
          <w:b/>
          <w:sz w:val="20"/>
        </w:rPr>
        <w:t>201</w:t>
      </w:r>
      <w:r w:rsidR="00E942C2" w:rsidRPr="00A52267">
        <w:rPr>
          <w:b/>
          <w:sz w:val="20"/>
        </w:rPr>
        <w:t>6</w:t>
      </w:r>
      <w:r w:rsidRPr="00A52267">
        <w:rPr>
          <w:b/>
          <w:sz w:val="20"/>
        </w:rPr>
        <w:t xml:space="preserve"> SCC </w:t>
      </w:r>
      <w:r w:rsidR="0011353E" w:rsidRPr="00A52267">
        <w:rPr>
          <w:b/>
          <w:sz w:val="20"/>
        </w:rPr>
        <w:t>38</w:t>
      </w:r>
      <w:r w:rsidRPr="00A52267">
        <w:rPr>
          <w:b/>
          <w:sz w:val="20"/>
        </w:rPr>
        <w:t xml:space="preserve"> / 201</w:t>
      </w:r>
      <w:r w:rsidR="00E942C2" w:rsidRPr="00A52267">
        <w:rPr>
          <w:b/>
          <w:sz w:val="20"/>
        </w:rPr>
        <w:t>6</w:t>
      </w:r>
      <w:r w:rsidRPr="00A52267">
        <w:rPr>
          <w:b/>
          <w:sz w:val="20"/>
        </w:rPr>
        <w:t xml:space="preserve"> CSC </w:t>
      </w:r>
      <w:r w:rsidR="0011353E" w:rsidRPr="00A52267">
        <w:rPr>
          <w:b/>
          <w:sz w:val="20"/>
        </w:rPr>
        <w:t>38</w:t>
      </w:r>
    </w:p>
    <w:p w:rsidR="0052229C" w:rsidRPr="00A52267"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A52267" w:rsidRDefault="0052229C" w:rsidP="0052229C">
      <w:pPr>
        <w:ind w:left="1440" w:hanging="1440"/>
        <w:rPr>
          <w:sz w:val="20"/>
          <w:u w:val="single"/>
        </w:rPr>
      </w:pPr>
      <w:r w:rsidRPr="00A52267">
        <w:rPr>
          <w:sz w:val="20"/>
        </w:rPr>
        <w:t>Coram:</w:t>
      </w:r>
      <w:r w:rsidRPr="00A52267">
        <w:rPr>
          <w:sz w:val="20"/>
        </w:rPr>
        <w:tab/>
      </w:r>
      <w:r w:rsidR="0011353E" w:rsidRPr="00A52267">
        <w:rPr>
          <w:sz w:val="20"/>
          <w:u w:val="single"/>
        </w:rPr>
        <w:t>McLachlin C.J. and</w:t>
      </w:r>
      <w:r w:rsidRPr="00A52267">
        <w:rPr>
          <w:sz w:val="20"/>
          <w:u w:val="single"/>
        </w:rPr>
        <w:t xml:space="preserve"> Abella</w:t>
      </w:r>
      <w:r w:rsidR="0011353E" w:rsidRPr="00A52267">
        <w:rPr>
          <w:sz w:val="20"/>
          <w:u w:val="single"/>
        </w:rPr>
        <w:t>, Cromwell</w:t>
      </w:r>
      <w:r w:rsidRPr="00A52267">
        <w:rPr>
          <w:sz w:val="20"/>
          <w:u w:val="single"/>
        </w:rPr>
        <w:t>, Moldaver, Karakatsanis</w:t>
      </w:r>
      <w:r w:rsidR="0011353E" w:rsidRPr="00A52267">
        <w:rPr>
          <w:sz w:val="20"/>
          <w:u w:val="single"/>
        </w:rPr>
        <w:t>, Wagner, Gascon, Côté and Brown JJ.</w:t>
      </w:r>
    </w:p>
    <w:p w:rsidR="0052229C" w:rsidRPr="00A52267" w:rsidRDefault="0052229C" w:rsidP="0052229C">
      <w:pPr>
        <w:ind w:left="1440" w:hanging="1440"/>
        <w:rPr>
          <w:sz w:val="20"/>
          <w:szCs w:val="20"/>
          <w:u w:val="single"/>
        </w:rPr>
      </w:pPr>
    </w:p>
    <w:p w:rsidR="00A52267" w:rsidRPr="00A52267" w:rsidRDefault="00A52267" w:rsidP="00A52267">
      <w:pPr>
        <w:jc w:val="both"/>
        <w:rPr>
          <w:sz w:val="20"/>
          <w:szCs w:val="20"/>
          <w:lang w:val="fr-CA"/>
        </w:rPr>
      </w:pPr>
      <w:r w:rsidRPr="00A52267">
        <w:rPr>
          <w:sz w:val="20"/>
          <w:szCs w:val="20"/>
        </w:rPr>
        <w:t>The appeal from the judgment of the Federal Court of Appeal, Number A-65-13, 2014 FCA 266, dated November 17, 2014, heard on March 29, 2016,</w:t>
      </w:r>
      <w:r w:rsidRPr="00420689">
        <w:rPr>
          <w:sz w:val="20"/>
          <w:szCs w:val="20"/>
        </w:rPr>
        <w:t xml:space="preserve"> is allowed and the decision of the Canadian International Trade Tribunal is restored. The appellant is entitled to costs in this Court and at the Federal Court of Appeal. </w:t>
      </w:r>
      <w:r w:rsidRPr="00A52267">
        <w:rPr>
          <w:sz w:val="20"/>
          <w:szCs w:val="20"/>
          <w:lang w:val="fr-CA"/>
        </w:rPr>
        <w:t>Côté J. is dissenting.</w:t>
      </w:r>
    </w:p>
    <w:p w:rsidR="00611618" w:rsidRPr="00A52267" w:rsidRDefault="00611618" w:rsidP="0052229C">
      <w:pPr>
        <w:jc w:val="both"/>
        <w:rPr>
          <w:rFonts w:eastAsia="Calibri"/>
          <w:sz w:val="20"/>
          <w:highlight w:val="yellow"/>
          <w:lang w:val="fr-CA"/>
        </w:rPr>
      </w:pPr>
    </w:p>
    <w:p w:rsidR="00A52267" w:rsidRPr="00420689" w:rsidRDefault="00A52267" w:rsidP="00A52267">
      <w:pPr>
        <w:jc w:val="both"/>
        <w:rPr>
          <w:sz w:val="20"/>
          <w:szCs w:val="20"/>
          <w:lang w:val="fr-FR"/>
        </w:rPr>
      </w:pPr>
      <w:r w:rsidRPr="00420689">
        <w:rPr>
          <w:sz w:val="20"/>
          <w:szCs w:val="20"/>
          <w:lang w:val="fr-CA"/>
        </w:rPr>
        <w:t>L’appel interjeté contre l’arrêt de la Cour d’appel fédérale, numéro A-65-13, 2014 CAF 266, daté du 17 novembre 2014, entendu le 29 mars 2016, est accueilli et la décision du Tribunal canadien du commerce extérieur est rétablie</w:t>
      </w:r>
      <w:r w:rsidRPr="00420689">
        <w:rPr>
          <w:sz w:val="20"/>
          <w:szCs w:val="20"/>
          <w:lang w:val="fr-FR"/>
        </w:rPr>
        <w:t xml:space="preserve">. L’appelant a droit aux dépens devant notre Cour et devant la Cour d’appel fédérale. La juge Côté est dissidente.   </w:t>
      </w:r>
    </w:p>
    <w:p w:rsidR="0052229C" w:rsidRPr="00A67A25" w:rsidRDefault="0052229C" w:rsidP="0052229C">
      <w:pPr>
        <w:rPr>
          <w:sz w:val="20"/>
          <w:szCs w:val="20"/>
          <w:lang w:val="fr-CA"/>
        </w:rPr>
      </w:pPr>
    </w:p>
    <w:p w:rsidR="0052229C" w:rsidRPr="003B3977" w:rsidRDefault="00CB2D37" w:rsidP="0052229C">
      <w:pPr>
        <w:spacing w:line="0" w:lineRule="atLeast"/>
        <w:rPr>
          <w:sz w:val="20"/>
          <w:szCs w:val="20"/>
        </w:rPr>
      </w:pPr>
      <w:r>
        <w:rPr>
          <w:b/>
          <w:sz w:val="20"/>
          <w:szCs w:val="20"/>
        </w:rPr>
        <w:pict>
          <v:rect id="_x0000_i1080" style="width:144.3pt;height:1pt" o:hrpct="300" o:hralign="center" o:hrstd="t" o:hrnoshade="t" o:hr="t" fillcolor="black [3213]" stroked="f"/>
        </w:pict>
      </w:r>
    </w:p>
    <w:p w:rsidR="00732DB7" w:rsidRDefault="00732DB7" w:rsidP="00732DB7">
      <w:pPr>
        <w:widowControl w:val="0"/>
        <w:rPr>
          <w:sz w:val="20"/>
          <w:szCs w:val="20"/>
        </w:rPr>
      </w:pPr>
    </w:p>
    <w:p w:rsidR="00532854" w:rsidRDefault="00532854" w:rsidP="00732DB7">
      <w:pPr>
        <w:widowControl w:val="0"/>
        <w:rPr>
          <w:sz w:val="20"/>
          <w:szCs w:val="20"/>
        </w:rPr>
      </w:pPr>
    </w:p>
    <w:p w:rsidR="00532854" w:rsidRPr="00C50A5C" w:rsidRDefault="00532854"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050E05" w:rsidRDefault="000C4B0F" w:rsidP="0052229C">
      <w:pPr>
        <w:ind w:left="720" w:hanging="720"/>
        <w:rPr>
          <w:rFonts w:eastAsia="Calibri"/>
          <w:b/>
          <w:sz w:val="20"/>
          <w:szCs w:val="20"/>
        </w:rPr>
      </w:pPr>
      <w:r>
        <w:rPr>
          <w:i/>
          <w:sz w:val="20"/>
          <w:szCs w:val="20"/>
        </w:rPr>
        <w:t>Attorney General of Canada</w:t>
      </w:r>
      <w:r w:rsidR="0052229C" w:rsidRPr="00754A71">
        <w:rPr>
          <w:i/>
          <w:sz w:val="20"/>
          <w:szCs w:val="20"/>
        </w:rPr>
        <w:t xml:space="preserve"> v. </w:t>
      </w:r>
      <w:r>
        <w:rPr>
          <w:i/>
          <w:sz w:val="20"/>
          <w:szCs w:val="20"/>
        </w:rPr>
        <w:t>Igloo Vikski Inc.</w:t>
      </w:r>
      <w:r w:rsidR="0052229C" w:rsidRPr="00754A71">
        <w:rPr>
          <w:sz w:val="20"/>
          <w:szCs w:val="20"/>
        </w:rPr>
        <w:t xml:space="preserve"> </w:t>
      </w:r>
      <w:r w:rsidR="0052229C" w:rsidRPr="00050E05">
        <w:rPr>
          <w:sz w:val="20"/>
          <w:szCs w:val="20"/>
        </w:rPr>
        <w:t>(</w:t>
      </w:r>
      <w:r>
        <w:rPr>
          <w:sz w:val="20"/>
          <w:szCs w:val="20"/>
        </w:rPr>
        <w:t>F</w:t>
      </w:r>
      <w:r w:rsidR="0052229C" w:rsidRPr="00050E05">
        <w:rPr>
          <w:sz w:val="20"/>
          <w:szCs w:val="20"/>
        </w:rPr>
        <w:t>.</w:t>
      </w:r>
      <w:r>
        <w:rPr>
          <w:sz w:val="20"/>
          <w:szCs w:val="20"/>
        </w:rPr>
        <w:t>C</w:t>
      </w:r>
      <w:r w:rsidR="0052229C" w:rsidRPr="00050E05">
        <w:rPr>
          <w:sz w:val="20"/>
          <w:szCs w:val="20"/>
        </w:rPr>
        <w:t>.) (</w:t>
      </w:r>
      <w:hyperlink r:id="rId76" w:history="1">
        <w:r w:rsidR="0052229C" w:rsidRPr="00050E05">
          <w:rPr>
            <w:rStyle w:val="Hyperlink"/>
            <w:sz w:val="20"/>
            <w:szCs w:val="20"/>
          </w:rPr>
          <w:t>3</w:t>
        </w:r>
        <w:r w:rsidR="00EA2091">
          <w:rPr>
            <w:rStyle w:val="Hyperlink"/>
            <w:sz w:val="20"/>
            <w:szCs w:val="20"/>
          </w:rPr>
          <w:t>6258</w:t>
        </w:r>
      </w:hyperlink>
      <w:r w:rsidR="0052229C" w:rsidRPr="00050E05">
        <w:rPr>
          <w:sz w:val="20"/>
          <w:szCs w:val="20"/>
        </w:rPr>
        <w:t>)</w:t>
      </w:r>
    </w:p>
    <w:p w:rsidR="00C02882" w:rsidRDefault="0052229C" w:rsidP="0052229C">
      <w:pPr>
        <w:jc w:val="both"/>
        <w:rPr>
          <w:rStyle w:val="SCCAppellantForIndexChar"/>
          <w:rFonts w:eastAsiaTheme="minorHAnsi"/>
          <w:sz w:val="20"/>
          <w:lang w:val="en-CA"/>
        </w:rPr>
      </w:pPr>
      <w:r w:rsidRPr="00FF34C3">
        <w:rPr>
          <w:b/>
          <w:sz w:val="20"/>
          <w:szCs w:val="20"/>
        </w:rPr>
        <w:t xml:space="preserve">Indexed as:  </w:t>
      </w:r>
      <w:r w:rsidR="000C4B0F">
        <w:rPr>
          <w:b/>
          <w:sz w:val="20"/>
          <w:szCs w:val="20"/>
        </w:rPr>
        <w:t>Canada (Attorney General)</w:t>
      </w:r>
      <w:r w:rsidRPr="00FF34C3">
        <w:rPr>
          <w:b/>
          <w:sz w:val="20"/>
          <w:szCs w:val="20"/>
        </w:rPr>
        <w:t xml:space="preserve"> </w:t>
      </w:r>
      <w:r w:rsidRPr="00FF34C3">
        <w:rPr>
          <w:b/>
          <w:i/>
          <w:sz w:val="20"/>
          <w:szCs w:val="20"/>
        </w:rPr>
        <w:t xml:space="preserve">v. </w:t>
      </w:r>
      <w:r w:rsidR="000C4B0F">
        <w:rPr>
          <w:rStyle w:val="SCCAppellantForIndexChar"/>
          <w:rFonts w:eastAsiaTheme="minorHAnsi"/>
          <w:sz w:val="20"/>
          <w:lang w:val="en-CA"/>
        </w:rPr>
        <w:t>Igloo Vikski Inc.</w:t>
      </w:r>
      <w:r>
        <w:rPr>
          <w:rStyle w:val="SCCAppellantForIndexChar"/>
          <w:rFonts w:eastAsiaTheme="minorHAnsi"/>
          <w:sz w:val="20"/>
          <w:lang w:val="en-CA"/>
        </w:rPr>
        <w:t xml:space="preserve"> / </w:t>
      </w:r>
    </w:p>
    <w:p w:rsidR="0052229C" w:rsidRPr="00C02882" w:rsidRDefault="0052229C" w:rsidP="0052229C">
      <w:pPr>
        <w:jc w:val="both"/>
        <w:rPr>
          <w:b/>
          <w:sz w:val="20"/>
          <w:szCs w:val="20"/>
          <w:lang w:val="fr-CA"/>
        </w:rPr>
      </w:pPr>
      <w:r w:rsidRPr="00C02882">
        <w:rPr>
          <w:b/>
          <w:sz w:val="20"/>
          <w:szCs w:val="20"/>
          <w:lang w:val="fr-CA"/>
        </w:rPr>
        <w:t>Répertorié : </w:t>
      </w:r>
      <w:r w:rsidR="000C4B0F" w:rsidRPr="00C02882">
        <w:rPr>
          <w:b/>
          <w:sz w:val="20"/>
          <w:szCs w:val="20"/>
          <w:lang w:val="fr-CA"/>
        </w:rPr>
        <w:t>Canada (Procureur général)</w:t>
      </w:r>
      <w:r w:rsidRPr="00C02882">
        <w:rPr>
          <w:b/>
          <w:sz w:val="20"/>
          <w:szCs w:val="20"/>
          <w:lang w:val="fr-CA"/>
        </w:rPr>
        <w:t xml:space="preserve"> </w:t>
      </w:r>
      <w:r w:rsidRPr="00C02882">
        <w:rPr>
          <w:b/>
          <w:i/>
          <w:sz w:val="20"/>
          <w:szCs w:val="20"/>
          <w:lang w:val="fr-CA"/>
        </w:rPr>
        <w:t xml:space="preserve">c. </w:t>
      </w:r>
      <w:r w:rsidR="000C4B0F" w:rsidRPr="00C02882">
        <w:rPr>
          <w:rStyle w:val="SCCAppellantForIndexChar"/>
          <w:rFonts w:eastAsiaTheme="minorHAnsi"/>
          <w:sz w:val="20"/>
        </w:rPr>
        <w:t>Igloo Vikski Inc.</w:t>
      </w:r>
    </w:p>
    <w:p w:rsidR="0052229C" w:rsidRPr="00352A49" w:rsidRDefault="0052229C" w:rsidP="0052229C">
      <w:pPr>
        <w:pStyle w:val="SCCSystemYear"/>
        <w:jc w:val="both"/>
        <w:rPr>
          <w:sz w:val="20"/>
        </w:rPr>
      </w:pPr>
      <w:r w:rsidRPr="00352A49">
        <w:rPr>
          <w:sz w:val="20"/>
        </w:rPr>
        <w:t xml:space="preserve">Neutral citation: </w:t>
      </w:r>
      <w:r w:rsidR="0030050B">
        <w:rPr>
          <w:sz w:val="20"/>
        </w:rPr>
        <w:t>2016</w:t>
      </w:r>
      <w:r w:rsidRPr="00352A49">
        <w:rPr>
          <w:sz w:val="20"/>
        </w:rPr>
        <w:t xml:space="preserve"> SCC </w:t>
      </w:r>
      <w:r w:rsidRPr="002E53AF">
        <w:rPr>
          <w:sz w:val="20"/>
        </w:rPr>
        <w:t>3</w:t>
      </w:r>
      <w:r w:rsidR="007D79D0" w:rsidRPr="002E53AF">
        <w:rPr>
          <w:sz w:val="20"/>
        </w:rPr>
        <w:t>8</w:t>
      </w:r>
      <w:r w:rsidRPr="00352A49">
        <w:rPr>
          <w:sz w:val="20"/>
        </w:rPr>
        <w:t xml:space="preserve"> / Référence neutre : </w:t>
      </w:r>
      <w:r w:rsidR="0030050B">
        <w:rPr>
          <w:sz w:val="20"/>
        </w:rPr>
        <w:t>2016</w:t>
      </w:r>
      <w:r w:rsidRPr="00352A49">
        <w:rPr>
          <w:sz w:val="20"/>
        </w:rPr>
        <w:t xml:space="preserve"> CSC </w:t>
      </w:r>
      <w:r w:rsidRPr="002E53AF">
        <w:rPr>
          <w:sz w:val="20"/>
        </w:rPr>
        <w:t>3</w:t>
      </w:r>
      <w:r w:rsidR="007D79D0" w:rsidRPr="002E53AF">
        <w:rPr>
          <w:sz w:val="20"/>
        </w:rPr>
        <w:t>8</w:t>
      </w:r>
    </w:p>
    <w:p w:rsidR="0052229C" w:rsidRPr="00352A49" w:rsidRDefault="0052229C" w:rsidP="0052229C">
      <w:pPr>
        <w:rPr>
          <w:sz w:val="20"/>
          <w:szCs w:val="20"/>
          <w:lang w:val="fr-CA"/>
        </w:rPr>
      </w:pPr>
      <w:r w:rsidRPr="00352A49">
        <w:rPr>
          <w:sz w:val="20"/>
          <w:szCs w:val="20"/>
          <w:lang w:val="fr-CA"/>
        </w:rPr>
        <w:t>Hearing:  Ma</w:t>
      </w:r>
      <w:r w:rsidR="00066C00">
        <w:rPr>
          <w:sz w:val="20"/>
          <w:szCs w:val="20"/>
          <w:lang w:val="fr-CA"/>
        </w:rPr>
        <w:t>rch</w:t>
      </w:r>
      <w:r w:rsidRPr="00352A49">
        <w:rPr>
          <w:sz w:val="20"/>
          <w:szCs w:val="20"/>
          <w:lang w:val="fr-CA"/>
        </w:rPr>
        <w:t xml:space="preserve"> 2</w:t>
      </w:r>
      <w:r w:rsidR="00066C00">
        <w:rPr>
          <w:sz w:val="20"/>
          <w:szCs w:val="20"/>
          <w:lang w:val="fr-CA"/>
        </w:rPr>
        <w:t>9</w:t>
      </w:r>
      <w:r w:rsidRPr="00352A49">
        <w:rPr>
          <w:sz w:val="20"/>
          <w:szCs w:val="20"/>
          <w:lang w:val="fr-CA"/>
        </w:rPr>
        <w:t>, 201</w:t>
      </w:r>
      <w:r w:rsidR="00066C00">
        <w:rPr>
          <w:sz w:val="20"/>
          <w:szCs w:val="20"/>
          <w:lang w:val="fr-CA"/>
        </w:rPr>
        <w:t>6</w:t>
      </w:r>
      <w:r w:rsidRPr="00352A49">
        <w:rPr>
          <w:sz w:val="20"/>
          <w:szCs w:val="20"/>
          <w:lang w:val="fr-CA"/>
        </w:rPr>
        <w:t xml:space="preserve"> / Judgment: </w:t>
      </w:r>
      <w:r w:rsidR="009A176A">
        <w:rPr>
          <w:sz w:val="20"/>
          <w:szCs w:val="20"/>
          <w:lang w:val="fr-CA"/>
        </w:rPr>
        <w:t>September</w:t>
      </w:r>
      <w:r w:rsidRPr="00352A49">
        <w:rPr>
          <w:sz w:val="20"/>
          <w:szCs w:val="20"/>
          <w:lang w:val="fr-CA"/>
        </w:rPr>
        <w:t xml:space="preserve"> </w:t>
      </w:r>
      <w:r w:rsidR="009A176A">
        <w:rPr>
          <w:sz w:val="20"/>
          <w:szCs w:val="20"/>
          <w:lang w:val="fr-CA"/>
        </w:rPr>
        <w:t>29</w:t>
      </w:r>
      <w:r w:rsidRPr="00352A49">
        <w:rPr>
          <w:sz w:val="20"/>
          <w:szCs w:val="20"/>
          <w:lang w:val="fr-CA"/>
        </w:rPr>
        <w:t xml:space="preserve">, </w:t>
      </w:r>
      <w:r w:rsidR="0030050B">
        <w:rPr>
          <w:sz w:val="20"/>
          <w:szCs w:val="20"/>
          <w:lang w:val="fr-CA"/>
        </w:rPr>
        <w:t>2016</w:t>
      </w:r>
    </w:p>
    <w:p w:rsidR="0052229C" w:rsidRPr="003B3977" w:rsidRDefault="0052229C" w:rsidP="0052229C">
      <w:pPr>
        <w:rPr>
          <w:sz w:val="20"/>
          <w:szCs w:val="20"/>
          <w:lang w:val="fr-CA"/>
        </w:rPr>
      </w:pPr>
      <w:r w:rsidRPr="003B3977">
        <w:rPr>
          <w:sz w:val="20"/>
          <w:szCs w:val="20"/>
          <w:lang w:val="fr-CA"/>
        </w:rPr>
        <w:t>Audition : Le 2</w:t>
      </w:r>
      <w:r w:rsidR="00066C00">
        <w:rPr>
          <w:sz w:val="20"/>
          <w:szCs w:val="20"/>
          <w:lang w:val="fr-CA"/>
        </w:rPr>
        <w:t>9</w:t>
      </w:r>
      <w:r>
        <w:rPr>
          <w:sz w:val="20"/>
          <w:szCs w:val="20"/>
          <w:lang w:val="fr-CA"/>
        </w:rPr>
        <w:t xml:space="preserve"> </w:t>
      </w:r>
      <w:r w:rsidRPr="003B3977">
        <w:rPr>
          <w:sz w:val="20"/>
          <w:szCs w:val="20"/>
          <w:lang w:val="fr-CA"/>
        </w:rPr>
        <w:t>ma</w:t>
      </w:r>
      <w:r w:rsidR="00066C00">
        <w:rPr>
          <w:sz w:val="20"/>
          <w:szCs w:val="20"/>
          <w:lang w:val="fr-CA"/>
        </w:rPr>
        <w:t>rs</w:t>
      </w:r>
      <w:r w:rsidRPr="003B3977">
        <w:rPr>
          <w:sz w:val="20"/>
          <w:szCs w:val="20"/>
          <w:lang w:val="fr-CA"/>
        </w:rPr>
        <w:t xml:space="preserve"> 201</w:t>
      </w:r>
      <w:r w:rsidR="00066C00">
        <w:rPr>
          <w:sz w:val="20"/>
          <w:szCs w:val="20"/>
          <w:lang w:val="fr-CA"/>
        </w:rPr>
        <w:t>6</w:t>
      </w:r>
      <w:r w:rsidRPr="003B3977">
        <w:rPr>
          <w:sz w:val="20"/>
          <w:szCs w:val="20"/>
          <w:lang w:val="fr-CA"/>
        </w:rPr>
        <w:t xml:space="preserve"> / Jugement : Le </w:t>
      </w:r>
      <w:r w:rsidR="009A176A">
        <w:rPr>
          <w:sz w:val="20"/>
          <w:szCs w:val="20"/>
          <w:lang w:val="fr-CA"/>
        </w:rPr>
        <w:t>29</w:t>
      </w:r>
      <w:r>
        <w:rPr>
          <w:sz w:val="20"/>
          <w:szCs w:val="20"/>
          <w:lang w:val="fr-CA"/>
        </w:rPr>
        <w:t xml:space="preserve"> </w:t>
      </w:r>
      <w:r w:rsidR="009A176A">
        <w:rPr>
          <w:sz w:val="20"/>
          <w:szCs w:val="20"/>
          <w:lang w:val="fr-CA"/>
        </w:rPr>
        <w:t>septembre</w:t>
      </w:r>
      <w:r w:rsidRPr="003B3977">
        <w:rPr>
          <w:sz w:val="20"/>
          <w:szCs w:val="20"/>
          <w:lang w:val="fr-CA"/>
        </w:rPr>
        <w:t xml:space="preserve"> </w:t>
      </w:r>
      <w:r w:rsidR="0030050B">
        <w:rPr>
          <w:sz w:val="20"/>
          <w:szCs w:val="20"/>
          <w:lang w:val="fr-CA"/>
        </w:rPr>
        <w:t>2016</w:t>
      </w:r>
    </w:p>
    <w:p w:rsidR="005C6840" w:rsidRPr="003B3977" w:rsidRDefault="00CB2D37" w:rsidP="005C6840">
      <w:pPr>
        <w:rPr>
          <w:sz w:val="20"/>
          <w:szCs w:val="20"/>
          <w:lang w:val="fr-CA"/>
        </w:rPr>
      </w:pPr>
      <w:r>
        <w:rPr>
          <w:i/>
          <w:sz w:val="20"/>
          <w:szCs w:val="20"/>
        </w:rPr>
        <w:pict>
          <v:rect id="_x0000_i1083" style="width:480.95pt;height:1pt" o:hralign="center" o:hrstd="t" o:hrnoshade="t" o:hr="t" fillcolor="black [3213]" stroked="f"/>
        </w:pict>
      </w:r>
    </w:p>
    <w:p w:rsidR="005C6840" w:rsidRPr="0074152A" w:rsidRDefault="005C6840" w:rsidP="005C6840">
      <w:pPr>
        <w:spacing w:line="0" w:lineRule="atLeast"/>
        <w:rPr>
          <w:sz w:val="20"/>
          <w:szCs w:val="20"/>
          <w:lang w:val="fr-CA"/>
        </w:rPr>
      </w:pPr>
    </w:p>
    <w:p w:rsidR="00C02882" w:rsidRPr="0074152A" w:rsidRDefault="00C02882" w:rsidP="00C02882">
      <w:pPr>
        <w:rPr>
          <w:sz w:val="20"/>
          <w:szCs w:val="20"/>
        </w:rPr>
      </w:pPr>
      <w:r w:rsidRPr="0074152A">
        <w:rPr>
          <w:sz w:val="20"/>
          <w:szCs w:val="20"/>
        </w:rPr>
        <w:t>Present: McLachlin C.J. and Abella, Cromwell, Moldaver, Karakatsanis, Wagner, Gascon, Côté and Brown JJ.</w:t>
      </w:r>
    </w:p>
    <w:p w:rsidR="00C02882" w:rsidRPr="0074152A" w:rsidRDefault="00C02882" w:rsidP="00C02882">
      <w:pPr>
        <w:pStyle w:val="SCCLowerCourtNameLowercase"/>
        <w:spacing w:line="240" w:lineRule="auto"/>
        <w:rPr>
          <w:sz w:val="20"/>
        </w:rPr>
      </w:pPr>
    </w:p>
    <w:p w:rsidR="00C02882" w:rsidRPr="0074152A" w:rsidRDefault="00C02882" w:rsidP="00C02882">
      <w:pPr>
        <w:pStyle w:val="SCCNormalDoubleSpacing"/>
        <w:spacing w:line="240" w:lineRule="auto"/>
        <w:rPr>
          <w:i/>
          <w:sz w:val="20"/>
        </w:rPr>
      </w:pPr>
      <w:r w:rsidRPr="0074152A">
        <w:rPr>
          <w:sz w:val="20"/>
        </w:rPr>
        <w:tab/>
      </w:r>
      <w:r w:rsidRPr="0074152A">
        <w:rPr>
          <w:i/>
          <w:sz w:val="20"/>
        </w:rPr>
        <w:t xml:space="preserve">Customs and excise </w:t>
      </w:r>
      <w:r w:rsidRPr="0074152A">
        <w:rPr>
          <w:i/>
          <w:iCs/>
          <w:sz w:val="20"/>
        </w:rPr>
        <w:t xml:space="preserve">— International trade — Tariff classification of goods — Importation of hockey gloves — Whether goods should be classified as “gloves, mittens and mitts” or </w:t>
      </w:r>
      <w:r w:rsidRPr="0074152A">
        <w:rPr>
          <w:i/>
          <w:sz w:val="20"/>
        </w:rPr>
        <w:t xml:space="preserve">“other articles of plastics and articles of other materials” under Harmonized Commodity Description and Coding System </w:t>
      </w:r>
      <w:r w:rsidRPr="0074152A">
        <w:rPr>
          <w:i/>
          <w:iCs/>
          <w:sz w:val="20"/>
        </w:rPr>
        <w:t xml:space="preserve">— Whether Canadian International Trade Tribunal’s interpretation and application of </w:t>
      </w:r>
      <w:r w:rsidRPr="0074152A">
        <w:rPr>
          <w:i/>
          <w:sz w:val="20"/>
        </w:rPr>
        <w:t xml:space="preserve">Rules 1 and 2 of General Rules for Interpretation of Harmonized System </w:t>
      </w:r>
      <w:r w:rsidRPr="0074152A">
        <w:rPr>
          <w:i/>
          <w:iCs/>
          <w:sz w:val="20"/>
        </w:rPr>
        <w:t>was reasonable —</w:t>
      </w:r>
      <w:r w:rsidRPr="0074152A">
        <w:rPr>
          <w:i/>
          <w:sz w:val="20"/>
        </w:rPr>
        <w:t xml:space="preserve"> Customs Tariff, S.C. 1997, c. 36, Schedule, General Rules for the Interpretation of the Harmonized System.</w:t>
      </w:r>
    </w:p>
    <w:p w:rsidR="00C02882" w:rsidRPr="0074152A" w:rsidRDefault="00C02882" w:rsidP="00C02882">
      <w:pPr>
        <w:pStyle w:val="SCCNormalDoubleSpacing"/>
        <w:spacing w:line="240" w:lineRule="auto"/>
        <w:rPr>
          <w:i/>
          <w:iCs/>
          <w:sz w:val="20"/>
        </w:rPr>
      </w:pPr>
    </w:p>
    <w:p w:rsidR="00C02882" w:rsidRPr="0074152A" w:rsidRDefault="00C02882" w:rsidP="00C02882">
      <w:pPr>
        <w:pStyle w:val="SCCNormalDoubleSpacing"/>
        <w:spacing w:line="240" w:lineRule="auto"/>
        <w:rPr>
          <w:sz w:val="20"/>
        </w:rPr>
      </w:pPr>
      <w:r w:rsidRPr="0074152A">
        <w:rPr>
          <w:i/>
          <w:iCs/>
          <w:sz w:val="20"/>
        </w:rPr>
        <w:tab/>
      </w:r>
      <w:r w:rsidRPr="0074152A">
        <w:rPr>
          <w:sz w:val="20"/>
        </w:rPr>
        <w:t>The importer arranged to import hockey gloves made of textiles and plastics, bound together by stitching. The Canada Border Services Agency classified five models of gloves as “gloves, mittens and mitts” under tariff item No. 6216.00.00</w:t>
      </w:r>
      <w:r w:rsidRPr="0074152A">
        <w:rPr>
          <w:i/>
          <w:sz w:val="20"/>
        </w:rPr>
        <w:t xml:space="preserve"> </w:t>
      </w:r>
      <w:r w:rsidRPr="0074152A">
        <w:rPr>
          <w:sz w:val="20"/>
        </w:rPr>
        <w:t>of the Harmonized Commodity Description and Coding System (“Harmonized System”),</w:t>
      </w:r>
      <w:r w:rsidRPr="0074152A">
        <w:rPr>
          <w:i/>
          <w:sz w:val="20"/>
        </w:rPr>
        <w:t xml:space="preserve"> </w:t>
      </w:r>
      <w:r w:rsidRPr="0074152A">
        <w:rPr>
          <w:sz w:val="20"/>
        </w:rPr>
        <w:t xml:space="preserve">incorporated into the Schedule to the </w:t>
      </w:r>
      <w:r w:rsidRPr="0074152A">
        <w:rPr>
          <w:i/>
          <w:sz w:val="20"/>
        </w:rPr>
        <w:t>Customs Tariff</w:t>
      </w:r>
      <w:r w:rsidRPr="0074152A">
        <w:rPr>
          <w:sz w:val="20"/>
        </w:rPr>
        <w:t xml:space="preserve">. The remaining model was classified under tariff item No. 3926.20.92 as “other articles of plastics”.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t>The Canadian International Trade Tribunal (“CITT” or “Tribunal”) dismissed the importer’s appeal, concluding that the gloves were classifiable as “gloves, mittens and mitts”. The Federal Court of Appeal, however, allowed the importer’s appeal and remitted the matter back to the CITT.</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r>
      <w:r w:rsidRPr="0074152A">
        <w:rPr>
          <w:rStyle w:val="QuoteChar"/>
          <w:sz w:val="20"/>
        </w:rPr>
        <w:t xml:space="preserve">Held </w:t>
      </w:r>
      <w:r w:rsidRPr="0074152A">
        <w:rPr>
          <w:sz w:val="20"/>
          <w:lang w:val="en"/>
        </w:rPr>
        <w:t>(Côté J. dissenting)</w:t>
      </w:r>
      <w:r w:rsidRPr="0074152A">
        <w:rPr>
          <w:rStyle w:val="QuoteChar"/>
          <w:sz w:val="20"/>
        </w:rPr>
        <w:t>:</w:t>
      </w:r>
      <w:r w:rsidRPr="0074152A">
        <w:rPr>
          <w:sz w:val="20"/>
        </w:rPr>
        <w:t xml:space="preserve"> The appeal should be allowed.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r>
      <w:r w:rsidRPr="0074152A">
        <w:rPr>
          <w:i/>
          <w:iCs/>
          <w:sz w:val="20"/>
          <w:lang w:val="en"/>
        </w:rPr>
        <w:t>Per</w:t>
      </w:r>
      <w:r w:rsidRPr="0074152A">
        <w:rPr>
          <w:sz w:val="20"/>
          <w:lang w:val="en"/>
        </w:rPr>
        <w:t xml:space="preserve"> McLachlin C.J. and Abella, Cromwell, Moldaver, Karakatsanis, </w:t>
      </w:r>
      <w:r w:rsidRPr="0074152A">
        <w:rPr>
          <w:bCs/>
          <w:sz w:val="20"/>
          <w:lang w:val="en"/>
        </w:rPr>
        <w:t>Wagner</w:t>
      </w:r>
      <w:r w:rsidRPr="0074152A">
        <w:rPr>
          <w:sz w:val="20"/>
          <w:lang w:val="en"/>
        </w:rPr>
        <w:t xml:space="preserve">, </w:t>
      </w:r>
      <w:r w:rsidRPr="0074152A">
        <w:rPr>
          <w:bCs/>
          <w:sz w:val="20"/>
          <w:lang w:val="en"/>
        </w:rPr>
        <w:t>Gascon and</w:t>
      </w:r>
      <w:r w:rsidRPr="0074152A">
        <w:rPr>
          <w:b/>
          <w:bCs/>
          <w:sz w:val="20"/>
          <w:lang w:val="en"/>
        </w:rPr>
        <w:t xml:space="preserve"> Brown </w:t>
      </w:r>
      <w:r w:rsidRPr="0074152A">
        <w:rPr>
          <w:sz w:val="20"/>
          <w:lang w:val="en"/>
        </w:rPr>
        <w:t>JJ.:</w:t>
      </w:r>
      <w:r w:rsidRPr="0074152A">
        <w:rPr>
          <w:sz w:val="20"/>
        </w:rPr>
        <w:t xml:space="preserve"> The tariff classification exercise begins with Rule 1 of the General Rules for the Interpretation of the Harmonized System, which directs that the classification of goods must initially be determined with reference only to the headings within a chapter, as well as any applicable Section or Chapter Notes. Where the goods are unfinished or where they are comprised of a mix of materials or substances, Rule 2 is applied in conjunction with Rule 1 to determine the </w:t>
      </w:r>
      <w:r w:rsidRPr="0074152A">
        <w:rPr>
          <w:i/>
          <w:sz w:val="20"/>
        </w:rPr>
        <w:t>prima facie</w:t>
      </w:r>
      <w:r w:rsidRPr="0074152A">
        <w:rPr>
          <w:sz w:val="20"/>
        </w:rPr>
        <w:t xml:space="preserve"> classification of such goods. Rule 2(a) deems unfinished goods to be finished goods, and directs that they be classified using Rule 1 as if they were goods in a complete or finished state. Rule 2(b) applies where a good consists of a mixture of more than one substance, and states that a reference to goods of a given material or substance in a heading shall be taken to include goods consisting wholly or partly of such material or substance. If, having applied Rules 1 and 2, the good is </w:t>
      </w:r>
      <w:r w:rsidRPr="0074152A">
        <w:rPr>
          <w:i/>
          <w:sz w:val="20"/>
        </w:rPr>
        <w:t xml:space="preserve">prima facie </w:t>
      </w:r>
      <w:r w:rsidRPr="0074152A">
        <w:rPr>
          <w:sz w:val="20"/>
        </w:rPr>
        <w:t xml:space="preserve">classifiable under only one heading, then the inquiry ends and the good is classified under that heading. If, however, the good is </w:t>
      </w:r>
      <w:r w:rsidRPr="0074152A">
        <w:rPr>
          <w:i/>
          <w:sz w:val="20"/>
        </w:rPr>
        <w:t xml:space="preserve">prima facie </w:t>
      </w:r>
      <w:r w:rsidRPr="0074152A">
        <w:rPr>
          <w:sz w:val="20"/>
        </w:rPr>
        <w:t xml:space="preserve">classifiable under more than one heading, then Rule 3 applies, by operation of Rule 2(b), to resolve the classification dispute. If the application of Rules 1, 2 and 3 does not lead to the classification of a good under a single heading, Rules 4, 5 and 6 are applied to determine the classification of the good.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t>While the General Rules</w:t>
      </w:r>
      <w:r w:rsidRPr="0074152A">
        <w:rPr>
          <w:i/>
          <w:sz w:val="20"/>
        </w:rPr>
        <w:t xml:space="preserve"> </w:t>
      </w:r>
      <w:r w:rsidRPr="0074152A">
        <w:rPr>
          <w:sz w:val="20"/>
        </w:rPr>
        <w:t xml:space="preserve">are commonly described as cascading in nature, this metaphor does not quite capture how the General Rules are to be applied. It is more helpful to understand that order as a function of a hierarchy rather than a cascade. Rule 1 does not lose all relevance where Rule 2 is applied. Where Rule 2 applies, it applies together with Rule 1 to identify the heading(s) under which an incomplete or composite good can be </w:t>
      </w:r>
      <w:r w:rsidRPr="0074152A">
        <w:rPr>
          <w:i/>
          <w:sz w:val="20"/>
        </w:rPr>
        <w:t xml:space="preserve">prima facie </w:t>
      </w:r>
      <w:r w:rsidRPr="0074152A">
        <w:rPr>
          <w:sz w:val="20"/>
        </w:rPr>
        <w:t xml:space="preserve">classified.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t xml:space="preserve">The CITT concluded that the gloves were not classifiable under heading 39.26 using Rule 1 because they were not made by sewing or sealing sheets of plastic together, as directed by the Explanatory Note to heading 39.26 of the </w:t>
      </w:r>
      <w:r w:rsidRPr="0074152A">
        <w:rPr>
          <w:i/>
          <w:sz w:val="20"/>
        </w:rPr>
        <w:t>Explanatory Notes to the Harmonized Commodity Description and Coding System</w:t>
      </w:r>
      <w:r w:rsidRPr="0074152A">
        <w:rPr>
          <w:sz w:val="20"/>
        </w:rPr>
        <w:t xml:space="preserve">. The CITT found that the gloves met the description of heading 62.16 using Rule 1. Since the gloves contained plastic padding that was more than mere trimming, the CITT applied Rule 2(b) of the General Rules, as directed by the Explanatory Note to heading 62.16, which led the CITT to extend the scope of the heading in order to classify the goods as “gloves, mittens and mitts”. </w:t>
      </w:r>
    </w:p>
    <w:p w:rsidR="00C02882" w:rsidRPr="0074152A" w:rsidRDefault="00C02882" w:rsidP="00C02882">
      <w:pPr>
        <w:pStyle w:val="SCCNormalDoubleSpacing"/>
        <w:spacing w:line="240" w:lineRule="auto"/>
        <w:rPr>
          <w:sz w:val="20"/>
        </w:rPr>
      </w:pPr>
      <w:r w:rsidRPr="0074152A">
        <w:rPr>
          <w:sz w:val="20"/>
        </w:rPr>
        <w:lastRenderedPageBreak/>
        <w:tab/>
        <w:t xml:space="preserve">The Federal Court of Appeal found that the CITT had misinterpreted the General Rules by requiring that the goods must meet the description of a heading by applying Rule 1 before Rule 2(b) can be used to extend that heading to cover goods made of mixed substances. Once the CITT concluded that the goods did not meet the description of the heading in 39.26, it should have applied Rule 2(b) of the General Rules to extend that heading to cover the gloves. Then, because the goods were </w:t>
      </w:r>
      <w:r w:rsidRPr="0074152A">
        <w:rPr>
          <w:i/>
          <w:sz w:val="20"/>
        </w:rPr>
        <w:t xml:space="preserve">prima facie </w:t>
      </w:r>
      <w:r w:rsidRPr="0074152A">
        <w:rPr>
          <w:sz w:val="20"/>
        </w:rPr>
        <w:t xml:space="preserve">classifiable under both headings 39.26 and 62.16, Rule 3 should have been employed to determine the proper classification of the gloves.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t xml:space="preserve">In concluding that the CITT misapplied the General Rules, the Federal Court of Appeal misapprehended their structure. It did not appreciate the conjunctive nature of the application of Rules 1 and 2 to a determination of the heading(s) under which a good is </w:t>
      </w:r>
      <w:r w:rsidRPr="0074152A">
        <w:rPr>
          <w:i/>
          <w:sz w:val="20"/>
        </w:rPr>
        <w:t xml:space="preserve">prima facie </w:t>
      </w:r>
      <w:r w:rsidRPr="0074152A">
        <w:rPr>
          <w:sz w:val="20"/>
        </w:rPr>
        <w:t>classifiable. Further, the Federal Court of Appeal erred in supposing that Rule 2(b) can be applied to extend the scope of a heading to include a particular good where no part of that good falls within the heading. While Rule 2(b) deems a reference in a heading to a material to include a mixture of that material with other substances, the Section, Chapter Notes, and Explanatory Notes still apply when classifying that good as if it were made exclusively of the material referenced by the heading. Read as a whole, the CITT’s decision was reasonable. The CITT neither misapplied the General Rules, nor interpreted heading 39.26 and its Explanatory Note in an unreasonable manner.</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lang w:val="en"/>
        </w:rPr>
      </w:pPr>
      <w:r w:rsidRPr="0074152A">
        <w:rPr>
          <w:rStyle w:val="QuoteChar"/>
          <w:sz w:val="20"/>
        </w:rPr>
        <w:tab/>
        <w:t xml:space="preserve">Per </w:t>
      </w:r>
      <w:r w:rsidRPr="0074152A">
        <w:rPr>
          <w:b/>
          <w:sz w:val="20"/>
          <w:lang w:val="en"/>
        </w:rPr>
        <w:t>Côté</w:t>
      </w:r>
      <w:r w:rsidRPr="0074152A">
        <w:rPr>
          <w:sz w:val="20"/>
          <w:lang w:val="en"/>
        </w:rPr>
        <w:t xml:space="preserve"> J. (dissenting): The Tribunal’s decision falls well outside the </w:t>
      </w:r>
      <w:r w:rsidRPr="0074152A">
        <w:rPr>
          <w:sz w:val="20"/>
        </w:rPr>
        <w:t>range</w:t>
      </w:r>
      <w:r w:rsidRPr="0074152A">
        <w:rPr>
          <w:sz w:val="20"/>
          <w:lang w:val="en"/>
        </w:rPr>
        <w:t xml:space="preserve"> of reasonable interpretations. It contradicts the cascading nature of the General Rules, it is internally contradictory, and it interprets the Explanatory Notes in a manner that is irreconcilable with their words. </w:t>
      </w:r>
    </w:p>
    <w:p w:rsidR="00C02882" w:rsidRPr="0074152A" w:rsidRDefault="00C02882" w:rsidP="00C02882">
      <w:pPr>
        <w:pStyle w:val="SCCNormalDoubleSpacing"/>
        <w:spacing w:line="240" w:lineRule="auto"/>
        <w:rPr>
          <w:sz w:val="20"/>
          <w:lang w:val="en"/>
        </w:rPr>
      </w:pPr>
    </w:p>
    <w:p w:rsidR="00C02882" w:rsidRPr="0074152A" w:rsidRDefault="00C02882" w:rsidP="00C02882">
      <w:pPr>
        <w:pStyle w:val="SCCNormalDoubleSpacing"/>
        <w:spacing w:line="240" w:lineRule="auto"/>
        <w:rPr>
          <w:sz w:val="20"/>
        </w:rPr>
      </w:pPr>
      <w:r w:rsidRPr="0074152A">
        <w:rPr>
          <w:sz w:val="20"/>
          <w:lang w:val="en"/>
        </w:rPr>
        <w:tab/>
        <w:t xml:space="preserve">While the standard of review of reasonableness is applicable here, this </w:t>
      </w:r>
      <w:r w:rsidRPr="0074152A">
        <w:rPr>
          <w:sz w:val="20"/>
        </w:rPr>
        <w:t>appeal</w:t>
      </w:r>
      <w:r w:rsidRPr="0074152A">
        <w:rPr>
          <w:sz w:val="20"/>
          <w:lang w:val="en"/>
        </w:rPr>
        <w:t xml:space="preserve"> deals with the interpretation of a statute that was enacted to implement the </w:t>
      </w:r>
      <w:r w:rsidRPr="0074152A">
        <w:rPr>
          <w:i/>
          <w:sz w:val="20"/>
        </w:rPr>
        <w:t>International Convention on the Harmonized Commodity Description and Coding System</w:t>
      </w:r>
      <w:r w:rsidRPr="0074152A">
        <w:rPr>
          <w:sz w:val="20"/>
        </w:rPr>
        <w:t xml:space="preserve">. Given the </w:t>
      </w:r>
      <w:r w:rsidRPr="0074152A">
        <w:rPr>
          <w:i/>
          <w:sz w:val="20"/>
        </w:rPr>
        <w:t>Convention</w:t>
      </w:r>
      <w:r w:rsidRPr="0074152A">
        <w:rPr>
          <w:sz w:val="20"/>
        </w:rPr>
        <w:t xml:space="preserve"> parties’ intention of creating a uniform classification scheme, the range of reasonable statutory interpretations in this context is narrow.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lang w:val="en"/>
        </w:rPr>
        <w:tab/>
        <w:t xml:space="preserve">First, </w:t>
      </w:r>
      <w:r w:rsidRPr="0074152A">
        <w:rPr>
          <w:sz w:val="20"/>
        </w:rPr>
        <w:t xml:space="preserve">the Tribunal erred by requiring as a condition to the application of Rule 2(b) that the goods must first meet the description in the heading pursuant to Rule 1. The distinction between a conjunctive or hierarchical application of the General Rules as opposed to a cascading application is, in this case, irrelevant. A good does not need to first meet the description in a heading pursuant to Rule 1 in order for Rule 2(b) to apply. </w:t>
      </w:r>
      <w:r w:rsidRPr="0074152A">
        <w:rPr>
          <w:sz w:val="20"/>
          <w:lang w:val="en"/>
        </w:rPr>
        <w:t xml:space="preserve">Such a reading is inconsistent with the text of Rule 2(b). </w:t>
      </w:r>
      <w:r w:rsidRPr="0074152A">
        <w:rPr>
          <w:sz w:val="20"/>
        </w:rPr>
        <w:t>It is precisely because certain goods consisting of more than one material or substance cannot be classified under a heading using Rule 1 alone that Rule 2(b) applies. The function of Rule 2(b) is to extend headings referring to a material under Rule 1 to include goods that are composed only partly of the material.</w:t>
      </w:r>
    </w:p>
    <w:p w:rsidR="00C02882" w:rsidRPr="0074152A" w:rsidRDefault="00C02882" w:rsidP="00C02882">
      <w:pPr>
        <w:pStyle w:val="SCCNormalDoubleSpacing"/>
        <w:spacing w:line="240" w:lineRule="auto"/>
        <w:rPr>
          <w:sz w:val="20"/>
          <w:lang w:val="en"/>
        </w:rPr>
      </w:pPr>
    </w:p>
    <w:p w:rsidR="00C02882" w:rsidRPr="0074152A" w:rsidRDefault="00C02882" w:rsidP="00C02882">
      <w:pPr>
        <w:pStyle w:val="SCCNormalDoubleSpacing"/>
        <w:spacing w:line="240" w:lineRule="auto"/>
        <w:rPr>
          <w:sz w:val="20"/>
          <w:lang w:val="en"/>
        </w:rPr>
      </w:pPr>
      <w:r w:rsidRPr="0074152A">
        <w:rPr>
          <w:sz w:val="20"/>
          <w:lang w:val="en"/>
        </w:rPr>
        <w:tab/>
        <w:t xml:space="preserve">Second, </w:t>
      </w:r>
      <w:r w:rsidRPr="0074152A">
        <w:rPr>
          <w:sz w:val="20"/>
        </w:rPr>
        <w:t xml:space="preserve">the Tribunal failed to apply Rules 1 and 2(b) </w:t>
      </w:r>
      <w:r w:rsidRPr="0074152A">
        <w:rPr>
          <w:sz w:val="20"/>
          <w:lang w:val="en"/>
        </w:rPr>
        <w:t xml:space="preserve">consistently to heading No. 39.26 and heading No. 62.16. </w:t>
      </w:r>
      <w:r w:rsidRPr="0074152A">
        <w:rPr>
          <w:sz w:val="20"/>
        </w:rPr>
        <w:t xml:space="preserve">The Tribunal had to apply Rule 2(b) in order for heading No. 62.16 to apply to the gloves since the gloves included plastic that constituted more than mere trimming. Therefore, Rule 1 alone was not sufficient to classify the gloves in heading No. 62.16 nor in any heading, and the Tribunal had to resort to Rule 2(b). In this context, </w:t>
      </w:r>
      <w:r w:rsidRPr="0074152A">
        <w:rPr>
          <w:sz w:val="20"/>
          <w:lang w:val="en"/>
        </w:rPr>
        <w:t>the Tribunal’s refusal to apply Rules 1 and 2(b) consistently to both heading No. 39.26 and heading No. 62.16 is internally contradictory and therefore unreasonable.</w:t>
      </w:r>
    </w:p>
    <w:p w:rsidR="00C02882" w:rsidRPr="0074152A" w:rsidRDefault="00C02882" w:rsidP="00C02882">
      <w:pPr>
        <w:pStyle w:val="SCCNormalDoubleSpacing"/>
        <w:spacing w:line="240" w:lineRule="auto"/>
        <w:rPr>
          <w:sz w:val="20"/>
          <w:lang w:val="en"/>
        </w:rPr>
      </w:pPr>
    </w:p>
    <w:p w:rsidR="00C02882" w:rsidRPr="0074152A" w:rsidRDefault="00C02882" w:rsidP="00C02882">
      <w:pPr>
        <w:pStyle w:val="SCCNormalDoubleSpacing"/>
        <w:spacing w:line="240" w:lineRule="auto"/>
        <w:rPr>
          <w:sz w:val="20"/>
        </w:rPr>
      </w:pPr>
      <w:r w:rsidRPr="0074152A">
        <w:rPr>
          <w:sz w:val="20"/>
          <w:lang w:val="en"/>
        </w:rPr>
        <w:tab/>
      </w:r>
      <w:r w:rsidRPr="0074152A">
        <w:rPr>
          <w:sz w:val="20"/>
        </w:rPr>
        <w:t>Third, the Tribunal’s interpretation of the Explanatory Note</w:t>
      </w:r>
      <w:r w:rsidRPr="0074152A">
        <w:rPr>
          <w:i/>
          <w:sz w:val="20"/>
        </w:rPr>
        <w:t xml:space="preserve"> </w:t>
      </w:r>
      <w:r w:rsidRPr="0074152A">
        <w:rPr>
          <w:sz w:val="20"/>
        </w:rPr>
        <w:t>to heading No. 39.26 is unreasonable. While the Explanatory Note contains non</w:t>
      </w:r>
      <w:r w:rsidRPr="0074152A">
        <w:rPr>
          <w:sz w:val="20"/>
        </w:rPr>
        <w:noBreakHyphen/>
        <w:t xml:space="preserve">exhaustive language, the Tribunal concluded that heading No. 39.26 only includes articles of plastics that are made by “sewing or sealing sheets of plastics”. Such a restrictive interpretation was contrary to both an ordinary and contextual reading of the Explanatory Note. </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sz w:val="20"/>
        </w:rPr>
      </w:pPr>
      <w:r w:rsidRPr="0074152A">
        <w:rPr>
          <w:sz w:val="20"/>
        </w:rPr>
        <w:tab/>
        <w:t>APPEAL from a judgment of the Federal Court of Appeal (Pelletier, Near and Scott JJ.A.), 2014 FCA 266, [2014] F.C.J. No. 1134 (QL), 2014 CarswellNat 4603 (WL Can.), setting aside a decision of the Canadian International Trade Tribunal, 2013 CanLII 4408, [2013] C.I.T.T. No. 4 (QL), 2013 CarswellNat 6770 (WL Can.). Appeal allowed, Côté</w:t>
      </w:r>
      <w:r w:rsidRPr="0074152A">
        <w:rPr>
          <w:sz w:val="20"/>
          <w:lang w:val="en-US"/>
        </w:rPr>
        <w:t> J. dissenting</w:t>
      </w:r>
      <w:r w:rsidRPr="0074152A">
        <w:rPr>
          <w:sz w:val="20"/>
        </w:rPr>
        <w:t>.</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rStyle w:val="SCCCounselPartyRoleChar"/>
          <w:sz w:val="20"/>
        </w:rPr>
      </w:pPr>
      <w:r w:rsidRPr="0074152A">
        <w:rPr>
          <w:rStyle w:val="SCCCounselNameChar"/>
          <w:sz w:val="20"/>
        </w:rPr>
        <w:tab/>
        <w:t>Jan E. Brongers</w:t>
      </w:r>
      <w:r w:rsidRPr="0074152A">
        <w:rPr>
          <w:rStyle w:val="SCCCounselSeparatorChar"/>
          <w:sz w:val="20"/>
          <w:lang w:val="en-US"/>
        </w:rPr>
        <w:t xml:space="preserve"> and </w:t>
      </w:r>
      <w:r w:rsidRPr="0074152A">
        <w:rPr>
          <w:rStyle w:val="SCCCounselNameChar"/>
          <w:sz w:val="20"/>
        </w:rPr>
        <w:t>Michael Taylor</w:t>
      </w:r>
      <w:r w:rsidRPr="0074152A">
        <w:rPr>
          <w:rStyle w:val="SCCCounselPartyRoleChar"/>
          <w:sz w:val="20"/>
        </w:rPr>
        <w:t>, for the appellant.</w:t>
      </w:r>
    </w:p>
    <w:p w:rsidR="00C02882" w:rsidRPr="0074152A" w:rsidRDefault="00C02882" w:rsidP="00C02882">
      <w:pPr>
        <w:pStyle w:val="SCCNormalDoubleSpacing"/>
        <w:spacing w:line="240" w:lineRule="auto"/>
        <w:rPr>
          <w:sz w:val="20"/>
        </w:rPr>
      </w:pPr>
    </w:p>
    <w:p w:rsidR="00C02882" w:rsidRPr="0074152A" w:rsidRDefault="00C02882" w:rsidP="00C02882">
      <w:pPr>
        <w:pStyle w:val="SCCNormalDoubleSpacing"/>
        <w:spacing w:line="240" w:lineRule="auto"/>
        <w:rPr>
          <w:rStyle w:val="SCCCounselPartyRoleChar"/>
          <w:sz w:val="20"/>
        </w:rPr>
      </w:pPr>
      <w:r w:rsidRPr="0074152A">
        <w:rPr>
          <w:rStyle w:val="SCCCounselNameChar"/>
          <w:sz w:val="20"/>
        </w:rPr>
        <w:tab/>
      </w:r>
      <w:r w:rsidRPr="0074152A">
        <w:rPr>
          <w:rStyle w:val="SCCCounselNameChar"/>
          <w:sz w:val="20"/>
          <w:lang w:val="en-US"/>
        </w:rPr>
        <w:t>Jennifer Klinck</w:t>
      </w:r>
      <w:r w:rsidRPr="0074152A">
        <w:rPr>
          <w:rStyle w:val="SCCCounselNameChar"/>
          <w:sz w:val="20"/>
        </w:rPr>
        <w:t xml:space="preserve"> and Michael Kaylor</w:t>
      </w:r>
      <w:r w:rsidRPr="0074152A">
        <w:rPr>
          <w:rStyle w:val="SCCCounselPartyRoleChar"/>
          <w:sz w:val="20"/>
        </w:rPr>
        <w:t>, for the respondent.</w:t>
      </w:r>
    </w:p>
    <w:p w:rsidR="00C02882" w:rsidRPr="0074152A" w:rsidRDefault="00C02882" w:rsidP="00C02882">
      <w:pPr>
        <w:pStyle w:val="SCCNormalDoubleSpacing"/>
        <w:spacing w:line="240" w:lineRule="auto"/>
        <w:rPr>
          <w:rStyle w:val="SCCCounselPartyRoleChar"/>
          <w:sz w:val="20"/>
        </w:rPr>
      </w:pPr>
    </w:p>
    <w:p w:rsidR="00C02882" w:rsidRPr="0074152A" w:rsidRDefault="00C02882" w:rsidP="00C02882">
      <w:pPr>
        <w:pStyle w:val="SCCNormalDoubleSpacing"/>
        <w:spacing w:line="240" w:lineRule="auto"/>
        <w:rPr>
          <w:sz w:val="20"/>
        </w:rPr>
      </w:pPr>
      <w:r w:rsidRPr="0074152A">
        <w:rPr>
          <w:sz w:val="20"/>
        </w:rPr>
        <w:lastRenderedPageBreak/>
        <w:tab/>
        <w:t>Solicitor for the appellant: Attorney General of Canada, Vancouver.</w:t>
      </w:r>
    </w:p>
    <w:p w:rsidR="00C02882" w:rsidRPr="0074152A" w:rsidRDefault="00C02882" w:rsidP="00C02882">
      <w:pPr>
        <w:pStyle w:val="SCCNormalDoubleSpacing"/>
        <w:spacing w:line="240" w:lineRule="auto"/>
        <w:rPr>
          <w:sz w:val="20"/>
        </w:rPr>
      </w:pPr>
    </w:p>
    <w:p w:rsidR="00C02882" w:rsidRPr="0074152A" w:rsidRDefault="00C02882" w:rsidP="00C02882">
      <w:pPr>
        <w:pStyle w:val="SCCLawFirm"/>
        <w:spacing w:line="240" w:lineRule="auto"/>
        <w:rPr>
          <w:sz w:val="20"/>
          <w:lang w:val="fr-CA"/>
        </w:rPr>
      </w:pPr>
      <w:r w:rsidRPr="0074152A">
        <w:rPr>
          <w:sz w:val="20"/>
        </w:rPr>
        <w:tab/>
      </w:r>
      <w:r w:rsidRPr="0074152A">
        <w:rPr>
          <w:sz w:val="20"/>
          <w:lang w:val="fr-CA"/>
        </w:rPr>
        <w:t>Solicitors for the respondent: Power Law, Vancouver; Lapointe Rosenstein Marchand Melançon, Montréal.</w:t>
      </w:r>
    </w:p>
    <w:p w:rsidR="00C153BF" w:rsidRPr="0074152A" w:rsidRDefault="00C153BF" w:rsidP="0052229C">
      <w:pPr>
        <w:rPr>
          <w:sz w:val="20"/>
          <w:szCs w:val="20"/>
          <w:lang w:val="fr-CA"/>
        </w:rPr>
      </w:pPr>
    </w:p>
    <w:p w:rsidR="0052229C" w:rsidRPr="0074152A" w:rsidRDefault="0052229C" w:rsidP="0052229C">
      <w:pPr>
        <w:rPr>
          <w:sz w:val="20"/>
          <w:szCs w:val="20"/>
          <w:lang w:val="fr-CA"/>
        </w:rPr>
      </w:pPr>
      <w:r w:rsidRPr="0074152A">
        <w:rPr>
          <w:sz w:val="20"/>
          <w:szCs w:val="20"/>
          <w:lang w:val="fr-CA"/>
        </w:rPr>
        <w:t>________________________</w:t>
      </w:r>
    </w:p>
    <w:p w:rsidR="0052229C" w:rsidRPr="0074152A" w:rsidRDefault="0052229C" w:rsidP="0052229C">
      <w:pPr>
        <w:rPr>
          <w:sz w:val="20"/>
          <w:szCs w:val="20"/>
          <w:lang w:val="fr-CA"/>
        </w:rPr>
      </w:pPr>
    </w:p>
    <w:p w:rsidR="00C02882" w:rsidRPr="0074152A" w:rsidRDefault="00C02882" w:rsidP="00C02882">
      <w:pPr>
        <w:rPr>
          <w:sz w:val="20"/>
          <w:szCs w:val="20"/>
          <w:lang w:val="fr-CA"/>
        </w:rPr>
      </w:pPr>
      <w:r w:rsidRPr="0074152A">
        <w:rPr>
          <w:sz w:val="20"/>
          <w:szCs w:val="20"/>
          <w:lang w:val="fr-CA"/>
        </w:rPr>
        <w:t>Présents : La juge en chef McLachlin et les juges Abella, Cromwell, Moldaver, Karakatsanis, Wagner, Gascon, Côté et Brown.</w:t>
      </w:r>
    </w:p>
    <w:p w:rsidR="00C02882" w:rsidRPr="0074152A" w:rsidRDefault="00C02882" w:rsidP="00C02882">
      <w:pPr>
        <w:rPr>
          <w:sz w:val="20"/>
          <w:szCs w:val="20"/>
          <w:lang w:val="fr-CA"/>
        </w:rPr>
      </w:pPr>
    </w:p>
    <w:p w:rsidR="00C02882" w:rsidRPr="0074152A" w:rsidRDefault="00C02882" w:rsidP="00C02882">
      <w:pPr>
        <w:pStyle w:val="SCCNormalDoubleSpacing"/>
        <w:spacing w:line="240" w:lineRule="auto"/>
        <w:rPr>
          <w:i/>
          <w:sz w:val="20"/>
          <w:lang w:val="fr-CA"/>
        </w:rPr>
      </w:pPr>
      <w:r w:rsidRPr="0074152A">
        <w:rPr>
          <w:i/>
          <w:sz w:val="20"/>
          <w:lang w:val="fr-CA"/>
        </w:rPr>
        <w:tab/>
        <w:t xml:space="preserve">Douanes et accise </w:t>
      </w:r>
      <w:r w:rsidRPr="0074152A">
        <w:rPr>
          <w:i/>
          <w:iCs/>
          <w:sz w:val="20"/>
          <w:lang w:val="fr-CA"/>
        </w:rPr>
        <w:t>— Commerce international — Classement de marchandises en vue de la détermination du tarif — Importation de gants de hockey — Les marchandises doivent</w:t>
      </w:r>
      <w:r w:rsidRPr="0074152A">
        <w:rPr>
          <w:i/>
          <w:iCs/>
          <w:sz w:val="20"/>
          <w:lang w:val="fr-CA"/>
        </w:rPr>
        <w:noBreakHyphen/>
        <w:t>elles être classées comme des « gants, mitaines et moufles » ou comme « autres ouvrages en matières plastiques et ouvrages en autres matières » en application du Système harmonisé de désignation et de codification des marchandises? — L’interprétation et l’application par le Tribunal canadien du commerce extérieur des Règles 1 et 2 des Règles générales pour l’interprétation du Système harmonisé étaient</w:t>
      </w:r>
      <w:r w:rsidRPr="0074152A">
        <w:rPr>
          <w:i/>
          <w:iCs/>
          <w:sz w:val="20"/>
          <w:lang w:val="fr-CA"/>
        </w:rPr>
        <w:noBreakHyphen/>
        <w:t>elles raisonnables? —</w:t>
      </w:r>
      <w:r w:rsidRPr="0074152A">
        <w:rPr>
          <w:i/>
          <w:sz w:val="20"/>
          <w:lang w:val="fr-CA"/>
        </w:rPr>
        <w:t xml:space="preserve"> Tarif des douanes, L.C. 1997, c. 36, annexe, Règles générales pour l’interprétation du Système harmonisé.</w:t>
      </w:r>
    </w:p>
    <w:p w:rsidR="00C02882" w:rsidRPr="0074152A" w:rsidRDefault="00C02882" w:rsidP="00C02882">
      <w:pPr>
        <w:pStyle w:val="SCCNormalDoubleSpacing"/>
        <w:spacing w:line="240" w:lineRule="auto"/>
        <w:rPr>
          <w:i/>
          <w:iCs/>
          <w:sz w:val="20"/>
          <w:lang w:val="fr-CA"/>
        </w:rPr>
      </w:pPr>
    </w:p>
    <w:p w:rsidR="00C02882" w:rsidRPr="0074152A" w:rsidRDefault="00C02882" w:rsidP="00C02882">
      <w:pPr>
        <w:pStyle w:val="SCCNormalDoubleSpacing"/>
        <w:spacing w:line="240" w:lineRule="auto"/>
        <w:rPr>
          <w:sz w:val="20"/>
          <w:lang w:val="fr-CA"/>
        </w:rPr>
      </w:pPr>
      <w:r w:rsidRPr="0074152A">
        <w:rPr>
          <w:i/>
          <w:iCs/>
          <w:sz w:val="20"/>
          <w:lang w:val="fr-CA"/>
        </w:rPr>
        <w:tab/>
      </w:r>
      <w:r w:rsidRPr="0074152A">
        <w:rPr>
          <w:iCs/>
          <w:sz w:val="20"/>
          <w:lang w:val="fr-CA"/>
        </w:rPr>
        <w:t xml:space="preserve">L’importateur a pris des arrangements pour importer des gants de hockey confectionnés de matières textiles et plastiques cousues ensemble. L’Agence des services frontaliers du Canada a classé cinq modèles de gants dans le numéro tarifaire 6216.00.00, à savoir « gants, mitaines et moufles », du </w:t>
      </w:r>
      <w:r w:rsidRPr="0074152A">
        <w:rPr>
          <w:sz w:val="20"/>
          <w:lang w:val="fr-CA"/>
        </w:rPr>
        <w:t xml:space="preserve">Système harmonisé de désignation et de codification des marchandises (le « Système harmonisé »), qui figure en annexe au </w:t>
      </w:r>
      <w:r w:rsidRPr="0074152A">
        <w:rPr>
          <w:i/>
          <w:sz w:val="20"/>
          <w:lang w:val="fr-CA"/>
        </w:rPr>
        <w:t>Tarif des douanes</w:t>
      </w:r>
      <w:r w:rsidRPr="0074152A">
        <w:rPr>
          <w:sz w:val="20"/>
          <w:lang w:val="fr-CA"/>
        </w:rPr>
        <w:t xml:space="preserve">. L’autre modèle a été classé dans le numéro tarifaire 3926.20.92, à savoir « autres ouvrages en matières plastiques ».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Le Tribunal canadien du commerce extérieur (le « TCCE » ou le « Tribunal ») a rejeté l’appel interjeté par l’importateur et est arrivé à la conclusion que les gants devaient être classés comme des « gants, mitaines et moufles ». La Cour d’appel fédérale a cependant accueilli l’appel interjeté par l’importateur et renvoyé l’affaire au TCCE.</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r>
      <w:r w:rsidRPr="0074152A">
        <w:rPr>
          <w:rStyle w:val="QuoteChar"/>
          <w:sz w:val="20"/>
          <w:lang w:val="fr-CA"/>
        </w:rPr>
        <w:t xml:space="preserve">Arrêt </w:t>
      </w:r>
      <w:r w:rsidRPr="0074152A">
        <w:rPr>
          <w:sz w:val="20"/>
          <w:lang w:val="fr-CA"/>
        </w:rPr>
        <w:t xml:space="preserve">(la juge Côté est dissidente) : L’appel est accueilli.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r>
      <w:r w:rsidRPr="0074152A">
        <w:rPr>
          <w:i/>
          <w:sz w:val="20"/>
          <w:lang w:val="fr-CA"/>
        </w:rPr>
        <w:t>La</w:t>
      </w:r>
      <w:r w:rsidRPr="0074152A">
        <w:rPr>
          <w:sz w:val="20"/>
          <w:lang w:val="fr-CA"/>
        </w:rPr>
        <w:t xml:space="preserve"> juge en chef McLachlin et les juges Abella, Cromwell, Moldaver, Karakatsanis, </w:t>
      </w:r>
      <w:r w:rsidRPr="0074152A">
        <w:rPr>
          <w:bCs/>
          <w:sz w:val="20"/>
          <w:lang w:val="fr-CA"/>
        </w:rPr>
        <w:t>Wagner</w:t>
      </w:r>
      <w:r w:rsidRPr="0074152A">
        <w:rPr>
          <w:sz w:val="20"/>
          <w:lang w:val="fr-CA"/>
        </w:rPr>
        <w:t xml:space="preserve">, </w:t>
      </w:r>
      <w:r w:rsidRPr="0074152A">
        <w:rPr>
          <w:bCs/>
          <w:sz w:val="20"/>
          <w:lang w:val="fr-CA"/>
        </w:rPr>
        <w:t>Gascon et</w:t>
      </w:r>
      <w:r w:rsidRPr="0074152A">
        <w:rPr>
          <w:b/>
          <w:bCs/>
          <w:sz w:val="20"/>
          <w:lang w:val="fr-CA"/>
        </w:rPr>
        <w:t xml:space="preserve"> Brown</w:t>
      </w:r>
      <w:r w:rsidRPr="0074152A">
        <w:rPr>
          <w:bCs/>
          <w:sz w:val="20"/>
          <w:lang w:val="fr-CA"/>
        </w:rPr>
        <w:t> :</w:t>
      </w:r>
      <w:r w:rsidRPr="0074152A">
        <w:rPr>
          <w:sz w:val="20"/>
          <w:lang w:val="fr-CA"/>
        </w:rPr>
        <w:t xml:space="preserve"> L’exercice de classement commence par la Règle 1 des Règles générales pour l’interprétation du Système harmonisé, suivant laquelle le classement des marchandises se fait initialement selon les termes des positions d’un chapitre, ainsi que de toute Note de Section ou de Chapitre applicable. Dans le cas d’un article non fini ou fait d’un mélange de matières, il faut appliquer la Règle 2 en tandem avec la Règle 1 pour déterminer la position dans laquelle la marchandise paraît devoir être classée. La Règle 2a) assimile l’article non fini à l’article fini et dispose qu’il est classé en application de la Règle 1 comme s’il s’agissait d’un article complet ou fini. La Règle 2b) s’applique lorsqu’il s’agit de déterminer le classement d’un article fait d’un mélange de matières. Elle dispose que la mention dans une position d’ouvrages en une matière déterminée se rapporte aux ouvrages constitués entièrement ou partiellement de cette matière. Si l’application des Règles 1 et 2 aboutit à une seule position, l’article est classé dans cette position et l’analyse prend fin. Or, si une marchandise paraît devoir être classée dans plus d’une position, il faut appliquer la Règle 3, comme le prévoit la Règle 2b), pour résoudre le conflit. Si l’application des Règles 1, 2 et 3 n’aboutit pas au classement d’un article dans une seule position, il faut appliquer les Règle 4, 5 et 6 pour déterminer le classement de la marchandise.</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 xml:space="preserve">Si on dit couramment des Règles générales qu’elles sont structurées en cascade, cette métaphore ne décrit pas vraiment la manière dont les Règles s’appliquent. L’ordre relève plus de la hiérarchie que de la cascade. La Règle 1 n’est pas écartée par l’application de la Règle 2. Dans les cas où la Règle 2 s’applique, c’est en tandem avec la Règle 1 pour déterminer la position ou les positions dans lesquelles un article incomplet ou composite paraît devoir être classé.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 xml:space="preserve">Le TCCE a conclu que les gants ne pouvaient être classés dans la position 39.26 par application de la Règle 1, car ils n’étaient pas confectionnés par couture ou collage à partir de matières plastiques en feuilles, comme le prévoit la Note explicative accompagnant la position 39.26 des </w:t>
      </w:r>
      <w:r w:rsidRPr="0074152A">
        <w:rPr>
          <w:i/>
          <w:sz w:val="20"/>
          <w:lang w:val="fr-CA"/>
        </w:rPr>
        <w:t>Notes explicatives</w:t>
      </w:r>
      <w:r w:rsidRPr="0074152A">
        <w:rPr>
          <w:sz w:val="20"/>
          <w:lang w:val="fr-CA"/>
        </w:rPr>
        <w:t xml:space="preserve"> </w:t>
      </w:r>
      <w:r w:rsidRPr="0074152A">
        <w:rPr>
          <w:i/>
          <w:sz w:val="20"/>
          <w:lang w:val="fr-CA"/>
        </w:rPr>
        <w:t>du Système harmonisé de désignation et de codification des marchandises</w:t>
      </w:r>
      <w:r w:rsidRPr="0074152A">
        <w:rPr>
          <w:sz w:val="20"/>
          <w:lang w:val="fr-CA"/>
        </w:rPr>
        <w:t xml:space="preserve">. Le TCCE est arrivé à la conclusion que les gants répondaient aux termes de la position 62.16 par application de la Règle 1. Le TCCE, estimant que les gants comportaient du rembourrage en plastique qui excédaient le rôle de simples garnitures a appliqué la Règle 2b) des Règles générales, comme le prévoit la Note </w:t>
      </w:r>
      <w:r w:rsidRPr="0074152A">
        <w:rPr>
          <w:sz w:val="20"/>
          <w:lang w:val="fr-CA"/>
        </w:rPr>
        <w:lastRenderedPageBreak/>
        <w:t xml:space="preserve">explicative accompagnant la position 62.16, ce qui l’a mené à étendre la portée de la position de manière à classer les marchandises comme des « gants, mitaines et moufles ».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 xml:space="preserve">La Cour d’appel fédérale a conclu que le TCCE avait mal interprété les Règles générales en exigeant que les articles répondent aux termes d’une position en application de la Règle 1 avant que n’intervienne la Règle 2b) pour étendre la portée de cette position de manière à y inclure les matières mélangées. Le TCCE, après avoir déterminé que les marchandises ne correspondaient pas aux termes de la position 39.26, aurait dû appliquer la Règle 2b) des Règles générales pour étendre la portée de la position de manière à y inclure les gants. Ensuite, comme les marchandises paraissaient devoir être classées dans deux positions, soit 39.26 et 62.16, il aurait fallu appliquer la Règle 3 pour déterminer le classement des gants.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En concluant que le TCCE avait mal appliqué les Règles générales, la Cour d’appel fédérale a mal saisi l’économie de ces Règles. Elle n’a pas compris que les Règles 1 et 2 doivent être appliquées en tandem lorsqu’il s’agit de déterminer dans quelle position un article paraît devoir être classé. En outre, la Cour d’appel fédérale a fait erreur en supposant que la Règle 2b) s’applique pour étendre la portée d’une position de manière à y inclure un article dont aucune partie ne peut y être classée. Si aux termes de la Règle 2b) la mention d’une matière dans une position est assimilée à la mention de cette matière mélangée ou associée à d’autres matières, il demeure que les Notes de Sections ou de Chapitres et les Notes explicatives s’appliquent au classement de l’article comme s’il était constitué à l’état pur de la matière mentionnée dans la position. Globalement, la décision du TCCE était raisonnable. Le TCCE n’a pas mal appliqué les Règles générales ni donné au libellé de la position 39.26 et à sa Note explicative une interprétation déraisonnable.</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r w:rsidRPr="0074152A">
        <w:rPr>
          <w:rStyle w:val="QuoteChar"/>
          <w:rFonts w:eastAsiaTheme="minorEastAsia"/>
          <w:sz w:val="20"/>
          <w:lang w:val="fr-CA"/>
        </w:rPr>
        <w:tab/>
        <w:t xml:space="preserve">La juge </w:t>
      </w:r>
      <w:r w:rsidRPr="0074152A">
        <w:rPr>
          <w:rFonts w:cs="Times New Roman"/>
          <w:b/>
          <w:sz w:val="20"/>
          <w:szCs w:val="20"/>
        </w:rPr>
        <w:t>Côté</w:t>
      </w:r>
      <w:r w:rsidRPr="0074152A">
        <w:rPr>
          <w:rFonts w:cs="Times New Roman"/>
          <w:sz w:val="20"/>
          <w:szCs w:val="20"/>
        </w:rPr>
        <w:t xml:space="preserve"> (dissidente) : La décision du Tribunal ne fait aucunement partie des interprétations raisonnables. Elle va à l’encontre de la nature dite « en cascade » des Règles générales, elle est intrinsèquement contradictoire et elle fait des Notes explicatives une lecture qui est incompatible avec leur libellé. </w:t>
      </w: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r w:rsidRPr="0074152A">
        <w:rPr>
          <w:rFonts w:cs="Times New Roman"/>
          <w:sz w:val="20"/>
          <w:szCs w:val="20"/>
        </w:rPr>
        <w:tab/>
        <w:t xml:space="preserve">Bien que la norme de contrôle de la décision raisonnable s’applique en l’espèce, la présente affaire porte sur l’interprétation de la loi de mise en œuvre de la </w:t>
      </w:r>
      <w:r w:rsidRPr="0074152A">
        <w:rPr>
          <w:rFonts w:cs="Times New Roman"/>
          <w:i/>
          <w:sz w:val="20"/>
          <w:szCs w:val="20"/>
        </w:rPr>
        <w:t>Convention</w:t>
      </w:r>
      <w:r w:rsidRPr="0074152A">
        <w:rPr>
          <w:rFonts w:cs="Times New Roman"/>
          <w:sz w:val="20"/>
          <w:szCs w:val="20"/>
        </w:rPr>
        <w:t xml:space="preserve"> </w:t>
      </w:r>
      <w:r w:rsidRPr="0074152A">
        <w:rPr>
          <w:rFonts w:cs="Times New Roman"/>
          <w:i/>
          <w:sz w:val="20"/>
          <w:szCs w:val="20"/>
        </w:rPr>
        <w:t>internationale sur le Système harmonisé de désignation et de codification des marchandises</w:t>
      </w:r>
      <w:r w:rsidRPr="0074152A">
        <w:rPr>
          <w:rFonts w:cs="Times New Roman"/>
          <w:sz w:val="20"/>
          <w:szCs w:val="20"/>
        </w:rPr>
        <w:t xml:space="preserve">. Compte tenu de l’intention des parties à la </w:t>
      </w:r>
      <w:r w:rsidRPr="0074152A">
        <w:rPr>
          <w:rFonts w:cs="Times New Roman"/>
          <w:i/>
          <w:sz w:val="20"/>
          <w:szCs w:val="20"/>
        </w:rPr>
        <w:t>Convention</w:t>
      </w:r>
      <w:r w:rsidRPr="0074152A">
        <w:rPr>
          <w:rFonts w:cs="Times New Roman"/>
          <w:sz w:val="20"/>
          <w:szCs w:val="20"/>
        </w:rPr>
        <w:t xml:space="preserve"> à l’égard de la création d’un régime uniforme de classement, le nombre d’interprétations raisonnables est par conséquent limité. </w:t>
      </w: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p>
    <w:p w:rsidR="00C02882" w:rsidRPr="0074152A" w:rsidRDefault="00C02882" w:rsidP="00C02882">
      <w:pPr>
        <w:pStyle w:val="SCCNormalDoubleSpacing"/>
        <w:spacing w:line="240" w:lineRule="auto"/>
        <w:rPr>
          <w:sz w:val="20"/>
          <w:lang w:val="fr-CA"/>
        </w:rPr>
      </w:pPr>
      <w:r w:rsidRPr="0074152A">
        <w:rPr>
          <w:sz w:val="20"/>
          <w:lang w:val="fr-CA"/>
        </w:rPr>
        <w:tab/>
        <w:t xml:space="preserve">Premièrement, le Tribunal a exigé à tort comme prérequis que les marchandises satisfassent d’abord à la description de la position, conformément à la Règle 1, pour que la Règle 2b) s’applique. La distinction entre une application conjonctive ou hiérarchique des Règles générales et une application dite « en cascade » importe peu en l’espèce. Une marchandise ne doit pas, pour que la Règle 2b) s’applique, satisfaire d’abord aux termes de la position pour le classement en fonction de la Règle 1. Une telle lecture est incompatible avec le libellé de la Règle 2b). C’est précisément parce que certaines marchandises faites d’un mélange de matières ou de substances ne peuvent être classées dans une position en fonction de la Règle 1 seule que la Règle 2b) s’applique. La Règle 2b) a pour fonction d’élargir la portée des positions qui mentionnent une matière de sorte qu’elles puissent servir au classement, en fonction de la Règle 1, de marchandises constituées partiellement de cette matière. </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sz w:val="20"/>
          <w:lang w:val="fr-CA"/>
        </w:rPr>
      </w:pPr>
      <w:r w:rsidRPr="0074152A">
        <w:rPr>
          <w:sz w:val="20"/>
          <w:lang w:val="fr-CA"/>
        </w:rPr>
        <w:tab/>
        <w:t>Deuxièmement, le Tribunal n’a pas appliqué les Règles 1 et 2b) de manière uniforme aux positions n</w:t>
      </w:r>
      <w:r w:rsidRPr="0074152A">
        <w:rPr>
          <w:sz w:val="20"/>
          <w:vertAlign w:val="superscript"/>
          <w:lang w:val="fr-CA"/>
        </w:rPr>
        <w:t>os</w:t>
      </w:r>
      <w:r w:rsidRPr="0074152A">
        <w:rPr>
          <w:sz w:val="20"/>
          <w:lang w:val="fr-CA"/>
        </w:rPr>
        <w:t> 39.26 et 62.16. Le Tribunal devait appliquer la Règle 2b) pour que les gants puissent être classés dans la position n</w:t>
      </w:r>
      <w:r w:rsidRPr="0074152A">
        <w:rPr>
          <w:sz w:val="20"/>
          <w:vertAlign w:val="superscript"/>
          <w:lang w:val="fr-CA"/>
        </w:rPr>
        <w:t>o</w:t>
      </w:r>
      <w:r w:rsidRPr="0074152A">
        <w:rPr>
          <w:sz w:val="20"/>
          <w:lang w:val="fr-CA"/>
        </w:rPr>
        <w:t> 62.16 puisque ceux</w:t>
      </w:r>
      <w:r w:rsidRPr="0074152A">
        <w:rPr>
          <w:sz w:val="20"/>
          <w:lang w:val="fr-CA"/>
        </w:rPr>
        <w:noBreakHyphen/>
        <w:t>ci comportent du rembourrage en plastique qui excède le rôle de simples garnitures. Par conséquent, la Règle 1 ne pouvait être appliquée seule pour le classement des gants dans la position n</w:t>
      </w:r>
      <w:r w:rsidRPr="0074152A">
        <w:rPr>
          <w:sz w:val="20"/>
          <w:vertAlign w:val="superscript"/>
          <w:lang w:val="fr-CA"/>
        </w:rPr>
        <w:t>o</w:t>
      </w:r>
      <w:r w:rsidRPr="0074152A">
        <w:rPr>
          <w:sz w:val="20"/>
          <w:lang w:val="fr-CA"/>
        </w:rPr>
        <w:t> 62.16 ni dans aucune autre position, et le Tribunal a dû recourir à la Règle 2b). Dans ce contexte, le refus du Tribunal d’appliquer les Règles 1 et 2b) de manière uniforme aux positions n</w:t>
      </w:r>
      <w:r w:rsidRPr="0074152A">
        <w:rPr>
          <w:sz w:val="20"/>
          <w:vertAlign w:val="superscript"/>
          <w:lang w:val="fr-CA"/>
        </w:rPr>
        <w:t>os</w:t>
      </w:r>
      <w:r w:rsidRPr="0074152A">
        <w:rPr>
          <w:sz w:val="20"/>
          <w:lang w:val="fr-CA"/>
        </w:rPr>
        <w:t> 39.26 et 62.16 est intrinsèquement contradictoire et donc déraisonnable.</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r w:rsidRPr="0074152A">
        <w:rPr>
          <w:rFonts w:cs="Times New Roman"/>
          <w:sz w:val="20"/>
          <w:szCs w:val="20"/>
        </w:rPr>
        <w:tab/>
        <w:t>Troisièmement, l’interprétation par le Tribunal de la Note explicative accompagnant la position n</w:t>
      </w:r>
      <w:r w:rsidRPr="0074152A">
        <w:rPr>
          <w:rFonts w:cs="Times New Roman"/>
          <w:sz w:val="20"/>
          <w:szCs w:val="20"/>
          <w:vertAlign w:val="superscript"/>
        </w:rPr>
        <w:t>o</w:t>
      </w:r>
      <w:r w:rsidRPr="0074152A">
        <w:rPr>
          <w:rFonts w:cs="Times New Roman"/>
          <w:sz w:val="20"/>
          <w:szCs w:val="20"/>
        </w:rPr>
        <w:t> 39.26 est déraisonnable. Même si la Note explicative est rédigée en termes non exhaustifs, le Tribunal a conclu que la position n</w:t>
      </w:r>
      <w:r w:rsidRPr="0074152A">
        <w:rPr>
          <w:rFonts w:cs="Times New Roman"/>
          <w:sz w:val="20"/>
          <w:szCs w:val="20"/>
          <w:vertAlign w:val="superscript"/>
        </w:rPr>
        <w:t>o</w:t>
      </w:r>
      <w:r w:rsidRPr="0074152A">
        <w:rPr>
          <w:rFonts w:cs="Times New Roman"/>
          <w:sz w:val="20"/>
          <w:szCs w:val="20"/>
        </w:rPr>
        <w:t xml:space="preserve"> 39.26 ne vise que les articles confectionnés par « couture ou collage à partir de matières plastiques en feuilles ». Une telle interprétation restrictive est contraire tant à une interprétation selon le contexte qu’à une interprétation selon le sens ordinaire des mots de la Note explicative. </w:t>
      </w:r>
    </w:p>
    <w:p w:rsidR="00C02882" w:rsidRPr="0074152A" w:rsidRDefault="00C02882" w:rsidP="00C02882">
      <w:pPr>
        <w:pStyle w:val="ParaNoNdepar-AltN"/>
        <w:numPr>
          <w:ilvl w:val="0"/>
          <w:numId w:val="0"/>
        </w:numPr>
        <w:tabs>
          <w:tab w:val="left" w:pos="1166"/>
        </w:tabs>
        <w:spacing w:before="0" w:after="0" w:line="240" w:lineRule="auto"/>
        <w:rPr>
          <w:rFonts w:cs="Times New Roman"/>
          <w:sz w:val="20"/>
          <w:szCs w:val="20"/>
        </w:rPr>
      </w:pPr>
    </w:p>
    <w:p w:rsidR="00C02882" w:rsidRPr="0074152A" w:rsidRDefault="00C02882" w:rsidP="00C02882">
      <w:pPr>
        <w:pStyle w:val="SCCNormalDoubleSpacing"/>
        <w:spacing w:line="240" w:lineRule="auto"/>
        <w:rPr>
          <w:sz w:val="20"/>
          <w:lang w:val="fr-CA"/>
        </w:rPr>
      </w:pPr>
      <w:r w:rsidRPr="0074152A">
        <w:rPr>
          <w:sz w:val="20"/>
          <w:lang w:val="fr-CA"/>
        </w:rPr>
        <w:tab/>
        <w:t>POURVOI contre un arrêt de la Cour d’appel fédérale (les juges Pelletier, Near et Scott), 2014 CAF 266, [2014] A.C.F. n</w:t>
      </w:r>
      <w:r w:rsidRPr="0074152A">
        <w:rPr>
          <w:sz w:val="20"/>
          <w:vertAlign w:val="superscript"/>
          <w:lang w:val="fr-CA"/>
        </w:rPr>
        <w:t>o</w:t>
      </w:r>
      <w:r w:rsidRPr="0074152A">
        <w:rPr>
          <w:sz w:val="20"/>
          <w:lang w:val="fr-CA"/>
        </w:rPr>
        <w:t xml:space="preserve"> 1134 (QL), 2014 CarswellNat 6196 (WL Can.), qui a annulé une décision du Tribunal canadien du commerce </w:t>
      </w:r>
      <w:r w:rsidRPr="0074152A">
        <w:rPr>
          <w:sz w:val="20"/>
          <w:lang w:val="fr-CA"/>
        </w:rPr>
        <w:lastRenderedPageBreak/>
        <w:t>extérieur, 2013 CanLII 4408, [2013] T.C.C.E. n</w:t>
      </w:r>
      <w:r w:rsidRPr="0074152A">
        <w:rPr>
          <w:sz w:val="20"/>
          <w:vertAlign w:val="superscript"/>
          <w:lang w:val="fr-CA"/>
        </w:rPr>
        <w:t>o</w:t>
      </w:r>
      <w:r w:rsidRPr="0074152A">
        <w:rPr>
          <w:sz w:val="20"/>
          <w:lang w:val="fr-CA"/>
        </w:rPr>
        <w:t> 4 (QL), 2013 Carswell 6771 (WL Can.). Pourvoi accueilli, la juge Côté est dissidente.</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rStyle w:val="SCCCounselPartyRoleChar"/>
          <w:sz w:val="20"/>
          <w:lang w:val="fr-CA"/>
        </w:rPr>
      </w:pPr>
      <w:r w:rsidRPr="0074152A">
        <w:rPr>
          <w:rStyle w:val="SCCCounselNameChar"/>
          <w:sz w:val="20"/>
          <w:lang w:val="fr-CA"/>
        </w:rPr>
        <w:tab/>
        <w:t>Jan E. Brongers</w:t>
      </w:r>
      <w:r w:rsidRPr="0074152A">
        <w:rPr>
          <w:rStyle w:val="SCCCounselSeparatorChar"/>
          <w:sz w:val="20"/>
        </w:rPr>
        <w:t xml:space="preserve"> et </w:t>
      </w:r>
      <w:r w:rsidRPr="0074152A">
        <w:rPr>
          <w:rStyle w:val="SCCCounselNameChar"/>
          <w:sz w:val="20"/>
          <w:lang w:val="fr-CA"/>
        </w:rPr>
        <w:t>Michael Taylor</w:t>
      </w:r>
      <w:r w:rsidRPr="0074152A">
        <w:rPr>
          <w:rStyle w:val="SCCCounselPartyRoleChar"/>
          <w:sz w:val="20"/>
          <w:lang w:val="fr-CA"/>
        </w:rPr>
        <w:t>, pour l’appelant.</w:t>
      </w:r>
    </w:p>
    <w:p w:rsidR="00C02882" w:rsidRPr="0074152A" w:rsidRDefault="00C02882" w:rsidP="00C02882">
      <w:pPr>
        <w:pStyle w:val="SCCNormalDoubleSpacing"/>
        <w:spacing w:line="240" w:lineRule="auto"/>
        <w:rPr>
          <w:sz w:val="20"/>
          <w:lang w:val="fr-CA"/>
        </w:rPr>
      </w:pPr>
    </w:p>
    <w:p w:rsidR="00C02882" w:rsidRPr="0074152A" w:rsidRDefault="00C02882" w:rsidP="00C02882">
      <w:pPr>
        <w:pStyle w:val="SCCNormalDoubleSpacing"/>
        <w:spacing w:line="240" w:lineRule="auto"/>
        <w:rPr>
          <w:rStyle w:val="SCCCounselPartyRoleChar"/>
          <w:sz w:val="20"/>
          <w:lang w:val="fr-CA"/>
        </w:rPr>
      </w:pPr>
      <w:r w:rsidRPr="0074152A">
        <w:rPr>
          <w:rStyle w:val="SCCCounselNameChar"/>
          <w:sz w:val="20"/>
          <w:lang w:val="fr-CA"/>
        </w:rPr>
        <w:tab/>
        <w:t xml:space="preserve">Jennifer Klinck </w:t>
      </w:r>
      <w:r w:rsidRPr="0074152A">
        <w:rPr>
          <w:rStyle w:val="SCCCounselSeparatorChar"/>
          <w:sz w:val="20"/>
        </w:rPr>
        <w:t>et</w:t>
      </w:r>
      <w:r w:rsidRPr="0074152A">
        <w:rPr>
          <w:rStyle w:val="SCCCounselNameChar"/>
          <w:sz w:val="20"/>
          <w:lang w:val="fr-CA"/>
        </w:rPr>
        <w:t xml:space="preserve"> Michael Kaylor</w:t>
      </w:r>
      <w:r w:rsidRPr="0074152A">
        <w:rPr>
          <w:rStyle w:val="SCCCounselPartyRoleChar"/>
          <w:sz w:val="20"/>
          <w:lang w:val="fr-CA"/>
        </w:rPr>
        <w:t>, pour l’intimée.</w:t>
      </w:r>
    </w:p>
    <w:p w:rsidR="00C02882" w:rsidRPr="0074152A" w:rsidRDefault="00C02882" w:rsidP="00C02882">
      <w:pPr>
        <w:pStyle w:val="SCCNormalDoubleSpacing"/>
        <w:spacing w:line="240" w:lineRule="auto"/>
        <w:rPr>
          <w:rStyle w:val="SCCCounselPartyRoleChar"/>
          <w:sz w:val="20"/>
          <w:lang w:val="fr-CA"/>
        </w:rPr>
      </w:pPr>
    </w:p>
    <w:p w:rsidR="00C02882" w:rsidRPr="0074152A" w:rsidRDefault="00C02882" w:rsidP="00C02882">
      <w:pPr>
        <w:pStyle w:val="SCCLawFirm"/>
        <w:spacing w:line="240" w:lineRule="auto"/>
        <w:rPr>
          <w:sz w:val="20"/>
          <w:lang w:val="fr-CA"/>
        </w:rPr>
      </w:pPr>
      <w:r w:rsidRPr="0074152A">
        <w:rPr>
          <w:sz w:val="20"/>
          <w:lang w:val="fr-CA"/>
        </w:rPr>
        <w:tab/>
        <w:t>Procureur de l’appelant : Procureur général du Canada, Vancouver.</w:t>
      </w:r>
    </w:p>
    <w:p w:rsidR="00C02882" w:rsidRPr="0074152A" w:rsidRDefault="00C02882" w:rsidP="00C02882">
      <w:pPr>
        <w:pStyle w:val="SCCLawFirm"/>
        <w:spacing w:line="240" w:lineRule="auto"/>
        <w:rPr>
          <w:sz w:val="20"/>
          <w:lang w:val="fr-CA"/>
        </w:rPr>
      </w:pPr>
    </w:p>
    <w:p w:rsidR="00C02882" w:rsidRPr="0074152A" w:rsidRDefault="00C02882" w:rsidP="00C02882">
      <w:pPr>
        <w:pStyle w:val="SCCLawFirm"/>
        <w:spacing w:line="240" w:lineRule="auto"/>
        <w:rPr>
          <w:sz w:val="20"/>
          <w:lang w:val="fr-CA"/>
        </w:rPr>
      </w:pPr>
      <w:r w:rsidRPr="0074152A">
        <w:rPr>
          <w:sz w:val="20"/>
          <w:lang w:val="fr-CA"/>
        </w:rPr>
        <w:tab/>
        <w:t>Procureurs de l’intimée : Power Law, Vancouver; Lapointe Rosenstein Marchand Melançon, Montréal.</w:t>
      </w:r>
    </w:p>
    <w:p w:rsidR="00902E51" w:rsidRPr="0074152A" w:rsidRDefault="00902E51" w:rsidP="00902E51">
      <w:pPr>
        <w:rPr>
          <w:sz w:val="20"/>
          <w:szCs w:val="20"/>
          <w:lang w:val="fr-CA"/>
        </w:rPr>
      </w:pPr>
    </w:p>
    <w:p w:rsidR="00902E51" w:rsidRPr="0074152A" w:rsidRDefault="00CB2D37" w:rsidP="00902E51">
      <w:pPr>
        <w:rPr>
          <w:rFonts w:cs="Times New Roman"/>
          <w:sz w:val="20"/>
          <w:szCs w:val="20"/>
          <w:lang w:val="fr-CA"/>
        </w:rPr>
      </w:pPr>
      <w:r>
        <w:rPr>
          <w:rFonts w:cs="Times New Roman"/>
          <w:sz w:val="20"/>
          <w:szCs w:val="20"/>
          <w:lang w:val="fr-CA"/>
        </w:rPr>
        <w:pict>
          <v:rect id="_x0000_i1084"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Default="0013595D" w:rsidP="0013595D">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r w:rsidRPr="002E0C7E">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3"/>
      <w:footerReference w:type="default" r:id="rId8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2A" w:rsidRDefault="0074152A" w:rsidP="00A87207">
      <w:r>
        <w:separator/>
      </w:r>
    </w:p>
  </w:endnote>
  <w:endnote w:type="continuationSeparator" w:id="0">
    <w:p w:rsidR="0074152A" w:rsidRDefault="0074152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pPr>
      <w:pStyle w:val="Footer"/>
      <w:rPr>
        <w:lang w:val="fr-CA"/>
      </w:rPr>
    </w:pPr>
    <w:r>
      <w:rPr>
        <w:lang w:val="fr-CA"/>
      </w:rPr>
      <w:pict>
        <v:rect id="_x0000_i1068" style="width:480.95pt;height:1pt" o:hralign="center" o:hrstd="t" o:hrnoshade="t" o:hr="t" fillcolor="black [3213]" stroked="f"/>
      </w:pict>
    </w:r>
  </w:p>
  <w:p w:rsidR="0074152A" w:rsidRDefault="0074152A" w:rsidP="00245129">
    <w:pPr>
      <w:tabs>
        <w:tab w:val="center" w:pos="4680"/>
      </w:tabs>
    </w:pPr>
    <w:r>
      <w:tab/>
    </w:r>
    <w:r w:rsidRPr="0009648D">
      <w:t xml:space="preserve">- </w:t>
    </w:r>
    <w:r>
      <w:fldChar w:fldCharType="begin"/>
    </w:r>
    <w:r>
      <w:instrText xml:space="preserve"> PAGE   \* MERGEFORMAT </w:instrText>
    </w:r>
    <w:r>
      <w:fldChar w:fldCharType="separate"/>
    </w:r>
    <w:r w:rsidR="00CB2D37">
      <w:rPr>
        <w:noProof/>
      </w:rPr>
      <w:t>1342</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152A" w:rsidRDefault="0074152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755F22">
    <w:pPr>
      <w:tabs>
        <w:tab w:val="left" w:pos="-1440"/>
        <w:tab w:val="left" w:pos="-720"/>
      </w:tabs>
    </w:pPr>
    <w:r>
      <w:pict>
        <v:rect id="_x0000_i1075" style="width:480.95pt;height:1pt" o:hralign="center" o:hrstd="t" o:hrnoshade="t" o:hr="t" fillcolor="black [3213]" stroked="f"/>
      </w:pict>
    </w:r>
  </w:p>
  <w:p w:rsidR="0074152A" w:rsidRDefault="0074152A" w:rsidP="00EB2B90">
    <w:pPr>
      <w:tabs>
        <w:tab w:val="center" w:pos="4680"/>
      </w:tabs>
    </w:pPr>
    <w:r>
      <w:tab/>
      <w:t xml:space="preserve">- </w:t>
    </w:r>
    <w:r>
      <w:fldChar w:fldCharType="begin"/>
    </w:r>
    <w:r>
      <w:instrText xml:space="preserve"> PAGE   \* MERGEFORMAT </w:instrText>
    </w:r>
    <w:r>
      <w:fldChar w:fldCharType="separate"/>
    </w:r>
    <w:r w:rsidR="00CB2D37">
      <w:rPr>
        <w:noProof/>
      </w:rPr>
      <w:t>1362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EB2B90">
    <w:pPr>
      <w:tabs>
        <w:tab w:val="center" w:pos="4680"/>
      </w:tabs>
    </w:pPr>
    <w:r>
      <w:pict>
        <v:rect id="_x0000_i1076" style="width:480.95pt;height:1pt" o:hralign="center" o:hrstd="t" o:hrnoshade="t" o:hr="t" fillcolor="black [3213]" stroked="f"/>
      </w:pict>
    </w:r>
  </w:p>
  <w:p w:rsidR="0074152A" w:rsidRPr="0031432F" w:rsidRDefault="0074152A" w:rsidP="00EB2B90">
    <w:pPr>
      <w:tabs>
        <w:tab w:val="center" w:pos="4680"/>
      </w:tabs>
    </w:pPr>
    <w:r>
      <w:tab/>
      <w:t xml:space="preserve">- </w:t>
    </w:r>
    <w:r>
      <w:fldChar w:fldCharType="begin"/>
    </w:r>
    <w:r>
      <w:instrText xml:space="preserve"> PAGE   \* MERGEFORMAT </w:instrText>
    </w:r>
    <w:r>
      <w:fldChar w:fldCharType="separate"/>
    </w:r>
    <w:r w:rsidR="000C49EE">
      <w:rPr>
        <w:noProof/>
      </w:rPr>
      <w:t>1356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152A" w:rsidRDefault="0074152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74152A" w:rsidRDefault="0074152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pPr>
      <w:pStyle w:val="Footer"/>
      <w:rPr>
        <w:lang w:val="fr-CA"/>
      </w:rPr>
    </w:pPr>
    <w:r>
      <w:rPr>
        <w:lang w:val="fr-CA"/>
      </w:rPr>
      <w:pict>
        <v:rect id="_x0000_i1079" style="width:480.95pt;height:1pt" o:hralign="center" o:hrstd="t" o:hrnoshade="t" o:hr="t" fillcolor="black [3213]" stroked="f"/>
      </w:pict>
    </w:r>
  </w:p>
  <w:p w:rsidR="0074152A" w:rsidRDefault="0074152A" w:rsidP="00EB2B90">
    <w:pPr>
      <w:tabs>
        <w:tab w:val="center" w:pos="4680"/>
      </w:tabs>
    </w:pPr>
    <w:r>
      <w:tab/>
      <w:t xml:space="preserve">- </w:t>
    </w:r>
    <w:r>
      <w:fldChar w:fldCharType="begin"/>
    </w:r>
    <w:r>
      <w:instrText xml:space="preserve"> PAGE   \* MERGEFORMAT </w:instrText>
    </w:r>
    <w:r>
      <w:fldChar w:fldCharType="separate"/>
    </w:r>
    <w:r w:rsidR="000C49EE">
      <w:rPr>
        <w:noProof/>
      </w:rPr>
      <w:t>1363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152A" w:rsidRDefault="0074152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732DB7">
    <w:r>
      <w:pict>
        <v:rect id="_x0000_i1081" style="width:480.95pt;height:1pt" o:hralign="center" o:hrstd="t" o:hrnoshade="t" o:hr="t" fillcolor="black" stroked="f"/>
      </w:pict>
    </w:r>
  </w:p>
  <w:p w:rsidR="0074152A" w:rsidRDefault="0074152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pPr>
      <w:pStyle w:val="Footer"/>
    </w:pPr>
    <w:r>
      <w:pict>
        <v:rect id="_x0000_i1082" style="width:480.95pt;height:1pt" o:hralign="center" o:hrstd="t" o:hrnoshade="t" o:hr="t" fillcolor="black [3213]" stroked="f"/>
      </w:pict>
    </w:r>
  </w:p>
  <w:p w:rsidR="0074152A" w:rsidRPr="003C2C0F" w:rsidRDefault="0074152A" w:rsidP="00697C62">
    <w:pPr>
      <w:tabs>
        <w:tab w:val="center" w:pos="4680"/>
      </w:tabs>
    </w:pPr>
    <w:r>
      <w:tab/>
      <w:t xml:space="preserve">- </w:t>
    </w:r>
    <w:r>
      <w:fldChar w:fldCharType="begin"/>
    </w:r>
    <w:r>
      <w:instrText xml:space="preserve"> PAGE   \* MERGEFORMAT </w:instrText>
    </w:r>
    <w:r>
      <w:fldChar w:fldCharType="separate"/>
    </w:r>
    <w:r w:rsidR="000C49EE">
      <w:rPr>
        <w:noProof/>
      </w:rPr>
      <w:t>1364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152A" w:rsidRDefault="0074152A">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4152A" w:rsidRDefault="00CB2D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5" style="width:480.95pt;height:1pt" o:hralign="center" o:hrstd="t" o:hrnoshade="t" o:hr="t" fillcolor="black [3213]" stroked="f"/>
      </w:pict>
    </w:r>
  </w:p>
  <w:p w:rsidR="0074152A" w:rsidRDefault="007415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B2D37">
      <w:rPr>
        <w:noProof/>
        <w:szCs w:val="24"/>
      </w:rPr>
      <w:t>1369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782AE4">
    <w:pPr>
      <w:tabs>
        <w:tab w:val="center" w:pos="4680"/>
      </w:tabs>
    </w:pPr>
    <w:r>
      <w:pict>
        <v:rect id="_x0000_i1086" style="width:480.95pt;height:1pt" o:hralign="center" o:hrstd="t" o:hrnoshade="t" o:hr="t" fillcolor="black [3213]" stroked="f"/>
      </w:pict>
    </w:r>
  </w:p>
  <w:p w:rsidR="0074152A" w:rsidRDefault="0074152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C49EE">
      <w:rPr>
        <w:noProof/>
        <w:szCs w:val="24"/>
      </w:rPr>
      <w:t>1365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Pr="00924065" w:rsidRDefault="0074152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A87207">
    <w:pPr>
      <w:pStyle w:val="Footer"/>
    </w:pPr>
    <w:r>
      <w:pict>
        <v:rect id="_x0000_i1046" style="width:480.95pt;height:1pt" o:hralign="center" o:hrstd="t" o:hrnoshade="t" o:hr="t" fillcolor="black [3213]" stroked="f"/>
      </w:pict>
    </w:r>
  </w:p>
  <w:p w:rsidR="0074152A" w:rsidRPr="00B7374B" w:rsidRDefault="007415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2D37">
      <w:rPr>
        <w:noProof/>
        <w:szCs w:val="24"/>
      </w:rPr>
      <w:t>1340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755F22">
    <w:pPr>
      <w:tabs>
        <w:tab w:val="left" w:pos="-1440"/>
        <w:tab w:val="left" w:pos="-720"/>
      </w:tabs>
    </w:pPr>
    <w:r>
      <w:pict>
        <v:rect id="_x0000_i1047" style="width:480.95pt;height:1pt" o:hralign="center" o:hrstd="t" o:hrnoshade="t" o:hr="t" fillcolor="black [3213]" stroked="f"/>
      </w:pict>
    </w:r>
  </w:p>
  <w:p w:rsidR="0074152A" w:rsidRPr="00954D22" w:rsidRDefault="0074152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B2D37">
      <w:rPr>
        <w:noProof/>
        <w:szCs w:val="24"/>
      </w:rPr>
      <w:t>1338</w:t>
    </w:r>
    <w:r>
      <w:rPr>
        <w:szCs w:val="24"/>
      </w:rPr>
      <w:fldChar w:fldCharType="end"/>
    </w:r>
    <w:r w:rsidRPr="00954D22">
      <w:rPr>
        <w:szCs w:val="24"/>
      </w:rPr>
      <w:t xml:space="preserve"> -</w:t>
    </w:r>
  </w:p>
  <w:p w:rsidR="0074152A" w:rsidRDefault="007415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A87207">
    <w:pPr>
      <w:pStyle w:val="Footer"/>
    </w:pPr>
    <w:r>
      <w:pict>
        <v:rect id="_x0000_i1049" style="width:480.95pt;height:1pt" o:hralign="center" o:hrstd="t" o:hrnoshade="t" o:hr="t" fillcolor="black [3213]" stroked="f"/>
      </w:pict>
    </w:r>
  </w:p>
  <w:p w:rsidR="0074152A" w:rsidRPr="00B7374B" w:rsidRDefault="007415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74152A" w:rsidRPr="00954D22" w:rsidRDefault="0074152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2D37">
      <w:rPr>
        <w:noProof/>
        <w:szCs w:val="24"/>
      </w:rPr>
      <w:t>1341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4152A" w:rsidRDefault="0074152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CB2D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74152A" w:rsidRPr="0009648D" w:rsidRDefault="0074152A" w:rsidP="00ED7E83">
    <w:pPr>
      <w:tabs>
        <w:tab w:val="center" w:pos="4680"/>
      </w:tabs>
    </w:pPr>
    <w:r>
      <w:tab/>
    </w:r>
    <w:r w:rsidRPr="0009648D">
      <w:t xml:space="preserve">- </w:t>
    </w:r>
    <w:r>
      <w:fldChar w:fldCharType="begin"/>
    </w:r>
    <w:r>
      <w:instrText xml:space="preserve"> PAGE   \* MERGEFORMAT </w:instrText>
    </w:r>
    <w:r>
      <w:fldChar w:fldCharType="separate"/>
    </w:r>
    <w:r w:rsidR="00CB2D37">
      <w:rPr>
        <w:noProof/>
      </w:rPr>
      <w:t>1355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2A" w:rsidRDefault="0074152A" w:rsidP="00A87207">
      <w:r>
        <w:separator/>
      </w:r>
    </w:p>
  </w:footnote>
  <w:footnote w:type="continuationSeparator" w:id="0">
    <w:p w:rsidR="0074152A" w:rsidRDefault="0074152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4152A">
      <w:tc>
        <w:tcPr>
          <w:tcW w:w="423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4152A"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152A"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4152A">
      <w:trPr>
        <w:gridAfter w:val="2"/>
        <w:wAfter w:w="5250" w:type="dxa"/>
      </w:trPr>
      <w:tc>
        <w:tcPr>
          <w:tcW w:w="4230" w:type="dxa"/>
          <w:tcMar>
            <w:left w:w="0" w:type="dxa"/>
            <w:right w:w="0" w:type="dxa"/>
          </w:tcMar>
        </w:tcPr>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4152A" w:rsidRPr="00755F22" w:rsidTr="00245129">
      <w:tc>
        <w:tcPr>
          <w:tcW w:w="4230" w:type="dxa"/>
          <w:tcMar>
            <w:left w:w="0" w:type="dxa"/>
            <w:right w:w="0" w:type="dxa"/>
          </w:tcMar>
        </w:tcPr>
        <w:p w:rsidR="0074152A" w:rsidRPr="00755F22" w:rsidRDefault="0074152A" w:rsidP="00831CA9">
          <w:pPr>
            <w:keepNext/>
            <w:keepLines/>
            <w:rPr>
              <w:sz w:val="20"/>
              <w:szCs w:val="20"/>
            </w:rPr>
          </w:pPr>
          <w:r w:rsidRPr="00755F22">
            <w:rPr>
              <w:sz w:val="20"/>
              <w:szCs w:val="20"/>
            </w:rPr>
            <w:t>MOTIONS</w:t>
          </w:r>
        </w:p>
      </w:tc>
      <w:tc>
        <w:tcPr>
          <w:tcW w:w="1170" w:type="dxa"/>
          <w:tcMar>
            <w:left w:w="0" w:type="dxa"/>
            <w:right w:w="0" w:type="dxa"/>
          </w:tcMar>
        </w:tcPr>
        <w:p w:rsidR="0074152A" w:rsidRPr="00755F22" w:rsidRDefault="0074152A" w:rsidP="00831CA9">
          <w:pPr>
            <w:keepLines/>
            <w:jc w:val="center"/>
            <w:rPr>
              <w:sz w:val="20"/>
              <w:szCs w:val="20"/>
            </w:rPr>
          </w:pPr>
        </w:p>
        <w:p w:rsidR="0074152A" w:rsidRPr="00755F22" w:rsidRDefault="0074152A" w:rsidP="00831CA9">
          <w:pPr>
            <w:keepLines/>
            <w:tabs>
              <w:tab w:val="left" w:pos="-1440"/>
              <w:tab w:val="left" w:pos="-720"/>
            </w:tabs>
            <w:jc w:val="center"/>
            <w:rPr>
              <w:sz w:val="20"/>
              <w:szCs w:val="20"/>
            </w:rPr>
          </w:pPr>
        </w:p>
      </w:tc>
      <w:tc>
        <w:tcPr>
          <w:tcW w:w="4080" w:type="dxa"/>
          <w:tcMar>
            <w:left w:w="0" w:type="dxa"/>
            <w:right w:w="0" w:type="dxa"/>
          </w:tcMar>
        </w:tcPr>
        <w:p w:rsidR="0074152A" w:rsidRPr="00BA6468" w:rsidRDefault="0074152A" w:rsidP="00BA6468">
          <w:pPr>
            <w:keepLines/>
            <w:rPr>
              <w:sz w:val="20"/>
              <w:szCs w:val="20"/>
              <w:lang w:val="fr-CA"/>
            </w:rPr>
          </w:pPr>
          <w:r w:rsidRPr="00BA6468">
            <w:rPr>
              <w:sz w:val="20"/>
              <w:szCs w:val="20"/>
              <w:lang w:val="fr-CA"/>
            </w:rPr>
            <w:t>REQUÊTES</w:t>
          </w:r>
        </w:p>
      </w:tc>
    </w:tr>
  </w:tbl>
  <w:p w:rsidR="0074152A" w:rsidRDefault="0074152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tc>
        <w:tcPr>
          <w:tcW w:w="420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152A" w:rsidRPr="00B01A03"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4152A" w:rsidRPr="00B01A03"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4152A" w:rsidRPr="00B01A03"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4152A" w:rsidRPr="0086620F" w:rsidTr="00245129">
      <w:tc>
        <w:tcPr>
          <w:tcW w:w="4200" w:type="dxa"/>
          <w:tcMar>
            <w:left w:w="0" w:type="dxa"/>
            <w:right w:w="0" w:type="dxa"/>
          </w:tcMar>
        </w:tcPr>
        <w:p w:rsidR="0074152A" w:rsidRPr="00F40249" w:rsidRDefault="0074152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4152A" w:rsidRDefault="0074152A" w:rsidP="00102926">
          <w:pPr>
            <w:keepNext/>
            <w:keepLines/>
            <w:tabs>
              <w:tab w:val="left" w:pos="-1440"/>
              <w:tab w:val="left" w:pos="-720"/>
            </w:tabs>
            <w:jc w:val="center"/>
            <w:rPr>
              <w:sz w:val="20"/>
              <w:szCs w:val="20"/>
            </w:rPr>
          </w:pPr>
        </w:p>
        <w:p w:rsidR="0074152A" w:rsidRDefault="0074152A" w:rsidP="00102926">
          <w:pPr>
            <w:keepNext/>
            <w:keepLines/>
            <w:tabs>
              <w:tab w:val="left" w:pos="-1440"/>
              <w:tab w:val="left" w:pos="-720"/>
            </w:tabs>
            <w:jc w:val="center"/>
            <w:rPr>
              <w:sz w:val="20"/>
              <w:szCs w:val="20"/>
            </w:rPr>
          </w:pPr>
        </w:p>
        <w:p w:rsidR="0074152A" w:rsidRPr="00F40249" w:rsidRDefault="0074152A" w:rsidP="00102926">
          <w:pPr>
            <w:keepNext/>
            <w:keepLines/>
            <w:tabs>
              <w:tab w:val="left" w:pos="-1440"/>
              <w:tab w:val="left" w:pos="-720"/>
            </w:tabs>
            <w:jc w:val="center"/>
            <w:rPr>
              <w:sz w:val="20"/>
              <w:szCs w:val="20"/>
            </w:rPr>
          </w:pPr>
        </w:p>
      </w:tc>
      <w:tc>
        <w:tcPr>
          <w:tcW w:w="4230" w:type="dxa"/>
          <w:tcMar>
            <w:left w:w="0" w:type="dxa"/>
            <w:right w:w="0" w:type="dxa"/>
          </w:tcMar>
        </w:tcPr>
        <w:p w:rsidR="0074152A" w:rsidRPr="00F40249" w:rsidRDefault="0074152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4152A" w:rsidRPr="00B01A03" w:rsidRDefault="0074152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tc>
        <w:tcPr>
          <w:tcW w:w="420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4152A" w:rsidRPr="003C2C0F"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4152A" w:rsidRPr="003C2C0F"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4152A" w:rsidRPr="003C2C0F"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rsidTr="00245129">
      <w:tc>
        <w:tcPr>
          <w:tcW w:w="4200" w:type="dxa"/>
          <w:tcMar>
            <w:left w:w="0" w:type="dxa"/>
            <w:right w:w="0" w:type="dxa"/>
          </w:tcMar>
        </w:tcPr>
        <w:p w:rsidR="0074152A" w:rsidRPr="00FF6EEC" w:rsidRDefault="0074152A" w:rsidP="00FF6EEC">
          <w:pPr>
            <w:rPr>
              <w:sz w:val="20"/>
              <w:szCs w:val="20"/>
            </w:rPr>
          </w:pPr>
          <w:r w:rsidRPr="00FF6EEC">
            <w:rPr>
              <w:sz w:val="20"/>
              <w:szCs w:val="20"/>
            </w:rPr>
            <w:t>PRONOUNCEMENTS OF APPEALS RESERVED</w:t>
          </w:r>
        </w:p>
      </w:tc>
      <w:tc>
        <w:tcPr>
          <w:tcW w:w="1200" w:type="dxa"/>
          <w:tcMar>
            <w:left w:w="0" w:type="dxa"/>
            <w:right w:w="0" w:type="dxa"/>
          </w:tcMar>
        </w:tcPr>
        <w:p w:rsidR="0074152A" w:rsidRPr="00FF6EEC" w:rsidRDefault="0074152A" w:rsidP="00FF6EEC">
          <w:pPr>
            <w:jc w:val="center"/>
            <w:rPr>
              <w:sz w:val="20"/>
              <w:szCs w:val="20"/>
            </w:rPr>
          </w:pPr>
        </w:p>
        <w:p w:rsidR="0074152A" w:rsidRPr="00FF6EEC" w:rsidRDefault="0074152A" w:rsidP="00FF6EEC">
          <w:pPr>
            <w:jc w:val="center"/>
            <w:rPr>
              <w:sz w:val="20"/>
              <w:szCs w:val="20"/>
            </w:rPr>
          </w:pPr>
        </w:p>
        <w:p w:rsidR="0074152A" w:rsidRPr="00FF6EEC" w:rsidRDefault="0074152A" w:rsidP="00FF6EEC">
          <w:pPr>
            <w:jc w:val="center"/>
            <w:rPr>
              <w:sz w:val="20"/>
              <w:szCs w:val="20"/>
            </w:rPr>
          </w:pPr>
        </w:p>
      </w:tc>
      <w:tc>
        <w:tcPr>
          <w:tcW w:w="4080" w:type="dxa"/>
          <w:tcMar>
            <w:left w:w="0" w:type="dxa"/>
            <w:right w:w="0" w:type="dxa"/>
          </w:tcMar>
        </w:tcPr>
        <w:p w:rsidR="0074152A" w:rsidRPr="00FF6EEC" w:rsidRDefault="0074152A" w:rsidP="00FF6EEC">
          <w:pPr>
            <w:rPr>
              <w:sz w:val="20"/>
              <w:szCs w:val="20"/>
              <w:lang w:val="fr-CA"/>
            </w:rPr>
          </w:pPr>
          <w:r w:rsidRPr="00FF6EEC">
            <w:rPr>
              <w:sz w:val="20"/>
              <w:szCs w:val="20"/>
              <w:lang w:val="fr-CA"/>
            </w:rPr>
            <w:t>JUGEMENTS RENDUS SUR LES APPELS EN DÉLIBÉRÉ</w:t>
          </w:r>
        </w:p>
      </w:tc>
    </w:tr>
  </w:tbl>
  <w:p w:rsidR="0074152A" w:rsidRPr="003C2C0F" w:rsidRDefault="0074152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4152A">
      <w:tc>
        <w:tcPr>
          <w:tcW w:w="423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4152A"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4152A"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4152A" w:rsidRPr="00782AE4" w:rsidTr="00245129">
      <w:tc>
        <w:tcPr>
          <w:tcW w:w="4230" w:type="dxa"/>
          <w:tcMar>
            <w:left w:w="0" w:type="dxa"/>
            <w:right w:w="0" w:type="dxa"/>
          </w:tcMar>
        </w:tcPr>
        <w:p w:rsidR="0074152A" w:rsidRPr="00782AE4" w:rsidRDefault="0074152A" w:rsidP="00102926">
          <w:pPr>
            <w:keepNext/>
            <w:keepLines/>
            <w:tabs>
              <w:tab w:val="left" w:pos="-1440"/>
              <w:tab w:val="left" w:pos="-720"/>
            </w:tabs>
            <w:rPr>
              <w:sz w:val="20"/>
              <w:szCs w:val="20"/>
            </w:rPr>
          </w:pPr>
          <w:r w:rsidRPr="00782AE4">
            <w:rPr>
              <w:sz w:val="20"/>
              <w:szCs w:val="20"/>
            </w:rPr>
            <w:t xml:space="preserve">HEADNOTES OF RECENT </w:t>
          </w:r>
        </w:p>
        <w:p w:rsidR="0074152A" w:rsidRPr="00782AE4"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4152A" w:rsidRDefault="0074152A" w:rsidP="00102926">
          <w:pPr>
            <w:keepNext/>
            <w:keepLines/>
            <w:tabs>
              <w:tab w:val="left" w:pos="-1440"/>
              <w:tab w:val="left" w:pos="-720"/>
            </w:tabs>
            <w:jc w:val="center"/>
            <w:rPr>
              <w:sz w:val="20"/>
              <w:szCs w:val="20"/>
            </w:rPr>
          </w:pPr>
        </w:p>
        <w:p w:rsidR="0074152A" w:rsidRDefault="0074152A" w:rsidP="00102926">
          <w:pPr>
            <w:keepNext/>
            <w:keepLines/>
            <w:tabs>
              <w:tab w:val="left" w:pos="-1440"/>
              <w:tab w:val="left" w:pos="-720"/>
            </w:tabs>
            <w:jc w:val="center"/>
            <w:rPr>
              <w:sz w:val="20"/>
              <w:szCs w:val="20"/>
            </w:rPr>
          </w:pPr>
        </w:p>
        <w:p w:rsidR="0074152A" w:rsidRPr="00782AE4" w:rsidRDefault="0074152A" w:rsidP="00102926">
          <w:pPr>
            <w:keepNext/>
            <w:keepLines/>
            <w:tabs>
              <w:tab w:val="left" w:pos="-1440"/>
              <w:tab w:val="left" w:pos="-720"/>
            </w:tabs>
            <w:jc w:val="center"/>
            <w:rPr>
              <w:sz w:val="20"/>
              <w:szCs w:val="20"/>
            </w:rPr>
          </w:pPr>
        </w:p>
      </w:tc>
      <w:tc>
        <w:tcPr>
          <w:tcW w:w="4080" w:type="dxa"/>
          <w:tcMar>
            <w:left w:w="0" w:type="dxa"/>
            <w:right w:w="0" w:type="dxa"/>
          </w:tcMar>
        </w:tcPr>
        <w:p w:rsidR="0074152A" w:rsidRPr="00102926"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4152A" w:rsidRPr="00782AE4" w:rsidRDefault="0074152A" w:rsidP="00102926">
          <w:pPr>
            <w:keepLines/>
            <w:tabs>
              <w:tab w:val="left" w:pos="-1440"/>
              <w:tab w:val="left" w:pos="-720"/>
            </w:tabs>
            <w:rPr>
              <w:sz w:val="20"/>
              <w:szCs w:val="20"/>
            </w:rPr>
          </w:pPr>
          <w:r w:rsidRPr="00102926">
            <w:rPr>
              <w:sz w:val="20"/>
              <w:szCs w:val="20"/>
              <w:lang w:val="fr-CA"/>
            </w:rPr>
            <w:t>RÉCENTS</w:t>
          </w:r>
        </w:p>
      </w:tc>
    </w:tr>
  </w:tbl>
  <w:p w:rsidR="0074152A" w:rsidRDefault="0074152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C7" w:rsidRDefault="007C4E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4152A" w:rsidRPr="0044776A" w:rsidTr="00245129">
      <w:tc>
        <w:tcPr>
          <w:tcW w:w="4290" w:type="dxa"/>
          <w:tcMar>
            <w:left w:w="0" w:type="dxa"/>
            <w:right w:w="0" w:type="dxa"/>
          </w:tcMar>
        </w:tcPr>
        <w:p w:rsidR="0074152A" w:rsidRPr="0044776A" w:rsidRDefault="0074152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4152A" w:rsidRPr="0044776A" w:rsidRDefault="0074152A" w:rsidP="002E2327">
          <w:pPr>
            <w:keepNext/>
            <w:keepLines/>
            <w:tabs>
              <w:tab w:val="left" w:pos="-1440"/>
              <w:tab w:val="left" w:pos="-720"/>
            </w:tabs>
            <w:jc w:val="center"/>
            <w:rPr>
              <w:sz w:val="20"/>
              <w:szCs w:val="20"/>
            </w:rPr>
          </w:pPr>
        </w:p>
        <w:p w:rsidR="0074152A" w:rsidRPr="0044776A" w:rsidRDefault="0074152A" w:rsidP="002E2327">
          <w:pPr>
            <w:keepNext/>
            <w:keepLines/>
            <w:tabs>
              <w:tab w:val="left" w:pos="-1440"/>
              <w:tab w:val="left" w:pos="-720"/>
            </w:tabs>
            <w:jc w:val="center"/>
            <w:rPr>
              <w:sz w:val="20"/>
              <w:szCs w:val="20"/>
            </w:rPr>
          </w:pPr>
        </w:p>
        <w:p w:rsidR="0074152A" w:rsidRPr="0044776A" w:rsidRDefault="0074152A" w:rsidP="002E2327">
          <w:pPr>
            <w:keepNext/>
            <w:keepLines/>
            <w:tabs>
              <w:tab w:val="left" w:pos="-1440"/>
              <w:tab w:val="left" w:pos="-720"/>
            </w:tabs>
            <w:jc w:val="center"/>
            <w:rPr>
              <w:sz w:val="20"/>
              <w:szCs w:val="20"/>
            </w:rPr>
          </w:pPr>
        </w:p>
      </w:tc>
      <w:tc>
        <w:tcPr>
          <w:tcW w:w="4320" w:type="dxa"/>
          <w:tcMar>
            <w:left w:w="0" w:type="dxa"/>
            <w:right w:w="0" w:type="dxa"/>
          </w:tcMar>
        </w:tcPr>
        <w:p w:rsidR="0074152A" w:rsidRPr="0044776A" w:rsidRDefault="0074152A" w:rsidP="002E2327">
          <w:pPr>
            <w:keepLines/>
            <w:rPr>
              <w:sz w:val="20"/>
              <w:szCs w:val="20"/>
              <w:lang w:val="fr-CA"/>
            </w:rPr>
          </w:pPr>
          <w:r w:rsidRPr="0044776A">
            <w:rPr>
              <w:sz w:val="20"/>
              <w:szCs w:val="20"/>
              <w:lang w:val="fr-CA"/>
            </w:rPr>
            <w:t>DEMANDES D'AUTORISATION D'APPEL DÉPOSÉES</w:t>
          </w:r>
        </w:p>
      </w:tc>
    </w:tr>
  </w:tbl>
  <w:p w:rsidR="0074152A" w:rsidRDefault="007415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rsidTr="00245129">
      <w:tc>
        <w:tcPr>
          <w:tcW w:w="4200" w:type="dxa"/>
          <w:tcMar>
            <w:left w:w="0" w:type="dxa"/>
            <w:right w:w="0" w:type="dxa"/>
          </w:tcMar>
        </w:tcPr>
        <w:p w:rsidR="0074152A" w:rsidRPr="0044776A" w:rsidRDefault="0074152A" w:rsidP="0044776A">
          <w:pPr>
            <w:keepNext/>
            <w:keepLines/>
            <w:widowControl w:val="0"/>
            <w:rPr>
              <w:sz w:val="20"/>
              <w:szCs w:val="20"/>
            </w:rPr>
          </w:pPr>
          <w:r>
            <w:rPr>
              <w:sz w:val="20"/>
              <w:szCs w:val="20"/>
            </w:rPr>
            <w:t>APPLICATIONS FOR LEAVE</w:t>
          </w:r>
        </w:p>
        <w:p w:rsidR="0074152A" w:rsidRPr="0044776A" w:rsidRDefault="0074152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4152A" w:rsidRPr="0044776A" w:rsidRDefault="0074152A" w:rsidP="0044776A">
          <w:pPr>
            <w:keepNext/>
            <w:keepLines/>
            <w:widowControl w:val="0"/>
            <w:jc w:val="center"/>
            <w:rPr>
              <w:sz w:val="20"/>
              <w:szCs w:val="20"/>
            </w:rPr>
          </w:pPr>
        </w:p>
        <w:p w:rsidR="0074152A" w:rsidRPr="0044776A" w:rsidRDefault="0074152A" w:rsidP="0044776A">
          <w:pPr>
            <w:keepNext/>
            <w:keepLines/>
            <w:widowControl w:val="0"/>
            <w:jc w:val="center"/>
            <w:rPr>
              <w:sz w:val="20"/>
              <w:szCs w:val="20"/>
            </w:rPr>
          </w:pPr>
        </w:p>
        <w:p w:rsidR="0074152A" w:rsidRPr="0044776A" w:rsidRDefault="0074152A" w:rsidP="0044776A">
          <w:pPr>
            <w:keepNext/>
            <w:keepLines/>
            <w:widowControl w:val="0"/>
            <w:jc w:val="center"/>
            <w:rPr>
              <w:sz w:val="20"/>
              <w:szCs w:val="20"/>
            </w:rPr>
          </w:pPr>
        </w:p>
      </w:tc>
      <w:tc>
        <w:tcPr>
          <w:tcW w:w="4080" w:type="dxa"/>
          <w:tcMar>
            <w:left w:w="0" w:type="dxa"/>
            <w:right w:w="0" w:type="dxa"/>
          </w:tcMar>
        </w:tcPr>
        <w:p w:rsidR="0074152A" w:rsidRPr="0044776A" w:rsidRDefault="0074152A" w:rsidP="0044776A">
          <w:pPr>
            <w:keepLines/>
            <w:widowControl w:val="0"/>
            <w:rPr>
              <w:sz w:val="20"/>
              <w:szCs w:val="20"/>
              <w:lang w:val="fr-CA"/>
            </w:rPr>
          </w:pPr>
          <w:r w:rsidRPr="0044776A">
            <w:rPr>
              <w:sz w:val="20"/>
              <w:szCs w:val="20"/>
              <w:lang w:val="fr-CA"/>
            </w:rPr>
            <w:t>DEMANDES SOUMISES À LA COUR DEPUIS LA DERNIÈRE PARUTION</w:t>
          </w:r>
        </w:p>
        <w:p w:rsidR="0074152A" w:rsidRPr="0044776A" w:rsidRDefault="0074152A" w:rsidP="0044776A">
          <w:pPr>
            <w:widowControl w:val="0"/>
            <w:rPr>
              <w:sz w:val="20"/>
              <w:szCs w:val="20"/>
              <w:lang w:val="fr-CA"/>
            </w:rPr>
          </w:pPr>
        </w:p>
      </w:tc>
    </w:tr>
  </w:tbl>
  <w:p w:rsidR="0074152A" w:rsidRPr="002E2327" w:rsidRDefault="0074152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2A" w:rsidRDefault="007415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tc>
        <w:tcPr>
          <w:tcW w:w="4200" w:type="dxa"/>
          <w:tcMar>
            <w:left w:w="0" w:type="dxa"/>
            <w:right w:w="0" w:type="dxa"/>
          </w:tcMar>
        </w:tcPr>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4152A"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4152A"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4152A" w:rsidRPr="00FF6BA5"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4152A" w:rsidRPr="00FF6BA5"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4152A" w:rsidRPr="00FF6BA5"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4152A" w:rsidRPr="00FF6BA5" w:rsidRDefault="00741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4152A" w:rsidRPr="0086620F" w:rsidTr="00245129">
      <w:tc>
        <w:tcPr>
          <w:tcW w:w="4200" w:type="dxa"/>
          <w:tcMar>
            <w:left w:w="0" w:type="dxa"/>
            <w:right w:w="0" w:type="dxa"/>
          </w:tcMar>
        </w:tcPr>
        <w:p w:rsidR="0074152A" w:rsidRPr="00755F22"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4152A" w:rsidRPr="00755F22" w:rsidRDefault="007415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4152A" w:rsidRPr="00755F22" w:rsidRDefault="007415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4152A" w:rsidRPr="00755F22" w:rsidRDefault="007415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4152A" w:rsidRPr="00755F22" w:rsidRDefault="007415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4152A" w:rsidRPr="00755F22" w:rsidRDefault="007415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4152A" w:rsidRPr="00FF6BA5" w:rsidRDefault="0074152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E60"/>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13ABE"/>
    <w:multiLevelType w:val="hybridMultilevel"/>
    <w:tmpl w:val="AB88F2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62"/>
    <w:rsid w:val="00002704"/>
    <w:rsid w:val="00005C3E"/>
    <w:rsid w:val="00020DC3"/>
    <w:rsid w:val="0003223B"/>
    <w:rsid w:val="000327B2"/>
    <w:rsid w:val="0004528B"/>
    <w:rsid w:val="00064FBA"/>
    <w:rsid w:val="0006699F"/>
    <w:rsid w:val="00066C00"/>
    <w:rsid w:val="00066D25"/>
    <w:rsid w:val="00091FA6"/>
    <w:rsid w:val="00096BD9"/>
    <w:rsid w:val="000B3C9A"/>
    <w:rsid w:val="000B40A2"/>
    <w:rsid w:val="000B4624"/>
    <w:rsid w:val="000C0ACD"/>
    <w:rsid w:val="000C0D2A"/>
    <w:rsid w:val="000C49EE"/>
    <w:rsid w:val="000C4B0F"/>
    <w:rsid w:val="000C5CE8"/>
    <w:rsid w:val="000E27A5"/>
    <w:rsid w:val="000E2959"/>
    <w:rsid w:val="000E48A1"/>
    <w:rsid w:val="000F0B60"/>
    <w:rsid w:val="00102926"/>
    <w:rsid w:val="0010587F"/>
    <w:rsid w:val="00111C6B"/>
    <w:rsid w:val="0011353E"/>
    <w:rsid w:val="0012102B"/>
    <w:rsid w:val="0013369E"/>
    <w:rsid w:val="0013595D"/>
    <w:rsid w:val="00164E6D"/>
    <w:rsid w:val="00183454"/>
    <w:rsid w:val="001948F9"/>
    <w:rsid w:val="001B157C"/>
    <w:rsid w:val="001B4006"/>
    <w:rsid w:val="001B5C23"/>
    <w:rsid w:val="001C05A0"/>
    <w:rsid w:val="001C72D3"/>
    <w:rsid w:val="001D0D5F"/>
    <w:rsid w:val="001D6B8C"/>
    <w:rsid w:val="001F1F83"/>
    <w:rsid w:val="001F40DF"/>
    <w:rsid w:val="001F6B2D"/>
    <w:rsid w:val="002021A9"/>
    <w:rsid w:val="002139A7"/>
    <w:rsid w:val="00215F7C"/>
    <w:rsid w:val="0022323B"/>
    <w:rsid w:val="002278D1"/>
    <w:rsid w:val="002410B8"/>
    <w:rsid w:val="00242AEE"/>
    <w:rsid w:val="00245129"/>
    <w:rsid w:val="00245879"/>
    <w:rsid w:val="00253236"/>
    <w:rsid w:val="00255903"/>
    <w:rsid w:val="00267FD5"/>
    <w:rsid w:val="00274D34"/>
    <w:rsid w:val="00283ED8"/>
    <w:rsid w:val="002868D0"/>
    <w:rsid w:val="002A008C"/>
    <w:rsid w:val="002A27D1"/>
    <w:rsid w:val="002A4AFA"/>
    <w:rsid w:val="002A5E3B"/>
    <w:rsid w:val="002B516C"/>
    <w:rsid w:val="002D72EB"/>
    <w:rsid w:val="002E1AD6"/>
    <w:rsid w:val="002E2327"/>
    <w:rsid w:val="002E3583"/>
    <w:rsid w:val="002E53AF"/>
    <w:rsid w:val="002E5576"/>
    <w:rsid w:val="0030050B"/>
    <w:rsid w:val="00331B52"/>
    <w:rsid w:val="003359D3"/>
    <w:rsid w:val="003477E1"/>
    <w:rsid w:val="00355967"/>
    <w:rsid w:val="003802A5"/>
    <w:rsid w:val="00382C47"/>
    <w:rsid w:val="00384384"/>
    <w:rsid w:val="003866AE"/>
    <w:rsid w:val="003B3977"/>
    <w:rsid w:val="003E1D4C"/>
    <w:rsid w:val="004137A0"/>
    <w:rsid w:val="00422D9A"/>
    <w:rsid w:val="00432989"/>
    <w:rsid w:val="00440E24"/>
    <w:rsid w:val="0044776A"/>
    <w:rsid w:val="00460AFC"/>
    <w:rsid w:val="0047471F"/>
    <w:rsid w:val="004B195E"/>
    <w:rsid w:val="004B66B4"/>
    <w:rsid w:val="004B7F60"/>
    <w:rsid w:val="004C1AAC"/>
    <w:rsid w:val="004C1E78"/>
    <w:rsid w:val="004E1E0A"/>
    <w:rsid w:val="004F090E"/>
    <w:rsid w:val="00501F3C"/>
    <w:rsid w:val="0052229C"/>
    <w:rsid w:val="00527CC7"/>
    <w:rsid w:val="00532854"/>
    <w:rsid w:val="00570C94"/>
    <w:rsid w:val="00571CA4"/>
    <w:rsid w:val="00580072"/>
    <w:rsid w:val="00582136"/>
    <w:rsid w:val="005935FA"/>
    <w:rsid w:val="005B7982"/>
    <w:rsid w:val="005C6840"/>
    <w:rsid w:val="005E3F28"/>
    <w:rsid w:val="005E3F2F"/>
    <w:rsid w:val="005F1ED8"/>
    <w:rsid w:val="005F263E"/>
    <w:rsid w:val="005F5AA5"/>
    <w:rsid w:val="005F6D62"/>
    <w:rsid w:val="00600252"/>
    <w:rsid w:val="00603BC5"/>
    <w:rsid w:val="006104FE"/>
    <w:rsid w:val="00611618"/>
    <w:rsid w:val="00612A40"/>
    <w:rsid w:val="00614E60"/>
    <w:rsid w:val="0062714A"/>
    <w:rsid w:val="00675479"/>
    <w:rsid w:val="00680709"/>
    <w:rsid w:val="00681F61"/>
    <w:rsid w:val="00696BF9"/>
    <w:rsid w:val="00697C62"/>
    <w:rsid w:val="006A2758"/>
    <w:rsid w:val="006A329B"/>
    <w:rsid w:val="006A6DCE"/>
    <w:rsid w:val="006A7EB8"/>
    <w:rsid w:val="006B6926"/>
    <w:rsid w:val="006C3F47"/>
    <w:rsid w:val="006C5F7A"/>
    <w:rsid w:val="006E06AF"/>
    <w:rsid w:val="006F350F"/>
    <w:rsid w:val="00732DB7"/>
    <w:rsid w:val="0074152A"/>
    <w:rsid w:val="0074238B"/>
    <w:rsid w:val="00745EF7"/>
    <w:rsid w:val="00755F22"/>
    <w:rsid w:val="00766E4A"/>
    <w:rsid w:val="007820CE"/>
    <w:rsid w:val="00782AE4"/>
    <w:rsid w:val="0079724F"/>
    <w:rsid w:val="007A3EAE"/>
    <w:rsid w:val="007C04FC"/>
    <w:rsid w:val="007C3DB0"/>
    <w:rsid w:val="007C47C2"/>
    <w:rsid w:val="007C4EC7"/>
    <w:rsid w:val="007D3E0F"/>
    <w:rsid w:val="007D79D0"/>
    <w:rsid w:val="007E4282"/>
    <w:rsid w:val="007F387B"/>
    <w:rsid w:val="00802863"/>
    <w:rsid w:val="008112A9"/>
    <w:rsid w:val="0081473A"/>
    <w:rsid w:val="0081481D"/>
    <w:rsid w:val="00815B3C"/>
    <w:rsid w:val="0081610A"/>
    <w:rsid w:val="0082783A"/>
    <w:rsid w:val="00831CA9"/>
    <w:rsid w:val="00832B84"/>
    <w:rsid w:val="00850E1F"/>
    <w:rsid w:val="0085476B"/>
    <w:rsid w:val="0086340B"/>
    <w:rsid w:val="0086620F"/>
    <w:rsid w:val="008902B1"/>
    <w:rsid w:val="00890FEB"/>
    <w:rsid w:val="00895E7E"/>
    <w:rsid w:val="008A5C1A"/>
    <w:rsid w:val="008B15BE"/>
    <w:rsid w:val="008B573C"/>
    <w:rsid w:val="008D292F"/>
    <w:rsid w:val="008E03DC"/>
    <w:rsid w:val="00902E51"/>
    <w:rsid w:val="00904523"/>
    <w:rsid w:val="00924065"/>
    <w:rsid w:val="00930D68"/>
    <w:rsid w:val="00932DB4"/>
    <w:rsid w:val="00941A4B"/>
    <w:rsid w:val="00946242"/>
    <w:rsid w:val="0095096B"/>
    <w:rsid w:val="00970CD3"/>
    <w:rsid w:val="009723FA"/>
    <w:rsid w:val="00984546"/>
    <w:rsid w:val="00996510"/>
    <w:rsid w:val="009A176A"/>
    <w:rsid w:val="009D1F15"/>
    <w:rsid w:val="009D555E"/>
    <w:rsid w:val="009F3024"/>
    <w:rsid w:val="009F39BA"/>
    <w:rsid w:val="00A0355E"/>
    <w:rsid w:val="00A150FF"/>
    <w:rsid w:val="00A174F3"/>
    <w:rsid w:val="00A375D1"/>
    <w:rsid w:val="00A51D10"/>
    <w:rsid w:val="00A52267"/>
    <w:rsid w:val="00A52A83"/>
    <w:rsid w:val="00A6552C"/>
    <w:rsid w:val="00A67A25"/>
    <w:rsid w:val="00A87207"/>
    <w:rsid w:val="00A935AA"/>
    <w:rsid w:val="00A956D3"/>
    <w:rsid w:val="00AB2201"/>
    <w:rsid w:val="00AD0E72"/>
    <w:rsid w:val="00AD1D34"/>
    <w:rsid w:val="00AD222F"/>
    <w:rsid w:val="00AD3259"/>
    <w:rsid w:val="00AF1715"/>
    <w:rsid w:val="00AF3904"/>
    <w:rsid w:val="00B010C0"/>
    <w:rsid w:val="00B07435"/>
    <w:rsid w:val="00B327A9"/>
    <w:rsid w:val="00B4740D"/>
    <w:rsid w:val="00B537CB"/>
    <w:rsid w:val="00B60413"/>
    <w:rsid w:val="00B61629"/>
    <w:rsid w:val="00B71604"/>
    <w:rsid w:val="00B7374B"/>
    <w:rsid w:val="00B90DC0"/>
    <w:rsid w:val="00BA116A"/>
    <w:rsid w:val="00BA5582"/>
    <w:rsid w:val="00BA6468"/>
    <w:rsid w:val="00BB1D44"/>
    <w:rsid w:val="00BD06DA"/>
    <w:rsid w:val="00BD4217"/>
    <w:rsid w:val="00BF13EB"/>
    <w:rsid w:val="00BF25F3"/>
    <w:rsid w:val="00C02882"/>
    <w:rsid w:val="00C153BF"/>
    <w:rsid w:val="00C1697B"/>
    <w:rsid w:val="00C17D93"/>
    <w:rsid w:val="00C21644"/>
    <w:rsid w:val="00C21CB5"/>
    <w:rsid w:val="00C46376"/>
    <w:rsid w:val="00C50A5C"/>
    <w:rsid w:val="00C50FDF"/>
    <w:rsid w:val="00C53C02"/>
    <w:rsid w:val="00C63381"/>
    <w:rsid w:val="00C72D27"/>
    <w:rsid w:val="00C73D06"/>
    <w:rsid w:val="00C73E1B"/>
    <w:rsid w:val="00C759B4"/>
    <w:rsid w:val="00C76BEA"/>
    <w:rsid w:val="00C77713"/>
    <w:rsid w:val="00C85BB7"/>
    <w:rsid w:val="00CA2DEA"/>
    <w:rsid w:val="00CB2603"/>
    <w:rsid w:val="00CB2D37"/>
    <w:rsid w:val="00CB3520"/>
    <w:rsid w:val="00CB43D5"/>
    <w:rsid w:val="00CC4D84"/>
    <w:rsid w:val="00CD1EF0"/>
    <w:rsid w:val="00CE198A"/>
    <w:rsid w:val="00CF08C8"/>
    <w:rsid w:val="00D004FC"/>
    <w:rsid w:val="00D22133"/>
    <w:rsid w:val="00D64901"/>
    <w:rsid w:val="00D76BDF"/>
    <w:rsid w:val="00D818B6"/>
    <w:rsid w:val="00D862C1"/>
    <w:rsid w:val="00D90D53"/>
    <w:rsid w:val="00D93B50"/>
    <w:rsid w:val="00D94028"/>
    <w:rsid w:val="00D94670"/>
    <w:rsid w:val="00DA46F6"/>
    <w:rsid w:val="00DA756F"/>
    <w:rsid w:val="00DD0B49"/>
    <w:rsid w:val="00DE0502"/>
    <w:rsid w:val="00DE349D"/>
    <w:rsid w:val="00E06DFA"/>
    <w:rsid w:val="00E134C1"/>
    <w:rsid w:val="00E20A0A"/>
    <w:rsid w:val="00E240C2"/>
    <w:rsid w:val="00E356C7"/>
    <w:rsid w:val="00E414CA"/>
    <w:rsid w:val="00E41A5A"/>
    <w:rsid w:val="00E45FE4"/>
    <w:rsid w:val="00E64FA7"/>
    <w:rsid w:val="00E75CFD"/>
    <w:rsid w:val="00E770CB"/>
    <w:rsid w:val="00E8009B"/>
    <w:rsid w:val="00E8420A"/>
    <w:rsid w:val="00E903A1"/>
    <w:rsid w:val="00E940EB"/>
    <w:rsid w:val="00E942C2"/>
    <w:rsid w:val="00E9703F"/>
    <w:rsid w:val="00EA2091"/>
    <w:rsid w:val="00EA619C"/>
    <w:rsid w:val="00EB2B90"/>
    <w:rsid w:val="00EB664B"/>
    <w:rsid w:val="00ED7E83"/>
    <w:rsid w:val="00EE091F"/>
    <w:rsid w:val="00EE4BF7"/>
    <w:rsid w:val="00EF4B63"/>
    <w:rsid w:val="00F0068D"/>
    <w:rsid w:val="00F0576D"/>
    <w:rsid w:val="00F14E6D"/>
    <w:rsid w:val="00F15EA8"/>
    <w:rsid w:val="00F16C8D"/>
    <w:rsid w:val="00F26C61"/>
    <w:rsid w:val="00F33CCE"/>
    <w:rsid w:val="00F40249"/>
    <w:rsid w:val="00F526C8"/>
    <w:rsid w:val="00F56C0F"/>
    <w:rsid w:val="00F761A3"/>
    <w:rsid w:val="00F9272D"/>
    <w:rsid w:val="00F9518C"/>
    <w:rsid w:val="00FA316E"/>
    <w:rsid w:val="00FA3373"/>
    <w:rsid w:val="00FA59EF"/>
    <w:rsid w:val="00FB19A2"/>
    <w:rsid w:val="00FB4A2E"/>
    <w:rsid w:val="00FD412F"/>
    <w:rsid w:val="00FF306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C17D93"/>
    <w:pPr>
      <w:jc w:val="both"/>
    </w:pPr>
    <w:rPr>
      <w:smallCaps/>
    </w:rPr>
  </w:style>
  <w:style w:type="character" w:customStyle="1" w:styleId="SCCBanSummaryChar">
    <w:name w:val="SCC.BanSummary Char"/>
    <w:basedOn w:val="DefaultParagraphFont"/>
    <w:link w:val="SCCBanSummary"/>
    <w:rsid w:val="00C17D93"/>
    <w:rPr>
      <w:smallCaps/>
      <w:lang w:val="en-CA"/>
    </w:rPr>
  </w:style>
  <w:style w:type="character" w:customStyle="1" w:styleId="citationcar">
    <w:name w:val="citationcar"/>
    <w:basedOn w:val="DefaultParagraphFont"/>
    <w:rsid w:val="00C17D93"/>
  </w:style>
  <w:style w:type="character" w:customStyle="1" w:styleId="reflex3-alt">
    <w:name w:val="reflex3-alt"/>
    <w:basedOn w:val="DefaultParagraphFont"/>
    <w:rsid w:val="00C17D93"/>
  </w:style>
  <w:style w:type="paragraph" w:styleId="BalloonText">
    <w:name w:val="Balloon Text"/>
    <w:basedOn w:val="Normal"/>
    <w:link w:val="BalloonTextChar"/>
    <w:uiPriority w:val="99"/>
    <w:semiHidden/>
    <w:unhideWhenUsed/>
    <w:rsid w:val="00AD2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2F"/>
    <w:rPr>
      <w:rFonts w:ascii="Segoe UI" w:hAnsi="Segoe UI" w:cs="Segoe UI"/>
      <w:sz w:val="18"/>
      <w:szCs w:val="18"/>
      <w:lang w:val="en-CA"/>
    </w:rPr>
  </w:style>
  <w:style w:type="character" w:customStyle="1" w:styleId="shorttext">
    <w:name w:val="short_text"/>
    <w:basedOn w:val="DefaultParagraphFont"/>
    <w:rsid w:val="0083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ca/cfpi/doc/2015/2015cf541/2015cf541.html?resultIndex=1" TargetMode="External"/><Relationship Id="rId39" Type="http://schemas.openxmlformats.org/officeDocument/2006/relationships/hyperlink" Target="http://www.canlii.org/en/bc/bcca/doc/2016/2016bcca176/2016bcca176.html?searchUrlHash=AAAAAAAAAAEAFzIwMTQgQkNTQyAxNTI0IChDYW5MSUkpAAAAAQANLzIwMTRiY3NjMTUyNAE&amp;resultIndex=2" TargetMode="External"/><Relationship Id="rId21" Type="http://schemas.openxmlformats.org/officeDocument/2006/relationships/footer" Target="footer6.xml"/><Relationship Id="rId34" Type="http://schemas.openxmlformats.org/officeDocument/2006/relationships/hyperlink" Target="http://canlii.ca/t/gnlgh" TargetMode="External"/><Relationship Id="rId42" Type="http://schemas.openxmlformats.org/officeDocument/2006/relationships/hyperlink" Target="http://www.canlii.org/fr/qc/qccs/doc/2014/2014qccs3901/2014qccs3901.html" TargetMode="External"/><Relationship Id="rId47" Type="http://schemas.openxmlformats.org/officeDocument/2006/relationships/hyperlink" Target="http://canlii.ca/t/gppgg" TargetMode="External"/><Relationship Id="rId50" Type="http://schemas.openxmlformats.org/officeDocument/2006/relationships/hyperlink" Target="http://www.canlii.org/en/mb/mbqb/doc/2014/2014mbqb99/2014mbqb99.html?autocompleteStr=2014%20MBQB%2099&amp;autocompletePos=1" TargetMode="External"/><Relationship Id="rId55" Type="http://schemas.openxmlformats.org/officeDocument/2006/relationships/footer" Target="footer9.xml"/><Relationship Id="rId63" Type="http://schemas.openxmlformats.org/officeDocument/2006/relationships/footer" Target="footer13.xml"/><Relationship Id="rId68" Type="http://schemas.openxmlformats.org/officeDocument/2006/relationships/header" Target="header16.xml"/><Relationship Id="rId76" Type="http://schemas.openxmlformats.org/officeDocument/2006/relationships/hyperlink" Target="http://www.scc-csc.ca/case-dossier/info/sum-som-eng.aspx?cas=36258" TargetMode="External"/><Relationship Id="rId84"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nb/nbca/doc/2016/2016nbca17/2016nbca17.html?searchUrlHash=AAAAAAAAAAEAFjIwMTUgTkJRQiAxMzYgKENhbkxJSSkAAAABAAwvMjAxNW5icWIxMzYB&amp;resultIndex=1" TargetMode="External"/><Relationship Id="rId11" Type="http://schemas.openxmlformats.org/officeDocument/2006/relationships/header" Target="header2.xml"/><Relationship Id="rId24" Type="http://schemas.openxmlformats.org/officeDocument/2006/relationships/hyperlink" Target="http://www.canlii.org/en/ca/fct/doc/2015/2015fc541/2015fc541.html" TargetMode="External"/><Relationship Id="rId32" Type="http://schemas.openxmlformats.org/officeDocument/2006/relationships/hyperlink" Target="http://www.canlii.org/en/ca/fct/doc/2016/2016fc257/2016fc257.html?resultIndex=1" TargetMode="External"/><Relationship Id="rId37" Type="http://schemas.openxmlformats.org/officeDocument/2006/relationships/hyperlink" Target="http://www.canlii.org/en/bc/bcca/doc/2016/2016bcca176/2016bcca176.html?searchUrlHash=AAAAAAAAAAEAFzIwMTQgQkNTQyAxNTI0IChDYW5MSUkpAAAAAQANLzIwMTRiY3NjMTUyNAE&amp;resultIndex=2" TargetMode="External"/><Relationship Id="rId40" Type="http://schemas.openxmlformats.org/officeDocument/2006/relationships/hyperlink" Target="http://www.canlii.org/fr/qc/qccs/doc/2014/2014qccs3901/2014qccs3901.html" TargetMode="External"/><Relationship Id="rId45" Type="http://schemas.openxmlformats.org/officeDocument/2006/relationships/hyperlink" Target="http://canlii.ca/t/gppgg" TargetMode="Externa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footer" Target="footer14.xml"/><Relationship Id="rId74" Type="http://schemas.openxmlformats.org/officeDocument/2006/relationships/header" Target="header19.xml"/><Relationship Id="rId79" Type="http://schemas.openxmlformats.org/officeDocument/2006/relationships/footer" Target="footer20.xml"/><Relationship Id="rId5" Type="http://schemas.openxmlformats.org/officeDocument/2006/relationships/footnotes" Target="footnotes.xml"/><Relationship Id="rId61" Type="http://schemas.openxmlformats.org/officeDocument/2006/relationships/footer" Target="footer12.xml"/><Relationship Id="rId82" Type="http://schemas.openxmlformats.org/officeDocument/2006/relationships/footer" Target="footer2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ca/caf/doc/2016/2016caf81/2016caf81.html?searchUrlHash=AAAAAAAAAAEAFDIwMTUgQ0YgNTQxIChDYW5MSUkpAAAAAQALLzIwMTVmY3Q1NDEB&amp;resultIndex=1" TargetMode="External"/><Relationship Id="rId30" Type="http://schemas.openxmlformats.org/officeDocument/2006/relationships/hyperlink" Target="http://www.canlii.org/en/nb/nbqb/doc/2015/2015nbqb136/2015nbqb136.html?autocompleteStr=2015%20NBQB%20136&amp;autocompletePos=1" TargetMode="External"/><Relationship Id="rId35" Type="http://schemas.openxmlformats.org/officeDocument/2006/relationships/hyperlink" Target="http://www.canlii.org/fr/ca/cfpi/doc/2016/2016cf179/2016cf179.html" TargetMode="External"/><Relationship Id="rId43" Type="http://schemas.openxmlformats.org/officeDocument/2006/relationships/hyperlink" Target="http://www.canlii.org/fr/qc/qcca/doc/2016/2016qcca737/2016qcca737.html?autocompleteStr=2016%20QCCA%20737&amp;autocompletePos=1" TargetMode="External"/><Relationship Id="rId48" Type="http://schemas.openxmlformats.org/officeDocument/2006/relationships/hyperlink" Target="http://www.canlii.org/en/mb/mbqb/doc/2014/2014mbqb99/2014mbqb99.html?autocompleteStr=2014%20MBQB%2099&amp;autocompletePos=1" TargetMode="Externa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footer" Target="footer16.xml"/><Relationship Id="rId77" Type="http://schemas.openxmlformats.org/officeDocument/2006/relationships/header" Target="header20.xml"/><Relationship Id="rId8" Type="http://schemas.openxmlformats.org/officeDocument/2006/relationships/hyperlink" Target="http://www.scc-csc.ca" TargetMode="External"/><Relationship Id="rId51" Type="http://schemas.openxmlformats.org/officeDocument/2006/relationships/hyperlink" Target="http://www.canlii.org/en/mb/mbca/doc/2016/2016mbca42/2016mbca42.html?resultIndex=1" TargetMode="External"/><Relationship Id="rId72" Type="http://schemas.openxmlformats.org/officeDocument/2006/relationships/footer" Target="footer17.xml"/><Relationship Id="rId80" Type="http://schemas.openxmlformats.org/officeDocument/2006/relationships/footer" Target="footer21.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ca/caf/doc/2016/2016caf81/2016caf81.html?searchUrlHash=AAAAAAAAAAEAFDIwMTUgQ0YgNTQxIChDYW5MSUkpAAAAAQALLzIwMTVmY3Q1NDEB&amp;resultIndex=1" TargetMode="External"/><Relationship Id="rId33" Type="http://schemas.openxmlformats.org/officeDocument/2006/relationships/hyperlink" Target="http://www.canlii.org/fr/ca/cfpi/doc/2016/2016cf257/2016cf257.html" TargetMode="External"/><Relationship Id="rId38" Type="http://schemas.openxmlformats.org/officeDocument/2006/relationships/hyperlink" Target="http://www.canlii.org/en/bc/bcsc/doc/2014/2014bcsc1524/2014bcsc1524.html?autocompleteStr=2014%20BCSC%201524&amp;autocompletePos=1" TargetMode="External"/><Relationship Id="rId46" Type="http://schemas.openxmlformats.org/officeDocument/2006/relationships/hyperlink" Target="http://canlii.ca/t/gjdsx" TargetMode="External"/><Relationship Id="rId59" Type="http://schemas.openxmlformats.org/officeDocument/2006/relationships/header" Target="header12.xml"/><Relationship Id="rId67" Type="http://schemas.openxmlformats.org/officeDocument/2006/relationships/footer" Target="footer15.xml"/><Relationship Id="rId20" Type="http://schemas.openxmlformats.org/officeDocument/2006/relationships/header" Target="header6.xml"/><Relationship Id="rId41" Type="http://schemas.openxmlformats.org/officeDocument/2006/relationships/hyperlink" Target="http://www.canlii.org/fr/qc/qcca/doc/2016/2016qcca737/2016qcca737.html?autocompleteStr=2016%20QCCA%20737&amp;autocompletePos=1" TargetMode="External"/><Relationship Id="rId54" Type="http://schemas.openxmlformats.org/officeDocument/2006/relationships/footer" Target="footer8.xml"/><Relationship Id="rId62" Type="http://schemas.openxmlformats.org/officeDocument/2006/relationships/header" Target="header13.xml"/><Relationship Id="rId70" Type="http://schemas.openxmlformats.org/officeDocument/2006/relationships/header" Target="header17.xml"/><Relationship Id="rId75" Type="http://schemas.openxmlformats.org/officeDocument/2006/relationships/footer" Target="footer19.xml"/><Relationship Id="rId83"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nb/nbqb/doc/2015/2015nbqb136/2015nbqb136.html?autocompleteStr=2015%20NBQB%20136&amp;autocompletePos=1" TargetMode="External"/><Relationship Id="rId36" Type="http://schemas.openxmlformats.org/officeDocument/2006/relationships/hyperlink" Target="http://www.canlii.org/en/bc/bcsc/doc/2014/2014bcsc1524/2014bcsc1524.html?autocompleteStr=2014%20BCSC%201524&amp;autocompletePos=1" TargetMode="External"/><Relationship Id="rId49" Type="http://schemas.openxmlformats.org/officeDocument/2006/relationships/hyperlink" Target="http://www.canlii.org/en/mb/mbca/doc/2016/2016mbca42/2016mbca42.html?resultIndex=1" TargetMode="External"/><Relationship Id="rId57" Type="http://schemas.openxmlformats.org/officeDocument/2006/relationships/footer" Target="footer10.xml"/><Relationship Id="rId10" Type="http://schemas.openxmlformats.org/officeDocument/2006/relationships/header" Target="header1.xml"/><Relationship Id="rId31" Type="http://schemas.openxmlformats.org/officeDocument/2006/relationships/hyperlink" Target="http://www.canlii.org/en/nb/nbca/doc/2016/2016nbca17/2016nbca17.html?searchUrlHash=AAAAAAAAAAEAFjIwMTUgTkJRQiAxMzYgKENhbkxJSSkAAAABAAwvMjAxNW5icWIxMzYB&amp;resultIndex=1" TargetMode="External"/><Relationship Id="rId44" Type="http://schemas.openxmlformats.org/officeDocument/2006/relationships/hyperlink" Target="http://canlii.ca/t/gjdsx" TargetMode="External"/><Relationship Id="rId52" Type="http://schemas.openxmlformats.org/officeDocument/2006/relationships/header" Target="header8.xml"/><Relationship Id="rId60" Type="http://schemas.openxmlformats.org/officeDocument/2006/relationships/footer" Target="footer11.xml"/><Relationship Id="rId65" Type="http://schemas.openxmlformats.org/officeDocument/2006/relationships/header" Target="header15.xml"/><Relationship Id="rId73" Type="http://schemas.openxmlformats.org/officeDocument/2006/relationships/footer" Target="footer18.xml"/><Relationship Id="rId78" Type="http://schemas.openxmlformats.org/officeDocument/2006/relationships/header" Target="header21.xml"/><Relationship Id="rId81" Type="http://schemas.openxmlformats.org/officeDocument/2006/relationships/header" Target="header2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13092</Words>
  <Characters>74627</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2016-09-23T14:59:00Z</dcterms:created>
  <dcterms:modified xsi:type="dcterms:W3CDTF">2016-09-30T15:39:00Z</dcterms:modified>
</cp:coreProperties>
</file>